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3B8A4D5B" w:rsidR="00E978D0" w:rsidRPr="00B57B36" w:rsidRDefault="00E66F1F" w:rsidP="00E978D0">
      <w:pPr>
        <w:pStyle w:val="CETTitle"/>
      </w:pPr>
      <w:r>
        <w:t>A comparative study of dynamic flu</w:t>
      </w:r>
      <w:r w:rsidR="00787014">
        <w:t>x</w:t>
      </w:r>
      <w:r>
        <w:t xml:space="preserve"> chambers for H</w:t>
      </w:r>
      <w:r w:rsidR="00EA0222" w:rsidRPr="007F053D">
        <w:rPr>
          <w:vertAlign w:val="subscript"/>
        </w:rPr>
        <w:t>2</w:t>
      </w:r>
      <w:r>
        <w:t>S emissions</w:t>
      </w:r>
    </w:p>
    <w:p w14:paraId="0488FED2" w14:textId="3E4F45F8" w:rsidR="00B57E6F" w:rsidRPr="00B57B36" w:rsidRDefault="00E66F1F" w:rsidP="00B57E6F">
      <w:pPr>
        <w:pStyle w:val="CETAuthors"/>
      </w:pPr>
      <w:r>
        <w:t>Laíze Nalli de Freitas</w:t>
      </w:r>
      <w:r w:rsidR="00B57E6F" w:rsidRPr="00B57B36">
        <w:rPr>
          <w:vertAlign w:val="superscript"/>
        </w:rPr>
        <w:t>a</w:t>
      </w:r>
      <w:r w:rsidR="00F266FC">
        <w:rPr>
          <w:vertAlign w:val="superscript"/>
        </w:rPr>
        <w:t>,*</w:t>
      </w:r>
      <w:r w:rsidR="00B57E6F" w:rsidRPr="00B57B36">
        <w:t>,</w:t>
      </w:r>
      <w:r>
        <w:t xml:space="preserve"> Bruno Furieri</w:t>
      </w:r>
      <w:r w:rsidRPr="00B57B36">
        <w:rPr>
          <w:vertAlign w:val="superscript"/>
        </w:rPr>
        <w:t>a</w:t>
      </w:r>
      <w:r>
        <w:t xml:space="preserve">, </w:t>
      </w:r>
      <w:r w:rsidRPr="00E66F1F">
        <w:t>Thais Nunes Guerrero</w:t>
      </w:r>
      <w:r>
        <w:rPr>
          <w:vertAlign w:val="superscript"/>
        </w:rPr>
        <w:t>b</w:t>
      </w:r>
      <w:r w:rsidRPr="00E66F1F">
        <w:t>, Ademir Abdala Prata Jr.</w:t>
      </w:r>
      <w:r>
        <w:rPr>
          <w:vertAlign w:val="superscript"/>
        </w:rPr>
        <w:t>c</w:t>
      </w:r>
      <w:r w:rsidRPr="00E66F1F">
        <w:t>, Ruth Fisher</w:t>
      </w:r>
      <w:r>
        <w:rPr>
          <w:vertAlign w:val="superscript"/>
        </w:rPr>
        <w:t>b</w:t>
      </w:r>
      <w:r w:rsidRPr="00E66F1F">
        <w:t>, Richard Stuetz</w:t>
      </w:r>
      <w:r>
        <w:rPr>
          <w:vertAlign w:val="superscript"/>
        </w:rPr>
        <w:t>b</w:t>
      </w:r>
      <w:r w:rsidRPr="00E66F1F">
        <w:t>, Jane Meri Santos</w:t>
      </w:r>
      <w:r>
        <w:rPr>
          <w:vertAlign w:val="superscript"/>
        </w:rPr>
        <w:t>a</w:t>
      </w:r>
      <w:r w:rsidR="00FF1190">
        <w:t xml:space="preserve">, </w:t>
      </w:r>
      <w:r w:rsidR="00006D92" w:rsidRPr="00006D92">
        <w:t>Neyval Costa Reis Junior</w:t>
      </w:r>
      <w:r w:rsidR="00006D92">
        <w:rPr>
          <w:vertAlign w:val="superscript"/>
        </w:rPr>
        <w:t>a</w:t>
      </w:r>
    </w:p>
    <w:p w14:paraId="6B2D21B3" w14:textId="0D1B46D8" w:rsidR="00B57E6F" w:rsidRPr="00B57B36" w:rsidRDefault="00B57E6F" w:rsidP="00B57E6F">
      <w:pPr>
        <w:pStyle w:val="CETAddress"/>
      </w:pPr>
      <w:r w:rsidRPr="00B57B36">
        <w:rPr>
          <w:vertAlign w:val="superscript"/>
        </w:rPr>
        <w:t>a</w:t>
      </w:r>
      <w:r w:rsidR="00E66F1F">
        <w:t>Federal University of Espírito Santo</w:t>
      </w:r>
    </w:p>
    <w:p w14:paraId="3D72B0B0" w14:textId="37927465" w:rsidR="00B57E6F" w:rsidRDefault="00B57E6F" w:rsidP="00B57E6F">
      <w:pPr>
        <w:pStyle w:val="CETAddress"/>
      </w:pPr>
      <w:r w:rsidRPr="00B57B36">
        <w:rPr>
          <w:vertAlign w:val="superscript"/>
        </w:rPr>
        <w:t>b</w:t>
      </w:r>
      <w:r w:rsidR="00E66F1F" w:rsidRPr="00E66F1F">
        <w:t>University of New South Wales</w:t>
      </w:r>
      <w:r w:rsidRPr="00B57B36">
        <w:t xml:space="preserve"> </w:t>
      </w:r>
    </w:p>
    <w:p w14:paraId="7B4B7BAD" w14:textId="54090A3F" w:rsidR="00E66F1F" w:rsidRPr="00A817F4" w:rsidRDefault="00E66F1F" w:rsidP="00B57E6F">
      <w:pPr>
        <w:pStyle w:val="CETAddress"/>
        <w:rPr>
          <w:lang w:val="pt-BR"/>
        </w:rPr>
      </w:pPr>
      <w:r w:rsidRPr="00A817F4">
        <w:rPr>
          <w:vertAlign w:val="superscript"/>
          <w:lang w:val="pt-BR"/>
        </w:rPr>
        <w:t>c</w:t>
      </w:r>
      <w:r w:rsidRPr="00A817F4">
        <w:rPr>
          <w:lang w:val="pt-BR"/>
        </w:rPr>
        <w:t>São Paulo State University</w:t>
      </w:r>
    </w:p>
    <w:p w14:paraId="73F1267A" w14:textId="1BB25E2C" w:rsidR="00B57E6F" w:rsidRDefault="00F266FC" w:rsidP="00B57E6F">
      <w:pPr>
        <w:pStyle w:val="CETemail"/>
        <w:rPr>
          <w:lang w:val="pt-BR"/>
        </w:rPr>
      </w:pPr>
      <w:r w:rsidRPr="00A817F4">
        <w:rPr>
          <w:lang w:val="pt-BR"/>
        </w:rPr>
        <w:t>*</w:t>
      </w:r>
      <w:r w:rsidR="00E66F1F" w:rsidRPr="00A817F4">
        <w:rPr>
          <w:lang w:val="pt-BR"/>
        </w:rPr>
        <w:t>laize.freitas@edu.ufes.br</w:t>
      </w:r>
    </w:p>
    <w:p w14:paraId="4787BE93" w14:textId="34F8B565" w:rsidR="00A304F9" w:rsidRPr="00A304F9" w:rsidRDefault="00A304F9" w:rsidP="00A304F9">
      <w:pPr>
        <w:pStyle w:val="CETBodytext"/>
      </w:pPr>
      <w:r w:rsidRPr="00A304F9">
        <w:rPr>
          <w:lang w:val="en-GB"/>
        </w:rPr>
        <w:t>Hydrogen sulphide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A304F9">
        <w:rPr>
          <w:lang w:val="en-GB"/>
        </w:rPr>
        <w:t xml:space="preserve">) emissions from wastewater surfaces are commonly measured using dynamic flux chambers, although chamber construction and operating conditions may influence the results. This study compared two dynamic flux chambers, DFC1 and DFC2, both built according to USEPA geometric </w:t>
      </w:r>
      <w:proofErr w:type="gramStart"/>
      <w:r w:rsidRPr="00A304F9">
        <w:rPr>
          <w:lang w:val="en-GB"/>
        </w:rPr>
        <w:t>specifications,</w:t>
      </w:r>
      <w:proofErr w:type="gramEnd"/>
      <w:r w:rsidRPr="00A304F9">
        <w:rPr>
          <w:lang w:val="en-GB"/>
        </w:rPr>
        <w:t xml:space="preserve"> to evaluate how chamber type and internal fan configuration affect the overall mass transfer coefficient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A304F9">
        <w:rPr>
          <w:lang w:val="en-GB"/>
        </w:rPr>
        <w:t xml:space="preserve">) of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A304F9">
        <w:rPr>
          <w:lang w:val="en-GB"/>
        </w:rPr>
        <w:t xml:space="preserve">. The chambers differed mainly in construction material, with DFC1 made of acrylic and DFC2 of fiberglass, and were tested under five operating conditions: no fan, small fan up, small fan down, large fan up, and large fan down. Experiments were carried out using standard aqueous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EA7D57">
        <w:t xml:space="preserve"> </w:t>
      </w:r>
      <w:r w:rsidRPr="00A304F9">
        <w:rPr>
          <w:lang w:val="en-GB"/>
        </w:rPr>
        <w:t xml:space="preserve">solutions with an initial concentration of 5 mg/L, and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A304F9">
        <w:rPr>
          <w:lang w:val="en-GB"/>
        </w:rPr>
        <w:t xml:space="preserve">was obtained from the liquid-phase concentration decay. Mean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A304F9">
        <w:rPr>
          <w:lang w:val="en-GB"/>
        </w:rPr>
        <w:t xml:space="preserve">values ranged from 1.30 to 5.11 cm/h for DFC1 and from 1.64 to 3.64 cm/h for DFC2, with the highest values observed under forced ventilation. A two-way ANOVA with replication showed that chamber type, fan configuration, and their interaction significantly affected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A304F9">
        <w:rPr>
          <w:lang w:val="en-GB"/>
        </w:rPr>
        <w:t>(</w:t>
      </w:r>
      <m:oMath>
        <m:r>
          <w:rPr>
            <w:rFonts w:ascii="Cambria Math" w:hAnsi="Cambria Math"/>
            <w:lang w:val="en-GB"/>
          </w:rPr>
          <m:t>F=15.87</m:t>
        </m:r>
      </m:oMath>
      <w:r w:rsidRPr="00A304F9">
        <w:rPr>
          <w:lang w:val="en-GB"/>
        </w:rPr>
        <w:t xml:space="preserve">, </w:t>
      </w:r>
      <m:oMath>
        <m:r>
          <w:rPr>
            <w:rFonts w:ascii="Cambria Math" w:hAnsi="Cambria Math"/>
            <w:lang w:val="en-GB"/>
          </w:rPr>
          <m:t>p=0.000731</m:t>
        </m:r>
      </m:oMath>
      <w:r w:rsidRPr="00A304F9">
        <w:rPr>
          <w:lang w:val="en-GB"/>
        </w:rPr>
        <w:t xml:space="preserve">; </w:t>
      </w:r>
      <m:oMath>
        <m:r>
          <w:rPr>
            <w:rFonts w:ascii="Cambria Math" w:hAnsi="Cambria Math"/>
            <w:lang w:val="en-GB"/>
          </w:rPr>
          <m:t>F=40.26</m:t>
        </m:r>
      </m:oMath>
      <w:r w:rsidRPr="00A304F9">
        <w:rPr>
          <w:lang w:val="en-GB"/>
        </w:rPr>
        <w:t xml:space="preserve">, </w:t>
      </w:r>
      <m:oMath>
        <m:r>
          <w:rPr>
            <w:rFonts w:ascii="Cambria Math" w:hAnsi="Cambria Math"/>
            <w:lang w:val="en-GB"/>
          </w:rPr>
          <m:t>p&lt;0.001</m:t>
        </m:r>
      </m:oMath>
      <w:r w:rsidRPr="00A304F9">
        <w:rPr>
          <w:lang w:val="en-GB"/>
        </w:rPr>
        <w:t xml:space="preserve">; and </w:t>
      </w:r>
      <m:oMath>
        <m:r>
          <w:rPr>
            <w:rFonts w:ascii="Cambria Math" w:hAnsi="Cambria Math"/>
            <w:lang w:val="en-GB"/>
          </w:rPr>
          <m:t>F=6.63</m:t>
        </m:r>
      </m:oMath>
      <w:r w:rsidRPr="00A304F9">
        <w:rPr>
          <w:lang w:val="en-GB"/>
        </w:rPr>
        <w:t xml:space="preserve">, </w:t>
      </w:r>
      <m:oMath>
        <m:r>
          <w:rPr>
            <w:rFonts w:ascii="Cambria Math" w:hAnsi="Cambria Math"/>
            <w:lang w:val="en-GB"/>
          </w:rPr>
          <m:t>p=0.00145</m:t>
        </m:r>
      </m:oMath>
      <w:r w:rsidRPr="00A304F9">
        <w:rPr>
          <w:lang w:val="en-GB"/>
        </w:rPr>
        <w:t xml:space="preserve">, respectively). The highest mass transfer coefficient was obtained for DFC1 under the large fan up condition, whereas the lowest values were observed under no fan operation. These results show that even chambers designed under the same regulatory concept may produce different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EA7D57">
        <w:t xml:space="preserve"> </w:t>
      </w:r>
      <w:r w:rsidRPr="00A304F9">
        <w:rPr>
          <w:lang w:val="en-GB"/>
        </w:rPr>
        <w:t>transfer measurements, highlighting the importance of clearly reporting chamber characteristics and internal ventilation conditions when comparing data across studies.</w:t>
      </w:r>
    </w:p>
    <w:p w14:paraId="476B2F2E" w14:textId="77777777" w:rsidR="00600535" w:rsidRPr="00B57B36" w:rsidRDefault="00600535" w:rsidP="00600535">
      <w:pPr>
        <w:pStyle w:val="CETHeading1"/>
        <w:rPr>
          <w:lang w:val="en-GB"/>
        </w:rPr>
      </w:pPr>
      <w:r w:rsidRPr="00B57B36">
        <w:rPr>
          <w:lang w:val="en-GB"/>
        </w:rPr>
        <w:t>Introduction</w:t>
      </w:r>
    </w:p>
    <w:p w14:paraId="4E38DB8B" w14:textId="77777777" w:rsidR="007F053D" w:rsidRDefault="00744C6D" w:rsidP="00600535">
      <w:pPr>
        <w:pStyle w:val="CETBodytext"/>
        <w:rPr>
          <w:lang w:val="en-GB"/>
        </w:rPr>
      </w:pPr>
      <w:r w:rsidRPr="00744C6D">
        <w:rPr>
          <w:lang w:val="en-GB"/>
        </w:rPr>
        <w:t>Hydrogen sulphide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744C6D">
        <w:rPr>
          <w:lang w:val="en-GB"/>
        </w:rPr>
        <w:t>) is one of the most relevant odorants associated with wastewater systems because it is commonly emitted from anaerobic and quiescent liquid surfaces and can be perceived by the human nose at very low concentrations. For this reason, even relatively small emissions may be enough to generate nuisance, complaints, and concern in urban areas located near wastewater infrastructure</w:t>
      </w:r>
      <w:r w:rsidR="005B4620">
        <w:rPr>
          <w:lang w:val="en-GB"/>
        </w:rPr>
        <w:t xml:space="preserve"> </w:t>
      </w:r>
      <w:r w:rsidR="005B4620" w:rsidRPr="005B4620">
        <w:rPr>
          <w:lang w:val="en-GB"/>
        </w:rPr>
        <w:t>(Czarnota et al., 2023)</w:t>
      </w:r>
      <w:r w:rsidRPr="00744C6D">
        <w:rPr>
          <w:lang w:val="en-GB"/>
        </w:rPr>
        <w:t xml:space="preserve">. At the same time, reliable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A304F9" w:rsidRPr="00EA7D57">
        <w:t xml:space="preserve"> </w:t>
      </w:r>
      <w:r w:rsidRPr="00744C6D">
        <w:rPr>
          <w:lang w:val="en-GB"/>
        </w:rPr>
        <w:t>emission data are essential for source characterization, impact assessment, and the design of odour control strategies</w:t>
      </w:r>
      <w:r w:rsidR="00452D65">
        <w:rPr>
          <w:lang w:val="en-GB"/>
        </w:rPr>
        <w:t xml:space="preserve"> </w:t>
      </w:r>
      <w:r w:rsidR="00452D65" w:rsidRPr="00452D65">
        <w:rPr>
          <w:lang w:val="en-GB"/>
        </w:rPr>
        <w:t>(Jonca et al., 2025</w:t>
      </w:r>
      <w:r w:rsidR="00725C7F">
        <w:rPr>
          <w:lang w:val="en-GB"/>
        </w:rPr>
        <w:t xml:space="preserve">; </w:t>
      </w:r>
      <w:r w:rsidR="00725C7F" w:rsidRPr="00725C7F">
        <w:rPr>
          <w:lang w:val="en-GB"/>
        </w:rPr>
        <w:t>Moreno-Silva et al., 2020</w:t>
      </w:r>
      <w:r w:rsidR="00725C7F">
        <w:rPr>
          <w:lang w:val="en-GB"/>
        </w:rPr>
        <w:t xml:space="preserve">; </w:t>
      </w:r>
      <w:r w:rsidR="00B718A5" w:rsidRPr="00B718A5">
        <w:rPr>
          <w:lang w:val="en-GB"/>
        </w:rPr>
        <w:t>Prata Jr. et al., 2016</w:t>
      </w:r>
      <w:r w:rsidR="00452D65" w:rsidRPr="00452D65">
        <w:rPr>
          <w:lang w:val="en-GB"/>
        </w:rPr>
        <w:t>)</w:t>
      </w:r>
      <w:r w:rsidRPr="00744C6D">
        <w:rPr>
          <w:lang w:val="en-GB"/>
        </w:rPr>
        <w:t>.</w:t>
      </w:r>
    </w:p>
    <w:p w14:paraId="4D7B1907" w14:textId="77777777" w:rsidR="007F053D" w:rsidRDefault="007F053D" w:rsidP="00600535">
      <w:pPr>
        <w:pStyle w:val="CETBodytext"/>
        <w:rPr>
          <w:lang w:val="en-GB"/>
        </w:rPr>
      </w:pPr>
    </w:p>
    <w:p w14:paraId="4872A060" w14:textId="00295A55" w:rsidR="00B47D3F" w:rsidRDefault="00BF679E" w:rsidP="00600535">
      <w:pPr>
        <w:pStyle w:val="CETBodytext"/>
        <w:rPr>
          <w:lang w:val="en-GB"/>
        </w:rPr>
      </w:pPr>
      <w:r w:rsidRPr="00BF679E">
        <w:rPr>
          <w:lang w:val="en-GB"/>
        </w:rPr>
        <w:t>To obtain these data, enclosure devices such as Dynamic Flux Chambers (DFC) are widely used as direct measurement methods</w:t>
      </w:r>
      <w:r w:rsidR="00774B83">
        <w:rPr>
          <w:lang w:val="en-GB"/>
        </w:rPr>
        <w:t xml:space="preserve"> </w:t>
      </w:r>
      <w:r w:rsidR="00053812">
        <w:rPr>
          <w:lang w:val="en-GB"/>
        </w:rPr>
        <w:t>(</w:t>
      </w:r>
      <w:r w:rsidR="0050404F">
        <w:rPr>
          <w:lang w:val="en-GB"/>
        </w:rPr>
        <w:t>Mu</w:t>
      </w:r>
      <w:r w:rsidR="0050404F">
        <w:rPr>
          <w:lang w:val="en-GB"/>
        </w:rPr>
        <w:t xml:space="preserve"> </w:t>
      </w:r>
      <w:r w:rsidR="00053812">
        <w:rPr>
          <w:lang w:val="en-GB"/>
        </w:rPr>
        <w:t xml:space="preserve">et al., </w:t>
      </w:r>
      <w:r w:rsidR="0050404F">
        <w:rPr>
          <w:lang w:val="en-GB"/>
        </w:rPr>
        <w:t>20</w:t>
      </w:r>
      <w:r w:rsidR="0050404F">
        <w:rPr>
          <w:lang w:val="en-GB"/>
        </w:rPr>
        <w:t>22</w:t>
      </w:r>
      <w:r w:rsidR="00E72674">
        <w:rPr>
          <w:lang w:val="en-GB"/>
        </w:rPr>
        <w:t>; Capelli et al., 2013</w:t>
      </w:r>
      <w:r w:rsidR="00053812">
        <w:rPr>
          <w:lang w:val="en-GB"/>
        </w:rPr>
        <w:t>)</w:t>
      </w:r>
      <w:r w:rsidRPr="00BF679E">
        <w:rPr>
          <w:lang w:val="en-GB"/>
        </w:rPr>
        <w:t>. They are comparatively simple to operate, allow measurements at specific points of a surface, and are frequently adopted in studies involving wastewater-related emissions. However, the literature has also made it clear that these devices do not behave as neutral observers</w:t>
      </w:r>
      <w:r w:rsidR="00B718A5">
        <w:rPr>
          <w:lang w:val="en-GB"/>
        </w:rPr>
        <w:t xml:space="preserve"> (Liu et al., 2022)</w:t>
      </w:r>
      <w:r w:rsidRPr="00BF679E">
        <w:rPr>
          <w:lang w:val="en-GB"/>
        </w:rPr>
        <w:t xml:space="preserve">. The chamber itself can modify the conditions above the emitting surface, and this may influence the measured emission rate. Factors such as airflow pattern, gas accumulation, turbulence close to the interface, and the configuration of the sampling system can all affect </w:t>
      </w:r>
      <w:proofErr w:type="gramStart"/>
      <w:r w:rsidRPr="00BF679E">
        <w:rPr>
          <w:lang w:val="en-GB"/>
        </w:rPr>
        <w:t>the final result</w:t>
      </w:r>
      <w:proofErr w:type="gramEnd"/>
      <w:r w:rsidR="00712C4B">
        <w:rPr>
          <w:lang w:val="en-GB"/>
        </w:rPr>
        <w:t xml:space="preserve"> (Liu et al., 2022; </w:t>
      </w:r>
      <w:proofErr w:type="spellStart"/>
      <w:r w:rsidR="0051421C">
        <w:rPr>
          <w:lang w:val="en-GB"/>
        </w:rPr>
        <w:t>Barzak</w:t>
      </w:r>
      <w:proofErr w:type="spellEnd"/>
      <w:r w:rsidR="0051421C">
        <w:rPr>
          <w:lang w:val="en-GB"/>
        </w:rPr>
        <w:t xml:space="preserve"> et al., 2017</w:t>
      </w:r>
      <w:r w:rsidR="00712C4B">
        <w:rPr>
          <w:lang w:val="en-GB"/>
        </w:rPr>
        <w:t>)</w:t>
      </w:r>
      <w:r w:rsidRPr="00BF679E">
        <w:rPr>
          <w:lang w:val="en-GB"/>
        </w:rPr>
        <w:t>.</w:t>
      </w:r>
      <w:r w:rsidR="00A817F4">
        <w:rPr>
          <w:lang w:val="en-GB"/>
        </w:rPr>
        <w:t xml:space="preserve"> </w:t>
      </w:r>
      <w:r w:rsidR="00B47D3F" w:rsidRPr="00B47D3F">
        <w:rPr>
          <w:lang w:val="en-GB"/>
        </w:rPr>
        <w:t xml:space="preserve">This issue becomes especially important when chambers follow the same general regulatory concept but differ in practical details. </w:t>
      </w:r>
      <w:r w:rsidR="00AE608A">
        <w:rPr>
          <w:lang w:val="en-GB"/>
        </w:rPr>
        <w:t>Liu et at. (2024) and Liu et al.</w:t>
      </w:r>
      <w:r w:rsidR="00182619">
        <w:rPr>
          <w:lang w:val="en-GB"/>
        </w:rPr>
        <w:t xml:space="preserve"> </w:t>
      </w:r>
      <w:r w:rsidR="00AE608A">
        <w:rPr>
          <w:lang w:val="en-GB"/>
        </w:rPr>
        <w:t>(2022)</w:t>
      </w:r>
      <w:r w:rsidR="00B47D3F" w:rsidRPr="00B47D3F">
        <w:rPr>
          <w:lang w:val="en-GB"/>
        </w:rPr>
        <w:t xml:space="preserve"> have pointed out that operational and </w:t>
      </w:r>
      <w:r w:rsidR="00B47D3F" w:rsidRPr="00B47D3F">
        <w:rPr>
          <w:lang w:val="en-GB"/>
        </w:rPr>
        <w:lastRenderedPageBreak/>
        <w:t>geometric factors such as purge gas flow, insertion depth, and the presence of fans can influence emission measurements, yet these details are not always consistently reported or evaluated.</w:t>
      </w:r>
    </w:p>
    <w:p w14:paraId="38DD939D" w14:textId="77777777" w:rsidR="00B47D3F" w:rsidRDefault="00B47D3F" w:rsidP="00600535">
      <w:pPr>
        <w:pStyle w:val="CETBodytext"/>
        <w:rPr>
          <w:lang w:val="en-GB"/>
        </w:rPr>
      </w:pPr>
    </w:p>
    <w:p w14:paraId="551128AE" w14:textId="149041C8" w:rsidR="00EB4F67" w:rsidRDefault="0070117D" w:rsidP="00EB4F67">
      <w:pPr>
        <w:pStyle w:val="CETBodytext"/>
      </w:pPr>
      <w:r>
        <w:rPr>
          <w:lang w:val="en-GB"/>
        </w:rPr>
        <w:t>Recent</w:t>
      </w:r>
      <w:r w:rsidR="00B47D3F" w:rsidRPr="00B47D3F">
        <w:rPr>
          <w:lang w:val="en-GB"/>
        </w:rPr>
        <w:t xml:space="preserve"> work has reinforced this point by showing that flux chamber configuration can alter measured emissions through changes in turbulence, dilution, and headspace conditions, with sweep flow often emerging as a dominant factor and fan use and chamber volume also contributing to differences in mass transfer behaviour</w:t>
      </w:r>
      <w:r w:rsidR="00A817F4">
        <w:rPr>
          <w:lang w:val="en-GB"/>
        </w:rPr>
        <w:t xml:space="preserve"> (Liu et al., 2022)</w:t>
      </w:r>
      <w:r w:rsidR="00B47D3F" w:rsidRPr="00B47D3F">
        <w:rPr>
          <w:lang w:val="en-GB"/>
        </w:rPr>
        <w:t>.</w:t>
      </w:r>
      <w:r w:rsidR="00A817F4">
        <w:rPr>
          <w:lang w:val="en-GB"/>
        </w:rPr>
        <w:t xml:space="preserve"> </w:t>
      </w:r>
      <w:r w:rsidR="00B47D3F" w:rsidRPr="00B47D3F">
        <w:rPr>
          <w:lang w:val="en-GB"/>
        </w:rPr>
        <w:t xml:space="preserve">For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B47D3F" w:rsidRPr="00B47D3F">
        <w:rPr>
          <w:lang w:val="en-GB"/>
        </w:rPr>
        <w:t>, this discussion is even more relevant because its transfer from liquid to gas is closely linked to mass transfer conditions at the interface</w:t>
      </w:r>
      <w:r w:rsidR="00AE608A">
        <w:rPr>
          <w:lang w:val="en-GB"/>
        </w:rPr>
        <w:t xml:space="preserve"> </w:t>
      </w:r>
      <w:r w:rsidR="00AE608A" w:rsidRPr="00AE608A">
        <w:rPr>
          <w:lang w:val="en-GB"/>
        </w:rPr>
        <w:t>(</w:t>
      </w:r>
      <w:r w:rsidR="001E4F18">
        <w:rPr>
          <w:lang w:val="en-GB"/>
        </w:rPr>
        <w:t>Andreão</w:t>
      </w:r>
      <w:r w:rsidR="00E72674">
        <w:rPr>
          <w:lang w:val="en-GB"/>
        </w:rPr>
        <w:t xml:space="preserve"> </w:t>
      </w:r>
      <w:r w:rsidR="001E4F18">
        <w:rPr>
          <w:lang w:val="en-GB"/>
        </w:rPr>
        <w:t xml:space="preserve">and </w:t>
      </w:r>
      <w:proofErr w:type="spellStart"/>
      <w:r w:rsidR="001E4F18">
        <w:rPr>
          <w:lang w:val="en-GB"/>
        </w:rPr>
        <w:t>Feroni</w:t>
      </w:r>
      <w:proofErr w:type="spellEnd"/>
      <w:r w:rsidR="001E4F18">
        <w:rPr>
          <w:lang w:val="en-GB"/>
        </w:rPr>
        <w:t>, 2022</w:t>
      </w:r>
      <w:r w:rsidR="00E72674">
        <w:rPr>
          <w:lang w:val="en-GB"/>
        </w:rPr>
        <w:t xml:space="preserve">; </w:t>
      </w:r>
      <w:r w:rsidR="00AE608A" w:rsidRPr="00AE608A">
        <w:rPr>
          <w:lang w:val="en-GB"/>
        </w:rPr>
        <w:t>Prata Jr. et al., 2016)</w:t>
      </w:r>
      <w:r w:rsidR="00B47D3F" w:rsidRPr="00B47D3F">
        <w:rPr>
          <w:lang w:val="en-GB"/>
        </w:rPr>
        <w:t xml:space="preserve">. Previous work with the US EPA flux chamber showed that, although the chamber headspace can be reasonably well mixed, local stagnation and concentration build-up may still occur, especially near chamber walls. </w:t>
      </w:r>
      <w:r>
        <w:rPr>
          <w:lang w:val="en-GB"/>
        </w:rPr>
        <w:t xml:space="preserve">They </w:t>
      </w:r>
      <w:r w:rsidR="00B47D3F" w:rsidRPr="00B47D3F">
        <w:rPr>
          <w:lang w:val="en-GB"/>
        </w:rPr>
        <w:t>also showed that the flow generated inside the chamber does not truly reproduce atmospheric boundary-layer conditions, meaning that the measured emission rate may reflect not only source behaviour, but also the hydrodynamic conditions imposed by the device</w:t>
      </w:r>
      <w:r>
        <w:rPr>
          <w:lang w:val="en-GB"/>
        </w:rPr>
        <w:t xml:space="preserve"> (</w:t>
      </w:r>
      <w:r w:rsidRPr="0070117D">
        <w:rPr>
          <w:lang w:val="en-GB"/>
        </w:rPr>
        <w:t>Andre</w:t>
      </w:r>
      <w:r>
        <w:rPr>
          <w:lang w:val="en-GB"/>
        </w:rPr>
        <w:t>ã</w:t>
      </w:r>
      <w:r w:rsidRPr="0070117D">
        <w:rPr>
          <w:lang w:val="en-GB"/>
        </w:rPr>
        <w:t>o et al., 2019</w:t>
      </w:r>
      <w:r>
        <w:rPr>
          <w:lang w:val="en-GB"/>
        </w:rPr>
        <w:t xml:space="preserve">; </w:t>
      </w:r>
      <w:r w:rsidRPr="0070117D">
        <w:rPr>
          <w:lang w:val="en-GB"/>
        </w:rPr>
        <w:t>Prata Jr. et al., 2018</w:t>
      </w:r>
      <w:r>
        <w:rPr>
          <w:lang w:val="en-GB"/>
        </w:rPr>
        <w:t xml:space="preserve">; </w:t>
      </w:r>
      <w:r w:rsidRPr="0070117D">
        <w:rPr>
          <w:lang w:val="en-GB"/>
        </w:rPr>
        <w:t>Prata Jr. et al., 2016</w:t>
      </w:r>
      <w:r>
        <w:rPr>
          <w:lang w:val="en-GB"/>
        </w:rPr>
        <w:t>)</w:t>
      </w:r>
      <w:r w:rsidR="00B47D3F" w:rsidRPr="00B47D3F">
        <w:rPr>
          <w:lang w:val="en-GB"/>
        </w:rPr>
        <w:t>.</w:t>
      </w:r>
      <w:r>
        <w:rPr>
          <w:lang w:val="en-GB"/>
        </w:rPr>
        <w:t xml:space="preserve"> </w:t>
      </w:r>
      <w:r w:rsidR="00EB4F67" w:rsidRPr="00EB4F67">
        <w:t>This helps explain why different chambers may produce different results even when they are based on the same regulatory model. Differences in dome shape, material, intrusion height, and internal fan arrangement may modify internal circulation and, consequently, the overall mass transfer coefficient. In practice, that means two chambers that appear equivalent from a regulatory standpoint may not be equivalent from a hydrodynamic standpoint.</w:t>
      </w:r>
    </w:p>
    <w:p w14:paraId="1769ACB9" w14:textId="77777777" w:rsidR="00DE01FF" w:rsidRPr="00EB4F67" w:rsidRDefault="00DE01FF" w:rsidP="00EB4F67">
      <w:pPr>
        <w:pStyle w:val="CETBodytext"/>
      </w:pPr>
    </w:p>
    <w:p w14:paraId="0E528144" w14:textId="5031EBAB" w:rsidR="00EB4F67" w:rsidRPr="00EB4F67" w:rsidRDefault="00EB4F67" w:rsidP="00EB4F67">
      <w:pPr>
        <w:pStyle w:val="CETBodytext"/>
      </w:pPr>
      <w:r w:rsidRPr="00EB4F67">
        <w:t>In this context, the present study compares two Dynamic Flux Chambers</w:t>
      </w:r>
      <w:r w:rsidR="0070117D">
        <w:t xml:space="preserve"> (DFC)</w:t>
      </w:r>
      <w:r w:rsidRPr="00EB4F67">
        <w:t>, DFC1 and DFC2, both designed according to USEPA principles, to evaluate differences in the overall mass transfer coefficient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0070117D">
        <w:t>)</w:t>
      </w:r>
      <w:r w:rsidRPr="00EB4F67">
        <w:t xml:space="preserve"> of H</w:t>
      </w:r>
      <w:r w:rsidRPr="00EB4F67">
        <w:rPr>
          <w:rFonts w:ascii="Cambria Math" w:hAnsi="Cambria Math" w:cs="Cambria Math"/>
        </w:rPr>
        <w:t>₂</w:t>
      </w:r>
      <w:r w:rsidRPr="00EB4F67">
        <w:t>S under distinct fan configurations. The analysis also considers fan size and flow orientation</w:t>
      </w:r>
      <w:r w:rsidR="0070117D">
        <w:t>.</w:t>
      </w:r>
      <w:r w:rsidRPr="00EB4F67">
        <w:t xml:space="preserve"> By examining these effects experimentally, this study seeks to clarify how </w:t>
      </w:r>
      <w:r w:rsidR="0070117D">
        <w:t>different USEPA chambers</w:t>
      </w:r>
      <w:r w:rsidRPr="00EB4F67">
        <w:t xml:space="preserve"> can influence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A304F9" w:rsidRPr="00EA7D57">
        <w:t xml:space="preserve"> </w:t>
      </w:r>
      <w:r w:rsidRPr="00EB4F67">
        <w:t>mass transfer measurements and to contribute to more consistent interpretation, reporting, and comparison of results obtained with flux chambers.</w:t>
      </w:r>
    </w:p>
    <w:p w14:paraId="5491450A" w14:textId="77777777" w:rsidR="00EB4F67" w:rsidRPr="0070117D" w:rsidRDefault="00EB4F67" w:rsidP="00600535">
      <w:pPr>
        <w:pStyle w:val="CETBodytext"/>
      </w:pPr>
    </w:p>
    <w:p w14:paraId="3DA2106E" w14:textId="77777777" w:rsidR="00EB4F67" w:rsidRDefault="00EB4F67" w:rsidP="00600535">
      <w:pPr>
        <w:pStyle w:val="CETBodytext"/>
        <w:rPr>
          <w:lang w:val="en-GB"/>
        </w:rPr>
      </w:pPr>
    </w:p>
    <w:p w14:paraId="6E643EDD" w14:textId="77777777" w:rsidR="00F4258B" w:rsidRPr="00F4258B" w:rsidRDefault="00F4258B" w:rsidP="007F38D4">
      <w:pPr>
        <w:pStyle w:val="CETBodytext"/>
        <w:spacing w:before="120" w:after="120"/>
        <w:rPr>
          <w:b/>
          <w:bCs/>
        </w:rPr>
      </w:pPr>
      <w:r w:rsidRPr="00F4258B">
        <w:rPr>
          <w:b/>
          <w:bCs/>
        </w:rPr>
        <w:t>2. Methodology</w:t>
      </w:r>
    </w:p>
    <w:p w14:paraId="4E028E7E" w14:textId="77777777" w:rsidR="002142EB" w:rsidRDefault="002142EB" w:rsidP="002142EB">
      <w:pPr>
        <w:pStyle w:val="CETBodytext"/>
      </w:pPr>
      <w:r w:rsidRPr="002142EB">
        <w:t xml:space="preserve">Two dynamic flux chambers were evaluated in this study, here referred to as DFC1 and DFC2. Importantly, both chambers were built according to the USEPA flux chamber geometric specifications, based on the design proposed by </w:t>
      </w:r>
      <w:proofErr w:type="spellStart"/>
      <w:r w:rsidRPr="002142EB">
        <w:t>Kienbusch</w:t>
      </w:r>
      <w:proofErr w:type="spellEnd"/>
      <w:r w:rsidRPr="002142EB">
        <w:t xml:space="preserve"> (1986). Therefore, both devices followed the same standard geometric concept, allowing the comparison to focus on the influence of construction and operational details rather than on differences in the fundamental chamber design.</w:t>
      </w:r>
    </w:p>
    <w:p w14:paraId="482E2B31" w14:textId="77777777" w:rsidR="0070117D" w:rsidRDefault="0070117D" w:rsidP="002142EB">
      <w:pPr>
        <w:pStyle w:val="CETBodytext"/>
      </w:pPr>
    </w:p>
    <w:p w14:paraId="0CF5BD4A" w14:textId="6146EF83" w:rsidR="002B6BD4" w:rsidRDefault="002B6BD4" w:rsidP="002142EB">
      <w:pPr>
        <w:pStyle w:val="CETBodytext"/>
        <w:rPr>
          <w:lang w:val="en-GB"/>
        </w:rPr>
      </w:pPr>
      <w:r w:rsidRPr="002B6BD4">
        <w:rPr>
          <w:lang w:val="en-GB"/>
        </w:rPr>
        <w:t xml:space="preserve">Both chambers had dome-shaped geometry and were operated under the same experimental principle, with sweep gas introduced through the inlet line and withdrawn through the outlet line. The chambers were designed according to the USEPA dynamic flux chamber described by </w:t>
      </w:r>
      <w:proofErr w:type="spellStart"/>
      <w:r w:rsidRPr="002B6BD4">
        <w:rPr>
          <w:lang w:val="en-GB"/>
        </w:rPr>
        <w:t>Kienbusch</w:t>
      </w:r>
      <w:proofErr w:type="spellEnd"/>
      <w:r w:rsidRPr="002B6BD4">
        <w:rPr>
          <w:lang w:val="en-GB"/>
        </w:rPr>
        <w:t xml:space="preserve"> (1986), which has an enclosed surface area of 0.130 m² and an internal volume of approximately 0.030 m³. The chamber base has an internal diameter of approximately 0.4064 m and a height of 0.178 m, supporting a dome of roughly the same diameter. Despite complying with these geometric specifications, the chambers differed in some practical </w:t>
      </w:r>
      <w:proofErr w:type="gramStart"/>
      <w:r w:rsidRPr="002B6BD4">
        <w:rPr>
          <w:lang w:val="en-GB"/>
        </w:rPr>
        <w:t>aspects</w:t>
      </w:r>
      <w:proofErr w:type="gramEnd"/>
      <w:r w:rsidRPr="002B6BD4">
        <w:rPr>
          <w:lang w:val="en-GB"/>
        </w:rPr>
        <w:t>, including construction material. DFC1 consisted of an acrylic dome (</w:t>
      </w:r>
      <w:r>
        <w:t>Figure 1</w:t>
      </w:r>
      <w:r w:rsidR="004C66AD">
        <w:t>.</w:t>
      </w:r>
      <w:r>
        <w:t>a</w:t>
      </w:r>
      <w:r w:rsidRPr="002B6BD4">
        <w:rPr>
          <w:lang w:val="en-GB"/>
        </w:rPr>
        <w:t>), whereas DFC2 consisted of a fiberglass dome (Figure 1</w:t>
      </w:r>
      <w:r w:rsidR="004C66AD">
        <w:rPr>
          <w:lang w:val="en-GB"/>
        </w:rPr>
        <w:t>.</w:t>
      </w:r>
      <w:r w:rsidRPr="002B6BD4">
        <w:rPr>
          <w:lang w:val="en-GB"/>
        </w:rPr>
        <w:t>b). The standard sampling procedure was adopted for both devices. Nitrogen was used as sweep gas, and the flow rate was maintained at 5 L/min. Before each experiment, a stabilization period of 30 min was allowed to minimize transient effects and ensure stable operating conditions.</w:t>
      </w:r>
    </w:p>
    <w:p w14:paraId="6AD3556E" w14:textId="77777777" w:rsidR="009F0BB2" w:rsidRPr="00F4258B" w:rsidRDefault="009F0BB2" w:rsidP="009F0BB2">
      <w:pPr>
        <w:pStyle w:val="CETBodytext"/>
      </w:pPr>
      <w:r w:rsidRPr="00F4258B">
        <w:t xml:space="preserve">Five operating conditions were evaluated. The first corresponded to the chamber without an internal fan. The other four conditions included two 12 V computer fans of different sizes, each tested with upward and downward airflow orientation. The small fan measured 40 × 40 × 10 mm and operated at 6000 rpm, while the large fan measured 80 × 80 × 25 mm and operated at 3100 rpm. The fan was positioned at the center of the chamber, close to the dome. The tested configurations </w:t>
      </w:r>
      <w:proofErr w:type="gramStart"/>
      <w:r w:rsidRPr="00F4258B">
        <w:t>were:</w:t>
      </w:r>
      <w:proofErr w:type="gramEnd"/>
      <w:r w:rsidRPr="00F4258B">
        <w:t xml:space="preserve"> no fan (NF), small fan up (SFU), small fan down (SFD), large fan up (LFU), and large fan down (LFD). </w:t>
      </w:r>
    </w:p>
    <w:p w14:paraId="7F4C4275" w14:textId="77777777" w:rsidR="009F0BB2" w:rsidRDefault="009F0BB2" w:rsidP="002142EB">
      <w:pPr>
        <w:pStyle w:val="CETBodytext"/>
      </w:pPr>
    </w:p>
    <w:p w14:paraId="6542191F" w14:textId="77777777" w:rsidR="009F0BB2" w:rsidRPr="00F4258B" w:rsidRDefault="009F0BB2" w:rsidP="009F0BB2">
      <w:pPr>
        <w:pStyle w:val="CETBodytext"/>
      </w:pPr>
      <w:r w:rsidRPr="00F4258B">
        <w:t xml:space="preserve">Mass transfer experiments were carried out using standard aqueous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EA7D57">
        <w:t xml:space="preserve"> </w:t>
      </w:r>
      <w:r w:rsidRPr="00F4258B">
        <w:t>solutions prepared from sodium sulfide nonahydrate dissolved in deionized or Milli-Q</w:t>
      </w:r>
      <w:r w:rsidRPr="00F4258B">
        <w:rPr>
          <w:rFonts w:cs="Arial"/>
        </w:rPr>
        <w:t>®</w:t>
      </w:r>
      <w:r w:rsidRPr="00F4258B">
        <w:t xml:space="preserve"> water. The target initial concentration was 5 mg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EA7D57">
        <w:t xml:space="preserve"> </w:t>
      </w:r>
      <w:r w:rsidRPr="00F4258B">
        <w:t>/L. Sulfuric acid was added to adjust the solution to pH below 4, ensuring that sulfide remained predominantly in the H</w:t>
      </w:r>
      <w:r w:rsidRPr="00F4258B">
        <w:rPr>
          <w:rFonts w:ascii="Cambria Math" w:hAnsi="Cambria Math" w:cs="Cambria Math"/>
        </w:rPr>
        <w:t>₂</w:t>
      </w:r>
      <w:r w:rsidRPr="00F4258B">
        <w:t>S form and favoring volatilization.</w:t>
      </w:r>
      <w:r>
        <w:t xml:space="preserve"> </w:t>
      </w:r>
      <w:r w:rsidRPr="00F4258B">
        <w:t xml:space="preserve">The solution was transferred to an acrylic tank placed below the flux chamber. The tank diameter was slightly larger than that of the chamber, allowing chamber deployment while minimizing losses outside the enclosed area.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8B6352" w14:paraId="5324CD1C" w14:textId="77777777" w:rsidTr="00CD3D78">
        <w:tc>
          <w:tcPr>
            <w:tcW w:w="4388" w:type="dxa"/>
          </w:tcPr>
          <w:p w14:paraId="0811C930" w14:textId="19902A2B" w:rsidR="008B6352" w:rsidRDefault="008B6352" w:rsidP="00E3675A">
            <w:pPr>
              <w:pStyle w:val="CETBodytext"/>
              <w:jc w:val="center"/>
            </w:pPr>
            <w:r>
              <w:rPr>
                <w:noProof/>
              </w:rPr>
              <w:lastRenderedPageBreak/>
              <w:drawing>
                <wp:inline distT="0" distB="0" distL="0" distR="0" wp14:anchorId="4AAE6659" wp14:editId="20DEB073">
                  <wp:extent cx="1611965" cy="1800000"/>
                  <wp:effectExtent l="0" t="0" r="7620" b="0"/>
                  <wp:docPr id="20583435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43521" name="Imagem 2058343521"/>
                          <pic:cNvPicPr/>
                        </pic:nvPicPr>
                        <pic:blipFill>
                          <a:blip r:embed="rId10"/>
                          <a:stretch>
                            <a:fillRect/>
                          </a:stretch>
                        </pic:blipFill>
                        <pic:spPr>
                          <a:xfrm>
                            <a:off x="0" y="0"/>
                            <a:ext cx="1611965" cy="1800000"/>
                          </a:xfrm>
                          <a:prstGeom prst="rect">
                            <a:avLst/>
                          </a:prstGeom>
                        </pic:spPr>
                      </pic:pic>
                    </a:graphicData>
                  </a:graphic>
                </wp:inline>
              </w:drawing>
            </w:r>
          </w:p>
        </w:tc>
        <w:tc>
          <w:tcPr>
            <w:tcW w:w="4389" w:type="dxa"/>
          </w:tcPr>
          <w:p w14:paraId="2D5FE6C5" w14:textId="14E7530A" w:rsidR="008B6352" w:rsidRDefault="008B6352" w:rsidP="00E3675A">
            <w:pPr>
              <w:pStyle w:val="CETBodytext"/>
              <w:jc w:val="center"/>
            </w:pPr>
            <w:r>
              <w:rPr>
                <w:noProof/>
              </w:rPr>
              <w:drawing>
                <wp:inline distT="0" distB="0" distL="0" distR="0" wp14:anchorId="09695039" wp14:editId="283746EB">
                  <wp:extent cx="1937834" cy="1800000"/>
                  <wp:effectExtent l="0" t="0" r="5715" b="0"/>
                  <wp:docPr id="4034181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8192" name="Imagem 403418192"/>
                          <pic:cNvPicPr/>
                        </pic:nvPicPr>
                        <pic:blipFill>
                          <a:blip r:embed="rId11"/>
                          <a:stretch>
                            <a:fillRect/>
                          </a:stretch>
                        </pic:blipFill>
                        <pic:spPr>
                          <a:xfrm>
                            <a:off x="0" y="0"/>
                            <a:ext cx="1937834" cy="1800000"/>
                          </a:xfrm>
                          <a:prstGeom prst="rect">
                            <a:avLst/>
                          </a:prstGeom>
                        </pic:spPr>
                      </pic:pic>
                    </a:graphicData>
                  </a:graphic>
                </wp:inline>
              </w:drawing>
            </w:r>
          </w:p>
        </w:tc>
      </w:tr>
      <w:tr w:rsidR="008B6352" w14:paraId="4E9C173D" w14:textId="77777777" w:rsidTr="00CD3D78">
        <w:tc>
          <w:tcPr>
            <w:tcW w:w="4388" w:type="dxa"/>
          </w:tcPr>
          <w:p w14:paraId="45DD9831" w14:textId="0DA2F43F" w:rsidR="008B6352" w:rsidRPr="00E3675A" w:rsidRDefault="00E3675A" w:rsidP="00E3675A">
            <w:pPr>
              <w:pStyle w:val="CETBodytext"/>
              <w:jc w:val="center"/>
              <w:rPr>
                <w:b/>
                <w:bCs/>
              </w:rPr>
            </w:pPr>
            <w:r>
              <w:rPr>
                <w:b/>
                <w:bCs/>
              </w:rPr>
              <w:t>(</w:t>
            </w:r>
            <w:r w:rsidR="00B561BE" w:rsidRPr="00E3675A">
              <w:rPr>
                <w:b/>
                <w:bCs/>
              </w:rPr>
              <w:t>a)</w:t>
            </w:r>
          </w:p>
        </w:tc>
        <w:tc>
          <w:tcPr>
            <w:tcW w:w="4389" w:type="dxa"/>
          </w:tcPr>
          <w:p w14:paraId="612474A7" w14:textId="3F80D985" w:rsidR="008B6352" w:rsidRPr="00E3675A" w:rsidRDefault="00E3675A" w:rsidP="00E3675A">
            <w:pPr>
              <w:pStyle w:val="CETBodytext"/>
              <w:jc w:val="center"/>
              <w:rPr>
                <w:b/>
                <w:bCs/>
              </w:rPr>
            </w:pPr>
            <w:r>
              <w:rPr>
                <w:b/>
                <w:bCs/>
              </w:rPr>
              <w:t>(</w:t>
            </w:r>
            <w:r w:rsidR="00B561BE" w:rsidRPr="00E3675A">
              <w:rPr>
                <w:b/>
                <w:bCs/>
              </w:rPr>
              <w:t>b)</w:t>
            </w:r>
          </w:p>
        </w:tc>
      </w:tr>
    </w:tbl>
    <w:p w14:paraId="2BED688B" w14:textId="379AE805" w:rsidR="008B6352" w:rsidRDefault="00B561BE" w:rsidP="002142EB">
      <w:pPr>
        <w:pStyle w:val="CETBodytext"/>
      </w:pPr>
      <w:r w:rsidRPr="00BD077D">
        <w:rPr>
          <w:rStyle w:val="CETCaptionCarattere"/>
        </w:rPr>
        <w:t xml:space="preserve">Figure 1: </w:t>
      </w:r>
      <w:r w:rsidR="00137F80">
        <w:rPr>
          <w:rStyle w:val="CETCaptionCarattere"/>
        </w:rPr>
        <w:t>Dynamic flux chambers</w:t>
      </w:r>
      <w:r w:rsidR="00CD3D78" w:rsidRPr="00CD3D78">
        <w:t xml:space="preserve"> </w:t>
      </w:r>
      <w:r w:rsidR="00CD3D78" w:rsidRPr="00CD3D78">
        <w:rPr>
          <w:rStyle w:val="CETCaptionCarattere"/>
        </w:rPr>
        <w:t>evaluated in this study</w:t>
      </w:r>
      <w:r w:rsidR="00137F80">
        <w:rPr>
          <w:rStyle w:val="CETCaptionCarattere"/>
        </w:rPr>
        <w:t>. (a) DFC1; (b) DFC2.</w:t>
      </w:r>
    </w:p>
    <w:p w14:paraId="7F9CD855" w14:textId="0008230B" w:rsidR="00F4258B" w:rsidRPr="00F4258B" w:rsidRDefault="00F4258B" w:rsidP="00F4258B">
      <w:pPr>
        <w:pStyle w:val="CETBodytext"/>
      </w:pPr>
      <w:r w:rsidRPr="00F4258B">
        <w:t xml:space="preserve">For each run, the flux chamber was positioned above the tank, the nitrogen sweep gas was started, and the system was allowed to stabilize for 30 min. After this period, liquid samples were periodically collected from the tank at fixed </w:t>
      </w:r>
      <w:r w:rsidR="00833729">
        <w:t xml:space="preserve">six minutes intervals. </w:t>
      </w:r>
      <w:r w:rsidRPr="00F4258B">
        <w:t xml:space="preserve"> To preserve sulfide in solution during the analysis, sodium hydroxide solution was added to raise the sample pH to approximately 11–12 before reading. Liquid-phase sulfide concentration was then measured by UV-Vis spectrophotometry at 231 nm. Calibration curves were prepared for each experimental batch using standard solutions with known concentrations. Liquid-phase temperature, chamber headspace temperature, room temperature, and room humidity were monitored during the experiments using digital probe thermometers.</w:t>
      </w:r>
      <w:r w:rsidR="00C04485">
        <w:t xml:space="preserve"> </w:t>
      </w:r>
      <w:r w:rsidR="00C464CE" w:rsidRPr="00C464CE">
        <w:rPr>
          <w:lang w:val="en-GB"/>
        </w:rPr>
        <w:t xml:space="preserve">Each tested condition, corresponding to a specific combination of chamber type and fan configuration, was performed in triplicate, resulting in three independent runs per </w:t>
      </w:r>
      <w:proofErr w:type="gramStart"/>
      <w:r w:rsidR="00C464CE" w:rsidRPr="00C464CE">
        <w:rPr>
          <w:lang w:val="en-GB"/>
        </w:rPr>
        <w:t>condition.</w:t>
      </w:r>
      <w:r w:rsidRPr="00F4258B">
        <w:t>.</w:t>
      </w:r>
      <w:proofErr w:type="gramEnd"/>
      <w:r w:rsidRPr="00F4258B">
        <w:t xml:space="preserve"> </w:t>
      </w:r>
      <w:r w:rsidR="007E1B0B" w:rsidRPr="007E1B0B">
        <w:rPr>
          <w:lang w:val="en-GB"/>
        </w:rPr>
        <w:t xml:space="preserve">The resulting liquid-phase concentration decay curves were used to calculate one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007E1B0B" w:rsidRPr="007E1B0B">
        <w:rPr>
          <w:lang w:val="en-GB"/>
        </w:rPr>
        <w:t xml:space="preserve">value for each independent run. These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007E1B0B" w:rsidRPr="007E1B0B">
        <w:rPr>
          <w:lang w:val="en-GB"/>
        </w:rPr>
        <w:t>values were then used in a two-way ANOVA with replication to evaluate the effects of chamber type and fan configuration, as well as their interaction.</w:t>
      </w:r>
    </w:p>
    <w:p w14:paraId="582A176B" w14:textId="77777777" w:rsidR="0070117D" w:rsidRDefault="0070117D" w:rsidP="00F4258B">
      <w:pPr>
        <w:pStyle w:val="CETBodytext"/>
      </w:pPr>
    </w:p>
    <w:p w14:paraId="6A3AC234" w14:textId="77959375" w:rsidR="00F4258B" w:rsidRDefault="00F4258B" w:rsidP="00F4258B">
      <w:pPr>
        <w:pStyle w:val="CETBodytext"/>
      </w:pPr>
      <w:r w:rsidRPr="00F4258B">
        <w:t xml:space="preserve">The overall mass transfer coefficient in the liquid phase, </w:t>
      </w: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oMath>
      <w:r w:rsidRPr="00F4258B">
        <w:t xml:space="preserve">, was determined from the temporal decay of liquid-phase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A304F9" w:rsidRPr="00EA7D57">
        <w:t xml:space="preserve"> </w:t>
      </w:r>
      <w:r w:rsidRPr="00F4258B">
        <w:t>concentration. The analysis followed the two-resistance framework originally proposed by Lewis and Whitman</w:t>
      </w:r>
      <w:r w:rsidR="0070117D">
        <w:t xml:space="preserve"> (192</w:t>
      </w:r>
      <w:r w:rsidR="007E1B0B">
        <w:t>4</w:t>
      </w:r>
      <w:r w:rsidR="0070117D">
        <w:t>)</w:t>
      </w:r>
      <w:r w:rsidRPr="00F4258B">
        <w:t>, assuming that the liquid phase was well mixed, that the gas-phase concentration at the initial time was negligible, and that concentration changes were tracked only in the liquid phase. Under these assumptions, the decrease in liquid-phase concentration can be expressed as</w:t>
      </w:r>
      <w:r w:rsidR="00053812">
        <w:t xml:space="preserve"> </w:t>
      </w:r>
      <w:r w:rsidR="00865287">
        <w:t>show</w:t>
      </w:r>
      <w:r w:rsidR="00F977BB">
        <w:t>n</w:t>
      </w:r>
      <w:r w:rsidR="00865287">
        <w:t xml:space="preserve"> in Equation 1.</w:t>
      </w:r>
    </w:p>
    <w:p w14:paraId="389F5802" w14:textId="77777777" w:rsidR="00C04485" w:rsidRPr="00F4258B" w:rsidRDefault="00C04485" w:rsidP="00F4258B">
      <w:pPr>
        <w:pStyle w:val="CETBodytext"/>
      </w:pPr>
    </w:p>
    <w:p w14:paraId="6B392B8A" w14:textId="4274DB35" w:rsidR="00F4258B" w:rsidRPr="00F4258B" w:rsidRDefault="00000000" w:rsidP="00F4258B">
      <w:pPr>
        <w:pStyle w:val="CETBodytext"/>
      </w:pPr>
      <m:oMath>
        <m:f>
          <m:fPr>
            <m:ctrlPr>
              <w:rPr>
                <w:rFonts w:ascii="Cambria Math" w:hAnsi="Cambria Math"/>
                <w:lang w:val="pt-BR"/>
              </w:rPr>
            </m:ctrlPr>
          </m:fPr>
          <m:num>
            <m:r>
              <w:rPr>
                <w:rFonts w:ascii="Cambria Math" w:hAnsi="Cambria Math"/>
                <w:lang w:val="pt-BR"/>
              </w:rPr>
              <m:t>d</m:t>
            </m:r>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num>
          <m:den>
            <m:r>
              <w:rPr>
                <w:rFonts w:ascii="Cambria Math" w:hAnsi="Cambria Math"/>
                <w:lang w:val="pt-BR"/>
              </w:rPr>
              <m:t>dt</m:t>
            </m:r>
          </m:den>
        </m:f>
        <m:r>
          <w:rPr>
            <w:rFonts w:ascii="Cambria Math" w:hAnsi="Cambria Math"/>
          </w:rPr>
          <m:t>=-</m:t>
        </m:r>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f>
          <m:fPr>
            <m:ctrlPr>
              <w:rPr>
                <w:rFonts w:ascii="Cambria Math" w:hAnsi="Cambria Math"/>
                <w:lang w:val="pt-BR"/>
              </w:rPr>
            </m:ctrlPr>
          </m:fPr>
          <m:num>
            <m:r>
              <w:rPr>
                <w:rFonts w:ascii="Cambria Math" w:hAnsi="Cambria Math"/>
                <w:lang w:val="pt-BR"/>
              </w:rPr>
              <m:t>A</m:t>
            </m:r>
          </m:num>
          <m:den>
            <m:r>
              <w:rPr>
                <w:rFonts w:ascii="Cambria Math" w:hAnsi="Cambria Math"/>
                <w:lang w:val="pt-BR"/>
              </w:rPr>
              <m:t>V</m:t>
            </m:r>
          </m:den>
        </m:f>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oMath>
      <w:r w:rsidR="00053812" w:rsidRPr="00053812">
        <w:t xml:space="preserve"> </w:t>
      </w:r>
      <w:r w:rsidR="00053812">
        <w:t>(1)</w:t>
      </w:r>
      <w:r w:rsidR="00F4258B" w:rsidRPr="00F4258B">
        <w:br/>
      </w:r>
    </w:p>
    <w:p w14:paraId="0B48477F" w14:textId="5424C44E" w:rsidR="00F4258B" w:rsidRDefault="00F4258B" w:rsidP="00F4258B">
      <w:pPr>
        <w:pStyle w:val="CETBodytext"/>
      </w:pPr>
      <w:r w:rsidRPr="00F4258B">
        <w:t xml:space="preserve">where </w:t>
      </w:r>
      <m:oMath>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oMath>
      <w:r w:rsidRPr="00F4258B">
        <w:t xml:space="preserve">is the liquid-phase concentration, </w:t>
      </w:r>
      <m:oMath>
        <m:r>
          <w:rPr>
            <w:rFonts w:ascii="Cambria Math" w:hAnsi="Cambria Math"/>
            <w:lang w:val="pt-BR"/>
          </w:rPr>
          <m:t>A</m:t>
        </m:r>
      </m:oMath>
      <w:r w:rsidR="0080031B" w:rsidRPr="0080031B">
        <w:t xml:space="preserve"> </w:t>
      </w:r>
      <w:r w:rsidRPr="00F4258B">
        <w:t xml:space="preserve">is the free liquid surface area, </w:t>
      </w:r>
      <m:oMath>
        <m:r>
          <w:rPr>
            <w:rFonts w:ascii="Cambria Math" w:hAnsi="Cambria Math"/>
            <w:lang w:val="pt-BR"/>
          </w:rPr>
          <m:t>V</m:t>
        </m:r>
      </m:oMath>
      <w:r w:rsidRPr="00F4258B">
        <w:t xml:space="preserve">is the liquid volume, and </w:t>
      </w:r>
      <m:oMath>
        <m:r>
          <w:rPr>
            <w:rFonts w:ascii="Cambria Math" w:hAnsi="Cambria Math"/>
            <w:lang w:val="pt-BR"/>
          </w:rPr>
          <m:t>t</m:t>
        </m:r>
      </m:oMath>
      <w:r w:rsidR="0080031B" w:rsidRPr="0080031B">
        <w:t xml:space="preserve"> </w:t>
      </w:r>
      <w:r w:rsidRPr="00F4258B">
        <w:t xml:space="preserve">is time. Integration of this expression </w:t>
      </w:r>
      <w:proofErr w:type="gramStart"/>
      <w:r w:rsidRPr="00F4258B">
        <w:t>gives</w:t>
      </w:r>
      <w:proofErr w:type="gramEnd"/>
      <w:r w:rsidR="00053812">
        <w:t xml:space="preserve"> in Equation 2.</w:t>
      </w:r>
    </w:p>
    <w:p w14:paraId="5456BDE5" w14:textId="77777777" w:rsidR="007E1B0B" w:rsidRDefault="007E1B0B" w:rsidP="00F4258B">
      <w:pPr>
        <w:pStyle w:val="CETBodytext"/>
      </w:pPr>
    </w:p>
    <w:p w14:paraId="6EEB7813" w14:textId="35D4E90A" w:rsidR="00F4258B" w:rsidRPr="00F4258B" w:rsidRDefault="00000000" w:rsidP="00F4258B">
      <w:pPr>
        <w:pStyle w:val="CETBodytext"/>
      </w:pP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r>
          <w:rPr>
            <w:rFonts w:ascii="Cambria Math" w:hAnsi="Cambria Math"/>
          </w:rPr>
          <m:t>=-</m:t>
        </m:r>
        <m:r>
          <m:rPr>
            <m:sty m:val="p"/>
          </m:rPr>
          <w:rPr>
            <w:rFonts w:ascii="Cambria Math" w:hAnsi="Cambria Math"/>
          </w:rPr>
          <m:t>ln</m:t>
        </m:r>
        <m:d>
          <m:dPr>
            <m:ctrlPr>
              <w:rPr>
                <w:rFonts w:ascii="Cambria Math" w:hAnsi="Cambria Math"/>
                <w:lang w:val="pt-BR"/>
              </w:rPr>
            </m:ctrlPr>
          </m:dPr>
          <m:e>
            <m:f>
              <m:fPr>
                <m:ctrlPr>
                  <w:rPr>
                    <w:rFonts w:ascii="Cambria Math" w:hAnsi="Cambria Math"/>
                    <w:lang w:val="pt-BR"/>
                  </w:rPr>
                </m:ctrlPr>
              </m:fPr>
              <m:num>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r>
                  <w:rPr>
                    <w:rFonts w:ascii="Cambria Math" w:hAnsi="Cambria Math"/>
                  </w:rPr>
                  <m:t>(</m:t>
                </m:r>
                <m:r>
                  <w:rPr>
                    <w:rFonts w:ascii="Cambria Math" w:hAnsi="Cambria Math"/>
                    <w:lang w:val="pt-BR"/>
                  </w:rPr>
                  <m:t>t</m:t>
                </m:r>
                <m:r>
                  <w:rPr>
                    <w:rFonts w:ascii="Cambria Math" w:hAnsi="Cambria Math"/>
                  </w:rPr>
                  <m:t>)</m:t>
                </m:r>
              </m:num>
              <m:den>
                <m:sSub>
                  <m:sSubPr>
                    <m:ctrlPr>
                      <w:rPr>
                        <w:rFonts w:ascii="Cambria Math" w:hAnsi="Cambria Math"/>
                        <w:lang w:val="pt-BR"/>
                      </w:rPr>
                    </m:ctrlPr>
                  </m:sSubPr>
                  <m:e>
                    <m:r>
                      <w:rPr>
                        <w:rFonts w:ascii="Cambria Math" w:hAnsi="Cambria Math"/>
                        <w:lang w:val="pt-BR"/>
                      </w:rPr>
                      <m:t>C</m:t>
                    </m:r>
                  </m:e>
                  <m:sub>
                    <m:r>
                      <w:rPr>
                        <w:rFonts w:ascii="Cambria Math" w:hAnsi="Cambria Math"/>
                      </w:rPr>
                      <m:t>0</m:t>
                    </m:r>
                  </m:sub>
                </m:sSub>
              </m:den>
            </m:f>
          </m:e>
        </m:d>
        <m:f>
          <m:fPr>
            <m:ctrlPr>
              <w:rPr>
                <w:rFonts w:ascii="Cambria Math" w:hAnsi="Cambria Math"/>
                <w:lang w:val="pt-BR"/>
              </w:rPr>
            </m:ctrlPr>
          </m:fPr>
          <m:num>
            <m:r>
              <w:rPr>
                <w:rFonts w:ascii="Cambria Math" w:hAnsi="Cambria Math"/>
                <w:lang w:val="pt-BR"/>
              </w:rPr>
              <m:t>V</m:t>
            </m:r>
          </m:num>
          <m:den>
            <m:r>
              <w:rPr>
                <w:rFonts w:ascii="Cambria Math" w:hAnsi="Cambria Math"/>
                <w:lang w:val="pt-BR"/>
              </w:rPr>
              <m:t>At</m:t>
            </m:r>
          </m:den>
        </m:f>
        <m:r>
          <w:rPr>
            <w:rFonts w:ascii="Cambria Math" w:hAnsi="Cambria Math"/>
          </w:rPr>
          <m:t>⁡</m:t>
        </m:r>
      </m:oMath>
      <w:r w:rsidR="00053812" w:rsidRPr="00053812">
        <w:t xml:space="preserve"> </w:t>
      </w:r>
      <w:r w:rsidR="00053812">
        <w:t>(2)</w:t>
      </w:r>
      <w:r w:rsidR="00F4258B" w:rsidRPr="00F4258B">
        <w:br/>
      </w:r>
    </w:p>
    <w:p w14:paraId="5183BD54" w14:textId="4863E356" w:rsidR="00F4258B" w:rsidRPr="00F4258B" w:rsidRDefault="00F4258B" w:rsidP="00F4258B">
      <w:pPr>
        <w:pStyle w:val="CETBodytext"/>
      </w:pPr>
      <w:r w:rsidRPr="00F4258B">
        <w:t xml:space="preserve">where </w:t>
      </w:r>
      <m:oMath>
        <m:sSub>
          <m:sSubPr>
            <m:ctrlPr>
              <w:rPr>
                <w:rFonts w:ascii="Cambria Math" w:hAnsi="Cambria Math"/>
                <w:lang w:val="pt-BR"/>
              </w:rPr>
            </m:ctrlPr>
          </m:sSubPr>
          <m:e>
            <m:r>
              <w:rPr>
                <w:rFonts w:ascii="Cambria Math" w:hAnsi="Cambria Math"/>
                <w:lang w:val="pt-BR"/>
              </w:rPr>
              <m:t>C</m:t>
            </m:r>
          </m:e>
          <m:sub>
            <m:r>
              <w:rPr>
                <w:rFonts w:ascii="Cambria Math" w:hAnsi="Cambria Math"/>
              </w:rPr>
              <m:t>0</m:t>
            </m:r>
          </m:sub>
        </m:sSub>
      </m:oMath>
      <w:r w:rsidRPr="00F4258B">
        <w:t xml:space="preserve">is the initial liquid-phase concentration and </w:t>
      </w:r>
      <m:oMath>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r>
          <w:rPr>
            <w:rFonts w:ascii="Cambria Math" w:hAnsi="Cambria Math"/>
          </w:rPr>
          <m:t>(</m:t>
        </m:r>
        <m:r>
          <w:rPr>
            <w:rFonts w:ascii="Cambria Math" w:hAnsi="Cambria Math"/>
            <w:lang w:val="pt-BR"/>
          </w:rPr>
          <m:t>t</m:t>
        </m:r>
        <m:r>
          <w:rPr>
            <w:rFonts w:ascii="Cambria Math" w:hAnsi="Cambria Math"/>
          </w:rPr>
          <m:t>)</m:t>
        </m:r>
      </m:oMath>
      <w:r w:rsidRPr="00F4258B">
        <w:t xml:space="preserve">is the concentration at time </w:t>
      </w:r>
      <m:oMath>
        <m:r>
          <w:rPr>
            <w:rFonts w:ascii="Cambria Math" w:hAnsi="Cambria Math"/>
            <w:lang w:val="pt-BR"/>
          </w:rPr>
          <m:t>t</m:t>
        </m:r>
      </m:oMath>
      <w:r w:rsidRPr="00F4258B">
        <w:t xml:space="preserve">. Finally, </w:t>
      </w: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oMath>
      <w:r w:rsidRPr="00F4258B">
        <w:t>values were corrected to 25°C using the Schmidt number relationship</w:t>
      </w:r>
      <w:r w:rsidR="00865287">
        <w:t xml:space="preserve"> </w:t>
      </w:r>
      <w:proofErr w:type="gramStart"/>
      <w:r w:rsidR="00865287">
        <w:t>is expressed</w:t>
      </w:r>
      <w:proofErr w:type="gramEnd"/>
      <w:r w:rsidR="00865287">
        <w:t xml:space="preserve"> in Equation 3.</w:t>
      </w:r>
    </w:p>
    <w:p w14:paraId="46032A4A" w14:textId="528C31FC" w:rsidR="00F4258B" w:rsidRPr="00F4258B" w:rsidRDefault="00000000" w:rsidP="00F4258B">
      <w:pPr>
        <w:pStyle w:val="CETBodytext"/>
      </w:pP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r>
              <w:rPr>
                <w:rFonts w:ascii="Cambria Math" w:hAnsi="Cambria Math"/>
              </w:rPr>
              <m:t>,25</m:t>
            </m:r>
          </m:sub>
        </m:sSub>
        <m:r>
          <w:rPr>
            <w:rFonts w:ascii="Cambria Math" w:hAnsi="Cambria Math"/>
          </w:rPr>
          <m:t>=</m:t>
        </m:r>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r>
              <w:rPr>
                <w:rFonts w:ascii="Cambria Math" w:hAnsi="Cambria Math"/>
              </w:rPr>
              <m:t>,</m:t>
            </m:r>
            <m:r>
              <w:rPr>
                <w:rFonts w:ascii="Cambria Math" w:hAnsi="Cambria Math"/>
                <w:lang w:val="pt-BR"/>
              </w:rPr>
              <m:t>T</m:t>
            </m:r>
          </m:sub>
        </m:sSub>
        <m:sSup>
          <m:sSupPr>
            <m:ctrlPr>
              <w:rPr>
                <w:rFonts w:ascii="Cambria Math" w:hAnsi="Cambria Math"/>
                <w:lang w:val="pt-BR"/>
              </w:rPr>
            </m:ctrlPr>
          </m:sSupPr>
          <m:e>
            <m:d>
              <m:dPr>
                <m:ctrlPr>
                  <w:rPr>
                    <w:rFonts w:ascii="Cambria Math" w:hAnsi="Cambria Math"/>
                    <w:lang w:val="pt-BR"/>
                  </w:rPr>
                </m:ctrlPr>
              </m:dPr>
              <m:e>
                <m:f>
                  <m:fPr>
                    <m:ctrlPr>
                      <w:rPr>
                        <w:rFonts w:ascii="Cambria Math" w:hAnsi="Cambria Math"/>
                        <w:lang w:val="pt-BR"/>
                      </w:rPr>
                    </m:ctrlPr>
                  </m:fPr>
                  <m:num>
                    <m:r>
                      <w:rPr>
                        <w:rFonts w:ascii="Cambria Math" w:hAnsi="Cambria Math"/>
                        <w:lang w:val="pt-BR"/>
                      </w:rPr>
                      <m:t>Sc</m:t>
                    </m:r>
                  </m:num>
                  <m:den>
                    <m:r>
                      <w:rPr>
                        <w:rFonts w:ascii="Cambria Math" w:hAnsi="Cambria Math"/>
                        <w:lang w:val="pt-BR"/>
                      </w:rPr>
                      <m:t>S</m:t>
                    </m:r>
                    <m:sSub>
                      <m:sSubPr>
                        <m:ctrlPr>
                          <w:rPr>
                            <w:rFonts w:ascii="Cambria Math" w:hAnsi="Cambria Math"/>
                            <w:lang w:val="pt-BR"/>
                          </w:rPr>
                        </m:ctrlPr>
                      </m:sSubPr>
                      <m:e>
                        <m:r>
                          <w:rPr>
                            <w:rFonts w:ascii="Cambria Math" w:hAnsi="Cambria Math"/>
                            <w:lang w:val="pt-BR"/>
                          </w:rPr>
                          <m:t>c</m:t>
                        </m:r>
                      </m:e>
                      <m:sub>
                        <m:r>
                          <w:rPr>
                            <w:rFonts w:ascii="Cambria Math" w:hAnsi="Cambria Math"/>
                          </w:rPr>
                          <m:t>25</m:t>
                        </m:r>
                      </m:sub>
                    </m:sSub>
                  </m:den>
                </m:f>
              </m:e>
            </m:d>
          </m:e>
          <m:sup>
            <m:r>
              <w:rPr>
                <w:rFonts w:ascii="Cambria Math" w:hAnsi="Cambria Math"/>
              </w:rPr>
              <m:t>-0.5</m:t>
            </m:r>
          </m:sup>
        </m:sSup>
      </m:oMath>
      <w:r w:rsidR="00053812" w:rsidRPr="00C67310">
        <w:t xml:space="preserve"> (3)</w:t>
      </w:r>
      <w:r w:rsidR="00F4258B" w:rsidRPr="00F4258B">
        <w:br/>
      </w:r>
    </w:p>
    <w:p w14:paraId="027A2C82" w14:textId="570DB55D" w:rsidR="00F4258B" w:rsidRDefault="00F4258B" w:rsidP="00F4258B">
      <w:pPr>
        <w:pStyle w:val="CETBodytext"/>
      </w:pPr>
      <w:r w:rsidRPr="00F4258B">
        <w:t xml:space="preserve">where </w:t>
      </w:r>
      <m:oMath>
        <m:r>
          <w:rPr>
            <w:rFonts w:ascii="Cambria Math" w:hAnsi="Cambria Math"/>
            <w:lang w:val="pt-BR"/>
          </w:rPr>
          <m:t>Sc</m:t>
        </m:r>
        <m:r>
          <w:rPr>
            <w:rFonts w:ascii="Cambria Math" w:hAnsi="Cambria Math"/>
          </w:rPr>
          <m:t xml:space="preserve"> </m:t>
        </m:r>
      </m:oMath>
      <w:r w:rsidRPr="00F4258B">
        <w:t>is the Schmidt number, calculated as the ratio between water kinematic viscosity and H</w:t>
      </w:r>
      <w:r w:rsidRPr="00F4258B">
        <w:rPr>
          <w:rFonts w:ascii="Cambria Math" w:hAnsi="Cambria Math" w:cs="Cambria Math"/>
        </w:rPr>
        <w:t>₂</w:t>
      </w:r>
      <w:r w:rsidRPr="00F4258B">
        <w:t>S diffusivity in water. This correction allowed comparison of the results under a common reference temperature</w:t>
      </w:r>
      <w:r w:rsidR="003931C9">
        <w:t>.</w:t>
      </w:r>
    </w:p>
    <w:p w14:paraId="41C7D69C" w14:textId="77777777" w:rsidR="003931C9" w:rsidRDefault="003931C9" w:rsidP="00F4258B">
      <w:pPr>
        <w:pStyle w:val="CETBodytext"/>
      </w:pPr>
    </w:p>
    <w:p w14:paraId="08B79AC2" w14:textId="77777777" w:rsidR="003931C9" w:rsidRDefault="003931C9" w:rsidP="007F38D4">
      <w:pPr>
        <w:pStyle w:val="CETBodytext"/>
        <w:spacing w:before="120" w:after="120"/>
        <w:rPr>
          <w:b/>
          <w:bCs/>
        </w:rPr>
      </w:pPr>
      <w:r w:rsidRPr="003931C9">
        <w:rPr>
          <w:b/>
          <w:bCs/>
        </w:rPr>
        <w:t>3. Results and discussion</w:t>
      </w:r>
    </w:p>
    <w:p w14:paraId="5BBF9D17" w14:textId="77777777" w:rsidR="00B504C5" w:rsidRDefault="00B504C5" w:rsidP="00B504C5">
      <w:pPr>
        <w:pStyle w:val="CETTabletitle"/>
        <w:jc w:val="both"/>
        <w:rPr>
          <w:i w:val="0"/>
        </w:rPr>
      </w:pPr>
      <w:r w:rsidRPr="00B504C5">
        <w:rPr>
          <w:i w:val="0"/>
        </w:rPr>
        <w:t xml:space="preserve">The mean </w:t>
      </w:r>
      <m:oMath>
        <m:sSub>
          <m:sSubPr>
            <m:ctrlPr>
              <w:rPr>
                <w:rFonts w:ascii="Cambria Math" w:hAnsi="Cambria Math"/>
                <w:i w:val="0"/>
              </w:rPr>
            </m:ctrlPr>
          </m:sSubPr>
          <m:e>
            <m:r>
              <w:rPr>
                <w:rFonts w:ascii="Cambria Math" w:hAnsi="Cambria Math"/>
              </w:rPr>
              <m:t>K</m:t>
            </m:r>
          </m:e>
          <m:sub>
            <m:r>
              <w:rPr>
                <w:rFonts w:ascii="Cambria Math" w:hAnsi="Cambria Math"/>
              </w:rPr>
              <m:t>L</m:t>
            </m:r>
          </m:sub>
        </m:sSub>
      </m:oMath>
      <w:r w:rsidRPr="00B504C5">
        <w:rPr>
          <w:i w:val="0"/>
        </w:rPr>
        <w:t xml:space="preserve">values obtained in the experiments are presented in Table 1. Overall, the mass transfer coefficient varied considerably across the tested chamber and fan conditions. Under the no fan condition, DFC1 showed a mean </w:t>
      </w:r>
      <m:oMath>
        <m:sSub>
          <m:sSubPr>
            <m:ctrlPr>
              <w:rPr>
                <w:rFonts w:ascii="Cambria Math" w:hAnsi="Cambria Math"/>
                <w:i w:val="0"/>
              </w:rPr>
            </m:ctrlPr>
          </m:sSubPr>
          <m:e>
            <m:r>
              <w:rPr>
                <w:rFonts w:ascii="Cambria Math" w:hAnsi="Cambria Math"/>
              </w:rPr>
              <m:t>K</m:t>
            </m:r>
          </m:e>
          <m:sub>
            <m:r>
              <w:rPr>
                <w:rFonts w:ascii="Cambria Math" w:hAnsi="Cambria Math"/>
              </w:rPr>
              <m:t>L</m:t>
            </m:r>
          </m:sub>
        </m:sSub>
      </m:oMath>
      <w:r w:rsidRPr="00B504C5">
        <w:rPr>
          <w:i w:val="0"/>
        </w:rPr>
        <w:t xml:space="preserve">of 1.30 cm/h, whereas DFC2 presented a slightly higher mean value of 1.64 cm/h. This difference is noteworthy because both chambers followed the USEPA flux chamber geometry specifications. In other words, </w:t>
      </w:r>
      <w:r w:rsidRPr="00B504C5">
        <w:rPr>
          <w:i w:val="0"/>
        </w:rPr>
        <w:lastRenderedPageBreak/>
        <w:t>the observed variation cannot be explained by one chamber being outside the standard design concept, but rather by differences that may still arise between chambers built under the same regulatory basis.</w:t>
      </w:r>
    </w:p>
    <w:p w14:paraId="733A1CA7" w14:textId="5040E411" w:rsidR="00E94F41" w:rsidRPr="00B57B36" w:rsidRDefault="00E94F41" w:rsidP="00E94F41">
      <w:pPr>
        <w:pStyle w:val="CETTabletitle"/>
      </w:pPr>
      <w:r w:rsidRPr="00B57B36">
        <w:t xml:space="preserve">Table 1: </w:t>
      </w:r>
      <w:r w:rsidR="00442571" w:rsidRPr="00442571">
        <w:t>Mean overall mass transfer coefficient (</w:t>
      </w:r>
      <m:oMath>
        <m:sSub>
          <m:sSubPr>
            <m:ctrlPr>
              <w:rPr>
                <w:rFonts w:ascii="Cambria Math" w:hAnsi="Cambria Math"/>
              </w:rPr>
            </m:ctrlPr>
          </m:sSubPr>
          <m:e>
            <m:r>
              <w:rPr>
                <w:rFonts w:ascii="Cambria Math" w:hAnsi="Cambria Math"/>
              </w:rPr>
              <m:t>K</m:t>
            </m:r>
          </m:e>
          <m:sub>
            <m:r>
              <w:rPr>
                <w:rFonts w:ascii="Cambria Math" w:hAnsi="Cambria Math"/>
              </w:rPr>
              <m:t>L</m:t>
            </m:r>
          </m:sub>
        </m:sSub>
      </m:oMath>
      <w:r w:rsidR="00442571" w:rsidRPr="00442571">
        <w:t xml:space="preserve">) values </w:t>
      </w:r>
      <w:r w:rsidR="00442571">
        <w:t xml:space="preserve">in </w:t>
      </w:r>
      <w:r w:rsidR="00C464CE">
        <w:t>c</w:t>
      </w:r>
      <w:r w:rsidR="00442571">
        <w:t>m/</w:t>
      </w:r>
      <w:r w:rsidR="00C464CE">
        <w:t>h</w:t>
      </w:r>
      <w:r w:rsidR="00C464CE">
        <w:t xml:space="preserve"> </w:t>
      </w:r>
      <w:r w:rsidR="00442571" w:rsidRPr="00442571">
        <w:t>for DFC1 and DFC2 under different fan configurations.</w:t>
      </w:r>
    </w:p>
    <w:tbl>
      <w:tblPr>
        <w:tblW w:w="7824"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304"/>
        <w:gridCol w:w="1304"/>
        <w:gridCol w:w="1304"/>
        <w:gridCol w:w="1304"/>
        <w:gridCol w:w="1304"/>
        <w:gridCol w:w="1304"/>
      </w:tblGrid>
      <w:tr w:rsidR="00E94F41" w:rsidRPr="00B57B36" w14:paraId="01F4CED2" w14:textId="77777777" w:rsidTr="00156D74">
        <w:tc>
          <w:tcPr>
            <w:tcW w:w="1304" w:type="dxa"/>
            <w:tcBorders>
              <w:top w:val="single" w:sz="12" w:space="0" w:color="008000"/>
              <w:bottom w:val="single" w:sz="6" w:space="0" w:color="008000"/>
            </w:tcBorders>
            <w:shd w:val="clear" w:color="auto" w:fill="FFFFFF"/>
          </w:tcPr>
          <w:p w14:paraId="176A22C3" w14:textId="77777777" w:rsidR="00E94F41" w:rsidRPr="00B57B36" w:rsidRDefault="00E94F41" w:rsidP="00156D74">
            <w:pPr>
              <w:pStyle w:val="CETBodytext"/>
              <w:jc w:val="center"/>
              <w:rPr>
                <w:lang w:val="en-GB"/>
              </w:rPr>
            </w:pPr>
            <w:r>
              <w:rPr>
                <w:lang w:val="en-GB"/>
              </w:rPr>
              <w:t>Device</w:t>
            </w:r>
          </w:p>
        </w:tc>
        <w:tc>
          <w:tcPr>
            <w:tcW w:w="1304" w:type="dxa"/>
            <w:tcBorders>
              <w:top w:val="single" w:sz="12" w:space="0" w:color="008000"/>
              <w:bottom w:val="single" w:sz="6" w:space="0" w:color="008000"/>
            </w:tcBorders>
            <w:shd w:val="clear" w:color="auto" w:fill="FFFFFF"/>
          </w:tcPr>
          <w:p w14:paraId="5DC4627D" w14:textId="77777777" w:rsidR="00E94F41" w:rsidRPr="00B57B36" w:rsidRDefault="00E94F41" w:rsidP="00156D74">
            <w:pPr>
              <w:pStyle w:val="CETBodytext"/>
              <w:jc w:val="center"/>
              <w:rPr>
                <w:lang w:val="en-GB"/>
              </w:rPr>
            </w:pPr>
            <w:r>
              <w:rPr>
                <w:lang w:val="en-GB"/>
              </w:rPr>
              <w:t>No fan</w:t>
            </w:r>
          </w:p>
        </w:tc>
        <w:tc>
          <w:tcPr>
            <w:tcW w:w="1304" w:type="dxa"/>
            <w:tcBorders>
              <w:top w:val="single" w:sz="12" w:space="0" w:color="008000"/>
              <w:bottom w:val="single" w:sz="6" w:space="0" w:color="008000"/>
            </w:tcBorders>
            <w:shd w:val="clear" w:color="auto" w:fill="FFFFFF"/>
          </w:tcPr>
          <w:p w14:paraId="52033278" w14:textId="77777777" w:rsidR="00E94F41" w:rsidRPr="00B57B36" w:rsidRDefault="00E94F41" w:rsidP="00156D74">
            <w:pPr>
              <w:pStyle w:val="CETBodytext"/>
              <w:jc w:val="center"/>
              <w:rPr>
                <w:lang w:val="en-GB"/>
              </w:rPr>
            </w:pPr>
            <w:r>
              <w:rPr>
                <w:lang w:val="en-GB"/>
              </w:rPr>
              <w:t>Small fun up</w:t>
            </w:r>
          </w:p>
        </w:tc>
        <w:tc>
          <w:tcPr>
            <w:tcW w:w="1304" w:type="dxa"/>
            <w:tcBorders>
              <w:top w:val="single" w:sz="12" w:space="0" w:color="008000"/>
              <w:bottom w:val="single" w:sz="6" w:space="0" w:color="008000"/>
            </w:tcBorders>
            <w:shd w:val="clear" w:color="auto" w:fill="FFFFFF"/>
          </w:tcPr>
          <w:p w14:paraId="5FB4165C" w14:textId="77777777" w:rsidR="00E94F41" w:rsidRPr="00B57B36" w:rsidRDefault="00E94F41" w:rsidP="00156D74">
            <w:pPr>
              <w:pStyle w:val="CETBodytext"/>
              <w:ind w:right="-1"/>
              <w:jc w:val="center"/>
              <w:rPr>
                <w:rFonts w:cs="Arial"/>
                <w:szCs w:val="18"/>
                <w:lang w:val="en-GB"/>
              </w:rPr>
            </w:pPr>
            <w:r>
              <w:rPr>
                <w:rFonts w:cs="Arial"/>
                <w:szCs w:val="18"/>
                <w:lang w:val="en-GB"/>
              </w:rPr>
              <w:t>Small fan down</w:t>
            </w:r>
          </w:p>
        </w:tc>
        <w:tc>
          <w:tcPr>
            <w:tcW w:w="1304" w:type="dxa"/>
            <w:tcBorders>
              <w:top w:val="single" w:sz="12" w:space="0" w:color="008000"/>
              <w:bottom w:val="single" w:sz="6" w:space="0" w:color="008000"/>
            </w:tcBorders>
            <w:shd w:val="clear" w:color="auto" w:fill="FFFFFF"/>
          </w:tcPr>
          <w:p w14:paraId="1ACAAF6D" w14:textId="77777777" w:rsidR="00E94F41" w:rsidRPr="00B57B36" w:rsidRDefault="00E94F41" w:rsidP="00156D74">
            <w:pPr>
              <w:pStyle w:val="CETBodytext"/>
              <w:ind w:right="-1"/>
              <w:jc w:val="center"/>
              <w:rPr>
                <w:rFonts w:cs="Arial"/>
                <w:szCs w:val="18"/>
                <w:lang w:val="en-GB"/>
              </w:rPr>
            </w:pPr>
            <w:r>
              <w:rPr>
                <w:rFonts w:cs="Arial"/>
                <w:szCs w:val="18"/>
                <w:lang w:val="en-GB"/>
              </w:rPr>
              <w:t>Large fan up</w:t>
            </w:r>
          </w:p>
        </w:tc>
        <w:tc>
          <w:tcPr>
            <w:tcW w:w="1304" w:type="dxa"/>
            <w:tcBorders>
              <w:top w:val="single" w:sz="12" w:space="0" w:color="008000"/>
              <w:bottom w:val="single" w:sz="6" w:space="0" w:color="008000"/>
            </w:tcBorders>
            <w:shd w:val="clear" w:color="auto" w:fill="FFFFFF"/>
          </w:tcPr>
          <w:p w14:paraId="6CB8A091" w14:textId="77777777" w:rsidR="00E94F41" w:rsidRPr="00B57B36" w:rsidRDefault="00E94F41" w:rsidP="00156D74">
            <w:pPr>
              <w:pStyle w:val="CETBodytext"/>
              <w:ind w:right="-1"/>
              <w:jc w:val="center"/>
              <w:rPr>
                <w:rFonts w:cs="Arial"/>
                <w:szCs w:val="18"/>
                <w:lang w:val="en-GB"/>
              </w:rPr>
            </w:pPr>
            <w:r>
              <w:rPr>
                <w:rFonts w:cs="Arial"/>
                <w:szCs w:val="18"/>
                <w:lang w:val="en-GB"/>
              </w:rPr>
              <w:t>Large fan down</w:t>
            </w:r>
          </w:p>
        </w:tc>
      </w:tr>
      <w:tr w:rsidR="00E94F41" w:rsidRPr="00B57B36" w14:paraId="4041A256" w14:textId="77777777" w:rsidTr="00156D74">
        <w:tc>
          <w:tcPr>
            <w:tcW w:w="1304" w:type="dxa"/>
            <w:shd w:val="clear" w:color="auto" w:fill="FFFFFF"/>
          </w:tcPr>
          <w:p w14:paraId="27AEF062" w14:textId="3D943AC4" w:rsidR="00E94F41" w:rsidRPr="00B57B36" w:rsidRDefault="00E94F41" w:rsidP="00156D74">
            <w:pPr>
              <w:pStyle w:val="CETBodytext"/>
              <w:rPr>
                <w:lang w:val="en-GB"/>
              </w:rPr>
            </w:pPr>
            <w:r>
              <w:rPr>
                <w:lang w:val="en-GB"/>
              </w:rPr>
              <w:t>DFC1</w:t>
            </w:r>
          </w:p>
        </w:tc>
        <w:tc>
          <w:tcPr>
            <w:tcW w:w="1304" w:type="dxa"/>
            <w:shd w:val="clear" w:color="auto" w:fill="FFFFFF"/>
          </w:tcPr>
          <w:p w14:paraId="7D48ABE1" w14:textId="383E8F90" w:rsidR="00E94F41" w:rsidRPr="00B57B36" w:rsidRDefault="0018414C" w:rsidP="00156D74">
            <w:pPr>
              <w:pStyle w:val="CETBodytext"/>
              <w:jc w:val="center"/>
              <w:rPr>
                <w:lang w:val="en-GB"/>
              </w:rPr>
            </w:pPr>
            <w:r>
              <w:rPr>
                <w:lang w:val="en-GB"/>
              </w:rPr>
              <w:t>0.94</w:t>
            </w:r>
          </w:p>
        </w:tc>
        <w:tc>
          <w:tcPr>
            <w:tcW w:w="1304" w:type="dxa"/>
            <w:shd w:val="clear" w:color="auto" w:fill="FFFFFF"/>
          </w:tcPr>
          <w:p w14:paraId="67F6C422" w14:textId="188E5AFE" w:rsidR="00E94F41" w:rsidRPr="00B57B36" w:rsidRDefault="00F656AE" w:rsidP="00156D74">
            <w:pPr>
              <w:pStyle w:val="CETBodytext"/>
              <w:jc w:val="center"/>
              <w:rPr>
                <w:lang w:val="en-GB"/>
              </w:rPr>
            </w:pPr>
            <w:r>
              <w:rPr>
                <w:lang w:val="en-GB"/>
              </w:rPr>
              <w:t>2.21</w:t>
            </w:r>
          </w:p>
        </w:tc>
        <w:tc>
          <w:tcPr>
            <w:tcW w:w="1304" w:type="dxa"/>
            <w:shd w:val="clear" w:color="auto" w:fill="FFFFFF"/>
          </w:tcPr>
          <w:p w14:paraId="00CF2DB0" w14:textId="29ED12F4" w:rsidR="00E94F41" w:rsidRPr="00B57B36" w:rsidRDefault="00F656AE" w:rsidP="00156D74">
            <w:pPr>
              <w:pStyle w:val="CETBodytext"/>
              <w:ind w:right="-1"/>
              <w:jc w:val="center"/>
              <w:rPr>
                <w:rFonts w:cs="Arial"/>
                <w:szCs w:val="18"/>
                <w:lang w:val="en-GB"/>
              </w:rPr>
            </w:pPr>
            <w:r>
              <w:rPr>
                <w:rFonts w:cs="Arial"/>
                <w:szCs w:val="18"/>
                <w:lang w:val="en-GB"/>
              </w:rPr>
              <w:t>3.12</w:t>
            </w:r>
          </w:p>
        </w:tc>
        <w:tc>
          <w:tcPr>
            <w:tcW w:w="1304" w:type="dxa"/>
            <w:shd w:val="clear" w:color="auto" w:fill="FFFFFF"/>
          </w:tcPr>
          <w:p w14:paraId="27186A8B" w14:textId="73AB4CEE" w:rsidR="00E94F41" w:rsidRPr="00B57B36" w:rsidRDefault="00F656AE" w:rsidP="00156D74">
            <w:pPr>
              <w:pStyle w:val="CETBodytext"/>
              <w:ind w:right="-1"/>
              <w:jc w:val="center"/>
              <w:rPr>
                <w:rFonts w:cs="Arial"/>
                <w:szCs w:val="18"/>
                <w:lang w:val="en-GB"/>
              </w:rPr>
            </w:pPr>
            <w:r>
              <w:rPr>
                <w:rFonts w:cs="Arial"/>
                <w:szCs w:val="18"/>
                <w:lang w:val="en-GB"/>
              </w:rPr>
              <w:t>5.11</w:t>
            </w:r>
          </w:p>
        </w:tc>
        <w:tc>
          <w:tcPr>
            <w:tcW w:w="1304" w:type="dxa"/>
            <w:shd w:val="clear" w:color="auto" w:fill="FFFFFF"/>
          </w:tcPr>
          <w:p w14:paraId="6EBC1369" w14:textId="578724CA" w:rsidR="00E94F41" w:rsidRPr="00B57B36" w:rsidRDefault="00F656AE" w:rsidP="00156D74">
            <w:pPr>
              <w:pStyle w:val="CETBodytext"/>
              <w:ind w:right="-1"/>
              <w:jc w:val="center"/>
              <w:rPr>
                <w:rFonts w:cs="Arial"/>
                <w:szCs w:val="18"/>
                <w:lang w:val="en-GB"/>
              </w:rPr>
            </w:pPr>
            <w:r>
              <w:rPr>
                <w:rFonts w:cs="Arial"/>
                <w:szCs w:val="18"/>
                <w:lang w:val="en-GB"/>
              </w:rPr>
              <w:t>3.81</w:t>
            </w:r>
          </w:p>
        </w:tc>
      </w:tr>
      <w:tr w:rsidR="00E94F41" w:rsidRPr="00B57B36" w14:paraId="5671CC52" w14:textId="77777777" w:rsidTr="00156D74">
        <w:tc>
          <w:tcPr>
            <w:tcW w:w="1304" w:type="dxa"/>
            <w:shd w:val="clear" w:color="auto" w:fill="FFFFFF"/>
          </w:tcPr>
          <w:p w14:paraId="30FD90CA" w14:textId="7A9F3935" w:rsidR="00E94F41" w:rsidRPr="00B57B36" w:rsidRDefault="00E94F41" w:rsidP="00156D74">
            <w:pPr>
              <w:pStyle w:val="CETBodytext"/>
              <w:ind w:right="-1"/>
              <w:rPr>
                <w:rFonts w:cs="Arial"/>
                <w:szCs w:val="18"/>
                <w:lang w:val="en-GB"/>
              </w:rPr>
            </w:pPr>
            <w:r>
              <w:rPr>
                <w:rFonts w:cs="Arial"/>
                <w:szCs w:val="18"/>
                <w:lang w:val="en-GB"/>
              </w:rPr>
              <w:t>DFC2</w:t>
            </w:r>
          </w:p>
        </w:tc>
        <w:tc>
          <w:tcPr>
            <w:tcW w:w="1304" w:type="dxa"/>
            <w:shd w:val="clear" w:color="auto" w:fill="FFFFFF"/>
          </w:tcPr>
          <w:p w14:paraId="0AA85D2B" w14:textId="772CED5F" w:rsidR="00E94F41" w:rsidRPr="00B57B36" w:rsidRDefault="00F656AE" w:rsidP="00156D74">
            <w:pPr>
              <w:pStyle w:val="CETBodytext"/>
              <w:ind w:right="-1"/>
              <w:jc w:val="center"/>
              <w:rPr>
                <w:rFonts w:cs="Arial"/>
                <w:szCs w:val="18"/>
                <w:lang w:val="en-GB"/>
              </w:rPr>
            </w:pPr>
            <w:r>
              <w:rPr>
                <w:rFonts w:cs="Arial"/>
                <w:szCs w:val="18"/>
                <w:lang w:val="en-GB"/>
              </w:rPr>
              <w:t>1.64</w:t>
            </w:r>
          </w:p>
        </w:tc>
        <w:tc>
          <w:tcPr>
            <w:tcW w:w="1304" w:type="dxa"/>
            <w:shd w:val="clear" w:color="auto" w:fill="FFFFFF"/>
          </w:tcPr>
          <w:p w14:paraId="780AEE8B" w14:textId="7E1A27F6" w:rsidR="00E94F41" w:rsidRPr="00B57B36" w:rsidRDefault="00F656AE" w:rsidP="00156D74">
            <w:pPr>
              <w:pStyle w:val="CETBodytext"/>
              <w:ind w:right="-1"/>
              <w:jc w:val="center"/>
              <w:rPr>
                <w:rFonts w:cs="Arial"/>
                <w:szCs w:val="18"/>
                <w:lang w:val="en-GB"/>
              </w:rPr>
            </w:pPr>
            <w:r>
              <w:rPr>
                <w:rFonts w:cs="Arial"/>
                <w:szCs w:val="18"/>
                <w:lang w:val="en-GB"/>
              </w:rPr>
              <w:t>1.95</w:t>
            </w:r>
          </w:p>
        </w:tc>
        <w:tc>
          <w:tcPr>
            <w:tcW w:w="1304" w:type="dxa"/>
            <w:shd w:val="clear" w:color="auto" w:fill="FFFFFF"/>
          </w:tcPr>
          <w:p w14:paraId="566E45FA" w14:textId="3C52F3BC" w:rsidR="00E94F41" w:rsidRPr="00B57B36" w:rsidRDefault="00F656AE" w:rsidP="00156D74">
            <w:pPr>
              <w:pStyle w:val="CETBodytext"/>
              <w:ind w:right="-1"/>
              <w:jc w:val="center"/>
              <w:rPr>
                <w:rFonts w:cs="Arial"/>
                <w:szCs w:val="18"/>
                <w:lang w:val="en-GB"/>
              </w:rPr>
            </w:pPr>
            <w:r>
              <w:rPr>
                <w:rFonts w:cs="Arial"/>
                <w:szCs w:val="18"/>
                <w:lang w:val="en-GB"/>
              </w:rPr>
              <w:t>2.06</w:t>
            </w:r>
          </w:p>
        </w:tc>
        <w:tc>
          <w:tcPr>
            <w:tcW w:w="1304" w:type="dxa"/>
            <w:shd w:val="clear" w:color="auto" w:fill="FFFFFF"/>
          </w:tcPr>
          <w:p w14:paraId="5F7F6ED8" w14:textId="0EAA64BC" w:rsidR="00E94F41" w:rsidRPr="00B57B36" w:rsidRDefault="00F656AE" w:rsidP="00156D74">
            <w:pPr>
              <w:pStyle w:val="CETBodytext"/>
              <w:ind w:right="-1"/>
              <w:jc w:val="center"/>
              <w:rPr>
                <w:rFonts w:cs="Arial"/>
                <w:szCs w:val="18"/>
                <w:lang w:val="en-GB"/>
              </w:rPr>
            </w:pPr>
            <w:r>
              <w:rPr>
                <w:rFonts w:cs="Arial"/>
                <w:szCs w:val="18"/>
                <w:lang w:val="en-GB"/>
              </w:rPr>
              <w:t>3.15</w:t>
            </w:r>
          </w:p>
        </w:tc>
        <w:tc>
          <w:tcPr>
            <w:tcW w:w="1304" w:type="dxa"/>
            <w:shd w:val="clear" w:color="auto" w:fill="FFFFFF"/>
          </w:tcPr>
          <w:p w14:paraId="36CC4B4E" w14:textId="4D80C1F3" w:rsidR="00E94F41" w:rsidRPr="00B57B36" w:rsidRDefault="00F656AE" w:rsidP="00156D74">
            <w:pPr>
              <w:pStyle w:val="CETBodytext"/>
              <w:ind w:right="-1"/>
              <w:jc w:val="center"/>
              <w:rPr>
                <w:rFonts w:cs="Arial"/>
                <w:szCs w:val="18"/>
                <w:lang w:val="en-GB"/>
              </w:rPr>
            </w:pPr>
            <w:r>
              <w:rPr>
                <w:rFonts w:cs="Arial"/>
                <w:szCs w:val="18"/>
                <w:lang w:val="en-GB"/>
              </w:rPr>
              <w:t>3.64</w:t>
            </w:r>
          </w:p>
        </w:tc>
      </w:tr>
    </w:tbl>
    <w:p w14:paraId="127529BD" w14:textId="77777777" w:rsidR="00EA7D57" w:rsidRDefault="00EA7D57" w:rsidP="00B504C5">
      <w:pPr>
        <w:pStyle w:val="CETTabletitle"/>
        <w:jc w:val="both"/>
        <w:rPr>
          <w:i w:val="0"/>
        </w:rPr>
      </w:pPr>
      <w:r w:rsidRPr="00EA7D57">
        <w:rPr>
          <w:i w:val="0"/>
        </w:rPr>
        <w:t>It is important to note that, although both chambers followed the USEPA guidelines, the dome may exhibit small modifications or surface irregularities that influence the internal chamber geometry. Another relevant factor is the chamber material, since DFC1 is made of acrylic whereas DFC2 is made of fiberglass. The observed difference may therefore also be related to differences in the internal surface characteristics of the chambers, including possible differences in roughness between acrylic and fiberglass. Such differences may affect near-wall flow patterns and local mixing conditions inside the chamber, which in turn can influence the measured mass transfer coefficient. However, this effect was not isolated in the present study and should therefore be interpreted as a plausible contributing factor rather than a confirmed cause.</w:t>
      </w:r>
    </w:p>
    <w:p w14:paraId="589DCE4D" w14:textId="111FF7E1" w:rsidR="00B504C5" w:rsidRDefault="00B504C5" w:rsidP="00B504C5">
      <w:pPr>
        <w:pStyle w:val="CETTabletitle"/>
        <w:jc w:val="both"/>
        <w:rPr>
          <w:i w:val="0"/>
        </w:rPr>
      </w:pPr>
      <w:r w:rsidRPr="00B504C5">
        <w:rPr>
          <w:i w:val="0"/>
        </w:rPr>
        <w:t xml:space="preserve">A two-way ANOVA with replication (Table 2) showed that chamber type, fan configuration, and their interaction significantly affected </w:t>
      </w:r>
      <m:oMath>
        <m:sSub>
          <m:sSubPr>
            <m:ctrlPr>
              <w:rPr>
                <w:rFonts w:ascii="Cambria Math" w:hAnsi="Cambria Math"/>
                <w:i w:val="0"/>
              </w:rPr>
            </m:ctrlPr>
          </m:sSubPr>
          <m:e>
            <m:r>
              <w:rPr>
                <w:rFonts w:ascii="Cambria Math" w:hAnsi="Cambria Math"/>
              </w:rPr>
              <m:t>K</m:t>
            </m:r>
          </m:e>
          <m:sub>
            <m:r>
              <w:rPr>
                <w:rFonts w:ascii="Cambria Math" w:hAnsi="Cambria Math"/>
              </w:rPr>
              <m:t>L</m:t>
            </m:r>
          </m:sub>
        </m:sSub>
      </m:oMath>
      <w:r w:rsidRPr="00B504C5">
        <w:rPr>
          <w:i w:val="0"/>
        </w:rPr>
        <w:t>. The effect of device was significant (</w:t>
      </w:r>
      <m:oMath>
        <m:r>
          <w:rPr>
            <w:rFonts w:ascii="Cambria Math" w:hAnsi="Cambria Math"/>
          </w:rPr>
          <m:t>F=15.87</m:t>
        </m:r>
      </m:oMath>
      <w:r w:rsidRPr="00B504C5">
        <w:rPr>
          <w:i w:val="0"/>
        </w:rPr>
        <w:t xml:space="preserve">, </w:t>
      </w:r>
      <m:oMath>
        <m:r>
          <w:rPr>
            <w:rFonts w:ascii="Cambria Math" w:hAnsi="Cambria Math"/>
          </w:rPr>
          <m:t>p=0.000731</m:t>
        </m:r>
      </m:oMath>
      <w:r w:rsidRPr="00B504C5">
        <w:rPr>
          <w:i w:val="0"/>
        </w:rPr>
        <w:t>), as was the effect of fan configuration (</w:t>
      </w:r>
      <m:oMath>
        <m:r>
          <w:rPr>
            <w:rFonts w:ascii="Cambria Math" w:hAnsi="Cambria Math"/>
          </w:rPr>
          <m:t>F=40.26</m:t>
        </m:r>
      </m:oMath>
      <w:r w:rsidRPr="00B504C5">
        <w:rPr>
          <w:i w:val="0"/>
        </w:rPr>
        <w:t xml:space="preserve">, </w:t>
      </w:r>
      <m:oMath>
        <m:r>
          <w:rPr>
            <w:rFonts w:ascii="Cambria Math" w:hAnsi="Cambria Math"/>
          </w:rPr>
          <m:t>p&lt;0.001</m:t>
        </m:r>
      </m:oMath>
      <w:r w:rsidRPr="00B504C5">
        <w:rPr>
          <w:i w:val="0"/>
        </w:rPr>
        <w:t>). In addition, the interaction between device and fan configuration was also significant (</w:t>
      </w:r>
      <m:oMath>
        <m:r>
          <w:rPr>
            <w:rFonts w:ascii="Cambria Math" w:hAnsi="Cambria Math"/>
          </w:rPr>
          <m:t>F=6.63</m:t>
        </m:r>
      </m:oMath>
      <w:r w:rsidRPr="00B504C5">
        <w:rPr>
          <w:i w:val="0"/>
        </w:rPr>
        <w:t xml:space="preserve">, </w:t>
      </w:r>
      <m:oMath>
        <m:r>
          <w:rPr>
            <w:rFonts w:ascii="Cambria Math" w:hAnsi="Cambria Math"/>
          </w:rPr>
          <m:t>p=0.00145</m:t>
        </m:r>
      </m:oMath>
      <w:r w:rsidRPr="00B504C5">
        <w:rPr>
          <w:i w:val="0"/>
        </w:rPr>
        <w:t>), indicating that the effect of fan setup depended on the chamber type. These results suggest that both the physical characteristics of the chamber and the internal ventilation condition influenced the measured mass transfer coefficient. This interpretation is consistent with previous studies showing that flux chamber measurements are sensitive to operational parameters that modify turbulence, dilution, and headspace conditions. Liu et al. (2024), for example, reported that fan use and headspace volume also contributed to changes in mass transfer behaviour. Although that study focused on VOC emissions from porous media, its conclusions reinforce the broader idea that enclosure-based measurements are strongly affected by internal hydrodynamics. Similarly, Prata Jr. et al. (2016) demonstrated for the US EPA flux chamber that, despite a reasonably mixed headspace, local stagnation and concentration build-up may still occur, especially near the chamber walls, and that the internal flow does not reproduce typical atmospheric boundary-layer conditions.</w:t>
      </w:r>
      <w:r w:rsidR="0037463E">
        <w:rPr>
          <w:i w:val="0"/>
        </w:rPr>
        <w:t xml:space="preserve"> </w:t>
      </w:r>
    </w:p>
    <w:p w14:paraId="5B76269A" w14:textId="222AA237" w:rsidR="00442571" w:rsidRPr="00B57B36" w:rsidRDefault="00442571" w:rsidP="00442571">
      <w:pPr>
        <w:pStyle w:val="CETTabletitle"/>
      </w:pPr>
      <w:r w:rsidRPr="00B57B36">
        <w:t xml:space="preserve">Table </w:t>
      </w:r>
      <w:r>
        <w:t>2</w:t>
      </w:r>
      <w:r w:rsidRPr="00B57B36">
        <w:t xml:space="preserve">: </w:t>
      </w:r>
      <w:r w:rsidRPr="00442571">
        <w:t>Analysis of variance of the effects of chamber type, fan configuration, and their interaction on the overall mass transfer coefficient (</w:t>
      </w:r>
      <m:oMath>
        <m:sSub>
          <m:sSubPr>
            <m:ctrlPr>
              <w:rPr>
                <w:rFonts w:ascii="Cambria Math" w:hAnsi="Cambria Math"/>
              </w:rPr>
            </m:ctrlPr>
          </m:sSubPr>
          <m:e>
            <m:r>
              <w:rPr>
                <w:rFonts w:ascii="Cambria Math" w:hAnsi="Cambria Math"/>
              </w:rPr>
              <m:t>K</m:t>
            </m:r>
          </m:e>
          <m:sub>
            <m:r>
              <w:rPr>
                <w:rFonts w:ascii="Cambria Math" w:hAnsi="Cambria Math"/>
              </w:rPr>
              <m:t>L</m:t>
            </m:r>
          </m:sub>
        </m:sSub>
      </m:oMath>
      <w:r w:rsidRPr="00442571">
        <w:t>).</w:t>
      </w:r>
    </w:p>
    <w:tbl>
      <w:tblPr>
        <w:tblW w:w="7824"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304"/>
        <w:gridCol w:w="1304"/>
        <w:gridCol w:w="1304"/>
        <w:gridCol w:w="1304"/>
        <w:gridCol w:w="1304"/>
        <w:gridCol w:w="1304"/>
      </w:tblGrid>
      <w:tr w:rsidR="00442571" w:rsidRPr="00B57B36" w14:paraId="74AF1CA5" w14:textId="77777777" w:rsidTr="00F829F7">
        <w:tc>
          <w:tcPr>
            <w:tcW w:w="1304" w:type="dxa"/>
            <w:tcBorders>
              <w:top w:val="single" w:sz="12" w:space="0" w:color="008000"/>
              <w:bottom w:val="single" w:sz="6" w:space="0" w:color="008000"/>
            </w:tcBorders>
            <w:shd w:val="clear" w:color="auto" w:fill="FFFFFF"/>
          </w:tcPr>
          <w:p w14:paraId="5EB3C287" w14:textId="0AF29EBD" w:rsidR="00442571" w:rsidRPr="00B57B36" w:rsidRDefault="00442571" w:rsidP="00F829F7">
            <w:pPr>
              <w:pStyle w:val="CETBodytext"/>
              <w:jc w:val="center"/>
              <w:rPr>
                <w:lang w:val="en-GB"/>
              </w:rPr>
            </w:pPr>
            <w:r>
              <w:rPr>
                <w:lang w:val="en-GB"/>
              </w:rPr>
              <w:t>Factor</w:t>
            </w:r>
          </w:p>
        </w:tc>
        <w:tc>
          <w:tcPr>
            <w:tcW w:w="1304" w:type="dxa"/>
            <w:tcBorders>
              <w:top w:val="single" w:sz="12" w:space="0" w:color="008000"/>
              <w:bottom w:val="single" w:sz="6" w:space="0" w:color="008000"/>
            </w:tcBorders>
            <w:shd w:val="clear" w:color="auto" w:fill="FFFFFF"/>
          </w:tcPr>
          <w:p w14:paraId="313A940E" w14:textId="48FBA66F" w:rsidR="00442571" w:rsidRPr="00B57B36" w:rsidRDefault="00442571" w:rsidP="00F829F7">
            <w:pPr>
              <w:pStyle w:val="CETBodytext"/>
              <w:jc w:val="center"/>
              <w:rPr>
                <w:lang w:val="en-GB"/>
              </w:rPr>
            </w:pPr>
            <w:r>
              <w:rPr>
                <w:lang w:val="en-GB"/>
              </w:rPr>
              <w:t>df</w:t>
            </w:r>
          </w:p>
        </w:tc>
        <w:tc>
          <w:tcPr>
            <w:tcW w:w="1304" w:type="dxa"/>
            <w:tcBorders>
              <w:top w:val="single" w:sz="12" w:space="0" w:color="008000"/>
              <w:bottom w:val="single" w:sz="6" w:space="0" w:color="008000"/>
            </w:tcBorders>
            <w:shd w:val="clear" w:color="auto" w:fill="FFFFFF"/>
          </w:tcPr>
          <w:p w14:paraId="2F4E9CDA" w14:textId="4942BD2D" w:rsidR="00442571" w:rsidRPr="00B57B36" w:rsidRDefault="00442571" w:rsidP="00F829F7">
            <w:pPr>
              <w:pStyle w:val="CETBodytext"/>
              <w:jc w:val="center"/>
              <w:rPr>
                <w:lang w:val="en-GB"/>
              </w:rPr>
            </w:pPr>
            <w:r>
              <w:rPr>
                <w:lang w:val="en-GB"/>
              </w:rPr>
              <w:t>SS</w:t>
            </w:r>
          </w:p>
        </w:tc>
        <w:tc>
          <w:tcPr>
            <w:tcW w:w="1304" w:type="dxa"/>
            <w:tcBorders>
              <w:top w:val="single" w:sz="12" w:space="0" w:color="008000"/>
              <w:bottom w:val="single" w:sz="6" w:space="0" w:color="008000"/>
            </w:tcBorders>
            <w:shd w:val="clear" w:color="auto" w:fill="FFFFFF"/>
          </w:tcPr>
          <w:p w14:paraId="75E420C6" w14:textId="276CA337" w:rsidR="00442571" w:rsidRPr="00B57B36" w:rsidRDefault="00442571" w:rsidP="00F829F7">
            <w:pPr>
              <w:pStyle w:val="CETBodytext"/>
              <w:ind w:right="-1"/>
              <w:jc w:val="center"/>
              <w:rPr>
                <w:rFonts w:cs="Arial"/>
                <w:szCs w:val="18"/>
                <w:lang w:val="en-GB"/>
              </w:rPr>
            </w:pPr>
            <w:r>
              <w:rPr>
                <w:rFonts w:cs="Arial"/>
                <w:szCs w:val="18"/>
                <w:lang w:val="en-GB"/>
              </w:rPr>
              <w:t>MS</w:t>
            </w:r>
          </w:p>
        </w:tc>
        <w:tc>
          <w:tcPr>
            <w:tcW w:w="1304" w:type="dxa"/>
            <w:tcBorders>
              <w:top w:val="single" w:sz="12" w:space="0" w:color="008000"/>
              <w:bottom w:val="single" w:sz="6" w:space="0" w:color="008000"/>
            </w:tcBorders>
            <w:shd w:val="clear" w:color="auto" w:fill="FFFFFF"/>
          </w:tcPr>
          <w:p w14:paraId="4BCA3401" w14:textId="0DBE3E30" w:rsidR="00442571" w:rsidRPr="00B57B36" w:rsidRDefault="00442571" w:rsidP="00F829F7">
            <w:pPr>
              <w:pStyle w:val="CETBodytext"/>
              <w:ind w:right="-1"/>
              <w:jc w:val="center"/>
              <w:rPr>
                <w:rFonts w:cs="Arial"/>
                <w:szCs w:val="18"/>
                <w:lang w:val="en-GB"/>
              </w:rPr>
            </w:pPr>
            <w:r>
              <w:rPr>
                <w:rFonts w:cs="Arial"/>
                <w:szCs w:val="18"/>
                <w:lang w:val="en-GB"/>
              </w:rPr>
              <w:t>F</w:t>
            </w:r>
          </w:p>
        </w:tc>
        <w:tc>
          <w:tcPr>
            <w:tcW w:w="1304" w:type="dxa"/>
            <w:tcBorders>
              <w:top w:val="single" w:sz="12" w:space="0" w:color="008000"/>
              <w:bottom w:val="single" w:sz="6" w:space="0" w:color="008000"/>
            </w:tcBorders>
            <w:shd w:val="clear" w:color="auto" w:fill="FFFFFF"/>
          </w:tcPr>
          <w:p w14:paraId="2739EFBE" w14:textId="33EB9565" w:rsidR="00442571" w:rsidRPr="00B57B36" w:rsidRDefault="00F656AE" w:rsidP="00F829F7">
            <w:pPr>
              <w:pStyle w:val="CETBodytext"/>
              <w:ind w:right="-1"/>
              <w:jc w:val="center"/>
              <w:rPr>
                <w:rFonts w:cs="Arial"/>
                <w:szCs w:val="18"/>
                <w:lang w:val="en-GB"/>
              </w:rPr>
            </w:pPr>
            <w:r>
              <w:rPr>
                <w:rFonts w:cs="Arial"/>
                <w:szCs w:val="18"/>
                <w:lang w:val="en-GB"/>
              </w:rPr>
              <w:t>p-value</w:t>
            </w:r>
          </w:p>
        </w:tc>
      </w:tr>
      <w:tr w:rsidR="00442571" w:rsidRPr="00B57B36" w14:paraId="678C33EB" w14:textId="77777777" w:rsidTr="00F829F7">
        <w:tc>
          <w:tcPr>
            <w:tcW w:w="1304" w:type="dxa"/>
            <w:shd w:val="clear" w:color="auto" w:fill="FFFFFF"/>
          </w:tcPr>
          <w:p w14:paraId="7CEAD0DC" w14:textId="2D09CA4A" w:rsidR="00442571" w:rsidRPr="00B57B36" w:rsidRDefault="00442571" w:rsidP="00F829F7">
            <w:pPr>
              <w:pStyle w:val="CETBodytext"/>
              <w:rPr>
                <w:lang w:val="en-GB"/>
              </w:rPr>
            </w:pPr>
            <w:r>
              <w:rPr>
                <w:lang w:val="en-GB"/>
              </w:rPr>
              <w:t>Device</w:t>
            </w:r>
          </w:p>
        </w:tc>
        <w:tc>
          <w:tcPr>
            <w:tcW w:w="1304" w:type="dxa"/>
            <w:shd w:val="clear" w:color="auto" w:fill="FFFFFF"/>
          </w:tcPr>
          <w:p w14:paraId="575B8FEA" w14:textId="1E2E623A" w:rsidR="00442571" w:rsidRPr="00B57B36" w:rsidRDefault="00442571" w:rsidP="00F829F7">
            <w:pPr>
              <w:pStyle w:val="CETBodytext"/>
              <w:jc w:val="center"/>
              <w:rPr>
                <w:lang w:val="en-GB"/>
              </w:rPr>
            </w:pPr>
            <w:r>
              <w:rPr>
                <w:lang w:val="en-GB"/>
              </w:rPr>
              <w:t>1</w:t>
            </w:r>
          </w:p>
        </w:tc>
        <w:tc>
          <w:tcPr>
            <w:tcW w:w="1304" w:type="dxa"/>
            <w:shd w:val="clear" w:color="auto" w:fill="FFFFFF"/>
          </w:tcPr>
          <w:p w14:paraId="6EACF7EB" w14:textId="2B33060E" w:rsidR="00442571" w:rsidRPr="00B57B36" w:rsidRDefault="00233872" w:rsidP="00F829F7">
            <w:pPr>
              <w:pStyle w:val="CETBodytext"/>
              <w:jc w:val="center"/>
              <w:rPr>
                <w:lang w:val="en-GB"/>
              </w:rPr>
            </w:pPr>
            <w:r>
              <w:rPr>
                <w:lang w:val="en-GB"/>
              </w:rPr>
              <w:t>2.9328</w:t>
            </w:r>
          </w:p>
        </w:tc>
        <w:tc>
          <w:tcPr>
            <w:tcW w:w="1304" w:type="dxa"/>
            <w:shd w:val="clear" w:color="auto" w:fill="FFFFFF"/>
          </w:tcPr>
          <w:p w14:paraId="7CAFF27F" w14:textId="2FD86F6E" w:rsidR="00442571" w:rsidRPr="00B57B36" w:rsidRDefault="00233872" w:rsidP="00F829F7">
            <w:pPr>
              <w:pStyle w:val="CETBodytext"/>
              <w:ind w:right="-1"/>
              <w:jc w:val="center"/>
              <w:rPr>
                <w:rFonts w:cs="Arial"/>
                <w:szCs w:val="18"/>
                <w:lang w:val="en-GB"/>
              </w:rPr>
            </w:pPr>
            <w:r>
              <w:rPr>
                <w:rFonts w:cs="Arial"/>
                <w:szCs w:val="18"/>
                <w:lang w:val="en-GB"/>
              </w:rPr>
              <w:t>2.9328</w:t>
            </w:r>
          </w:p>
        </w:tc>
        <w:tc>
          <w:tcPr>
            <w:tcW w:w="1304" w:type="dxa"/>
            <w:shd w:val="clear" w:color="auto" w:fill="FFFFFF"/>
          </w:tcPr>
          <w:p w14:paraId="04F6E35B" w14:textId="74E58845" w:rsidR="00442571" w:rsidRPr="00B57B36" w:rsidRDefault="00F656AE" w:rsidP="00F829F7">
            <w:pPr>
              <w:pStyle w:val="CETBodytext"/>
              <w:ind w:right="-1"/>
              <w:jc w:val="center"/>
              <w:rPr>
                <w:rFonts w:cs="Arial"/>
                <w:szCs w:val="18"/>
                <w:lang w:val="en-GB"/>
              </w:rPr>
            </w:pPr>
            <w:r>
              <w:rPr>
                <w:rFonts w:cs="Arial"/>
                <w:szCs w:val="18"/>
                <w:lang w:val="en-GB"/>
              </w:rPr>
              <w:t>15.87</w:t>
            </w:r>
          </w:p>
        </w:tc>
        <w:tc>
          <w:tcPr>
            <w:tcW w:w="1304" w:type="dxa"/>
            <w:shd w:val="clear" w:color="auto" w:fill="FFFFFF"/>
          </w:tcPr>
          <w:p w14:paraId="0E7CDF39" w14:textId="533DC7B3" w:rsidR="00442571" w:rsidRPr="00B57B36" w:rsidRDefault="00F656AE" w:rsidP="00F829F7">
            <w:pPr>
              <w:pStyle w:val="CETBodytext"/>
              <w:ind w:right="-1"/>
              <w:jc w:val="center"/>
              <w:rPr>
                <w:rFonts w:cs="Arial"/>
                <w:szCs w:val="18"/>
                <w:lang w:val="en-GB"/>
              </w:rPr>
            </w:pPr>
            <w:r>
              <w:rPr>
                <w:rFonts w:cs="Arial"/>
                <w:szCs w:val="18"/>
                <w:lang w:val="en-GB"/>
              </w:rPr>
              <w:t>0.000731</w:t>
            </w:r>
          </w:p>
        </w:tc>
      </w:tr>
      <w:tr w:rsidR="00442571" w:rsidRPr="00B57B36" w14:paraId="31CD04E8" w14:textId="77777777" w:rsidTr="00F829F7">
        <w:tc>
          <w:tcPr>
            <w:tcW w:w="1304" w:type="dxa"/>
            <w:shd w:val="clear" w:color="auto" w:fill="FFFFFF"/>
          </w:tcPr>
          <w:p w14:paraId="23B77542" w14:textId="70A17DD8" w:rsidR="00442571" w:rsidRDefault="00442571" w:rsidP="00F829F7">
            <w:pPr>
              <w:pStyle w:val="CETBodytext"/>
              <w:rPr>
                <w:lang w:val="en-GB"/>
              </w:rPr>
            </w:pPr>
            <w:r>
              <w:rPr>
                <w:lang w:val="en-GB"/>
              </w:rPr>
              <w:t>Fan</w:t>
            </w:r>
          </w:p>
        </w:tc>
        <w:tc>
          <w:tcPr>
            <w:tcW w:w="1304" w:type="dxa"/>
            <w:shd w:val="clear" w:color="auto" w:fill="FFFFFF"/>
          </w:tcPr>
          <w:p w14:paraId="501A28DC" w14:textId="747B2030" w:rsidR="00442571" w:rsidRDefault="00442571" w:rsidP="00F829F7">
            <w:pPr>
              <w:pStyle w:val="CETBodytext"/>
              <w:jc w:val="center"/>
              <w:rPr>
                <w:lang w:val="en-GB"/>
              </w:rPr>
            </w:pPr>
            <w:r>
              <w:rPr>
                <w:lang w:val="en-GB"/>
              </w:rPr>
              <w:t>4</w:t>
            </w:r>
          </w:p>
        </w:tc>
        <w:tc>
          <w:tcPr>
            <w:tcW w:w="1304" w:type="dxa"/>
            <w:shd w:val="clear" w:color="auto" w:fill="FFFFFF"/>
          </w:tcPr>
          <w:p w14:paraId="169E6F7E" w14:textId="24AA14CC" w:rsidR="00442571" w:rsidRDefault="00233872" w:rsidP="00F829F7">
            <w:pPr>
              <w:pStyle w:val="CETBodytext"/>
              <w:jc w:val="center"/>
              <w:rPr>
                <w:lang w:val="en-GB"/>
              </w:rPr>
            </w:pPr>
            <w:r>
              <w:rPr>
                <w:lang w:val="en-GB"/>
              </w:rPr>
              <w:t>29.7664</w:t>
            </w:r>
          </w:p>
        </w:tc>
        <w:tc>
          <w:tcPr>
            <w:tcW w:w="1304" w:type="dxa"/>
            <w:shd w:val="clear" w:color="auto" w:fill="FFFFFF"/>
          </w:tcPr>
          <w:p w14:paraId="5727FA02" w14:textId="6F983712" w:rsidR="00442571" w:rsidRDefault="00233872" w:rsidP="00F829F7">
            <w:pPr>
              <w:pStyle w:val="CETBodytext"/>
              <w:ind w:right="-1"/>
              <w:jc w:val="center"/>
              <w:rPr>
                <w:rFonts w:cs="Arial"/>
                <w:szCs w:val="18"/>
                <w:lang w:val="en-GB"/>
              </w:rPr>
            </w:pPr>
            <w:r>
              <w:rPr>
                <w:rFonts w:cs="Arial"/>
                <w:szCs w:val="18"/>
                <w:lang w:val="en-GB"/>
              </w:rPr>
              <w:t>7.44416</w:t>
            </w:r>
          </w:p>
        </w:tc>
        <w:tc>
          <w:tcPr>
            <w:tcW w:w="1304" w:type="dxa"/>
            <w:shd w:val="clear" w:color="auto" w:fill="FFFFFF"/>
          </w:tcPr>
          <w:p w14:paraId="33AEF246" w14:textId="5C32D475" w:rsidR="00442571" w:rsidRDefault="00F656AE" w:rsidP="00F829F7">
            <w:pPr>
              <w:pStyle w:val="CETBodytext"/>
              <w:ind w:right="-1"/>
              <w:jc w:val="center"/>
              <w:rPr>
                <w:rFonts w:cs="Arial"/>
                <w:szCs w:val="18"/>
                <w:lang w:val="en-GB"/>
              </w:rPr>
            </w:pPr>
            <w:r>
              <w:rPr>
                <w:rFonts w:cs="Arial"/>
                <w:szCs w:val="18"/>
                <w:lang w:val="en-GB"/>
              </w:rPr>
              <w:t>40.26</w:t>
            </w:r>
          </w:p>
        </w:tc>
        <w:tc>
          <w:tcPr>
            <w:tcW w:w="1304" w:type="dxa"/>
            <w:shd w:val="clear" w:color="auto" w:fill="FFFFFF"/>
          </w:tcPr>
          <w:p w14:paraId="59912F36" w14:textId="1EDEE18D" w:rsidR="00442571" w:rsidRDefault="00F656AE" w:rsidP="00F829F7">
            <w:pPr>
              <w:pStyle w:val="CETBodytext"/>
              <w:ind w:right="-1"/>
              <w:jc w:val="center"/>
              <w:rPr>
                <w:rFonts w:cs="Arial"/>
                <w:szCs w:val="18"/>
                <w:lang w:val="en-GB"/>
              </w:rPr>
            </w:pPr>
            <w:r>
              <w:rPr>
                <w:rFonts w:cs="Arial"/>
                <w:szCs w:val="18"/>
                <w:lang w:val="en-GB"/>
              </w:rPr>
              <w:t>2.68E-09</w:t>
            </w:r>
          </w:p>
        </w:tc>
      </w:tr>
      <w:tr w:rsidR="00442571" w:rsidRPr="00B57B36" w14:paraId="0FB08B65" w14:textId="77777777" w:rsidTr="00F829F7">
        <w:tc>
          <w:tcPr>
            <w:tcW w:w="1304" w:type="dxa"/>
            <w:shd w:val="clear" w:color="auto" w:fill="FFFFFF"/>
          </w:tcPr>
          <w:p w14:paraId="74985405" w14:textId="42CA2F18" w:rsidR="00442571" w:rsidRDefault="00442571" w:rsidP="00F829F7">
            <w:pPr>
              <w:pStyle w:val="CETBodytext"/>
              <w:rPr>
                <w:lang w:val="en-GB"/>
              </w:rPr>
            </w:pPr>
            <w:r>
              <w:rPr>
                <w:lang w:val="en-GB"/>
              </w:rPr>
              <w:t>Device vs fan</w:t>
            </w:r>
          </w:p>
        </w:tc>
        <w:tc>
          <w:tcPr>
            <w:tcW w:w="1304" w:type="dxa"/>
            <w:shd w:val="clear" w:color="auto" w:fill="FFFFFF"/>
          </w:tcPr>
          <w:p w14:paraId="12DC3B68" w14:textId="328EB877" w:rsidR="00442571" w:rsidRDefault="00442571" w:rsidP="00F829F7">
            <w:pPr>
              <w:pStyle w:val="CETBodytext"/>
              <w:jc w:val="center"/>
              <w:rPr>
                <w:lang w:val="en-GB"/>
              </w:rPr>
            </w:pPr>
            <w:r>
              <w:rPr>
                <w:lang w:val="en-GB"/>
              </w:rPr>
              <w:t>4</w:t>
            </w:r>
          </w:p>
        </w:tc>
        <w:tc>
          <w:tcPr>
            <w:tcW w:w="1304" w:type="dxa"/>
            <w:shd w:val="clear" w:color="auto" w:fill="FFFFFF"/>
          </w:tcPr>
          <w:p w14:paraId="25DFB45D" w14:textId="39501EB3" w:rsidR="00442571" w:rsidRDefault="00233872" w:rsidP="00F829F7">
            <w:pPr>
              <w:pStyle w:val="CETBodytext"/>
              <w:jc w:val="center"/>
              <w:rPr>
                <w:lang w:val="en-GB"/>
              </w:rPr>
            </w:pPr>
            <w:r>
              <w:rPr>
                <w:lang w:val="en-GB"/>
              </w:rPr>
              <w:t>4.9004</w:t>
            </w:r>
          </w:p>
        </w:tc>
        <w:tc>
          <w:tcPr>
            <w:tcW w:w="1304" w:type="dxa"/>
            <w:shd w:val="clear" w:color="auto" w:fill="FFFFFF"/>
          </w:tcPr>
          <w:p w14:paraId="12171460" w14:textId="4995E7FC" w:rsidR="00442571" w:rsidRDefault="00233872" w:rsidP="00F829F7">
            <w:pPr>
              <w:pStyle w:val="CETBodytext"/>
              <w:ind w:right="-1"/>
              <w:jc w:val="center"/>
              <w:rPr>
                <w:rFonts w:cs="Arial"/>
                <w:szCs w:val="18"/>
                <w:lang w:val="en-GB"/>
              </w:rPr>
            </w:pPr>
            <w:r>
              <w:rPr>
                <w:rFonts w:cs="Arial"/>
                <w:szCs w:val="18"/>
                <w:lang w:val="en-GB"/>
              </w:rPr>
              <w:t>1.2251</w:t>
            </w:r>
          </w:p>
        </w:tc>
        <w:tc>
          <w:tcPr>
            <w:tcW w:w="1304" w:type="dxa"/>
            <w:shd w:val="clear" w:color="auto" w:fill="FFFFFF"/>
          </w:tcPr>
          <w:p w14:paraId="1A757062" w14:textId="79BD79C5" w:rsidR="00442571" w:rsidRDefault="00F656AE" w:rsidP="00F829F7">
            <w:pPr>
              <w:pStyle w:val="CETBodytext"/>
              <w:ind w:right="-1"/>
              <w:jc w:val="center"/>
              <w:rPr>
                <w:rFonts w:cs="Arial"/>
                <w:szCs w:val="18"/>
                <w:lang w:val="en-GB"/>
              </w:rPr>
            </w:pPr>
            <w:r>
              <w:rPr>
                <w:rFonts w:cs="Arial"/>
                <w:szCs w:val="18"/>
                <w:lang w:val="en-GB"/>
              </w:rPr>
              <w:t>6.63</w:t>
            </w:r>
          </w:p>
        </w:tc>
        <w:tc>
          <w:tcPr>
            <w:tcW w:w="1304" w:type="dxa"/>
            <w:shd w:val="clear" w:color="auto" w:fill="FFFFFF"/>
          </w:tcPr>
          <w:p w14:paraId="26651A59" w14:textId="6669FDB1" w:rsidR="00442571" w:rsidRDefault="00F656AE" w:rsidP="00F829F7">
            <w:pPr>
              <w:pStyle w:val="CETBodytext"/>
              <w:ind w:right="-1"/>
              <w:jc w:val="center"/>
              <w:rPr>
                <w:rFonts w:cs="Arial"/>
                <w:szCs w:val="18"/>
                <w:lang w:val="en-GB"/>
              </w:rPr>
            </w:pPr>
            <w:r>
              <w:rPr>
                <w:rFonts w:cs="Arial"/>
                <w:szCs w:val="18"/>
                <w:lang w:val="en-GB"/>
              </w:rPr>
              <w:t>0.00145</w:t>
            </w:r>
          </w:p>
        </w:tc>
      </w:tr>
      <w:tr w:rsidR="00442571" w:rsidRPr="00B57B36" w14:paraId="5A47E122" w14:textId="77777777" w:rsidTr="00F829F7">
        <w:tc>
          <w:tcPr>
            <w:tcW w:w="1304" w:type="dxa"/>
            <w:shd w:val="clear" w:color="auto" w:fill="FFFFFF"/>
          </w:tcPr>
          <w:p w14:paraId="2EE5875F" w14:textId="0F060D15" w:rsidR="00442571" w:rsidRDefault="00442571" w:rsidP="00F829F7">
            <w:pPr>
              <w:pStyle w:val="CETBodytext"/>
              <w:rPr>
                <w:lang w:val="en-GB"/>
              </w:rPr>
            </w:pPr>
            <w:r>
              <w:rPr>
                <w:lang w:val="en-GB"/>
              </w:rPr>
              <w:t>Error</w:t>
            </w:r>
          </w:p>
        </w:tc>
        <w:tc>
          <w:tcPr>
            <w:tcW w:w="1304" w:type="dxa"/>
            <w:shd w:val="clear" w:color="auto" w:fill="FFFFFF"/>
          </w:tcPr>
          <w:p w14:paraId="36872087" w14:textId="59B11F3F" w:rsidR="00442571" w:rsidRDefault="00442571" w:rsidP="00F829F7">
            <w:pPr>
              <w:pStyle w:val="CETBodytext"/>
              <w:jc w:val="center"/>
              <w:rPr>
                <w:lang w:val="en-GB"/>
              </w:rPr>
            </w:pPr>
            <w:r>
              <w:rPr>
                <w:lang w:val="en-GB"/>
              </w:rPr>
              <w:t>20</w:t>
            </w:r>
          </w:p>
        </w:tc>
        <w:tc>
          <w:tcPr>
            <w:tcW w:w="1304" w:type="dxa"/>
            <w:shd w:val="clear" w:color="auto" w:fill="FFFFFF"/>
          </w:tcPr>
          <w:p w14:paraId="78F7ACC9" w14:textId="0DB8D138" w:rsidR="00442571" w:rsidRDefault="00233872" w:rsidP="00F829F7">
            <w:pPr>
              <w:pStyle w:val="CETBodytext"/>
              <w:jc w:val="center"/>
              <w:rPr>
                <w:lang w:val="en-GB"/>
              </w:rPr>
            </w:pPr>
            <w:r>
              <w:rPr>
                <w:lang w:val="en-GB"/>
              </w:rPr>
              <w:t>3.6966</w:t>
            </w:r>
          </w:p>
        </w:tc>
        <w:tc>
          <w:tcPr>
            <w:tcW w:w="1304" w:type="dxa"/>
            <w:shd w:val="clear" w:color="auto" w:fill="FFFFFF"/>
          </w:tcPr>
          <w:p w14:paraId="50ACA1BD" w14:textId="110BFB5E" w:rsidR="00442571" w:rsidRDefault="00233872" w:rsidP="00F829F7">
            <w:pPr>
              <w:pStyle w:val="CETBodytext"/>
              <w:ind w:right="-1"/>
              <w:jc w:val="center"/>
              <w:rPr>
                <w:rFonts w:cs="Arial"/>
                <w:szCs w:val="18"/>
                <w:lang w:val="en-GB"/>
              </w:rPr>
            </w:pPr>
            <w:r>
              <w:rPr>
                <w:rFonts w:cs="Arial"/>
                <w:szCs w:val="18"/>
                <w:lang w:val="en-GB"/>
              </w:rPr>
              <w:t>0.1848</w:t>
            </w:r>
          </w:p>
        </w:tc>
        <w:tc>
          <w:tcPr>
            <w:tcW w:w="1304" w:type="dxa"/>
            <w:shd w:val="clear" w:color="auto" w:fill="FFFFFF"/>
          </w:tcPr>
          <w:p w14:paraId="09C5C048" w14:textId="77777777" w:rsidR="00442571" w:rsidRDefault="00442571" w:rsidP="00F829F7">
            <w:pPr>
              <w:pStyle w:val="CETBodytext"/>
              <w:ind w:right="-1"/>
              <w:jc w:val="center"/>
              <w:rPr>
                <w:rFonts w:cs="Arial"/>
                <w:szCs w:val="18"/>
                <w:lang w:val="en-GB"/>
              </w:rPr>
            </w:pPr>
          </w:p>
        </w:tc>
        <w:tc>
          <w:tcPr>
            <w:tcW w:w="1304" w:type="dxa"/>
            <w:shd w:val="clear" w:color="auto" w:fill="FFFFFF"/>
          </w:tcPr>
          <w:p w14:paraId="026E3DDC" w14:textId="77777777" w:rsidR="00442571" w:rsidRDefault="00442571" w:rsidP="00F829F7">
            <w:pPr>
              <w:pStyle w:val="CETBodytext"/>
              <w:ind w:right="-1"/>
              <w:jc w:val="center"/>
              <w:rPr>
                <w:rFonts w:cs="Arial"/>
                <w:szCs w:val="18"/>
                <w:lang w:val="en-GB"/>
              </w:rPr>
            </w:pPr>
          </w:p>
        </w:tc>
      </w:tr>
    </w:tbl>
    <w:p w14:paraId="12081765" w14:textId="77777777" w:rsidR="00442571" w:rsidRDefault="00442571" w:rsidP="003931C9">
      <w:pPr>
        <w:pStyle w:val="CETBodytext"/>
      </w:pPr>
    </w:p>
    <w:p w14:paraId="2900F363" w14:textId="0F17E66D" w:rsidR="00442571" w:rsidRDefault="00442571" w:rsidP="003931C9">
      <w:pPr>
        <w:pStyle w:val="CETBodytext"/>
      </w:pPr>
      <w:r>
        <w:rPr>
          <w:lang w:val="en-GB"/>
        </w:rPr>
        <w:t>F</w:t>
      </w:r>
      <w:r w:rsidRPr="00442571">
        <w:rPr>
          <w:lang w:val="en-GB"/>
        </w:rPr>
        <w:t>igure</w:t>
      </w:r>
      <w:r w:rsidR="0015438E">
        <w:rPr>
          <w:lang w:val="en-GB"/>
        </w:rPr>
        <w:t xml:space="preserve"> 2</w:t>
      </w:r>
      <w:r w:rsidRPr="00442571">
        <w:rPr>
          <w:lang w:val="en-GB"/>
        </w:rPr>
        <w:t xml:space="preserve"> </w:t>
      </w:r>
      <w:r w:rsidR="00B504C5" w:rsidRPr="00B504C5">
        <w:rPr>
          <w:lang w:val="en-GB"/>
        </w:rPr>
        <w:t>highlights clear differences in</w:t>
      </w:r>
      <w:r w:rsidR="00B504C5">
        <w:rPr>
          <w:lang w:val="en-GB"/>
        </w:rPr>
        <w:t xml:space="preserve">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442571">
        <w:rPr>
          <w:lang w:val="en-GB"/>
        </w:rPr>
        <w:t xml:space="preserve">values across both chamber types and fan configurations. Overall, DFC1 produced higher mass transfer coefficients than DFC2 under most of the tested conditions, with the largest differences observed for </w:t>
      </w:r>
      <w:r w:rsidRPr="0015438E">
        <w:rPr>
          <w:lang w:val="en-GB"/>
        </w:rPr>
        <w:t xml:space="preserve">small fan down, large fan up, and large fan down. For both chambers, the presence of internal ventilation increased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15438E">
        <w:rPr>
          <w:lang w:val="en-GB"/>
        </w:rPr>
        <w:t>compared with the no fan condition, indicating that air circulation inside the chamber enhanced mass transfer. Among all configurations, large fan up</w:t>
      </w:r>
      <w:r w:rsidRPr="00442571">
        <w:rPr>
          <w:lang w:val="en-GB"/>
        </w:rPr>
        <w:t xml:space="preserve"> yielded the highest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442571">
        <w:rPr>
          <w:lang w:val="en-GB"/>
        </w:rPr>
        <w:t xml:space="preserve">values, particularly for DFC1, suggesting that this setup promoted greater renewal at the interface and reduced resistance to transfer. In contrast, </w:t>
      </w:r>
      <w:r w:rsidRPr="0015438E">
        <w:rPr>
          <w:lang w:val="en-GB"/>
        </w:rPr>
        <w:t>under the no fan and small fan up conditions</w:t>
      </w:r>
      <w:r w:rsidRPr="00442571">
        <w:rPr>
          <w:lang w:val="en-GB"/>
        </w:rPr>
        <w:t>, the differences between DFC1 and DFC2 were smaller, indicating a more similar response between the two chambers. Taken together, the figure confirms that both chamber type and fan configuration influenced the experimentally measured mass transfer behaviour.</w:t>
      </w:r>
    </w:p>
    <w:p w14:paraId="00E53ACD" w14:textId="77777777" w:rsidR="008F2783" w:rsidRDefault="008F2783" w:rsidP="003931C9">
      <w:pPr>
        <w:pStyle w:val="CETBodytext"/>
      </w:pPr>
    </w:p>
    <w:p w14:paraId="7E82F44D" w14:textId="77777777" w:rsidR="004B5C1A" w:rsidRPr="003931C9" w:rsidRDefault="004B5C1A" w:rsidP="004B5C1A">
      <w:pPr>
        <w:pStyle w:val="CETBodytext"/>
      </w:pPr>
      <w:r w:rsidRPr="003931C9">
        <w:t xml:space="preserve">Overall, the results demonstrate that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Pr="003931C9">
        <w:t xml:space="preserve"> mass transfer measurements are sensitive to flux chamber operating conditions, even when the chambers follow the same USEPA geometric specifications. This is an important methodological finding, because it shows that differences in measured </w:t>
      </w: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oMath>
      <w:r w:rsidRPr="003931C9">
        <w:t xml:space="preserve">may arise even among chambers </w:t>
      </w:r>
      <w:r w:rsidRPr="003931C9">
        <w:lastRenderedPageBreak/>
        <w:t xml:space="preserve">designed under the same regulatory framework. </w:t>
      </w:r>
      <w:r>
        <w:rPr>
          <w:lang w:val="en-GB"/>
        </w:rPr>
        <w:t>T</w:t>
      </w:r>
      <w:r w:rsidRPr="00B504C5">
        <w:rPr>
          <w:lang w:val="en-GB"/>
        </w:rPr>
        <w:t xml:space="preserve">hese findings support the view that measured </w:t>
      </w:r>
      <m:oMath>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L</m:t>
            </m:r>
          </m:sub>
        </m:sSub>
      </m:oMath>
      <w:r w:rsidRPr="00B504C5">
        <w:rPr>
          <w:lang w:val="en-GB"/>
        </w:rPr>
        <w:t>values are not only a function of the emitting surface itself, but also of the hydrodynamic environment created by the chamber configuration.</w:t>
      </w:r>
    </w:p>
    <w:p w14:paraId="1FABBBB7" w14:textId="77777777" w:rsidR="008F2783" w:rsidRDefault="008F2783" w:rsidP="003931C9">
      <w:pPr>
        <w:pStyle w:val="CETBodytext"/>
      </w:pPr>
    </w:p>
    <w:p w14:paraId="1A6311BF" w14:textId="380A0AB3" w:rsidR="008F2783" w:rsidRDefault="00B504C5" w:rsidP="0015438E">
      <w:pPr>
        <w:pStyle w:val="CETBodytext"/>
        <w:jc w:val="center"/>
      </w:pPr>
      <w:r>
        <w:rPr>
          <w:noProof/>
        </w:rPr>
        <w:drawing>
          <wp:inline distT="0" distB="0" distL="0" distR="0" wp14:anchorId="7449371C" wp14:editId="07EAE04A">
            <wp:extent cx="4032424" cy="2429934"/>
            <wp:effectExtent l="0" t="0" r="6350" b="8890"/>
            <wp:docPr id="17608640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6408" name="Imagem 176086408"/>
                    <pic:cNvPicPr/>
                  </pic:nvPicPr>
                  <pic:blipFill rotWithShape="1">
                    <a:blip r:embed="rId12"/>
                    <a:srcRect b="3562"/>
                    <a:stretch>
                      <a:fillRect/>
                    </a:stretch>
                  </pic:blipFill>
                  <pic:spPr bwMode="auto">
                    <a:xfrm>
                      <a:off x="0" y="0"/>
                      <a:ext cx="4032936" cy="2430243"/>
                    </a:xfrm>
                    <a:prstGeom prst="rect">
                      <a:avLst/>
                    </a:prstGeom>
                    <a:ln>
                      <a:noFill/>
                    </a:ln>
                    <a:extLst>
                      <a:ext uri="{53640926-AAD7-44D8-BBD7-CCE9431645EC}">
                        <a14:shadowObscured xmlns:a14="http://schemas.microsoft.com/office/drawing/2010/main"/>
                      </a:ext>
                    </a:extLst>
                  </pic:spPr>
                </pic:pic>
              </a:graphicData>
            </a:graphic>
          </wp:inline>
        </w:drawing>
      </w:r>
    </w:p>
    <w:p w14:paraId="1147B92D" w14:textId="4046EC09" w:rsidR="0015438E" w:rsidRPr="0015438E" w:rsidRDefault="0015438E" w:rsidP="0015438E">
      <w:pPr>
        <w:pStyle w:val="CETBodytext"/>
        <w:rPr>
          <w:rStyle w:val="CETCaptionCarattere"/>
        </w:rPr>
      </w:pPr>
      <w:r w:rsidRPr="0015438E">
        <w:rPr>
          <w:rStyle w:val="CETCaptionCarattere"/>
        </w:rPr>
        <w:t xml:space="preserve">Figure </w:t>
      </w:r>
      <w:r>
        <w:rPr>
          <w:rStyle w:val="CETCaptionCarattere"/>
        </w:rPr>
        <w:t>2</w:t>
      </w:r>
      <w:r w:rsidR="00944510">
        <w:rPr>
          <w:rStyle w:val="CETCaptionCarattere"/>
        </w:rPr>
        <w:t>:</w:t>
      </w:r>
      <w:r w:rsidRPr="0015438E">
        <w:rPr>
          <w:rStyle w:val="CETCaptionCarattere"/>
        </w:rPr>
        <w:t xml:space="preserve"> Distribution of the overall mass transfer coefficient (</w:t>
      </w:r>
      <m:oMath>
        <m:sSub>
          <m:sSubPr>
            <m:ctrlPr>
              <w:rPr>
                <w:rStyle w:val="CETCaptionCarattere"/>
                <w:rFonts w:ascii="Cambria Math" w:hAnsi="Cambria Math"/>
                <w:i w:val="0"/>
              </w:rPr>
            </m:ctrlPr>
          </m:sSubPr>
          <m:e>
            <m:r>
              <w:rPr>
                <w:rStyle w:val="CETCaptionCarattere"/>
                <w:rFonts w:ascii="Cambria Math" w:hAnsi="Cambria Math"/>
              </w:rPr>
              <m:t>K</m:t>
            </m:r>
          </m:e>
          <m:sub>
            <m:r>
              <w:rPr>
                <w:rStyle w:val="CETCaptionCarattere"/>
                <w:rFonts w:ascii="Cambria Math" w:hAnsi="Cambria Math"/>
              </w:rPr>
              <m:t>L</m:t>
            </m:r>
          </m:sub>
        </m:sSub>
      </m:oMath>
      <w:r w:rsidRPr="0015438E">
        <w:rPr>
          <w:rStyle w:val="CETCaptionCarattere"/>
        </w:rPr>
        <w:t xml:space="preserve">) for DFC1 and DFC2 under different fan configurations. Points represent individual replicates, and boxplots summarize the variation within each </w:t>
      </w:r>
      <w:r>
        <w:rPr>
          <w:rStyle w:val="CETCaptionCarattere"/>
        </w:rPr>
        <w:t>setup.</w:t>
      </w:r>
    </w:p>
    <w:p w14:paraId="7526DC76" w14:textId="77777777" w:rsidR="008F2783" w:rsidRDefault="008F2783" w:rsidP="003931C9">
      <w:pPr>
        <w:pStyle w:val="CETBodytext"/>
      </w:pPr>
    </w:p>
    <w:p w14:paraId="0782E807" w14:textId="77777777" w:rsidR="004F77FC" w:rsidRPr="004F77FC" w:rsidRDefault="004F77FC" w:rsidP="007F38D4">
      <w:pPr>
        <w:pStyle w:val="CETBodytext"/>
        <w:spacing w:before="120" w:after="120"/>
        <w:rPr>
          <w:b/>
          <w:bCs/>
        </w:rPr>
      </w:pPr>
      <w:r w:rsidRPr="004F77FC">
        <w:rPr>
          <w:b/>
          <w:bCs/>
        </w:rPr>
        <w:t>4. Conclusion</w:t>
      </w:r>
    </w:p>
    <w:p w14:paraId="644EBCCC" w14:textId="77777777" w:rsidR="00FB4871" w:rsidRDefault="00FB4871" w:rsidP="00EA7D57">
      <w:pPr>
        <w:pStyle w:val="CETBodytext"/>
      </w:pPr>
    </w:p>
    <w:p w14:paraId="78E1F792" w14:textId="746EBE4A" w:rsidR="00EA7D57" w:rsidRDefault="0083226A" w:rsidP="00EA7D57">
      <w:pPr>
        <w:pStyle w:val="CETBodytext"/>
      </w:pPr>
      <w:r w:rsidRPr="0083226A">
        <w:t>The results showed that the measured H</w:t>
      </w:r>
      <w:r w:rsidRPr="0083226A">
        <w:rPr>
          <w:rFonts w:ascii="Cambria Math" w:hAnsi="Cambria Math" w:cs="Cambria Math"/>
        </w:rPr>
        <w:t>₂</w:t>
      </w:r>
      <w:r w:rsidRPr="0083226A">
        <w:t>S overall mass transfer coefficient was significantly affected by both chamber type and internal ventilation condition, even though both devices followed the USEPA flux chamber geometric specifications. Under the no fan condition, the mean K</w:t>
      </w:r>
      <w:r w:rsidRPr="00BF1C0A">
        <w:rPr>
          <w:vertAlign w:val="subscript"/>
        </w:rPr>
        <w:t>L</w:t>
      </w:r>
      <w:r w:rsidRPr="0083226A">
        <w:t xml:space="preserve"> was 0.94 cm/h for DFC1 and 1.64 cm/h for DFC2. With internal ventilation, the measured values increased in both chambers, but the maximum response differed between devices. For DFC1, the highest K</w:t>
      </w:r>
      <w:r w:rsidRPr="00BF1C0A">
        <w:rPr>
          <w:vertAlign w:val="subscript"/>
        </w:rPr>
        <w:t>L</w:t>
      </w:r>
      <w:r w:rsidRPr="0083226A">
        <w:t xml:space="preserve"> was observed under the large fan up configuration, reaching 5.11 cm/h, whereas for DFC2 the highest value was obtained under the large fan down configuration, reaching 3.64 cm/h. The two-way ANOVA confirmed that chamber type (F = 15.87, p = 0.000731), fan configuration (F = 40.26, p &lt; 0.001), and their interaction (F = 6.63, p = 0.00145) all had a significant effect on K</w:t>
      </w:r>
      <w:r w:rsidRPr="007F053D">
        <w:rPr>
          <w:vertAlign w:val="subscript"/>
        </w:rPr>
        <w:t>L</w:t>
      </w:r>
      <w:r w:rsidRPr="0083226A">
        <w:t>, showing that the influence of fan setup depended on the chamber used.</w:t>
      </w:r>
    </w:p>
    <w:p w14:paraId="7D3E0CA5" w14:textId="77777777" w:rsidR="00BF1C0A" w:rsidRPr="00EA7D57" w:rsidRDefault="00BF1C0A" w:rsidP="00EA7D57">
      <w:pPr>
        <w:pStyle w:val="CETBodytext"/>
      </w:pPr>
    </w:p>
    <w:p w14:paraId="0072A233" w14:textId="3641354D" w:rsidR="00EA7D57" w:rsidRPr="00EA7D57" w:rsidRDefault="00EA7D57" w:rsidP="00EA7D57">
      <w:pPr>
        <w:pStyle w:val="CETBodytext"/>
      </w:pPr>
      <w:r w:rsidRPr="00EA7D57">
        <w:t xml:space="preserve">These findings have an important methodological implication. Differences in measured </w:t>
      </w: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oMath>
      <w:r w:rsidRPr="00EA7D57">
        <w:t xml:space="preserve">were observed even between chambers built under the same regulatory concept, indicating that compliance with USEPA geometric specifications alone does not ensure equivalent mass transfer conditions. The highest contrast between chambers was found under the large fan up condition, where DFC1 reached 5.11 cm/h and DFC2 3.15 cm/h, while under no fan the values were much closer. This pattern indicates that construction details and internal hydrodynamic conditions can substantially alter the measured transfer coefficient. Therefore, </w:t>
      </w: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607F56" w:rsidRPr="003931C9">
        <w:t xml:space="preserve"> </w:t>
      </w:r>
      <w:r w:rsidRPr="00EA7D57">
        <w:t>mass transfer measurements obtained with dynamic flux chambers should be interpreted with caution, and parameters such as chamber type, internal ventilation, and construction characteristics should be clearly reported to improve comparability across studies.</w:t>
      </w:r>
    </w:p>
    <w:p w14:paraId="758948DA" w14:textId="77777777" w:rsidR="004F77FC" w:rsidRPr="006D664D" w:rsidRDefault="004F77FC" w:rsidP="00600535">
      <w:pPr>
        <w:pStyle w:val="CETBodytext"/>
      </w:pPr>
    </w:p>
    <w:p w14:paraId="242A0BFF" w14:textId="77777777" w:rsidR="00607F56" w:rsidRPr="00280FAF" w:rsidRDefault="00607F56" w:rsidP="00607F56">
      <w:pPr>
        <w:pStyle w:val="CETHeadingxx"/>
        <w:rPr>
          <w:lang w:val="en-GB"/>
        </w:rPr>
        <w:sectPr w:rsidR="00607F56" w:rsidRPr="00280FAF" w:rsidSect="00607F56">
          <w:type w:val="continuous"/>
          <w:pgSz w:w="11906" w:h="16838" w:code="9"/>
          <w:pgMar w:top="1701" w:right="1418" w:bottom="1701" w:left="1701" w:header="1701" w:footer="0" w:gutter="0"/>
          <w:cols w:space="708"/>
          <w:formProt w:val="0"/>
          <w:titlePg/>
          <w:docGrid w:linePitch="360"/>
        </w:sectPr>
      </w:pPr>
      <w:r>
        <w:t>Nomenclature</w:t>
      </w:r>
    </w:p>
    <w:p w14:paraId="5D82A8E5" w14:textId="77777777" w:rsidR="0080031B" w:rsidRDefault="0080031B" w:rsidP="0080031B">
      <w:pPr>
        <w:pStyle w:val="CETBodytext"/>
        <w:jc w:val="left"/>
      </w:pPr>
      <m:oMath>
        <m:r>
          <w:rPr>
            <w:rFonts w:ascii="Cambria Math" w:hAnsi="Cambria Math"/>
            <w:lang w:val="pt-BR"/>
          </w:rPr>
          <m:t>A</m:t>
        </m:r>
      </m:oMath>
      <w:r w:rsidRPr="0080031B">
        <w:t xml:space="preserve"> </w:t>
      </w:r>
      <w:r w:rsidRPr="00280FAF">
        <w:rPr>
          <w:rFonts w:eastAsia="SimSun"/>
        </w:rPr>
        <w:t>–</w:t>
      </w:r>
      <w:r>
        <w:rPr>
          <w:rFonts w:eastAsia="SimSun"/>
        </w:rPr>
        <w:t xml:space="preserve"> </w:t>
      </w:r>
      <w:r w:rsidRPr="00F4258B">
        <w:t>liquid surface area,</w:t>
      </w:r>
      <w:r>
        <w:t xml:space="preserve"> m</w:t>
      </w:r>
    </w:p>
    <w:p w14:paraId="0B2A9A8E" w14:textId="604F86B6" w:rsidR="0080031B" w:rsidRPr="0080031B" w:rsidRDefault="00000000" w:rsidP="0080031B">
      <w:pPr>
        <w:pStyle w:val="CETBodytext"/>
        <w:jc w:val="left"/>
      </w:pPr>
      <m:oMath>
        <m:sSub>
          <m:sSubPr>
            <m:ctrlPr>
              <w:rPr>
                <w:rFonts w:ascii="Cambria Math" w:hAnsi="Cambria Math"/>
                <w:lang w:val="pt-BR"/>
              </w:rPr>
            </m:ctrlPr>
          </m:sSubPr>
          <m:e>
            <m:r>
              <w:rPr>
                <w:rFonts w:ascii="Cambria Math" w:hAnsi="Cambria Math"/>
                <w:lang w:val="pt-BR"/>
              </w:rPr>
              <m:t>C</m:t>
            </m:r>
          </m:e>
          <m:sub>
            <m:r>
              <w:rPr>
                <w:rFonts w:ascii="Cambria Math" w:hAnsi="Cambria Math"/>
              </w:rPr>
              <m:t>0</m:t>
            </m:r>
          </m:sub>
        </m:sSub>
      </m:oMath>
      <w:r w:rsidR="0080031B" w:rsidRPr="007F053D">
        <w:rPr>
          <w:rFonts w:eastAsia="SimSun"/>
        </w:rPr>
        <w:t xml:space="preserve"> </w:t>
      </w:r>
      <w:r w:rsidR="0080031B" w:rsidRPr="00280FAF">
        <w:rPr>
          <w:rFonts w:eastAsia="SimSun"/>
        </w:rPr>
        <w:t>–</w:t>
      </w:r>
      <w:r w:rsidR="0080031B">
        <w:rPr>
          <w:rFonts w:eastAsia="SimSun"/>
        </w:rPr>
        <w:t xml:space="preserve"> </w:t>
      </w:r>
      <w:r w:rsidR="0080031B" w:rsidRPr="00F4258B">
        <w:t>initial liquid-phase concentration</w:t>
      </w:r>
      <w:r w:rsidR="0080031B">
        <w:t>, mg/L</w:t>
      </w:r>
    </w:p>
    <w:p w14:paraId="677A7193" w14:textId="3AA29B3F" w:rsidR="0080031B" w:rsidRDefault="00000000" w:rsidP="0080031B">
      <w:pPr>
        <w:pStyle w:val="CETBodytext"/>
        <w:jc w:val="left"/>
      </w:pPr>
      <m:oMath>
        <m:sSub>
          <m:sSubPr>
            <m:ctrlPr>
              <w:rPr>
                <w:rFonts w:ascii="Cambria Math" w:hAnsi="Cambria Math"/>
                <w:lang w:val="pt-BR"/>
              </w:rPr>
            </m:ctrlPr>
          </m:sSubPr>
          <m:e>
            <m:r>
              <w:rPr>
                <w:rFonts w:ascii="Cambria Math" w:hAnsi="Cambria Math"/>
                <w:lang w:val="pt-BR"/>
              </w:rPr>
              <m:t>C</m:t>
            </m:r>
          </m:e>
          <m:sub>
            <m:r>
              <w:rPr>
                <w:rFonts w:ascii="Cambria Math" w:hAnsi="Cambria Math"/>
                <w:lang w:val="pt-BR"/>
              </w:rPr>
              <m:t>L</m:t>
            </m:r>
          </m:sub>
        </m:sSub>
      </m:oMath>
      <w:r w:rsidR="0080031B" w:rsidRPr="0080031B">
        <w:rPr>
          <w:rFonts w:eastAsia="SimSun"/>
        </w:rPr>
        <w:t xml:space="preserve"> </w:t>
      </w:r>
      <w:r w:rsidR="0080031B" w:rsidRPr="00280FAF">
        <w:rPr>
          <w:rFonts w:eastAsia="SimSun"/>
        </w:rPr>
        <w:t>–</w:t>
      </w:r>
      <w:r w:rsidR="0080031B">
        <w:rPr>
          <w:rFonts w:eastAsia="SimSun"/>
        </w:rPr>
        <w:t xml:space="preserve"> </w:t>
      </w:r>
      <w:r w:rsidR="0080031B" w:rsidRPr="00F4258B">
        <w:t>liquid-phase concentration,</w:t>
      </w:r>
      <w:r w:rsidR="0080031B">
        <w:t xml:space="preserve"> mg/L</w:t>
      </w:r>
      <w:r w:rsidR="0080031B" w:rsidRPr="00F4258B">
        <w:t xml:space="preserve"> </w:t>
      </w:r>
    </w:p>
    <w:p w14:paraId="36FD0776" w14:textId="410515B5" w:rsidR="00607F56" w:rsidRDefault="00607F56" w:rsidP="00607F56">
      <w:pPr>
        <w:pStyle w:val="CETBodytext"/>
        <w:jc w:val="left"/>
        <w:rPr>
          <w:rFonts w:eastAsia="SimSun"/>
        </w:rPr>
      </w:pPr>
      <w:r w:rsidRPr="00EA7D57">
        <w:t>DFC1</w:t>
      </w:r>
      <w:r>
        <w:t xml:space="preserve"> </w:t>
      </w:r>
      <w:r w:rsidRPr="00280FAF">
        <w:rPr>
          <w:rFonts w:eastAsia="SimSun"/>
        </w:rPr>
        <w:t>–</w:t>
      </w:r>
      <w:r>
        <w:rPr>
          <w:rFonts w:eastAsia="SimSun"/>
        </w:rPr>
        <w:t xml:space="preserve"> Dynamic flux chamber 1</w:t>
      </w:r>
    </w:p>
    <w:p w14:paraId="1A86263E" w14:textId="68EA90DA" w:rsidR="00607F56" w:rsidRDefault="00607F56" w:rsidP="00607F56">
      <w:pPr>
        <w:pStyle w:val="CETBodytext"/>
        <w:jc w:val="left"/>
        <w:rPr>
          <w:rFonts w:eastAsia="SimSun"/>
        </w:rPr>
      </w:pPr>
      <w:r w:rsidRPr="00EA7D57">
        <w:t>DFC</w:t>
      </w:r>
      <w:r>
        <w:t xml:space="preserve">2 </w:t>
      </w:r>
      <w:r w:rsidRPr="00280FAF">
        <w:rPr>
          <w:rFonts w:eastAsia="SimSun"/>
        </w:rPr>
        <w:t>–</w:t>
      </w:r>
      <w:r>
        <w:rPr>
          <w:rFonts w:eastAsia="SimSun"/>
        </w:rPr>
        <w:t xml:space="preserve"> Dynamic flux chamber 2</w:t>
      </w:r>
    </w:p>
    <w:p w14:paraId="7C1AFCF7" w14:textId="656035CE" w:rsidR="00607F56" w:rsidRPr="00280FAF" w:rsidRDefault="00000000" w:rsidP="00607F56">
      <w:pPr>
        <w:pStyle w:val="CETBodytext"/>
        <w:jc w:val="left"/>
        <w:rPr>
          <w:rFonts w:eastAsia="SimSun"/>
        </w:rPr>
      </w:pPr>
      <m:oMath>
        <m:sSub>
          <m:sSubPr>
            <m:ctrlPr>
              <w:rPr>
                <w:rFonts w:ascii="Cambria Math" w:hAnsi="Cambria Math"/>
                <w:lang w:val="pt-BR"/>
              </w:rPr>
            </m:ctrlPr>
          </m:sSubPr>
          <m:e>
            <m:r>
              <w:rPr>
                <w:rFonts w:ascii="Cambria Math" w:hAnsi="Cambria Math"/>
                <w:lang w:val="pt-BR"/>
              </w:rPr>
              <m:t>H</m:t>
            </m:r>
          </m:e>
          <m:sub>
            <m:r>
              <w:rPr>
                <w:rFonts w:ascii="Cambria Math" w:hAnsi="Cambria Math"/>
              </w:rPr>
              <m:t>2</m:t>
            </m:r>
          </m:sub>
        </m:sSub>
        <m:r>
          <w:rPr>
            <w:rFonts w:ascii="Cambria Math" w:hAnsi="Cambria Math"/>
            <w:lang w:val="pt-BR"/>
          </w:rPr>
          <m:t>S</m:t>
        </m:r>
      </m:oMath>
      <w:r w:rsidR="00607F56" w:rsidRPr="00280FAF">
        <w:rPr>
          <w:rFonts w:eastAsia="SimSun"/>
        </w:rPr>
        <w:t xml:space="preserve"> – </w:t>
      </w:r>
      <w:r w:rsidR="00607F56">
        <w:rPr>
          <w:rFonts w:eastAsia="SimSun"/>
        </w:rPr>
        <w:t>Hydrogen sulfide</w:t>
      </w:r>
    </w:p>
    <w:p w14:paraId="32678CF0" w14:textId="77777777" w:rsidR="00607F56" w:rsidRPr="00280FAF" w:rsidRDefault="00607F56" w:rsidP="00607F56">
      <w:pPr>
        <w:pStyle w:val="CETBodytext"/>
        <w:jc w:val="left"/>
        <w:rPr>
          <w:rFonts w:eastAsia="SimSun"/>
        </w:rPr>
        <w:sectPr w:rsidR="00607F56" w:rsidRPr="00280FAF" w:rsidSect="0080031B">
          <w:type w:val="continuous"/>
          <w:pgSz w:w="11906" w:h="16838" w:code="9"/>
          <w:pgMar w:top="1701" w:right="1418" w:bottom="1701" w:left="1701" w:header="1701" w:footer="0" w:gutter="0"/>
          <w:cols w:num="2" w:space="708"/>
          <w:formProt w:val="0"/>
          <w:titlePg/>
          <w:docGrid w:linePitch="360"/>
        </w:sectPr>
      </w:pPr>
    </w:p>
    <w:p w14:paraId="7B00CB09" w14:textId="1E6BC689" w:rsidR="00607F56" w:rsidRPr="00607F56" w:rsidRDefault="00000000" w:rsidP="00607F56">
      <w:pPr>
        <w:pStyle w:val="CETBodytext"/>
        <w:jc w:val="left"/>
        <w:rPr>
          <w:rFonts w:eastAsia="SimSun"/>
        </w:rPr>
      </w:pPr>
      <m:oMath>
        <m:sSub>
          <m:sSubPr>
            <m:ctrlPr>
              <w:rPr>
                <w:rFonts w:ascii="Cambria Math" w:hAnsi="Cambria Math"/>
                <w:lang w:val="pt-BR"/>
              </w:rPr>
            </m:ctrlPr>
          </m:sSubPr>
          <m:e>
            <m:r>
              <w:rPr>
                <w:rFonts w:ascii="Cambria Math" w:hAnsi="Cambria Math"/>
                <w:lang w:val="pt-BR"/>
              </w:rPr>
              <m:t>K</m:t>
            </m:r>
          </m:e>
          <m:sub>
            <m:r>
              <w:rPr>
                <w:rFonts w:ascii="Cambria Math" w:hAnsi="Cambria Math"/>
                <w:lang w:val="pt-BR"/>
              </w:rPr>
              <m:t>L</m:t>
            </m:r>
          </m:sub>
        </m:sSub>
      </m:oMath>
      <w:r w:rsidR="00607F56" w:rsidRPr="00280FAF">
        <w:rPr>
          <w:rFonts w:eastAsia="SimSun"/>
        </w:rPr>
        <w:t>–</w:t>
      </w:r>
      <w:r w:rsidR="00607F56">
        <w:rPr>
          <w:rFonts w:eastAsia="SimSun"/>
        </w:rPr>
        <w:t xml:space="preserve"> </w:t>
      </w:r>
      <w:r w:rsidR="00607F56" w:rsidRPr="00A304F9">
        <w:rPr>
          <w:lang w:val="en-GB"/>
        </w:rPr>
        <w:t>overall mass transfer coefficient</w:t>
      </w:r>
      <w:r w:rsidR="00607F56">
        <w:rPr>
          <w:lang w:val="en-GB"/>
        </w:rPr>
        <w:t>, cm/h</w:t>
      </w:r>
    </w:p>
    <w:p w14:paraId="27402138" w14:textId="77777777" w:rsidR="0080031B" w:rsidRDefault="0080031B" w:rsidP="00607F56">
      <w:pPr>
        <w:pStyle w:val="CETBodytext"/>
        <w:jc w:val="left"/>
      </w:pPr>
      <w:r w:rsidRPr="00F4258B">
        <w:t xml:space="preserve">NF </w:t>
      </w:r>
      <w:r w:rsidRPr="00280FAF">
        <w:rPr>
          <w:rFonts w:eastAsia="SimSun"/>
        </w:rPr>
        <w:t>–</w:t>
      </w:r>
      <w:r>
        <w:rPr>
          <w:rFonts w:eastAsia="SimSun"/>
        </w:rPr>
        <w:t xml:space="preserve"> </w:t>
      </w:r>
      <w:r w:rsidR="00607F56" w:rsidRPr="00F4258B">
        <w:t xml:space="preserve">no fan </w:t>
      </w:r>
    </w:p>
    <w:p w14:paraId="5EA58F0D" w14:textId="5EA2C248" w:rsidR="0080031B" w:rsidRDefault="0080031B" w:rsidP="00607F56">
      <w:pPr>
        <w:pStyle w:val="CETBodytext"/>
        <w:jc w:val="left"/>
      </w:pPr>
      <w:r w:rsidRPr="00F4258B">
        <w:t>SFU</w:t>
      </w:r>
      <w:r w:rsidR="00607F56" w:rsidRPr="00F4258B">
        <w:t xml:space="preserve"> </w:t>
      </w:r>
      <w:r w:rsidRPr="00280FAF">
        <w:rPr>
          <w:rFonts w:eastAsia="SimSun"/>
        </w:rPr>
        <w:t>–</w:t>
      </w:r>
      <w:r>
        <w:rPr>
          <w:rFonts w:eastAsia="SimSun"/>
        </w:rPr>
        <w:t xml:space="preserve"> </w:t>
      </w:r>
      <w:r w:rsidR="00607F56" w:rsidRPr="00F4258B">
        <w:t>small fan up (SFU)</w:t>
      </w:r>
    </w:p>
    <w:p w14:paraId="5F299429" w14:textId="57A63E20" w:rsidR="0080031B" w:rsidRDefault="0080031B" w:rsidP="00607F56">
      <w:pPr>
        <w:pStyle w:val="CETBodytext"/>
        <w:jc w:val="left"/>
      </w:pPr>
      <w:r w:rsidRPr="00F4258B">
        <w:t>SF</w:t>
      </w:r>
      <w:r>
        <w:t>D</w:t>
      </w:r>
      <w:r w:rsidRPr="00F4258B">
        <w:t xml:space="preserve"> </w:t>
      </w:r>
      <w:r w:rsidRPr="00280FAF">
        <w:rPr>
          <w:rFonts w:eastAsia="SimSun"/>
        </w:rPr>
        <w:t>–</w:t>
      </w:r>
      <w:r>
        <w:rPr>
          <w:rFonts w:eastAsia="SimSun"/>
        </w:rPr>
        <w:t xml:space="preserve"> </w:t>
      </w:r>
      <w:r w:rsidR="00607F56" w:rsidRPr="00F4258B">
        <w:t xml:space="preserve">small fan down </w:t>
      </w:r>
    </w:p>
    <w:p w14:paraId="21E0274C" w14:textId="52E2E78D" w:rsidR="0080031B" w:rsidRDefault="0080031B" w:rsidP="00607F56">
      <w:pPr>
        <w:pStyle w:val="CETBodytext"/>
        <w:jc w:val="left"/>
      </w:pPr>
      <w:r>
        <w:t>LF</w:t>
      </w:r>
      <w:r w:rsidRPr="00F4258B">
        <w:t xml:space="preserve">U </w:t>
      </w:r>
      <w:r w:rsidRPr="00280FAF">
        <w:rPr>
          <w:rFonts w:eastAsia="SimSun"/>
        </w:rPr>
        <w:t>–</w:t>
      </w:r>
      <w:r>
        <w:rPr>
          <w:rFonts w:eastAsia="SimSun"/>
        </w:rPr>
        <w:t xml:space="preserve"> </w:t>
      </w:r>
      <w:r w:rsidR="00607F56" w:rsidRPr="00F4258B">
        <w:t>large fan up (LFU)</w:t>
      </w:r>
      <w:r>
        <w:t xml:space="preserve"> </w:t>
      </w:r>
    </w:p>
    <w:p w14:paraId="24E648DB" w14:textId="5BA53502" w:rsidR="00607F56" w:rsidRDefault="0080031B" w:rsidP="00607F56">
      <w:pPr>
        <w:pStyle w:val="CETBodytext"/>
        <w:jc w:val="left"/>
      </w:pPr>
      <w:r>
        <w:t>LFD</w:t>
      </w:r>
      <w:r w:rsidRPr="00F4258B">
        <w:t xml:space="preserve"> </w:t>
      </w:r>
      <w:r w:rsidRPr="00280FAF">
        <w:rPr>
          <w:rFonts w:eastAsia="SimSun"/>
        </w:rPr>
        <w:t>–</w:t>
      </w:r>
      <w:r>
        <w:rPr>
          <w:rFonts w:eastAsia="SimSun"/>
        </w:rPr>
        <w:t xml:space="preserve"> </w:t>
      </w:r>
      <w:r w:rsidR="00607F56" w:rsidRPr="00F4258B">
        <w:t>large fan down (LFD)</w:t>
      </w:r>
    </w:p>
    <w:p w14:paraId="6912717A" w14:textId="494EFD76" w:rsidR="0080031B" w:rsidRPr="0080031B" w:rsidRDefault="0080031B" w:rsidP="00607F56">
      <w:pPr>
        <w:pStyle w:val="CETBodytext"/>
        <w:jc w:val="left"/>
      </w:pPr>
      <m:oMath>
        <m:r>
          <w:rPr>
            <w:rFonts w:ascii="Cambria Math" w:hAnsi="Cambria Math"/>
            <w:lang w:val="pt-BR"/>
          </w:rPr>
          <m:t>Sc</m:t>
        </m:r>
        <m:r>
          <w:rPr>
            <w:rFonts w:ascii="Cambria Math" w:hAnsi="Cambria Math"/>
          </w:rPr>
          <m:t xml:space="preserve"> </m:t>
        </m:r>
      </m:oMath>
      <w:r w:rsidRPr="00280FAF">
        <w:rPr>
          <w:rFonts w:eastAsia="SimSun"/>
        </w:rPr>
        <w:t>–</w:t>
      </w:r>
      <w:r>
        <w:rPr>
          <w:rFonts w:eastAsia="SimSun"/>
        </w:rPr>
        <w:t xml:space="preserve"> </w:t>
      </w:r>
      <w:r w:rsidRPr="00F4258B">
        <w:t>Schmidt number</w:t>
      </w:r>
      <w:r>
        <w:t>, -</w:t>
      </w:r>
    </w:p>
    <w:p w14:paraId="74808AFD" w14:textId="103C0181" w:rsidR="0080031B" w:rsidRDefault="0080031B" w:rsidP="00607F56">
      <w:pPr>
        <w:pStyle w:val="CETBodytext"/>
        <w:jc w:val="left"/>
      </w:pPr>
      <m:oMath>
        <m:r>
          <w:rPr>
            <w:rFonts w:ascii="Cambria Math" w:hAnsi="Cambria Math"/>
            <w:lang w:val="pt-BR"/>
          </w:rPr>
          <m:t>V</m:t>
        </m:r>
      </m:oMath>
      <w:r w:rsidRPr="0080031B">
        <w:t xml:space="preserve"> </w:t>
      </w:r>
      <w:r w:rsidRPr="00280FAF">
        <w:rPr>
          <w:rFonts w:eastAsia="SimSun"/>
        </w:rPr>
        <w:t>–</w:t>
      </w:r>
      <w:r>
        <w:rPr>
          <w:rFonts w:eastAsia="SimSun"/>
        </w:rPr>
        <w:t xml:space="preserve"> </w:t>
      </w:r>
      <w:r w:rsidRPr="00F4258B">
        <w:t xml:space="preserve">is the liquid volume, </w:t>
      </w:r>
      <w:r>
        <w:t>m³</w:t>
      </w:r>
    </w:p>
    <w:p w14:paraId="0C9DACE6" w14:textId="17716033" w:rsidR="0080031B" w:rsidRPr="0080031B" w:rsidRDefault="0080031B" w:rsidP="00607F56">
      <w:pPr>
        <w:pStyle w:val="CETBodytext"/>
        <w:jc w:val="left"/>
        <w:rPr>
          <w:rFonts w:eastAsia="SimSun"/>
        </w:rPr>
      </w:pPr>
      <m:oMath>
        <m:r>
          <w:rPr>
            <w:rFonts w:ascii="Cambria Math" w:hAnsi="Cambria Math"/>
            <w:lang w:val="pt-BR"/>
          </w:rPr>
          <m:t>t</m:t>
        </m:r>
      </m:oMath>
      <w:r>
        <w:t xml:space="preserve"> </w:t>
      </w:r>
      <w:r w:rsidRPr="00280FAF">
        <w:rPr>
          <w:rFonts w:eastAsia="SimSun"/>
        </w:rPr>
        <w:t>–</w:t>
      </w:r>
      <w:r w:rsidRPr="00F4258B">
        <w:t xml:space="preserve"> time</w:t>
      </w:r>
      <w:r>
        <w:t>, h</w:t>
      </w:r>
    </w:p>
    <w:p w14:paraId="765E6D95" w14:textId="77777777" w:rsidR="0080031B" w:rsidRDefault="0080031B" w:rsidP="00600535">
      <w:pPr>
        <w:pStyle w:val="CETBodytext"/>
        <w:rPr>
          <w:lang w:val="en-GB"/>
        </w:rPr>
        <w:sectPr w:rsidR="0080031B" w:rsidSect="0080031B">
          <w:type w:val="continuous"/>
          <w:pgSz w:w="11906" w:h="16838" w:code="9"/>
          <w:pgMar w:top="1701" w:right="1418" w:bottom="1701" w:left="1701" w:header="1701" w:footer="0" w:gutter="0"/>
          <w:cols w:num="2" w:space="708"/>
          <w:formProt w:val="0"/>
          <w:titlePg/>
          <w:docGrid w:linePitch="360"/>
        </w:sectPr>
      </w:pPr>
    </w:p>
    <w:p w14:paraId="253BB3DC" w14:textId="77777777" w:rsidR="004B5C1A" w:rsidRDefault="004B5C1A" w:rsidP="00607F56">
      <w:pPr>
        <w:pStyle w:val="CETAcknowledgementstitle"/>
      </w:pPr>
    </w:p>
    <w:p w14:paraId="7BF1C146" w14:textId="00E32629" w:rsidR="00607F56" w:rsidRPr="00B57B36" w:rsidRDefault="00607F56" w:rsidP="00607F56">
      <w:pPr>
        <w:pStyle w:val="CETAcknowledgementstitle"/>
      </w:pPr>
      <w:r w:rsidRPr="00B57B36">
        <w:lastRenderedPageBreak/>
        <w:t>Acknowledgments</w:t>
      </w:r>
    </w:p>
    <w:p w14:paraId="01FED048" w14:textId="77777777" w:rsidR="00FB4871" w:rsidRDefault="00FB4871" w:rsidP="00607F56">
      <w:pPr>
        <w:pStyle w:val="CETBodytext"/>
        <w:rPr>
          <w:lang w:val="en-GB"/>
        </w:rPr>
      </w:pPr>
      <w:r w:rsidRPr="00FB4871">
        <w:rPr>
          <w:lang w:val="en-GB"/>
        </w:rPr>
        <w:t>Authors acknowledge the UNSW Practicum Program and Odour Laboratory in School of Civil and Environmental </w:t>
      </w:r>
      <w:proofErr w:type="gramStart"/>
      <w:r w:rsidRPr="00FB4871">
        <w:rPr>
          <w:lang w:val="en-GB"/>
        </w:rPr>
        <w:t>Engineering,  UNSW</w:t>
      </w:r>
      <w:proofErr w:type="gramEnd"/>
      <w:r w:rsidRPr="00FB4871">
        <w:rPr>
          <w:lang w:val="en-GB"/>
        </w:rPr>
        <w:t> Sydney; and the </w:t>
      </w:r>
      <w:proofErr w:type="spellStart"/>
      <w:r w:rsidRPr="00FB4871">
        <w:rPr>
          <w:lang w:val="en-GB"/>
        </w:rPr>
        <w:t>Núcleo</w:t>
      </w:r>
      <w:proofErr w:type="spellEnd"/>
      <w:r w:rsidRPr="00FB4871">
        <w:rPr>
          <w:lang w:val="en-GB"/>
        </w:rPr>
        <w:t> de Pesquisa </w:t>
      </w:r>
      <w:proofErr w:type="spellStart"/>
      <w:r w:rsidRPr="00FB4871">
        <w:rPr>
          <w:lang w:val="en-GB"/>
        </w:rPr>
        <w:t>em</w:t>
      </w:r>
      <w:proofErr w:type="spellEnd"/>
      <w:r w:rsidRPr="00FB4871">
        <w:rPr>
          <w:lang w:val="en-GB"/>
        </w:rPr>
        <w:t> </w:t>
      </w:r>
      <w:proofErr w:type="spellStart"/>
      <w:r w:rsidRPr="00FB4871">
        <w:rPr>
          <w:lang w:val="en-GB"/>
        </w:rPr>
        <w:t>Qualidade</w:t>
      </w:r>
      <w:proofErr w:type="spellEnd"/>
      <w:r w:rsidRPr="00FB4871">
        <w:rPr>
          <w:lang w:val="en-GB"/>
        </w:rPr>
        <w:t> do </w:t>
      </w:r>
      <w:proofErr w:type="spellStart"/>
      <w:r w:rsidRPr="00FB4871">
        <w:rPr>
          <w:lang w:val="en-GB"/>
        </w:rPr>
        <w:t>Ar</w:t>
      </w:r>
      <w:proofErr w:type="spellEnd"/>
      <w:r w:rsidRPr="00FB4871">
        <w:rPr>
          <w:lang w:val="en-GB"/>
        </w:rPr>
        <w:t>, Departamento de </w:t>
      </w:r>
      <w:proofErr w:type="spellStart"/>
      <w:r w:rsidRPr="00FB4871">
        <w:rPr>
          <w:lang w:val="en-GB"/>
        </w:rPr>
        <w:t>Engenharia</w:t>
      </w:r>
      <w:proofErr w:type="spellEnd"/>
      <w:r w:rsidRPr="00FB4871">
        <w:rPr>
          <w:lang w:val="en-GB"/>
        </w:rPr>
        <w:t> Ambiental, </w:t>
      </w:r>
      <w:proofErr w:type="spellStart"/>
      <w:r w:rsidRPr="00FB4871">
        <w:rPr>
          <w:lang w:val="en-GB"/>
        </w:rPr>
        <w:t>Universidade</w:t>
      </w:r>
      <w:proofErr w:type="spellEnd"/>
      <w:r w:rsidRPr="00FB4871">
        <w:rPr>
          <w:lang w:val="en-GB"/>
        </w:rPr>
        <w:t> Federal do Espirito Santo, for logistics and financial support. </w:t>
      </w:r>
    </w:p>
    <w:p w14:paraId="68150CA3" w14:textId="42F3F80F" w:rsidR="00607F56" w:rsidRDefault="00607F56" w:rsidP="00607F56">
      <w:pPr>
        <w:pStyle w:val="CETBodytext"/>
        <w:rPr>
          <w:lang w:val="en-GB"/>
        </w:rPr>
      </w:pPr>
    </w:p>
    <w:p w14:paraId="55E11408" w14:textId="77777777" w:rsidR="00607F56" w:rsidRDefault="00607F56" w:rsidP="00607F56">
      <w:pPr>
        <w:pStyle w:val="CETBodytext"/>
        <w:rPr>
          <w:lang w:val="en-GB"/>
        </w:rPr>
      </w:pPr>
    </w:p>
    <w:p w14:paraId="63374907" w14:textId="149BBE39" w:rsidR="00E3675A" w:rsidRPr="00E3675A" w:rsidRDefault="00E3675A" w:rsidP="007F38D4">
      <w:pPr>
        <w:pStyle w:val="CETBodytext"/>
        <w:spacing w:before="120" w:after="120"/>
        <w:rPr>
          <w:b/>
          <w:bCs/>
          <w:lang w:val="en-GB"/>
        </w:rPr>
      </w:pPr>
      <w:r w:rsidRPr="00E3675A">
        <w:rPr>
          <w:b/>
          <w:bCs/>
          <w:lang w:val="en-GB"/>
        </w:rPr>
        <w:t>References</w:t>
      </w:r>
    </w:p>
    <w:p w14:paraId="0847FE49" w14:textId="77777777" w:rsidR="00D53B15" w:rsidRDefault="00D53B15" w:rsidP="00E3675A">
      <w:pPr>
        <w:pStyle w:val="CETReferencetext"/>
      </w:pPr>
      <w:r w:rsidRPr="00D53B15">
        <w:t xml:space="preserve">Andreão W.L., </w:t>
      </w:r>
      <w:proofErr w:type="spellStart"/>
      <w:r w:rsidRPr="00D53B15">
        <w:t>Feroni</w:t>
      </w:r>
      <w:proofErr w:type="spellEnd"/>
      <w:r w:rsidRPr="00D53B15">
        <w:t xml:space="preserve"> R.C., 2022, CFD </w:t>
      </w:r>
      <w:proofErr w:type="spellStart"/>
      <w:r w:rsidRPr="00D53B15">
        <w:t>modeling</w:t>
      </w:r>
      <w:proofErr w:type="spellEnd"/>
      <w:r w:rsidRPr="00D53B15">
        <w:t xml:space="preserve"> of different mass transfer coefficients on hydrogen </w:t>
      </w:r>
      <w:proofErr w:type="spellStart"/>
      <w:r w:rsidRPr="00D53B15">
        <w:t>sulfide</w:t>
      </w:r>
      <w:proofErr w:type="spellEnd"/>
      <w:r w:rsidRPr="00D53B15">
        <w:t xml:space="preserve"> emission in a flux chamber, Environmental Science and Pollution Research, 29, 14961–14974</w:t>
      </w:r>
    </w:p>
    <w:p w14:paraId="484BD52C" w14:textId="7375C65E" w:rsidR="0070117D" w:rsidRDefault="0070117D" w:rsidP="00E3675A">
      <w:pPr>
        <w:pStyle w:val="CETReferencetext"/>
      </w:pPr>
      <w:r w:rsidRPr="0070117D">
        <w:t>Andre</w:t>
      </w:r>
      <w:r>
        <w:t>ã</w:t>
      </w:r>
      <w:r w:rsidRPr="0070117D">
        <w:t xml:space="preserve">o W.L., Santos J.M., Reis Jr N.C., Prata Jr A.A., </w:t>
      </w:r>
      <w:proofErr w:type="spellStart"/>
      <w:r w:rsidRPr="0070117D">
        <w:t>Stuetz</w:t>
      </w:r>
      <w:proofErr w:type="spellEnd"/>
      <w:r w:rsidRPr="0070117D">
        <w:t xml:space="preserve"> R.M., 2019, Effects of flux chamber configuration on the sampling of odorous gases emissions, International Journal of Heat and Mass Transfer, 140, 918–930.</w:t>
      </w:r>
    </w:p>
    <w:p w14:paraId="6A91F80A" w14:textId="5BB4F5F0" w:rsidR="00E3675A" w:rsidRPr="00E3675A" w:rsidRDefault="00E3675A" w:rsidP="00E3675A">
      <w:pPr>
        <w:pStyle w:val="CETReferencetext"/>
      </w:pPr>
      <w:r w:rsidRPr="00E3675A">
        <w:t>AS/NZS, 2009, Stationary source emissions, Method 4: Area source sampling—Flux chamber technique, Australian/New Zealand Standard AS/NZS 4323.4:2009, Standards Australia/Standards New Zealand.</w:t>
      </w:r>
    </w:p>
    <w:p w14:paraId="7A2A9D1E" w14:textId="4268EF9E" w:rsidR="00053812" w:rsidRDefault="00053812" w:rsidP="00E3675A">
      <w:pPr>
        <w:pStyle w:val="CETReferencetext"/>
      </w:pPr>
      <w:r w:rsidRPr="00053812">
        <w:t>Capelli L., Sironi S., Del Rosso R., Guillot J.-M., 2013, Measuring odours in the environment vs. dispersion modelling: A review, Atmospheric Environment, 79, 731–743.</w:t>
      </w:r>
    </w:p>
    <w:p w14:paraId="551ABE14" w14:textId="239DDCC1" w:rsidR="00C54B4F" w:rsidRDefault="00C54B4F" w:rsidP="00E3675A">
      <w:pPr>
        <w:pStyle w:val="CETReferencetext"/>
      </w:pPr>
      <w:r w:rsidRPr="00C54B4F">
        <w:t xml:space="preserve">Czarnota J., </w:t>
      </w:r>
      <w:proofErr w:type="spellStart"/>
      <w:r w:rsidRPr="00C54B4F">
        <w:t>Masłoń</w:t>
      </w:r>
      <w:proofErr w:type="spellEnd"/>
      <w:r w:rsidRPr="00C54B4F">
        <w:t xml:space="preserve"> A., </w:t>
      </w:r>
      <w:proofErr w:type="spellStart"/>
      <w:r w:rsidRPr="00C54B4F">
        <w:t>Pajura</w:t>
      </w:r>
      <w:proofErr w:type="spellEnd"/>
      <w:r w:rsidRPr="00C54B4F">
        <w:t xml:space="preserve"> R., 2023, Wastewater Treatment Plants as a Source of Malodorous Substances Hazardous to Health, Including a Case Study from Poland, International Journal of Environmental Research and Public Health, 20, 5379</w:t>
      </w:r>
      <w:r>
        <w:t>.</w:t>
      </w:r>
    </w:p>
    <w:p w14:paraId="7CE5767D" w14:textId="6103427E" w:rsidR="00E3675A" w:rsidRPr="00E3675A" w:rsidRDefault="00E3675A" w:rsidP="00E3675A">
      <w:pPr>
        <w:pStyle w:val="CETReferencetext"/>
      </w:pPr>
      <w:r w:rsidRPr="00E3675A">
        <w:t>Eklund B., 1992, Practical guidance for flux chamber measurements of fugitive volatile organic emission rates, Journal of the Air &amp; Waste Management Association, 42, 1583–1591.</w:t>
      </w:r>
    </w:p>
    <w:p w14:paraId="09FF97F8" w14:textId="77777777" w:rsidR="00E3675A" w:rsidRPr="00E3675A" w:rsidRDefault="00E3675A" w:rsidP="00E3675A">
      <w:pPr>
        <w:pStyle w:val="CETReferencetext"/>
      </w:pPr>
      <w:r w:rsidRPr="00E3675A">
        <w:t xml:space="preserve">Hudson N., </w:t>
      </w:r>
      <w:proofErr w:type="spellStart"/>
      <w:r w:rsidRPr="00E3675A">
        <w:t>Ayoko</w:t>
      </w:r>
      <w:proofErr w:type="spellEnd"/>
      <w:r w:rsidRPr="00E3675A">
        <w:t xml:space="preserve"> G.A., 2008, Odour sampling 2: Comparison of physical and aerodynamic characteristics of sampling devices: a review, Bioresource Technology, 99, 3993–4007.</w:t>
      </w:r>
    </w:p>
    <w:p w14:paraId="2D75B0A1" w14:textId="77777777" w:rsidR="00E3675A" w:rsidRPr="00E3675A" w:rsidRDefault="00E3675A" w:rsidP="00E3675A">
      <w:pPr>
        <w:pStyle w:val="CETReferencetext"/>
      </w:pPr>
      <w:r w:rsidRPr="00E3675A">
        <w:t xml:space="preserve">Hudson N., </w:t>
      </w:r>
      <w:proofErr w:type="spellStart"/>
      <w:r w:rsidRPr="00E3675A">
        <w:t>Ayoko</w:t>
      </w:r>
      <w:proofErr w:type="spellEnd"/>
      <w:r w:rsidRPr="00E3675A">
        <w:t xml:space="preserve"> G.A., Dunlop M., </w:t>
      </w:r>
      <w:proofErr w:type="spellStart"/>
      <w:r w:rsidRPr="00E3675A">
        <w:t>Duperouzel</w:t>
      </w:r>
      <w:proofErr w:type="spellEnd"/>
      <w:r w:rsidRPr="00E3675A">
        <w:t xml:space="preserve"> D., Burrell D., Bell K., Gallagher E., Nicholas P., Heinrich N., 2009, Comparison of odour emission rates measured from various sources using two sampling devices, Bioresource Technology, 100, 118–124.</w:t>
      </w:r>
    </w:p>
    <w:p w14:paraId="1705D86C" w14:textId="77777777" w:rsidR="00E3675A" w:rsidRDefault="00E3675A" w:rsidP="00E3675A">
      <w:pPr>
        <w:pStyle w:val="CETReferencetext"/>
      </w:pPr>
      <w:proofErr w:type="spellStart"/>
      <w:r w:rsidRPr="00E3675A">
        <w:t>Kienbusch</w:t>
      </w:r>
      <w:proofErr w:type="spellEnd"/>
      <w:r w:rsidRPr="00E3675A">
        <w:t xml:space="preserve"> M., 1986, Measurement of Gaseous Emission Rates from Land Surfaces Using an Emission Isolation Flux Chamber, US EPA, Environmental Monitoring Systems Laboratory, Las Vegas, USA.</w:t>
      </w:r>
    </w:p>
    <w:p w14:paraId="582EE54F" w14:textId="451936C1" w:rsidR="007762FE" w:rsidRPr="00E3675A" w:rsidRDefault="007762FE" w:rsidP="00E3675A">
      <w:pPr>
        <w:pStyle w:val="CETReferencetext"/>
      </w:pPr>
      <w:r w:rsidRPr="007762FE">
        <w:t xml:space="preserve">Jonca J., </w:t>
      </w:r>
      <w:proofErr w:type="spellStart"/>
      <w:r w:rsidRPr="007762FE">
        <w:t>Bezyk</w:t>
      </w:r>
      <w:proofErr w:type="spellEnd"/>
      <w:r w:rsidRPr="007762FE">
        <w:t xml:space="preserve"> Y., Miller U., Wrobel M., Arsen A., </w:t>
      </w:r>
      <w:proofErr w:type="spellStart"/>
      <w:r w:rsidRPr="007762FE">
        <w:t>Szrek</w:t>
      </w:r>
      <w:proofErr w:type="spellEnd"/>
      <w:r w:rsidRPr="007762FE">
        <w:t xml:space="preserve"> J., </w:t>
      </w:r>
      <w:proofErr w:type="spellStart"/>
      <w:r w:rsidRPr="007762FE">
        <w:t>Muraszkowski</w:t>
      </w:r>
      <w:proofErr w:type="spellEnd"/>
      <w:r w:rsidRPr="007762FE">
        <w:t xml:space="preserve"> A., </w:t>
      </w:r>
      <w:proofErr w:type="spellStart"/>
      <w:r w:rsidRPr="007762FE">
        <w:t>Włoka</w:t>
      </w:r>
      <w:proofErr w:type="spellEnd"/>
      <w:r w:rsidRPr="007762FE">
        <w:t xml:space="preserve"> A., Janicka A., Sowka I., 2025, Holistic approach to odour impact assessment </w:t>
      </w:r>
      <w:proofErr w:type="gramStart"/>
      <w:r w:rsidRPr="007762FE">
        <w:t>on the basis of</w:t>
      </w:r>
      <w:proofErr w:type="gramEnd"/>
      <w:r w:rsidRPr="007762FE">
        <w:t xml:space="preserve"> three waste management plants, Waste Management, 208, 115156.</w:t>
      </w:r>
    </w:p>
    <w:p w14:paraId="564C6918" w14:textId="77777777" w:rsidR="00E3675A" w:rsidRPr="00E3675A" w:rsidRDefault="00E3675A" w:rsidP="00E3675A">
      <w:pPr>
        <w:pStyle w:val="CETReferencetext"/>
      </w:pPr>
      <w:r w:rsidRPr="00E3675A">
        <w:t>Lewis W.K., Whitman W.G., 1924, Principles of gas absorption, Industrial and Engineering Chemistry, 16, 1215–1220.</w:t>
      </w:r>
    </w:p>
    <w:p w14:paraId="4C68B0F5" w14:textId="77777777" w:rsidR="00E3675A" w:rsidRPr="00E3675A" w:rsidRDefault="00E3675A" w:rsidP="00E3675A">
      <w:pPr>
        <w:pStyle w:val="CETReferencetext"/>
      </w:pPr>
      <w:r w:rsidRPr="00E3675A">
        <w:t xml:space="preserve">Liu L., Abdala Prata Junior A., Fisher R.M., </w:t>
      </w:r>
      <w:proofErr w:type="spellStart"/>
      <w:r w:rsidRPr="00E3675A">
        <w:t>Stuetz</w:t>
      </w:r>
      <w:proofErr w:type="spellEnd"/>
      <w:r w:rsidRPr="00E3675A">
        <w:t xml:space="preserve"> R.M., 2022, Measuring volatile emissions from biosolids: a critical review on sampling methods, Journal of Environmental Management, 317, 115290.</w:t>
      </w:r>
    </w:p>
    <w:p w14:paraId="67598EC7" w14:textId="77777777" w:rsidR="00E3675A" w:rsidRPr="00E3675A" w:rsidRDefault="00E3675A" w:rsidP="00E3675A">
      <w:pPr>
        <w:pStyle w:val="CETReferencetext"/>
      </w:pPr>
      <w:r w:rsidRPr="00E3675A">
        <w:t xml:space="preserve">Liu L., Prata A.A., </w:t>
      </w:r>
      <w:proofErr w:type="spellStart"/>
      <w:r w:rsidRPr="00E3675A">
        <w:t>Stuetz</w:t>
      </w:r>
      <w:proofErr w:type="spellEnd"/>
      <w:r w:rsidRPr="00E3675A">
        <w:t xml:space="preserve"> R.M., Fisher R.M., 2024, Understanding the role of flux chamber configuration in the measurement of VOC emissions from porous media, Chemosphere, 366, 143423.</w:t>
      </w:r>
    </w:p>
    <w:p w14:paraId="71C75815" w14:textId="77777777" w:rsidR="00E3675A" w:rsidRDefault="00E3675A" w:rsidP="00E3675A">
      <w:pPr>
        <w:pStyle w:val="CETReferencetext"/>
      </w:pPr>
      <w:r w:rsidRPr="00E3675A">
        <w:t>Mackay D., Yeun A.T.K., 1983, Mass transfer coefficient correlations for volatilization of organic solutes from water, Environmental Science &amp; Technology, 17, 211–217.</w:t>
      </w:r>
    </w:p>
    <w:p w14:paraId="284C2BA9" w14:textId="297539C0" w:rsidR="00E27E2A" w:rsidRPr="00E3675A" w:rsidRDefault="00E27E2A" w:rsidP="00E3675A">
      <w:pPr>
        <w:pStyle w:val="CETReferencetext"/>
      </w:pPr>
      <w:r w:rsidRPr="00E27E2A">
        <w:t>Mu J., et al., 2022, Dynamic chamber as a more reliable technique for measuring methane emissions from aquatic ecosystems, Science of The Total Environment, 851, 158147.</w:t>
      </w:r>
    </w:p>
    <w:p w14:paraId="078B1E22" w14:textId="77777777" w:rsidR="00E3675A" w:rsidRPr="00E3675A" w:rsidRDefault="00E3675A" w:rsidP="00E3675A">
      <w:pPr>
        <w:pStyle w:val="CETReferencetext"/>
      </w:pPr>
      <w:r w:rsidRPr="00E3675A">
        <w:t>Parker D.B., Gilley J., Woodbury B., Kim K.-H., Galvin G., Bartelt-Hunt S., Li X., Snow D., 2013, Odorous VOC emission following land application of swine manure slurry, Atmospheric Environment, 66, 91–100.</w:t>
      </w:r>
    </w:p>
    <w:p w14:paraId="7F0FC59B" w14:textId="77777777" w:rsidR="00E3675A" w:rsidRPr="00E3675A" w:rsidRDefault="00E3675A" w:rsidP="00E3675A">
      <w:pPr>
        <w:pStyle w:val="CETReferencetext"/>
      </w:pPr>
      <w:r w:rsidRPr="00E3675A">
        <w:t xml:space="preserve">Prata Jr A.A., Santos J.M., </w:t>
      </w:r>
      <w:proofErr w:type="spellStart"/>
      <w:r w:rsidRPr="00E3675A">
        <w:t>Beghi</w:t>
      </w:r>
      <w:proofErr w:type="spellEnd"/>
      <w:r w:rsidRPr="00E3675A">
        <w:t xml:space="preserve"> S.P., Fernandes I.F., </w:t>
      </w:r>
      <w:proofErr w:type="spellStart"/>
      <w:r w:rsidRPr="00E3675A">
        <w:t>Vom</w:t>
      </w:r>
      <w:proofErr w:type="spellEnd"/>
      <w:r w:rsidRPr="00E3675A">
        <w:t xml:space="preserve"> </w:t>
      </w:r>
      <w:proofErr w:type="spellStart"/>
      <w:r w:rsidRPr="00E3675A">
        <w:t>Marttens</w:t>
      </w:r>
      <w:proofErr w:type="spellEnd"/>
      <w:r w:rsidRPr="00E3675A">
        <w:t xml:space="preserve"> L.L., Neto L.I.P., Martins R.S., Reis Jr N.C., </w:t>
      </w:r>
      <w:proofErr w:type="spellStart"/>
      <w:r w:rsidRPr="00E3675A">
        <w:t>Stuetz</w:t>
      </w:r>
      <w:proofErr w:type="spellEnd"/>
      <w:r w:rsidRPr="00E3675A">
        <w:t xml:space="preserve"> R.M., 2016, Dynamic flux chamber measurements of hydrogen </w:t>
      </w:r>
      <w:proofErr w:type="spellStart"/>
      <w:r w:rsidRPr="00E3675A">
        <w:t>sulfide</w:t>
      </w:r>
      <w:proofErr w:type="spellEnd"/>
      <w:r w:rsidRPr="00E3675A">
        <w:t xml:space="preserve"> emission rate from a quiescent surface: a computational evaluation, Chemosphere, 146, 426–434.</w:t>
      </w:r>
    </w:p>
    <w:p w14:paraId="1B1CC18C" w14:textId="77777777" w:rsidR="00E3675A" w:rsidRPr="00E3675A" w:rsidRDefault="00E3675A" w:rsidP="00E3675A">
      <w:pPr>
        <w:pStyle w:val="CETReferencetext"/>
      </w:pPr>
      <w:r w:rsidRPr="00E3675A">
        <w:t xml:space="preserve">Prata Jr A.A., </w:t>
      </w:r>
      <w:proofErr w:type="spellStart"/>
      <w:r w:rsidRPr="00E3675A">
        <w:t>Lucernoni</w:t>
      </w:r>
      <w:proofErr w:type="spellEnd"/>
      <w:r w:rsidRPr="00E3675A">
        <w:t xml:space="preserve"> F., Santos J.M., Capelli L., Sironi S., Le-Minh N., </w:t>
      </w:r>
      <w:proofErr w:type="spellStart"/>
      <w:r w:rsidRPr="00E3675A">
        <w:t>Stuetz</w:t>
      </w:r>
      <w:proofErr w:type="spellEnd"/>
      <w:r w:rsidRPr="00E3675A">
        <w:t xml:space="preserve"> R.M., 2018, Mass transfer inside a flux hood for the sampling of gaseous emissions from liquid surfaces: experimental assessment and emission rate rescaling, Atmospheric Environment, 179, 227–238.</w:t>
      </w:r>
    </w:p>
    <w:sectPr w:rsidR="00E3675A" w:rsidRPr="00E3675A"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5F95" w14:textId="77777777" w:rsidR="0086081E" w:rsidRDefault="0086081E" w:rsidP="004F5E36">
      <w:r>
        <w:separator/>
      </w:r>
    </w:p>
  </w:endnote>
  <w:endnote w:type="continuationSeparator" w:id="0">
    <w:p w14:paraId="3803F0E2" w14:textId="77777777" w:rsidR="0086081E" w:rsidRDefault="0086081E"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11416" w14:textId="77777777" w:rsidR="0086081E" w:rsidRDefault="0086081E" w:rsidP="004F5E36">
      <w:r>
        <w:separator/>
      </w:r>
    </w:p>
  </w:footnote>
  <w:footnote w:type="continuationSeparator" w:id="0">
    <w:p w14:paraId="2EAA8296" w14:textId="77777777" w:rsidR="0086081E" w:rsidRDefault="0086081E"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aSimples-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4563122">
    <w:abstractNumId w:val="10"/>
  </w:num>
  <w:num w:numId="2" w16cid:durableId="1004354163">
    <w:abstractNumId w:val="8"/>
  </w:num>
  <w:num w:numId="3" w16cid:durableId="1203905610">
    <w:abstractNumId w:val="3"/>
  </w:num>
  <w:num w:numId="4" w16cid:durableId="1424496005">
    <w:abstractNumId w:val="2"/>
  </w:num>
  <w:num w:numId="5" w16cid:durableId="1465852523">
    <w:abstractNumId w:val="1"/>
  </w:num>
  <w:num w:numId="6" w16cid:durableId="1474130090">
    <w:abstractNumId w:val="0"/>
  </w:num>
  <w:num w:numId="7" w16cid:durableId="447895043">
    <w:abstractNumId w:val="9"/>
  </w:num>
  <w:num w:numId="8" w16cid:durableId="433717267">
    <w:abstractNumId w:val="7"/>
  </w:num>
  <w:num w:numId="9" w16cid:durableId="2088071378">
    <w:abstractNumId w:val="6"/>
  </w:num>
  <w:num w:numId="10" w16cid:durableId="716858106">
    <w:abstractNumId w:val="5"/>
  </w:num>
  <w:num w:numId="11" w16cid:durableId="305165716">
    <w:abstractNumId w:val="4"/>
  </w:num>
  <w:num w:numId="12" w16cid:durableId="1028486972">
    <w:abstractNumId w:val="17"/>
  </w:num>
  <w:num w:numId="13" w16cid:durableId="504588017">
    <w:abstractNumId w:val="12"/>
  </w:num>
  <w:num w:numId="14" w16cid:durableId="430518414">
    <w:abstractNumId w:val="18"/>
  </w:num>
  <w:num w:numId="15" w16cid:durableId="1938444850">
    <w:abstractNumId w:val="20"/>
  </w:num>
  <w:num w:numId="16" w16cid:durableId="632490571">
    <w:abstractNumId w:val="19"/>
  </w:num>
  <w:num w:numId="17" w16cid:durableId="1253395123">
    <w:abstractNumId w:val="11"/>
  </w:num>
  <w:num w:numId="18" w16cid:durableId="2130707478">
    <w:abstractNumId w:val="12"/>
    <w:lvlOverride w:ilvl="0">
      <w:startOverride w:val="1"/>
    </w:lvlOverride>
  </w:num>
  <w:num w:numId="19" w16cid:durableId="1561207307">
    <w:abstractNumId w:val="16"/>
  </w:num>
  <w:num w:numId="20" w16cid:durableId="1344740344">
    <w:abstractNumId w:val="15"/>
  </w:num>
  <w:num w:numId="21" w16cid:durableId="249241858">
    <w:abstractNumId w:val="14"/>
  </w:num>
  <w:num w:numId="22" w16cid:durableId="1561094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06D92"/>
    <w:rsid w:val="00007612"/>
    <w:rsid w:val="000117CB"/>
    <w:rsid w:val="0003148D"/>
    <w:rsid w:val="00031EEC"/>
    <w:rsid w:val="00051566"/>
    <w:rsid w:val="00053812"/>
    <w:rsid w:val="000562A9"/>
    <w:rsid w:val="00061B6E"/>
    <w:rsid w:val="00062A9A"/>
    <w:rsid w:val="00065058"/>
    <w:rsid w:val="00086C39"/>
    <w:rsid w:val="00096025"/>
    <w:rsid w:val="000A03B2"/>
    <w:rsid w:val="000D0268"/>
    <w:rsid w:val="000D34BE"/>
    <w:rsid w:val="000D49C0"/>
    <w:rsid w:val="000E102F"/>
    <w:rsid w:val="000E169F"/>
    <w:rsid w:val="000E36F1"/>
    <w:rsid w:val="000E3A73"/>
    <w:rsid w:val="000E414A"/>
    <w:rsid w:val="000E75FD"/>
    <w:rsid w:val="000F093C"/>
    <w:rsid w:val="000F787B"/>
    <w:rsid w:val="0012091F"/>
    <w:rsid w:val="00124AAD"/>
    <w:rsid w:val="00126BC2"/>
    <w:rsid w:val="001308B6"/>
    <w:rsid w:val="0013121F"/>
    <w:rsid w:val="00131FE6"/>
    <w:rsid w:val="0013263F"/>
    <w:rsid w:val="001331DF"/>
    <w:rsid w:val="00134DE4"/>
    <w:rsid w:val="00137F80"/>
    <w:rsid w:val="0014034D"/>
    <w:rsid w:val="00140FE3"/>
    <w:rsid w:val="00144D16"/>
    <w:rsid w:val="00150E59"/>
    <w:rsid w:val="00152DE3"/>
    <w:rsid w:val="0015438E"/>
    <w:rsid w:val="00164CF9"/>
    <w:rsid w:val="001667A6"/>
    <w:rsid w:val="0018175D"/>
    <w:rsid w:val="00182619"/>
    <w:rsid w:val="00183487"/>
    <w:rsid w:val="0018414C"/>
    <w:rsid w:val="00184AD6"/>
    <w:rsid w:val="00196F16"/>
    <w:rsid w:val="001A0154"/>
    <w:rsid w:val="001A4AF7"/>
    <w:rsid w:val="001B0349"/>
    <w:rsid w:val="001B1E93"/>
    <w:rsid w:val="001B65C1"/>
    <w:rsid w:val="001C260F"/>
    <w:rsid w:val="001C33F1"/>
    <w:rsid w:val="001C684B"/>
    <w:rsid w:val="001D0CFB"/>
    <w:rsid w:val="001D21AF"/>
    <w:rsid w:val="001D53FC"/>
    <w:rsid w:val="001E4F18"/>
    <w:rsid w:val="001F42A5"/>
    <w:rsid w:val="001F7B9D"/>
    <w:rsid w:val="00201C93"/>
    <w:rsid w:val="002142EB"/>
    <w:rsid w:val="0021613E"/>
    <w:rsid w:val="002224B4"/>
    <w:rsid w:val="00233872"/>
    <w:rsid w:val="002447EF"/>
    <w:rsid w:val="00251550"/>
    <w:rsid w:val="00253D2D"/>
    <w:rsid w:val="00263B05"/>
    <w:rsid w:val="0027221A"/>
    <w:rsid w:val="002723C6"/>
    <w:rsid w:val="00275B61"/>
    <w:rsid w:val="00280FAF"/>
    <w:rsid w:val="00281DE8"/>
    <w:rsid w:val="00282656"/>
    <w:rsid w:val="00296B83"/>
    <w:rsid w:val="002B4015"/>
    <w:rsid w:val="002B6BD4"/>
    <w:rsid w:val="002B78CE"/>
    <w:rsid w:val="002C2FB6"/>
    <w:rsid w:val="002E5FA7"/>
    <w:rsid w:val="002F3309"/>
    <w:rsid w:val="003008CE"/>
    <w:rsid w:val="003009B7"/>
    <w:rsid w:val="00300E56"/>
    <w:rsid w:val="0030152C"/>
    <w:rsid w:val="00301B6A"/>
    <w:rsid w:val="0030469C"/>
    <w:rsid w:val="00321CA6"/>
    <w:rsid w:val="00323763"/>
    <w:rsid w:val="00323C5F"/>
    <w:rsid w:val="00334C09"/>
    <w:rsid w:val="003723D4"/>
    <w:rsid w:val="0037463E"/>
    <w:rsid w:val="00381905"/>
    <w:rsid w:val="00384CC8"/>
    <w:rsid w:val="003871FD"/>
    <w:rsid w:val="003931C9"/>
    <w:rsid w:val="003A1E30"/>
    <w:rsid w:val="003A2829"/>
    <w:rsid w:val="003A7D1C"/>
    <w:rsid w:val="003B304B"/>
    <w:rsid w:val="003B3146"/>
    <w:rsid w:val="003D1E02"/>
    <w:rsid w:val="003E1135"/>
    <w:rsid w:val="003F015E"/>
    <w:rsid w:val="00400414"/>
    <w:rsid w:val="0041446B"/>
    <w:rsid w:val="00437669"/>
    <w:rsid w:val="0044071E"/>
    <w:rsid w:val="00442571"/>
    <w:rsid w:val="0044329C"/>
    <w:rsid w:val="00452D65"/>
    <w:rsid w:val="00453E24"/>
    <w:rsid w:val="00457456"/>
    <w:rsid w:val="004577FE"/>
    <w:rsid w:val="00457B9C"/>
    <w:rsid w:val="0046164A"/>
    <w:rsid w:val="004628D2"/>
    <w:rsid w:val="00462DCD"/>
    <w:rsid w:val="004648AD"/>
    <w:rsid w:val="0046768F"/>
    <w:rsid w:val="004703A9"/>
    <w:rsid w:val="004760DE"/>
    <w:rsid w:val="004763D7"/>
    <w:rsid w:val="004A004E"/>
    <w:rsid w:val="004A24CF"/>
    <w:rsid w:val="004A5E57"/>
    <w:rsid w:val="004B5C1A"/>
    <w:rsid w:val="004C194F"/>
    <w:rsid w:val="004C3D1D"/>
    <w:rsid w:val="004C3D84"/>
    <w:rsid w:val="004C5F01"/>
    <w:rsid w:val="004C66AD"/>
    <w:rsid w:val="004C7913"/>
    <w:rsid w:val="004E4DD6"/>
    <w:rsid w:val="004F5E36"/>
    <w:rsid w:val="004F77FC"/>
    <w:rsid w:val="0050404F"/>
    <w:rsid w:val="00507B47"/>
    <w:rsid w:val="00507BEF"/>
    <w:rsid w:val="00507CC9"/>
    <w:rsid w:val="005119A5"/>
    <w:rsid w:val="0051421C"/>
    <w:rsid w:val="005278B7"/>
    <w:rsid w:val="00532016"/>
    <w:rsid w:val="005346C8"/>
    <w:rsid w:val="005403FF"/>
    <w:rsid w:val="00543E7D"/>
    <w:rsid w:val="00547A68"/>
    <w:rsid w:val="00550D01"/>
    <w:rsid w:val="005531C9"/>
    <w:rsid w:val="00570C43"/>
    <w:rsid w:val="0058553C"/>
    <w:rsid w:val="00592274"/>
    <w:rsid w:val="00595009"/>
    <w:rsid w:val="005B2110"/>
    <w:rsid w:val="005B4620"/>
    <w:rsid w:val="005B61E6"/>
    <w:rsid w:val="005C77E1"/>
    <w:rsid w:val="005D668A"/>
    <w:rsid w:val="005D6A2F"/>
    <w:rsid w:val="005E0592"/>
    <w:rsid w:val="005E1A82"/>
    <w:rsid w:val="005E794C"/>
    <w:rsid w:val="005F0A28"/>
    <w:rsid w:val="005F0E5E"/>
    <w:rsid w:val="00600535"/>
    <w:rsid w:val="00607F56"/>
    <w:rsid w:val="00610CD6"/>
    <w:rsid w:val="00620DEE"/>
    <w:rsid w:val="00621F92"/>
    <w:rsid w:val="0062280A"/>
    <w:rsid w:val="006231E1"/>
    <w:rsid w:val="00625639"/>
    <w:rsid w:val="00631B33"/>
    <w:rsid w:val="0064184D"/>
    <w:rsid w:val="0064202C"/>
    <w:rsid w:val="006422CC"/>
    <w:rsid w:val="00651D18"/>
    <w:rsid w:val="00660E3E"/>
    <w:rsid w:val="00662E74"/>
    <w:rsid w:val="00680C23"/>
    <w:rsid w:val="00683E23"/>
    <w:rsid w:val="00693766"/>
    <w:rsid w:val="006A3281"/>
    <w:rsid w:val="006B4888"/>
    <w:rsid w:val="006C2E45"/>
    <w:rsid w:val="006C359C"/>
    <w:rsid w:val="006C5579"/>
    <w:rsid w:val="006D664D"/>
    <w:rsid w:val="006D6E8B"/>
    <w:rsid w:val="006D7209"/>
    <w:rsid w:val="006E737D"/>
    <w:rsid w:val="006F7D30"/>
    <w:rsid w:val="0070117D"/>
    <w:rsid w:val="00707DD1"/>
    <w:rsid w:val="00712C4B"/>
    <w:rsid w:val="00713973"/>
    <w:rsid w:val="00720A24"/>
    <w:rsid w:val="00725C7F"/>
    <w:rsid w:val="00732386"/>
    <w:rsid w:val="007342A1"/>
    <w:rsid w:val="0073514D"/>
    <w:rsid w:val="007447F3"/>
    <w:rsid w:val="00744C6D"/>
    <w:rsid w:val="0075499F"/>
    <w:rsid w:val="007617CC"/>
    <w:rsid w:val="007661C8"/>
    <w:rsid w:val="0077098D"/>
    <w:rsid w:val="00774B83"/>
    <w:rsid w:val="007762FE"/>
    <w:rsid w:val="00785BF9"/>
    <w:rsid w:val="00787014"/>
    <w:rsid w:val="007931FA"/>
    <w:rsid w:val="007A4861"/>
    <w:rsid w:val="007A7BBA"/>
    <w:rsid w:val="007B0C50"/>
    <w:rsid w:val="007B48F9"/>
    <w:rsid w:val="007C1A43"/>
    <w:rsid w:val="007D0951"/>
    <w:rsid w:val="007E1B0B"/>
    <w:rsid w:val="007F053D"/>
    <w:rsid w:val="007F27C8"/>
    <w:rsid w:val="007F38D4"/>
    <w:rsid w:val="0080013E"/>
    <w:rsid w:val="0080031B"/>
    <w:rsid w:val="0080184B"/>
    <w:rsid w:val="00813288"/>
    <w:rsid w:val="008168FC"/>
    <w:rsid w:val="00830996"/>
    <w:rsid w:val="008314D7"/>
    <w:rsid w:val="0083226A"/>
    <w:rsid w:val="00833729"/>
    <w:rsid w:val="008345F1"/>
    <w:rsid w:val="0083564A"/>
    <w:rsid w:val="0086081E"/>
    <w:rsid w:val="00865287"/>
    <w:rsid w:val="00865B07"/>
    <w:rsid w:val="008667EA"/>
    <w:rsid w:val="0087637F"/>
    <w:rsid w:val="00892AD5"/>
    <w:rsid w:val="008A1512"/>
    <w:rsid w:val="008A1C89"/>
    <w:rsid w:val="008B6352"/>
    <w:rsid w:val="008D32B9"/>
    <w:rsid w:val="008D433B"/>
    <w:rsid w:val="008D4A16"/>
    <w:rsid w:val="008E209A"/>
    <w:rsid w:val="008E45BC"/>
    <w:rsid w:val="008E566E"/>
    <w:rsid w:val="008F2783"/>
    <w:rsid w:val="0090161A"/>
    <w:rsid w:val="00901EB6"/>
    <w:rsid w:val="009041F8"/>
    <w:rsid w:val="00904C62"/>
    <w:rsid w:val="00922BA8"/>
    <w:rsid w:val="0092478A"/>
    <w:rsid w:val="00924DAC"/>
    <w:rsid w:val="00927058"/>
    <w:rsid w:val="00942750"/>
    <w:rsid w:val="00944510"/>
    <w:rsid w:val="009450CE"/>
    <w:rsid w:val="009459BB"/>
    <w:rsid w:val="00947179"/>
    <w:rsid w:val="0095164B"/>
    <w:rsid w:val="00954090"/>
    <w:rsid w:val="009573E7"/>
    <w:rsid w:val="00963E05"/>
    <w:rsid w:val="009642F0"/>
    <w:rsid w:val="00964A45"/>
    <w:rsid w:val="009674F7"/>
    <w:rsid w:val="00967843"/>
    <w:rsid w:val="00967D54"/>
    <w:rsid w:val="00971028"/>
    <w:rsid w:val="00993B84"/>
    <w:rsid w:val="00996483"/>
    <w:rsid w:val="00996F5A"/>
    <w:rsid w:val="009A1415"/>
    <w:rsid w:val="009B041A"/>
    <w:rsid w:val="009C37C3"/>
    <w:rsid w:val="009C7C86"/>
    <w:rsid w:val="009D2FF7"/>
    <w:rsid w:val="009E7884"/>
    <w:rsid w:val="009E788A"/>
    <w:rsid w:val="009F0BB2"/>
    <w:rsid w:val="009F0E08"/>
    <w:rsid w:val="00A079AE"/>
    <w:rsid w:val="00A1462A"/>
    <w:rsid w:val="00A1763D"/>
    <w:rsid w:val="00A17CEC"/>
    <w:rsid w:val="00A26CBB"/>
    <w:rsid w:val="00A27EF0"/>
    <w:rsid w:val="00A304F9"/>
    <w:rsid w:val="00A42361"/>
    <w:rsid w:val="00A50B20"/>
    <w:rsid w:val="00A51390"/>
    <w:rsid w:val="00A60D13"/>
    <w:rsid w:val="00A7223D"/>
    <w:rsid w:val="00A72745"/>
    <w:rsid w:val="00A76EFC"/>
    <w:rsid w:val="00A817F4"/>
    <w:rsid w:val="00A81B92"/>
    <w:rsid w:val="00A87D50"/>
    <w:rsid w:val="00A91010"/>
    <w:rsid w:val="00A97F29"/>
    <w:rsid w:val="00AA702E"/>
    <w:rsid w:val="00AA7D26"/>
    <w:rsid w:val="00AB0964"/>
    <w:rsid w:val="00AB5011"/>
    <w:rsid w:val="00AB7123"/>
    <w:rsid w:val="00AC7368"/>
    <w:rsid w:val="00AD0278"/>
    <w:rsid w:val="00AD16B9"/>
    <w:rsid w:val="00AD45AD"/>
    <w:rsid w:val="00AE377D"/>
    <w:rsid w:val="00AE608A"/>
    <w:rsid w:val="00AF0EBA"/>
    <w:rsid w:val="00B02C8A"/>
    <w:rsid w:val="00B17FBD"/>
    <w:rsid w:val="00B315A6"/>
    <w:rsid w:val="00B31813"/>
    <w:rsid w:val="00B33365"/>
    <w:rsid w:val="00B47D3F"/>
    <w:rsid w:val="00B504C5"/>
    <w:rsid w:val="00B561BE"/>
    <w:rsid w:val="00B57B36"/>
    <w:rsid w:val="00B57E6F"/>
    <w:rsid w:val="00B718A5"/>
    <w:rsid w:val="00B76602"/>
    <w:rsid w:val="00B8686D"/>
    <w:rsid w:val="00B936A2"/>
    <w:rsid w:val="00B93F69"/>
    <w:rsid w:val="00BB1DDC"/>
    <w:rsid w:val="00BC30C9"/>
    <w:rsid w:val="00BC4E2E"/>
    <w:rsid w:val="00BD077D"/>
    <w:rsid w:val="00BE3E58"/>
    <w:rsid w:val="00BF1C0A"/>
    <w:rsid w:val="00BF679E"/>
    <w:rsid w:val="00C01616"/>
    <w:rsid w:val="00C0162B"/>
    <w:rsid w:val="00C04485"/>
    <w:rsid w:val="00C068ED"/>
    <w:rsid w:val="00C208E9"/>
    <w:rsid w:val="00C22E0C"/>
    <w:rsid w:val="00C345B1"/>
    <w:rsid w:val="00C40142"/>
    <w:rsid w:val="00C464CE"/>
    <w:rsid w:val="00C52C3C"/>
    <w:rsid w:val="00C54B4F"/>
    <w:rsid w:val="00C57182"/>
    <w:rsid w:val="00C57863"/>
    <w:rsid w:val="00C640AF"/>
    <w:rsid w:val="00C655FD"/>
    <w:rsid w:val="00C67310"/>
    <w:rsid w:val="00C75407"/>
    <w:rsid w:val="00C841C6"/>
    <w:rsid w:val="00C870A8"/>
    <w:rsid w:val="00C94434"/>
    <w:rsid w:val="00CA0D75"/>
    <w:rsid w:val="00CA1C95"/>
    <w:rsid w:val="00CA1D1E"/>
    <w:rsid w:val="00CA27E8"/>
    <w:rsid w:val="00CA5A9C"/>
    <w:rsid w:val="00CC4C20"/>
    <w:rsid w:val="00CD3517"/>
    <w:rsid w:val="00CD3D78"/>
    <w:rsid w:val="00CD5C46"/>
    <w:rsid w:val="00CD5FE2"/>
    <w:rsid w:val="00CE7C68"/>
    <w:rsid w:val="00D02B4C"/>
    <w:rsid w:val="00D040C4"/>
    <w:rsid w:val="00D20AD1"/>
    <w:rsid w:val="00D2582C"/>
    <w:rsid w:val="00D46B7E"/>
    <w:rsid w:val="00D53B15"/>
    <w:rsid w:val="00D57C84"/>
    <w:rsid w:val="00D6057D"/>
    <w:rsid w:val="00D71640"/>
    <w:rsid w:val="00D836C5"/>
    <w:rsid w:val="00D84576"/>
    <w:rsid w:val="00DA1399"/>
    <w:rsid w:val="00DA24C6"/>
    <w:rsid w:val="00DA4D7B"/>
    <w:rsid w:val="00DA7DBC"/>
    <w:rsid w:val="00DB28C0"/>
    <w:rsid w:val="00DD271C"/>
    <w:rsid w:val="00DE01FF"/>
    <w:rsid w:val="00DE264A"/>
    <w:rsid w:val="00DF5072"/>
    <w:rsid w:val="00E02D18"/>
    <w:rsid w:val="00E041E7"/>
    <w:rsid w:val="00E23CA1"/>
    <w:rsid w:val="00E27E2A"/>
    <w:rsid w:val="00E349B4"/>
    <w:rsid w:val="00E3675A"/>
    <w:rsid w:val="00E409A8"/>
    <w:rsid w:val="00E47D61"/>
    <w:rsid w:val="00E50C12"/>
    <w:rsid w:val="00E5117E"/>
    <w:rsid w:val="00E51960"/>
    <w:rsid w:val="00E65B91"/>
    <w:rsid w:val="00E66F1F"/>
    <w:rsid w:val="00E7209D"/>
    <w:rsid w:val="00E72674"/>
    <w:rsid w:val="00E72EAD"/>
    <w:rsid w:val="00E77223"/>
    <w:rsid w:val="00E8528B"/>
    <w:rsid w:val="00E85B94"/>
    <w:rsid w:val="00E94F41"/>
    <w:rsid w:val="00E978D0"/>
    <w:rsid w:val="00EA0222"/>
    <w:rsid w:val="00EA4613"/>
    <w:rsid w:val="00EA7D57"/>
    <w:rsid w:val="00EA7F91"/>
    <w:rsid w:val="00EB1523"/>
    <w:rsid w:val="00EB4F67"/>
    <w:rsid w:val="00EC0E49"/>
    <w:rsid w:val="00EC101F"/>
    <w:rsid w:val="00EC1D9F"/>
    <w:rsid w:val="00EE0131"/>
    <w:rsid w:val="00EE17B0"/>
    <w:rsid w:val="00EF06D9"/>
    <w:rsid w:val="00EF0982"/>
    <w:rsid w:val="00F266FC"/>
    <w:rsid w:val="00F3049E"/>
    <w:rsid w:val="00F30C64"/>
    <w:rsid w:val="00F32BA2"/>
    <w:rsid w:val="00F32CDB"/>
    <w:rsid w:val="00F3348F"/>
    <w:rsid w:val="00F37280"/>
    <w:rsid w:val="00F41EE4"/>
    <w:rsid w:val="00F4258B"/>
    <w:rsid w:val="00F565FE"/>
    <w:rsid w:val="00F63A70"/>
    <w:rsid w:val="00F63D8C"/>
    <w:rsid w:val="00F656AE"/>
    <w:rsid w:val="00F7534E"/>
    <w:rsid w:val="00F93EDF"/>
    <w:rsid w:val="00F977BB"/>
    <w:rsid w:val="00FA1802"/>
    <w:rsid w:val="00FA21D0"/>
    <w:rsid w:val="00FA5F5F"/>
    <w:rsid w:val="00FB4871"/>
    <w:rsid w:val="00FB730C"/>
    <w:rsid w:val="00FC2695"/>
    <w:rsid w:val="00FC3E03"/>
    <w:rsid w:val="00FC3FC1"/>
    <w:rsid w:val="00FF119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har"/>
    <w:uiPriority w:val="9"/>
    <w:rsid w:val="004F5E36"/>
    <w:pPr>
      <w:tabs>
        <w:tab w:val="clear" w:pos="360"/>
        <w:tab w:val="right" w:pos="7100"/>
      </w:tabs>
      <w:jc w:val="both"/>
      <w:outlineLvl w:val="0"/>
    </w:pPr>
    <w:rPr>
      <w:lang w:val="en-GB"/>
    </w:rPr>
  </w:style>
  <w:style w:type="paragraph" w:styleId="Ttulo2">
    <w:name w:val="heading 2"/>
    <w:basedOn w:val="Normal"/>
    <w:next w:val="Normal"/>
    <w:link w:val="Ttulo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aSimples-1">
    <w:name w:val="Table Simple 1"/>
    <w:basedOn w:val="Tabe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rio">
    <w:name w:val="annotation reference"/>
    <w:basedOn w:val="Fontepargpadro"/>
    <w:uiPriority w:val="99"/>
    <w:semiHidden/>
    <w:unhideWhenUsed/>
    <w:rsid w:val="004577FE"/>
    <w:rPr>
      <w:sz w:val="16"/>
      <w:szCs w:val="16"/>
    </w:rPr>
  </w:style>
  <w:style w:type="paragraph" w:styleId="Textodebalo">
    <w:name w:val="Balloon Text"/>
    <w:basedOn w:val="Normal"/>
    <w:link w:val="TextodebaloChar"/>
    <w:uiPriority w:val="99"/>
    <w:semiHidden/>
    <w:unhideWhenUsed/>
    <w:rsid w:val="000D34B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texto2">
    <w:name w:val="Body Text 2"/>
    <w:basedOn w:val="Normal"/>
    <w:link w:val="Corpodetexto2Char"/>
    <w:uiPriority w:val="99"/>
    <w:semiHidden/>
    <w:unhideWhenUsed/>
    <w:rsid w:val="0003148D"/>
    <w:pPr>
      <w:spacing w:after="120" w:line="480" w:lineRule="auto"/>
    </w:pPr>
  </w:style>
  <w:style w:type="character" w:customStyle="1" w:styleId="Corpodetexto2Char">
    <w:name w:val="Corpo de texto 2 Char"/>
    <w:basedOn w:val="Fontepargpadro"/>
    <w:link w:val="Corpodetexto2"/>
    <w:uiPriority w:val="99"/>
    <w:semiHidden/>
    <w:rsid w:val="0003148D"/>
  </w:style>
  <w:style w:type="paragraph" w:styleId="Corpodetexto3">
    <w:name w:val="Body Text 3"/>
    <w:basedOn w:val="Normal"/>
    <w:link w:val="Corpodetexto3Char"/>
    <w:uiPriority w:val="99"/>
    <w:semiHidden/>
    <w:unhideWhenUsed/>
    <w:rsid w:val="0003148D"/>
    <w:pPr>
      <w:spacing w:after="120"/>
    </w:pPr>
    <w:rPr>
      <w:sz w:val="16"/>
      <w:szCs w:val="16"/>
    </w:rPr>
  </w:style>
  <w:style w:type="character" w:customStyle="1" w:styleId="Corpodetexto3Char">
    <w:name w:val="Corpo de texto 3 Char"/>
    <w:basedOn w:val="Fontepargpadro"/>
    <w:link w:val="Corpodetexto3"/>
    <w:uiPriority w:val="99"/>
    <w:semiHidden/>
    <w:rsid w:val="0003148D"/>
    <w:rPr>
      <w:sz w:val="16"/>
      <w:szCs w:val="16"/>
    </w:rPr>
  </w:style>
  <w:style w:type="paragraph" w:styleId="Corpodetexto">
    <w:name w:val="Body Text"/>
    <w:basedOn w:val="Normal"/>
    <w:link w:val="CorpodetextoChar"/>
    <w:uiPriority w:val="99"/>
    <w:semiHidden/>
    <w:unhideWhenUsed/>
    <w:rsid w:val="0003148D"/>
    <w:pPr>
      <w:spacing w:after="120"/>
    </w:pPr>
  </w:style>
  <w:style w:type="character" w:customStyle="1" w:styleId="CorpodetextoChar">
    <w:name w:val="Corpo de texto Char"/>
    <w:basedOn w:val="Fontepargpadro"/>
    <w:link w:val="Corpodetexto"/>
    <w:uiPriority w:val="99"/>
    <w:semiHidden/>
    <w:rsid w:val="0003148D"/>
  </w:style>
  <w:style w:type="paragraph" w:styleId="Data">
    <w:name w:val="Date"/>
    <w:basedOn w:val="Normal"/>
    <w:next w:val="Normal"/>
    <w:link w:val="DataChar"/>
    <w:uiPriority w:val="99"/>
    <w:semiHidden/>
    <w:unhideWhenUsed/>
    <w:rsid w:val="0003148D"/>
  </w:style>
  <w:style w:type="character" w:customStyle="1" w:styleId="DataChar">
    <w:name w:val="Data Char"/>
    <w:basedOn w:val="Fontepargpadro"/>
    <w:link w:val="Data"/>
    <w:uiPriority w:val="99"/>
    <w:semiHidden/>
    <w:rsid w:val="0003148D"/>
  </w:style>
  <w:style w:type="paragraph" w:styleId="Legenda">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Listadecontinuao">
    <w:name w:val="List Continue"/>
    <w:basedOn w:val="Normal"/>
    <w:uiPriority w:val="99"/>
    <w:semiHidden/>
    <w:unhideWhenUsed/>
    <w:rsid w:val="0003148D"/>
    <w:pPr>
      <w:spacing w:after="120"/>
      <w:ind w:left="283"/>
      <w:contextualSpacing/>
    </w:pPr>
  </w:style>
  <w:style w:type="paragraph" w:styleId="Listadecontinuao2">
    <w:name w:val="List Continue 2"/>
    <w:basedOn w:val="Normal"/>
    <w:uiPriority w:val="99"/>
    <w:semiHidden/>
    <w:unhideWhenUsed/>
    <w:rsid w:val="0003148D"/>
    <w:pPr>
      <w:spacing w:after="120"/>
      <w:ind w:left="566"/>
      <w:contextualSpacing/>
    </w:pPr>
  </w:style>
  <w:style w:type="paragraph" w:styleId="Listadecontinuao3">
    <w:name w:val="List Continue 3"/>
    <w:basedOn w:val="Normal"/>
    <w:uiPriority w:val="99"/>
    <w:semiHidden/>
    <w:unhideWhenUsed/>
    <w:rsid w:val="0003148D"/>
    <w:pPr>
      <w:spacing w:after="120"/>
      <w:ind w:left="849"/>
      <w:contextualSpacing/>
    </w:pPr>
  </w:style>
  <w:style w:type="paragraph" w:styleId="Listadecontinuao4">
    <w:name w:val="List Continue 4"/>
    <w:basedOn w:val="Normal"/>
    <w:uiPriority w:val="99"/>
    <w:semiHidden/>
    <w:unhideWhenUsed/>
    <w:rsid w:val="0003148D"/>
    <w:pPr>
      <w:spacing w:after="120"/>
      <w:ind w:left="1132"/>
      <w:contextualSpacing/>
    </w:pPr>
  </w:style>
  <w:style w:type="paragraph" w:styleId="Listadecontinuao5">
    <w:name w:val="List Continue 5"/>
    <w:basedOn w:val="Normal"/>
    <w:uiPriority w:val="99"/>
    <w:semiHidden/>
    <w:unhideWhenUsed/>
    <w:rsid w:val="0003148D"/>
    <w:pPr>
      <w:spacing w:after="120"/>
      <w:ind w:left="1415"/>
      <w:contextualSpacing/>
    </w:pPr>
  </w:style>
  <w:style w:type="paragraph" w:styleId="Assinatura">
    <w:name w:val="Signature"/>
    <w:basedOn w:val="Normal"/>
    <w:link w:val="AssinaturaChar"/>
    <w:uiPriority w:val="99"/>
    <w:semiHidden/>
    <w:unhideWhenUsed/>
    <w:rsid w:val="0003148D"/>
    <w:pPr>
      <w:spacing w:line="240" w:lineRule="auto"/>
      <w:ind w:left="4252"/>
    </w:pPr>
  </w:style>
  <w:style w:type="character" w:customStyle="1" w:styleId="AssinaturaChar">
    <w:name w:val="Assinatura Char"/>
    <w:basedOn w:val="Fontepargpadro"/>
    <w:link w:val="Assinatura"/>
    <w:uiPriority w:val="99"/>
    <w:semiHidden/>
    <w:rsid w:val="0003148D"/>
  </w:style>
  <w:style w:type="paragraph" w:styleId="AssinaturadeEmail">
    <w:name w:val="E-mail Signature"/>
    <w:basedOn w:val="Normal"/>
    <w:link w:val="AssinaturadeEmailChar"/>
    <w:uiPriority w:val="99"/>
    <w:semiHidden/>
    <w:unhideWhenUsed/>
    <w:rsid w:val="0003148D"/>
    <w:pPr>
      <w:spacing w:line="240" w:lineRule="auto"/>
    </w:pPr>
  </w:style>
  <w:style w:type="character" w:customStyle="1" w:styleId="AssinaturadeEmailChar">
    <w:name w:val="Assinatura de Email Char"/>
    <w:basedOn w:val="Fontepargpadro"/>
    <w:link w:val="AssinaturadeEmail"/>
    <w:uiPriority w:val="99"/>
    <w:semiHidden/>
    <w:rsid w:val="0003148D"/>
  </w:style>
  <w:style w:type="paragraph" w:styleId="Saudao">
    <w:name w:val="Salutation"/>
    <w:basedOn w:val="Normal"/>
    <w:next w:val="Normal"/>
    <w:link w:val="SaudaoChar"/>
    <w:uiPriority w:val="99"/>
    <w:semiHidden/>
    <w:unhideWhenUsed/>
    <w:rsid w:val="0003148D"/>
  </w:style>
  <w:style w:type="character" w:customStyle="1" w:styleId="SaudaoChar">
    <w:name w:val="Saudação Char"/>
    <w:basedOn w:val="Fontepargpadro"/>
    <w:link w:val="Saudao"/>
    <w:uiPriority w:val="99"/>
    <w:semiHidden/>
    <w:rsid w:val="0003148D"/>
  </w:style>
  <w:style w:type="paragraph" w:styleId="Encerramento">
    <w:name w:val="Closing"/>
    <w:basedOn w:val="Normal"/>
    <w:link w:val="EncerramentoChar"/>
    <w:uiPriority w:val="99"/>
    <w:semiHidden/>
    <w:unhideWhenUsed/>
    <w:rsid w:val="0003148D"/>
    <w:pPr>
      <w:spacing w:line="240" w:lineRule="auto"/>
      <w:ind w:left="4252"/>
    </w:pPr>
  </w:style>
  <w:style w:type="character" w:customStyle="1" w:styleId="EncerramentoChar">
    <w:name w:val="Encerramento Char"/>
    <w:basedOn w:val="Fontepargpadro"/>
    <w:link w:val="Encerramento"/>
    <w:uiPriority w:val="99"/>
    <w:semiHidden/>
    <w:rsid w:val="0003148D"/>
  </w:style>
  <w:style w:type="paragraph" w:styleId="Remissivo1">
    <w:name w:val="index 1"/>
    <w:basedOn w:val="Normal"/>
    <w:next w:val="Normal"/>
    <w:autoRedefine/>
    <w:uiPriority w:val="99"/>
    <w:semiHidden/>
    <w:unhideWhenUsed/>
    <w:rsid w:val="0003148D"/>
    <w:pPr>
      <w:spacing w:line="240" w:lineRule="auto"/>
      <w:ind w:left="220" w:hanging="220"/>
    </w:pPr>
  </w:style>
  <w:style w:type="paragraph" w:styleId="Remissivo2">
    <w:name w:val="index 2"/>
    <w:basedOn w:val="Normal"/>
    <w:next w:val="Normal"/>
    <w:autoRedefine/>
    <w:uiPriority w:val="99"/>
    <w:semiHidden/>
    <w:unhideWhenUsed/>
    <w:rsid w:val="0003148D"/>
    <w:pPr>
      <w:spacing w:line="240" w:lineRule="auto"/>
      <w:ind w:left="440" w:hanging="220"/>
    </w:pPr>
  </w:style>
  <w:style w:type="paragraph" w:styleId="Remissivo3">
    <w:name w:val="index 3"/>
    <w:basedOn w:val="Normal"/>
    <w:next w:val="Normal"/>
    <w:autoRedefine/>
    <w:uiPriority w:val="99"/>
    <w:semiHidden/>
    <w:unhideWhenUsed/>
    <w:rsid w:val="0003148D"/>
    <w:pPr>
      <w:spacing w:line="240" w:lineRule="auto"/>
      <w:ind w:left="660" w:hanging="220"/>
    </w:pPr>
  </w:style>
  <w:style w:type="paragraph" w:styleId="Remissivo4">
    <w:name w:val="index 4"/>
    <w:basedOn w:val="Normal"/>
    <w:next w:val="Normal"/>
    <w:autoRedefine/>
    <w:uiPriority w:val="99"/>
    <w:semiHidden/>
    <w:unhideWhenUsed/>
    <w:rsid w:val="0003148D"/>
    <w:pPr>
      <w:spacing w:line="240" w:lineRule="auto"/>
      <w:ind w:left="880" w:hanging="220"/>
    </w:pPr>
  </w:style>
  <w:style w:type="paragraph" w:styleId="Remissivo5">
    <w:name w:val="index 5"/>
    <w:basedOn w:val="Normal"/>
    <w:next w:val="Normal"/>
    <w:autoRedefine/>
    <w:uiPriority w:val="99"/>
    <w:semiHidden/>
    <w:unhideWhenUsed/>
    <w:rsid w:val="0003148D"/>
    <w:pPr>
      <w:spacing w:line="240" w:lineRule="auto"/>
      <w:ind w:left="1100" w:hanging="220"/>
    </w:pPr>
  </w:style>
  <w:style w:type="paragraph" w:styleId="Remissivo6">
    <w:name w:val="index 6"/>
    <w:basedOn w:val="Normal"/>
    <w:next w:val="Normal"/>
    <w:autoRedefine/>
    <w:uiPriority w:val="99"/>
    <w:semiHidden/>
    <w:unhideWhenUsed/>
    <w:rsid w:val="0003148D"/>
    <w:pPr>
      <w:spacing w:line="240" w:lineRule="auto"/>
      <w:ind w:left="1320" w:hanging="220"/>
    </w:pPr>
  </w:style>
  <w:style w:type="paragraph" w:styleId="Remissivo7">
    <w:name w:val="index 7"/>
    <w:basedOn w:val="Normal"/>
    <w:next w:val="Normal"/>
    <w:autoRedefine/>
    <w:uiPriority w:val="99"/>
    <w:semiHidden/>
    <w:unhideWhenUsed/>
    <w:rsid w:val="0003148D"/>
    <w:pPr>
      <w:spacing w:line="240" w:lineRule="auto"/>
      <w:ind w:left="1540" w:hanging="220"/>
    </w:pPr>
  </w:style>
  <w:style w:type="paragraph" w:styleId="Remissivo8">
    <w:name w:val="index 8"/>
    <w:basedOn w:val="Normal"/>
    <w:next w:val="Normal"/>
    <w:autoRedefine/>
    <w:uiPriority w:val="99"/>
    <w:semiHidden/>
    <w:unhideWhenUsed/>
    <w:rsid w:val="0003148D"/>
    <w:pPr>
      <w:spacing w:line="240" w:lineRule="auto"/>
      <w:ind w:left="1760" w:hanging="220"/>
    </w:pPr>
  </w:style>
  <w:style w:type="paragraph" w:styleId="Remissivo9">
    <w:name w:val="index 9"/>
    <w:basedOn w:val="Normal"/>
    <w:next w:val="Normal"/>
    <w:autoRedefine/>
    <w:uiPriority w:val="99"/>
    <w:semiHidden/>
    <w:unhideWhenUsed/>
    <w:rsid w:val="0003148D"/>
    <w:pPr>
      <w:spacing w:line="240" w:lineRule="auto"/>
      <w:ind w:left="1980" w:hanging="220"/>
    </w:pPr>
  </w:style>
  <w:style w:type="paragraph" w:styleId="ndicedeilustraes">
    <w:name w:val="table of figures"/>
    <w:basedOn w:val="Normal"/>
    <w:next w:val="Normal"/>
    <w:uiPriority w:val="99"/>
    <w:semiHidden/>
    <w:unhideWhenUsed/>
    <w:rsid w:val="0003148D"/>
  </w:style>
  <w:style w:type="paragraph" w:styleId="ndicedeautoridades">
    <w:name w:val="table of authorities"/>
    <w:basedOn w:val="Normal"/>
    <w:next w:val="Normal"/>
    <w:uiPriority w:val="99"/>
    <w:semiHidden/>
    <w:unhideWhenUsed/>
    <w:rsid w:val="0003148D"/>
    <w:pPr>
      <w:ind w:left="220" w:hanging="220"/>
    </w:pPr>
  </w:style>
  <w:style w:type="paragraph" w:styleId="Destinatrio">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dereoHTML">
    <w:name w:val="HTML Address"/>
    <w:basedOn w:val="Normal"/>
    <w:link w:val="EndereoHTMLChar"/>
    <w:uiPriority w:val="99"/>
    <w:semiHidden/>
    <w:unhideWhenUsed/>
    <w:rsid w:val="0003148D"/>
    <w:pPr>
      <w:spacing w:line="240" w:lineRule="auto"/>
    </w:pPr>
    <w:rPr>
      <w:i/>
      <w:iCs/>
    </w:rPr>
  </w:style>
  <w:style w:type="character" w:customStyle="1" w:styleId="EndereoHTMLChar">
    <w:name w:val="Endereço HTML Char"/>
    <w:basedOn w:val="Fontepargpadro"/>
    <w:link w:val="EndereoHTML"/>
    <w:uiPriority w:val="99"/>
    <w:semiHidden/>
    <w:rsid w:val="0003148D"/>
    <w:rPr>
      <w:i/>
      <w:iCs/>
    </w:rPr>
  </w:style>
  <w:style w:type="paragraph" w:styleId="Remetent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Cabealhodamensagem">
    <w:name w:val="Message Header"/>
    <w:basedOn w:val="Normal"/>
    <w:link w:val="Cabealhodamensagem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03148D"/>
    <w:rPr>
      <w:rFonts w:asciiTheme="majorHAnsi" w:eastAsiaTheme="majorEastAsia" w:hAnsiTheme="majorHAnsi" w:cstheme="majorBidi"/>
      <w:sz w:val="24"/>
      <w:szCs w:val="24"/>
      <w:shd w:val="pct20" w:color="auto" w:fill="auto"/>
    </w:rPr>
  </w:style>
  <w:style w:type="paragraph" w:styleId="Ttulodanota">
    <w:name w:val="Note Heading"/>
    <w:basedOn w:val="Normal"/>
    <w:next w:val="Normal"/>
    <w:link w:val="TtulodanotaChar"/>
    <w:uiPriority w:val="99"/>
    <w:semiHidden/>
    <w:unhideWhenUsed/>
    <w:rsid w:val="0003148D"/>
    <w:pPr>
      <w:spacing w:line="240" w:lineRule="auto"/>
    </w:pPr>
  </w:style>
  <w:style w:type="character" w:customStyle="1" w:styleId="TtulodanotaChar">
    <w:name w:val="Título da nota Char"/>
    <w:basedOn w:val="Fontepargpadro"/>
    <w:link w:val="Ttulodanota"/>
    <w:uiPriority w:val="99"/>
    <w:semiHidden/>
    <w:rsid w:val="0003148D"/>
  </w:style>
  <w:style w:type="paragraph" w:styleId="MapadoDocumento">
    <w:name w:val="Document Map"/>
    <w:basedOn w:val="Normal"/>
    <w:link w:val="MapadoDocumentoChar"/>
    <w:uiPriority w:val="99"/>
    <w:semiHidden/>
    <w:unhideWhenUsed/>
    <w:rsid w:val="0003148D"/>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Numerada">
    <w:name w:val="List Number"/>
    <w:basedOn w:val="Normal"/>
    <w:uiPriority w:val="99"/>
    <w:semiHidden/>
    <w:unhideWhenUsed/>
    <w:rsid w:val="0003148D"/>
    <w:pPr>
      <w:numPr>
        <w:numId w:val="2"/>
      </w:numPr>
      <w:contextualSpacing/>
    </w:pPr>
  </w:style>
  <w:style w:type="paragraph" w:styleId="Numerada2">
    <w:name w:val="List Number 2"/>
    <w:basedOn w:val="Normal"/>
    <w:uiPriority w:val="99"/>
    <w:semiHidden/>
    <w:unhideWhenUsed/>
    <w:rsid w:val="0003148D"/>
    <w:pPr>
      <w:numPr>
        <w:numId w:val="3"/>
      </w:numPr>
      <w:contextualSpacing/>
    </w:pPr>
  </w:style>
  <w:style w:type="paragraph" w:styleId="Numerada3">
    <w:name w:val="List Number 3"/>
    <w:basedOn w:val="Normal"/>
    <w:uiPriority w:val="99"/>
    <w:semiHidden/>
    <w:unhideWhenUsed/>
    <w:rsid w:val="0003148D"/>
    <w:pPr>
      <w:numPr>
        <w:numId w:val="4"/>
      </w:numPr>
      <w:contextualSpacing/>
    </w:pPr>
  </w:style>
  <w:style w:type="paragraph" w:styleId="Numerada4">
    <w:name w:val="List Number 4"/>
    <w:basedOn w:val="Normal"/>
    <w:uiPriority w:val="99"/>
    <w:semiHidden/>
    <w:unhideWhenUsed/>
    <w:rsid w:val="0003148D"/>
    <w:pPr>
      <w:numPr>
        <w:numId w:val="5"/>
      </w:numPr>
      <w:contextualSpacing/>
    </w:pPr>
  </w:style>
  <w:style w:type="paragraph" w:styleId="Numerada5">
    <w:name w:val="List Number 5"/>
    <w:basedOn w:val="Normal"/>
    <w:uiPriority w:val="99"/>
    <w:semiHidden/>
    <w:unhideWhenUsed/>
    <w:rsid w:val="0003148D"/>
    <w:pPr>
      <w:numPr>
        <w:numId w:val="6"/>
      </w:numPr>
      <w:contextualSpacing/>
    </w:pPr>
  </w:style>
  <w:style w:type="paragraph" w:styleId="Pr-formataoHTML">
    <w:name w:val="HTML Preformatted"/>
    <w:basedOn w:val="Normal"/>
    <w:link w:val="Pr-formataoHTMLChar"/>
    <w:uiPriority w:val="99"/>
    <w:semiHidden/>
    <w:unhideWhenUsed/>
    <w:rsid w:val="0003148D"/>
    <w:pPr>
      <w:spacing w:line="240" w:lineRule="auto"/>
    </w:pPr>
    <w:rPr>
      <w:rFonts w:ascii="Consolas" w:hAnsi="Consolas" w:cs="Consolas"/>
    </w:rPr>
  </w:style>
  <w:style w:type="character" w:customStyle="1" w:styleId="Pr-formataoHTMLChar">
    <w:name w:val="Pré-formatação HTML Char"/>
    <w:basedOn w:val="Fontepargpadro"/>
    <w:link w:val="Pr-formataoHTML"/>
    <w:uiPriority w:val="99"/>
    <w:semiHidden/>
    <w:rsid w:val="0003148D"/>
    <w:rPr>
      <w:rFonts w:ascii="Consolas" w:hAnsi="Consolas" w:cs="Consolas"/>
      <w:sz w:val="20"/>
      <w:szCs w:val="20"/>
    </w:rPr>
  </w:style>
  <w:style w:type="paragraph" w:styleId="Primeirorecuodecorpodetexto">
    <w:name w:val="Body Text First Indent"/>
    <w:basedOn w:val="Corpodetexto"/>
    <w:link w:val="PrimeirorecuodecorpodetextoChar"/>
    <w:uiPriority w:val="99"/>
    <w:semiHidden/>
    <w:unhideWhenUsed/>
    <w:rsid w:val="0003148D"/>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03148D"/>
  </w:style>
  <w:style w:type="paragraph" w:styleId="Recuodecorpodetexto">
    <w:name w:val="Body Text Indent"/>
    <w:basedOn w:val="Normal"/>
    <w:link w:val="RecuodecorpodetextoChar"/>
    <w:uiPriority w:val="99"/>
    <w:semiHidden/>
    <w:unhideWhenUsed/>
    <w:rsid w:val="0003148D"/>
    <w:pPr>
      <w:spacing w:after="120"/>
      <w:ind w:left="283"/>
    </w:pPr>
  </w:style>
  <w:style w:type="character" w:customStyle="1" w:styleId="RecuodecorpodetextoChar">
    <w:name w:val="Recuo de corpo de texto Char"/>
    <w:basedOn w:val="Fontepargpadro"/>
    <w:link w:val="Recuodecorpodetexto"/>
    <w:uiPriority w:val="99"/>
    <w:semiHidden/>
    <w:rsid w:val="0003148D"/>
  </w:style>
  <w:style w:type="paragraph" w:styleId="Primeirorecuodecorpodetexto2">
    <w:name w:val="Body Text First Indent 2"/>
    <w:basedOn w:val="Recuodecorpodetexto"/>
    <w:link w:val="Primeirorecuodecorpodetexto2Char"/>
    <w:uiPriority w:val="99"/>
    <w:semiHidden/>
    <w:unhideWhenUsed/>
    <w:rsid w:val="0003148D"/>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03148D"/>
  </w:style>
  <w:style w:type="paragraph" w:styleId="Commarcadores">
    <w:name w:val="List Bullet"/>
    <w:basedOn w:val="Normal"/>
    <w:uiPriority w:val="99"/>
    <w:semiHidden/>
    <w:unhideWhenUsed/>
    <w:rsid w:val="0003148D"/>
    <w:pPr>
      <w:numPr>
        <w:numId w:val="7"/>
      </w:numPr>
      <w:contextualSpacing/>
    </w:pPr>
  </w:style>
  <w:style w:type="paragraph" w:styleId="Commarcadores2">
    <w:name w:val="List Bullet 2"/>
    <w:basedOn w:val="Normal"/>
    <w:uiPriority w:val="99"/>
    <w:semiHidden/>
    <w:unhideWhenUsed/>
    <w:rsid w:val="0003148D"/>
    <w:pPr>
      <w:numPr>
        <w:numId w:val="8"/>
      </w:numPr>
      <w:contextualSpacing/>
    </w:pPr>
  </w:style>
  <w:style w:type="paragraph" w:styleId="Commarcadores3">
    <w:name w:val="List Bullet 3"/>
    <w:basedOn w:val="Normal"/>
    <w:uiPriority w:val="99"/>
    <w:semiHidden/>
    <w:unhideWhenUsed/>
    <w:rsid w:val="0003148D"/>
    <w:pPr>
      <w:numPr>
        <w:numId w:val="9"/>
      </w:numPr>
      <w:contextualSpacing/>
    </w:pPr>
  </w:style>
  <w:style w:type="paragraph" w:styleId="Commarcadores4">
    <w:name w:val="List Bullet 4"/>
    <w:basedOn w:val="Normal"/>
    <w:uiPriority w:val="99"/>
    <w:semiHidden/>
    <w:unhideWhenUsed/>
    <w:rsid w:val="0003148D"/>
    <w:pPr>
      <w:numPr>
        <w:numId w:val="10"/>
      </w:numPr>
      <w:contextualSpacing/>
    </w:pPr>
  </w:style>
  <w:style w:type="paragraph" w:styleId="Commarcadores5">
    <w:name w:val="List Bullet 5"/>
    <w:basedOn w:val="Normal"/>
    <w:uiPriority w:val="99"/>
    <w:semiHidden/>
    <w:unhideWhenUsed/>
    <w:rsid w:val="0003148D"/>
    <w:pPr>
      <w:numPr>
        <w:numId w:val="11"/>
      </w:numPr>
      <w:contextualSpacing/>
    </w:pPr>
  </w:style>
  <w:style w:type="paragraph" w:styleId="Recuodecorpodetexto2">
    <w:name w:val="Body Text Indent 2"/>
    <w:basedOn w:val="Normal"/>
    <w:link w:val="Recuodecorpodetexto2Char"/>
    <w:uiPriority w:val="99"/>
    <w:semiHidden/>
    <w:unhideWhenUsed/>
    <w:rsid w:val="0003148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3148D"/>
  </w:style>
  <w:style w:type="paragraph" w:styleId="Recuodecorpodetexto3">
    <w:name w:val="Body Text Indent 3"/>
    <w:basedOn w:val="Normal"/>
    <w:link w:val="Recuodecorpodetexto3Char"/>
    <w:uiPriority w:val="99"/>
    <w:semiHidden/>
    <w:unhideWhenUsed/>
    <w:rsid w:val="0003148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3148D"/>
    <w:rPr>
      <w:sz w:val="16"/>
      <w:szCs w:val="16"/>
    </w:rPr>
  </w:style>
  <w:style w:type="paragraph" w:styleId="Recuonormal">
    <w:name w:val="Normal Indent"/>
    <w:basedOn w:val="Normal"/>
    <w:uiPriority w:val="99"/>
    <w:semiHidden/>
    <w:unhideWhenUsed/>
    <w:rsid w:val="0003148D"/>
    <w:pPr>
      <w:ind w:left="720"/>
    </w:pPr>
  </w:style>
  <w:style w:type="paragraph" w:styleId="Textodecomentrio">
    <w:name w:val="annotation text"/>
    <w:basedOn w:val="Normal"/>
    <w:link w:val="TextodecomentrioChar"/>
    <w:uiPriority w:val="99"/>
    <w:unhideWhenUsed/>
    <w:rsid w:val="0003148D"/>
    <w:pPr>
      <w:spacing w:line="240" w:lineRule="auto"/>
    </w:pPr>
  </w:style>
  <w:style w:type="character" w:customStyle="1" w:styleId="TextodecomentrioChar">
    <w:name w:val="Texto de comentário Char"/>
    <w:basedOn w:val="Fontepargpadro"/>
    <w:link w:val="Textodecomentrio"/>
    <w:uiPriority w:val="99"/>
    <w:rsid w:val="0003148D"/>
    <w:rPr>
      <w:sz w:val="20"/>
      <w:szCs w:val="20"/>
    </w:rPr>
  </w:style>
  <w:style w:type="paragraph" w:styleId="Assuntodocomentrio">
    <w:name w:val="annotation subject"/>
    <w:basedOn w:val="Textodecomentrio"/>
    <w:next w:val="Textodecomentrio"/>
    <w:link w:val="AssuntodocomentrioChar"/>
    <w:uiPriority w:val="99"/>
    <w:semiHidden/>
    <w:unhideWhenUsed/>
    <w:rsid w:val="0003148D"/>
    <w:rPr>
      <w:b/>
      <w:bCs/>
    </w:rPr>
  </w:style>
  <w:style w:type="character" w:customStyle="1" w:styleId="AssuntodocomentrioChar">
    <w:name w:val="Assunto do comentário Char"/>
    <w:basedOn w:val="TextodecomentrioChar"/>
    <w:link w:val="Assuntodocomentrio"/>
    <w:uiPriority w:val="99"/>
    <w:semiHidden/>
    <w:rsid w:val="0003148D"/>
    <w:rPr>
      <w:b/>
      <w:bCs/>
      <w:sz w:val="20"/>
      <w:szCs w:val="20"/>
    </w:rPr>
  </w:style>
  <w:style w:type="paragraph" w:styleId="Sumrio1">
    <w:name w:val="toc 1"/>
    <w:basedOn w:val="Normal"/>
    <w:next w:val="Normal"/>
    <w:autoRedefine/>
    <w:uiPriority w:val="39"/>
    <w:semiHidden/>
    <w:unhideWhenUsed/>
    <w:rsid w:val="0003148D"/>
    <w:pPr>
      <w:spacing w:after="100"/>
    </w:pPr>
  </w:style>
  <w:style w:type="paragraph" w:styleId="Sumrio2">
    <w:name w:val="toc 2"/>
    <w:basedOn w:val="Normal"/>
    <w:next w:val="Normal"/>
    <w:autoRedefine/>
    <w:uiPriority w:val="39"/>
    <w:semiHidden/>
    <w:unhideWhenUsed/>
    <w:rsid w:val="0003148D"/>
    <w:pPr>
      <w:spacing w:after="100"/>
      <w:ind w:left="220"/>
    </w:pPr>
  </w:style>
  <w:style w:type="paragraph" w:styleId="Sumrio3">
    <w:name w:val="toc 3"/>
    <w:basedOn w:val="Normal"/>
    <w:next w:val="Normal"/>
    <w:autoRedefine/>
    <w:uiPriority w:val="39"/>
    <w:semiHidden/>
    <w:unhideWhenUsed/>
    <w:rsid w:val="0003148D"/>
    <w:pPr>
      <w:spacing w:after="100"/>
      <w:ind w:left="440"/>
    </w:pPr>
  </w:style>
  <w:style w:type="paragraph" w:styleId="Sumrio4">
    <w:name w:val="toc 4"/>
    <w:basedOn w:val="Normal"/>
    <w:next w:val="Normal"/>
    <w:autoRedefine/>
    <w:uiPriority w:val="39"/>
    <w:semiHidden/>
    <w:unhideWhenUsed/>
    <w:rsid w:val="0003148D"/>
    <w:pPr>
      <w:spacing w:after="100"/>
      <w:ind w:left="660"/>
    </w:pPr>
  </w:style>
  <w:style w:type="paragraph" w:styleId="Sumrio5">
    <w:name w:val="toc 5"/>
    <w:basedOn w:val="Normal"/>
    <w:next w:val="Normal"/>
    <w:autoRedefine/>
    <w:uiPriority w:val="39"/>
    <w:semiHidden/>
    <w:unhideWhenUsed/>
    <w:rsid w:val="0003148D"/>
    <w:pPr>
      <w:spacing w:after="100"/>
      <w:ind w:left="880"/>
    </w:pPr>
  </w:style>
  <w:style w:type="paragraph" w:styleId="Sumrio6">
    <w:name w:val="toc 6"/>
    <w:basedOn w:val="Normal"/>
    <w:next w:val="Normal"/>
    <w:autoRedefine/>
    <w:uiPriority w:val="39"/>
    <w:semiHidden/>
    <w:unhideWhenUsed/>
    <w:rsid w:val="0003148D"/>
    <w:pPr>
      <w:spacing w:after="100"/>
      <w:ind w:left="1100"/>
    </w:pPr>
  </w:style>
  <w:style w:type="paragraph" w:styleId="Sumrio7">
    <w:name w:val="toc 7"/>
    <w:basedOn w:val="Normal"/>
    <w:next w:val="Normal"/>
    <w:autoRedefine/>
    <w:uiPriority w:val="39"/>
    <w:semiHidden/>
    <w:unhideWhenUsed/>
    <w:rsid w:val="0003148D"/>
    <w:pPr>
      <w:spacing w:after="100"/>
      <w:ind w:left="1320"/>
    </w:pPr>
  </w:style>
  <w:style w:type="paragraph" w:styleId="Sumrio8">
    <w:name w:val="toc 8"/>
    <w:basedOn w:val="Normal"/>
    <w:next w:val="Normal"/>
    <w:autoRedefine/>
    <w:uiPriority w:val="39"/>
    <w:semiHidden/>
    <w:unhideWhenUsed/>
    <w:rsid w:val="0003148D"/>
    <w:pPr>
      <w:spacing w:after="100"/>
      <w:ind w:left="1540"/>
    </w:pPr>
  </w:style>
  <w:style w:type="paragraph" w:styleId="Sumrio9">
    <w:name w:val="toc 9"/>
    <w:basedOn w:val="Normal"/>
    <w:next w:val="Normal"/>
    <w:autoRedefine/>
    <w:uiPriority w:val="39"/>
    <w:semiHidden/>
    <w:unhideWhenUsed/>
    <w:rsid w:val="0003148D"/>
    <w:pPr>
      <w:spacing w:after="100"/>
      <w:ind w:left="1760"/>
    </w:pPr>
  </w:style>
  <w:style w:type="paragraph" w:styleId="Textoembloco">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demacro">
    <w:name w:val="macro"/>
    <w:link w:val="Textodemacro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demacroChar">
    <w:name w:val="Texto de macro Char"/>
    <w:basedOn w:val="Fontepargpadro"/>
    <w:link w:val="Textodemacro"/>
    <w:uiPriority w:val="99"/>
    <w:semiHidden/>
    <w:rsid w:val="0003148D"/>
    <w:rPr>
      <w:rFonts w:ascii="Consolas" w:hAnsi="Consolas" w:cs="Consolas"/>
      <w:sz w:val="20"/>
      <w:szCs w:val="20"/>
    </w:rPr>
  </w:style>
  <w:style w:type="paragraph" w:styleId="TextosemFormatao">
    <w:name w:val="Plain Text"/>
    <w:basedOn w:val="Normal"/>
    <w:link w:val="TextosemFormataoChar"/>
    <w:uiPriority w:val="99"/>
    <w:semiHidden/>
    <w:unhideWhenUsed/>
    <w:rsid w:val="0003148D"/>
    <w:pPr>
      <w:spacing w:line="240" w:lineRule="auto"/>
    </w:pPr>
    <w:rPr>
      <w:rFonts w:ascii="Consolas" w:hAnsi="Consolas" w:cs="Consolas"/>
      <w:sz w:val="21"/>
      <w:szCs w:val="21"/>
    </w:rPr>
  </w:style>
  <w:style w:type="character" w:customStyle="1" w:styleId="TextosemFormataoChar">
    <w:name w:val="Texto sem Formatação Char"/>
    <w:basedOn w:val="Fontepargpadro"/>
    <w:link w:val="TextosemFormatao"/>
    <w:uiPriority w:val="99"/>
    <w:semiHidden/>
    <w:rsid w:val="0003148D"/>
    <w:rPr>
      <w:rFonts w:ascii="Consolas" w:hAnsi="Consolas" w:cs="Consolas"/>
      <w:sz w:val="21"/>
      <w:szCs w:val="21"/>
    </w:rPr>
  </w:style>
  <w:style w:type="paragraph" w:styleId="Textodenotaderodap">
    <w:name w:val="footnote text"/>
    <w:basedOn w:val="Normal"/>
    <w:link w:val="TextodenotaderodapChar"/>
    <w:uiPriority w:val="99"/>
    <w:semiHidden/>
    <w:unhideWhenUsed/>
    <w:rsid w:val="0003148D"/>
    <w:pPr>
      <w:spacing w:line="240" w:lineRule="auto"/>
    </w:pPr>
  </w:style>
  <w:style w:type="character" w:customStyle="1" w:styleId="TextodenotaderodapChar">
    <w:name w:val="Texto de nota de rodapé Char"/>
    <w:basedOn w:val="Fontepargpadro"/>
    <w:link w:val="Textodenotaderodap"/>
    <w:uiPriority w:val="99"/>
    <w:semiHidden/>
    <w:rsid w:val="0003148D"/>
    <w:rPr>
      <w:sz w:val="20"/>
      <w:szCs w:val="20"/>
    </w:rPr>
  </w:style>
  <w:style w:type="paragraph" w:styleId="Textodenotadefim">
    <w:name w:val="endnote text"/>
    <w:basedOn w:val="Normal"/>
    <w:link w:val="TextodenotadefimChar"/>
    <w:uiPriority w:val="99"/>
    <w:semiHidden/>
    <w:unhideWhenUsed/>
    <w:rsid w:val="0003148D"/>
    <w:pPr>
      <w:spacing w:line="240" w:lineRule="auto"/>
    </w:pPr>
  </w:style>
  <w:style w:type="character" w:customStyle="1" w:styleId="TextodenotadefimChar">
    <w:name w:val="Texto de nota de fim Char"/>
    <w:basedOn w:val="Fontepargpadro"/>
    <w:link w:val="Textodenotadefim"/>
    <w:uiPriority w:val="99"/>
    <w:semiHidden/>
    <w:rsid w:val="0003148D"/>
    <w:rPr>
      <w:sz w:val="20"/>
      <w:szCs w:val="20"/>
    </w:rPr>
  </w:style>
  <w:style w:type="character" w:customStyle="1" w:styleId="Ttulo1Char">
    <w:name w:val="Título 1 Char"/>
    <w:basedOn w:val="Fontepargpadro"/>
    <w:link w:val="Ttulo1"/>
    <w:uiPriority w:val="9"/>
    <w:rsid w:val="004F5E36"/>
    <w:rPr>
      <w:rFonts w:ascii="Arial" w:eastAsia="Times New Roman" w:hAnsi="Arial" w:cs="Times New Roman"/>
      <w:b/>
      <w:sz w:val="20"/>
      <w:szCs w:val="20"/>
      <w:lang w:val="en-GB"/>
    </w:rPr>
  </w:style>
  <w:style w:type="character" w:customStyle="1" w:styleId="Ttulo2Char">
    <w:name w:val="Título 2 Char"/>
    <w:basedOn w:val="Fontepargpadro"/>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3148D"/>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remissivo">
    <w:name w:val="index heading"/>
    <w:basedOn w:val="Normal"/>
    <w:next w:val="Remissivo1"/>
    <w:uiPriority w:val="99"/>
    <w:semiHidden/>
    <w:unhideWhenUsed/>
    <w:rsid w:val="0003148D"/>
    <w:rPr>
      <w:rFonts w:asciiTheme="majorHAnsi" w:eastAsiaTheme="majorEastAsia" w:hAnsiTheme="majorHAnsi" w:cstheme="majorBidi"/>
      <w:b/>
      <w:bCs/>
    </w:rPr>
  </w:style>
  <w:style w:type="paragraph" w:styleId="Ttulodendicedeautoridades">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CabealhodoSumrio">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ontepargpadr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Cabealho">
    <w:name w:val="header"/>
    <w:basedOn w:val="Normal"/>
    <w:link w:val="CabealhoChar"/>
    <w:uiPriority w:val="99"/>
    <w:unhideWhenUsed/>
    <w:rsid w:val="005278B7"/>
    <w:pPr>
      <w:tabs>
        <w:tab w:val="clear" w:pos="7100"/>
        <w:tab w:val="center" w:pos="4819"/>
        <w:tab w:val="right" w:pos="9638"/>
      </w:tabs>
      <w:spacing w:line="240" w:lineRule="auto"/>
    </w:pPr>
  </w:style>
  <w:style w:type="character" w:customStyle="1" w:styleId="CabealhoChar">
    <w:name w:val="Cabeçalho Char"/>
    <w:basedOn w:val="Fontepargpadro"/>
    <w:link w:val="Cabealho"/>
    <w:uiPriority w:val="99"/>
    <w:rsid w:val="005278B7"/>
    <w:rPr>
      <w:rFonts w:ascii="Arial" w:eastAsia="Times New Roman" w:hAnsi="Arial" w:cs="Times New Roman"/>
      <w:sz w:val="18"/>
      <w:szCs w:val="20"/>
      <w:lang w:val="en-GB"/>
    </w:rPr>
  </w:style>
  <w:style w:type="paragraph" w:styleId="Rodap">
    <w:name w:val="footer"/>
    <w:basedOn w:val="Normal"/>
    <w:link w:val="RodapChar"/>
    <w:uiPriority w:val="99"/>
    <w:unhideWhenUsed/>
    <w:rsid w:val="005278B7"/>
    <w:pPr>
      <w:tabs>
        <w:tab w:val="clear" w:pos="7100"/>
        <w:tab w:val="center" w:pos="4819"/>
        <w:tab w:val="right" w:pos="9638"/>
      </w:tabs>
      <w:spacing w:line="240" w:lineRule="auto"/>
    </w:pPr>
  </w:style>
  <w:style w:type="character" w:customStyle="1" w:styleId="RodapChar">
    <w:name w:val="Rodapé Char"/>
    <w:basedOn w:val="Fontepargpadro"/>
    <w:link w:val="Rodap"/>
    <w:uiPriority w:val="99"/>
    <w:rsid w:val="005278B7"/>
    <w:rPr>
      <w:rFonts w:ascii="Arial" w:eastAsia="Times New Roman" w:hAnsi="Arial" w:cs="Times New Roman"/>
      <w:sz w:val="18"/>
      <w:szCs w:val="20"/>
      <w:lang w:val="en-GB"/>
    </w:rPr>
  </w:style>
  <w:style w:type="table" w:styleId="Tabelacomgrade">
    <w:name w:val="Table Grid"/>
    <w:basedOn w:val="Tabe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04C62"/>
    <w:rPr>
      <w:color w:val="0000FF" w:themeColor="hyperlink"/>
      <w:u w:val="single"/>
    </w:rPr>
  </w:style>
  <w:style w:type="character" w:customStyle="1" w:styleId="eudoraheader">
    <w:name w:val="eudoraheader"/>
    <w:basedOn w:val="Fontepargpadr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grafodaLista">
    <w:name w:val="List Paragraph"/>
    <w:basedOn w:val="Normal"/>
    <w:uiPriority w:val="34"/>
    <w:rsid w:val="00280FAF"/>
    <w:pPr>
      <w:ind w:left="720"/>
      <w:contextualSpacing/>
    </w:pPr>
  </w:style>
  <w:style w:type="character" w:customStyle="1" w:styleId="gmail-apple-converted-space">
    <w:name w:val="gmail-apple-converted-space"/>
    <w:basedOn w:val="Fontepargpadro"/>
    <w:rsid w:val="00005A19"/>
  </w:style>
  <w:style w:type="character" w:styleId="MenoPendente">
    <w:name w:val="Unresolved Mention"/>
    <w:basedOn w:val="Fontepargpadro"/>
    <w:uiPriority w:val="99"/>
    <w:semiHidden/>
    <w:unhideWhenUsed/>
    <w:rsid w:val="00A304F9"/>
    <w:rPr>
      <w:color w:val="605E5C"/>
      <w:shd w:val="clear" w:color="auto" w:fill="E1DFDD"/>
    </w:rPr>
  </w:style>
  <w:style w:type="character" w:styleId="Forte">
    <w:name w:val="Strong"/>
    <w:basedOn w:val="Fontepargpadro"/>
    <w:uiPriority w:val="22"/>
    <w:qFormat/>
    <w:rsid w:val="0058553C"/>
    <w:rPr>
      <w:b/>
      <w:bCs/>
    </w:rPr>
  </w:style>
  <w:style w:type="paragraph" w:styleId="Reviso">
    <w:name w:val="Revision"/>
    <w:hidden/>
    <w:uiPriority w:val="99"/>
    <w:semiHidden/>
    <w:rsid w:val="00EA0222"/>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3628</Words>
  <Characters>19594</Characters>
  <Application>Microsoft Office Word</Application>
  <DocSecurity>0</DocSecurity>
  <Lines>163</Lines>
  <Paragraphs>46</Paragraphs>
  <ScaleCrop>false</ScaleCrop>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2026-05-21T12:54:00Z</dcterms:created>
  <dcterms:modified xsi:type="dcterms:W3CDTF">2026-05-26T15:11:00Z</dcterms:modified>
</cp:coreProperties>
</file>