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bottom w:val="single" w:sz="4" w:space="0" w:color="auto"/>
        </w:tblBorders>
        <w:tblLook w:val="01E0" w:firstRow="1" w:lastRow="1" w:firstColumn="1" w:lastColumn="1" w:noHBand="0" w:noVBand="0"/>
      </w:tblPr>
      <w:tblGrid>
        <w:gridCol w:w="6940"/>
        <w:gridCol w:w="1842"/>
      </w:tblGrid>
      <w:tr w:rsidR="000A03B2" w:rsidRPr="004B762D" w14:paraId="2A131A54" w14:textId="77777777" w:rsidTr="00DE264A">
        <w:trPr>
          <w:trHeight w:val="852"/>
          <w:jc w:val="center"/>
        </w:trPr>
        <w:tc>
          <w:tcPr>
            <w:tcW w:w="6946" w:type="dxa"/>
            <w:vMerge w:val="restart"/>
            <w:tcBorders>
              <w:right w:val="single" w:sz="4" w:space="0" w:color="auto"/>
            </w:tcBorders>
          </w:tcPr>
          <w:p w14:paraId="38C3D2BA" w14:textId="77777777" w:rsidR="000A03B2" w:rsidRPr="004B762D" w:rsidRDefault="000A03B2" w:rsidP="00DE264A">
            <w:pPr>
              <w:tabs>
                <w:tab w:val="left" w:pos="-108"/>
              </w:tabs>
              <w:ind w:left="-108"/>
              <w:jc w:val="left"/>
              <w:rPr>
                <w:rFonts w:cs="Arial"/>
                <w:b/>
                <w:bCs/>
                <w:i/>
                <w:iCs/>
                <w:sz w:val="12"/>
                <w:szCs w:val="12"/>
                <w:lang w:eastAsia="it-IT"/>
              </w:rPr>
            </w:pPr>
            <w:bookmarkStart w:id="0" w:name="_Hlk145068772"/>
            <w:r w:rsidRPr="004B762D">
              <w:rPr>
                <w:rFonts w:ascii="AdvP6960" w:hAnsi="AdvP6960" w:cs="AdvP6960"/>
                <w:noProof/>
                <w:szCs w:val="18"/>
                <w:lang w:eastAsia="it-IT"/>
              </w:rPr>
              <w:drawing>
                <wp:inline distT="0" distB="0" distL="0" distR="0" wp14:anchorId="02B7C3D3" wp14:editId="5EE03112">
                  <wp:extent cx="640080" cy="373380"/>
                  <wp:effectExtent l="0" t="0" r="7620" b="7620"/>
                  <wp:docPr id="5" name="Immagine 5" descr="ce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et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0080" cy="373380"/>
                          </a:xfrm>
                          <a:prstGeom prst="rect">
                            <a:avLst/>
                          </a:prstGeom>
                          <a:noFill/>
                          <a:ln>
                            <a:noFill/>
                          </a:ln>
                        </pic:spPr>
                      </pic:pic>
                    </a:graphicData>
                  </a:graphic>
                </wp:inline>
              </w:drawing>
            </w:r>
            <w:r w:rsidRPr="004B762D">
              <w:rPr>
                <w:rFonts w:ascii="AdvP6960" w:hAnsi="AdvP6960" w:cs="AdvP6960"/>
                <w:szCs w:val="18"/>
                <w:lang w:eastAsia="it-IT"/>
              </w:rPr>
              <w:t xml:space="preserve"> </w:t>
            </w:r>
            <w:r w:rsidRPr="004B762D">
              <w:rPr>
                <w:rFonts w:cs="Arial"/>
                <w:b/>
                <w:bCs/>
                <w:i/>
                <w:iCs/>
                <w:sz w:val="24"/>
                <w:szCs w:val="24"/>
                <w:lang w:eastAsia="it-IT"/>
              </w:rPr>
              <w:t>CHEMICAL ENGINEERING TRANSACTIONS</w:t>
            </w:r>
            <w:r w:rsidRPr="004B762D">
              <w:rPr>
                <w:sz w:val="24"/>
                <w:szCs w:val="24"/>
                <w:lang w:eastAsia="it-IT"/>
              </w:rPr>
              <w:t xml:space="preserve"> </w:t>
            </w:r>
            <w:r w:rsidRPr="004B762D">
              <w:rPr>
                <w:rFonts w:cs="Arial"/>
                <w:b/>
                <w:bCs/>
                <w:i/>
                <w:iCs/>
                <w:sz w:val="27"/>
                <w:szCs w:val="27"/>
                <w:lang w:eastAsia="it-IT"/>
              </w:rPr>
              <w:br/>
            </w:r>
          </w:p>
          <w:p w14:paraId="4B780582" w14:textId="753620B8" w:rsidR="000A03B2" w:rsidRPr="004B762D" w:rsidRDefault="00A76EFC" w:rsidP="001D21AF">
            <w:pPr>
              <w:tabs>
                <w:tab w:val="left" w:pos="-108"/>
              </w:tabs>
              <w:ind w:left="-108"/>
              <w:rPr>
                <w:rFonts w:cs="Arial"/>
                <w:b/>
                <w:bCs/>
                <w:i/>
                <w:iCs/>
                <w:sz w:val="22"/>
                <w:szCs w:val="22"/>
                <w:lang w:eastAsia="it-IT"/>
              </w:rPr>
            </w:pPr>
            <w:r w:rsidRPr="004B762D">
              <w:rPr>
                <w:rFonts w:cs="Arial"/>
                <w:b/>
                <w:bCs/>
                <w:i/>
                <w:iCs/>
                <w:sz w:val="22"/>
                <w:szCs w:val="22"/>
                <w:lang w:eastAsia="it-IT"/>
              </w:rPr>
              <w:t>VOL.</w:t>
            </w:r>
            <w:r w:rsidR="00785BF9" w:rsidRPr="004B762D">
              <w:rPr>
                <w:rFonts w:cs="Arial"/>
                <w:b/>
                <w:bCs/>
                <w:i/>
                <w:iCs/>
                <w:sz w:val="22"/>
                <w:szCs w:val="22"/>
                <w:lang w:eastAsia="it-IT"/>
              </w:rPr>
              <w:t xml:space="preserve"> </w:t>
            </w:r>
            <w:r w:rsidR="00AD0278" w:rsidRPr="004B762D">
              <w:rPr>
                <w:rFonts w:cs="Arial"/>
                <w:b/>
                <w:bCs/>
                <w:i/>
                <w:iCs/>
                <w:sz w:val="22"/>
                <w:szCs w:val="22"/>
                <w:lang w:eastAsia="it-IT"/>
              </w:rPr>
              <w:t>xxx</w:t>
            </w:r>
            <w:r w:rsidR="007B48F9" w:rsidRPr="004B762D">
              <w:rPr>
                <w:rFonts w:cs="Arial"/>
                <w:b/>
                <w:bCs/>
                <w:i/>
                <w:iCs/>
                <w:sz w:val="22"/>
                <w:szCs w:val="22"/>
                <w:lang w:eastAsia="it-IT"/>
              </w:rPr>
              <w:t>,</w:t>
            </w:r>
            <w:r w:rsidR="00FA5F5F" w:rsidRPr="004B762D">
              <w:rPr>
                <w:rFonts w:cs="Arial"/>
                <w:b/>
                <w:bCs/>
                <w:i/>
                <w:iCs/>
                <w:sz w:val="22"/>
                <w:szCs w:val="22"/>
                <w:lang w:eastAsia="it-IT"/>
              </w:rPr>
              <w:t xml:space="preserve"> </w:t>
            </w:r>
            <w:r w:rsidR="0030152C" w:rsidRPr="004B762D">
              <w:rPr>
                <w:rFonts w:cs="Arial"/>
                <w:b/>
                <w:bCs/>
                <w:i/>
                <w:iCs/>
                <w:sz w:val="22"/>
                <w:szCs w:val="22"/>
                <w:lang w:eastAsia="it-IT"/>
              </w:rPr>
              <w:t>202</w:t>
            </w:r>
            <w:r w:rsidR="00AD0278" w:rsidRPr="004B762D">
              <w:rPr>
                <w:rFonts w:cs="Arial"/>
                <w:b/>
                <w:bCs/>
                <w:i/>
                <w:iCs/>
                <w:sz w:val="22"/>
                <w:szCs w:val="22"/>
                <w:lang w:eastAsia="it-IT"/>
              </w:rPr>
              <w:t>6</w:t>
            </w:r>
          </w:p>
        </w:tc>
        <w:tc>
          <w:tcPr>
            <w:tcW w:w="1843" w:type="dxa"/>
            <w:tcBorders>
              <w:left w:val="single" w:sz="4" w:space="0" w:color="auto"/>
              <w:bottom w:val="nil"/>
              <w:right w:val="single" w:sz="4" w:space="0" w:color="auto"/>
            </w:tcBorders>
          </w:tcPr>
          <w:p w14:paraId="56782132" w14:textId="77777777" w:rsidR="000A03B2" w:rsidRPr="004B762D" w:rsidRDefault="000A03B2" w:rsidP="00CD5FE2">
            <w:pPr>
              <w:spacing w:line="140" w:lineRule="atLeast"/>
              <w:jc w:val="right"/>
              <w:rPr>
                <w:rFonts w:cs="Arial"/>
                <w:sz w:val="14"/>
                <w:szCs w:val="14"/>
              </w:rPr>
            </w:pPr>
            <w:r w:rsidRPr="004B762D">
              <w:rPr>
                <w:rFonts w:cs="Arial"/>
                <w:sz w:val="14"/>
                <w:szCs w:val="14"/>
              </w:rPr>
              <w:t>A publication of</w:t>
            </w:r>
          </w:p>
          <w:p w14:paraId="599E5441" w14:textId="77777777" w:rsidR="000A03B2" w:rsidRPr="004B762D" w:rsidRDefault="000A03B2" w:rsidP="00CD5FE2">
            <w:pPr>
              <w:jc w:val="right"/>
            </w:pPr>
            <w:r w:rsidRPr="004B762D">
              <w:rPr>
                <w:noProof/>
                <w:lang w:eastAsia="it-IT"/>
              </w:rPr>
              <w:drawing>
                <wp:inline distT="0" distB="0" distL="0" distR="0" wp14:anchorId="59C75AF4" wp14:editId="4FF92432">
                  <wp:extent cx="670560" cy="358140"/>
                  <wp:effectExtent l="0" t="0" r="0" b="3810"/>
                  <wp:docPr id="6" name="Immagine 6" descr="aidiclogo_gra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idiclogo_grand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70560" cy="358140"/>
                          </a:xfrm>
                          <a:prstGeom prst="rect">
                            <a:avLst/>
                          </a:prstGeom>
                          <a:noFill/>
                          <a:ln>
                            <a:noFill/>
                          </a:ln>
                        </pic:spPr>
                      </pic:pic>
                    </a:graphicData>
                  </a:graphic>
                </wp:inline>
              </w:drawing>
            </w:r>
          </w:p>
        </w:tc>
      </w:tr>
      <w:tr w:rsidR="000A03B2" w:rsidRPr="004B762D" w14:paraId="380FA3CD" w14:textId="77777777" w:rsidTr="00DE264A">
        <w:trPr>
          <w:trHeight w:val="567"/>
          <w:jc w:val="center"/>
        </w:trPr>
        <w:tc>
          <w:tcPr>
            <w:tcW w:w="6946" w:type="dxa"/>
            <w:vMerge/>
            <w:tcBorders>
              <w:right w:val="single" w:sz="4" w:space="0" w:color="auto"/>
            </w:tcBorders>
          </w:tcPr>
          <w:p w14:paraId="39E5E4C1" w14:textId="77777777" w:rsidR="000A03B2" w:rsidRPr="004B762D" w:rsidRDefault="000A03B2" w:rsidP="00CD5FE2">
            <w:pPr>
              <w:tabs>
                <w:tab w:val="left" w:pos="-108"/>
              </w:tabs>
            </w:pPr>
          </w:p>
        </w:tc>
        <w:tc>
          <w:tcPr>
            <w:tcW w:w="1843" w:type="dxa"/>
            <w:tcBorders>
              <w:left w:val="single" w:sz="4" w:space="0" w:color="auto"/>
              <w:bottom w:val="nil"/>
              <w:right w:val="single" w:sz="4" w:space="0" w:color="auto"/>
            </w:tcBorders>
          </w:tcPr>
          <w:p w14:paraId="43858A98" w14:textId="77777777" w:rsidR="000A03B2" w:rsidRPr="004B762D" w:rsidRDefault="000A03B2" w:rsidP="00CD5FE2">
            <w:pPr>
              <w:spacing w:line="140" w:lineRule="atLeast"/>
              <w:jc w:val="right"/>
              <w:rPr>
                <w:rFonts w:cs="Arial"/>
                <w:sz w:val="14"/>
                <w:szCs w:val="14"/>
              </w:rPr>
            </w:pPr>
            <w:r w:rsidRPr="004B762D">
              <w:rPr>
                <w:rFonts w:cs="Arial"/>
                <w:sz w:val="14"/>
                <w:szCs w:val="14"/>
              </w:rPr>
              <w:t>The Italian Association</w:t>
            </w:r>
          </w:p>
          <w:p w14:paraId="7522B1D2" w14:textId="77777777" w:rsidR="000A03B2" w:rsidRPr="004B762D" w:rsidRDefault="000A03B2" w:rsidP="00CD5FE2">
            <w:pPr>
              <w:spacing w:line="140" w:lineRule="atLeast"/>
              <w:jc w:val="right"/>
              <w:rPr>
                <w:rFonts w:cs="Arial"/>
                <w:sz w:val="14"/>
                <w:szCs w:val="14"/>
              </w:rPr>
            </w:pPr>
            <w:r w:rsidRPr="004B762D">
              <w:rPr>
                <w:rFonts w:cs="Arial"/>
                <w:sz w:val="14"/>
                <w:szCs w:val="14"/>
              </w:rPr>
              <w:t>of Chemical Engineering</w:t>
            </w:r>
          </w:p>
          <w:p w14:paraId="4F0CC5DE" w14:textId="47FDB2FC" w:rsidR="000A03B2" w:rsidRPr="004B762D" w:rsidRDefault="000D0268" w:rsidP="00CD5FE2">
            <w:pPr>
              <w:spacing w:line="140" w:lineRule="atLeast"/>
              <w:jc w:val="right"/>
              <w:rPr>
                <w:rFonts w:cs="Arial"/>
                <w:sz w:val="13"/>
                <w:szCs w:val="13"/>
              </w:rPr>
            </w:pPr>
            <w:r w:rsidRPr="004B762D">
              <w:rPr>
                <w:rFonts w:cs="Arial"/>
                <w:sz w:val="13"/>
                <w:szCs w:val="13"/>
              </w:rPr>
              <w:t>Online at www.cetjournal.it</w:t>
            </w:r>
          </w:p>
        </w:tc>
      </w:tr>
      <w:tr w:rsidR="000A03B2" w:rsidRPr="004B762D" w14:paraId="2D1B7169" w14:textId="77777777" w:rsidTr="00DE264A">
        <w:trPr>
          <w:trHeight w:val="68"/>
          <w:jc w:val="center"/>
        </w:trPr>
        <w:tc>
          <w:tcPr>
            <w:tcW w:w="8789" w:type="dxa"/>
            <w:gridSpan w:val="2"/>
          </w:tcPr>
          <w:p w14:paraId="1D8DD3C9" w14:textId="354DD23C" w:rsidR="00AA7D26" w:rsidRPr="004B762D" w:rsidRDefault="004A5E57" w:rsidP="004A5E57">
            <w:pPr>
              <w:ind w:left="-107"/>
              <w:outlineLvl w:val="2"/>
              <w:rPr>
                <w:rFonts w:ascii="Tahoma" w:hAnsi="Tahoma" w:cs="Tahoma"/>
                <w:bCs/>
                <w:sz w:val="14"/>
                <w:szCs w:val="14"/>
                <w:lang w:eastAsia="it-IT"/>
              </w:rPr>
            </w:pPr>
            <w:r w:rsidRPr="004B762D">
              <w:rPr>
                <w:rFonts w:ascii="Tahoma" w:hAnsi="Tahoma" w:cs="Tahoma"/>
                <w:iCs/>
                <w:sz w:val="14"/>
                <w:szCs w:val="14"/>
                <w:lang w:eastAsia="it-IT"/>
              </w:rPr>
              <w:t>Guest Editors:</w:t>
            </w:r>
            <w:r w:rsidRPr="004B762D">
              <w:rPr>
                <w:rFonts w:ascii="Tahoma" w:hAnsi="Tahoma" w:cs="Tahoma"/>
                <w:sz w:val="14"/>
                <w:szCs w:val="14"/>
                <w:shd w:val="clear" w:color="auto" w:fill="FFFFFF"/>
              </w:rPr>
              <w:t xml:space="preserve"> </w:t>
            </w:r>
            <w:r w:rsidR="00550D01" w:rsidRPr="004B762D">
              <w:rPr>
                <w:rFonts w:ascii="Tahoma" w:hAnsi="Tahoma" w:cs="Tahoma"/>
                <w:sz w:val="14"/>
                <w:szCs w:val="14"/>
                <w:shd w:val="clear" w:color="auto" w:fill="FFFFFF"/>
              </w:rPr>
              <w:t>Laura Capelli, Marzio Invernizzi, Selena Sironi</w:t>
            </w:r>
          </w:p>
          <w:p w14:paraId="1B0F1814" w14:textId="710B7B96" w:rsidR="000A03B2" w:rsidRPr="004B762D" w:rsidRDefault="00AA7D26" w:rsidP="00AA7D26">
            <w:pPr>
              <w:tabs>
                <w:tab w:val="left" w:pos="-108"/>
              </w:tabs>
              <w:spacing w:line="140" w:lineRule="atLeast"/>
              <w:ind w:left="-107"/>
              <w:jc w:val="left"/>
            </w:pPr>
            <w:r w:rsidRPr="004B762D">
              <w:rPr>
                <w:rFonts w:ascii="Tahoma" w:hAnsi="Tahoma" w:cs="Tahoma"/>
                <w:iCs/>
                <w:sz w:val="14"/>
                <w:szCs w:val="14"/>
                <w:lang w:eastAsia="it-IT"/>
              </w:rPr>
              <w:t>Copyright © 202</w:t>
            </w:r>
            <w:r w:rsidR="00005884" w:rsidRPr="004B762D">
              <w:rPr>
                <w:rFonts w:ascii="Tahoma" w:hAnsi="Tahoma" w:cs="Tahoma"/>
                <w:iCs/>
                <w:sz w:val="14"/>
                <w:szCs w:val="14"/>
                <w:lang w:eastAsia="it-IT"/>
              </w:rPr>
              <w:t>6</w:t>
            </w:r>
            <w:r w:rsidRPr="004B762D">
              <w:rPr>
                <w:rFonts w:ascii="Tahoma" w:hAnsi="Tahoma" w:cs="Tahoma"/>
                <w:iCs/>
                <w:sz w:val="14"/>
                <w:szCs w:val="14"/>
                <w:lang w:eastAsia="it-IT"/>
              </w:rPr>
              <w:t>, AIDIC Servizi S.r.l.</w:t>
            </w:r>
            <w:r w:rsidRPr="004B762D">
              <w:rPr>
                <w:rFonts w:ascii="Tahoma" w:hAnsi="Tahoma" w:cs="Tahoma"/>
                <w:iCs/>
                <w:sz w:val="14"/>
                <w:szCs w:val="14"/>
                <w:lang w:eastAsia="it-IT"/>
              </w:rPr>
              <w:br/>
            </w:r>
            <w:r w:rsidRPr="004B762D">
              <w:rPr>
                <w:rFonts w:ascii="Tahoma" w:hAnsi="Tahoma" w:cs="Tahoma"/>
                <w:b/>
                <w:iCs/>
                <w:sz w:val="14"/>
                <w:szCs w:val="14"/>
                <w:lang w:eastAsia="it-IT"/>
              </w:rPr>
              <w:t>ISBN</w:t>
            </w:r>
            <w:r w:rsidRPr="004B762D">
              <w:rPr>
                <w:rFonts w:ascii="Tahoma" w:hAnsi="Tahoma" w:cs="Tahoma"/>
                <w:iCs/>
                <w:sz w:val="14"/>
                <w:szCs w:val="14"/>
                <w:lang w:eastAsia="it-IT"/>
              </w:rPr>
              <w:t xml:space="preserve"> </w:t>
            </w:r>
            <w:r w:rsidR="00D2582C" w:rsidRPr="004B762D">
              <w:rPr>
                <w:rFonts w:ascii="Tahoma" w:hAnsi="Tahoma" w:cs="Tahoma"/>
                <w:sz w:val="14"/>
                <w:szCs w:val="14"/>
              </w:rPr>
              <w:t>979-12-81206-</w:t>
            </w:r>
            <w:r w:rsidR="00005884" w:rsidRPr="004B762D">
              <w:rPr>
                <w:rFonts w:ascii="Tahoma" w:hAnsi="Tahoma" w:cs="Tahoma"/>
                <w:sz w:val="14"/>
                <w:szCs w:val="14"/>
              </w:rPr>
              <w:t>xx</w:t>
            </w:r>
            <w:r w:rsidR="009041F8" w:rsidRPr="004B762D">
              <w:rPr>
                <w:rFonts w:ascii="Tahoma" w:hAnsi="Tahoma" w:cs="Tahoma"/>
                <w:sz w:val="14"/>
                <w:szCs w:val="14"/>
              </w:rPr>
              <w:t>-</w:t>
            </w:r>
            <w:r w:rsidR="00005884" w:rsidRPr="004B762D">
              <w:rPr>
                <w:rFonts w:ascii="Tahoma" w:hAnsi="Tahoma" w:cs="Tahoma"/>
                <w:sz w:val="14"/>
                <w:szCs w:val="14"/>
              </w:rPr>
              <w:t>x</w:t>
            </w:r>
            <w:r w:rsidRPr="004B762D">
              <w:rPr>
                <w:rFonts w:ascii="Tahoma" w:hAnsi="Tahoma" w:cs="Tahoma"/>
                <w:iCs/>
                <w:sz w:val="14"/>
                <w:szCs w:val="14"/>
                <w:lang w:eastAsia="it-IT"/>
              </w:rPr>
              <w:t xml:space="preserve">; </w:t>
            </w:r>
            <w:r w:rsidRPr="004B762D">
              <w:rPr>
                <w:rFonts w:ascii="Tahoma" w:hAnsi="Tahoma" w:cs="Tahoma"/>
                <w:b/>
                <w:iCs/>
                <w:sz w:val="14"/>
                <w:szCs w:val="14"/>
                <w:lang w:eastAsia="it-IT"/>
              </w:rPr>
              <w:t>ISSN</w:t>
            </w:r>
            <w:r w:rsidRPr="004B762D">
              <w:rPr>
                <w:rFonts w:ascii="Tahoma" w:hAnsi="Tahoma" w:cs="Tahoma"/>
                <w:iCs/>
                <w:sz w:val="14"/>
                <w:szCs w:val="14"/>
                <w:lang w:eastAsia="it-IT"/>
              </w:rPr>
              <w:t xml:space="preserve"> 2283-9216</w:t>
            </w:r>
          </w:p>
        </w:tc>
      </w:tr>
    </w:tbl>
    <w:bookmarkEnd w:id="0"/>
    <w:p w14:paraId="2E667253" w14:textId="1E25168D" w:rsidR="00E978D0" w:rsidRPr="004B762D" w:rsidRDefault="00FC366E" w:rsidP="00E978D0">
      <w:pPr>
        <w:pStyle w:val="CETTitle"/>
      </w:pPr>
      <w:r w:rsidRPr="004B762D">
        <w:t>VOC Characterisation</w:t>
      </w:r>
      <w:r w:rsidR="00F9652F" w:rsidRPr="004B762D">
        <w:t xml:space="preserve"> at an Abattoir</w:t>
      </w:r>
      <w:r w:rsidR="00D226AA" w:rsidRPr="004B762D">
        <w:t xml:space="preserve"> Pilot</w:t>
      </w:r>
      <w:r w:rsidR="00E46D9C" w:rsidRPr="004B762D">
        <w:t xml:space="preserve">: </w:t>
      </w:r>
      <w:r w:rsidRPr="004B762D">
        <w:t>Feasibility</w:t>
      </w:r>
      <w:r w:rsidR="00E46D9C" w:rsidRPr="004B762D">
        <w:t xml:space="preserve"> and </w:t>
      </w:r>
      <w:r w:rsidR="00F83E2C" w:rsidRPr="004B762D">
        <w:t>Implication</w:t>
      </w:r>
      <w:r w:rsidR="00B26998" w:rsidRPr="004B762D">
        <w:t xml:space="preserve"> </w:t>
      </w:r>
      <w:r w:rsidR="00D226AA" w:rsidRPr="004B762D">
        <w:t>on Animal Welfare, Health and Safety</w:t>
      </w:r>
      <w:r w:rsidR="00E46D9C" w:rsidRPr="004B762D">
        <w:t>.</w:t>
      </w:r>
    </w:p>
    <w:p w14:paraId="0488FED2" w14:textId="777967B8" w:rsidR="00B57E6F" w:rsidRPr="004B762D" w:rsidRDefault="004A4E3E" w:rsidP="00B57E6F">
      <w:pPr>
        <w:pStyle w:val="CETAuthors"/>
        <w:rPr>
          <w:noProof w:val="0"/>
          <w:vertAlign w:val="superscript"/>
        </w:rPr>
      </w:pPr>
      <w:r w:rsidRPr="004B762D">
        <w:rPr>
          <w:noProof w:val="0"/>
        </w:rPr>
        <w:t>E. Gannon</w:t>
      </w:r>
      <w:r w:rsidR="007F3A16" w:rsidRPr="004B762D">
        <w:rPr>
          <w:noProof w:val="0"/>
        </w:rPr>
        <w:t>*</w:t>
      </w:r>
      <w:r w:rsidR="00FD2827" w:rsidRPr="004B762D">
        <w:rPr>
          <w:noProof w:val="0"/>
          <w:vertAlign w:val="superscript"/>
        </w:rPr>
        <w:t>a</w:t>
      </w:r>
      <w:r w:rsidRPr="004B762D">
        <w:rPr>
          <w:noProof w:val="0"/>
        </w:rPr>
        <w:t xml:space="preserve">, </w:t>
      </w:r>
      <w:r w:rsidR="00814CA0" w:rsidRPr="004B762D">
        <w:rPr>
          <w:noProof w:val="0"/>
        </w:rPr>
        <w:t>K.W. Farag</w:t>
      </w:r>
      <w:r w:rsidR="00FD2827" w:rsidRPr="004B762D">
        <w:rPr>
          <w:noProof w:val="0"/>
          <w:vertAlign w:val="superscript"/>
        </w:rPr>
        <w:t>a</w:t>
      </w:r>
      <w:r w:rsidR="00814CA0" w:rsidRPr="004B762D">
        <w:rPr>
          <w:noProof w:val="0"/>
        </w:rPr>
        <w:t>, J.A. Covington</w:t>
      </w:r>
      <w:r w:rsidR="003A5C78" w:rsidRPr="004B762D">
        <w:rPr>
          <w:noProof w:val="0"/>
          <w:vertAlign w:val="superscript"/>
        </w:rPr>
        <w:t>b</w:t>
      </w:r>
      <w:r w:rsidR="00814CA0" w:rsidRPr="004B762D">
        <w:rPr>
          <w:noProof w:val="0"/>
        </w:rPr>
        <w:t xml:space="preserve">, </w:t>
      </w:r>
      <w:r w:rsidR="00CF724D" w:rsidRPr="004B762D">
        <w:rPr>
          <w:noProof w:val="0"/>
        </w:rPr>
        <w:t>T.</w:t>
      </w:r>
      <w:r w:rsidR="005613DF" w:rsidRPr="004B762D">
        <w:rPr>
          <w:noProof w:val="0"/>
        </w:rPr>
        <w:t>K.</w:t>
      </w:r>
      <w:r w:rsidR="00CF724D" w:rsidRPr="004B762D">
        <w:rPr>
          <w:noProof w:val="0"/>
        </w:rPr>
        <w:t xml:space="preserve"> Stewart</w:t>
      </w:r>
      <w:r w:rsidR="003A5C78" w:rsidRPr="004B762D">
        <w:rPr>
          <w:noProof w:val="0"/>
          <w:vertAlign w:val="superscript"/>
        </w:rPr>
        <w:t>b</w:t>
      </w:r>
      <w:r w:rsidR="00CF724D" w:rsidRPr="004B762D">
        <w:rPr>
          <w:noProof w:val="0"/>
        </w:rPr>
        <w:t>, Y. Qureshi</w:t>
      </w:r>
      <w:r w:rsidR="003A5C78" w:rsidRPr="004B762D">
        <w:rPr>
          <w:noProof w:val="0"/>
          <w:vertAlign w:val="superscript"/>
        </w:rPr>
        <w:t>b</w:t>
      </w:r>
      <w:r w:rsidR="00CF724D" w:rsidRPr="004B762D">
        <w:rPr>
          <w:noProof w:val="0"/>
        </w:rPr>
        <w:t>, G. Charlton</w:t>
      </w:r>
      <w:r w:rsidR="003A5C78" w:rsidRPr="004B762D">
        <w:rPr>
          <w:noProof w:val="0"/>
          <w:vertAlign w:val="superscript"/>
        </w:rPr>
        <w:t>b</w:t>
      </w:r>
      <w:r w:rsidR="00CF724D" w:rsidRPr="004B762D">
        <w:rPr>
          <w:noProof w:val="0"/>
        </w:rPr>
        <w:t>, L. McIntyre</w:t>
      </w:r>
      <w:r w:rsidR="003A5C78" w:rsidRPr="004B762D">
        <w:rPr>
          <w:noProof w:val="0"/>
          <w:vertAlign w:val="superscript"/>
        </w:rPr>
        <w:t>a</w:t>
      </w:r>
    </w:p>
    <w:p w14:paraId="6B2D21B3" w14:textId="6929ADC4" w:rsidR="00B57E6F" w:rsidRPr="004B762D" w:rsidRDefault="00B57E6F" w:rsidP="00B57E6F">
      <w:pPr>
        <w:pStyle w:val="CETAddress"/>
        <w:rPr>
          <w:noProof w:val="0"/>
        </w:rPr>
      </w:pPr>
      <w:r w:rsidRPr="004B762D">
        <w:rPr>
          <w:noProof w:val="0"/>
          <w:vertAlign w:val="superscript"/>
        </w:rPr>
        <w:t>a</w:t>
      </w:r>
      <w:r w:rsidR="00221762" w:rsidRPr="004B762D">
        <w:rPr>
          <w:noProof w:val="0"/>
        </w:rPr>
        <w:t>Harper</w:t>
      </w:r>
      <w:r w:rsidR="00221762" w:rsidRPr="004B762D">
        <w:rPr>
          <w:noProof w:val="0"/>
          <w:vertAlign w:val="superscript"/>
        </w:rPr>
        <w:t xml:space="preserve"> </w:t>
      </w:r>
      <w:r w:rsidR="00221762" w:rsidRPr="004B762D">
        <w:rPr>
          <w:noProof w:val="0"/>
        </w:rPr>
        <w:t>Adams</w:t>
      </w:r>
      <w:r w:rsidRPr="004B762D">
        <w:rPr>
          <w:noProof w:val="0"/>
        </w:rPr>
        <w:t xml:space="preserve"> </w:t>
      </w:r>
      <w:r w:rsidR="00221762" w:rsidRPr="004B762D">
        <w:rPr>
          <w:noProof w:val="0"/>
        </w:rPr>
        <w:t>University, Newport, Shropshire TF10 8NB</w:t>
      </w:r>
    </w:p>
    <w:p w14:paraId="3D72B0B0" w14:textId="577F4697" w:rsidR="00B57E6F" w:rsidRPr="004B762D" w:rsidRDefault="00B57E6F" w:rsidP="00B57E6F">
      <w:pPr>
        <w:pStyle w:val="CETAddress"/>
        <w:rPr>
          <w:noProof w:val="0"/>
        </w:rPr>
      </w:pPr>
      <w:r w:rsidRPr="004B762D">
        <w:rPr>
          <w:noProof w:val="0"/>
          <w:vertAlign w:val="superscript"/>
        </w:rPr>
        <w:t>b</w:t>
      </w:r>
      <w:r w:rsidR="00221762" w:rsidRPr="004B762D">
        <w:rPr>
          <w:noProof w:val="0"/>
        </w:rPr>
        <w:t>School of Engineering, University of Warwick, Coventry, CV</w:t>
      </w:r>
      <w:r w:rsidR="00967132" w:rsidRPr="004B762D">
        <w:rPr>
          <w:noProof w:val="0"/>
        </w:rPr>
        <w:t>4 7AL</w:t>
      </w:r>
    </w:p>
    <w:p w14:paraId="73F1267A" w14:textId="34C9DA0F" w:rsidR="00B57E6F" w:rsidRPr="004B762D" w:rsidRDefault="7D4E09B1" w:rsidP="00B57E6F">
      <w:pPr>
        <w:pStyle w:val="CETemail"/>
        <w:rPr>
          <w:noProof w:val="0"/>
        </w:rPr>
      </w:pPr>
      <w:hyperlink r:id="rId13">
        <w:r w:rsidRPr="004B762D">
          <w:rPr>
            <w:rStyle w:val="Hyperlink"/>
            <w:noProof w:val="0"/>
            <w:color w:val="auto"/>
          </w:rPr>
          <w:t>*E.Gannon@harper.ac.uk</w:t>
        </w:r>
      </w:hyperlink>
    </w:p>
    <w:p w14:paraId="0ABEB1E1" w14:textId="77777777" w:rsidR="007F7113" w:rsidRPr="004B762D" w:rsidRDefault="007F7113" w:rsidP="007F7113">
      <w:pPr>
        <w:pStyle w:val="CETBodytext"/>
        <w:rPr>
          <w:b/>
        </w:rPr>
      </w:pPr>
      <w:r w:rsidRPr="004B762D">
        <w:t>Abattoirs remain poorly characterised in terms of odour and volatile emissions despite their potential environmental, social, and economic impacts. This study characterised volatile organic compounds (VOCs) in a commercial cattle abattoir and assessed associations with animal welfare and production factors. Air samples were collected from the lairage and stun box throughout the working week and analysed using TD-GC-TOF-MS. A total of 200 compounds were identified, including alcohols, aldehydes, alkanes, amines, aromatic hydrocarbons, esters, ketones, nitriles, phenols, halogenated compounds, and silicones. Tweedie generalised linear models identified significant associations between VOC concentrations and production variables. Alcohol concentrations were 36% higher when overnight cattle were present (p = 0.030). Esters and nitriles increased by 41% with batch number (p &lt; 0.05), while alkanes were 3.5-fold higher during morning periods (p = 0.015). Ketones increased with batch size (+15%, p = 0.010) and over time (p = 0.017), whereas aromatic hydrocarbons declined over time (p &lt; 0.001). Machine learning models further demonstrated relationships between VOC profiles, production day, and shift hours. These findings indicate that abattoir VOC emissions are influenced by operational and animal-related factors and may provide useful indicators of environmental conditions, animal welfare, and occupational exposure.</w:t>
      </w:r>
    </w:p>
    <w:p w14:paraId="476B2F2E" w14:textId="6E353853" w:rsidR="00600535" w:rsidRPr="004B762D" w:rsidRDefault="4A2AD1B4" w:rsidP="00AA6A2B">
      <w:pPr>
        <w:pStyle w:val="CETHeading1"/>
        <w:numPr>
          <w:ilvl w:val="0"/>
          <w:numId w:val="0"/>
        </w:numPr>
        <w:rPr>
          <w:lang w:val="en-GB"/>
        </w:rPr>
      </w:pPr>
      <w:r w:rsidRPr="004B762D">
        <w:rPr>
          <w:lang w:val="en-GB"/>
        </w:rPr>
        <w:t>Introduction</w:t>
      </w:r>
    </w:p>
    <w:p w14:paraId="639AC5FC" w14:textId="21A45036" w:rsidR="00EA7555" w:rsidRPr="004B762D" w:rsidRDefault="00EA7555" w:rsidP="00EA7555">
      <w:pPr>
        <w:pStyle w:val="CETBodytext"/>
      </w:pPr>
      <w:r w:rsidRPr="004B762D">
        <w:t xml:space="preserve">VOCs are associated with adverse human health outcomes, including respiratory, cardiovascular, and carcinogenic effects (Halios et al., 2022). In agriculture, </w:t>
      </w:r>
      <w:r w:rsidR="00070546" w:rsidRPr="004B762D">
        <w:t xml:space="preserve">Volatile Organic Compound (VOC) </w:t>
      </w:r>
      <w:r w:rsidRPr="004B762D">
        <w:t xml:space="preserve">research has focused on livestock housing, where compounds such as volatile fatty acids, phenols, alcohols, and sulphur compounds dominate emissions (Trabue et al., 2011). In contrast, abattoirs remain understudied despite introducing additional emission sources, including blood, carcasses, wastewater, hide processing, and stunning gases (Bandaw &amp; Herago, 2017). Decomposition of organic waste generates VOCs such as aldehydes, amines, sulphur compounds, and ammonia, contributing to odour and potential airborne hazards (Aizawa et al., 2022). Reported </w:t>
      </w:r>
      <w:r w:rsidR="001B29EE" w:rsidRPr="004B762D">
        <w:t>T</w:t>
      </w:r>
      <w:r w:rsidRPr="004B762D">
        <w:t xml:space="preserve">VOC concentrations vary widely (1.02–3315 ppm), reflecting system variability and limited data (Mamhobu-Amadi et al., 2019). While occupational exposure limits exist for humans, equivalent thresholds for livestock are lacking. Evidence suggests animals may be more sensitive to </w:t>
      </w:r>
      <w:r w:rsidR="00120DA4" w:rsidRPr="004B762D">
        <w:t xml:space="preserve">inorganic </w:t>
      </w:r>
      <w:r w:rsidRPr="004B762D">
        <w:t xml:space="preserve">airborne pollutants, </w:t>
      </w:r>
      <w:r w:rsidR="00120DA4" w:rsidRPr="004B762D">
        <w:t>such as</w:t>
      </w:r>
      <w:r w:rsidRPr="004B762D">
        <w:t xml:space="preserve"> sub-threshold ammonia levels inducing stress and avoidance behaviours (Von Borell et al., 2007), indicating that human-based standards may not adequately protect animal welfare (Conti et al., 2021). Poor air quality in abattoirs therefore has interconnected impacts animal welfare</w:t>
      </w:r>
      <w:r w:rsidR="00CB316E" w:rsidRPr="004B762D">
        <w:t xml:space="preserve"> and health in wider livestock systems</w:t>
      </w:r>
      <w:r w:rsidRPr="004B762D">
        <w:t>, and operational efficiency.</w:t>
      </w:r>
      <w:r w:rsidR="00530DDC" w:rsidRPr="004B762D">
        <w:t xml:space="preserve"> An</w:t>
      </w:r>
      <w:r w:rsidRPr="004B762D">
        <w:t>imals may exhibit stress and disrupted behaviour in response to odours and environmental contamination (Terlouw et al., 1998; Adamczyk et al., 2015). Conversely, improved hygiene and air quality management can reduce VOCs and enhance both environmental and operational outcomes (Tanaka et al., 2023). This study aimed to characterise VOC generation and distribution in a beef abattoir, identifying key emission sources and drivers to inform improved design, hygiene, and management, and to support VOC-based monitoring of animal welfare and production efficiency.</w:t>
      </w:r>
    </w:p>
    <w:p w14:paraId="1AA751FD" w14:textId="14E656C0" w:rsidR="00695AF3" w:rsidRPr="004B762D" w:rsidRDefault="00695AF3" w:rsidP="00EA7555">
      <w:pPr>
        <w:pStyle w:val="CETHeading1"/>
      </w:pPr>
      <w:r w:rsidRPr="004B762D">
        <w:lastRenderedPageBreak/>
        <w:t>Methods</w:t>
      </w:r>
    </w:p>
    <w:p w14:paraId="745171F3" w14:textId="6905E809" w:rsidR="00695AF3" w:rsidRPr="004B762D" w:rsidRDefault="556244DA" w:rsidP="00695AF3">
      <w:pPr>
        <w:pStyle w:val="CETheadingx"/>
      </w:pPr>
      <w:r w:rsidRPr="004B762D">
        <w:t>Site Description</w:t>
      </w:r>
    </w:p>
    <w:p w14:paraId="18449EC2" w14:textId="0F250CA1" w:rsidR="33ECB7D8" w:rsidRPr="004B762D" w:rsidRDefault="33ECB7D8" w:rsidP="3C9A67BF">
      <w:pPr>
        <w:pStyle w:val="CETBodytext"/>
      </w:pPr>
      <w:r w:rsidRPr="004B762D">
        <w:t>The lairage and stun box of a commercial beef abattoir in England, United Kingdom, were sampled for VOCs on 10 sampling days between 15 August and 29 September 2025.</w:t>
      </w:r>
      <w:r w:rsidR="07CE93F8" w:rsidRPr="004B762D">
        <w:t xml:space="preserve"> The site was located in a rural area surrounded by farmland and primarily processed Aberdeen </w:t>
      </w:r>
      <w:commentRangeStart w:id="1"/>
      <w:r w:rsidR="07CE93F8" w:rsidRPr="004B762D">
        <w:t>Angus</w:t>
      </w:r>
      <w:commentRangeEnd w:id="1"/>
      <w:r w:rsidRPr="004B762D">
        <w:rPr>
          <w:rStyle w:val="CommentReference"/>
          <w:sz w:val="18"/>
          <w:szCs w:val="20"/>
        </w:rPr>
        <w:commentReference w:id="1"/>
      </w:r>
      <w:r w:rsidR="07CE93F8" w:rsidRPr="004B762D">
        <w:t>-type animals,</w:t>
      </w:r>
      <w:r w:rsidR="008901AE" w:rsidRPr="004B762D">
        <w:t xml:space="preserve"> other beef or</w:t>
      </w:r>
      <w:r w:rsidR="07CE93F8" w:rsidRPr="004B762D">
        <w:t xml:space="preserve"> </w:t>
      </w:r>
      <w:r w:rsidR="00AD1194" w:rsidRPr="004B762D">
        <w:t>dual-purpose</w:t>
      </w:r>
      <w:r w:rsidR="07CE93F8" w:rsidRPr="004B762D">
        <w:t xml:space="preserve"> breeds, and dairy culls. Cattle were delivered throughout the day and were often held overnight in the lairage. Throughput averaged approximately 340 cattle per day, equivalent to around 42 animals per hour during a 9-hour shift</w:t>
      </w:r>
      <w:r w:rsidR="004E6B59" w:rsidRPr="004B762D">
        <w:t xml:space="preserve">, operating </w:t>
      </w:r>
      <w:r w:rsidR="00C82944" w:rsidRPr="004B762D">
        <w:t>5 days a week/365 days, excluding bank holidays</w:t>
      </w:r>
      <w:r w:rsidR="07CE93F8" w:rsidRPr="004B762D">
        <w:t xml:space="preserve">. Site information was obtained from building plans, manual measurements, and discussions with staff regarding feeding, cleaning, and environmental management systems. The facility incorporated handling features based on Grandin design principles, including a serpentine race and circular crowd pen. </w:t>
      </w:r>
      <w:r w:rsidR="008901AE" w:rsidRPr="004B762D">
        <w:t>Ventilation was mixed-mode</w:t>
      </w:r>
      <w:r w:rsidR="008D2C2E" w:rsidRPr="004B762D">
        <w:t>, with mechanical fans activated ad-libitum</w:t>
      </w:r>
      <w:r w:rsidR="07CE93F8" w:rsidRPr="004B762D">
        <w:t>. The lairage had capacity for up to 208 animals, with slatted flooring, daily cleaning, weekly disinfection, natural light, and HGV access.</w:t>
      </w:r>
    </w:p>
    <w:p w14:paraId="24933D69" w14:textId="6568F72D" w:rsidR="008F1D5B" w:rsidRPr="004B762D" w:rsidRDefault="6829CA1E" w:rsidP="00901040">
      <w:pPr>
        <w:pStyle w:val="CETheadingx"/>
      </w:pPr>
      <w:r w:rsidRPr="004B762D">
        <w:t>VOC Sampling Procedure</w:t>
      </w:r>
      <w:r w:rsidR="77CB26C0" w:rsidRPr="004B762D">
        <w:t xml:space="preserve"> and Analysis</w:t>
      </w:r>
    </w:p>
    <w:p w14:paraId="5EB50775" w14:textId="6749F745" w:rsidR="00575B84" w:rsidRPr="004B762D" w:rsidRDefault="240ACF71" w:rsidP="3C9A67BF">
      <w:pPr>
        <w:pStyle w:val="CETBodytext"/>
      </w:pPr>
      <w:r w:rsidRPr="004B762D">
        <w:t>VOC sampling w</w:t>
      </w:r>
      <w:r w:rsidR="008151DB" w:rsidRPr="004B762D">
        <w:t xml:space="preserve">ere captured </w:t>
      </w:r>
      <w:r w:rsidRPr="004B762D">
        <w:t>using stainless-steel</w:t>
      </w:r>
      <w:r w:rsidR="00B14A9D" w:rsidRPr="004B762D">
        <w:t xml:space="preserve"> Tenax TA/Carbograph 5TD adsorbent; 6.4 mm o.d.</w:t>
      </w:r>
      <w:r w:rsidRPr="004B762D">
        <w:t xml:space="preserve"> thermal desorption (TD) tubes (Markes International, Llantrisant, UK; </w:t>
      </w:r>
      <w:r w:rsidR="00516E37" w:rsidRPr="004B762D">
        <w:t>B</w:t>
      </w:r>
      <w:r w:rsidRPr="004B762D">
        <w:t xml:space="preserve">io-monitoring </w:t>
      </w:r>
      <w:r w:rsidR="00516E37" w:rsidRPr="004B762D">
        <w:t>I</w:t>
      </w:r>
      <w:r w:rsidRPr="004B762D">
        <w:t>nert-</w:t>
      </w:r>
      <w:r w:rsidR="00516E37" w:rsidRPr="004B762D">
        <w:t>C</w:t>
      </w:r>
      <w:r w:rsidRPr="004B762D">
        <w:t xml:space="preserve">oated </w:t>
      </w:r>
      <w:r w:rsidR="00516E37" w:rsidRPr="004B762D">
        <w:t>T</w:t>
      </w:r>
      <w:r w:rsidRPr="004B762D">
        <w:t>ubes</w:t>
      </w:r>
      <w:r w:rsidR="00516E37" w:rsidRPr="004B762D">
        <w:t>)</w:t>
      </w:r>
      <w:r w:rsidR="00B14A9D" w:rsidRPr="004B762D">
        <w:t xml:space="preserve">. </w:t>
      </w:r>
      <w:r w:rsidRPr="004B762D">
        <w:t xml:space="preserve">Target compound classes included sulphur-containing and nitrogen-containing compounds, alcohols, aldehydes, ketones, acids, alkanes, alkenes, indoles, phenols, terpenes, volatile fatty acids (VFAs), and aromatic and halogenated hydrocarbons. </w:t>
      </w:r>
      <w:r w:rsidR="4CDFFFD3" w:rsidRPr="004B762D">
        <w:t>Air samples were collected in the lairage and stun box using an ACTI-VOC low-flow pump at 30-minute intervals</w:t>
      </w:r>
      <w:r w:rsidR="3308E0C4" w:rsidRPr="004B762D">
        <w:t xml:space="preserve"> and at a flow rate of 100 mL min⁻¹</w:t>
      </w:r>
      <w:r w:rsidR="003E0318" w:rsidRPr="004B762D">
        <w:t>, resulting in 19 samples</w:t>
      </w:r>
      <w:r w:rsidR="00A75113" w:rsidRPr="004B762D">
        <w:t xml:space="preserve"> and 3 field blanks</w:t>
      </w:r>
      <w:r w:rsidR="007E4FF0" w:rsidRPr="004B762D">
        <w:t xml:space="preserve"> per day</w:t>
      </w:r>
      <w:r w:rsidR="4CDFFFD3" w:rsidRPr="004B762D">
        <w:t>.</w:t>
      </w:r>
      <w:r w:rsidRPr="004B762D">
        <w:t xml:space="preserve"> Sampled tubes were capped, stored in standard Markes tube storage boxes, and transported </w:t>
      </w:r>
      <w:r w:rsidR="004902DC" w:rsidRPr="004B762D">
        <w:t xml:space="preserve">at room temperature </w:t>
      </w:r>
      <w:r w:rsidRPr="004B762D">
        <w:t xml:space="preserve">for analysis </w:t>
      </w:r>
      <w:r w:rsidR="004902DC" w:rsidRPr="004B762D">
        <w:t>within two hours of sampling</w:t>
      </w:r>
      <w:r w:rsidRPr="004B762D">
        <w:t xml:space="preserve">. </w:t>
      </w:r>
      <w:r w:rsidR="763225DC" w:rsidRPr="004B762D">
        <w:t xml:space="preserve">VOC </w:t>
      </w:r>
      <w:r w:rsidR="22E1DF53" w:rsidRPr="004B762D">
        <w:t>s</w:t>
      </w:r>
      <w:r w:rsidR="763225DC" w:rsidRPr="004B762D">
        <w:t xml:space="preserve">amples were analysed using a TD-GC-TOF-MS </w:t>
      </w:r>
      <w:r w:rsidR="47ED0945" w:rsidRPr="004B762D">
        <w:t xml:space="preserve">(Thermal Desorption Gas Chromatography Time-of-Flight Mass Spectrometry) </w:t>
      </w:r>
      <w:r w:rsidR="763225DC" w:rsidRPr="004B762D">
        <w:t xml:space="preserve">system (Markes Centri, Thermo TRACE 1300 GC, BenchTOF). Tubes </w:t>
      </w:r>
      <w:r w:rsidR="00086B46" w:rsidRPr="004B762D">
        <w:t>were</w:t>
      </w:r>
      <w:r w:rsidR="763225DC" w:rsidRPr="004B762D">
        <w:t xml:space="preserve"> des</w:t>
      </w:r>
      <w:r w:rsidR="00086B46" w:rsidRPr="004B762D">
        <w:t>orbed by</w:t>
      </w:r>
      <w:r w:rsidR="763225DC" w:rsidRPr="004B762D">
        <w:t xml:space="preserve"> primary incubation at 70°C for 15 min, </w:t>
      </w:r>
      <w:r w:rsidR="0024249D" w:rsidRPr="004B762D">
        <w:t>then</w:t>
      </w:r>
      <w:r w:rsidR="763225DC" w:rsidRPr="004B762D">
        <w:t xml:space="preserve"> helium purge (99.9999%) at 40°C for 3 min. Compounds were focused</w:t>
      </w:r>
      <w:r w:rsidR="00D473BC" w:rsidRPr="004B762D">
        <w:t xml:space="preserve"> automatedly</w:t>
      </w:r>
      <w:r w:rsidR="763225DC" w:rsidRPr="004B762D">
        <w:t xml:space="preserve"> at 0°C</w:t>
      </w:r>
      <w:r w:rsidR="002E1CAB" w:rsidRPr="004B762D">
        <w:t xml:space="preserve"> </w:t>
      </w:r>
      <w:r w:rsidR="00CB1CDB" w:rsidRPr="004B762D">
        <w:t>using the cryogen-free Centri 360 Autosampler (Markes International, Llantrisant, UK)</w:t>
      </w:r>
      <w:r w:rsidR="763225DC" w:rsidRPr="004B762D">
        <w:t xml:space="preserve">, then thermally desorbed at 300°C and transferred to the GC via a 250°C transfer line. Separation was achieved using an Rxi-624SilMS column (20 m × 0.18 mm × 1.0 µm) with a </w:t>
      </w:r>
      <w:r w:rsidR="280D0BD6" w:rsidRPr="004B762D">
        <w:t xml:space="preserve">helium </w:t>
      </w:r>
      <w:r w:rsidR="763225DC" w:rsidRPr="004B762D">
        <w:t xml:space="preserve">constant carrier gas flow of 1.0 mL/min. Split injection (18:1) was applied at 200°C. The oven programme was: 40°C (1 min), ramp to 150°C at 8°C/min, to 200°C at 12°C/min, then to 250°C at 15°C/min (5 min hold). Data processing used ChromCompare+ with Dynamic Background Compensation (DBC2.0, 4.0s peak width). Chromatograms were deconvoluted and reintegrated (minimum ion count 2000) with thresholds set to height 45,000, width 0.065, and area 100,000. Compounds were identified using NIST2021 library matching (≥700 match factor). Area percentages were exported and </w:t>
      </w:r>
      <w:r w:rsidR="787E0D94" w:rsidRPr="004B762D">
        <w:t>standardized</w:t>
      </w:r>
      <w:r w:rsidR="763225DC" w:rsidRPr="004B762D">
        <w:t xml:space="preserve"> using a bespoke University of Warwick platform for comparative analysis.</w:t>
      </w:r>
    </w:p>
    <w:p w14:paraId="19A38263" w14:textId="79928F1F" w:rsidR="005208CC" w:rsidRPr="004B762D" w:rsidRDefault="1EDD28F8" w:rsidP="005208CC">
      <w:pPr>
        <w:pStyle w:val="CETheadingx"/>
      </w:pPr>
      <w:r w:rsidRPr="004B762D">
        <w:t>Statistical Analysis: Animal Data Modelling &amp; Binary Machine Learning Classification.</w:t>
      </w:r>
    </w:p>
    <w:p w14:paraId="693CFFFC" w14:textId="17E6321C" w:rsidR="00F02174" w:rsidRPr="004B762D" w:rsidRDefault="00F02174" w:rsidP="00F02174">
      <w:pPr>
        <w:pStyle w:val="CETBodytext"/>
      </w:pPr>
      <w:r w:rsidRPr="004B762D">
        <w:t>Abattoir records for transport arrivals, batch additions, and slaughter rate were compiled for each sampling day. Animal proportions by sex and breed were calculated per 30-minute interval using UK Cattle Tracing System codes (GOV.UK, 2014). These variables were analysed against VOC total ion counts. To reduce dimensionality and multicollinearity, compounds were grouped by chemical class and expressed as mean ion counts, with collinear predictors (e.g. breed proportions) combined into composite variables. Due to non-normal, right-skewed, and heteroscedastic data, a Tweedie GLM (compound Poisson–Gamma, log link) was applied. Model diagnostics indicated good fit, and interaction terms were excluded based on higher AIC, retaining a parsimonious additive model. For machine learning, samples were classified as start vs end of the working week. Logistic regression, XGBoost, and Random Forest models were trained (60:40 split, 10-fold cross-validation). Statistical comparisons used Brunner–</w:t>
      </w:r>
      <w:r w:rsidR="00406BED" w:rsidRPr="004B762D">
        <w:t>Menzel</w:t>
      </w:r>
      <w:r w:rsidRPr="004B762D">
        <w:t xml:space="preserve"> or Mann–Whitney tests (p &lt; 0.05). Of 197 compounds, 45 features were retained based on model performance</w:t>
      </w:r>
    </w:p>
    <w:p w14:paraId="0AD1F557" w14:textId="648F51AB" w:rsidR="00D36E21" w:rsidRPr="004B762D" w:rsidRDefault="2EB08941" w:rsidP="00F02174">
      <w:pPr>
        <w:pStyle w:val="CETHeading1"/>
      </w:pPr>
      <w:r w:rsidRPr="004B762D">
        <w:t>Results</w:t>
      </w:r>
      <w:r w:rsidR="6400FBE1" w:rsidRPr="004B762D">
        <w:t xml:space="preserve"> and Discussion</w:t>
      </w:r>
    </w:p>
    <w:p w14:paraId="0C3B9FCD" w14:textId="1CF46C16" w:rsidR="0065572A" w:rsidRPr="004B762D" w:rsidRDefault="0705B3E6" w:rsidP="3C9A67BF">
      <w:pPr>
        <w:pStyle w:val="CETBodytext"/>
      </w:pPr>
      <w:r w:rsidRPr="004B762D">
        <w:t>Following background subtraction and filtering to retain only compounds detected in at least 10 samples, the number of identified VOCs was reduced from 197 to 55 for further analysis.</w:t>
      </w:r>
      <w:r w:rsidR="0077286C" w:rsidRPr="004B762D">
        <w:t xml:space="preserve"> </w:t>
      </w:r>
      <w:r w:rsidRPr="004B762D">
        <w:t xml:space="preserve"> </w:t>
      </w:r>
      <w:r w:rsidR="00E72282" w:rsidRPr="004B762D">
        <w:t xml:space="preserve">This filtering removed background artefacts, column </w:t>
      </w:r>
      <w:r w:rsidR="009102E3" w:rsidRPr="004B762D">
        <w:t xml:space="preserve">derivatives, and random or uncommonly occurring compounds that may not be representative of </w:t>
      </w:r>
      <w:r w:rsidR="003A3B25" w:rsidRPr="004B762D">
        <w:t xml:space="preserve">consistent abattoir emissions. </w:t>
      </w:r>
      <w:r w:rsidRPr="004B762D">
        <w:t xml:space="preserve">The retained compounds </w:t>
      </w:r>
      <w:r w:rsidR="00B97C88" w:rsidRPr="004B762D">
        <w:t>are identified in Table 1</w:t>
      </w:r>
      <w:r w:rsidR="00770EB5" w:rsidRPr="004B762D">
        <w:t>.</w:t>
      </w:r>
    </w:p>
    <w:p w14:paraId="27A1ABD3" w14:textId="77777777" w:rsidR="00770EB5" w:rsidRPr="004B762D" w:rsidRDefault="00770EB5" w:rsidP="3C9A67BF">
      <w:pPr>
        <w:pStyle w:val="CETBodytext"/>
      </w:pPr>
    </w:p>
    <w:p w14:paraId="59BD8B4B" w14:textId="57B17B7D" w:rsidR="00770EB5" w:rsidRPr="004B762D" w:rsidRDefault="00CA04E4" w:rsidP="00CA04E4">
      <w:pPr>
        <w:pStyle w:val="CETTabletitle"/>
        <w:rPr>
          <w:sz w:val="16"/>
          <w:szCs w:val="18"/>
        </w:rPr>
      </w:pPr>
      <w:r w:rsidRPr="004B762D">
        <w:rPr>
          <w:sz w:val="16"/>
          <w:szCs w:val="18"/>
        </w:rPr>
        <w:lastRenderedPageBreak/>
        <w:t>Table 1. Volatile organic compounds (VOCs) identified in air samples, grouped by chemical class in statistical analysis.</w:t>
      </w:r>
    </w:p>
    <w:tbl>
      <w:tblPr>
        <w:tblW w:w="9650" w:type="dxa"/>
        <w:tblBorders>
          <w:top w:val="single" w:sz="12" w:space="0" w:color="008000"/>
          <w:bottom w:val="single" w:sz="12" w:space="0" w:color="008000"/>
        </w:tblBorders>
        <w:shd w:val="clear" w:color="auto" w:fill="FFFFFF"/>
        <w:tblCellMar>
          <w:left w:w="0" w:type="dxa"/>
          <w:right w:w="0" w:type="dxa"/>
        </w:tblCellMar>
        <w:tblLook w:val="00A0" w:firstRow="1" w:lastRow="0" w:firstColumn="1" w:lastColumn="0" w:noHBand="0" w:noVBand="0"/>
      </w:tblPr>
      <w:tblGrid>
        <w:gridCol w:w="2835"/>
        <w:gridCol w:w="6815"/>
      </w:tblGrid>
      <w:tr w:rsidR="007A50CF" w:rsidRPr="004B762D" w14:paraId="4C9CC48A" w14:textId="77777777" w:rsidTr="002F3349">
        <w:trPr>
          <w:trHeight w:val="186"/>
        </w:trPr>
        <w:tc>
          <w:tcPr>
            <w:tcW w:w="2835" w:type="dxa"/>
            <w:vAlign w:val="center"/>
          </w:tcPr>
          <w:p w14:paraId="3E60D4C1" w14:textId="77777777" w:rsidR="007A50CF" w:rsidRPr="004B762D" w:rsidRDefault="007A50CF" w:rsidP="007A50CF">
            <w:pPr>
              <w:pStyle w:val="CETBodytext"/>
              <w:rPr>
                <w:sz w:val="16"/>
                <w:szCs w:val="18"/>
              </w:rPr>
            </w:pPr>
            <w:r w:rsidRPr="004B762D">
              <w:rPr>
                <w:sz w:val="16"/>
                <w:szCs w:val="18"/>
              </w:rPr>
              <w:t>VOC class</w:t>
            </w:r>
          </w:p>
        </w:tc>
        <w:tc>
          <w:tcPr>
            <w:tcW w:w="6815" w:type="dxa"/>
            <w:vAlign w:val="center"/>
          </w:tcPr>
          <w:p w14:paraId="23CEB905" w14:textId="77777777" w:rsidR="007A50CF" w:rsidRPr="004B762D" w:rsidRDefault="007A50CF" w:rsidP="007A50CF">
            <w:pPr>
              <w:pStyle w:val="CETBodytext"/>
              <w:rPr>
                <w:sz w:val="16"/>
                <w:szCs w:val="18"/>
              </w:rPr>
            </w:pPr>
            <w:r w:rsidRPr="004B762D">
              <w:rPr>
                <w:sz w:val="16"/>
                <w:szCs w:val="18"/>
              </w:rPr>
              <w:t>Compounds detected</w:t>
            </w:r>
          </w:p>
        </w:tc>
      </w:tr>
      <w:tr w:rsidR="007A50CF" w:rsidRPr="004B762D" w14:paraId="4DEA3982" w14:textId="77777777" w:rsidTr="002F3349">
        <w:trPr>
          <w:trHeight w:val="234"/>
        </w:trPr>
        <w:tc>
          <w:tcPr>
            <w:tcW w:w="2835" w:type="dxa"/>
            <w:vAlign w:val="center"/>
          </w:tcPr>
          <w:p w14:paraId="352CC62A" w14:textId="1FB27462" w:rsidR="007A50CF" w:rsidRPr="004B762D" w:rsidRDefault="007A50CF" w:rsidP="007A50CF">
            <w:pPr>
              <w:pStyle w:val="CETBodytext"/>
              <w:rPr>
                <w:sz w:val="16"/>
                <w:szCs w:val="18"/>
              </w:rPr>
            </w:pPr>
            <w:r w:rsidRPr="004B762D">
              <w:rPr>
                <w:sz w:val="16"/>
                <w:szCs w:val="18"/>
              </w:rPr>
              <w:t>Alcohols (n = 17, 32%)</w:t>
            </w:r>
          </w:p>
        </w:tc>
        <w:tc>
          <w:tcPr>
            <w:tcW w:w="6815" w:type="dxa"/>
            <w:vAlign w:val="center"/>
          </w:tcPr>
          <w:p w14:paraId="11BAFF8B" w14:textId="77777777" w:rsidR="007A50CF" w:rsidRPr="004B762D" w:rsidRDefault="007A50CF" w:rsidP="007A50CF">
            <w:pPr>
              <w:pStyle w:val="CETBodytext"/>
              <w:rPr>
                <w:sz w:val="16"/>
                <w:szCs w:val="18"/>
              </w:rPr>
            </w:pPr>
            <w:r w:rsidRPr="004B762D">
              <w:rPr>
                <w:sz w:val="16"/>
                <w:szCs w:val="18"/>
              </w:rPr>
              <w:t>Ethanol, isopropyl alcohol, 1-propanol, acetic acid, 1-butanol, 1,2-ethanediol, α-terpineol, 1-dodecanol, 1-hexadecanol, 1-octadecanol, and other alcohols/silanols</w:t>
            </w:r>
          </w:p>
        </w:tc>
      </w:tr>
      <w:tr w:rsidR="007A50CF" w:rsidRPr="004B762D" w14:paraId="646261CC" w14:textId="77777777" w:rsidTr="00B32217">
        <w:trPr>
          <w:trHeight w:val="175"/>
        </w:trPr>
        <w:tc>
          <w:tcPr>
            <w:tcW w:w="2835" w:type="dxa"/>
            <w:vAlign w:val="center"/>
          </w:tcPr>
          <w:p w14:paraId="2DAD0B0B" w14:textId="374E6004" w:rsidR="007A50CF" w:rsidRPr="004B762D" w:rsidRDefault="007A50CF" w:rsidP="007A50CF">
            <w:pPr>
              <w:pStyle w:val="CETBodytext"/>
              <w:rPr>
                <w:sz w:val="16"/>
                <w:szCs w:val="18"/>
              </w:rPr>
            </w:pPr>
            <w:r w:rsidRPr="004B762D">
              <w:rPr>
                <w:sz w:val="16"/>
                <w:szCs w:val="18"/>
              </w:rPr>
              <w:t>Aldehydes (n = 5, 2.75%)</w:t>
            </w:r>
          </w:p>
        </w:tc>
        <w:tc>
          <w:tcPr>
            <w:tcW w:w="6815" w:type="dxa"/>
            <w:vAlign w:val="center"/>
          </w:tcPr>
          <w:p w14:paraId="628D5E2A" w14:textId="77777777" w:rsidR="007A50CF" w:rsidRPr="004B762D" w:rsidRDefault="007A50CF" w:rsidP="007A50CF">
            <w:pPr>
              <w:pStyle w:val="CETBodytext"/>
              <w:rPr>
                <w:sz w:val="16"/>
                <w:szCs w:val="18"/>
              </w:rPr>
            </w:pPr>
            <w:r w:rsidRPr="004B762D">
              <w:rPr>
                <w:sz w:val="16"/>
                <w:szCs w:val="18"/>
              </w:rPr>
              <w:t>Hexanal, benzaldehyde, octanal, nonanal, decanal</w:t>
            </w:r>
          </w:p>
        </w:tc>
      </w:tr>
      <w:tr w:rsidR="007A50CF" w:rsidRPr="004B762D" w14:paraId="0FB22888" w14:textId="77777777" w:rsidTr="002F3349">
        <w:trPr>
          <w:trHeight w:val="291"/>
        </w:trPr>
        <w:tc>
          <w:tcPr>
            <w:tcW w:w="2835" w:type="dxa"/>
            <w:vAlign w:val="center"/>
          </w:tcPr>
          <w:p w14:paraId="2D4EC892" w14:textId="67AA1994" w:rsidR="007A50CF" w:rsidRPr="004B762D" w:rsidRDefault="007A50CF" w:rsidP="007A50CF">
            <w:pPr>
              <w:pStyle w:val="CETBodytext"/>
              <w:rPr>
                <w:sz w:val="16"/>
                <w:szCs w:val="18"/>
              </w:rPr>
            </w:pPr>
            <w:r w:rsidRPr="004B762D">
              <w:rPr>
                <w:sz w:val="16"/>
                <w:szCs w:val="18"/>
              </w:rPr>
              <w:t>Amines (n = 6, 3.3%)</w:t>
            </w:r>
          </w:p>
        </w:tc>
        <w:tc>
          <w:tcPr>
            <w:tcW w:w="6815" w:type="dxa"/>
            <w:vAlign w:val="center"/>
          </w:tcPr>
          <w:p w14:paraId="42714D60" w14:textId="77777777" w:rsidR="007A50CF" w:rsidRPr="004B762D" w:rsidRDefault="007A50CF" w:rsidP="007A50CF">
            <w:pPr>
              <w:pStyle w:val="CETBodytext"/>
              <w:rPr>
                <w:sz w:val="16"/>
                <w:szCs w:val="18"/>
              </w:rPr>
            </w:pPr>
            <w:r w:rsidRPr="004B762D">
              <w:rPr>
                <w:sz w:val="16"/>
                <w:szCs w:val="18"/>
              </w:rPr>
              <w:t>Ethylenimine, dimethylmethylamine, tetramethylmethanediamine, aniline, methenamine, N-butylbenzenesulfonamide</w:t>
            </w:r>
          </w:p>
        </w:tc>
      </w:tr>
      <w:tr w:rsidR="007A50CF" w:rsidRPr="004B762D" w14:paraId="73FD1C7C" w14:textId="77777777" w:rsidTr="00B32217">
        <w:trPr>
          <w:trHeight w:val="141"/>
        </w:trPr>
        <w:tc>
          <w:tcPr>
            <w:tcW w:w="2835" w:type="dxa"/>
            <w:vAlign w:val="center"/>
          </w:tcPr>
          <w:p w14:paraId="40C995EA" w14:textId="707459EE" w:rsidR="007A50CF" w:rsidRPr="004B762D" w:rsidRDefault="007A50CF" w:rsidP="007A50CF">
            <w:pPr>
              <w:pStyle w:val="CETBodytext"/>
              <w:rPr>
                <w:sz w:val="16"/>
                <w:szCs w:val="18"/>
                <w:lang w:val="en-GB"/>
              </w:rPr>
            </w:pPr>
            <w:r w:rsidRPr="004B762D">
              <w:rPr>
                <w:sz w:val="16"/>
                <w:szCs w:val="18"/>
              </w:rPr>
              <w:t>Esters (n = 1, 0.55%)</w:t>
            </w:r>
          </w:p>
        </w:tc>
        <w:tc>
          <w:tcPr>
            <w:tcW w:w="6815" w:type="dxa"/>
            <w:vAlign w:val="center"/>
          </w:tcPr>
          <w:p w14:paraId="108907CE" w14:textId="77777777" w:rsidR="007A50CF" w:rsidRPr="004B762D" w:rsidRDefault="007A50CF" w:rsidP="007A50CF">
            <w:pPr>
              <w:pStyle w:val="CETBodytext"/>
              <w:rPr>
                <w:sz w:val="16"/>
                <w:szCs w:val="18"/>
                <w:lang w:val="en-GB"/>
              </w:rPr>
            </w:pPr>
            <w:r w:rsidRPr="004B762D">
              <w:rPr>
                <w:sz w:val="16"/>
                <w:szCs w:val="18"/>
              </w:rPr>
              <w:t>Ethyl acetate</w:t>
            </w:r>
          </w:p>
        </w:tc>
      </w:tr>
      <w:tr w:rsidR="007A50CF" w:rsidRPr="004B762D" w14:paraId="1DB0BBCE" w14:textId="77777777" w:rsidTr="00B32217">
        <w:trPr>
          <w:trHeight w:val="214"/>
        </w:trPr>
        <w:tc>
          <w:tcPr>
            <w:tcW w:w="2835" w:type="dxa"/>
            <w:vAlign w:val="center"/>
          </w:tcPr>
          <w:p w14:paraId="503AB928" w14:textId="50B809F2" w:rsidR="007A50CF" w:rsidRPr="004B762D" w:rsidRDefault="007A50CF" w:rsidP="007A50CF">
            <w:pPr>
              <w:pStyle w:val="CETBodytext"/>
              <w:rPr>
                <w:sz w:val="16"/>
                <w:szCs w:val="18"/>
                <w:lang w:val="en-GB"/>
              </w:rPr>
            </w:pPr>
            <w:r w:rsidRPr="004B762D">
              <w:rPr>
                <w:sz w:val="16"/>
                <w:szCs w:val="18"/>
              </w:rPr>
              <w:t>Halo</w:t>
            </w:r>
            <w:r w:rsidR="00DE492D" w:rsidRPr="004B762D">
              <w:rPr>
                <w:sz w:val="16"/>
                <w:szCs w:val="18"/>
              </w:rPr>
              <w:t>alkanes</w:t>
            </w:r>
            <w:r w:rsidRPr="004B762D">
              <w:rPr>
                <w:sz w:val="16"/>
                <w:szCs w:val="18"/>
              </w:rPr>
              <w:t xml:space="preserve"> (n = 4</w:t>
            </w:r>
            <w:r w:rsidR="005423AF" w:rsidRPr="004B762D">
              <w:rPr>
                <w:sz w:val="16"/>
                <w:szCs w:val="18"/>
              </w:rPr>
              <w:t>, 2.2%</w:t>
            </w:r>
            <w:r w:rsidRPr="004B762D">
              <w:rPr>
                <w:sz w:val="16"/>
                <w:szCs w:val="18"/>
              </w:rPr>
              <w:t>)</w:t>
            </w:r>
          </w:p>
        </w:tc>
        <w:tc>
          <w:tcPr>
            <w:tcW w:w="6815" w:type="dxa"/>
            <w:vAlign w:val="center"/>
          </w:tcPr>
          <w:p w14:paraId="77DE13F6" w14:textId="77777777" w:rsidR="007A50CF" w:rsidRPr="004B762D" w:rsidRDefault="007A50CF" w:rsidP="007A50CF">
            <w:pPr>
              <w:pStyle w:val="CETBodytext"/>
              <w:rPr>
                <w:sz w:val="16"/>
                <w:szCs w:val="18"/>
                <w:lang w:val="en-GB"/>
              </w:rPr>
            </w:pPr>
            <w:r w:rsidRPr="004B762D">
              <w:rPr>
                <w:sz w:val="16"/>
                <w:szCs w:val="18"/>
              </w:rPr>
              <w:t>Trichloromonofluoromethane, 1,1,2-trichloro-1,2,2-trifluoroethane, trichloromethane, carbon tetrachloride</w:t>
            </w:r>
          </w:p>
        </w:tc>
      </w:tr>
      <w:tr w:rsidR="007A50CF" w:rsidRPr="004B762D" w14:paraId="3B354E83" w14:textId="77777777" w:rsidTr="00B32217">
        <w:trPr>
          <w:trHeight w:val="149"/>
        </w:trPr>
        <w:tc>
          <w:tcPr>
            <w:tcW w:w="2835" w:type="dxa"/>
            <w:vAlign w:val="center"/>
          </w:tcPr>
          <w:p w14:paraId="202195FF" w14:textId="0688AC7C" w:rsidR="007A50CF" w:rsidRPr="004B762D" w:rsidRDefault="007A50CF" w:rsidP="007A50CF">
            <w:pPr>
              <w:pStyle w:val="CETBodytext"/>
              <w:rPr>
                <w:sz w:val="16"/>
                <w:szCs w:val="18"/>
                <w:lang w:val="en-GB"/>
              </w:rPr>
            </w:pPr>
            <w:r w:rsidRPr="004B762D">
              <w:rPr>
                <w:sz w:val="16"/>
                <w:szCs w:val="18"/>
              </w:rPr>
              <w:t>Alkanes (n = 5, 2.75%)</w:t>
            </w:r>
          </w:p>
        </w:tc>
        <w:tc>
          <w:tcPr>
            <w:tcW w:w="6815" w:type="dxa"/>
            <w:vAlign w:val="center"/>
          </w:tcPr>
          <w:p w14:paraId="4384080A" w14:textId="77777777" w:rsidR="007A50CF" w:rsidRPr="004B762D" w:rsidRDefault="007A50CF" w:rsidP="007A50CF">
            <w:pPr>
              <w:pStyle w:val="CETBodytext"/>
              <w:rPr>
                <w:sz w:val="16"/>
                <w:szCs w:val="18"/>
                <w:lang w:val="en-GB"/>
              </w:rPr>
            </w:pPr>
            <w:r w:rsidRPr="004B762D">
              <w:rPr>
                <w:sz w:val="16"/>
                <w:szCs w:val="18"/>
              </w:rPr>
              <w:t>Isobutane, butane, 2-methylbutane, 2,2,4,6,6-pentamethylheptane, hexadecane</w:t>
            </w:r>
          </w:p>
        </w:tc>
      </w:tr>
      <w:tr w:rsidR="007A50CF" w:rsidRPr="004B762D" w14:paraId="79F78E3E" w14:textId="77777777" w:rsidTr="002F3349">
        <w:trPr>
          <w:trHeight w:val="291"/>
        </w:trPr>
        <w:tc>
          <w:tcPr>
            <w:tcW w:w="2835" w:type="dxa"/>
            <w:vAlign w:val="center"/>
          </w:tcPr>
          <w:p w14:paraId="0711BA21" w14:textId="6B4FC02B" w:rsidR="007A50CF" w:rsidRPr="004B762D" w:rsidRDefault="007A50CF" w:rsidP="007A50CF">
            <w:pPr>
              <w:pStyle w:val="CETBodytext"/>
              <w:rPr>
                <w:sz w:val="16"/>
                <w:szCs w:val="18"/>
                <w:lang w:val="en-GB"/>
              </w:rPr>
            </w:pPr>
            <w:r w:rsidRPr="004B762D">
              <w:rPr>
                <w:sz w:val="16"/>
                <w:szCs w:val="18"/>
              </w:rPr>
              <w:t>Alkenes (n = 3</w:t>
            </w:r>
            <w:r w:rsidR="00B97C88" w:rsidRPr="004B762D">
              <w:rPr>
                <w:sz w:val="16"/>
                <w:szCs w:val="18"/>
              </w:rPr>
              <w:t>, 1.65%</w:t>
            </w:r>
            <w:r w:rsidRPr="004B762D">
              <w:rPr>
                <w:sz w:val="16"/>
                <w:szCs w:val="18"/>
              </w:rPr>
              <w:t>)</w:t>
            </w:r>
          </w:p>
        </w:tc>
        <w:tc>
          <w:tcPr>
            <w:tcW w:w="6815" w:type="dxa"/>
            <w:vAlign w:val="center"/>
          </w:tcPr>
          <w:p w14:paraId="4E1E42DA" w14:textId="77777777" w:rsidR="007A50CF" w:rsidRPr="004B762D" w:rsidRDefault="007A50CF" w:rsidP="007A50CF">
            <w:pPr>
              <w:pStyle w:val="CETBodytext"/>
              <w:rPr>
                <w:sz w:val="16"/>
                <w:szCs w:val="18"/>
                <w:lang w:val="en-GB"/>
              </w:rPr>
            </w:pPr>
            <w:r w:rsidRPr="004B762D">
              <w:rPr>
                <w:sz w:val="16"/>
                <w:szCs w:val="18"/>
              </w:rPr>
              <w:t>2-methyl-2-butene, pinene, limonene</w:t>
            </w:r>
          </w:p>
        </w:tc>
      </w:tr>
      <w:tr w:rsidR="007A50CF" w:rsidRPr="004B762D" w14:paraId="513337CF" w14:textId="77777777" w:rsidTr="00B32217">
        <w:trPr>
          <w:trHeight w:val="57"/>
        </w:trPr>
        <w:tc>
          <w:tcPr>
            <w:tcW w:w="2835" w:type="dxa"/>
            <w:vAlign w:val="center"/>
          </w:tcPr>
          <w:p w14:paraId="2918D3B1" w14:textId="77777777" w:rsidR="007A50CF" w:rsidRPr="004B762D" w:rsidRDefault="007A50CF" w:rsidP="007A50CF">
            <w:pPr>
              <w:pStyle w:val="CETBodytext"/>
              <w:rPr>
                <w:sz w:val="16"/>
                <w:szCs w:val="18"/>
                <w:lang w:val="en-GB"/>
              </w:rPr>
            </w:pPr>
            <w:r w:rsidRPr="004B762D">
              <w:rPr>
                <w:sz w:val="16"/>
                <w:szCs w:val="18"/>
              </w:rPr>
              <w:t>Aromatic hydrocarbons (n = 6)</w:t>
            </w:r>
          </w:p>
        </w:tc>
        <w:tc>
          <w:tcPr>
            <w:tcW w:w="6815" w:type="dxa"/>
            <w:vAlign w:val="center"/>
          </w:tcPr>
          <w:p w14:paraId="387DE7D2" w14:textId="77777777" w:rsidR="007A50CF" w:rsidRPr="004B762D" w:rsidRDefault="007A50CF" w:rsidP="007A50CF">
            <w:pPr>
              <w:pStyle w:val="CETBodytext"/>
              <w:rPr>
                <w:sz w:val="16"/>
                <w:szCs w:val="18"/>
                <w:lang w:val="en-GB"/>
              </w:rPr>
            </w:pPr>
            <w:r w:rsidRPr="004B762D">
              <w:rPr>
                <w:sz w:val="16"/>
                <w:szCs w:val="18"/>
              </w:rPr>
              <w:t>Benzene, 1,3,5-triazine, toluene, phenylethyne, cymene, indole</w:t>
            </w:r>
          </w:p>
        </w:tc>
      </w:tr>
      <w:tr w:rsidR="007A50CF" w:rsidRPr="004B762D" w14:paraId="77F7F6D8" w14:textId="77777777" w:rsidTr="002F3349">
        <w:trPr>
          <w:trHeight w:val="291"/>
        </w:trPr>
        <w:tc>
          <w:tcPr>
            <w:tcW w:w="2835" w:type="dxa"/>
            <w:vAlign w:val="center"/>
          </w:tcPr>
          <w:p w14:paraId="34F0D5D8" w14:textId="5F506F6A" w:rsidR="007A50CF" w:rsidRPr="004B762D" w:rsidRDefault="007A50CF" w:rsidP="007A50CF">
            <w:pPr>
              <w:pStyle w:val="CETBodytext"/>
              <w:rPr>
                <w:sz w:val="16"/>
                <w:szCs w:val="18"/>
                <w:lang w:val="en-GB"/>
              </w:rPr>
            </w:pPr>
            <w:r w:rsidRPr="004B762D">
              <w:rPr>
                <w:sz w:val="16"/>
                <w:szCs w:val="18"/>
              </w:rPr>
              <w:t>Ketones (n = 5, 2.75%)</w:t>
            </w:r>
          </w:p>
        </w:tc>
        <w:tc>
          <w:tcPr>
            <w:tcW w:w="6815" w:type="dxa"/>
            <w:vAlign w:val="center"/>
          </w:tcPr>
          <w:p w14:paraId="16488A8D" w14:textId="77777777" w:rsidR="007A50CF" w:rsidRPr="004B762D" w:rsidRDefault="007A50CF" w:rsidP="007A50CF">
            <w:pPr>
              <w:pStyle w:val="CETBodytext"/>
              <w:rPr>
                <w:sz w:val="16"/>
                <w:szCs w:val="18"/>
                <w:lang w:val="en-GB"/>
              </w:rPr>
            </w:pPr>
            <w:r w:rsidRPr="004B762D">
              <w:rPr>
                <w:sz w:val="16"/>
                <w:szCs w:val="18"/>
              </w:rPr>
              <w:t>Acetone, 2,3-butanedione, 2-butanone, acetoin, acetophenone</w:t>
            </w:r>
          </w:p>
        </w:tc>
      </w:tr>
      <w:tr w:rsidR="007A50CF" w:rsidRPr="004B762D" w14:paraId="26E28594" w14:textId="77777777" w:rsidTr="00B32217">
        <w:trPr>
          <w:trHeight w:val="57"/>
        </w:trPr>
        <w:tc>
          <w:tcPr>
            <w:tcW w:w="2835" w:type="dxa"/>
            <w:vAlign w:val="center"/>
          </w:tcPr>
          <w:p w14:paraId="7EC5C270" w14:textId="2D20D9C5" w:rsidR="007A50CF" w:rsidRPr="004B762D" w:rsidRDefault="007A50CF" w:rsidP="007A50CF">
            <w:pPr>
              <w:pStyle w:val="CETBodytext"/>
              <w:rPr>
                <w:sz w:val="16"/>
                <w:szCs w:val="18"/>
                <w:lang w:val="en-GB"/>
              </w:rPr>
            </w:pPr>
            <w:r w:rsidRPr="004B762D">
              <w:rPr>
                <w:sz w:val="16"/>
                <w:szCs w:val="18"/>
              </w:rPr>
              <w:t>Nitriles (n = 1, 0.55%)</w:t>
            </w:r>
          </w:p>
        </w:tc>
        <w:tc>
          <w:tcPr>
            <w:tcW w:w="6815" w:type="dxa"/>
            <w:vAlign w:val="center"/>
          </w:tcPr>
          <w:p w14:paraId="03C13A34" w14:textId="77777777" w:rsidR="007A50CF" w:rsidRPr="004B762D" w:rsidRDefault="007A50CF" w:rsidP="007A50CF">
            <w:pPr>
              <w:pStyle w:val="CETBodytext"/>
              <w:rPr>
                <w:sz w:val="16"/>
                <w:szCs w:val="18"/>
                <w:lang w:val="en-GB"/>
              </w:rPr>
            </w:pPr>
            <w:r w:rsidRPr="004B762D">
              <w:rPr>
                <w:sz w:val="16"/>
                <w:szCs w:val="18"/>
              </w:rPr>
              <w:t>Benzonitrile</w:t>
            </w:r>
          </w:p>
        </w:tc>
      </w:tr>
      <w:tr w:rsidR="007A50CF" w:rsidRPr="004B762D" w14:paraId="23F0603D" w14:textId="77777777" w:rsidTr="002F3349">
        <w:trPr>
          <w:trHeight w:val="291"/>
        </w:trPr>
        <w:tc>
          <w:tcPr>
            <w:tcW w:w="2835" w:type="dxa"/>
            <w:vAlign w:val="center"/>
          </w:tcPr>
          <w:p w14:paraId="5B2B4A71" w14:textId="6B06E19B" w:rsidR="007A50CF" w:rsidRPr="004B762D" w:rsidRDefault="007A50CF" w:rsidP="007A50CF">
            <w:pPr>
              <w:pStyle w:val="CETBodytext"/>
              <w:rPr>
                <w:sz w:val="16"/>
                <w:szCs w:val="18"/>
                <w:lang w:val="en-GB"/>
              </w:rPr>
            </w:pPr>
            <w:r w:rsidRPr="004B762D">
              <w:rPr>
                <w:sz w:val="16"/>
                <w:szCs w:val="18"/>
              </w:rPr>
              <w:t>Phenols (n = 3</w:t>
            </w:r>
            <w:r w:rsidR="00B97C88" w:rsidRPr="004B762D">
              <w:rPr>
                <w:sz w:val="16"/>
                <w:szCs w:val="18"/>
              </w:rPr>
              <w:t>, 1.65%</w:t>
            </w:r>
            <w:r w:rsidRPr="004B762D">
              <w:rPr>
                <w:sz w:val="16"/>
                <w:szCs w:val="18"/>
              </w:rPr>
              <w:t>)</w:t>
            </w:r>
          </w:p>
        </w:tc>
        <w:tc>
          <w:tcPr>
            <w:tcW w:w="6815" w:type="dxa"/>
            <w:vAlign w:val="center"/>
          </w:tcPr>
          <w:p w14:paraId="26D3BC6D" w14:textId="77777777" w:rsidR="007A50CF" w:rsidRPr="004B762D" w:rsidRDefault="007A50CF" w:rsidP="007A50CF">
            <w:pPr>
              <w:pStyle w:val="CETBodytext"/>
              <w:rPr>
                <w:sz w:val="16"/>
                <w:szCs w:val="18"/>
                <w:lang w:val="en-GB"/>
              </w:rPr>
            </w:pPr>
            <w:r w:rsidRPr="004B762D">
              <w:rPr>
                <w:sz w:val="16"/>
                <w:szCs w:val="18"/>
              </w:rPr>
              <w:t>Phenol, cresol, 4-ethylphenol</w:t>
            </w:r>
          </w:p>
        </w:tc>
      </w:tr>
    </w:tbl>
    <w:p w14:paraId="7E772F34" w14:textId="77777777" w:rsidR="007A50CF" w:rsidRPr="004B762D" w:rsidRDefault="007A50CF" w:rsidP="3C9A67BF">
      <w:pPr>
        <w:pStyle w:val="CETBodytext"/>
        <w:rPr>
          <w:sz w:val="16"/>
          <w:szCs w:val="18"/>
        </w:rPr>
      </w:pPr>
    </w:p>
    <w:p w14:paraId="647305F2" w14:textId="77777777" w:rsidR="0065572A" w:rsidRPr="004B762D" w:rsidRDefault="0065572A" w:rsidP="3C9A67BF">
      <w:pPr>
        <w:pStyle w:val="CETBodytext"/>
      </w:pPr>
    </w:p>
    <w:p w14:paraId="1E7D3F6B" w14:textId="46014EC3" w:rsidR="0705B3E6" w:rsidRPr="004B762D" w:rsidRDefault="0705B3E6" w:rsidP="3C9A67BF">
      <w:pPr>
        <w:pStyle w:val="CETBodytext"/>
      </w:pPr>
      <w:r w:rsidRPr="004B762D">
        <w:t>Patterns of abundance varied across VOC groups and by time of day. However, only a small number of compounds showed clear temporal specificity. For example, heptane, 2,2,4,6,6-pentamethyl was detected only during the afternoon period, whereas trichloromethane and methenamine were detected only in the morning</w:t>
      </w:r>
      <w:r w:rsidR="00EB7A04" w:rsidRPr="004B762D">
        <w:t xml:space="preserve"> regardless of number of overnight animals held</w:t>
      </w:r>
      <w:r w:rsidRPr="004B762D">
        <w:t xml:space="preserve">. Overall, the VOC profile was broadly similar between morning and afternoon sampling periods. Three machine-learning models </w:t>
      </w:r>
      <w:r w:rsidR="0E92AD3A" w:rsidRPr="004B762D">
        <w:t>(</w:t>
      </w:r>
      <w:commentRangeStart w:id="2"/>
      <w:r w:rsidRPr="004B762D">
        <w:t>logistic</w:t>
      </w:r>
      <w:commentRangeEnd w:id="2"/>
      <w:r w:rsidRPr="004B762D">
        <w:rPr>
          <w:rStyle w:val="CommentReference"/>
          <w:sz w:val="18"/>
          <w:szCs w:val="20"/>
        </w:rPr>
        <w:commentReference w:id="2"/>
      </w:r>
      <w:r w:rsidRPr="004B762D">
        <w:t xml:space="preserve"> regression, XGBoost, and Random Forest) were used to classify samples by production week (start vs end), with all models showing strong discriminatory performance</w:t>
      </w:r>
      <w:r w:rsidR="00722D67" w:rsidRPr="004B762D">
        <w:t xml:space="preserve"> (Figure 1)</w:t>
      </w:r>
      <w:r w:rsidRPr="004B762D">
        <w:t xml:space="preserve">. Shapley analysis identified terpineol, </w:t>
      </w:r>
      <w:r w:rsidR="00D81863" w:rsidRPr="004B762D">
        <w:t>Methylamine,</w:t>
      </w:r>
      <w:r w:rsidR="00A55DAC" w:rsidRPr="004B762D">
        <w:t xml:space="preserve"> </w:t>
      </w:r>
      <w:r w:rsidRPr="004B762D">
        <w:t xml:space="preserve">N,N-dimethyl-, phenol, 4-ethyl-, and propanol as key discriminatory features. Higher concentrations of these compounds were consistently associated with the start of the week (Class 0), whereas lower concentrations were associated with the end of the week (Class 1). </w:t>
      </w:r>
      <w:r w:rsidR="24E86012" w:rsidRPr="004B762D">
        <w:t>Of 55 retained compounds, 37 were selected</w:t>
      </w:r>
      <w:r w:rsidR="003A3B25" w:rsidRPr="004B762D">
        <w:t xml:space="preserve"> for </w:t>
      </w:r>
      <w:r w:rsidR="007914C7" w:rsidRPr="004B762D">
        <w:t xml:space="preserve">statistically </w:t>
      </w:r>
      <w:r w:rsidR="003A3B25" w:rsidRPr="004B762D">
        <w:t>significant presence and intensity in samples</w:t>
      </w:r>
      <w:r w:rsidR="24E86012" w:rsidRPr="004B762D">
        <w:t xml:space="preserve">, of which 13 were significantly associated with class separation (Cliff’s delta, p ≤ 0.05). </w:t>
      </w:r>
      <w:r w:rsidRPr="004B762D">
        <w:t xml:space="preserve">Ten compounds were associated with the end of the week, spanning alcohols, aromatic hydrocarbons, haloalkanes, amines, phenols, and sulphur-containing compounds (Table </w:t>
      </w:r>
      <w:r w:rsidR="00CA04E4" w:rsidRPr="004B762D">
        <w:t>2</w:t>
      </w:r>
      <w:r w:rsidRPr="004B762D">
        <w:t>).</w:t>
      </w:r>
    </w:p>
    <w:tbl>
      <w:tblPr>
        <w:tblStyle w:val="TableGrid"/>
        <w:tblW w:w="82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51"/>
        <w:gridCol w:w="4271"/>
      </w:tblGrid>
      <w:tr w:rsidR="00965BE7" w:rsidRPr="004B762D" w14:paraId="5361478A" w14:textId="77777777" w:rsidTr="00660B52">
        <w:trPr>
          <w:trHeight w:val="3736"/>
        </w:trPr>
        <w:tc>
          <w:tcPr>
            <w:tcW w:w="3951" w:type="dxa"/>
          </w:tcPr>
          <w:p w14:paraId="05EDD747" w14:textId="77777777" w:rsidR="00965BE7" w:rsidRPr="004B762D" w:rsidRDefault="00965BE7" w:rsidP="00965BE7">
            <w:pPr>
              <w:pStyle w:val="CETBodytext"/>
              <w:rPr>
                <w:lang w:val="en-GB"/>
              </w:rPr>
            </w:pPr>
          </w:p>
          <w:p w14:paraId="10687E8F" w14:textId="77777777" w:rsidR="00965BE7" w:rsidRPr="004B762D" w:rsidRDefault="00965BE7" w:rsidP="00965BE7">
            <w:pPr>
              <w:pStyle w:val="CETBodytext"/>
              <w:rPr>
                <w:lang w:val="en-GB"/>
              </w:rPr>
            </w:pPr>
            <w:r w:rsidRPr="004B762D">
              <w:rPr>
                <w:noProof/>
                <w:lang w:val="en-GB"/>
              </w:rPr>
              <w:drawing>
                <wp:inline distT="0" distB="0" distL="0" distR="0" wp14:anchorId="2D2C4A4F" wp14:editId="60B30588">
                  <wp:extent cx="2527300" cy="2276614"/>
                  <wp:effectExtent l="0" t="0" r="6350" b="9525"/>
                  <wp:docPr id="2143616159"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27300" cy="2276614"/>
                          </a:xfrm>
                          <a:prstGeom prst="rect">
                            <a:avLst/>
                          </a:prstGeom>
                          <a:noFill/>
                          <a:ln>
                            <a:noFill/>
                          </a:ln>
                        </pic:spPr>
                      </pic:pic>
                    </a:graphicData>
                  </a:graphic>
                </wp:inline>
              </w:drawing>
            </w:r>
          </w:p>
        </w:tc>
        <w:tc>
          <w:tcPr>
            <w:tcW w:w="4271" w:type="dxa"/>
          </w:tcPr>
          <w:p w14:paraId="493FC034" w14:textId="77777777" w:rsidR="00965BE7" w:rsidRPr="004B762D" w:rsidRDefault="00965BE7" w:rsidP="00965BE7">
            <w:pPr>
              <w:pStyle w:val="CETBodytext"/>
              <w:rPr>
                <w:lang w:val="en-GB"/>
              </w:rPr>
            </w:pPr>
          </w:p>
          <w:p w14:paraId="2DBD548C" w14:textId="77777777" w:rsidR="00965BE7" w:rsidRPr="004B762D" w:rsidRDefault="00965BE7" w:rsidP="00965BE7">
            <w:pPr>
              <w:pStyle w:val="CETBodytext"/>
              <w:rPr>
                <w:lang w:val="en-GB"/>
              </w:rPr>
            </w:pPr>
            <w:r w:rsidRPr="004B762D">
              <w:rPr>
                <w:noProof/>
                <w:lang w:val="en-GB"/>
              </w:rPr>
              <w:drawing>
                <wp:inline distT="0" distB="0" distL="0" distR="0" wp14:anchorId="7BF53D12" wp14:editId="171C76DA">
                  <wp:extent cx="2584450" cy="2328047"/>
                  <wp:effectExtent l="0" t="0" r="6350" b="0"/>
                  <wp:docPr id="19798929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84450" cy="2328047"/>
                          </a:xfrm>
                          <a:prstGeom prst="rect">
                            <a:avLst/>
                          </a:prstGeom>
                          <a:noFill/>
                          <a:ln>
                            <a:noFill/>
                          </a:ln>
                        </pic:spPr>
                      </pic:pic>
                    </a:graphicData>
                  </a:graphic>
                </wp:inline>
              </w:drawing>
            </w:r>
          </w:p>
        </w:tc>
      </w:tr>
    </w:tbl>
    <w:p w14:paraId="64EEEFF5" w14:textId="18D6E67F" w:rsidR="00020AD3" w:rsidRPr="004B762D" w:rsidRDefault="00965BE7" w:rsidP="000842C2">
      <w:pPr>
        <w:pStyle w:val="CETCaption"/>
      </w:pPr>
      <w:commentRangeStart w:id="3"/>
      <w:r w:rsidRPr="004B762D">
        <w:t xml:space="preserve">Figure </w:t>
      </w:r>
      <w:r w:rsidR="00BF09B0" w:rsidRPr="004B762D">
        <w:t>1</w:t>
      </w:r>
      <w:r w:rsidRPr="004B762D">
        <w:t>. Model</w:t>
      </w:r>
      <w:commentRangeEnd w:id="3"/>
      <w:r w:rsidRPr="004B762D">
        <w:rPr>
          <w:rStyle w:val="CommentReference"/>
          <w:sz w:val="18"/>
          <w:szCs w:val="20"/>
        </w:rPr>
        <w:commentReference w:id="3"/>
      </w:r>
      <w:r w:rsidRPr="004B762D">
        <w:t xml:space="preserve"> Performance for Abattoir A VOC Profile – Start vs End of Week.</w:t>
      </w:r>
      <w:r w:rsidR="00B748F1" w:rsidRPr="004B762D">
        <w:t xml:space="preserve"> </w:t>
      </w:r>
      <w:r w:rsidRPr="004B762D">
        <w:t>Confusion Matrices Of Model Sensitivity And Specificity</w:t>
      </w:r>
      <w:r w:rsidR="00F411FB" w:rsidRPr="004B762D">
        <w:t>.</w:t>
      </w:r>
    </w:p>
    <w:p w14:paraId="74B282A5" w14:textId="77777777" w:rsidR="00DC403E" w:rsidRPr="004B762D" w:rsidRDefault="00DC403E" w:rsidP="000842C2">
      <w:pPr>
        <w:pStyle w:val="CETCaption"/>
      </w:pPr>
    </w:p>
    <w:p w14:paraId="3BE1E83E" w14:textId="77777777" w:rsidR="00B32217" w:rsidRPr="004B762D" w:rsidRDefault="00B32217" w:rsidP="000842C2">
      <w:pPr>
        <w:pStyle w:val="CETCaption"/>
      </w:pPr>
    </w:p>
    <w:p w14:paraId="451A4D30" w14:textId="607D20B6" w:rsidR="00622C1C" w:rsidRPr="004B762D" w:rsidRDefault="00622C1C" w:rsidP="000842C2">
      <w:pPr>
        <w:pStyle w:val="CETTabletitle"/>
      </w:pPr>
      <w:r w:rsidRPr="004B762D">
        <w:lastRenderedPageBreak/>
        <w:t xml:space="preserve">Table </w:t>
      </w:r>
      <w:r w:rsidR="00CA04E4" w:rsidRPr="004B762D">
        <w:t>2</w:t>
      </w:r>
      <w:r w:rsidRPr="004B762D">
        <w:t>. Statistically significant compounds associated with the classes Start and End of week.</w:t>
      </w:r>
    </w:p>
    <w:tbl>
      <w:tblPr>
        <w:tblW w:w="9639" w:type="dxa"/>
        <w:tblBorders>
          <w:top w:val="single" w:sz="12" w:space="0" w:color="008000"/>
          <w:bottom w:val="single" w:sz="12" w:space="0" w:color="008000"/>
        </w:tblBorders>
        <w:shd w:val="clear" w:color="auto" w:fill="FFFFFF"/>
        <w:tblCellMar>
          <w:left w:w="0" w:type="dxa"/>
          <w:right w:w="0" w:type="dxa"/>
        </w:tblCellMar>
        <w:tblLook w:val="00A0" w:firstRow="1" w:lastRow="0" w:firstColumn="1" w:lastColumn="0" w:noHBand="0" w:noVBand="0"/>
      </w:tblPr>
      <w:tblGrid>
        <w:gridCol w:w="1661"/>
        <w:gridCol w:w="1883"/>
        <w:gridCol w:w="2268"/>
        <w:gridCol w:w="1559"/>
        <w:gridCol w:w="1276"/>
        <w:gridCol w:w="992"/>
      </w:tblGrid>
      <w:tr w:rsidR="001B2701" w:rsidRPr="004B762D" w14:paraId="70D60B38" w14:textId="77777777" w:rsidTr="005143FA">
        <w:trPr>
          <w:trHeight w:val="185"/>
        </w:trPr>
        <w:tc>
          <w:tcPr>
            <w:tcW w:w="1661" w:type="dxa"/>
            <w:tcBorders>
              <w:top w:val="single" w:sz="12" w:space="0" w:color="008000"/>
              <w:bottom w:val="single" w:sz="6" w:space="0" w:color="008000"/>
            </w:tcBorders>
            <w:shd w:val="clear" w:color="auto" w:fill="FFFFFF"/>
          </w:tcPr>
          <w:p w14:paraId="5CA18528" w14:textId="77777777" w:rsidR="001B2701" w:rsidRPr="004B762D" w:rsidRDefault="001B2701" w:rsidP="00DC403E">
            <w:pPr>
              <w:pStyle w:val="CETBodytext"/>
              <w:spacing w:before="10"/>
              <w:rPr>
                <w:rFonts w:cs="Arial"/>
                <w:sz w:val="16"/>
                <w:szCs w:val="18"/>
              </w:rPr>
            </w:pPr>
            <w:r w:rsidRPr="004B762D">
              <w:rPr>
                <w:rFonts w:cs="Arial"/>
                <w:sz w:val="16"/>
                <w:szCs w:val="18"/>
              </w:rPr>
              <w:t xml:space="preserve">Feature </w:t>
            </w:r>
          </w:p>
        </w:tc>
        <w:tc>
          <w:tcPr>
            <w:tcW w:w="1883" w:type="dxa"/>
            <w:tcBorders>
              <w:top w:val="single" w:sz="12" w:space="0" w:color="008000"/>
              <w:bottom w:val="single" w:sz="6" w:space="0" w:color="008000"/>
            </w:tcBorders>
            <w:shd w:val="clear" w:color="auto" w:fill="FFFFFF"/>
          </w:tcPr>
          <w:p w14:paraId="2CDD7085" w14:textId="77777777" w:rsidR="00A05880" w:rsidRPr="004B762D" w:rsidRDefault="001B2701" w:rsidP="00DC403E">
            <w:pPr>
              <w:pStyle w:val="CETBodytext"/>
              <w:spacing w:before="10"/>
              <w:rPr>
                <w:rFonts w:cs="Arial"/>
                <w:sz w:val="16"/>
                <w:szCs w:val="18"/>
              </w:rPr>
            </w:pPr>
            <w:r w:rsidRPr="004B762D">
              <w:rPr>
                <w:rFonts w:cs="Arial"/>
                <w:sz w:val="16"/>
                <w:szCs w:val="18"/>
              </w:rPr>
              <w:t xml:space="preserve">Compound presence </w:t>
            </w:r>
          </w:p>
          <w:p w14:paraId="3B7E3206" w14:textId="265F30BC" w:rsidR="001B2701" w:rsidRPr="004B762D" w:rsidRDefault="001B2701" w:rsidP="00DC403E">
            <w:pPr>
              <w:pStyle w:val="CETBodytext"/>
              <w:spacing w:before="10"/>
              <w:rPr>
                <w:rFonts w:cs="Arial"/>
                <w:sz w:val="16"/>
                <w:szCs w:val="18"/>
              </w:rPr>
            </w:pPr>
            <w:r w:rsidRPr="004B762D">
              <w:rPr>
                <w:rFonts w:cs="Arial"/>
                <w:sz w:val="16"/>
                <w:szCs w:val="18"/>
              </w:rPr>
              <w:t>(</w:t>
            </w:r>
            <w:r w:rsidRPr="004B762D">
              <w:rPr>
                <w:rFonts w:cs="Arial"/>
                <w:i/>
                <w:iCs/>
                <w:sz w:val="16"/>
                <w:szCs w:val="18"/>
              </w:rPr>
              <w:t>p</w:t>
            </w:r>
            <w:r w:rsidRPr="004B762D">
              <w:rPr>
                <w:rFonts w:cs="Arial"/>
                <w:sz w:val="16"/>
                <w:szCs w:val="18"/>
              </w:rPr>
              <w:t xml:space="preserve"> value)</w:t>
            </w:r>
          </w:p>
        </w:tc>
        <w:tc>
          <w:tcPr>
            <w:tcW w:w="2268" w:type="dxa"/>
            <w:tcBorders>
              <w:top w:val="single" w:sz="12" w:space="0" w:color="008000"/>
              <w:bottom w:val="single" w:sz="6" w:space="0" w:color="008000"/>
            </w:tcBorders>
            <w:shd w:val="clear" w:color="auto" w:fill="FFFFFF"/>
          </w:tcPr>
          <w:p w14:paraId="2E50C715" w14:textId="77777777" w:rsidR="005143FA" w:rsidRPr="004B762D" w:rsidRDefault="001B2701" w:rsidP="00DC403E">
            <w:pPr>
              <w:pStyle w:val="CETBodytext"/>
              <w:spacing w:before="10"/>
              <w:rPr>
                <w:rFonts w:cs="Arial"/>
                <w:sz w:val="16"/>
                <w:szCs w:val="18"/>
              </w:rPr>
            </w:pPr>
            <w:r w:rsidRPr="004B762D">
              <w:rPr>
                <w:rFonts w:cs="Arial"/>
                <w:sz w:val="16"/>
                <w:szCs w:val="18"/>
              </w:rPr>
              <w:t xml:space="preserve">Compound Intensity </w:t>
            </w:r>
          </w:p>
          <w:p w14:paraId="7351F448" w14:textId="19716588" w:rsidR="001B2701" w:rsidRPr="004B762D" w:rsidRDefault="001B2701" w:rsidP="00DC403E">
            <w:pPr>
              <w:pStyle w:val="CETBodytext"/>
              <w:spacing w:before="10"/>
              <w:rPr>
                <w:rFonts w:cs="Arial"/>
                <w:sz w:val="16"/>
                <w:szCs w:val="18"/>
              </w:rPr>
            </w:pPr>
            <w:r w:rsidRPr="004B762D">
              <w:rPr>
                <w:rFonts w:cs="Arial"/>
                <w:sz w:val="16"/>
                <w:szCs w:val="18"/>
              </w:rPr>
              <w:t xml:space="preserve">(Total Ion Count </w:t>
            </w:r>
            <w:r w:rsidRPr="004B762D">
              <w:rPr>
                <w:rFonts w:cs="Arial"/>
                <w:i/>
                <w:iCs/>
                <w:sz w:val="16"/>
                <w:szCs w:val="18"/>
              </w:rPr>
              <w:t>p</w:t>
            </w:r>
            <w:r w:rsidRPr="004B762D">
              <w:rPr>
                <w:rFonts w:cs="Arial"/>
                <w:sz w:val="16"/>
                <w:szCs w:val="18"/>
              </w:rPr>
              <w:t xml:space="preserve"> value)</w:t>
            </w:r>
          </w:p>
        </w:tc>
        <w:tc>
          <w:tcPr>
            <w:tcW w:w="1559" w:type="dxa"/>
            <w:tcBorders>
              <w:top w:val="single" w:sz="12" w:space="0" w:color="008000"/>
              <w:bottom w:val="single" w:sz="6" w:space="0" w:color="008000"/>
            </w:tcBorders>
            <w:shd w:val="clear" w:color="auto" w:fill="FFFFFF"/>
          </w:tcPr>
          <w:p w14:paraId="3E64AC55" w14:textId="77777777" w:rsidR="005143FA" w:rsidRPr="004B762D" w:rsidRDefault="001B2701" w:rsidP="00DC403E">
            <w:pPr>
              <w:pStyle w:val="CETBodytext"/>
              <w:spacing w:before="10"/>
              <w:ind w:right="286"/>
              <w:rPr>
                <w:rFonts w:cs="Arial"/>
                <w:sz w:val="16"/>
                <w:szCs w:val="18"/>
              </w:rPr>
            </w:pPr>
            <w:r w:rsidRPr="004B762D">
              <w:rPr>
                <w:rFonts w:cs="Arial"/>
                <w:sz w:val="16"/>
                <w:szCs w:val="18"/>
              </w:rPr>
              <w:t>Model Significance</w:t>
            </w:r>
          </w:p>
          <w:p w14:paraId="2A1561C6" w14:textId="65BBB79F" w:rsidR="001B2701" w:rsidRPr="004B762D" w:rsidRDefault="001B2701" w:rsidP="00DC403E">
            <w:pPr>
              <w:pStyle w:val="CETBodytext"/>
              <w:spacing w:before="10"/>
              <w:ind w:right="286"/>
              <w:rPr>
                <w:rFonts w:cs="Arial"/>
                <w:sz w:val="16"/>
                <w:szCs w:val="18"/>
              </w:rPr>
            </w:pPr>
            <w:r w:rsidRPr="004B762D">
              <w:rPr>
                <w:rFonts w:cs="Arial"/>
                <w:sz w:val="16"/>
                <w:szCs w:val="18"/>
              </w:rPr>
              <w:t>(</w:t>
            </w:r>
            <w:r w:rsidR="005143FA" w:rsidRPr="004B762D">
              <w:rPr>
                <w:rFonts w:cs="Arial"/>
                <w:i/>
                <w:iCs/>
                <w:sz w:val="16"/>
                <w:szCs w:val="18"/>
              </w:rPr>
              <w:t>p</w:t>
            </w:r>
            <w:r w:rsidRPr="004B762D">
              <w:rPr>
                <w:rFonts w:cs="Arial"/>
                <w:i/>
                <w:iCs/>
                <w:sz w:val="16"/>
                <w:szCs w:val="18"/>
              </w:rPr>
              <w:t xml:space="preserve"> </w:t>
            </w:r>
            <w:r w:rsidRPr="004B762D">
              <w:rPr>
                <w:rFonts w:cs="Arial"/>
                <w:sz w:val="16"/>
                <w:szCs w:val="18"/>
              </w:rPr>
              <w:t>value)</w:t>
            </w:r>
          </w:p>
        </w:tc>
        <w:tc>
          <w:tcPr>
            <w:tcW w:w="1276" w:type="dxa"/>
            <w:tcBorders>
              <w:top w:val="single" w:sz="12" w:space="0" w:color="008000"/>
              <w:bottom w:val="single" w:sz="6" w:space="0" w:color="008000"/>
            </w:tcBorders>
            <w:shd w:val="clear" w:color="auto" w:fill="FFFFFF"/>
          </w:tcPr>
          <w:p w14:paraId="1154A6E6" w14:textId="77777777" w:rsidR="001B2701" w:rsidRPr="004B762D" w:rsidRDefault="001B2701" w:rsidP="00DC403E">
            <w:pPr>
              <w:pStyle w:val="CETBodytext"/>
              <w:spacing w:before="10"/>
              <w:rPr>
                <w:rFonts w:cs="Arial"/>
                <w:sz w:val="16"/>
                <w:szCs w:val="18"/>
              </w:rPr>
            </w:pPr>
            <w:r w:rsidRPr="004B762D">
              <w:rPr>
                <w:rFonts w:cs="Arial"/>
                <w:sz w:val="16"/>
                <w:szCs w:val="18"/>
              </w:rPr>
              <w:t>Q value</w:t>
            </w:r>
          </w:p>
        </w:tc>
        <w:tc>
          <w:tcPr>
            <w:tcW w:w="992" w:type="dxa"/>
            <w:tcBorders>
              <w:top w:val="single" w:sz="12" w:space="0" w:color="008000"/>
              <w:bottom w:val="single" w:sz="6" w:space="0" w:color="008000"/>
            </w:tcBorders>
            <w:shd w:val="clear" w:color="auto" w:fill="FFFFFF"/>
          </w:tcPr>
          <w:p w14:paraId="77938158" w14:textId="77777777" w:rsidR="001B2701" w:rsidRPr="004B762D" w:rsidRDefault="001B2701" w:rsidP="00DC403E">
            <w:pPr>
              <w:pStyle w:val="CETBodytext"/>
              <w:spacing w:before="10"/>
              <w:rPr>
                <w:rFonts w:cs="Arial"/>
                <w:sz w:val="16"/>
                <w:szCs w:val="18"/>
              </w:rPr>
            </w:pPr>
            <w:r w:rsidRPr="004B762D">
              <w:rPr>
                <w:rFonts w:cs="Arial"/>
                <w:sz w:val="16"/>
                <w:szCs w:val="18"/>
              </w:rPr>
              <w:t>Cliff's δ</w:t>
            </w:r>
          </w:p>
        </w:tc>
      </w:tr>
      <w:tr w:rsidR="001B2701" w:rsidRPr="004B762D" w14:paraId="6F7908D0" w14:textId="77777777" w:rsidTr="005143FA">
        <w:trPr>
          <w:trHeight w:val="233"/>
        </w:trPr>
        <w:tc>
          <w:tcPr>
            <w:tcW w:w="1661" w:type="dxa"/>
          </w:tcPr>
          <w:p w14:paraId="5E796618" w14:textId="77777777" w:rsidR="001B2701" w:rsidRPr="004B762D" w:rsidRDefault="001B2701" w:rsidP="00DC403E">
            <w:pPr>
              <w:pStyle w:val="CETBodytext"/>
              <w:spacing w:before="10"/>
              <w:rPr>
                <w:rFonts w:cs="Arial"/>
                <w:sz w:val="16"/>
                <w:szCs w:val="18"/>
              </w:rPr>
            </w:pPr>
            <w:r w:rsidRPr="004B762D">
              <w:rPr>
                <w:rFonts w:cs="Arial"/>
                <w:sz w:val="16"/>
                <w:szCs w:val="18"/>
              </w:rPr>
              <w:t>1-Butanol</w:t>
            </w:r>
          </w:p>
        </w:tc>
        <w:tc>
          <w:tcPr>
            <w:tcW w:w="1883" w:type="dxa"/>
          </w:tcPr>
          <w:p w14:paraId="724E7F35" w14:textId="77777777" w:rsidR="001B2701" w:rsidRPr="004B762D" w:rsidRDefault="001B2701" w:rsidP="00DC403E">
            <w:pPr>
              <w:pStyle w:val="CETBodytext"/>
              <w:spacing w:before="10"/>
              <w:rPr>
                <w:rFonts w:cs="Arial"/>
                <w:sz w:val="16"/>
                <w:szCs w:val="18"/>
              </w:rPr>
            </w:pPr>
            <w:r w:rsidRPr="004B762D">
              <w:rPr>
                <w:rFonts w:cs="Arial"/>
                <w:sz w:val="16"/>
                <w:szCs w:val="18"/>
              </w:rPr>
              <w:t>2.45614 x 107</w:t>
            </w:r>
          </w:p>
        </w:tc>
        <w:tc>
          <w:tcPr>
            <w:tcW w:w="2268" w:type="dxa"/>
          </w:tcPr>
          <w:p w14:paraId="487301F3" w14:textId="77777777" w:rsidR="001B2701" w:rsidRPr="004B762D" w:rsidRDefault="001B2701" w:rsidP="00DC403E">
            <w:pPr>
              <w:pStyle w:val="CETBodytext"/>
              <w:spacing w:before="10"/>
              <w:rPr>
                <w:rFonts w:cs="Arial"/>
                <w:sz w:val="16"/>
                <w:szCs w:val="18"/>
              </w:rPr>
            </w:pPr>
            <w:r w:rsidRPr="004B762D">
              <w:rPr>
                <w:rFonts w:cs="Arial"/>
                <w:sz w:val="16"/>
                <w:szCs w:val="18"/>
              </w:rPr>
              <w:t>5.85519 x 10-7</w:t>
            </w:r>
          </w:p>
        </w:tc>
        <w:tc>
          <w:tcPr>
            <w:tcW w:w="1559" w:type="dxa"/>
          </w:tcPr>
          <w:p w14:paraId="7F1E9E1E" w14:textId="77777777" w:rsidR="001B2701" w:rsidRPr="004B762D" w:rsidRDefault="001B2701" w:rsidP="00DC403E">
            <w:pPr>
              <w:pStyle w:val="CETBodytext"/>
              <w:spacing w:before="10"/>
              <w:rPr>
                <w:rFonts w:cs="Arial"/>
                <w:sz w:val="16"/>
                <w:szCs w:val="18"/>
              </w:rPr>
            </w:pPr>
            <w:r w:rsidRPr="004B762D">
              <w:rPr>
                <w:rFonts w:cs="Arial"/>
                <w:sz w:val="16"/>
                <w:szCs w:val="18"/>
              </w:rPr>
              <w:t>4.16 x 10-7</w:t>
            </w:r>
          </w:p>
        </w:tc>
        <w:tc>
          <w:tcPr>
            <w:tcW w:w="1276" w:type="dxa"/>
          </w:tcPr>
          <w:p w14:paraId="54A4D2BE" w14:textId="77777777" w:rsidR="001B2701" w:rsidRPr="004B762D" w:rsidRDefault="001B2701" w:rsidP="00DC403E">
            <w:pPr>
              <w:pStyle w:val="CETBodytext"/>
              <w:spacing w:before="10"/>
              <w:rPr>
                <w:rFonts w:cs="Arial"/>
                <w:sz w:val="16"/>
                <w:szCs w:val="18"/>
              </w:rPr>
            </w:pPr>
            <w:r w:rsidRPr="004B762D">
              <w:rPr>
                <w:rFonts w:cs="Arial"/>
                <w:sz w:val="16"/>
                <w:szCs w:val="18"/>
              </w:rPr>
              <w:t>7.4 x 10-6</w:t>
            </w:r>
          </w:p>
        </w:tc>
        <w:tc>
          <w:tcPr>
            <w:tcW w:w="992" w:type="dxa"/>
          </w:tcPr>
          <w:p w14:paraId="5235A7F3" w14:textId="77777777" w:rsidR="001B2701" w:rsidRPr="004B762D" w:rsidRDefault="001B2701" w:rsidP="00DC403E">
            <w:pPr>
              <w:pStyle w:val="CETBodytext"/>
              <w:spacing w:before="10"/>
              <w:rPr>
                <w:rFonts w:cs="Arial"/>
                <w:sz w:val="16"/>
                <w:szCs w:val="18"/>
              </w:rPr>
            </w:pPr>
            <w:r w:rsidRPr="004B762D">
              <w:rPr>
                <w:rFonts w:cs="Arial"/>
                <w:sz w:val="16"/>
                <w:szCs w:val="18"/>
              </w:rPr>
              <w:t>0.31886</w:t>
            </w:r>
          </w:p>
        </w:tc>
      </w:tr>
      <w:tr w:rsidR="001B2701" w:rsidRPr="004B762D" w14:paraId="080D0067" w14:textId="77777777" w:rsidTr="003C4DE3">
        <w:trPr>
          <w:trHeight w:val="57"/>
        </w:trPr>
        <w:tc>
          <w:tcPr>
            <w:tcW w:w="1661" w:type="dxa"/>
          </w:tcPr>
          <w:p w14:paraId="11541737" w14:textId="77777777" w:rsidR="001B2701" w:rsidRPr="004B762D" w:rsidRDefault="001B2701" w:rsidP="00DC403E">
            <w:pPr>
              <w:pStyle w:val="CETBodytext"/>
              <w:spacing w:before="10"/>
              <w:rPr>
                <w:rFonts w:cs="Arial"/>
                <w:sz w:val="16"/>
                <w:szCs w:val="18"/>
              </w:rPr>
            </w:pPr>
            <w:r w:rsidRPr="004B762D">
              <w:rPr>
                <w:rFonts w:cs="Arial"/>
                <w:sz w:val="16"/>
                <w:szCs w:val="18"/>
              </w:rPr>
              <w:t>Dimethyl sulfone</w:t>
            </w:r>
          </w:p>
        </w:tc>
        <w:tc>
          <w:tcPr>
            <w:tcW w:w="1883" w:type="dxa"/>
          </w:tcPr>
          <w:p w14:paraId="620B5200" w14:textId="77777777" w:rsidR="001B2701" w:rsidRPr="004B762D" w:rsidRDefault="001B2701" w:rsidP="00DC403E">
            <w:pPr>
              <w:pStyle w:val="CETBodytext"/>
              <w:spacing w:before="10"/>
              <w:rPr>
                <w:rFonts w:cs="Arial"/>
                <w:sz w:val="16"/>
                <w:szCs w:val="18"/>
              </w:rPr>
            </w:pPr>
            <w:r w:rsidRPr="004B762D">
              <w:rPr>
                <w:rFonts w:cs="Arial"/>
                <w:sz w:val="16"/>
                <w:szCs w:val="18"/>
              </w:rPr>
              <w:t>6.73003 x 10-7</w:t>
            </w:r>
          </w:p>
        </w:tc>
        <w:tc>
          <w:tcPr>
            <w:tcW w:w="2268" w:type="dxa"/>
          </w:tcPr>
          <w:p w14:paraId="6755AC9B" w14:textId="77777777" w:rsidR="001B2701" w:rsidRPr="004B762D" w:rsidRDefault="001B2701" w:rsidP="00DC403E">
            <w:pPr>
              <w:pStyle w:val="CETBodytext"/>
              <w:spacing w:before="10"/>
              <w:rPr>
                <w:rFonts w:cs="Arial"/>
                <w:sz w:val="16"/>
                <w:szCs w:val="18"/>
              </w:rPr>
            </w:pPr>
            <w:r w:rsidRPr="004B762D">
              <w:rPr>
                <w:rFonts w:cs="Arial"/>
                <w:sz w:val="16"/>
                <w:szCs w:val="18"/>
              </w:rPr>
              <w:t>8.91412 x 10-8</w:t>
            </w:r>
          </w:p>
        </w:tc>
        <w:tc>
          <w:tcPr>
            <w:tcW w:w="1559" w:type="dxa"/>
          </w:tcPr>
          <w:p w14:paraId="5CCB91A5" w14:textId="77777777" w:rsidR="001B2701" w:rsidRPr="004B762D" w:rsidRDefault="001B2701" w:rsidP="00DC403E">
            <w:pPr>
              <w:pStyle w:val="CETBodytext"/>
              <w:spacing w:before="10"/>
              <w:rPr>
                <w:rFonts w:cs="Arial"/>
                <w:sz w:val="16"/>
                <w:szCs w:val="18"/>
              </w:rPr>
            </w:pPr>
            <w:r w:rsidRPr="004B762D">
              <w:rPr>
                <w:rFonts w:cs="Arial"/>
                <w:sz w:val="16"/>
                <w:szCs w:val="18"/>
              </w:rPr>
              <w:t>3.81 x 10-7</w:t>
            </w:r>
          </w:p>
        </w:tc>
        <w:tc>
          <w:tcPr>
            <w:tcW w:w="1276" w:type="dxa"/>
          </w:tcPr>
          <w:p w14:paraId="089F50E5" w14:textId="77777777" w:rsidR="001B2701" w:rsidRPr="004B762D" w:rsidRDefault="001B2701" w:rsidP="00DC403E">
            <w:pPr>
              <w:pStyle w:val="CETBodytext"/>
              <w:spacing w:before="10"/>
              <w:rPr>
                <w:rFonts w:cs="Arial"/>
                <w:sz w:val="16"/>
                <w:szCs w:val="18"/>
              </w:rPr>
            </w:pPr>
            <w:r w:rsidRPr="004B762D">
              <w:rPr>
                <w:rFonts w:cs="Arial"/>
                <w:sz w:val="16"/>
                <w:szCs w:val="18"/>
              </w:rPr>
              <w:t>7.48 x 10-6</w:t>
            </w:r>
          </w:p>
        </w:tc>
        <w:tc>
          <w:tcPr>
            <w:tcW w:w="992" w:type="dxa"/>
          </w:tcPr>
          <w:p w14:paraId="62EF0E85" w14:textId="77777777" w:rsidR="001B2701" w:rsidRPr="004B762D" w:rsidRDefault="001B2701" w:rsidP="00DC403E">
            <w:pPr>
              <w:pStyle w:val="CETBodytext"/>
              <w:spacing w:before="10"/>
              <w:rPr>
                <w:rFonts w:cs="Arial"/>
                <w:sz w:val="16"/>
                <w:szCs w:val="18"/>
              </w:rPr>
            </w:pPr>
            <w:r w:rsidRPr="004B762D">
              <w:rPr>
                <w:rFonts w:cs="Arial"/>
                <w:sz w:val="16"/>
                <w:szCs w:val="18"/>
              </w:rPr>
              <w:t>0.312061</w:t>
            </w:r>
          </w:p>
        </w:tc>
      </w:tr>
      <w:tr w:rsidR="001B2701" w:rsidRPr="004B762D" w14:paraId="03CA1F4A" w14:textId="77777777" w:rsidTr="003C4DE3">
        <w:trPr>
          <w:trHeight w:val="266"/>
        </w:trPr>
        <w:tc>
          <w:tcPr>
            <w:tcW w:w="1661" w:type="dxa"/>
          </w:tcPr>
          <w:p w14:paraId="75D51B19" w14:textId="77777777" w:rsidR="001B2701" w:rsidRPr="004B762D" w:rsidRDefault="001B2701" w:rsidP="00DC403E">
            <w:pPr>
              <w:pStyle w:val="CETBodytext"/>
              <w:spacing w:before="10"/>
              <w:rPr>
                <w:rFonts w:cs="Arial"/>
                <w:sz w:val="16"/>
                <w:szCs w:val="18"/>
              </w:rPr>
            </w:pPr>
            <w:r w:rsidRPr="004B762D">
              <w:rPr>
                <w:rFonts w:cs="Arial"/>
                <w:sz w:val="16"/>
                <w:szCs w:val="18"/>
              </w:rPr>
              <w:t>1,2-Benzenedicarboxylic acid</w:t>
            </w:r>
          </w:p>
        </w:tc>
        <w:tc>
          <w:tcPr>
            <w:tcW w:w="1883" w:type="dxa"/>
          </w:tcPr>
          <w:p w14:paraId="0B7D8A51" w14:textId="77777777" w:rsidR="001B2701" w:rsidRPr="004B762D" w:rsidRDefault="001B2701" w:rsidP="00DC403E">
            <w:pPr>
              <w:pStyle w:val="CETBodytext"/>
              <w:spacing w:before="10"/>
              <w:rPr>
                <w:rFonts w:cs="Arial"/>
                <w:sz w:val="16"/>
                <w:szCs w:val="18"/>
              </w:rPr>
            </w:pPr>
            <w:r w:rsidRPr="004B762D">
              <w:rPr>
                <w:rFonts w:cs="Arial"/>
                <w:sz w:val="16"/>
                <w:szCs w:val="18"/>
              </w:rPr>
              <w:t>0.000158303</w:t>
            </w:r>
          </w:p>
        </w:tc>
        <w:tc>
          <w:tcPr>
            <w:tcW w:w="2268" w:type="dxa"/>
          </w:tcPr>
          <w:p w14:paraId="6A2FFF31" w14:textId="77777777" w:rsidR="001B2701" w:rsidRPr="004B762D" w:rsidRDefault="001B2701" w:rsidP="00DC403E">
            <w:pPr>
              <w:pStyle w:val="CETBodytext"/>
              <w:spacing w:before="10"/>
              <w:rPr>
                <w:rFonts w:cs="Arial"/>
                <w:sz w:val="16"/>
                <w:szCs w:val="18"/>
              </w:rPr>
            </w:pPr>
            <w:r w:rsidRPr="004B762D">
              <w:rPr>
                <w:rFonts w:cs="Arial"/>
                <w:sz w:val="16"/>
                <w:szCs w:val="18"/>
              </w:rPr>
              <w:t>6.90186 x 10-6</w:t>
            </w:r>
          </w:p>
        </w:tc>
        <w:tc>
          <w:tcPr>
            <w:tcW w:w="1559" w:type="dxa"/>
          </w:tcPr>
          <w:p w14:paraId="4E5DFCBA" w14:textId="77777777" w:rsidR="001B2701" w:rsidRPr="004B762D" w:rsidRDefault="001B2701" w:rsidP="00DC403E">
            <w:pPr>
              <w:pStyle w:val="CETBodytext"/>
              <w:spacing w:before="10"/>
              <w:rPr>
                <w:rFonts w:cs="Arial"/>
                <w:sz w:val="16"/>
                <w:szCs w:val="18"/>
              </w:rPr>
            </w:pPr>
            <w:r w:rsidRPr="004B762D">
              <w:rPr>
                <w:rFonts w:cs="Arial"/>
                <w:sz w:val="16"/>
                <w:szCs w:val="18"/>
              </w:rPr>
              <w:t>8.26 x 10-5</w:t>
            </w:r>
          </w:p>
        </w:tc>
        <w:tc>
          <w:tcPr>
            <w:tcW w:w="1276" w:type="dxa"/>
          </w:tcPr>
          <w:p w14:paraId="06B54410" w14:textId="77777777" w:rsidR="001B2701" w:rsidRPr="004B762D" w:rsidRDefault="001B2701" w:rsidP="00DC403E">
            <w:pPr>
              <w:pStyle w:val="CETBodytext"/>
              <w:spacing w:before="10"/>
              <w:rPr>
                <w:rFonts w:cs="Arial"/>
                <w:sz w:val="16"/>
                <w:szCs w:val="18"/>
              </w:rPr>
            </w:pPr>
            <w:r w:rsidRPr="004B762D">
              <w:rPr>
                <w:rFonts w:cs="Arial"/>
                <w:sz w:val="16"/>
                <w:szCs w:val="18"/>
              </w:rPr>
              <w:t>0.000991</w:t>
            </w:r>
          </w:p>
        </w:tc>
        <w:tc>
          <w:tcPr>
            <w:tcW w:w="992" w:type="dxa"/>
          </w:tcPr>
          <w:p w14:paraId="7300E124" w14:textId="77777777" w:rsidR="001B2701" w:rsidRPr="004B762D" w:rsidRDefault="001B2701" w:rsidP="00DC403E">
            <w:pPr>
              <w:pStyle w:val="CETBodytext"/>
              <w:spacing w:before="10"/>
              <w:rPr>
                <w:rFonts w:cs="Arial"/>
                <w:sz w:val="16"/>
                <w:szCs w:val="18"/>
              </w:rPr>
            </w:pPr>
            <w:r w:rsidRPr="004B762D">
              <w:rPr>
                <w:rFonts w:cs="Arial"/>
                <w:sz w:val="16"/>
                <w:szCs w:val="18"/>
              </w:rPr>
              <w:t>0.31425</w:t>
            </w:r>
          </w:p>
        </w:tc>
      </w:tr>
      <w:tr w:rsidR="001B2701" w:rsidRPr="004B762D" w14:paraId="03FC9F49" w14:textId="77777777" w:rsidTr="003C4DE3">
        <w:trPr>
          <w:trHeight w:val="76"/>
        </w:trPr>
        <w:tc>
          <w:tcPr>
            <w:tcW w:w="1661" w:type="dxa"/>
          </w:tcPr>
          <w:p w14:paraId="7C1EFB13" w14:textId="77777777" w:rsidR="001B2701" w:rsidRPr="004B762D" w:rsidRDefault="001B2701" w:rsidP="00DC403E">
            <w:pPr>
              <w:pStyle w:val="CETBodytext"/>
              <w:spacing w:before="10"/>
              <w:rPr>
                <w:rFonts w:cs="Arial"/>
                <w:sz w:val="16"/>
                <w:szCs w:val="18"/>
                <w:lang w:val="en-GB"/>
              </w:rPr>
            </w:pPr>
            <w:r w:rsidRPr="004B762D">
              <w:rPr>
                <w:rFonts w:cs="Arial"/>
                <w:sz w:val="16"/>
                <w:szCs w:val="18"/>
              </w:rPr>
              <w:t>1-Propanol</w:t>
            </w:r>
          </w:p>
        </w:tc>
        <w:tc>
          <w:tcPr>
            <w:tcW w:w="1883" w:type="dxa"/>
          </w:tcPr>
          <w:p w14:paraId="4B92F3A6" w14:textId="77777777" w:rsidR="001B2701" w:rsidRPr="004B762D" w:rsidRDefault="001B2701" w:rsidP="00DC403E">
            <w:pPr>
              <w:pStyle w:val="CETBodytext"/>
              <w:spacing w:before="10"/>
              <w:rPr>
                <w:rFonts w:cs="Arial"/>
                <w:sz w:val="16"/>
                <w:szCs w:val="18"/>
                <w:lang w:val="en-GB"/>
              </w:rPr>
            </w:pPr>
            <w:r w:rsidRPr="004B762D">
              <w:rPr>
                <w:rFonts w:cs="Arial"/>
                <w:sz w:val="16"/>
                <w:szCs w:val="18"/>
              </w:rPr>
              <w:t>0.000308408</w:t>
            </w:r>
          </w:p>
        </w:tc>
        <w:tc>
          <w:tcPr>
            <w:tcW w:w="2268" w:type="dxa"/>
          </w:tcPr>
          <w:p w14:paraId="5F9A08EF" w14:textId="77777777" w:rsidR="001B2701" w:rsidRPr="004B762D" w:rsidRDefault="001B2701" w:rsidP="00DC403E">
            <w:pPr>
              <w:pStyle w:val="CETBodytext"/>
              <w:spacing w:before="10"/>
              <w:rPr>
                <w:rFonts w:cs="Arial"/>
                <w:sz w:val="16"/>
                <w:szCs w:val="18"/>
                <w:lang w:val="en-GB"/>
              </w:rPr>
            </w:pPr>
            <w:r w:rsidRPr="004B762D">
              <w:rPr>
                <w:rFonts w:cs="Arial"/>
                <w:sz w:val="16"/>
                <w:szCs w:val="18"/>
              </w:rPr>
              <w:t>2.82962 x 10-10</w:t>
            </w:r>
          </w:p>
        </w:tc>
        <w:tc>
          <w:tcPr>
            <w:tcW w:w="1559" w:type="dxa"/>
          </w:tcPr>
          <w:p w14:paraId="3355ACAA" w14:textId="77777777" w:rsidR="001B2701" w:rsidRPr="004B762D" w:rsidRDefault="001B2701" w:rsidP="00DC403E">
            <w:pPr>
              <w:pStyle w:val="CETBodytext"/>
              <w:spacing w:before="10"/>
              <w:rPr>
                <w:rFonts w:cs="Arial"/>
                <w:sz w:val="16"/>
                <w:szCs w:val="18"/>
                <w:lang w:val="en-GB"/>
              </w:rPr>
            </w:pPr>
            <w:r w:rsidRPr="004B762D">
              <w:rPr>
                <w:rFonts w:cs="Arial"/>
                <w:sz w:val="16"/>
                <w:szCs w:val="18"/>
              </w:rPr>
              <w:t>0.000154</w:t>
            </w:r>
          </w:p>
        </w:tc>
        <w:tc>
          <w:tcPr>
            <w:tcW w:w="1276" w:type="dxa"/>
          </w:tcPr>
          <w:p w14:paraId="78CDC88D" w14:textId="77777777" w:rsidR="001B2701" w:rsidRPr="004B762D" w:rsidRDefault="001B2701" w:rsidP="00DC403E">
            <w:pPr>
              <w:pStyle w:val="CETBodytext"/>
              <w:spacing w:before="10"/>
              <w:rPr>
                <w:rFonts w:cs="Arial"/>
                <w:sz w:val="16"/>
                <w:szCs w:val="18"/>
                <w:lang w:val="en-GB"/>
              </w:rPr>
            </w:pPr>
            <w:r w:rsidRPr="004B762D">
              <w:rPr>
                <w:rFonts w:cs="Arial"/>
                <w:sz w:val="16"/>
                <w:szCs w:val="18"/>
              </w:rPr>
              <w:t>0.00111</w:t>
            </w:r>
          </w:p>
        </w:tc>
        <w:tc>
          <w:tcPr>
            <w:tcW w:w="992" w:type="dxa"/>
          </w:tcPr>
          <w:p w14:paraId="0993BE6A" w14:textId="77777777" w:rsidR="001B2701" w:rsidRPr="004B762D" w:rsidRDefault="001B2701" w:rsidP="00DC403E">
            <w:pPr>
              <w:pStyle w:val="CETBodytext"/>
              <w:spacing w:before="10"/>
              <w:rPr>
                <w:rFonts w:cs="Arial"/>
                <w:i/>
                <w:iCs/>
                <w:sz w:val="16"/>
                <w:szCs w:val="18"/>
                <w:lang w:val="en-GB"/>
              </w:rPr>
            </w:pPr>
            <w:r w:rsidRPr="004B762D">
              <w:rPr>
                <w:rFonts w:cs="Arial"/>
                <w:sz w:val="16"/>
                <w:szCs w:val="18"/>
              </w:rPr>
              <w:t>0.474342</w:t>
            </w:r>
          </w:p>
        </w:tc>
      </w:tr>
      <w:tr w:rsidR="001B2701" w:rsidRPr="004B762D" w14:paraId="627D75B1" w14:textId="77777777" w:rsidTr="003C4DE3">
        <w:trPr>
          <w:trHeight w:val="136"/>
        </w:trPr>
        <w:tc>
          <w:tcPr>
            <w:tcW w:w="1661" w:type="dxa"/>
          </w:tcPr>
          <w:p w14:paraId="0D775E88" w14:textId="77777777" w:rsidR="001B2701" w:rsidRPr="004B762D" w:rsidRDefault="001B2701" w:rsidP="00DC403E">
            <w:pPr>
              <w:pStyle w:val="CETBodytext"/>
              <w:spacing w:before="10"/>
              <w:rPr>
                <w:rFonts w:cs="Arial"/>
                <w:sz w:val="16"/>
                <w:szCs w:val="18"/>
                <w:lang w:val="en-GB"/>
              </w:rPr>
            </w:pPr>
            <w:r w:rsidRPr="004B762D">
              <w:rPr>
                <w:rFonts w:cs="Arial"/>
                <w:sz w:val="16"/>
                <w:szCs w:val="18"/>
              </w:rPr>
              <w:t>Limonene</w:t>
            </w:r>
          </w:p>
        </w:tc>
        <w:tc>
          <w:tcPr>
            <w:tcW w:w="1883" w:type="dxa"/>
          </w:tcPr>
          <w:p w14:paraId="377244EC" w14:textId="77777777" w:rsidR="001B2701" w:rsidRPr="004B762D" w:rsidRDefault="001B2701" w:rsidP="00DC403E">
            <w:pPr>
              <w:pStyle w:val="CETBodytext"/>
              <w:spacing w:before="10"/>
              <w:rPr>
                <w:rFonts w:cs="Arial"/>
                <w:sz w:val="16"/>
                <w:szCs w:val="18"/>
                <w:lang w:val="en-GB"/>
              </w:rPr>
            </w:pPr>
            <w:r w:rsidRPr="004B762D">
              <w:rPr>
                <w:rFonts w:cs="Arial"/>
                <w:sz w:val="16"/>
                <w:szCs w:val="18"/>
              </w:rPr>
              <w:t>0.000208926</w:t>
            </w:r>
          </w:p>
        </w:tc>
        <w:tc>
          <w:tcPr>
            <w:tcW w:w="2268" w:type="dxa"/>
          </w:tcPr>
          <w:p w14:paraId="35CAF072" w14:textId="77777777" w:rsidR="001B2701" w:rsidRPr="004B762D" w:rsidRDefault="001B2701" w:rsidP="00DC403E">
            <w:pPr>
              <w:pStyle w:val="CETBodytext"/>
              <w:spacing w:before="10"/>
              <w:rPr>
                <w:rFonts w:cs="Arial"/>
                <w:sz w:val="16"/>
                <w:szCs w:val="18"/>
                <w:lang w:val="en-GB"/>
              </w:rPr>
            </w:pPr>
            <w:r w:rsidRPr="004B762D">
              <w:rPr>
                <w:rFonts w:cs="Arial"/>
                <w:sz w:val="16"/>
                <w:szCs w:val="18"/>
              </w:rPr>
              <w:t>9.57976 x 10-5</w:t>
            </w:r>
          </w:p>
        </w:tc>
        <w:tc>
          <w:tcPr>
            <w:tcW w:w="1559" w:type="dxa"/>
          </w:tcPr>
          <w:p w14:paraId="45770FAB" w14:textId="77777777" w:rsidR="001B2701" w:rsidRPr="004B762D" w:rsidRDefault="001B2701" w:rsidP="00DC403E">
            <w:pPr>
              <w:pStyle w:val="CETBodytext"/>
              <w:spacing w:before="10"/>
              <w:rPr>
                <w:rFonts w:cs="Arial"/>
                <w:sz w:val="16"/>
                <w:szCs w:val="18"/>
                <w:lang w:val="en-GB"/>
              </w:rPr>
            </w:pPr>
            <w:r w:rsidRPr="004B762D">
              <w:rPr>
                <w:rFonts w:cs="Arial"/>
                <w:sz w:val="16"/>
                <w:szCs w:val="18"/>
              </w:rPr>
              <w:t>0.000152</w:t>
            </w:r>
          </w:p>
        </w:tc>
        <w:tc>
          <w:tcPr>
            <w:tcW w:w="1276" w:type="dxa"/>
          </w:tcPr>
          <w:p w14:paraId="03A0ED30" w14:textId="77777777" w:rsidR="001B2701" w:rsidRPr="004B762D" w:rsidRDefault="001B2701" w:rsidP="00DC403E">
            <w:pPr>
              <w:pStyle w:val="CETBodytext"/>
              <w:spacing w:before="10"/>
              <w:rPr>
                <w:rFonts w:cs="Arial"/>
                <w:sz w:val="16"/>
                <w:szCs w:val="18"/>
                <w:lang w:val="en-GB"/>
              </w:rPr>
            </w:pPr>
            <w:r w:rsidRPr="004B762D">
              <w:rPr>
                <w:rFonts w:cs="Arial"/>
                <w:sz w:val="16"/>
                <w:szCs w:val="18"/>
              </w:rPr>
              <w:t>0.00111</w:t>
            </w:r>
          </w:p>
        </w:tc>
        <w:tc>
          <w:tcPr>
            <w:tcW w:w="992" w:type="dxa"/>
          </w:tcPr>
          <w:p w14:paraId="4FB80AA7" w14:textId="77777777" w:rsidR="001B2701" w:rsidRPr="004B762D" w:rsidRDefault="001B2701" w:rsidP="00DC403E">
            <w:pPr>
              <w:pStyle w:val="CETBodytext"/>
              <w:spacing w:before="10"/>
              <w:rPr>
                <w:rFonts w:cs="Arial"/>
                <w:i/>
                <w:iCs/>
                <w:sz w:val="16"/>
                <w:szCs w:val="18"/>
                <w:lang w:val="en-GB"/>
              </w:rPr>
            </w:pPr>
            <w:r w:rsidRPr="004B762D">
              <w:rPr>
                <w:rFonts w:cs="Arial"/>
                <w:sz w:val="16"/>
                <w:szCs w:val="18"/>
              </w:rPr>
              <w:t>0.192325</w:t>
            </w:r>
          </w:p>
        </w:tc>
      </w:tr>
      <w:tr w:rsidR="001B2701" w:rsidRPr="004B762D" w14:paraId="0D8DAC79" w14:textId="77777777" w:rsidTr="003C4DE3">
        <w:trPr>
          <w:trHeight w:val="68"/>
        </w:trPr>
        <w:tc>
          <w:tcPr>
            <w:tcW w:w="1661" w:type="dxa"/>
          </w:tcPr>
          <w:p w14:paraId="0218FD04" w14:textId="77777777" w:rsidR="001B2701" w:rsidRPr="004B762D" w:rsidRDefault="001B2701" w:rsidP="00DC403E">
            <w:pPr>
              <w:pStyle w:val="CETBodytext"/>
              <w:spacing w:before="10"/>
              <w:rPr>
                <w:rFonts w:cs="Arial"/>
                <w:sz w:val="16"/>
                <w:szCs w:val="18"/>
                <w:lang w:val="en-GB"/>
              </w:rPr>
            </w:pPr>
            <w:r w:rsidRPr="004B762D">
              <w:rPr>
                <w:rFonts w:cs="Arial"/>
                <w:sz w:val="16"/>
                <w:szCs w:val="18"/>
              </w:rPr>
              <w:t>Phenylethane</w:t>
            </w:r>
          </w:p>
        </w:tc>
        <w:tc>
          <w:tcPr>
            <w:tcW w:w="1883" w:type="dxa"/>
          </w:tcPr>
          <w:p w14:paraId="13AF43A5" w14:textId="77777777" w:rsidR="001B2701" w:rsidRPr="004B762D" w:rsidRDefault="001B2701" w:rsidP="00DC403E">
            <w:pPr>
              <w:pStyle w:val="CETBodytext"/>
              <w:spacing w:before="10"/>
              <w:rPr>
                <w:rFonts w:cs="Arial"/>
                <w:sz w:val="16"/>
                <w:szCs w:val="18"/>
                <w:lang w:val="en-GB"/>
              </w:rPr>
            </w:pPr>
            <w:r w:rsidRPr="004B762D">
              <w:rPr>
                <w:rFonts w:cs="Arial"/>
                <w:sz w:val="16"/>
                <w:szCs w:val="18"/>
              </w:rPr>
              <w:t>0.000611329</w:t>
            </w:r>
          </w:p>
        </w:tc>
        <w:tc>
          <w:tcPr>
            <w:tcW w:w="2268" w:type="dxa"/>
          </w:tcPr>
          <w:p w14:paraId="45C2C578" w14:textId="77777777" w:rsidR="001B2701" w:rsidRPr="004B762D" w:rsidRDefault="001B2701" w:rsidP="00DC403E">
            <w:pPr>
              <w:pStyle w:val="CETBodytext"/>
              <w:spacing w:before="10"/>
              <w:rPr>
                <w:rFonts w:cs="Arial"/>
                <w:sz w:val="16"/>
                <w:szCs w:val="18"/>
                <w:lang w:val="en-GB"/>
              </w:rPr>
            </w:pPr>
            <w:r w:rsidRPr="004B762D">
              <w:rPr>
                <w:rFonts w:cs="Arial"/>
                <w:sz w:val="16"/>
                <w:szCs w:val="18"/>
              </w:rPr>
              <w:t>0.000632471</w:t>
            </w:r>
          </w:p>
        </w:tc>
        <w:tc>
          <w:tcPr>
            <w:tcW w:w="1559" w:type="dxa"/>
          </w:tcPr>
          <w:p w14:paraId="5C1E63BC" w14:textId="77777777" w:rsidR="001B2701" w:rsidRPr="004B762D" w:rsidRDefault="001B2701" w:rsidP="00DC403E">
            <w:pPr>
              <w:pStyle w:val="CETBodytext"/>
              <w:spacing w:before="10"/>
              <w:rPr>
                <w:rFonts w:cs="Arial"/>
                <w:sz w:val="16"/>
                <w:szCs w:val="18"/>
                <w:lang w:val="en-GB"/>
              </w:rPr>
            </w:pPr>
            <w:r w:rsidRPr="004B762D">
              <w:rPr>
                <w:rFonts w:cs="Arial"/>
                <w:sz w:val="16"/>
                <w:szCs w:val="18"/>
              </w:rPr>
              <w:t>0.000622</w:t>
            </w:r>
          </w:p>
        </w:tc>
        <w:tc>
          <w:tcPr>
            <w:tcW w:w="1276" w:type="dxa"/>
          </w:tcPr>
          <w:p w14:paraId="14E506A8" w14:textId="77777777" w:rsidR="001B2701" w:rsidRPr="004B762D" w:rsidRDefault="001B2701" w:rsidP="00DC403E">
            <w:pPr>
              <w:pStyle w:val="CETBodytext"/>
              <w:spacing w:before="10"/>
              <w:rPr>
                <w:rFonts w:cs="Arial"/>
                <w:sz w:val="16"/>
                <w:szCs w:val="18"/>
                <w:lang w:val="en-GB"/>
              </w:rPr>
            </w:pPr>
            <w:r w:rsidRPr="004B762D">
              <w:rPr>
                <w:rFonts w:cs="Arial"/>
                <w:sz w:val="16"/>
                <w:szCs w:val="18"/>
              </w:rPr>
              <w:t>0.003731</w:t>
            </w:r>
          </w:p>
        </w:tc>
        <w:tc>
          <w:tcPr>
            <w:tcW w:w="992" w:type="dxa"/>
          </w:tcPr>
          <w:p w14:paraId="313D08F7" w14:textId="77777777" w:rsidR="001B2701" w:rsidRPr="004B762D" w:rsidRDefault="001B2701" w:rsidP="00DC403E">
            <w:pPr>
              <w:pStyle w:val="CETBodytext"/>
              <w:spacing w:before="10"/>
              <w:rPr>
                <w:rFonts w:cs="Arial"/>
                <w:i/>
                <w:iCs/>
                <w:sz w:val="16"/>
                <w:szCs w:val="18"/>
                <w:lang w:val="en-GB"/>
              </w:rPr>
            </w:pPr>
            <w:r w:rsidRPr="004B762D">
              <w:rPr>
                <w:rFonts w:cs="Arial"/>
                <w:sz w:val="16"/>
                <w:szCs w:val="18"/>
              </w:rPr>
              <w:t>0.18925</w:t>
            </w:r>
          </w:p>
        </w:tc>
      </w:tr>
      <w:tr w:rsidR="001B2701" w:rsidRPr="004B762D" w14:paraId="28062725" w14:textId="77777777" w:rsidTr="003C4DE3">
        <w:trPr>
          <w:trHeight w:val="142"/>
        </w:trPr>
        <w:tc>
          <w:tcPr>
            <w:tcW w:w="1661" w:type="dxa"/>
          </w:tcPr>
          <w:p w14:paraId="0F1E4F0A" w14:textId="77777777" w:rsidR="001B2701" w:rsidRPr="004B762D" w:rsidRDefault="001B2701" w:rsidP="00DC403E">
            <w:pPr>
              <w:pStyle w:val="CETBodytext"/>
              <w:spacing w:before="10"/>
              <w:rPr>
                <w:rFonts w:cs="Arial"/>
                <w:sz w:val="16"/>
                <w:szCs w:val="18"/>
                <w:lang w:val="en-GB"/>
              </w:rPr>
            </w:pPr>
            <w:r w:rsidRPr="004B762D">
              <w:rPr>
                <w:rFonts w:cs="Arial"/>
                <w:sz w:val="16"/>
                <w:szCs w:val="18"/>
              </w:rPr>
              <w:t>Ethanol, 2-butoxy-</w:t>
            </w:r>
          </w:p>
        </w:tc>
        <w:tc>
          <w:tcPr>
            <w:tcW w:w="1883" w:type="dxa"/>
          </w:tcPr>
          <w:p w14:paraId="18CAE523" w14:textId="77777777" w:rsidR="001B2701" w:rsidRPr="004B762D" w:rsidRDefault="001B2701" w:rsidP="00DC403E">
            <w:pPr>
              <w:pStyle w:val="CETBodytext"/>
              <w:spacing w:before="10"/>
              <w:rPr>
                <w:rFonts w:cs="Arial"/>
                <w:sz w:val="16"/>
                <w:szCs w:val="18"/>
                <w:lang w:val="en-GB"/>
              </w:rPr>
            </w:pPr>
            <w:r w:rsidRPr="004B762D">
              <w:rPr>
                <w:rFonts w:cs="Arial"/>
                <w:sz w:val="16"/>
                <w:szCs w:val="18"/>
              </w:rPr>
              <w:t>0.001059387</w:t>
            </w:r>
          </w:p>
        </w:tc>
        <w:tc>
          <w:tcPr>
            <w:tcW w:w="2268" w:type="dxa"/>
          </w:tcPr>
          <w:p w14:paraId="3AC53387" w14:textId="77777777" w:rsidR="001B2701" w:rsidRPr="004B762D" w:rsidRDefault="001B2701" w:rsidP="00DC403E">
            <w:pPr>
              <w:pStyle w:val="CETBodytext"/>
              <w:spacing w:before="10"/>
              <w:rPr>
                <w:rFonts w:cs="Arial"/>
                <w:sz w:val="16"/>
                <w:szCs w:val="18"/>
                <w:lang w:val="en-GB"/>
              </w:rPr>
            </w:pPr>
            <w:r w:rsidRPr="004B762D">
              <w:rPr>
                <w:rFonts w:cs="Arial"/>
                <w:sz w:val="16"/>
                <w:szCs w:val="18"/>
              </w:rPr>
              <w:t>0.000943562</w:t>
            </w:r>
          </w:p>
        </w:tc>
        <w:tc>
          <w:tcPr>
            <w:tcW w:w="1559" w:type="dxa"/>
          </w:tcPr>
          <w:p w14:paraId="3A568448" w14:textId="77777777" w:rsidR="001B2701" w:rsidRPr="004B762D" w:rsidRDefault="001B2701" w:rsidP="00DC403E">
            <w:pPr>
              <w:pStyle w:val="CETBodytext"/>
              <w:spacing w:before="10"/>
              <w:rPr>
                <w:rFonts w:cs="Arial"/>
                <w:sz w:val="16"/>
                <w:szCs w:val="18"/>
                <w:lang w:val="en-GB"/>
              </w:rPr>
            </w:pPr>
            <w:r w:rsidRPr="004B762D">
              <w:rPr>
                <w:rFonts w:cs="Arial"/>
                <w:sz w:val="16"/>
                <w:szCs w:val="18"/>
              </w:rPr>
              <w:t>0.001001</w:t>
            </w:r>
          </w:p>
        </w:tc>
        <w:tc>
          <w:tcPr>
            <w:tcW w:w="1276" w:type="dxa"/>
          </w:tcPr>
          <w:p w14:paraId="241D8783" w14:textId="77777777" w:rsidR="001B2701" w:rsidRPr="004B762D" w:rsidRDefault="001B2701" w:rsidP="00DC403E">
            <w:pPr>
              <w:pStyle w:val="CETBodytext"/>
              <w:spacing w:before="10"/>
              <w:rPr>
                <w:rFonts w:cs="Arial"/>
                <w:sz w:val="16"/>
                <w:szCs w:val="18"/>
                <w:lang w:val="en-GB"/>
              </w:rPr>
            </w:pPr>
            <w:r w:rsidRPr="004B762D">
              <w:rPr>
                <w:rFonts w:cs="Arial"/>
                <w:sz w:val="16"/>
                <w:szCs w:val="18"/>
              </w:rPr>
              <w:t>0.004006</w:t>
            </w:r>
          </w:p>
        </w:tc>
        <w:tc>
          <w:tcPr>
            <w:tcW w:w="992" w:type="dxa"/>
          </w:tcPr>
          <w:p w14:paraId="1BE47FC3" w14:textId="77777777" w:rsidR="001B2701" w:rsidRPr="004B762D" w:rsidRDefault="001B2701" w:rsidP="00DC403E">
            <w:pPr>
              <w:pStyle w:val="CETBodytext"/>
              <w:spacing w:before="10"/>
              <w:rPr>
                <w:rFonts w:cs="Arial"/>
                <w:i/>
                <w:iCs/>
                <w:sz w:val="16"/>
                <w:szCs w:val="18"/>
                <w:lang w:val="en-GB"/>
              </w:rPr>
            </w:pPr>
            <w:r w:rsidRPr="004B762D">
              <w:rPr>
                <w:rFonts w:cs="Arial"/>
                <w:sz w:val="16"/>
                <w:szCs w:val="18"/>
              </w:rPr>
              <w:t>0.19167</w:t>
            </w:r>
          </w:p>
        </w:tc>
      </w:tr>
      <w:tr w:rsidR="001B2701" w:rsidRPr="004B762D" w14:paraId="60223B98" w14:textId="77777777" w:rsidTr="003C4DE3">
        <w:trPr>
          <w:trHeight w:val="74"/>
        </w:trPr>
        <w:tc>
          <w:tcPr>
            <w:tcW w:w="1661" w:type="dxa"/>
          </w:tcPr>
          <w:p w14:paraId="0F187EFA" w14:textId="77777777" w:rsidR="001B2701" w:rsidRPr="004B762D" w:rsidRDefault="001B2701" w:rsidP="00DC403E">
            <w:pPr>
              <w:pStyle w:val="CETBodytext"/>
              <w:spacing w:before="10"/>
              <w:rPr>
                <w:rFonts w:cs="Arial"/>
                <w:sz w:val="16"/>
                <w:szCs w:val="18"/>
                <w:lang w:val="en-GB"/>
              </w:rPr>
            </w:pPr>
            <w:r w:rsidRPr="004B762D">
              <w:rPr>
                <w:rFonts w:cs="Arial"/>
                <w:sz w:val="16"/>
                <w:szCs w:val="18"/>
              </w:rPr>
              <w:t>Terpineol</w:t>
            </w:r>
          </w:p>
        </w:tc>
        <w:tc>
          <w:tcPr>
            <w:tcW w:w="1883" w:type="dxa"/>
          </w:tcPr>
          <w:p w14:paraId="39CBE9B4" w14:textId="77777777" w:rsidR="001B2701" w:rsidRPr="004B762D" w:rsidRDefault="001B2701" w:rsidP="00DC403E">
            <w:pPr>
              <w:pStyle w:val="CETBodytext"/>
              <w:spacing w:before="10"/>
              <w:rPr>
                <w:rFonts w:cs="Arial"/>
                <w:sz w:val="16"/>
                <w:szCs w:val="18"/>
                <w:lang w:val="en-GB"/>
              </w:rPr>
            </w:pPr>
            <w:r w:rsidRPr="004B762D">
              <w:rPr>
                <w:rFonts w:cs="Arial"/>
                <w:sz w:val="16"/>
                <w:szCs w:val="18"/>
              </w:rPr>
              <w:t>1.77069 x 10-16</w:t>
            </w:r>
          </w:p>
        </w:tc>
        <w:tc>
          <w:tcPr>
            <w:tcW w:w="2268" w:type="dxa"/>
          </w:tcPr>
          <w:p w14:paraId="5ED170A9" w14:textId="77777777" w:rsidR="001B2701" w:rsidRPr="004B762D" w:rsidRDefault="001B2701" w:rsidP="00DC403E">
            <w:pPr>
              <w:pStyle w:val="CETBodytext"/>
              <w:spacing w:before="10"/>
              <w:rPr>
                <w:rFonts w:cs="Arial"/>
                <w:sz w:val="16"/>
                <w:szCs w:val="18"/>
                <w:lang w:val="en-GB"/>
              </w:rPr>
            </w:pPr>
            <w:r w:rsidRPr="004B762D">
              <w:rPr>
                <w:rFonts w:cs="Arial"/>
                <w:sz w:val="16"/>
                <w:szCs w:val="18"/>
              </w:rPr>
              <w:t>0.001996008</w:t>
            </w:r>
          </w:p>
        </w:tc>
        <w:tc>
          <w:tcPr>
            <w:tcW w:w="1559" w:type="dxa"/>
          </w:tcPr>
          <w:p w14:paraId="23DBEE2B" w14:textId="77777777" w:rsidR="001B2701" w:rsidRPr="004B762D" w:rsidRDefault="001B2701" w:rsidP="00DC403E">
            <w:pPr>
              <w:pStyle w:val="CETBodytext"/>
              <w:spacing w:before="10"/>
              <w:rPr>
                <w:rFonts w:cs="Arial"/>
                <w:sz w:val="16"/>
                <w:szCs w:val="18"/>
                <w:lang w:val="en-GB"/>
              </w:rPr>
            </w:pPr>
            <w:r w:rsidRPr="004B762D">
              <w:rPr>
                <w:rFonts w:cs="Arial"/>
                <w:sz w:val="16"/>
                <w:szCs w:val="18"/>
              </w:rPr>
              <w:t>0.000998</w:t>
            </w:r>
          </w:p>
        </w:tc>
        <w:tc>
          <w:tcPr>
            <w:tcW w:w="1276" w:type="dxa"/>
          </w:tcPr>
          <w:p w14:paraId="474CBB3E" w14:textId="77777777" w:rsidR="001B2701" w:rsidRPr="004B762D" w:rsidRDefault="001B2701" w:rsidP="00DC403E">
            <w:pPr>
              <w:pStyle w:val="CETBodytext"/>
              <w:spacing w:before="10"/>
              <w:rPr>
                <w:rFonts w:cs="Arial"/>
                <w:sz w:val="16"/>
                <w:szCs w:val="18"/>
                <w:lang w:val="en-GB"/>
              </w:rPr>
            </w:pPr>
            <w:r w:rsidRPr="004B762D">
              <w:rPr>
                <w:rFonts w:cs="Arial"/>
                <w:sz w:val="16"/>
                <w:szCs w:val="18"/>
              </w:rPr>
              <w:t>0.004006</w:t>
            </w:r>
          </w:p>
        </w:tc>
        <w:tc>
          <w:tcPr>
            <w:tcW w:w="992" w:type="dxa"/>
          </w:tcPr>
          <w:p w14:paraId="65B80845" w14:textId="77777777" w:rsidR="001B2701" w:rsidRPr="004B762D" w:rsidRDefault="001B2701" w:rsidP="00DC403E">
            <w:pPr>
              <w:pStyle w:val="CETBodytext"/>
              <w:spacing w:before="10"/>
              <w:rPr>
                <w:rFonts w:cs="Arial"/>
                <w:i/>
                <w:iCs/>
                <w:sz w:val="16"/>
                <w:szCs w:val="18"/>
                <w:lang w:val="en-GB"/>
              </w:rPr>
            </w:pPr>
            <w:r w:rsidRPr="004B762D">
              <w:rPr>
                <w:rFonts w:cs="Arial"/>
                <w:sz w:val="16"/>
                <w:szCs w:val="18"/>
              </w:rPr>
              <w:t>0.458333</w:t>
            </w:r>
          </w:p>
        </w:tc>
      </w:tr>
      <w:tr w:rsidR="001B2701" w:rsidRPr="004B762D" w14:paraId="1FC58FD6" w14:textId="77777777" w:rsidTr="003C4DE3">
        <w:trPr>
          <w:trHeight w:val="148"/>
        </w:trPr>
        <w:tc>
          <w:tcPr>
            <w:tcW w:w="1661" w:type="dxa"/>
          </w:tcPr>
          <w:p w14:paraId="1C553214" w14:textId="77777777" w:rsidR="001B2701" w:rsidRPr="004B762D" w:rsidRDefault="001B2701" w:rsidP="00DC403E">
            <w:pPr>
              <w:pStyle w:val="CETBodytext"/>
              <w:spacing w:before="10"/>
              <w:rPr>
                <w:rFonts w:cs="Arial"/>
                <w:sz w:val="16"/>
                <w:szCs w:val="18"/>
                <w:lang w:val="en-GB"/>
              </w:rPr>
            </w:pPr>
            <w:r w:rsidRPr="004B762D">
              <w:rPr>
                <w:rFonts w:cs="Arial"/>
                <w:sz w:val="16"/>
                <w:szCs w:val="18"/>
              </w:rPr>
              <w:t>Phenol, 4-ethyl-</w:t>
            </w:r>
          </w:p>
        </w:tc>
        <w:tc>
          <w:tcPr>
            <w:tcW w:w="1883" w:type="dxa"/>
          </w:tcPr>
          <w:p w14:paraId="0B6EE669" w14:textId="77777777" w:rsidR="001B2701" w:rsidRPr="004B762D" w:rsidRDefault="001B2701" w:rsidP="00DC403E">
            <w:pPr>
              <w:pStyle w:val="CETBodytext"/>
              <w:spacing w:before="10"/>
              <w:rPr>
                <w:rFonts w:cs="Arial"/>
                <w:sz w:val="16"/>
                <w:szCs w:val="18"/>
                <w:lang w:val="en-GB"/>
              </w:rPr>
            </w:pPr>
            <w:r w:rsidRPr="004B762D">
              <w:rPr>
                <w:rFonts w:cs="Arial"/>
                <w:sz w:val="16"/>
                <w:szCs w:val="18"/>
              </w:rPr>
              <w:t>1.92935 x 10-13</w:t>
            </w:r>
          </w:p>
        </w:tc>
        <w:tc>
          <w:tcPr>
            <w:tcW w:w="2268" w:type="dxa"/>
          </w:tcPr>
          <w:p w14:paraId="388A0603" w14:textId="77777777" w:rsidR="001B2701" w:rsidRPr="004B762D" w:rsidRDefault="001B2701" w:rsidP="00DC403E">
            <w:pPr>
              <w:pStyle w:val="CETBodytext"/>
              <w:spacing w:before="10"/>
              <w:rPr>
                <w:rFonts w:cs="Arial"/>
                <w:sz w:val="16"/>
                <w:szCs w:val="18"/>
                <w:lang w:val="en-GB"/>
              </w:rPr>
            </w:pPr>
            <w:r w:rsidRPr="004B762D">
              <w:rPr>
                <w:rFonts w:cs="Arial"/>
                <w:sz w:val="16"/>
                <w:szCs w:val="18"/>
              </w:rPr>
              <w:t>0.001996008</w:t>
            </w:r>
          </w:p>
        </w:tc>
        <w:tc>
          <w:tcPr>
            <w:tcW w:w="1559" w:type="dxa"/>
          </w:tcPr>
          <w:p w14:paraId="22157FF4" w14:textId="77777777" w:rsidR="001B2701" w:rsidRPr="004B762D" w:rsidRDefault="001B2701" w:rsidP="00DC403E">
            <w:pPr>
              <w:pStyle w:val="CETBodytext"/>
              <w:spacing w:before="10"/>
              <w:rPr>
                <w:rFonts w:cs="Arial"/>
                <w:sz w:val="16"/>
                <w:szCs w:val="18"/>
                <w:lang w:val="en-GB"/>
              </w:rPr>
            </w:pPr>
            <w:r w:rsidRPr="004B762D">
              <w:rPr>
                <w:rFonts w:cs="Arial"/>
                <w:sz w:val="16"/>
                <w:szCs w:val="18"/>
              </w:rPr>
              <w:t>0.000998</w:t>
            </w:r>
          </w:p>
        </w:tc>
        <w:tc>
          <w:tcPr>
            <w:tcW w:w="1276" w:type="dxa"/>
          </w:tcPr>
          <w:p w14:paraId="2DDA6578" w14:textId="77777777" w:rsidR="001B2701" w:rsidRPr="004B762D" w:rsidRDefault="001B2701" w:rsidP="00DC403E">
            <w:pPr>
              <w:pStyle w:val="CETBodytext"/>
              <w:spacing w:before="10"/>
              <w:rPr>
                <w:rFonts w:cs="Arial"/>
                <w:sz w:val="16"/>
                <w:szCs w:val="18"/>
                <w:lang w:val="en-GB"/>
              </w:rPr>
            </w:pPr>
            <w:r w:rsidRPr="004B762D">
              <w:rPr>
                <w:rFonts w:cs="Arial"/>
                <w:sz w:val="16"/>
                <w:szCs w:val="18"/>
              </w:rPr>
              <w:t>0.004006</w:t>
            </w:r>
          </w:p>
        </w:tc>
        <w:tc>
          <w:tcPr>
            <w:tcW w:w="992" w:type="dxa"/>
          </w:tcPr>
          <w:p w14:paraId="2E737E6B" w14:textId="77777777" w:rsidR="001B2701" w:rsidRPr="004B762D" w:rsidRDefault="001B2701" w:rsidP="00DC403E">
            <w:pPr>
              <w:pStyle w:val="CETBodytext"/>
              <w:spacing w:before="10"/>
              <w:rPr>
                <w:rFonts w:cs="Arial"/>
                <w:i/>
                <w:iCs/>
                <w:sz w:val="16"/>
                <w:szCs w:val="18"/>
                <w:lang w:val="en-GB"/>
              </w:rPr>
            </w:pPr>
            <w:r w:rsidRPr="004B762D">
              <w:rPr>
                <w:rFonts w:cs="Arial"/>
                <w:sz w:val="16"/>
                <w:szCs w:val="18"/>
              </w:rPr>
              <w:t>0.37895</w:t>
            </w:r>
          </w:p>
        </w:tc>
      </w:tr>
      <w:tr w:rsidR="001B2701" w:rsidRPr="004B762D" w14:paraId="2383CEB3" w14:textId="77777777" w:rsidTr="003C4DE3">
        <w:trPr>
          <w:trHeight w:val="66"/>
        </w:trPr>
        <w:tc>
          <w:tcPr>
            <w:tcW w:w="1661" w:type="dxa"/>
          </w:tcPr>
          <w:p w14:paraId="792BCAB9" w14:textId="77777777" w:rsidR="001B2701" w:rsidRPr="004B762D" w:rsidRDefault="001B2701" w:rsidP="00DC403E">
            <w:pPr>
              <w:pStyle w:val="CETBodytext"/>
              <w:spacing w:before="10"/>
              <w:rPr>
                <w:rFonts w:cs="Arial"/>
                <w:sz w:val="16"/>
                <w:szCs w:val="18"/>
                <w:lang w:val="en-GB"/>
              </w:rPr>
            </w:pPr>
            <w:r w:rsidRPr="004B762D">
              <w:rPr>
                <w:rFonts w:cs="Arial"/>
                <w:sz w:val="16"/>
                <w:szCs w:val="18"/>
              </w:rPr>
              <w:t>Ethylenimine</w:t>
            </w:r>
          </w:p>
        </w:tc>
        <w:tc>
          <w:tcPr>
            <w:tcW w:w="1883" w:type="dxa"/>
          </w:tcPr>
          <w:p w14:paraId="200D0E13" w14:textId="77777777" w:rsidR="001B2701" w:rsidRPr="004B762D" w:rsidRDefault="001B2701" w:rsidP="00DC403E">
            <w:pPr>
              <w:pStyle w:val="CETBodytext"/>
              <w:spacing w:before="10"/>
              <w:rPr>
                <w:rFonts w:cs="Arial"/>
                <w:sz w:val="16"/>
                <w:szCs w:val="18"/>
                <w:lang w:val="en-GB"/>
              </w:rPr>
            </w:pPr>
            <w:r w:rsidRPr="004B762D">
              <w:rPr>
                <w:rFonts w:cs="Arial"/>
                <w:sz w:val="16"/>
                <w:szCs w:val="18"/>
              </w:rPr>
              <w:t>0.00376143</w:t>
            </w:r>
          </w:p>
        </w:tc>
        <w:tc>
          <w:tcPr>
            <w:tcW w:w="2268" w:type="dxa"/>
          </w:tcPr>
          <w:p w14:paraId="2FE1B3EA" w14:textId="77777777" w:rsidR="001B2701" w:rsidRPr="004B762D" w:rsidRDefault="001B2701" w:rsidP="00DC403E">
            <w:pPr>
              <w:pStyle w:val="CETBodytext"/>
              <w:spacing w:before="10"/>
              <w:rPr>
                <w:rFonts w:cs="Arial"/>
                <w:sz w:val="16"/>
                <w:szCs w:val="18"/>
                <w:lang w:val="en-GB"/>
              </w:rPr>
            </w:pPr>
            <w:r w:rsidRPr="004B762D">
              <w:rPr>
                <w:rFonts w:cs="Arial"/>
                <w:sz w:val="16"/>
                <w:szCs w:val="18"/>
              </w:rPr>
              <w:t>0.001892824</w:t>
            </w:r>
          </w:p>
        </w:tc>
        <w:tc>
          <w:tcPr>
            <w:tcW w:w="1559" w:type="dxa"/>
          </w:tcPr>
          <w:p w14:paraId="00BFD6A7" w14:textId="77777777" w:rsidR="001B2701" w:rsidRPr="004B762D" w:rsidRDefault="001B2701" w:rsidP="00DC403E">
            <w:pPr>
              <w:pStyle w:val="CETBodytext"/>
              <w:spacing w:before="10"/>
              <w:rPr>
                <w:rFonts w:cs="Arial"/>
                <w:sz w:val="16"/>
                <w:szCs w:val="18"/>
                <w:lang w:val="en-GB"/>
              </w:rPr>
            </w:pPr>
            <w:r w:rsidRPr="004B762D">
              <w:rPr>
                <w:rFonts w:cs="Arial"/>
                <w:sz w:val="16"/>
                <w:szCs w:val="18"/>
              </w:rPr>
              <w:t>0.002827</w:t>
            </w:r>
          </w:p>
        </w:tc>
        <w:tc>
          <w:tcPr>
            <w:tcW w:w="1276" w:type="dxa"/>
          </w:tcPr>
          <w:p w14:paraId="5A9A7273" w14:textId="77777777" w:rsidR="001B2701" w:rsidRPr="004B762D" w:rsidRDefault="001B2701" w:rsidP="00DC403E">
            <w:pPr>
              <w:pStyle w:val="CETBodytext"/>
              <w:spacing w:before="10"/>
              <w:rPr>
                <w:rFonts w:cs="Arial"/>
                <w:sz w:val="16"/>
                <w:szCs w:val="18"/>
                <w:lang w:val="en-GB"/>
              </w:rPr>
            </w:pPr>
            <w:r w:rsidRPr="004B762D">
              <w:rPr>
                <w:rFonts w:cs="Arial"/>
                <w:sz w:val="16"/>
                <w:szCs w:val="18"/>
              </w:rPr>
              <w:t>0.010178</w:t>
            </w:r>
          </w:p>
        </w:tc>
        <w:tc>
          <w:tcPr>
            <w:tcW w:w="992" w:type="dxa"/>
          </w:tcPr>
          <w:p w14:paraId="72257EF1" w14:textId="77777777" w:rsidR="001B2701" w:rsidRPr="004B762D" w:rsidRDefault="001B2701" w:rsidP="00DC403E">
            <w:pPr>
              <w:pStyle w:val="CETBodytext"/>
              <w:spacing w:before="10"/>
              <w:rPr>
                <w:rFonts w:cs="Arial"/>
                <w:i/>
                <w:iCs/>
                <w:sz w:val="16"/>
                <w:szCs w:val="18"/>
                <w:lang w:val="en-GB"/>
              </w:rPr>
            </w:pPr>
            <w:r w:rsidRPr="004B762D">
              <w:rPr>
                <w:rFonts w:cs="Arial"/>
                <w:sz w:val="16"/>
                <w:szCs w:val="18"/>
              </w:rPr>
              <w:t>0.242105</w:t>
            </w:r>
          </w:p>
        </w:tc>
      </w:tr>
      <w:tr w:rsidR="001B2701" w:rsidRPr="004B762D" w14:paraId="527F1C4E" w14:textId="77777777" w:rsidTr="003C4DE3">
        <w:trPr>
          <w:trHeight w:val="282"/>
        </w:trPr>
        <w:tc>
          <w:tcPr>
            <w:tcW w:w="1661" w:type="dxa"/>
          </w:tcPr>
          <w:p w14:paraId="2FD3AD3D" w14:textId="77777777" w:rsidR="005143FA" w:rsidRPr="004B762D" w:rsidRDefault="001B2701" w:rsidP="00DC403E">
            <w:pPr>
              <w:pStyle w:val="CETBodytext"/>
              <w:spacing w:before="10"/>
              <w:rPr>
                <w:rFonts w:cs="Arial"/>
                <w:sz w:val="16"/>
                <w:szCs w:val="18"/>
              </w:rPr>
            </w:pPr>
            <w:r w:rsidRPr="004B762D">
              <w:rPr>
                <w:rFonts w:cs="Arial"/>
                <w:sz w:val="16"/>
                <w:szCs w:val="18"/>
              </w:rPr>
              <w:t>Trichloromono</w:t>
            </w:r>
          </w:p>
          <w:p w14:paraId="129D7947" w14:textId="66A9BDD2" w:rsidR="001B2701" w:rsidRPr="004B762D" w:rsidRDefault="001B2701" w:rsidP="00DC403E">
            <w:pPr>
              <w:pStyle w:val="CETBodytext"/>
              <w:spacing w:before="10"/>
              <w:rPr>
                <w:rFonts w:cs="Arial"/>
                <w:sz w:val="16"/>
                <w:szCs w:val="18"/>
                <w:lang w:val="en-GB"/>
              </w:rPr>
            </w:pPr>
            <w:r w:rsidRPr="004B762D">
              <w:rPr>
                <w:rFonts w:cs="Arial"/>
                <w:sz w:val="16"/>
                <w:szCs w:val="18"/>
              </w:rPr>
              <w:t>fluor</w:t>
            </w:r>
            <w:r w:rsidR="005143FA" w:rsidRPr="004B762D">
              <w:rPr>
                <w:rFonts w:cs="Arial"/>
                <w:sz w:val="16"/>
                <w:szCs w:val="18"/>
              </w:rPr>
              <w:t>o</w:t>
            </w:r>
            <w:r w:rsidRPr="004B762D">
              <w:rPr>
                <w:rFonts w:cs="Arial"/>
                <w:sz w:val="16"/>
                <w:szCs w:val="18"/>
              </w:rPr>
              <w:t>methane</w:t>
            </w:r>
          </w:p>
        </w:tc>
        <w:tc>
          <w:tcPr>
            <w:tcW w:w="1883" w:type="dxa"/>
          </w:tcPr>
          <w:p w14:paraId="3E4260E0" w14:textId="77777777" w:rsidR="001B2701" w:rsidRPr="004B762D" w:rsidRDefault="001B2701" w:rsidP="00DC403E">
            <w:pPr>
              <w:pStyle w:val="CETBodytext"/>
              <w:spacing w:before="10"/>
              <w:rPr>
                <w:rFonts w:cs="Arial"/>
                <w:sz w:val="16"/>
                <w:szCs w:val="18"/>
                <w:lang w:val="en-GB"/>
              </w:rPr>
            </w:pPr>
            <w:r w:rsidRPr="004B762D">
              <w:rPr>
                <w:rFonts w:cs="Arial"/>
                <w:sz w:val="16"/>
                <w:szCs w:val="18"/>
              </w:rPr>
              <w:t>0.004928496</w:t>
            </w:r>
          </w:p>
        </w:tc>
        <w:tc>
          <w:tcPr>
            <w:tcW w:w="2268" w:type="dxa"/>
          </w:tcPr>
          <w:p w14:paraId="138B412D" w14:textId="77777777" w:rsidR="001B2701" w:rsidRPr="004B762D" w:rsidRDefault="001B2701" w:rsidP="00DC403E">
            <w:pPr>
              <w:pStyle w:val="CETBodytext"/>
              <w:spacing w:before="10"/>
              <w:rPr>
                <w:rFonts w:cs="Arial"/>
                <w:sz w:val="16"/>
                <w:szCs w:val="18"/>
                <w:lang w:val="en-GB"/>
              </w:rPr>
            </w:pPr>
            <w:r w:rsidRPr="004B762D">
              <w:rPr>
                <w:rFonts w:cs="Arial"/>
                <w:sz w:val="16"/>
                <w:szCs w:val="18"/>
              </w:rPr>
              <w:t>0.001996008</w:t>
            </w:r>
          </w:p>
        </w:tc>
        <w:tc>
          <w:tcPr>
            <w:tcW w:w="1559" w:type="dxa"/>
          </w:tcPr>
          <w:p w14:paraId="60501FFB" w14:textId="77777777" w:rsidR="001B2701" w:rsidRPr="004B762D" w:rsidRDefault="001B2701" w:rsidP="00DC403E">
            <w:pPr>
              <w:pStyle w:val="CETBodytext"/>
              <w:spacing w:before="10"/>
              <w:rPr>
                <w:rFonts w:cs="Arial"/>
                <w:sz w:val="16"/>
                <w:szCs w:val="18"/>
                <w:lang w:val="en-GB"/>
              </w:rPr>
            </w:pPr>
            <w:r w:rsidRPr="004B762D">
              <w:rPr>
                <w:rFonts w:cs="Arial"/>
                <w:sz w:val="16"/>
                <w:szCs w:val="18"/>
              </w:rPr>
              <w:t>0.003462</w:t>
            </w:r>
          </w:p>
        </w:tc>
        <w:tc>
          <w:tcPr>
            <w:tcW w:w="1276" w:type="dxa"/>
          </w:tcPr>
          <w:p w14:paraId="7CE7C8B5" w14:textId="77777777" w:rsidR="001B2701" w:rsidRPr="004B762D" w:rsidRDefault="001B2701" w:rsidP="00DC403E">
            <w:pPr>
              <w:pStyle w:val="CETBodytext"/>
              <w:spacing w:before="10"/>
              <w:rPr>
                <w:rFonts w:cs="Arial"/>
                <w:sz w:val="16"/>
                <w:szCs w:val="18"/>
                <w:lang w:val="en-GB"/>
              </w:rPr>
            </w:pPr>
            <w:r w:rsidRPr="004B762D">
              <w:rPr>
                <w:rFonts w:cs="Arial"/>
                <w:sz w:val="16"/>
                <w:szCs w:val="18"/>
              </w:rPr>
              <w:t>0.011331</w:t>
            </w:r>
          </w:p>
        </w:tc>
        <w:tc>
          <w:tcPr>
            <w:tcW w:w="992" w:type="dxa"/>
          </w:tcPr>
          <w:p w14:paraId="630BB080" w14:textId="77777777" w:rsidR="001B2701" w:rsidRPr="004B762D" w:rsidRDefault="001B2701" w:rsidP="00DC403E">
            <w:pPr>
              <w:pStyle w:val="CETBodytext"/>
              <w:spacing w:before="10"/>
              <w:rPr>
                <w:rFonts w:cs="Arial"/>
                <w:i/>
                <w:iCs/>
                <w:sz w:val="16"/>
                <w:szCs w:val="18"/>
                <w:lang w:val="en-GB"/>
              </w:rPr>
            </w:pPr>
            <w:r w:rsidRPr="004B762D">
              <w:rPr>
                <w:rFonts w:cs="Arial"/>
                <w:sz w:val="16"/>
                <w:szCs w:val="18"/>
              </w:rPr>
              <w:t>0.301096</w:t>
            </w:r>
          </w:p>
        </w:tc>
      </w:tr>
      <w:tr w:rsidR="001B2701" w:rsidRPr="004B762D" w14:paraId="2B827801" w14:textId="77777777" w:rsidTr="003C4DE3">
        <w:trPr>
          <w:trHeight w:val="287"/>
        </w:trPr>
        <w:tc>
          <w:tcPr>
            <w:tcW w:w="1661" w:type="dxa"/>
          </w:tcPr>
          <w:p w14:paraId="226DCA23" w14:textId="77777777" w:rsidR="005143FA" w:rsidRPr="004B762D" w:rsidRDefault="001B2701" w:rsidP="00DC403E">
            <w:pPr>
              <w:pStyle w:val="CETBodytext"/>
              <w:spacing w:before="10"/>
              <w:rPr>
                <w:rFonts w:cs="Arial"/>
                <w:sz w:val="16"/>
                <w:szCs w:val="18"/>
              </w:rPr>
            </w:pPr>
            <w:r w:rsidRPr="004B762D">
              <w:rPr>
                <w:rFonts w:cs="Arial"/>
                <w:sz w:val="16"/>
                <w:szCs w:val="18"/>
              </w:rPr>
              <w:t>Methylamine,</w:t>
            </w:r>
            <w:r w:rsidR="005143FA" w:rsidRPr="004B762D">
              <w:rPr>
                <w:rFonts w:cs="Arial"/>
                <w:sz w:val="16"/>
                <w:szCs w:val="18"/>
              </w:rPr>
              <w:t xml:space="preserve"> </w:t>
            </w:r>
          </w:p>
          <w:p w14:paraId="716DB533" w14:textId="10803B40" w:rsidR="001B2701" w:rsidRPr="004B762D" w:rsidRDefault="001B2701" w:rsidP="00DC403E">
            <w:pPr>
              <w:pStyle w:val="CETBodytext"/>
              <w:spacing w:before="10"/>
              <w:rPr>
                <w:rFonts w:cs="Arial"/>
                <w:sz w:val="16"/>
                <w:szCs w:val="18"/>
                <w:lang w:val="en-GB"/>
              </w:rPr>
            </w:pPr>
            <w:r w:rsidRPr="004B762D">
              <w:rPr>
                <w:rFonts w:cs="Arial"/>
                <w:sz w:val="16"/>
                <w:szCs w:val="18"/>
              </w:rPr>
              <w:t>N,N-dimethyl-</w:t>
            </w:r>
          </w:p>
        </w:tc>
        <w:tc>
          <w:tcPr>
            <w:tcW w:w="1883" w:type="dxa"/>
          </w:tcPr>
          <w:p w14:paraId="18CD4FB4" w14:textId="77777777" w:rsidR="001B2701" w:rsidRPr="004B762D" w:rsidRDefault="001B2701" w:rsidP="00DC403E">
            <w:pPr>
              <w:pStyle w:val="CETBodytext"/>
              <w:spacing w:before="10"/>
              <w:rPr>
                <w:rFonts w:cs="Arial"/>
                <w:sz w:val="16"/>
                <w:szCs w:val="18"/>
                <w:lang w:val="en-GB"/>
              </w:rPr>
            </w:pPr>
            <w:r w:rsidRPr="004B762D">
              <w:rPr>
                <w:rFonts w:cs="Arial"/>
                <w:sz w:val="16"/>
                <w:szCs w:val="18"/>
              </w:rPr>
              <w:t>0.032814422</w:t>
            </w:r>
          </w:p>
        </w:tc>
        <w:tc>
          <w:tcPr>
            <w:tcW w:w="2268" w:type="dxa"/>
          </w:tcPr>
          <w:p w14:paraId="17776EB4" w14:textId="77777777" w:rsidR="001B2701" w:rsidRPr="004B762D" w:rsidRDefault="001B2701" w:rsidP="00DC403E">
            <w:pPr>
              <w:pStyle w:val="CETBodytext"/>
              <w:spacing w:before="10"/>
              <w:rPr>
                <w:rFonts w:cs="Arial"/>
                <w:sz w:val="16"/>
                <w:szCs w:val="18"/>
                <w:lang w:val="en-GB"/>
              </w:rPr>
            </w:pPr>
            <w:r w:rsidRPr="004B762D">
              <w:rPr>
                <w:rFonts w:cs="Arial"/>
                <w:sz w:val="16"/>
                <w:szCs w:val="18"/>
              </w:rPr>
              <w:t>1.40636 x 10-30</w:t>
            </w:r>
          </w:p>
        </w:tc>
        <w:tc>
          <w:tcPr>
            <w:tcW w:w="1559" w:type="dxa"/>
          </w:tcPr>
          <w:p w14:paraId="5BDEBFB6" w14:textId="77777777" w:rsidR="001B2701" w:rsidRPr="004B762D" w:rsidRDefault="001B2701" w:rsidP="00DC403E">
            <w:pPr>
              <w:pStyle w:val="CETBodytext"/>
              <w:spacing w:before="10"/>
              <w:rPr>
                <w:rFonts w:cs="Arial"/>
                <w:sz w:val="16"/>
                <w:szCs w:val="18"/>
                <w:lang w:val="en-GB"/>
              </w:rPr>
            </w:pPr>
            <w:r w:rsidRPr="004B762D">
              <w:rPr>
                <w:rFonts w:cs="Arial"/>
                <w:sz w:val="16"/>
                <w:szCs w:val="18"/>
              </w:rPr>
              <w:t>0.016407</w:t>
            </w:r>
          </w:p>
        </w:tc>
        <w:tc>
          <w:tcPr>
            <w:tcW w:w="1276" w:type="dxa"/>
          </w:tcPr>
          <w:p w14:paraId="0B6D9E89" w14:textId="77777777" w:rsidR="001B2701" w:rsidRPr="004B762D" w:rsidRDefault="001B2701" w:rsidP="00DC403E">
            <w:pPr>
              <w:pStyle w:val="CETBodytext"/>
              <w:spacing w:before="10"/>
              <w:rPr>
                <w:rFonts w:cs="Arial"/>
                <w:sz w:val="16"/>
                <w:szCs w:val="18"/>
                <w:lang w:val="en-GB"/>
              </w:rPr>
            </w:pPr>
            <w:r w:rsidRPr="004B762D">
              <w:rPr>
                <w:rFonts w:cs="Arial"/>
                <w:sz w:val="16"/>
                <w:szCs w:val="18"/>
              </w:rPr>
              <w:t>0.045435</w:t>
            </w:r>
          </w:p>
        </w:tc>
        <w:tc>
          <w:tcPr>
            <w:tcW w:w="992" w:type="dxa"/>
          </w:tcPr>
          <w:p w14:paraId="07679316" w14:textId="77777777" w:rsidR="001B2701" w:rsidRPr="004B762D" w:rsidRDefault="001B2701" w:rsidP="00DC403E">
            <w:pPr>
              <w:pStyle w:val="CETBodytext"/>
              <w:spacing w:before="10"/>
              <w:rPr>
                <w:rFonts w:cs="Arial"/>
                <w:i/>
                <w:iCs/>
                <w:sz w:val="16"/>
                <w:szCs w:val="18"/>
                <w:lang w:val="en-GB"/>
              </w:rPr>
            </w:pPr>
            <w:r w:rsidRPr="004B762D">
              <w:rPr>
                <w:rFonts w:cs="Arial"/>
                <w:sz w:val="16"/>
                <w:szCs w:val="18"/>
              </w:rPr>
              <w:t>0.735088</w:t>
            </w:r>
          </w:p>
        </w:tc>
      </w:tr>
      <w:tr w:rsidR="001B2701" w:rsidRPr="004B762D" w14:paraId="3995AD42" w14:textId="77777777" w:rsidTr="005143FA">
        <w:trPr>
          <w:trHeight w:val="290"/>
        </w:trPr>
        <w:tc>
          <w:tcPr>
            <w:tcW w:w="1661" w:type="dxa"/>
          </w:tcPr>
          <w:p w14:paraId="47427D01" w14:textId="77777777" w:rsidR="001B2701" w:rsidRPr="004B762D" w:rsidRDefault="001B2701" w:rsidP="00DC403E">
            <w:pPr>
              <w:pStyle w:val="CETBodytext"/>
              <w:spacing w:before="10"/>
              <w:rPr>
                <w:rFonts w:cs="Arial"/>
                <w:sz w:val="16"/>
                <w:szCs w:val="18"/>
                <w:lang w:val="en-GB"/>
              </w:rPr>
            </w:pPr>
            <w:r w:rsidRPr="004B762D">
              <w:rPr>
                <w:rFonts w:cs="Arial"/>
                <w:sz w:val="16"/>
                <w:szCs w:val="18"/>
              </w:rPr>
              <w:t>Dimethyl sulfide</w:t>
            </w:r>
          </w:p>
        </w:tc>
        <w:tc>
          <w:tcPr>
            <w:tcW w:w="1883" w:type="dxa"/>
          </w:tcPr>
          <w:p w14:paraId="5CC26382" w14:textId="77777777" w:rsidR="001B2701" w:rsidRPr="004B762D" w:rsidRDefault="001B2701" w:rsidP="00DC403E">
            <w:pPr>
              <w:pStyle w:val="CETBodytext"/>
              <w:spacing w:before="10"/>
              <w:rPr>
                <w:rFonts w:cs="Arial"/>
                <w:sz w:val="16"/>
                <w:szCs w:val="18"/>
                <w:lang w:val="en-GB"/>
              </w:rPr>
            </w:pPr>
            <w:r w:rsidRPr="004B762D">
              <w:rPr>
                <w:rFonts w:cs="Arial"/>
                <w:sz w:val="16"/>
                <w:szCs w:val="18"/>
              </w:rPr>
              <w:t>0.026541154</w:t>
            </w:r>
          </w:p>
        </w:tc>
        <w:tc>
          <w:tcPr>
            <w:tcW w:w="2268" w:type="dxa"/>
          </w:tcPr>
          <w:p w14:paraId="28704B65" w14:textId="77777777" w:rsidR="001B2701" w:rsidRPr="004B762D" w:rsidRDefault="001B2701" w:rsidP="00DC403E">
            <w:pPr>
              <w:pStyle w:val="CETBodytext"/>
              <w:spacing w:before="10"/>
              <w:rPr>
                <w:rFonts w:cs="Arial"/>
                <w:sz w:val="16"/>
                <w:szCs w:val="18"/>
                <w:lang w:val="en-GB"/>
              </w:rPr>
            </w:pPr>
            <w:r w:rsidRPr="004B762D">
              <w:rPr>
                <w:rFonts w:cs="Arial"/>
                <w:sz w:val="16"/>
                <w:szCs w:val="18"/>
              </w:rPr>
              <w:t>0.005988024</w:t>
            </w:r>
          </w:p>
        </w:tc>
        <w:tc>
          <w:tcPr>
            <w:tcW w:w="1559" w:type="dxa"/>
          </w:tcPr>
          <w:p w14:paraId="77091B02" w14:textId="77777777" w:rsidR="001B2701" w:rsidRPr="004B762D" w:rsidRDefault="001B2701" w:rsidP="00DC403E">
            <w:pPr>
              <w:pStyle w:val="CETBodytext"/>
              <w:spacing w:before="10"/>
              <w:rPr>
                <w:rFonts w:cs="Arial"/>
                <w:sz w:val="16"/>
                <w:szCs w:val="18"/>
                <w:lang w:val="en-GB"/>
              </w:rPr>
            </w:pPr>
            <w:r w:rsidRPr="004B762D">
              <w:rPr>
                <w:rFonts w:cs="Arial"/>
                <w:sz w:val="16"/>
                <w:szCs w:val="18"/>
              </w:rPr>
              <w:t>0.016265</w:t>
            </w:r>
          </w:p>
        </w:tc>
        <w:tc>
          <w:tcPr>
            <w:tcW w:w="1276" w:type="dxa"/>
          </w:tcPr>
          <w:p w14:paraId="335E1A35" w14:textId="77777777" w:rsidR="001B2701" w:rsidRPr="004B762D" w:rsidRDefault="001B2701" w:rsidP="00DC403E">
            <w:pPr>
              <w:pStyle w:val="CETBodytext"/>
              <w:spacing w:before="10"/>
              <w:rPr>
                <w:rFonts w:cs="Arial"/>
                <w:sz w:val="16"/>
                <w:szCs w:val="18"/>
                <w:lang w:val="en-GB"/>
              </w:rPr>
            </w:pPr>
            <w:r w:rsidRPr="004B762D">
              <w:rPr>
                <w:rFonts w:cs="Arial"/>
                <w:sz w:val="16"/>
                <w:szCs w:val="18"/>
              </w:rPr>
              <w:t>0.045435</w:t>
            </w:r>
          </w:p>
        </w:tc>
        <w:tc>
          <w:tcPr>
            <w:tcW w:w="992" w:type="dxa"/>
          </w:tcPr>
          <w:p w14:paraId="3C202E1C" w14:textId="77777777" w:rsidR="001B2701" w:rsidRPr="004B762D" w:rsidRDefault="001B2701" w:rsidP="00DC403E">
            <w:pPr>
              <w:pStyle w:val="CETBodytext"/>
              <w:spacing w:before="10"/>
              <w:rPr>
                <w:rFonts w:cs="Arial"/>
                <w:i/>
                <w:iCs/>
                <w:sz w:val="16"/>
                <w:szCs w:val="18"/>
                <w:lang w:val="en-GB"/>
              </w:rPr>
            </w:pPr>
            <w:r w:rsidRPr="004B762D">
              <w:rPr>
                <w:rFonts w:cs="Arial"/>
                <w:sz w:val="16"/>
                <w:szCs w:val="18"/>
              </w:rPr>
              <w:t>0.245943</w:t>
            </w:r>
          </w:p>
        </w:tc>
      </w:tr>
    </w:tbl>
    <w:p w14:paraId="24F2F3A9" w14:textId="77777777" w:rsidR="00B32217" w:rsidRPr="004B762D" w:rsidRDefault="00B32217" w:rsidP="3C9A67BF">
      <w:pPr>
        <w:pStyle w:val="CETBodytext"/>
      </w:pPr>
    </w:p>
    <w:p w14:paraId="6B2FFAEC" w14:textId="7573D24F" w:rsidR="263451DE" w:rsidRPr="004B762D" w:rsidRDefault="263451DE" w:rsidP="3C9A67BF">
      <w:pPr>
        <w:pStyle w:val="CETBodytext"/>
      </w:pPr>
      <w:r w:rsidRPr="004B762D">
        <w:t xml:space="preserve">Tweedie GLMs were used to identify predictors of VOC group ion counts in lairage air samples (Table </w:t>
      </w:r>
      <w:r w:rsidR="00CA04E4" w:rsidRPr="004B762D">
        <w:t>3</w:t>
      </w:r>
      <w:r w:rsidRPr="004B762D">
        <w:t xml:space="preserve">). No significant associations were detected for aldehydes, haloalkenes, or alkenes. Alcohol concentrations were higher when overnight cattle were present (+36%, </w:t>
      </w:r>
      <w:r w:rsidRPr="004B762D">
        <w:rPr>
          <w:i/>
          <w:iCs/>
        </w:rPr>
        <w:t>p</w:t>
      </w:r>
      <w:r w:rsidRPr="004B762D">
        <w:t xml:space="preserve"> = 0.030). Amines showed a marginal decline over time and were lower during the morning period (approximately 40%; 0.05 &lt; </w:t>
      </w:r>
      <w:r w:rsidRPr="004B762D">
        <w:rPr>
          <w:i/>
          <w:iCs/>
        </w:rPr>
        <w:t>p</w:t>
      </w:r>
      <w:r w:rsidRPr="004B762D">
        <w:t xml:space="preserve"> &lt; 0.1), </w:t>
      </w:r>
      <w:r w:rsidR="00610A02" w:rsidRPr="004B762D">
        <w:t>and</w:t>
      </w:r>
      <w:r w:rsidRPr="004B762D">
        <w:t xml:space="preserve"> a weak positive association with kill rate. Batch-related effects were observed for several VOC groups: esters (+41%, </w:t>
      </w:r>
      <w:r w:rsidRPr="004B762D">
        <w:rPr>
          <w:i/>
          <w:iCs/>
        </w:rPr>
        <w:t>p</w:t>
      </w:r>
      <w:r w:rsidRPr="004B762D">
        <w:t xml:space="preserve"> = 0.028) and nitriles (+41%, </w:t>
      </w:r>
      <w:r w:rsidRPr="004B762D">
        <w:rPr>
          <w:i/>
          <w:iCs/>
        </w:rPr>
        <w:t>p</w:t>
      </w:r>
      <w:r w:rsidRPr="004B762D">
        <w:t xml:space="preserve"> = 0.032) increased with batch number, while phenols showed a marginal increase (approximately 15%, </w:t>
      </w:r>
      <w:r w:rsidRPr="004B762D">
        <w:rPr>
          <w:i/>
          <w:iCs/>
        </w:rPr>
        <w:t>p</w:t>
      </w:r>
      <w:r w:rsidRPr="004B762D">
        <w:t xml:space="preserve"> = 0.058). Alkanes were higher during the morning period (approximately 3.5-fold, </w:t>
      </w:r>
      <w:r w:rsidRPr="004B762D">
        <w:rPr>
          <w:i/>
          <w:iCs/>
        </w:rPr>
        <w:t>p</w:t>
      </w:r>
      <w:r w:rsidRPr="004B762D">
        <w:t xml:space="preserve"> = 0.015), with a marginal increase with batch size. Ketones increased over time (</w:t>
      </w:r>
      <w:r w:rsidRPr="004B762D">
        <w:rPr>
          <w:i/>
          <w:iCs/>
        </w:rPr>
        <w:t>p</w:t>
      </w:r>
      <w:r w:rsidRPr="004B762D">
        <w:t xml:space="preserve"> = 0.017) and batch size (approximately 15% per unit, </w:t>
      </w:r>
      <w:r w:rsidRPr="004B762D">
        <w:rPr>
          <w:i/>
          <w:iCs/>
        </w:rPr>
        <w:t>p</w:t>
      </w:r>
      <w:r w:rsidRPr="004B762D">
        <w:t xml:space="preserve"> = 0.010), but were marginally lower when overnight cattle were present. Aromatic hydrocarbons declined over time (</w:t>
      </w:r>
      <w:r w:rsidRPr="004B762D">
        <w:rPr>
          <w:i/>
          <w:iCs/>
        </w:rPr>
        <w:t>p</w:t>
      </w:r>
      <w:r w:rsidRPr="004B762D">
        <w:t xml:space="preserve"> &lt; 0.001) and showed a weak negative association with total animal</w:t>
      </w:r>
      <w:r w:rsidR="00610A02" w:rsidRPr="004B762D">
        <w:t>s delivered</w:t>
      </w:r>
      <w:r w:rsidRPr="004B762D">
        <w:t>.</w:t>
      </w:r>
    </w:p>
    <w:p w14:paraId="3D9E69D0" w14:textId="72173656" w:rsidR="002F1A2F" w:rsidRPr="004B762D" w:rsidRDefault="00255E05" w:rsidP="000842C2">
      <w:pPr>
        <w:pStyle w:val="CETTabletitle"/>
      </w:pPr>
      <w:commentRangeStart w:id="4"/>
      <w:r w:rsidRPr="004B762D">
        <w:t xml:space="preserve">Table </w:t>
      </w:r>
      <w:commentRangeEnd w:id="4"/>
      <w:r w:rsidRPr="004B762D">
        <w:rPr>
          <w:rStyle w:val="CommentReference"/>
          <w:sz w:val="18"/>
          <w:szCs w:val="20"/>
        </w:rPr>
        <w:commentReference w:id="4"/>
      </w:r>
      <w:r w:rsidR="00CA04E4" w:rsidRPr="004B762D">
        <w:t>3</w:t>
      </w:r>
      <w:r w:rsidRPr="004B762D">
        <w:t xml:space="preserve">. Tweedie Generalised Linear Model of VOC categories and animal factor predictors. </w:t>
      </w:r>
    </w:p>
    <w:tbl>
      <w:tblPr>
        <w:tblW w:w="9529" w:type="dxa"/>
        <w:tblBorders>
          <w:top w:val="single" w:sz="12" w:space="0" w:color="008000"/>
          <w:bottom w:val="single" w:sz="12" w:space="0" w:color="008000"/>
        </w:tblBorders>
        <w:shd w:val="clear" w:color="auto" w:fill="FFFFFF"/>
        <w:tblCellMar>
          <w:left w:w="0" w:type="dxa"/>
          <w:right w:w="0" w:type="dxa"/>
        </w:tblCellMar>
        <w:tblLook w:val="00A0" w:firstRow="1" w:lastRow="0" w:firstColumn="1" w:lastColumn="0" w:noHBand="0" w:noVBand="0"/>
      </w:tblPr>
      <w:tblGrid>
        <w:gridCol w:w="1276"/>
        <w:gridCol w:w="1732"/>
        <w:gridCol w:w="1670"/>
        <w:gridCol w:w="1134"/>
        <w:gridCol w:w="1985"/>
        <w:gridCol w:w="1732"/>
      </w:tblGrid>
      <w:tr w:rsidR="00824E5C" w:rsidRPr="004B762D" w14:paraId="7526EFA3" w14:textId="77777777" w:rsidTr="00A05880">
        <w:trPr>
          <w:trHeight w:val="185"/>
        </w:trPr>
        <w:tc>
          <w:tcPr>
            <w:tcW w:w="1276" w:type="dxa"/>
            <w:tcBorders>
              <w:top w:val="single" w:sz="12" w:space="0" w:color="008000"/>
              <w:bottom w:val="single" w:sz="6" w:space="0" w:color="008000"/>
            </w:tcBorders>
            <w:shd w:val="clear" w:color="auto" w:fill="FFFFFF"/>
          </w:tcPr>
          <w:p w14:paraId="1B6B5C48" w14:textId="77777777" w:rsidR="00824E5C" w:rsidRPr="004B762D" w:rsidRDefault="00824E5C" w:rsidP="002F3349">
            <w:pPr>
              <w:pStyle w:val="CETBodytext"/>
              <w:rPr>
                <w:sz w:val="16"/>
                <w:szCs w:val="16"/>
              </w:rPr>
            </w:pPr>
            <w:r w:rsidRPr="004B762D">
              <w:rPr>
                <w:sz w:val="16"/>
                <w:szCs w:val="16"/>
              </w:rPr>
              <w:t>VOC Group</w:t>
            </w:r>
          </w:p>
        </w:tc>
        <w:tc>
          <w:tcPr>
            <w:tcW w:w="1732" w:type="dxa"/>
            <w:tcBorders>
              <w:top w:val="single" w:sz="12" w:space="0" w:color="008000"/>
              <w:bottom w:val="single" w:sz="6" w:space="0" w:color="008000"/>
            </w:tcBorders>
            <w:shd w:val="clear" w:color="auto" w:fill="FFFFFF"/>
          </w:tcPr>
          <w:p w14:paraId="00BFFB2C" w14:textId="77777777" w:rsidR="00824E5C" w:rsidRPr="004B762D" w:rsidRDefault="00824E5C" w:rsidP="002F3349">
            <w:pPr>
              <w:pStyle w:val="CETBodytext"/>
              <w:rPr>
                <w:sz w:val="16"/>
                <w:szCs w:val="16"/>
              </w:rPr>
            </w:pPr>
            <w:r w:rsidRPr="004B762D">
              <w:rPr>
                <w:sz w:val="16"/>
                <w:szCs w:val="16"/>
              </w:rPr>
              <w:t>Predictor</w:t>
            </w:r>
          </w:p>
        </w:tc>
        <w:tc>
          <w:tcPr>
            <w:tcW w:w="1670" w:type="dxa"/>
            <w:tcBorders>
              <w:top w:val="single" w:sz="12" w:space="0" w:color="008000"/>
              <w:bottom w:val="single" w:sz="6" w:space="0" w:color="008000"/>
            </w:tcBorders>
            <w:shd w:val="clear" w:color="auto" w:fill="FFFFFF"/>
          </w:tcPr>
          <w:p w14:paraId="60137643" w14:textId="77777777" w:rsidR="00824E5C" w:rsidRPr="004B762D" w:rsidRDefault="00824E5C" w:rsidP="002F3349">
            <w:pPr>
              <w:pStyle w:val="CETBodytext"/>
              <w:rPr>
                <w:sz w:val="16"/>
                <w:szCs w:val="16"/>
              </w:rPr>
            </w:pPr>
            <w:r w:rsidRPr="004B762D">
              <w:rPr>
                <w:sz w:val="16"/>
                <w:szCs w:val="16"/>
              </w:rPr>
              <w:t>Effect Size (β)</w:t>
            </w:r>
          </w:p>
        </w:tc>
        <w:tc>
          <w:tcPr>
            <w:tcW w:w="1134" w:type="dxa"/>
            <w:tcBorders>
              <w:top w:val="single" w:sz="12" w:space="0" w:color="008000"/>
              <w:bottom w:val="single" w:sz="6" w:space="0" w:color="008000"/>
            </w:tcBorders>
            <w:shd w:val="clear" w:color="auto" w:fill="FFFFFF"/>
          </w:tcPr>
          <w:p w14:paraId="65ACD9C8" w14:textId="77777777" w:rsidR="00824E5C" w:rsidRPr="004B762D" w:rsidRDefault="00824E5C" w:rsidP="002F3349">
            <w:pPr>
              <w:pStyle w:val="CETBodytext"/>
              <w:rPr>
                <w:sz w:val="16"/>
                <w:szCs w:val="16"/>
              </w:rPr>
            </w:pPr>
            <w:r w:rsidRPr="004B762D">
              <w:rPr>
                <w:sz w:val="16"/>
                <w:szCs w:val="16"/>
              </w:rPr>
              <w:t>Direction</w:t>
            </w:r>
          </w:p>
        </w:tc>
        <w:tc>
          <w:tcPr>
            <w:tcW w:w="1985" w:type="dxa"/>
            <w:tcBorders>
              <w:top w:val="single" w:sz="12" w:space="0" w:color="008000"/>
              <w:bottom w:val="single" w:sz="6" w:space="0" w:color="008000"/>
            </w:tcBorders>
            <w:shd w:val="clear" w:color="auto" w:fill="FFFFFF"/>
          </w:tcPr>
          <w:p w14:paraId="332BB31C" w14:textId="77777777" w:rsidR="00824E5C" w:rsidRPr="004B762D" w:rsidRDefault="00824E5C" w:rsidP="002F3349">
            <w:pPr>
              <w:pStyle w:val="CETBodytext"/>
              <w:rPr>
                <w:sz w:val="16"/>
                <w:szCs w:val="16"/>
              </w:rPr>
            </w:pPr>
            <w:r w:rsidRPr="004B762D">
              <w:rPr>
                <w:sz w:val="16"/>
                <w:szCs w:val="16"/>
              </w:rPr>
              <w:t>% Change / Trend</w:t>
            </w:r>
          </w:p>
        </w:tc>
        <w:tc>
          <w:tcPr>
            <w:tcW w:w="1732" w:type="dxa"/>
            <w:tcBorders>
              <w:top w:val="single" w:sz="12" w:space="0" w:color="008000"/>
              <w:bottom w:val="single" w:sz="6" w:space="0" w:color="008000"/>
            </w:tcBorders>
            <w:shd w:val="clear" w:color="auto" w:fill="FFFFFF"/>
          </w:tcPr>
          <w:p w14:paraId="2E8310C4" w14:textId="77777777" w:rsidR="00824E5C" w:rsidRPr="004B762D" w:rsidRDefault="00824E5C" w:rsidP="002F3349">
            <w:pPr>
              <w:pStyle w:val="CETBodytext"/>
              <w:rPr>
                <w:sz w:val="16"/>
                <w:szCs w:val="16"/>
              </w:rPr>
            </w:pPr>
            <w:r w:rsidRPr="004B762D">
              <w:rPr>
                <w:sz w:val="16"/>
                <w:szCs w:val="16"/>
              </w:rPr>
              <w:t>Significance</w:t>
            </w:r>
          </w:p>
        </w:tc>
      </w:tr>
      <w:tr w:rsidR="00824E5C" w:rsidRPr="004B762D" w14:paraId="33B36DA7" w14:textId="77777777" w:rsidTr="003C4DE3">
        <w:trPr>
          <w:trHeight w:val="121"/>
        </w:trPr>
        <w:tc>
          <w:tcPr>
            <w:tcW w:w="1276" w:type="dxa"/>
          </w:tcPr>
          <w:p w14:paraId="71C44882" w14:textId="77777777" w:rsidR="00824E5C" w:rsidRPr="004B762D" w:rsidRDefault="00824E5C" w:rsidP="002F3349">
            <w:pPr>
              <w:pStyle w:val="CETBodytext"/>
              <w:rPr>
                <w:sz w:val="16"/>
                <w:szCs w:val="16"/>
              </w:rPr>
            </w:pPr>
            <w:r w:rsidRPr="004B762D">
              <w:rPr>
                <w:sz w:val="16"/>
                <w:szCs w:val="16"/>
              </w:rPr>
              <w:t>Alcohols</w:t>
            </w:r>
          </w:p>
        </w:tc>
        <w:tc>
          <w:tcPr>
            <w:tcW w:w="1732" w:type="dxa"/>
          </w:tcPr>
          <w:p w14:paraId="121E8CA7" w14:textId="77777777" w:rsidR="00824E5C" w:rsidRPr="004B762D" w:rsidRDefault="00824E5C" w:rsidP="002F3349">
            <w:pPr>
              <w:pStyle w:val="CETBodytext"/>
              <w:rPr>
                <w:sz w:val="16"/>
                <w:szCs w:val="16"/>
              </w:rPr>
            </w:pPr>
            <w:r w:rsidRPr="004B762D">
              <w:rPr>
                <w:sz w:val="16"/>
                <w:szCs w:val="16"/>
              </w:rPr>
              <w:t>Overnight cattle</w:t>
            </w:r>
          </w:p>
        </w:tc>
        <w:tc>
          <w:tcPr>
            <w:tcW w:w="1670" w:type="dxa"/>
          </w:tcPr>
          <w:p w14:paraId="3906AC06" w14:textId="77777777" w:rsidR="00824E5C" w:rsidRPr="004B762D" w:rsidRDefault="00824E5C" w:rsidP="002F3349">
            <w:pPr>
              <w:pStyle w:val="CETBodytext"/>
              <w:rPr>
                <w:sz w:val="16"/>
                <w:szCs w:val="16"/>
              </w:rPr>
            </w:pPr>
            <w:r w:rsidRPr="004B762D">
              <w:rPr>
                <w:sz w:val="16"/>
                <w:szCs w:val="16"/>
              </w:rPr>
              <w:t>0.304 ± 0.138</w:t>
            </w:r>
          </w:p>
        </w:tc>
        <w:tc>
          <w:tcPr>
            <w:tcW w:w="1134" w:type="dxa"/>
          </w:tcPr>
          <w:p w14:paraId="50023559" w14:textId="77777777" w:rsidR="00824E5C" w:rsidRPr="004B762D" w:rsidRDefault="00824E5C" w:rsidP="002F3349">
            <w:pPr>
              <w:pStyle w:val="CETBodytext"/>
              <w:rPr>
                <w:sz w:val="16"/>
                <w:szCs w:val="16"/>
              </w:rPr>
            </w:pPr>
            <w:r w:rsidRPr="004B762D">
              <w:rPr>
                <w:sz w:val="16"/>
                <w:szCs w:val="16"/>
              </w:rPr>
              <w:t>Positive</w:t>
            </w:r>
          </w:p>
        </w:tc>
        <w:tc>
          <w:tcPr>
            <w:tcW w:w="1985" w:type="dxa"/>
          </w:tcPr>
          <w:p w14:paraId="7FC588FF" w14:textId="77777777" w:rsidR="00824E5C" w:rsidRPr="004B762D" w:rsidRDefault="00824E5C" w:rsidP="002F3349">
            <w:pPr>
              <w:pStyle w:val="CETBodytext"/>
              <w:rPr>
                <w:sz w:val="16"/>
                <w:szCs w:val="16"/>
              </w:rPr>
            </w:pPr>
            <w:r w:rsidRPr="004B762D">
              <w:rPr>
                <w:sz w:val="16"/>
                <w:szCs w:val="16"/>
              </w:rPr>
              <w:t>36%</w:t>
            </w:r>
          </w:p>
        </w:tc>
        <w:tc>
          <w:tcPr>
            <w:tcW w:w="1732" w:type="dxa"/>
          </w:tcPr>
          <w:p w14:paraId="58258D88" w14:textId="77777777" w:rsidR="00824E5C" w:rsidRPr="004B762D" w:rsidRDefault="00824E5C" w:rsidP="002F3349">
            <w:pPr>
              <w:pStyle w:val="CETBodytext"/>
              <w:rPr>
                <w:sz w:val="16"/>
                <w:szCs w:val="16"/>
              </w:rPr>
            </w:pPr>
            <w:r w:rsidRPr="004B762D">
              <w:rPr>
                <w:sz w:val="16"/>
                <w:szCs w:val="16"/>
              </w:rPr>
              <w:t>p = 0.030</w:t>
            </w:r>
          </w:p>
        </w:tc>
      </w:tr>
      <w:tr w:rsidR="00824E5C" w:rsidRPr="004B762D" w14:paraId="3246CEFE" w14:textId="77777777" w:rsidTr="003C4DE3">
        <w:trPr>
          <w:trHeight w:val="479"/>
        </w:trPr>
        <w:tc>
          <w:tcPr>
            <w:tcW w:w="1276" w:type="dxa"/>
          </w:tcPr>
          <w:p w14:paraId="058271F1" w14:textId="77777777" w:rsidR="00824E5C" w:rsidRPr="004B762D" w:rsidRDefault="00824E5C" w:rsidP="002F3349">
            <w:pPr>
              <w:pStyle w:val="CETBodytext"/>
              <w:rPr>
                <w:sz w:val="16"/>
                <w:szCs w:val="16"/>
              </w:rPr>
            </w:pPr>
            <w:r w:rsidRPr="004B762D">
              <w:rPr>
                <w:sz w:val="16"/>
                <w:szCs w:val="16"/>
              </w:rPr>
              <w:t>Amines</w:t>
            </w:r>
          </w:p>
        </w:tc>
        <w:tc>
          <w:tcPr>
            <w:tcW w:w="1732" w:type="dxa"/>
          </w:tcPr>
          <w:p w14:paraId="7859EEF5" w14:textId="77777777" w:rsidR="00824E5C" w:rsidRPr="004B762D" w:rsidRDefault="00824E5C" w:rsidP="002F3349">
            <w:pPr>
              <w:pStyle w:val="CETBodytext"/>
              <w:rPr>
                <w:sz w:val="16"/>
                <w:szCs w:val="16"/>
              </w:rPr>
            </w:pPr>
            <w:r w:rsidRPr="004B762D">
              <w:rPr>
                <w:sz w:val="16"/>
                <w:szCs w:val="16"/>
              </w:rPr>
              <w:t>Time</w:t>
            </w:r>
          </w:p>
          <w:p w14:paraId="2D3126FD" w14:textId="77777777" w:rsidR="00824E5C" w:rsidRPr="004B762D" w:rsidRDefault="00824E5C" w:rsidP="002F3349">
            <w:pPr>
              <w:pStyle w:val="CETBodytext"/>
              <w:rPr>
                <w:sz w:val="16"/>
                <w:szCs w:val="16"/>
              </w:rPr>
            </w:pPr>
            <w:r w:rsidRPr="004B762D">
              <w:rPr>
                <w:sz w:val="16"/>
                <w:szCs w:val="16"/>
              </w:rPr>
              <w:t>Morning Period</w:t>
            </w:r>
          </w:p>
          <w:p w14:paraId="51B186A9" w14:textId="77777777" w:rsidR="00824E5C" w:rsidRPr="004B762D" w:rsidRDefault="00824E5C" w:rsidP="002F3349">
            <w:pPr>
              <w:pStyle w:val="CETBodytext"/>
              <w:rPr>
                <w:sz w:val="16"/>
                <w:szCs w:val="16"/>
              </w:rPr>
            </w:pPr>
            <w:r w:rsidRPr="004B762D">
              <w:rPr>
                <w:sz w:val="16"/>
                <w:szCs w:val="16"/>
              </w:rPr>
              <w:t>Kill Rate</w:t>
            </w:r>
          </w:p>
        </w:tc>
        <w:tc>
          <w:tcPr>
            <w:tcW w:w="1670" w:type="dxa"/>
          </w:tcPr>
          <w:p w14:paraId="2287D790" w14:textId="77777777" w:rsidR="00824E5C" w:rsidRPr="004B762D" w:rsidRDefault="00824E5C" w:rsidP="002F3349">
            <w:pPr>
              <w:pStyle w:val="CETBodytext"/>
              <w:rPr>
                <w:sz w:val="16"/>
                <w:szCs w:val="16"/>
              </w:rPr>
            </w:pPr>
            <w:r w:rsidRPr="004B762D">
              <w:rPr>
                <w:sz w:val="16"/>
                <w:szCs w:val="16"/>
              </w:rPr>
              <w:t>−2.86 × 10</w:t>
            </w:r>
            <w:r w:rsidRPr="004B762D">
              <w:rPr>
                <w:rFonts w:ascii="Cambria Math" w:hAnsi="Cambria Math" w:cs="Cambria Math"/>
                <w:sz w:val="16"/>
                <w:szCs w:val="16"/>
              </w:rPr>
              <w:t>⁻</w:t>
            </w:r>
            <w:r w:rsidRPr="004B762D">
              <w:rPr>
                <w:sz w:val="16"/>
                <w:szCs w:val="16"/>
              </w:rPr>
              <w:t>⁵</w:t>
            </w:r>
          </w:p>
          <w:p w14:paraId="506584CE" w14:textId="77777777" w:rsidR="00824E5C" w:rsidRPr="004B762D" w:rsidRDefault="00824E5C" w:rsidP="002F3349">
            <w:pPr>
              <w:pStyle w:val="CETBodytext"/>
              <w:rPr>
                <w:sz w:val="16"/>
                <w:szCs w:val="16"/>
              </w:rPr>
            </w:pPr>
            <w:r w:rsidRPr="004B762D">
              <w:rPr>
                <w:sz w:val="16"/>
                <w:szCs w:val="16"/>
              </w:rPr>
              <w:t>−0.48</w:t>
            </w:r>
          </w:p>
          <w:p w14:paraId="61A4B657" w14:textId="77777777" w:rsidR="00824E5C" w:rsidRPr="004B762D" w:rsidRDefault="00824E5C" w:rsidP="002F3349">
            <w:pPr>
              <w:pStyle w:val="CETBodytext"/>
              <w:rPr>
                <w:sz w:val="16"/>
                <w:szCs w:val="16"/>
              </w:rPr>
            </w:pPr>
            <w:r w:rsidRPr="004B762D">
              <w:rPr>
                <w:sz w:val="16"/>
                <w:szCs w:val="16"/>
              </w:rPr>
              <w:t>0.021</w:t>
            </w:r>
          </w:p>
        </w:tc>
        <w:tc>
          <w:tcPr>
            <w:tcW w:w="1134" w:type="dxa"/>
          </w:tcPr>
          <w:p w14:paraId="06F409D7" w14:textId="77777777" w:rsidR="00824E5C" w:rsidRPr="004B762D" w:rsidRDefault="00824E5C" w:rsidP="002F3349">
            <w:pPr>
              <w:pStyle w:val="CETBodytext"/>
              <w:rPr>
                <w:sz w:val="16"/>
                <w:szCs w:val="16"/>
              </w:rPr>
            </w:pPr>
            <w:r w:rsidRPr="004B762D">
              <w:rPr>
                <w:sz w:val="16"/>
                <w:szCs w:val="16"/>
              </w:rPr>
              <w:t>Negative</w:t>
            </w:r>
          </w:p>
          <w:p w14:paraId="5B2A359A" w14:textId="77777777" w:rsidR="00824E5C" w:rsidRPr="004B762D" w:rsidRDefault="00824E5C" w:rsidP="002F3349">
            <w:pPr>
              <w:pStyle w:val="CETBodytext"/>
              <w:rPr>
                <w:sz w:val="16"/>
                <w:szCs w:val="16"/>
              </w:rPr>
            </w:pPr>
            <w:r w:rsidRPr="004B762D">
              <w:rPr>
                <w:sz w:val="16"/>
                <w:szCs w:val="16"/>
              </w:rPr>
              <w:t>Negative</w:t>
            </w:r>
          </w:p>
          <w:p w14:paraId="7D572D22" w14:textId="77777777" w:rsidR="00824E5C" w:rsidRPr="004B762D" w:rsidRDefault="00824E5C" w:rsidP="002F3349">
            <w:pPr>
              <w:pStyle w:val="CETBodytext"/>
              <w:rPr>
                <w:sz w:val="16"/>
                <w:szCs w:val="16"/>
              </w:rPr>
            </w:pPr>
            <w:r w:rsidRPr="004B762D">
              <w:rPr>
                <w:sz w:val="16"/>
                <w:szCs w:val="16"/>
              </w:rPr>
              <w:t>Negative</w:t>
            </w:r>
          </w:p>
        </w:tc>
        <w:tc>
          <w:tcPr>
            <w:tcW w:w="1985" w:type="dxa"/>
          </w:tcPr>
          <w:p w14:paraId="146B698A" w14:textId="77777777" w:rsidR="00824E5C" w:rsidRPr="004B762D" w:rsidRDefault="00824E5C" w:rsidP="002F3349">
            <w:pPr>
              <w:pStyle w:val="CETBodytext"/>
              <w:rPr>
                <w:sz w:val="16"/>
                <w:szCs w:val="16"/>
              </w:rPr>
            </w:pPr>
            <w:r w:rsidRPr="004B762D">
              <w:rPr>
                <w:sz w:val="16"/>
                <w:szCs w:val="16"/>
              </w:rPr>
              <w:t>Over time</w:t>
            </w:r>
          </w:p>
          <w:p w14:paraId="77BC9418" w14:textId="77777777" w:rsidR="00824E5C" w:rsidRPr="004B762D" w:rsidRDefault="00824E5C" w:rsidP="002F3349">
            <w:pPr>
              <w:pStyle w:val="CETBodytext"/>
              <w:rPr>
                <w:sz w:val="16"/>
                <w:szCs w:val="16"/>
              </w:rPr>
            </w:pPr>
            <w:r w:rsidRPr="004B762D">
              <w:rPr>
                <w:sz w:val="16"/>
                <w:szCs w:val="16"/>
              </w:rPr>
              <w:t>40%</w:t>
            </w:r>
          </w:p>
          <w:p w14:paraId="188A4911" w14:textId="77777777" w:rsidR="00824E5C" w:rsidRPr="004B762D" w:rsidRDefault="00824E5C" w:rsidP="002F3349">
            <w:pPr>
              <w:pStyle w:val="CETBodytext"/>
              <w:rPr>
                <w:sz w:val="16"/>
                <w:szCs w:val="16"/>
              </w:rPr>
            </w:pPr>
            <w:r w:rsidRPr="004B762D">
              <w:rPr>
                <w:sz w:val="16"/>
                <w:szCs w:val="16"/>
              </w:rPr>
              <w:t>2% per unit</w:t>
            </w:r>
          </w:p>
        </w:tc>
        <w:tc>
          <w:tcPr>
            <w:tcW w:w="1732" w:type="dxa"/>
          </w:tcPr>
          <w:p w14:paraId="0C21DDD5" w14:textId="77777777" w:rsidR="00824E5C" w:rsidRPr="004B762D" w:rsidRDefault="00824E5C" w:rsidP="002F3349">
            <w:pPr>
              <w:pStyle w:val="CETBodytext"/>
              <w:rPr>
                <w:sz w:val="16"/>
                <w:szCs w:val="16"/>
              </w:rPr>
            </w:pPr>
            <w:r w:rsidRPr="004B762D">
              <w:rPr>
                <w:sz w:val="16"/>
                <w:szCs w:val="16"/>
              </w:rPr>
              <w:t>p = 0.057</w:t>
            </w:r>
          </w:p>
          <w:p w14:paraId="0A47E0E4" w14:textId="77777777" w:rsidR="00824E5C" w:rsidRPr="004B762D" w:rsidRDefault="00824E5C" w:rsidP="002F3349">
            <w:pPr>
              <w:pStyle w:val="CETBodytext"/>
              <w:rPr>
                <w:sz w:val="16"/>
                <w:szCs w:val="16"/>
              </w:rPr>
            </w:pPr>
            <w:r w:rsidRPr="004B762D">
              <w:rPr>
                <w:sz w:val="16"/>
                <w:szCs w:val="16"/>
              </w:rPr>
              <w:t>p = 0.079</w:t>
            </w:r>
          </w:p>
          <w:p w14:paraId="028B3A43" w14:textId="77777777" w:rsidR="00824E5C" w:rsidRPr="004B762D" w:rsidRDefault="00824E5C" w:rsidP="002F3349">
            <w:pPr>
              <w:pStyle w:val="CETBodytext"/>
              <w:rPr>
                <w:sz w:val="16"/>
                <w:szCs w:val="16"/>
              </w:rPr>
            </w:pPr>
            <w:r w:rsidRPr="004B762D">
              <w:rPr>
                <w:sz w:val="16"/>
                <w:szCs w:val="16"/>
              </w:rPr>
              <w:t>p = 0.060</w:t>
            </w:r>
          </w:p>
        </w:tc>
      </w:tr>
      <w:tr w:rsidR="00824E5C" w:rsidRPr="004B762D" w14:paraId="4E5686AC" w14:textId="77777777" w:rsidTr="003C4DE3">
        <w:trPr>
          <w:trHeight w:val="147"/>
        </w:trPr>
        <w:tc>
          <w:tcPr>
            <w:tcW w:w="1276" w:type="dxa"/>
          </w:tcPr>
          <w:p w14:paraId="617FB805" w14:textId="77777777" w:rsidR="00824E5C" w:rsidRPr="004B762D" w:rsidRDefault="00824E5C" w:rsidP="002F3349">
            <w:pPr>
              <w:pStyle w:val="CETBodytext"/>
              <w:rPr>
                <w:sz w:val="16"/>
                <w:szCs w:val="16"/>
              </w:rPr>
            </w:pPr>
            <w:r w:rsidRPr="004B762D">
              <w:rPr>
                <w:sz w:val="16"/>
                <w:szCs w:val="16"/>
                <w:lang w:val="en-GB"/>
              </w:rPr>
              <w:t>Esters</w:t>
            </w:r>
          </w:p>
        </w:tc>
        <w:tc>
          <w:tcPr>
            <w:tcW w:w="1732" w:type="dxa"/>
          </w:tcPr>
          <w:p w14:paraId="7BC38F2D" w14:textId="77777777" w:rsidR="00824E5C" w:rsidRPr="004B762D" w:rsidRDefault="00824E5C" w:rsidP="002F3349">
            <w:pPr>
              <w:pStyle w:val="CETBodytext"/>
              <w:rPr>
                <w:sz w:val="16"/>
                <w:szCs w:val="16"/>
              </w:rPr>
            </w:pPr>
            <w:r w:rsidRPr="004B762D">
              <w:rPr>
                <w:sz w:val="16"/>
                <w:szCs w:val="16"/>
                <w:lang w:val="en-GB"/>
              </w:rPr>
              <w:t>Batch number</w:t>
            </w:r>
          </w:p>
        </w:tc>
        <w:tc>
          <w:tcPr>
            <w:tcW w:w="1670" w:type="dxa"/>
          </w:tcPr>
          <w:p w14:paraId="185898C0" w14:textId="77777777" w:rsidR="00824E5C" w:rsidRPr="004B762D" w:rsidRDefault="00824E5C" w:rsidP="002F3349">
            <w:pPr>
              <w:pStyle w:val="CETBodytext"/>
              <w:rPr>
                <w:sz w:val="16"/>
                <w:szCs w:val="16"/>
              </w:rPr>
            </w:pPr>
            <w:r w:rsidRPr="004B762D">
              <w:rPr>
                <w:sz w:val="16"/>
                <w:szCs w:val="16"/>
                <w:lang w:val="en-GB"/>
              </w:rPr>
              <w:t>0.41</w:t>
            </w:r>
          </w:p>
        </w:tc>
        <w:tc>
          <w:tcPr>
            <w:tcW w:w="1134" w:type="dxa"/>
          </w:tcPr>
          <w:p w14:paraId="19E8CAB4" w14:textId="77777777" w:rsidR="00824E5C" w:rsidRPr="004B762D" w:rsidRDefault="00824E5C" w:rsidP="002F3349">
            <w:pPr>
              <w:pStyle w:val="CETBodytext"/>
              <w:rPr>
                <w:sz w:val="16"/>
                <w:szCs w:val="16"/>
              </w:rPr>
            </w:pPr>
            <w:r w:rsidRPr="004B762D">
              <w:rPr>
                <w:sz w:val="16"/>
                <w:szCs w:val="16"/>
                <w:lang w:val="en-GB"/>
              </w:rPr>
              <w:t>Positive</w:t>
            </w:r>
          </w:p>
        </w:tc>
        <w:tc>
          <w:tcPr>
            <w:tcW w:w="1985" w:type="dxa"/>
          </w:tcPr>
          <w:p w14:paraId="12B523C6" w14:textId="77777777" w:rsidR="00824E5C" w:rsidRPr="004B762D" w:rsidRDefault="00824E5C" w:rsidP="002F3349">
            <w:pPr>
              <w:pStyle w:val="CETBodytext"/>
              <w:rPr>
                <w:sz w:val="16"/>
                <w:szCs w:val="16"/>
              </w:rPr>
            </w:pPr>
            <w:r w:rsidRPr="004B762D">
              <w:rPr>
                <w:sz w:val="16"/>
                <w:szCs w:val="16"/>
                <w:lang w:val="en-GB"/>
              </w:rPr>
              <w:t>41%</w:t>
            </w:r>
          </w:p>
        </w:tc>
        <w:tc>
          <w:tcPr>
            <w:tcW w:w="1732" w:type="dxa"/>
          </w:tcPr>
          <w:p w14:paraId="4A2A283D" w14:textId="77777777" w:rsidR="00824E5C" w:rsidRPr="004B762D" w:rsidRDefault="00824E5C" w:rsidP="002F3349">
            <w:pPr>
              <w:pStyle w:val="CETBodytext"/>
              <w:rPr>
                <w:sz w:val="16"/>
                <w:szCs w:val="16"/>
              </w:rPr>
            </w:pPr>
            <w:r w:rsidRPr="004B762D">
              <w:rPr>
                <w:i/>
                <w:iCs/>
                <w:sz w:val="16"/>
                <w:szCs w:val="16"/>
                <w:lang w:val="en-GB"/>
              </w:rPr>
              <w:t>p = 0.028</w:t>
            </w:r>
          </w:p>
        </w:tc>
      </w:tr>
      <w:tr w:rsidR="00824E5C" w:rsidRPr="004B762D" w14:paraId="6796BAE0" w14:textId="77777777" w:rsidTr="00A05880">
        <w:trPr>
          <w:trHeight w:val="290"/>
        </w:trPr>
        <w:tc>
          <w:tcPr>
            <w:tcW w:w="1276" w:type="dxa"/>
          </w:tcPr>
          <w:p w14:paraId="68795E81" w14:textId="77777777" w:rsidR="00824E5C" w:rsidRPr="004B762D" w:rsidRDefault="00824E5C" w:rsidP="002F3349">
            <w:pPr>
              <w:pStyle w:val="CETBodytext"/>
              <w:rPr>
                <w:sz w:val="16"/>
                <w:szCs w:val="16"/>
                <w:lang w:val="en-GB"/>
              </w:rPr>
            </w:pPr>
            <w:r w:rsidRPr="004B762D">
              <w:rPr>
                <w:sz w:val="16"/>
                <w:szCs w:val="16"/>
                <w:lang w:val="en-GB"/>
              </w:rPr>
              <w:t>Alkanes</w:t>
            </w:r>
          </w:p>
        </w:tc>
        <w:tc>
          <w:tcPr>
            <w:tcW w:w="1732" w:type="dxa"/>
          </w:tcPr>
          <w:p w14:paraId="132B7BE5" w14:textId="77777777" w:rsidR="00824E5C" w:rsidRPr="004B762D" w:rsidRDefault="00824E5C" w:rsidP="002F3349">
            <w:pPr>
              <w:pStyle w:val="CETBodytext"/>
              <w:rPr>
                <w:sz w:val="16"/>
                <w:szCs w:val="16"/>
                <w:lang w:val="en-GB"/>
              </w:rPr>
            </w:pPr>
            <w:r w:rsidRPr="004B762D">
              <w:rPr>
                <w:sz w:val="16"/>
                <w:szCs w:val="16"/>
                <w:lang w:val="en-GB"/>
              </w:rPr>
              <w:t>Morning period</w:t>
            </w:r>
          </w:p>
          <w:p w14:paraId="063CAB6E" w14:textId="77777777" w:rsidR="00824E5C" w:rsidRPr="004B762D" w:rsidRDefault="00824E5C" w:rsidP="002F3349">
            <w:pPr>
              <w:pStyle w:val="CETBodytext"/>
              <w:rPr>
                <w:sz w:val="16"/>
                <w:szCs w:val="16"/>
                <w:lang w:val="en-GB"/>
              </w:rPr>
            </w:pPr>
            <w:r w:rsidRPr="004B762D">
              <w:rPr>
                <w:sz w:val="16"/>
                <w:szCs w:val="16"/>
                <w:lang w:val="en-GB"/>
              </w:rPr>
              <w:t>Batch Size</w:t>
            </w:r>
          </w:p>
        </w:tc>
        <w:tc>
          <w:tcPr>
            <w:tcW w:w="1670" w:type="dxa"/>
          </w:tcPr>
          <w:p w14:paraId="60894704" w14:textId="77777777" w:rsidR="00824E5C" w:rsidRPr="004B762D" w:rsidRDefault="00824E5C" w:rsidP="002F3349">
            <w:pPr>
              <w:pStyle w:val="CETBodytext"/>
              <w:rPr>
                <w:sz w:val="16"/>
                <w:szCs w:val="16"/>
                <w:lang w:val="en-GB"/>
              </w:rPr>
            </w:pPr>
            <w:r w:rsidRPr="004B762D">
              <w:rPr>
                <w:sz w:val="16"/>
                <w:szCs w:val="16"/>
                <w:lang w:val="en-GB"/>
              </w:rPr>
              <w:t>1.26</w:t>
            </w:r>
          </w:p>
          <w:p w14:paraId="0D765D2A" w14:textId="77777777" w:rsidR="00824E5C" w:rsidRPr="004B762D" w:rsidRDefault="00824E5C" w:rsidP="002F3349">
            <w:pPr>
              <w:pStyle w:val="CETBodytext"/>
              <w:rPr>
                <w:sz w:val="16"/>
                <w:szCs w:val="16"/>
                <w:lang w:val="en-GB"/>
              </w:rPr>
            </w:pPr>
            <w:r w:rsidRPr="004B762D">
              <w:rPr>
                <w:sz w:val="16"/>
                <w:szCs w:val="16"/>
                <w:lang w:val="en-GB"/>
              </w:rPr>
              <w:t>0.17</w:t>
            </w:r>
          </w:p>
        </w:tc>
        <w:tc>
          <w:tcPr>
            <w:tcW w:w="1134" w:type="dxa"/>
          </w:tcPr>
          <w:p w14:paraId="10E0DFA4" w14:textId="77777777" w:rsidR="00824E5C" w:rsidRPr="004B762D" w:rsidRDefault="00824E5C" w:rsidP="002F3349">
            <w:pPr>
              <w:pStyle w:val="CETBodytext"/>
              <w:rPr>
                <w:sz w:val="16"/>
                <w:szCs w:val="16"/>
                <w:lang w:val="en-GB"/>
              </w:rPr>
            </w:pPr>
            <w:r w:rsidRPr="004B762D">
              <w:rPr>
                <w:sz w:val="16"/>
                <w:szCs w:val="16"/>
                <w:lang w:val="en-GB"/>
              </w:rPr>
              <w:t>Positive</w:t>
            </w:r>
          </w:p>
          <w:p w14:paraId="1DF03FB7" w14:textId="77777777" w:rsidR="00824E5C" w:rsidRPr="004B762D" w:rsidRDefault="00824E5C" w:rsidP="002F3349">
            <w:pPr>
              <w:pStyle w:val="CETBodytext"/>
              <w:rPr>
                <w:sz w:val="16"/>
                <w:szCs w:val="16"/>
                <w:lang w:val="en-GB"/>
              </w:rPr>
            </w:pPr>
            <w:r w:rsidRPr="004B762D">
              <w:rPr>
                <w:sz w:val="16"/>
                <w:szCs w:val="16"/>
                <w:lang w:val="en-GB"/>
              </w:rPr>
              <w:t>Positive</w:t>
            </w:r>
          </w:p>
        </w:tc>
        <w:tc>
          <w:tcPr>
            <w:tcW w:w="1985" w:type="dxa"/>
          </w:tcPr>
          <w:p w14:paraId="24C91E9B" w14:textId="77777777" w:rsidR="00824E5C" w:rsidRPr="004B762D" w:rsidRDefault="00824E5C" w:rsidP="002F3349">
            <w:pPr>
              <w:pStyle w:val="CETBodytext"/>
              <w:rPr>
                <w:sz w:val="16"/>
                <w:szCs w:val="16"/>
                <w:lang w:val="en-GB"/>
              </w:rPr>
            </w:pPr>
            <w:r w:rsidRPr="004B762D">
              <w:rPr>
                <w:sz w:val="16"/>
                <w:szCs w:val="16"/>
                <w:lang w:val="en-GB"/>
              </w:rPr>
              <w:t>3.5× increase over time</w:t>
            </w:r>
          </w:p>
          <w:p w14:paraId="52A7F2F4" w14:textId="77777777" w:rsidR="00824E5C" w:rsidRPr="004B762D" w:rsidRDefault="00824E5C" w:rsidP="002F3349">
            <w:pPr>
              <w:pStyle w:val="CETBodytext"/>
              <w:rPr>
                <w:sz w:val="16"/>
                <w:szCs w:val="16"/>
                <w:lang w:val="en-GB"/>
              </w:rPr>
            </w:pPr>
            <w:r w:rsidRPr="004B762D">
              <w:rPr>
                <w:sz w:val="16"/>
                <w:szCs w:val="16"/>
                <w:lang w:val="en-GB"/>
              </w:rPr>
              <w:t>Marginal</w:t>
            </w:r>
          </w:p>
        </w:tc>
        <w:tc>
          <w:tcPr>
            <w:tcW w:w="1732" w:type="dxa"/>
          </w:tcPr>
          <w:p w14:paraId="102061E5" w14:textId="77777777" w:rsidR="00824E5C" w:rsidRPr="004B762D" w:rsidRDefault="00824E5C" w:rsidP="002F3349">
            <w:pPr>
              <w:pStyle w:val="CETBodytext"/>
              <w:rPr>
                <w:i/>
                <w:iCs/>
                <w:sz w:val="16"/>
                <w:szCs w:val="16"/>
                <w:lang w:val="en-GB"/>
              </w:rPr>
            </w:pPr>
            <w:r w:rsidRPr="004B762D">
              <w:rPr>
                <w:i/>
                <w:iCs/>
                <w:sz w:val="16"/>
                <w:szCs w:val="16"/>
                <w:lang w:val="en-GB"/>
              </w:rPr>
              <w:t>p = 0.015</w:t>
            </w:r>
          </w:p>
          <w:p w14:paraId="45584D35" w14:textId="77777777" w:rsidR="00824E5C" w:rsidRPr="004B762D" w:rsidRDefault="00824E5C" w:rsidP="002F3349">
            <w:pPr>
              <w:pStyle w:val="CETBodytext"/>
              <w:rPr>
                <w:i/>
                <w:iCs/>
                <w:sz w:val="16"/>
                <w:szCs w:val="16"/>
                <w:lang w:val="en-GB"/>
              </w:rPr>
            </w:pPr>
            <w:r w:rsidRPr="004B762D">
              <w:rPr>
                <w:i/>
                <w:iCs/>
                <w:sz w:val="16"/>
                <w:szCs w:val="16"/>
                <w:lang w:val="en-GB"/>
              </w:rPr>
              <w:t>p = 0.076</w:t>
            </w:r>
          </w:p>
        </w:tc>
      </w:tr>
      <w:tr w:rsidR="00824E5C" w:rsidRPr="004B762D" w14:paraId="4CD3090C" w14:textId="77777777" w:rsidTr="003C4DE3">
        <w:trPr>
          <w:trHeight w:val="540"/>
        </w:trPr>
        <w:tc>
          <w:tcPr>
            <w:tcW w:w="1276" w:type="dxa"/>
          </w:tcPr>
          <w:p w14:paraId="1C8C0E4D" w14:textId="77777777" w:rsidR="00824E5C" w:rsidRPr="004B762D" w:rsidRDefault="00824E5C" w:rsidP="002F3349">
            <w:pPr>
              <w:pStyle w:val="CETBodytext"/>
              <w:rPr>
                <w:sz w:val="16"/>
                <w:szCs w:val="16"/>
                <w:lang w:val="en-GB"/>
              </w:rPr>
            </w:pPr>
            <w:r w:rsidRPr="004B762D">
              <w:rPr>
                <w:sz w:val="16"/>
                <w:szCs w:val="16"/>
                <w:lang w:val="en-GB"/>
              </w:rPr>
              <w:t>Ketones</w:t>
            </w:r>
          </w:p>
        </w:tc>
        <w:tc>
          <w:tcPr>
            <w:tcW w:w="1732" w:type="dxa"/>
          </w:tcPr>
          <w:p w14:paraId="440D5B2B" w14:textId="77777777" w:rsidR="00824E5C" w:rsidRPr="004B762D" w:rsidRDefault="00824E5C" w:rsidP="002F3349">
            <w:pPr>
              <w:pStyle w:val="CETBodytext"/>
              <w:rPr>
                <w:sz w:val="16"/>
                <w:szCs w:val="16"/>
                <w:lang w:val="en-GB"/>
              </w:rPr>
            </w:pPr>
            <w:r w:rsidRPr="004B762D">
              <w:rPr>
                <w:sz w:val="16"/>
                <w:szCs w:val="16"/>
                <w:lang w:val="en-GB"/>
              </w:rPr>
              <w:t>Time</w:t>
            </w:r>
          </w:p>
          <w:p w14:paraId="4F6F4721" w14:textId="77777777" w:rsidR="00824E5C" w:rsidRPr="004B762D" w:rsidRDefault="00824E5C" w:rsidP="002F3349">
            <w:pPr>
              <w:pStyle w:val="CETBodytext"/>
              <w:rPr>
                <w:sz w:val="16"/>
                <w:szCs w:val="16"/>
                <w:lang w:val="en-GB"/>
              </w:rPr>
            </w:pPr>
            <w:r w:rsidRPr="004B762D">
              <w:rPr>
                <w:sz w:val="16"/>
                <w:szCs w:val="16"/>
                <w:lang w:val="en-GB"/>
              </w:rPr>
              <w:t>Batch Size</w:t>
            </w:r>
          </w:p>
          <w:p w14:paraId="7B0893E7" w14:textId="77777777" w:rsidR="00824E5C" w:rsidRPr="004B762D" w:rsidRDefault="00824E5C" w:rsidP="002F3349">
            <w:pPr>
              <w:pStyle w:val="CETBodytext"/>
              <w:rPr>
                <w:sz w:val="16"/>
                <w:szCs w:val="16"/>
                <w:lang w:val="en-GB"/>
              </w:rPr>
            </w:pPr>
            <w:r w:rsidRPr="004B762D">
              <w:rPr>
                <w:sz w:val="16"/>
                <w:szCs w:val="16"/>
                <w:lang w:val="en-GB"/>
              </w:rPr>
              <w:t>Overnight Cattle</w:t>
            </w:r>
          </w:p>
        </w:tc>
        <w:tc>
          <w:tcPr>
            <w:tcW w:w="1670" w:type="dxa"/>
          </w:tcPr>
          <w:p w14:paraId="131EF9BC" w14:textId="77777777" w:rsidR="00824E5C" w:rsidRPr="004B762D" w:rsidRDefault="00824E5C" w:rsidP="002F3349">
            <w:pPr>
              <w:pStyle w:val="CETBodytext"/>
              <w:rPr>
                <w:rFonts w:cs="Arial"/>
                <w:sz w:val="16"/>
                <w:szCs w:val="16"/>
                <w:lang w:val="en-GB"/>
              </w:rPr>
            </w:pPr>
            <w:r w:rsidRPr="004B762D">
              <w:rPr>
                <w:sz w:val="16"/>
                <w:szCs w:val="16"/>
                <w:lang w:val="en-GB"/>
              </w:rPr>
              <w:t>3.23 × 10</w:t>
            </w:r>
            <w:r w:rsidRPr="004B762D">
              <w:rPr>
                <w:rFonts w:ascii="Cambria Math" w:hAnsi="Cambria Math" w:cs="Cambria Math"/>
                <w:sz w:val="16"/>
                <w:szCs w:val="16"/>
                <w:lang w:val="en-GB"/>
              </w:rPr>
              <w:t>⁻</w:t>
            </w:r>
            <w:r w:rsidRPr="004B762D">
              <w:rPr>
                <w:rFonts w:cs="Arial"/>
                <w:sz w:val="16"/>
                <w:szCs w:val="16"/>
                <w:lang w:val="en-GB"/>
              </w:rPr>
              <w:t>⁵</w:t>
            </w:r>
          </w:p>
          <w:p w14:paraId="265F5BAB" w14:textId="77777777" w:rsidR="00824E5C" w:rsidRPr="004B762D" w:rsidRDefault="00824E5C" w:rsidP="002F3349">
            <w:pPr>
              <w:pStyle w:val="CETBodytext"/>
              <w:rPr>
                <w:rFonts w:cs="Arial"/>
                <w:sz w:val="16"/>
                <w:szCs w:val="16"/>
                <w:lang w:val="en-GB"/>
              </w:rPr>
            </w:pPr>
            <w:r w:rsidRPr="004B762D">
              <w:rPr>
                <w:rFonts w:cs="Arial"/>
                <w:sz w:val="16"/>
                <w:szCs w:val="16"/>
                <w:lang w:val="en-GB"/>
              </w:rPr>
              <w:t>0.136</w:t>
            </w:r>
          </w:p>
          <w:p w14:paraId="334C75B4" w14:textId="77777777" w:rsidR="00824E5C" w:rsidRPr="004B762D" w:rsidRDefault="00824E5C" w:rsidP="002F3349">
            <w:pPr>
              <w:pStyle w:val="CETBodytext"/>
              <w:rPr>
                <w:sz w:val="16"/>
                <w:szCs w:val="16"/>
                <w:lang w:val="en-GB"/>
              </w:rPr>
            </w:pPr>
            <w:r w:rsidRPr="004B762D">
              <w:rPr>
                <w:sz w:val="16"/>
                <w:szCs w:val="16"/>
                <w:lang w:val="en-GB"/>
              </w:rPr>
              <w:t>-0.466</w:t>
            </w:r>
          </w:p>
        </w:tc>
        <w:tc>
          <w:tcPr>
            <w:tcW w:w="1134" w:type="dxa"/>
          </w:tcPr>
          <w:p w14:paraId="174C5847" w14:textId="77777777" w:rsidR="00824E5C" w:rsidRPr="004B762D" w:rsidRDefault="00824E5C" w:rsidP="002F3349">
            <w:pPr>
              <w:pStyle w:val="CETBodytext"/>
              <w:rPr>
                <w:sz w:val="16"/>
                <w:szCs w:val="16"/>
                <w:lang w:val="en-GB"/>
              </w:rPr>
            </w:pPr>
            <w:r w:rsidRPr="004B762D">
              <w:rPr>
                <w:sz w:val="16"/>
                <w:szCs w:val="16"/>
                <w:lang w:val="en-GB"/>
              </w:rPr>
              <w:t>Positive</w:t>
            </w:r>
          </w:p>
          <w:p w14:paraId="66E3661F" w14:textId="77777777" w:rsidR="00824E5C" w:rsidRPr="004B762D" w:rsidRDefault="00824E5C" w:rsidP="002F3349">
            <w:pPr>
              <w:pStyle w:val="CETBodytext"/>
              <w:rPr>
                <w:sz w:val="16"/>
                <w:szCs w:val="16"/>
                <w:lang w:val="en-GB"/>
              </w:rPr>
            </w:pPr>
            <w:r w:rsidRPr="004B762D">
              <w:rPr>
                <w:sz w:val="16"/>
                <w:szCs w:val="16"/>
                <w:lang w:val="en-GB"/>
              </w:rPr>
              <w:t>Positive</w:t>
            </w:r>
          </w:p>
          <w:p w14:paraId="3CD1944B" w14:textId="77777777" w:rsidR="00824E5C" w:rsidRPr="004B762D" w:rsidRDefault="00824E5C" w:rsidP="002F3349">
            <w:pPr>
              <w:pStyle w:val="CETBodytext"/>
              <w:rPr>
                <w:sz w:val="16"/>
                <w:szCs w:val="16"/>
                <w:lang w:val="en-GB"/>
              </w:rPr>
            </w:pPr>
            <w:r w:rsidRPr="004B762D">
              <w:rPr>
                <w:sz w:val="16"/>
                <w:szCs w:val="16"/>
                <w:lang w:val="en-GB"/>
              </w:rPr>
              <w:t>Negative</w:t>
            </w:r>
          </w:p>
        </w:tc>
        <w:tc>
          <w:tcPr>
            <w:tcW w:w="1985" w:type="dxa"/>
          </w:tcPr>
          <w:p w14:paraId="4F32E3B4" w14:textId="77777777" w:rsidR="00824E5C" w:rsidRPr="004B762D" w:rsidRDefault="00824E5C" w:rsidP="002F3349">
            <w:pPr>
              <w:pStyle w:val="CETBodytext"/>
              <w:rPr>
                <w:sz w:val="16"/>
                <w:szCs w:val="16"/>
                <w:lang w:val="en-GB"/>
              </w:rPr>
            </w:pPr>
            <w:r w:rsidRPr="004B762D">
              <w:rPr>
                <w:sz w:val="16"/>
                <w:szCs w:val="16"/>
                <w:lang w:val="en-GB"/>
              </w:rPr>
              <w:t>over time</w:t>
            </w:r>
          </w:p>
          <w:p w14:paraId="6E563DCA" w14:textId="77777777" w:rsidR="00824E5C" w:rsidRPr="004B762D" w:rsidRDefault="00824E5C" w:rsidP="002F3349">
            <w:pPr>
              <w:pStyle w:val="CETBodytext"/>
              <w:rPr>
                <w:sz w:val="16"/>
                <w:szCs w:val="16"/>
                <w:lang w:val="en-GB"/>
              </w:rPr>
            </w:pPr>
            <w:r w:rsidRPr="004B762D">
              <w:rPr>
                <w:sz w:val="16"/>
                <w:szCs w:val="16"/>
                <w:lang w:val="en-GB"/>
              </w:rPr>
              <w:t>15% per unit</w:t>
            </w:r>
          </w:p>
          <w:p w14:paraId="7D8D6092" w14:textId="77777777" w:rsidR="00824E5C" w:rsidRPr="004B762D" w:rsidRDefault="00824E5C" w:rsidP="002F3349">
            <w:pPr>
              <w:pStyle w:val="CETBodytext"/>
              <w:rPr>
                <w:sz w:val="16"/>
                <w:szCs w:val="16"/>
                <w:lang w:val="en-GB"/>
              </w:rPr>
            </w:pPr>
            <w:r w:rsidRPr="004B762D">
              <w:rPr>
                <w:sz w:val="16"/>
                <w:szCs w:val="16"/>
                <w:lang w:val="en-GB"/>
              </w:rPr>
              <w:t>Marginal</w:t>
            </w:r>
          </w:p>
        </w:tc>
        <w:tc>
          <w:tcPr>
            <w:tcW w:w="1732" w:type="dxa"/>
          </w:tcPr>
          <w:p w14:paraId="33BEBA59" w14:textId="77777777" w:rsidR="00824E5C" w:rsidRPr="004B762D" w:rsidRDefault="00824E5C" w:rsidP="002F3349">
            <w:pPr>
              <w:pStyle w:val="CETBodytext"/>
              <w:rPr>
                <w:i/>
                <w:iCs/>
                <w:sz w:val="16"/>
                <w:szCs w:val="16"/>
                <w:lang w:val="en-GB"/>
              </w:rPr>
            </w:pPr>
            <w:r w:rsidRPr="004B762D">
              <w:rPr>
                <w:i/>
                <w:iCs/>
                <w:sz w:val="16"/>
                <w:szCs w:val="16"/>
                <w:lang w:val="en-GB"/>
              </w:rPr>
              <w:t>p = 0.017</w:t>
            </w:r>
          </w:p>
          <w:p w14:paraId="36FFC52B" w14:textId="77777777" w:rsidR="00824E5C" w:rsidRPr="004B762D" w:rsidRDefault="00824E5C" w:rsidP="002F3349">
            <w:pPr>
              <w:pStyle w:val="CETBodytext"/>
              <w:rPr>
                <w:i/>
                <w:iCs/>
                <w:sz w:val="16"/>
                <w:szCs w:val="16"/>
                <w:lang w:val="en-GB"/>
              </w:rPr>
            </w:pPr>
            <w:r w:rsidRPr="004B762D">
              <w:rPr>
                <w:i/>
                <w:iCs/>
                <w:sz w:val="16"/>
                <w:szCs w:val="16"/>
                <w:lang w:val="en-GB"/>
              </w:rPr>
              <w:t>p = 0.010</w:t>
            </w:r>
          </w:p>
          <w:p w14:paraId="0D3BDE7D" w14:textId="77777777" w:rsidR="00824E5C" w:rsidRPr="004B762D" w:rsidRDefault="00824E5C" w:rsidP="002F3349">
            <w:pPr>
              <w:pStyle w:val="CETBodytext"/>
              <w:rPr>
                <w:i/>
                <w:iCs/>
                <w:sz w:val="16"/>
                <w:szCs w:val="16"/>
                <w:lang w:val="en-GB"/>
              </w:rPr>
            </w:pPr>
            <w:r w:rsidRPr="004B762D">
              <w:rPr>
                <w:i/>
                <w:iCs/>
                <w:sz w:val="16"/>
                <w:szCs w:val="16"/>
                <w:lang w:val="en-GB"/>
              </w:rPr>
              <w:t>p = 0.051</w:t>
            </w:r>
          </w:p>
        </w:tc>
      </w:tr>
      <w:tr w:rsidR="00824E5C" w:rsidRPr="004B762D" w14:paraId="2086C199" w14:textId="77777777" w:rsidTr="00A05880">
        <w:trPr>
          <w:trHeight w:val="290"/>
        </w:trPr>
        <w:tc>
          <w:tcPr>
            <w:tcW w:w="1276" w:type="dxa"/>
          </w:tcPr>
          <w:p w14:paraId="570EEE92" w14:textId="77777777" w:rsidR="00824E5C" w:rsidRPr="004B762D" w:rsidRDefault="00824E5C" w:rsidP="002F3349">
            <w:pPr>
              <w:pStyle w:val="CETBodytext"/>
              <w:rPr>
                <w:sz w:val="16"/>
                <w:szCs w:val="16"/>
                <w:lang w:val="en-GB"/>
              </w:rPr>
            </w:pPr>
            <w:r w:rsidRPr="004B762D">
              <w:rPr>
                <w:sz w:val="16"/>
                <w:szCs w:val="16"/>
                <w:lang w:val="en-GB"/>
              </w:rPr>
              <w:t>Aromatic hydrocarbons</w:t>
            </w:r>
          </w:p>
        </w:tc>
        <w:tc>
          <w:tcPr>
            <w:tcW w:w="1732" w:type="dxa"/>
          </w:tcPr>
          <w:p w14:paraId="72E32F60" w14:textId="77777777" w:rsidR="00824E5C" w:rsidRPr="004B762D" w:rsidRDefault="00824E5C" w:rsidP="002F3349">
            <w:pPr>
              <w:pStyle w:val="CETBodytext"/>
              <w:rPr>
                <w:sz w:val="16"/>
                <w:szCs w:val="16"/>
                <w:lang w:val="en-GB"/>
              </w:rPr>
            </w:pPr>
            <w:r w:rsidRPr="004B762D">
              <w:rPr>
                <w:sz w:val="16"/>
                <w:szCs w:val="16"/>
                <w:lang w:val="en-GB"/>
              </w:rPr>
              <w:t>Time</w:t>
            </w:r>
          </w:p>
          <w:p w14:paraId="109D7C00" w14:textId="77777777" w:rsidR="00824E5C" w:rsidRPr="004B762D" w:rsidRDefault="00824E5C" w:rsidP="002F3349">
            <w:pPr>
              <w:pStyle w:val="CETBodytext"/>
              <w:rPr>
                <w:sz w:val="16"/>
                <w:szCs w:val="16"/>
                <w:lang w:val="en-GB"/>
              </w:rPr>
            </w:pPr>
            <w:r w:rsidRPr="004B762D">
              <w:rPr>
                <w:sz w:val="16"/>
                <w:szCs w:val="16"/>
                <w:lang w:val="en-GB"/>
              </w:rPr>
              <w:t>Total Animals</w:t>
            </w:r>
          </w:p>
        </w:tc>
        <w:tc>
          <w:tcPr>
            <w:tcW w:w="1670" w:type="dxa"/>
          </w:tcPr>
          <w:p w14:paraId="04AAC4E0" w14:textId="77777777" w:rsidR="00824E5C" w:rsidRPr="004B762D" w:rsidRDefault="00824E5C" w:rsidP="002F3349">
            <w:pPr>
              <w:pStyle w:val="CETBodytext"/>
              <w:rPr>
                <w:rFonts w:cs="Arial"/>
                <w:sz w:val="16"/>
                <w:szCs w:val="16"/>
                <w:lang w:val="en-GB"/>
              </w:rPr>
            </w:pPr>
            <w:r w:rsidRPr="004B762D">
              <w:rPr>
                <w:sz w:val="16"/>
                <w:szCs w:val="16"/>
                <w:lang w:val="en-GB"/>
              </w:rPr>
              <w:t>−1.05 × 10</w:t>
            </w:r>
            <w:r w:rsidRPr="004B762D">
              <w:rPr>
                <w:rFonts w:ascii="Cambria Math" w:hAnsi="Cambria Math" w:cs="Cambria Math"/>
                <w:sz w:val="16"/>
                <w:szCs w:val="16"/>
                <w:lang w:val="en-GB"/>
              </w:rPr>
              <w:t>⁻</w:t>
            </w:r>
            <w:r w:rsidRPr="004B762D">
              <w:rPr>
                <w:rFonts w:cs="Arial"/>
                <w:sz w:val="16"/>
                <w:szCs w:val="16"/>
                <w:lang w:val="en-GB"/>
              </w:rPr>
              <w:t>⁴</w:t>
            </w:r>
          </w:p>
          <w:p w14:paraId="264F73AF" w14:textId="77777777" w:rsidR="00824E5C" w:rsidRPr="004B762D" w:rsidRDefault="00824E5C" w:rsidP="002F3349">
            <w:pPr>
              <w:pStyle w:val="CETBodytext"/>
              <w:rPr>
                <w:sz w:val="16"/>
                <w:szCs w:val="16"/>
                <w:lang w:val="en-GB"/>
              </w:rPr>
            </w:pPr>
            <w:r w:rsidRPr="004B762D">
              <w:rPr>
                <w:rFonts w:cs="Arial"/>
                <w:sz w:val="16"/>
                <w:szCs w:val="16"/>
                <w:lang w:val="en-GB"/>
              </w:rPr>
              <w:t>-0.015</w:t>
            </w:r>
          </w:p>
        </w:tc>
        <w:tc>
          <w:tcPr>
            <w:tcW w:w="1134" w:type="dxa"/>
          </w:tcPr>
          <w:p w14:paraId="5115BDCA" w14:textId="77777777" w:rsidR="00824E5C" w:rsidRPr="004B762D" w:rsidRDefault="00824E5C" w:rsidP="002F3349">
            <w:pPr>
              <w:pStyle w:val="CETBodytext"/>
              <w:rPr>
                <w:sz w:val="16"/>
                <w:szCs w:val="16"/>
                <w:lang w:val="en-GB"/>
              </w:rPr>
            </w:pPr>
            <w:r w:rsidRPr="004B762D">
              <w:rPr>
                <w:sz w:val="16"/>
                <w:szCs w:val="16"/>
                <w:lang w:val="en-GB"/>
              </w:rPr>
              <w:t>Negative</w:t>
            </w:r>
          </w:p>
          <w:p w14:paraId="4A1ED795" w14:textId="77777777" w:rsidR="00824E5C" w:rsidRPr="004B762D" w:rsidRDefault="00824E5C" w:rsidP="002F3349">
            <w:pPr>
              <w:pStyle w:val="CETBodytext"/>
              <w:rPr>
                <w:sz w:val="16"/>
                <w:szCs w:val="16"/>
                <w:lang w:val="en-GB"/>
              </w:rPr>
            </w:pPr>
            <w:r w:rsidRPr="004B762D">
              <w:rPr>
                <w:sz w:val="16"/>
                <w:szCs w:val="16"/>
                <w:lang w:val="en-GB"/>
              </w:rPr>
              <w:t>Negatuve</w:t>
            </w:r>
          </w:p>
        </w:tc>
        <w:tc>
          <w:tcPr>
            <w:tcW w:w="1985" w:type="dxa"/>
          </w:tcPr>
          <w:p w14:paraId="1C4149DF" w14:textId="77777777" w:rsidR="00824E5C" w:rsidRPr="004B762D" w:rsidRDefault="00824E5C" w:rsidP="002F3349">
            <w:pPr>
              <w:pStyle w:val="CETBodytext"/>
              <w:rPr>
                <w:sz w:val="16"/>
                <w:szCs w:val="16"/>
                <w:lang w:val="en-GB"/>
              </w:rPr>
            </w:pPr>
            <w:r w:rsidRPr="004B762D">
              <w:rPr>
                <w:sz w:val="16"/>
                <w:szCs w:val="16"/>
                <w:lang w:val="en-GB"/>
              </w:rPr>
              <w:t>Over time</w:t>
            </w:r>
          </w:p>
          <w:p w14:paraId="0FBBA238" w14:textId="77777777" w:rsidR="00824E5C" w:rsidRPr="004B762D" w:rsidRDefault="00824E5C" w:rsidP="002F3349">
            <w:pPr>
              <w:pStyle w:val="CETBodytext"/>
              <w:rPr>
                <w:sz w:val="16"/>
                <w:szCs w:val="16"/>
                <w:lang w:val="en-GB"/>
              </w:rPr>
            </w:pPr>
            <w:r w:rsidRPr="004B762D">
              <w:rPr>
                <w:sz w:val="16"/>
                <w:szCs w:val="16"/>
                <w:lang w:val="en-GB"/>
              </w:rPr>
              <w:t>Marginal</w:t>
            </w:r>
          </w:p>
        </w:tc>
        <w:tc>
          <w:tcPr>
            <w:tcW w:w="1732" w:type="dxa"/>
          </w:tcPr>
          <w:p w14:paraId="2C4AE648" w14:textId="77777777" w:rsidR="00824E5C" w:rsidRPr="004B762D" w:rsidRDefault="00824E5C" w:rsidP="002F3349">
            <w:pPr>
              <w:pStyle w:val="CETBodytext"/>
              <w:rPr>
                <w:i/>
                <w:iCs/>
                <w:sz w:val="16"/>
                <w:szCs w:val="16"/>
                <w:lang w:val="en-GB"/>
              </w:rPr>
            </w:pPr>
            <w:r w:rsidRPr="004B762D">
              <w:rPr>
                <w:i/>
                <w:iCs/>
                <w:sz w:val="16"/>
                <w:szCs w:val="16"/>
                <w:lang w:val="en-GB"/>
              </w:rPr>
              <w:t>p &lt; 0.001</w:t>
            </w:r>
          </w:p>
          <w:p w14:paraId="50712AE0" w14:textId="77777777" w:rsidR="00824E5C" w:rsidRPr="004B762D" w:rsidRDefault="00824E5C" w:rsidP="002F3349">
            <w:pPr>
              <w:pStyle w:val="CETBodytext"/>
              <w:rPr>
                <w:i/>
                <w:iCs/>
                <w:sz w:val="16"/>
                <w:szCs w:val="16"/>
                <w:lang w:val="en-GB"/>
              </w:rPr>
            </w:pPr>
            <w:r w:rsidRPr="004B762D">
              <w:rPr>
                <w:i/>
                <w:iCs/>
                <w:sz w:val="16"/>
                <w:szCs w:val="16"/>
                <w:lang w:val="en-GB"/>
              </w:rPr>
              <w:t>p = 0.086</w:t>
            </w:r>
          </w:p>
        </w:tc>
      </w:tr>
      <w:tr w:rsidR="00824E5C" w:rsidRPr="004B762D" w14:paraId="4638EE85" w14:textId="77777777" w:rsidTr="003C4DE3">
        <w:trPr>
          <w:trHeight w:val="85"/>
        </w:trPr>
        <w:tc>
          <w:tcPr>
            <w:tcW w:w="1276" w:type="dxa"/>
          </w:tcPr>
          <w:p w14:paraId="6CBDC579" w14:textId="77777777" w:rsidR="00824E5C" w:rsidRPr="004B762D" w:rsidRDefault="00824E5C" w:rsidP="002F3349">
            <w:pPr>
              <w:pStyle w:val="CETBodytext"/>
              <w:rPr>
                <w:sz w:val="16"/>
                <w:szCs w:val="16"/>
                <w:lang w:val="en-GB"/>
              </w:rPr>
            </w:pPr>
            <w:r w:rsidRPr="004B762D">
              <w:rPr>
                <w:sz w:val="16"/>
                <w:szCs w:val="16"/>
                <w:lang w:val="en-GB"/>
              </w:rPr>
              <w:t>Nitriles</w:t>
            </w:r>
          </w:p>
        </w:tc>
        <w:tc>
          <w:tcPr>
            <w:tcW w:w="1732" w:type="dxa"/>
          </w:tcPr>
          <w:p w14:paraId="474DAA51" w14:textId="77777777" w:rsidR="00824E5C" w:rsidRPr="004B762D" w:rsidRDefault="00824E5C" w:rsidP="002F3349">
            <w:pPr>
              <w:pStyle w:val="CETBodytext"/>
              <w:rPr>
                <w:sz w:val="16"/>
                <w:szCs w:val="16"/>
                <w:lang w:val="en-GB"/>
              </w:rPr>
            </w:pPr>
            <w:r w:rsidRPr="004B762D">
              <w:rPr>
                <w:sz w:val="16"/>
                <w:szCs w:val="16"/>
                <w:lang w:val="en-GB"/>
              </w:rPr>
              <w:t>Batch number</w:t>
            </w:r>
          </w:p>
        </w:tc>
        <w:tc>
          <w:tcPr>
            <w:tcW w:w="1670" w:type="dxa"/>
          </w:tcPr>
          <w:p w14:paraId="098BCCE8" w14:textId="77777777" w:rsidR="00824E5C" w:rsidRPr="004B762D" w:rsidRDefault="00824E5C" w:rsidP="002F3349">
            <w:pPr>
              <w:pStyle w:val="CETBodytext"/>
              <w:rPr>
                <w:sz w:val="16"/>
                <w:szCs w:val="16"/>
                <w:lang w:val="en-GB"/>
              </w:rPr>
            </w:pPr>
            <w:r w:rsidRPr="004B762D">
              <w:rPr>
                <w:sz w:val="16"/>
                <w:szCs w:val="16"/>
                <w:lang w:val="en-GB"/>
              </w:rPr>
              <w:t>0.34</w:t>
            </w:r>
          </w:p>
        </w:tc>
        <w:tc>
          <w:tcPr>
            <w:tcW w:w="1134" w:type="dxa"/>
          </w:tcPr>
          <w:p w14:paraId="53408DD6" w14:textId="77777777" w:rsidR="00824E5C" w:rsidRPr="004B762D" w:rsidRDefault="00824E5C" w:rsidP="002F3349">
            <w:pPr>
              <w:pStyle w:val="CETBodytext"/>
              <w:rPr>
                <w:sz w:val="16"/>
                <w:szCs w:val="16"/>
                <w:lang w:val="en-GB"/>
              </w:rPr>
            </w:pPr>
            <w:r w:rsidRPr="004B762D">
              <w:rPr>
                <w:sz w:val="16"/>
                <w:szCs w:val="16"/>
                <w:lang w:val="en-GB"/>
              </w:rPr>
              <w:t>Positive</w:t>
            </w:r>
          </w:p>
        </w:tc>
        <w:tc>
          <w:tcPr>
            <w:tcW w:w="1985" w:type="dxa"/>
          </w:tcPr>
          <w:p w14:paraId="6E8E355D" w14:textId="77777777" w:rsidR="00824E5C" w:rsidRPr="004B762D" w:rsidRDefault="00824E5C" w:rsidP="002F3349">
            <w:pPr>
              <w:pStyle w:val="CETBodytext"/>
              <w:rPr>
                <w:sz w:val="16"/>
                <w:szCs w:val="16"/>
                <w:lang w:val="en-GB"/>
              </w:rPr>
            </w:pPr>
            <w:r w:rsidRPr="004B762D">
              <w:rPr>
                <w:sz w:val="16"/>
                <w:szCs w:val="16"/>
                <w:lang w:val="en-GB"/>
              </w:rPr>
              <w:t>41%</w:t>
            </w:r>
          </w:p>
        </w:tc>
        <w:tc>
          <w:tcPr>
            <w:tcW w:w="1732" w:type="dxa"/>
          </w:tcPr>
          <w:p w14:paraId="60A21CD5" w14:textId="77777777" w:rsidR="00824E5C" w:rsidRPr="004B762D" w:rsidRDefault="00824E5C" w:rsidP="002F3349">
            <w:pPr>
              <w:pStyle w:val="CETBodytext"/>
              <w:rPr>
                <w:i/>
                <w:iCs/>
                <w:sz w:val="16"/>
                <w:szCs w:val="16"/>
                <w:lang w:val="en-GB"/>
              </w:rPr>
            </w:pPr>
            <w:r w:rsidRPr="004B762D">
              <w:rPr>
                <w:i/>
                <w:iCs/>
                <w:sz w:val="16"/>
                <w:szCs w:val="16"/>
                <w:lang w:val="en-GB"/>
              </w:rPr>
              <w:t>p = 0.032</w:t>
            </w:r>
          </w:p>
        </w:tc>
      </w:tr>
      <w:tr w:rsidR="00824E5C" w:rsidRPr="004B762D" w14:paraId="34DDAD83" w14:textId="77777777" w:rsidTr="00A05880">
        <w:trPr>
          <w:trHeight w:val="290"/>
        </w:trPr>
        <w:tc>
          <w:tcPr>
            <w:tcW w:w="1276" w:type="dxa"/>
          </w:tcPr>
          <w:p w14:paraId="112347AD" w14:textId="77777777" w:rsidR="00824E5C" w:rsidRPr="004B762D" w:rsidRDefault="00824E5C" w:rsidP="002F3349">
            <w:pPr>
              <w:pStyle w:val="CETBodytext"/>
              <w:rPr>
                <w:sz w:val="16"/>
                <w:szCs w:val="16"/>
                <w:lang w:val="en-GB"/>
              </w:rPr>
            </w:pPr>
            <w:r w:rsidRPr="004B762D">
              <w:rPr>
                <w:sz w:val="16"/>
                <w:szCs w:val="16"/>
                <w:lang w:val="en-GB"/>
              </w:rPr>
              <w:t>Phenols</w:t>
            </w:r>
          </w:p>
        </w:tc>
        <w:tc>
          <w:tcPr>
            <w:tcW w:w="1732" w:type="dxa"/>
          </w:tcPr>
          <w:p w14:paraId="118165C8" w14:textId="77777777" w:rsidR="00824E5C" w:rsidRPr="004B762D" w:rsidRDefault="00824E5C" w:rsidP="002F3349">
            <w:pPr>
              <w:pStyle w:val="CETBodytext"/>
              <w:rPr>
                <w:sz w:val="16"/>
                <w:szCs w:val="16"/>
                <w:lang w:val="en-GB"/>
              </w:rPr>
            </w:pPr>
            <w:r w:rsidRPr="004B762D">
              <w:rPr>
                <w:sz w:val="16"/>
                <w:szCs w:val="16"/>
                <w:lang w:val="en-GB"/>
              </w:rPr>
              <w:t>Batch number</w:t>
            </w:r>
          </w:p>
        </w:tc>
        <w:tc>
          <w:tcPr>
            <w:tcW w:w="1670" w:type="dxa"/>
          </w:tcPr>
          <w:p w14:paraId="2C2A6A65" w14:textId="77777777" w:rsidR="00824E5C" w:rsidRPr="004B762D" w:rsidRDefault="00824E5C" w:rsidP="002F3349">
            <w:pPr>
              <w:pStyle w:val="CETBodytext"/>
              <w:rPr>
                <w:sz w:val="16"/>
                <w:szCs w:val="16"/>
                <w:lang w:val="en-GB"/>
              </w:rPr>
            </w:pPr>
            <w:r w:rsidRPr="004B762D">
              <w:rPr>
                <w:sz w:val="16"/>
                <w:szCs w:val="16"/>
                <w:lang w:val="en-GB"/>
              </w:rPr>
              <w:t>0.138</w:t>
            </w:r>
          </w:p>
        </w:tc>
        <w:tc>
          <w:tcPr>
            <w:tcW w:w="1134" w:type="dxa"/>
          </w:tcPr>
          <w:p w14:paraId="72407C21" w14:textId="77777777" w:rsidR="00824E5C" w:rsidRPr="004B762D" w:rsidRDefault="00824E5C" w:rsidP="002F3349">
            <w:pPr>
              <w:pStyle w:val="CETBodytext"/>
              <w:rPr>
                <w:sz w:val="16"/>
                <w:szCs w:val="16"/>
                <w:lang w:val="en-GB"/>
              </w:rPr>
            </w:pPr>
            <w:r w:rsidRPr="004B762D">
              <w:rPr>
                <w:sz w:val="16"/>
                <w:szCs w:val="16"/>
                <w:lang w:val="en-GB"/>
              </w:rPr>
              <w:t>Positive</w:t>
            </w:r>
          </w:p>
        </w:tc>
        <w:tc>
          <w:tcPr>
            <w:tcW w:w="1985" w:type="dxa"/>
          </w:tcPr>
          <w:p w14:paraId="2EE6FD38" w14:textId="77777777" w:rsidR="00824E5C" w:rsidRPr="004B762D" w:rsidRDefault="00824E5C" w:rsidP="002F3349">
            <w:pPr>
              <w:pStyle w:val="CETBodytext"/>
              <w:rPr>
                <w:sz w:val="16"/>
                <w:szCs w:val="16"/>
                <w:lang w:val="en-GB"/>
              </w:rPr>
            </w:pPr>
            <w:r w:rsidRPr="004B762D">
              <w:rPr>
                <w:sz w:val="16"/>
                <w:szCs w:val="16"/>
                <w:lang w:val="en-GB"/>
              </w:rPr>
              <w:t>15%</w:t>
            </w:r>
          </w:p>
        </w:tc>
        <w:tc>
          <w:tcPr>
            <w:tcW w:w="1732" w:type="dxa"/>
          </w:tcPr>
          <w:p w14:paraId="6E8D114D" w14:textId="77777777" w:rsidR="00824E5C" w:rsidRPr="004B762D" w:rsidRDefault="00824E5C" w:rsidP="002F3349">
            <w:pPr>
              <w:pStyle w:val="CETBodytext"/>
              <w:rPr>
                <w:i/>
                <w:iCs/>
                <w:sz w:val="16"/>
                <w:szCs w:val="16"/>
                <w:lang w:val="en-GB"/>
              </w:rPr>
            </w:pPr>
            <w:r w:rsidRPr="004B762D">
              <w:rPr>
                <w:i/>
                <w:iCs/>
                <w:sz w:val="16"/>
                <w:szCs w:val="16"/>
                <w:lang w:val="en-GB"/>
              </w:rPr>
              <w:t>p = 0.058</w:t>
            </w:r>
          </w:p>
        </w:tc>
      </w:tr>
    </w:tbl>
    <w:p w14:paraId="6B4BA8C3" w14:textId="1D57A316" w:rsidR="26B240E0" w:rsidRPr="004B762D" w:rsidRDefault="00B87496" w:rsidP="3C9A67BF">
      <w:pPr>
        <w:spacing w:before="240" w:after="240"/>
        <w:rPr>
          <w:lang w:val="en-US"/>
        </w:rPr>
      </w:pPr>
      <w:r w:rsidRPr="004B762D">
        <w:rPr>
          <w:lang w:val="en-US"/>
        </w:rPr>
        <w:t>Alcohols were the dominant VOC group and likely originated from a combination of biogenic emissions (breath, urine, microbial fermentation) and cleaning-related sources</w:t>
      </w:r>
      <w:r w:rsidR="00052504" w:rsidRPr="004B762D">
        <w:rPr>
          <w:lang w:val="en-US"/>
        </w:rPr>
        <w:t xml:space="preserve">. </w:t>
      </w:r>
      <w:r w:rsidR="005A7964" w:rsidRPr="004B762D">
        <w:rPr>
          <w:lang w:val="en-US"/>
        </w:rPr>
        <w:t>E</w:t>
      </w:r>
      <w:r w:rsidRPr="004B762D">
        <w:rPr>
          <w:lang w:val="en-US"/>
        </w:rPr>
        <w:t>thanol, acetic acid, 2,3-butanediol are established products of rumen fermentation and microbial metabolism (Ju et al., 2024). Alcohol concentrations increased significantly with overnight animal presence, indicating accumulation of emissions from cattle and waste, consistent with findings in feedlot systems (Yuan et al., 2017).</w:t>
      </w:r>
      <w:r w:rsidR="001F6FA7" w:rsidRPr="004B762D">
        <w:rPr>
          <w:lang w:val="en-US"/>
        </w:rPr>
        <w:t xml:space="preserve"> </w:t>
      </w:r>
      <w:r w:rsidRPr="004B762D">
        <w:rPr>
          <w:lang w:val="en-US"/>
        </w:rPr>
        <w:t xml:space="preserve">Aldehydes were attributed primarily to lipid oxidation and microbial activity in animal tissues and waste (Chida et al., 2021), with additional links to stress-related oxidative processes (Chulayo &amp; Munchenje, 2017) and meat quality deterioration (Fu et al., 2022). Despite biological relevance, aldehydes were not significantly associated with animal factors. Amines showed temporal variation, increasing during peak production. These were largely synthetic or material-derived plastics </w:t>
      </w:r>
      <w:r w:rsidRPr="004B762D">
        <w:rPr>
          <w:lang w:val="en-US"/>
        </w:rPr>
        <w:lastRenderedPageBreak/>
        <w:t>and formaldehyde-based cleaning breakdown</w:t>
      </w:r>
      <w:r w:rsidR="009726A6" w:rsidRPr="004B762D">
        <w:rPr>
          <w:lang w:val="en-US"/>
        </w:rPr>
        <w:t>s</w:t>
      </w:r>
      <w:r w:rsidR="008A5196" w:rsidRPr="004B762D">
        <w:rPr>
          <w:lang w:val="en-US"/>
        </w:rPr>
        <w:t xml:space="preserve">, </w:t>
      </w:r>
      <w:r w:rsidRPr="004B762D">
        <w:rPr>
          <w:lang w:val="en-US"/>
        </w:rPr>
        <w:t>with minor microbial contributions from protein degradation (Malheiros et al., 2023).</w:t>
      </w:r>
      <w:r w:rsidR="00BB5E55" w:rsidRPr="004B762D">
        <w:rPr>
          <w:lang w:val="en-US"/>
        </w:rPr>
        <w:t xml:space="preserve"> </w:t>
      </w:r>
      <w:r w:rsidR="00BB5E55" w:rsidRPr="004B762D">
        <w:rPr>
          <w:rFonts w:eastAsia="Arial" w:cs="Arial"/>
          <w:szCs w:val="18"/>
          <w:lang w:val="en-US"/>
        </w:rPr>
        <w:t>Esters (ethyl acetate) increased strongly with batch number (+51%), likely reflecting fasting-induced disruption of rumen metabolism and reduced ester processing (Kristensen et al., 2007; Mizuguchi et al., 2020)</w:t>
      </w:r>
      <w:r w:rsidR="002020AE" w:rsidRPr="004B762D">
        <w:rPr>
          <w:rFonts w:eastAsia="Arial" w:cs="Arial"/>
          <w:szCs w:val="18"/>
          <w:lang w:val="en-US"/>
        </w:rPr>
        <w:t xml:space="preserve">. </w:t>
      </w:r>
      <w:r w:rsidR="002020AE" w:rsidRPr="004B762D">
        <w:rPr>
          <w:lang w:val="en-US"/>
        </w:rPr>
        <w:t>Hydrocarbons were associated with time of day and batch activity, indicating fuel combustion and transport emissions during peak HGV movement (Kocakulak et al., 2024). Residual chlorinated compounds likely originated from cleaning by-products (Su et al., 2018). Ketones were significantly associated with time and overnight housing, with compounds such as acetone and acetoin reflecting metabolic stress and ketogenesis (Jiang et al., 2025). Phenols and cresols further manure and protein metabolism (Brebu et al., 2023).</w:t>
      </w:r>
      <w:r w:rsidR="00EA7555" w:rsidRPr="004B762D">
        <w:rPr>
          <w:lang w:val="en-US"/>
        </w:rPr>
        <w:t xml:space="preserve"> </w:t>
      </w:r>
      <w:r w:rsidR="26B240E0" w:rsidRPr="004B762D">
        <w:rPr>
          <w:lang w:val="en-US"/>
        </w:rPr>
        <w:t xml:space="preserve">Identified VOCs can be broadly grouped into compounds that may reflect animal physiological status and compounds that may represent environmental or operational stressors, although source attribution remains inferential </w:t>
      </w:r>
      <w:r w:rsidR="00934531" w:rsidRPr="004B762D">
        <w:rPr>
          <w:lang w:val="en-US"/>
        </w:rPr>
        <w:t>as</w:t>
      </w:r>
      <w:r w:rsidR="26B240E0" w:rsidRPr="004B762D">
        <w:rPr>
          <w:lang w:val="en-US"/>
        </w:rPr>
        <w:t xml:space="preserve"> the study used whole-air sampling</w:t>
      </w:r>
      <w:r w:rsidR="0057296B" w:rsidRPr="004B762D">
        <w:rPr>
          <w:lang w:val="en-US"/>
        </w:rPr>
        <w:t xml:space="preserve">. </w:t>
      </w:r>
      <w:r w:rsidR="005151A8" w:rsidRPr="004B762D">
        <w:rPr>
          <w:lang w:val="en-US"/>
        </w:rPr>
        <w:t>However, th</w:t>
      </w:r>
      <w:r w:rsidR="00634AAE" w:rsidRPr="004B762D">
        <w:rPr>
          <w:lang w:val="en-US"/>
        </w:rPr>
        <w:t>is study did not establish concentrations of compounds</w:t>
      </w:r>
      <w:r w:rsidR="00E27C2A" w:rsidRPr="004B762D">
        <w:rPr>
          <w:lang w:val="en-US"/>
        </w:rPr>
        <w:t>, nor matrix source sampling for identification</w:t>
      </w:r>
      <w:r w:rsidR="00634AAE" w:rsidRPr="004B762D">
        <w:rPr>
          <w:lang w:val="en-US"/>
        </w:rPr>
        <w:t xml:space="preserve">, only their </w:t>
      </w:r>
      <w:r w:rsidR="008F1A57" w:rsidRPr="004B762D">
        <w:rPr>
          <w:lang w:val="en-US"/>
        </w:rPr>
        <w:t>ionic</w:t>
      </w:r>
      <w:r w:rsidR="0060016A" w:rsidRPr="004B762D">
        <w:rPr>
          <w:lang w:val="en-US"/>
        </w:rPr>
        <w:t xml:space="preserve"> </w:t>
      </w:r>
      <w:r w:rsidR="00634AAE" w:rsidRPr="004B762D">
        <w:rPr>
          <w:lang w:val="en-US"/>
        </w:rPr>
        <w:t>presence and intensity</w:t>
      </w:r>
      <w:r w:rsidR="00FC5DB6" w:rsidRPr="004B762D">
        <w:rPr>
          <w:lang w:val="en-US"/>
        </w:rPr>
        <w:t>, and implications should be interpreted cautiously</w:t>
      </w:r>
      <w:r w:rsidR="00634AAE" w:rsidRPr="004B762D">
        <w:rPr>
          <w:lang w:val="en-US"/>
        </w:rPr>
        <w:t xml:space="preserve">. </w:t>
      </w:r>
      <w:r w:rsidR="00895A99" w:rsidRPr="004B762D">
        <w:rPr>
          <w:lang w:val="en-US"/>
        </w:rPr>
        <w:t>BTEX compounds as fuel combustible</w:t>
      </w:r>
      <w:r w:rsidR="00934531" w:rsidRPr="004B762D">
        <w:rPr>
          <w:lang w:val="en-US"/>
        </w:rPr>
        <w:t xml:space="preserve">s </w:t>
      </w:r>
      <w:r w:rsidR="0060016A" w:rsidRPr="004B762D">
        <w:rPr>
          <w:lang w:val="en-US"/>
        </w:rPr>
        <w:t>are</w:t>
      </w:r>
      <w:r w:rsidR="006A1E23" w:rsidRPr="004B762D">
        <w:rPr>
          <w:lang w:val="en-US"/>
        </w:rPr>
        <w:t xml:space="preserve"> </w:t>
      </w:r>
      <w:r w:rsidR="000238F3" w:rsidRPr="004B762D">
        <w:rPr>
          <w:lang w:val="en-US"/>
        </w:rPr>
        <w:t>present in mechanical industry environments</w:t>
      </w:r>
      <w:r w:rsidR="00501968" w:rsidRPr="004B762D">
        <w:rPr>
          <w:lang w:val="en-US"/>
        </w:rPr>
        <w:t xml:space="preserve"> requiring petrochemicals or burning of </w:t>
      </w:r>
      <w:r w:rsidR="00266DC7" w:rsidRPr="004B762D">
        <w:rPr>
          <w:lang w:val="en-US"/>
        </w:rPr>
        <w:t>materials and</w:t>
      </w:r>
      <w:r w:rsidR="00FC5DB6" w:rsidRPr="004B762D">
        <w:rPr>
          <w:lang w:val="en-US"/>
        </w:rPr>
        <w:t xml:space="preserve"> are not</w:t>
      </w:r>
      <w:r w:rsidR="00457E57" w:rsidRPr="004B762D">
        <w:rPr>
          <w:lang w:val="en-US"/>
        </w:rPr>
        <w:t xml:space="preserve"> </w:t>
      </w:r>
      <w:r w:rsidR="00FC5DB6" w:rsidRPr="004B762D">
        <w:rPr>
          <w:lang w:val="en-US"/>
        </w:rPr>
        <w:t xml:space="preserve">exclusive </w:t>
      </w:r>
      <w:r w:rsidR="00457E57" w:rsidRPr="004B762D">
        <w:rPr>
          <w:lang w:val="en-US"/>
        </w:rPr>
        <w:t>to animal environments</w:t>
      </w:r>
      <w:r w:rsidR="000238F3" w:rsidRPr="004B762D">
        <w:rPr>
          <w:lang w:val="en-US"/>
        </w:rPr>
        <w:t>.</w:t>
      </w:r>
      <w:r w:rsidR="0057296B" w:rsidRPr="004B762D">
        <w:rPr>
          <w:lang w:val="en-US"/>
        </w:rPr>
        <w:t xml:space="preserve"> N</w:t>
      </w:r>
      <w:r w:rsidR="00457E57" w:rsidRPr="004B762D">
        <w:rPr>
          <w:lang w:val="en-US"/>
        </w:rPr>
        <w:t>o inference on</w:t>
      </w:r>
      <w:r w:rsidR="00FC5DB6" w:rsidRPr="004B762D">
        <w:rPr>
          <w:lang w:val="en-US"/>
        </w:rPr>
        <w:t xml:space="preserve"> their </w:t>
      </w:r>
      <w:r w:rsidR="00D209D8" w:rsidRPr="004B762D">
        <w:rPr>
          <w:lang w:val="en-US"/>
        </w:rPr>
        <w:t xml:space="preserve">physiological impact to animals can be </w:t>
      </w:r>
      <w:r w:rsidR="009A281E" w:rsidRPr="004B762D">
        <w:rPr>
          <w:lang w:val="en-US"/>
        </w:rPr>
        <w:t>ascertained</w:t>
      </w:r>
      <w:r w:rsidR="00D209D8" w:rsidRPr="004B762D">
        <w:rPr>
          <w:lang w:val="en-US"/>
        </w:rPr>
        <w:t xml:space="preserve"> without threshold identification. </w:t>
      </w:r>
      <w:r w:rsidR="26B240E0" w:rsidRPr="004B762D">
        <w:rPr>
          <w:lang w:val="en-US"/>
        </w:rPr>
        <w:t>Biogenic VOCs</w:t>
      </w:r>
      <w:r w:rsidR="00E57BB5" w:rsidRPr="004B762D">
        <w:rPr>
          <w:lang w:val="en-US"/>
        </w:rPr>
        <w:t xml:space="preserve"> </w:t>
      </w:r>
      <w:r w:rsidR="26B240E0" w:rsidRPr="004B762D">
        <w:rPr>
          <w:lang w:val="en-US"/>
        </w:rPr>
        <w:t xml:space="preserve">may indicate metabolic stress associated with prolonged fasting and lairage duration, consistent with increased acetone following feed deprivation (Haddadi et al., 2022) and ketogenesis during negative energy balance (Asiku et al., 2025). These processes are linked to lipid mobilisation </w:t>
      </w:r>
      <w:r w:rsidR="00650FC6" w:rsidRPr="004B762D">
        <w:rPr>
          <w:lang w:val="en-US"/>
        </w:rPr>
        <w:t>and</w:t>
      </w:r>
      <w:r w:rsidR="26B240E0" w:rsidRPr="004B762D">
        <w:rPr>
          <w:lang w:val="en-US"/>
        </w:rPr>
        <w:t xml:space="preserve"> affect meat quality (Pérez-Santaescolástica et al., 2018). Although further validation is needed, the detection of these compounds in ambient air suggests that VOC monitoring may have value as a non-invasive indicator of animal welfare, metabolic status, and product quality. </w:t>
      </w:r>
      <w:r w:rsidR="00E27C2A" w:rsidRPr="004B762D">
        <w:rPr>
          <w:lang w:val="en-US"/>
        </w:rPr>
        <w:t xml:space="preserve">These findings support VOCs as a </w:t>
      </w:r>
      <w:r w:rsidR="003F5FBD" w:rsidRPr="004B762D">
        <w:rPr>
          <w:lang w:val="en-US"/>
        </w:rPr>
        <w:t>indicative tool for system</w:t>
      </w:r>
      <w:r w:rsidR="26B240E0" w:rsidRPr="004B762D">
        <w:rPr>
          <w:lang w:val="en-US"/>
        </w:rPr>
        <w:t xml:space="preserve"> </w:t>
      </w:r>
      <w:r w:rsidR="00237274" w:rsidRPr="004B762D">
        <w:rPr>
          <w:lang w:val="en-US"/>
        </w:rPr>
        <w:t>hygiene, environmental management, and welfare-relevant pre-slaughter conditions.</w:t>
      </w:r>
    </w:p>
    <w:p w14:paraId="68D26B83" w14:textId="4944B871" w:rsidR="00600535" w:rsidRPr="004B762D" w:rsidRDefault="4A2AD1B4" w:rsidP="002D34CB">
      <w:pPr>
        <w:pStyle w:val="CETHeading1"/>
      </w:pPr>
      <w:r w:rsidRPr="004B762D">
        <w:t>Conclusions</w:t>
      </w:r>
    </w:p>
    <w:p w14:paraId="3821C1C8" w14:textId="3843C4BE" w:rsidR="2522750F" w:rsidRPr="004B762D" w:rsidRDefault="00952549" w:rsidP="00952549">
      <w:pPr>
        <w:spacing w:before="240" w:after="240"/>
      </w:pPr>
      <w:r w:rsidRPr="004B762D">
        <w:t>This study demonstrates that VOCs in a commercial abattoir are influenced by production activity and reflect a combination of biological emissions, waste decomposition, and operational sources. Several compounds relevant to animal welfare, metabolic status, and occupational health were identified, supporting the value of VOC monitoring in these environments. Commercial VOC sampling methods were shown to be feasible in high-capacity abattoirs, though further work is needed to confirm emission sources and biological significance. Future research should refine sampling protocols, expand profiling across processing areas, and target specific biological sources (e.g. blood, urine, faeces) to better understand VOC generation and transfer. Evaluation of mitigation strategies is also required to determine whether reducing VOC exposure can improve animal welfare, processing efficiency, and workplace conditions.</w:t>
      </w:r>
    </w:p>
    <w:p w14:paraId="5C0E9B33" w14:textId="5FFA4437" w:rsidR="00362A6D" w:rsidRPr="004B762D" w:rsidRDefault="00362A6D" w:rsidP="00362A6D">
      <w:pPr>
        <w:pStyle w:val="CETReference"/>
      </w:pPr>
      <w:r w:rsidRPr="004B762D">
        <w:t>Acknowledgement</w:t>
      </w:r>
      <w:r w:rsidR="00B327C9" w:rsidRPr="004B762D">
        <w:t>s</w:t>
      </w:r>
    </w:p>
    <w:p w14:paraId="3DF9FC4E" w14:textId="4076CD82" w:rsidR="00393D1F" w:rsidRPr="004B762D" w:rsidRDefault="009C3C0A" w:rsidP="00393D1F">
      <w:pPr>
        <w:pStyle w:val="CETReference"/>
        <w:rPr>
          <w:b w:val="0"/>
          <w:bCs/>
        </w:rPr>
      </w:pPr>
      <w:r w:rsidRPr="004B762D">
        <w:rPr>
          <w:b w:val="0"/>
          <w:bCs/>
        </w:rPr>
        <w:t>Our gratitude is extended to our commercial abattoir partners for the support of this project in providing an experimental sit</w:t>
      </w:r>
      <w:r w:rsidR="00C8674C" w:rsidRPr="004B762D">
        <w:rPr>
          <w:b w:val="0"/>
          <w:bCs/>
        </w:rPr>
        <w:t>e. The Biomedical Sensors group of School of Engineering, University of Warwick provided experimental instrumentation for the</w:t>
      </w:r>
      <w:r w:rsidR="00BE2E65" w:rsidRPr="004B762D">
        <w:rPr>
          <w:b w:val="0"/>
          <w:bCs/>
        </w:rPr>
        <w:t xml:space="preserve"> project analysis.</w:t>
      </w:r>
      <w:r w:rsidR="00B60A7E" w:rsidRPr="004B762D">
        <w:rPr>
          <w:b w:val="0"/>
          <w:bCs/>
        </w:rPr>
        <w:t xml:space="preserve"> </w:t>
      </w:r>
      <w:r w:rsidR="00362A6D" w:rsidRPr="004B762D">
        <w:rPr>
          <w:b w:val="0"/>
          <w:bCs/>
        </w:rPr>
        <w:t>This work was</w:t>
      </w:r>
      <w:r w:rsidR="00BE2E65" w:rsidRPr="004B762D">
        <w:rPr>
          <w:b w:val="0"/>
          <w:bCs/>
        </w:rPr>
        <w:t xml:space="preserve"> financially supported</w:t>
      </w:r>
      <w:r w:rsidR="00362A6D" w:rsidRPr="004B762D">
        <w:rPr>
          <w:b w:val="0"/>
          <w:bCs/>
        </w:rPr>
        <w:t xml:space="preserve"> by: the Biotechnology and Biological Sciences Research Council (BBSRC), Harper Adams University and University of Warwick funded Midlands Integrative Biosciences Training Partnership (MIBTP) [grant number BB/J014532/1.]; and the Butchers and Drover Charitable Institution </w:t>
      </w:r>
      <w:r w:rsidR="009046B9" w:rsidRPr="004B762D">
        <w:rPr>
          <w:b w:val="0"/>
          <w:bCs/>
        </w:rPr>
        <w:t>s</w:t>
      </w:r>
      <w:r w:rsidR="00362A6D" w:rsidRPr="004B762D">
        <w:rPr>
          <w:b w:val="0"/>
          <w:bCs/>
        </w:rPr>
        <w:t>tudentship (BDCI).</w:t>
      </w:r>
      <w:r w:rsidR="003641BA" w:rsidRPr="004B762D">
        <w:rPr>
          <w:b w:val="0"/>
          <w:bCs/>
        </w:rPr>
        <w:t xml:space="preserve"> </w:t>
      </w:r>
      <w:r w:rsidR="00362A6D" w:rsidRPr="004B762D">
        <w:rPr>
          <w:b w:val="0"/>
          <w:bCs/>
        </w:rPr>
        <w:t>This project was reviewed and approved by the Harper Adams University Ethics Committee</w:t>
      </w:r>
      <w:r w:rsidR="009046B9" w:rsidRPr="004B762D">
        <w:rPr>
          <w:b w:val="0"/>
          <w:bCs/>
        </w:rPr>
        <w:t>,</w:t>
      </w:r>
      <w:r w:rsidR="00362A6D" w:rsidRPr="004B762D">
        <w:rPr>
          <w:b w:val="0"/>
          <w:bCs/>
        </w:rPr>
        <w:t xml:space="preserve"> </w:t>
      </w:r>
      <w:r w:rsidR="009046B9" w:rsidRPr="004B762D">
        <w:rPr>
          <w:b w:val="0"/>
          <w:bCs/>
        </w:rPr>
        <w:t>a</w:t>
      </w:r>
      <w:r w:rsidR="00362A6D" w:rsidRPr="004B762D">
        <w:rPr>
          <w:b w:val="0"/>
          <w:bCs/>
        </w:rPr>
        <w:t xml:space="preserve">pplication number 18088900PHD-P0536, approved </w:t>
      </w:r>
      <w:r w:rsidR="009046B9" w:rsidRPr="004B762D">
        <w:rPr>
          <w:b w:val="0"/>
          <w:bCs/>
        </w:rPr>
        <w:t>0</w:t>
      </w:r>
      <w:r w:rsidR="00362A6D" w:rsidRPr="004B762D">
        <w:rPr>
          <w:b w:val="0"/>
          <w:bCs/>
        </w:rPr>
        <w:t>7/</w:t>
      </w:r>
      <w:r w:rsidR="009046B9" w:rsidRPr="004B762D">
        <w:rPr>
          <w:b w:val="0"/>
          <w:bCs/>
        </w:rPr>
        <w:t>0</w:t>
      </w:r>
      <w:r w:rsidR="00362A6D" w:rsidRPr="004B762D">
        <w:rPr>
          <w:b w:val="0"/>
          <w:bCs/>
        </w:rPr>
        <w:t>5/2025</w:t>
      </w:r>
      <w:r w:rsidR="00BE2E65" w:rsidRPr="004B762D">
        <w:rPr>
          <w:b w:val="0"/>
          <w:bCs/>
        </w:rPr>
        <w:t>.</w:t>
      </w:r>
    </w:p>
    <w:p w14:paraId="5C0B25DA" w14:textId="03E75892" w:rsidR="00393D1F" w:rsidRPr="004B762D" w:rsidRDefault="00393D1F" w:rsidP="00393D1F">
      <w:pPr>
        <w:pStyle w:val="CETReference"/>
      </w:pPr>
      <w:r w:rsidRPr="004B762D">
        <w:t>References</w:t>
      </w:r>
    </w:p>
    <w:p w14:paraId="228590D9" w14:textId="7C7E059C" w:rsidR="00706941" w:rsidRPr="004B762D" w:rsidRDefault="00706941" w:rsidP="00706941">
      <w:pPr>
        <w:pStyle w:val="CETReferencetext"/>
      </w:pPr>
      <w:r w:rsidRPr="004B762D">
        <w:t>Adamczyk, K., Górecka-Bruzda, A., Nowicki, J., Gumulka, M., Molik, E., Schwarz, T., Earley, B.</w:t>
      </w:r>
      <w:r w:rsidR="000968ED" w:rsidRPr="004B762D">
        <w:t>,</w:t>
      </w:r>
      <w:r w:rsidRPr="004B762D">
        <w:t xml:space="preserve"> Klocek, C. 2015</w:t>
      </w:r>
      <w:r w:rsidR="005B12C2" w:rsidRPr="004B762D">
        <w:t>.</w:t>
      </w:r>
      <w:r w:rsidRPr="004B762D">
        <w:t xml:space="preserve"> Perception of environment in farm animals: A review</w:t>
      </w:r>
      <w:r w:rsidR="005B12C2" w:rsidRPr="004B762D">
        <w:t>.</w:t>
      </w:r>
      <w:r w:rsidRPr="004B762D">
        <w:t xml:space="preserve"> </w:t>
      </w:r>
      <w:r w:rsidRPr="004B762D">
        <w:rPr>
          <w:i/>
          <w:iCs/>
        </w:rPr>
        <w:t>Annals of Animal Science</w:t>
      </w:r>
      <w:r w:rsidRPr="004B762D">
        <w:t>, 15(3), pp. 565–589.</w:t>
      </w:r>
    </w:p>
    <w:p w14:paraId="22B15725" w14:textId="3AFC3B81" w:rsidR="00706941" w:rsidRPr="004B762D" w:rsidRDefault="00706941" w:rsidP="00706941">
      <w:pPr>
        <w:pStyle w:val="CETReferencetext"/>
      </w:pPr>
      <w:r w:rsidRPr="004B762D">
        <w:t>Aizawa, A., Miyazaki, A.</w:t>
      </w:r>
      <w:r w:rsidR="000968ED" w:rsidRPr="004B762D">
        <w:t>,</w:t>
      </w:r>
      <w:r w:rsidRPr="004B762D">
        <w:t xml:space="preserve"> Tanaka, N. 2022</w:t>
      </w:r>
      <w:r w:rsidR="005B12C2" w:rsidRPr="004B762D">
        <w:t>.</w:t>
      </w:r>
      <w:r w:rsidRPr="004B762D">
        <w:t xml:space="preserve"> Emissions of volatile organic compounds from dairy cattle manure in a cattle shed in Japan</w:t>
      </w:r>
      <w:r w:rsidR="005B12C2" w:rsidRPr="004B762D">
        <w:t>.</w:t>
      </w:r>
      <w:r w:rsidRPr="004B762D">
        <w:t xml:space="preserve"> </w:t>
      </w:r>
      <w:r w:rsidRPr="004B762D">
        <w:rPr>
          <w:i/>
          <w:iCs/>
        </w:rPr>
        <w:t>Asian Journal of Atmospheric Environment</w:t>
      </w:r>
      <w:r w:rsidRPr="004B762D">
        <w:t>, 16(3), p. 2022024.</w:t>
      </w:r>
    </w:p>
    <w:p w14:paraId="7580362C" w14:textId="3ACEE979" w:rsidR="00706941" w:rsidRPr="004B762D" w:rsidRDefault="00706941" w:rsidP="00706941">
      <w:pPr>
        <w:pStyle w:val="CETReferencetext"/>
      </w:pPr>
      <w:r w:rsidRPr="004B762D">
        <w:t>Asiku, J., Kalyesubula, M., Ross, M., Schwartz, B., Rosov, A.</w:t>
      </w:r>
      <w:r w:rsidR="000968ED" w:rsidRPr="004B762D">
        <w:t>,</w:t>
      </w:r>
      <w:r w:rsidRPr="004B762D">
        <w:t xml:space="preserve"> Dvir, H. 2025</w:t>
      </w:r>
      <w:r w:rsidR="005B12C2" w:rsidRPr="004B762D">
        <w:t>.</w:t>
      </w:r>
      <w:r w:rsidRPr="004B762D">
        <w:t xml:space="preserve"> Non-carbohydrate anaplerotic therapy counters empagliflozin-induced diabetic ketosis</w:t>
      </w:r>
      <w:r w:rsidR="005B12C2" w:rsidRPr="004B762D">
        <w:t>.</w:t>
      </w:r>
      <w:r w:rsidRPr="004B762D">
        <w:t xml:space="preserve"> </w:t>
      </w:r>
      <w:r w:rsidRPr="004B762D">
        <w:rPr>
          <w:i/>
          <w:iCs/>
        </w:rPr>
        <w:t>Nutrition &amp; Diabetes</w:t>
      </w:r>
      <w:r w:rsidRPr="004B762D">
        <w:t>, 15(1), pp. 1–9.</w:t>
      </w:r>
    </w:p>
    <w:p w14:paraId="39640D79" w14:textId="316E2F1B" w:rsidR="00706941" w:rsidRPr="004B762D" w:rsidRDefault="00706941" w:rsidP="00706941">
      <w:pPr>
        <w:pStyle w:val="CETReferencetext"/>
      </w:pPr>
      <w:r w:rsidRPr="004B762D">
        <w:t>Bandaw, T.</w:t>
      </w:r>
      <w:r w:rsidR="000968ED" w:rsidRPr="004B762D">
        <w:t xml:space="preserve">, </w:t>
      </w:r>
      <w:r w:rsidRPr="004B762D">
        <w:t>Herago, T. 2017 Review on abattoir waste management</w:t>
      </w:r>
      <w:r w:rsidR="00BF044A" w:rsidRPr="004B762D">
        <w:t>.</w:t>
      </w:r>
      <w:r w:rsidRPr="004B762D">
        <w:t xml:space="preserve"> </w:t>
      </w:r>
      <w:r w:rsidRPr="004B762D">
        <w:rPr>
          <w:i/>
          <w:iCs/>
        </w:rPr>
        <w:t>Global Veterinaria</w:t>
      </w:r>
      <w:r w:rsidRPr="004B762D">
        <w:t>, 19(2), pp. 517–524.</w:t>
      </w:r>
    </w:p>
    <w:p w14:paraId="061EF2CB" w14:textId="756E1B98" w:rsidR="00706941" w:rsidRPr="004B762D" w:rsidRDefault="00706941" w:rsidP="00706941">
      <w:pPr>
        <w:pStyle w:val="CETReferencetext"/>
      </w:pPr>
      <w:r w:rsidRPr="004B762D">
        <w:t>Brebu, M., Simion, V.E., Andronie, V., Jaimes-Mogollon, A.L., Beleno-Saenz, K.D.J., Ionescu, F., Welearegay, T.G., Suschinel, R., de Lema, J.B., Ionescu, R.</w:t>
      </w:r>
      <w:r w:rsidR="000968ED" w:rsidRPr="004B762D">
        <w:t xml:space="preserve">, </w:t>
      </w:r>
      <w:r w:rsidRPr="004B762D">
        <w:t>Cardoso, D.R. 2023</w:t>
      </w:r>
      <w:r w:rsidR="00BF044A" w:rsidRPr="004B762D">
        <w:t>.</w:t>
      </w:r>
      <w:r w:rsidRPr="004B762D">
        <w:t xml:space="preserve"> Putative volatile biomarkers of bovine tuberculosis infection in breath, skin and feces of cattle</w:t>
      </w:r>
      <w:r w:rsidR="00BF044A" w:rsidRPr="004B762D">
        <w:t>.</w:t>
      </w:r>
      <w:r w:rsidRPr="004B762D">
        <w:t xml:space="preserve"> </w:t>
      </w:r>
      <w:r w:rsidRPr="004B762D">
        <w:rPr>
          <w:i/>
          <w:iCs/>
        </w:rPr>
        <w:t>Molecular and Cellular Biochemistry</w:t>
      </w:r>
      <w:r w:rsidRPr="004B762D">
        <w:t>, 478(11), pp. 2473–2480.</w:t>
      </w:r>
    </w:p>
    <w:p w14:paraId="61E6AD55" w14:textId="234E2436" w:rsidR="00706941" w:rsidRPr="004B762D" w:rsidRDefault="00706941" w:rsidP="00706941">
      <w:pPr>
        <w:pStyle w:val="CETReferencetext"/>
      </w:pPr>
      <w:r w:rsidRPr="004B762D">
        <w:lastRenderedPageBreak/>
        <w:t>Chida, S., Sakamoto, M., Takino, T., Kawamoto, S.</w:t>
      </w:r>
      <w:r w:rsidR="000968ED" w:rsidRPr="004B762D">
        <w:t xml:space="preserve">, </w:t>
      </w:r>
      <w:r w:rsidRPr="004B762D">
        <w:t>Hagiwara, K. 2021</w:t>
      </w:r>
      <w:r w:rsidR="00BF044A" w:rsidRPr="004B762D">
        <w:t>.</w:t>
      </w:r>
      <w:r w:rsidRPr="004B762D">
        <w:t xml:space="preserve"> Changes in immune system and intestinal bacteria of cows during the transition period</w:t>
      </w:r>
      <w:r w:rsidR="000968ED" w:rsidRPr="004B762D">
        <w:t>.</w:t>
      </w:r>
      <w:r w:rsidRPr="004B762D">
        <w:t xml:space="preserve"> </w:t>
      </w:r>
      <w:r w:rsidRPr="004B762D">
        <w:rPr>
          <w:i/>
          <w:iCs/>
        </w:rPr>
        <w:t>Veterinary and Animal Science</w:t>
      </w:r>
      <w:r w:rsidRPr="004B762D">
        <w:t>, 14, p. 100222.</w:t>
      </w:r>
    </w:p>
    <w:p w14:paraId="37B6B275" w14:textId="13C6B651" w:rsidR="00706941" w:rsidRPr="004B762D" w:rsidRDefault="00706941" w:rsidP="00706941">
      <w:pPr>
        <w:pStyle w:val="CETReferencetext"/>
      </w:pPr>
      <w:r w:rsidRPr="004B762D">
        <w:t>Chulayo, A.Y.</w:t>
      </w:r>
      <w:r w:rsidR="000968ED" w:rsidRPr="004B762D">
        <w:t xml:space="preserve">, </w:t>
      </w:r>
      <w:r w:rsidRPr="004B762D">
        <w:t>Muchenje, V. 2017</w:t>
      </w:r>
      <w:r w:rsidR="000968ED" w:rsidRPr="004B762D">
        <w:t>.</w:t>
      </w:r>
      <w:r w:rsidRPr="004B762D">
        <w:t xml:space="preserve"> Activities of some stress enzymes as indicators of slaughter cattle welfare and their relationship with physico-chemical characteristics of bee</w:t>
      </w:r>
      <w:r w:rsidR="000968ED" w:rsidRPr="004B762D">
        <w:t>f.</w:t>
      </w:r>
      <w:r w:rsidRPr="004B762D">
        <w:t xml:space="preserve"> </w:t>
      </w:r>
      <w:r w:rsidRPr="004B762D">
        <w:rPr>
          <w:i/>
          <w:iCs/>
        </w:rPr>
        <w:t>Anima</w:t>
      </w:r>
      <w:r w:rsidR="000968ED" w:rsidRPr="004B762D">
        <w:rPr>
          <w:i/>
          <w:iCs/>
        </w:rPr>
        <w:t>l</w:t>
      </w:r>
      <w:r w:rsidRPr="004B762D">
        <w:t>, 11(9), pp. 1645–1652.</w:t>
      </w:r>
    </w:p>
    <w:p w14:paraId="5E5EB2B1" w14:textId="57912BD2" w:rsidR="00706941" w:rsidRPr="004B762D" w:rsidRDefault="00706941" w:rsidP="00706941">
      <w:pPr>
        <w:pStyle w:val="CETReferencetext"/>
      </w:pPr>
      <w:r w:rsidRPr="004B762D">
        <w:t>Conti, C., Borgonovo, F.</w:t>
      </w:r>
      <w:r w:rsidR="000968ED" w:rsidRPr="004B762D">
        <w:t>,</w:t>
      </w:r>
      <w:r w:rsidRPr="004B762D">
        <w:t xml:space="preserve"> Guarino, M. 2021</w:t>
      </w:r>
      <w:r w:rsidR="000968ED" w:rsidRPr="004B762D">
        <w:t>.</w:t>
      </w:r>
      <w:r w:rsidRPr="004B762D">
        <w:t xml:space="preserve"> Ammonia concentration and recommended threshold values in pig farming: A review</w:t>
      </w:r>
      <w:r w:rsidR="000968ED" w:rsidRPr="004B762D">
        <w:t>. I</w:t>
      </w:r>
      <w:r w:rsidRPr="004B762D">
        <w:t xml:space="preserve">n </w:t>
      </w:r>
      <w:r w:rsidRPr="004B762D">
        <w:rPr>
          <w:i/>
          <w:iCs/>
        </w:rPr>
        <w:t xml:space="preserve">2021 IEEE International Workshop on Metrology for Agriculture and Forestry (MetroAgriFor). </w:t>
      </w:r>
      <w:r w:rsidRPr="004B762D">
        <w:t>Piscataway, NJ: IEEE, pp. 162–166.</w:t>
      </w:r>
    </w:p>
    <w:p w14:paraId="251D9FC4" w14:textId="16070D6A" w:rsidR="00706941" w:rsidRPr="004B762D" w:rsidRDefault="00706941" w:rsidP="00706941">
      <w:pPr>
        <w:pStyle w:val="CETReferencetext"/>
      </w:pPr>
      <w:r w:rsidRPr="004B762D">
        <w:t>Fu, Y., Cao, S., Yang, L.</w:t>
      </w:r>
      <w:r w:rsidR="000968ED" w:rsidRPr="004B762D">
        <w:t>,</w:t>
      </w:r>
      <w:r w:rsidRPr="004B762D">
        <w:t xml:space="preserve"> Li, Z. 2022</w:t>
      </w:r>
      <w:r w:rsidR="000968ED" w:rsidRPr="004B762D">
        <w:t xml:space="preserve">. </w:t>
      </w:r>
      <w:r w:rsidRPr="004B762D">
        <w:t>Flavor formation based on lipid in meat and meat products: A review</w:t>
      </w:r>
      <w:r w:rsidR="000968ED" w:rsidRPr="004B762D">
        <w:t>.</w:t>
      </w:r>
      <w:r w:rsidRPr="004B762D">
        <w:t xml:space="preserve"> Journal of Food Biochemistry</w:t>
      </w:r>
      <w:r w:rsidR="000968ED" w:rsidRPr="004B762D">
        <w:t>.</w:t>
      </w:r>
      <w:r w:rsidRPr="004B762D">
        <w:t xml:space="preserve"> 46(12), p. e14439.</w:t>
      </w:r>
    </w:p>
    <w:p w14:paraId="75D3A9FB" w14:textId="188EA55D" w:rsidR="00F14F9A" w:rsidRPr="004B762D" w:rsidRDefault="00706941" w:rsidP="00F14F9A">
      <w:pPr>
        <w:pStyle w:val="CETReferencetext"/>
      </w:pPr>
      <w:r w:rsidRPr="004B762D">
        <w:t>GOV.UK</w:t>
      </w:r>
      <w:r w:rsidR="00225878" w:rsidRPr="004B762D">
        <w:t>.</w:t>
      </w:r>
      <w:r w:rsidRPr="004B762D">
        <w:t xml:space="preserve"> 2014</w:t>
      </w:r>
      <w:r w:rsidR="00225878" w:rsidRPr="004B762D">
        <w:t>.</w:t>
      </w:r>
      <w:r w:rsidRPr="004B762D">
        <w:t xml:space="preserve"> Official cattle breeds and codes. Available at: gov.uk/guidance/official-cattle-breeds-and-codes (Accessed: </w:t>
      </w:r>
      <w:r w:rsidR="00F14F9A" w:rsidRPr="004B762D">
        <w:t>06/02/2026</w:t>
      </w:r>
      <w:r w:rsidRPr="004B762D">
        <w:t>).</w:t>
      </w:r>
    </w:p>
    <w:p w14:paraId="55D4EB15" w14:textId="025110F4" w:rsidR="00F14F9A" w:rsidRPr="004B762D" w:rsidRDefault="00706941" w:rsidP="00F14F9A">
      <w:pPr>
        <w:pStyle w:val="CETReferencetext"/>
      </w:pPr>
      <w:r w:rsidRPr="004B762D">
        <w:t>Grandin, T. 2024</w:t>
      </w:r>
      <w:r w:rsidR="00225878" w:rsidRPr="004B762D">
        <w:t>.</w:t>
      </w:r>
      <w:r w:rsidRPr="004B762D">
        <w:t xml:space="preserve"> Behavioural principles of handling beef cattle and the design of corrals, lairages, races and loading ramps</w:t>
      </w:r>
      <w:r w:rsidR="00225878" w:rsidRPr="004B762D">
        <w:t>.</w:t>
      </w:r>
      <w:r w:rsidRPr="004B762D">
        <w:t xml:space="preserve"> </w:t>
      </w:r>
      <w:r w:rsidR="00225878" w:rsidRPr="004B762D">
        <w:t>I</w:t>
      </w:r>
      <w:r w:rsidRPr="004B762D">
        <w:t xml:space="preserve">n Grandin, T. (ed.) </w:t>
      </w:r>
      <w:r w:rsidRPr="004B762D">
        <w:rPr>
          <w:i/>
          <w:iCs/>
        </w:rPr>
        <w:t>Livestock Handling and Transport</w:t>
      </w:r>
      <w:r w:rsidRPr="004B762D">
        <w:t>. Wallingford: CABI, pp. 92–121.</w:t>
      </w:r>
    </w:p>
    <w:p w14:paraId="71B13197" w14:textId="054D24C1" w:rsidR="00F14F9A" w:rsidRPr="004B762D" w:rsidRDefault="00706941" w:rsidP="00F14F9A">
      <w:pPr>
        <w:pStyle w:val="CETReferencetext"/>
      </w:pPr>
      <w:r w:rsidRPr="004B762D">
        <w:t>Haddadi, S., Koziel, J.A.</w:t>
      </w:r>
      <w:r w:rsidR="00225878" w:rsidRPr="004B762D">
        <w:t>,</w:t>
      </w:r>
      <w:r w:rsidRPr="004B762D">
        <w:t xml:space="preserve"> Engelken, T.J. 2022</w:t>
      </w:r>
      <w:r w:rsidR="00713F00" w:rsidRPr="004B762D">
        <w:t>.</w:t>
      </w:r>
      <w:r w:rsidRPr="004B762D">
        <w:t xml:space="preserve"> Analytical approaches for detection of breath VOC biomarkers of cattle diseases: A review</w:t>
      </w:r>
      <w:r w:rsidR="00713F00" w:rsidRPr="004B762D">
        <w:t>.</w:t>
      </w:r>
      <w:r w:rsidRPr="004B762D">
        <w:t xml:space="preserve"> </w:t>
      </w:r>
      <w:r w:rsidRPr="004B762D">
        <w:rPr>
          <w:i/>
          <w:iCs/>
        </w:rPr>
        <w:t>Analytica Chimica Acta</w:t>
      </w:r>
      <w:r w:rsidRPr="004B762D">
        <w:t>, 1206, p. 339565.</w:t>
      </w:r>
    </w:p>
    <w:p w14:paraId="413A9723" w14:textId="504AEECA" w:rsidR="00F14F9A" w:rsidRPr="004B762D" w:rsidRDefault="00706941" w:rsidP="00F14F9A">
      <w:pPr>
        <w:pStyle w:val="CETReferencetext"/>
      </w:pPr>
      <w:r w:rsidRPr="004B762D">
        <w:t>Halios, C.H., Landeg-Cox, C., Lowther, S.D., Middleton, A., Marczylo, T.</w:t>
      </w:r>
      <w:r w:rsidR="00713F00" w:rsidRPr="004B762D">
        <w:t>,</w:t>
      </w:r>
      <w:r w:rsidRPr="004B762D">
        <w:t xml:space="preserve"> Dimitroulopoulou, S. 2022</w:t>
      </w:r>
      <w:r w:rsidR="00713F00" w:rsidRPr="004B762D">
        <w:t>.</w:t>
      </w:r>
      <w:r w:rsidRPr="004B762D">
        <w:t xml:space="preserve"> Chemicals in European residences – Part I: A review of emissions, concentrations and health effects of volatile organic compounds (VOCs)</w:t>
      </w:r>
      <w:r w:rsidR="0014763D" w:rsidRPr="004B762D">
        <w:t>.</w:t>
      </w:r>
      <w:r w:rsidRPr="004B762D">
        <w:t xml:space="preserve"> </w:t>
      </w:r>
      <w:r w:rsidRPr="004B762D">
        <w:rPr>
          <w:i/>
          <w:iCs/>
        </w:rPr>
        <w:t>Science of the Total Environment</w:t>
      </w:r>
      <w:r w:rsidRPr="004B762D">
        <w:t>, 839, p. 156201.</w:t>
      </w:r>
    </w:p>
    <w:p w14:paraId="2E1C4A2E" w14:textId="79A2B2F0" w:rsidR="00F14F9A" w:rsidRPr="004B762D" w:rsidRDefault="00706941" w:rsidP="00F14F9A">
      <w:pPr>
        <w:pStyle w:val="CETReferencetext"/>
      </w:pPr>
      <w:r w:rsidRPr="004B762D">
        <w:t>Jiang, K., Ma, J., Xu, J., Zhang, Y.</w:t>
      </w:r>
      <w:r w:rsidR="0014763D" w:rsidRPr="004B762D">
        <w:t xml:space="preserve">, </w:t>
      </w:r>
      <w:r w:rsidRPr="004B762D">
        <w:t>Niu, H. 2025</w:t>
      </w:r>
      <w:r w:rsidR="0014763D" w:rsidRPr="004B762D">
        <w:t>.</w:t>
      </w:r>
      <w:r w:rsidRPr="004B762D">
        <w:t xml:space="preserve"> Multi-omics revealed the effects of different feeding systems on rumen microorganisms, cellulose degradation, and metabolites in Mongolian cattle</w:t>
      </w:r>
      <w:r w:rsidR="0014763D" w:rsidRPr="004B762D">
        <w:t>.</w:t>
      </w:r>
      <w:r w:rsidRPr="004B762D">
        <w:t xml:space="preserve"> </w:t>
      </w:r>
      <w:r w:rsidRPr="004B762D">
        <w:rPr>
          <w:i/>
          <w:iCs/>
        </w:rPr>
        <w:t>Animals</w:t>
      </w:r>
      <w:r w:rsidRPr="004B762D">
        <w:t>, 15(12), p. 1774.</w:t>
      </w:r>
    </w:p>
    <w:p w14:paraId="2F80AE3B" w14:textId="45B8C3AF" w:rsidR="00F14F9A" w:rsidRPr="004B762D" w:rsidRDefault="00706941" w:rsidP="00F14F9A">
      <w:pPr>
        <w:pStyle w:val="CETReferencetext"/>
      </w:pPr>
      <w:r w:rsidRPr="004B762D">
        <w:t>Ju, Z., Li, R., Liu, W., Jiang, Q., Wang, J., Zhang, Y., Wang, X., Xiao, Y., Yang, C., Wei, X. Gao, Y. 2024</w:t>
      </w:r>
      <w:r w:rsidR="0014763D" w:rsidRPr="004B762D">
        <w:t>.</w:t>
      </w:r>
      <w:r w:rsidRPr="004B762D">
        <w:t xml:space="preserve"> Characterizing the hindgut microbiome in healthy and ketotic cows</w:t>
      </w:r>
      <w:r w:rsidR="0014763D" w:rsidRPr="004B762D">
        <w:t>.</w:t>
      </w:r>
      <w:r w:rsidRPr="004B762D">
        <w:t xml:space="preserve"> </w:t>
      </w:r>
      <w:r w:rsidRPr="004B762D">
        <w:rPr>
          <w:i/>
          <w:iCs/>
        </w:rPr>
        <w:t>All Life</w:t>
      </w:r>
      <w:r w:rsidRPr="004B762D">
        <w:t>, 17(1), p. 2393854.</w:t>
      </w:r>
    </w:p>
    <w:p w14:paraId="6E56888A" w14:textId="1976CD2D" w:rsidR="00F14F9A" w:rsidRPr="004B762D" w:rsidRDefault="00706941" w:rsidP="00F14F9A">
      <w:pPr>
        <w:pStyle w:val="CETReferencetext"/>
      </w:pPr>
      <w:r w:rsidRPr="004B762D">
        <w:t>Kocakulak, T., Boyacıoğlu, N.M., Dağoğlu, Y., Uyumaz, A., Aksoy, F. Arabacı, E. (2024)</w:t>
      </w:r>
      <w:r w:rsidR="0076397F" w:rsidRPr="004B762D">
        <w:t>.</w:t>
      </w:r>
      <w:r w:rsidRPr="004B762D">
        <w:t xml:space="preserve"> Experimental evaluation of gasoline-hexane fuel blends usage in a spark ignition engine</w:t>
      </w:r>
      <w:r w:rsidR="0076397F" w:rsidRPr="004B762D">
        <w:rPr>
          <w:i/>
          <w:iCs/>
        </w:rPr>
        <w:t>.</w:t>
      </w:r>
      <w:r w:rsidRPr="004B762D">
        <w:rPr>
          <w:i/>
          <w:iCs/>
        </w:rPr>
        <w:t xml:space="preserve"> International Journal of Automotive Engineering and Technologies</w:t>
      </w:r>
      <w:r w:rsidRPr="004B762D">
        <w:t>, 13(1), pp. 45–53.</w:t>
      </w:r>
    </w:p>
    <w:p w14:paraId="53E2B119" w14:textId="4E3194B8" w:rsidR="00F14F9A" w:rsidRPr="004B762D" w:rsidRDefault="00706941" w:rsidP="00F14F9A">
      <w:pPr>
        <w:pStyle w:val="CETReferencetext"/>
      </w:pPr>
      <w:r w:rsidRPr="004B762D">
        <w:t>Malheiros, J.M., Correia, B.S.B., Ceribeli, C., Bruscadin, J.J., Diniz, W.J., Banerjee, P., da Silva Vieira, D., Cardoso, T.F., Andrade, B.G.N., Petrini, J.</w:t>
      </w:r>
      <w:r w:rsidR="0076397F" w:rsidRPr="004B762D">
        <w:t>,</w:t>
      </w:r>
      <w:r w:rsidRPr="004B762D">
        <w:t xml:space="preserve"> Cardoso, D.R. 2023</w:t>
      </w:r>
      <w:r w:rsidR="0076397F" w:rsidRPr="004B762D">
        <w:t>.</w:t>
      </w:r>
      <w:r w:rsidRPr="004B762D">
        <w:t xml:space="preserve"> Ruminal and feces metabolites associated with feed efficiency, water intake and methane emission in Nelore bulls</w:t>
      </w:r>
      <w:r w:rsidR="0076397F" w:rsidRPr="004B762D">
        <w:t>.</w:t>
      </w:r>
      <w:r w:rsidRPr="004B762D">
        <w:t xml:space="preserve"> </w:t>
      </w:r>
      <w:r w:rsidRPr="004B762D">
        <w:rPr>
          <w:i/>
          <w:iCs/>
        </w:rPr>
        <w:t>Scientific Reports</w:t>
      </w:r>
      <w:r w:rsidRPr="004B762D">
        <w:t>, 13(1), p. 18001.</w:t>
      </w:r>
    </w:p>
    <w:p w14:paraId="7C991B4F" w14:textId="0DD88023" w:rsidR="00F14F9A" w:rsidRPr="004B762D" w:rsidRDefault="00706941" w:rsidP="00F14F9A">
      <w:pPr>
        <w:pStyle w:val="CETReferencetext"/>
      </w:pPr>
      <w:r w:rsidRPr="004B762D">
        <w:t>Mamhobu-Amadi, W.C., Kinigoma, B.S., Momoh, Y. Oji, A. 2019</w:t>
      </w:r>
      <w:r w:rsidR="0076397F" w:rsidRPr="004B762D">
        <w:t xml:space="preserve">. </w:t>
      </w:r>
      <w:r w:rsidRPr="004B762D">
        <w:t>Investigation of the impact of some abattoir activities on air quality</w:t>
      </w:r>
      <w:r w:rsidR="0076397F" w:rsidRPr="004B762D">
        <w:t>.</w:t>
      </w:r>
      <w:r w:rsidRPr="004B762D">
        <w:t xml:space="preserve"> </w:t>
      </w:r>
      <w:r w:rsidRPr="004B762D">
        <w:rPr>
          <w:i/>
          <w:iCs/>
        </w:rPr>
        <w:t>International Journal of Innovative Research and Advanced Studies</w:t>
      </w:r>
      <w:r w:rsidRPr="004B762D">
        <w:t>, 6(7), pp. 174–181.</w:t>
      </w:r>
    </w:p>
    <w:p w14:paraId="335FA205" w14:textId="1DD2746E" w:rsidR="00F14F9A" w:rsidRPr="004B762D" w:rsidRDefault="00706941" w:rsidP="00F14F9A">
      <w:pPr>
        <w:pStyle w:val="CETReferencetext"/>
      </w:pPr>
      <w:r w:rsidRPr="004B762D">
        <w:t>Mizuguchi, H., Kim, Y.H., Kanazawa, T., Ikuta, K.</w:t>
      </w:r>
      <w:r w:rsidR="0076397F" w:rsidRPr="004B762D">
        <w:t>,</w:t>
      </w:r>
      <w:r w:rsidRPr="004B762D">
        <w:t xml:space="preserve"> Sato, S. 2020</w:t>
      </w:r>
      <w:r w:rsidR="0076397F" w:rsidRPr="004B762D">
        <w:t>.</w:t>
      </w:r>
      <w:r w:rsidRPr="004B762D">
        <w:t xml:space="preserve"> Effects of short-term fasting on ruminal pH and volatile fatty acids in cattle fed high-roughage versus high-concentrate diets</w:t>
      </w:r>
      <w:r w:rsidR="0076397F" w:rsidRPr="004B762D">
        <w:t>.</w:t>
      </w:r>
      <w:r w:rsidRPr="004B762D">
        <w:t xml:space="preserve"> </w:t>
      </w:r>
      <w:r w:rsidRPr="004B762D">
        <w:rPr>
          <w:i/>
          <w:iCs/>
        </w:rPr>
        <w:t>Journal of Veterinary Medical Science</w:t>
      </w:r>
      <w:r w:rsidRPr="004B762D">
        <w:t>, 82(10), pp. 1415–1420.</w:t>
      </w:r>
    </w:p>
    <w:p w14:paraId="082A4CA4" w14:textId="7DA5FC6A" w:rsidR="00F14F9A" w:rsidRPr="004B762D" w:rsidRDefault="00706941" w:rsidP="00F14F9A">
      <w:pPr>
        <w:pStyle w:val="CETReferencetext"/>
      </w:pPr>
      <w:r w:rsidRPr="004B762D">
        <w:t>Pérez-Santaescolástica, C., Carballo, J., Fulladosa, E., Garcia-Perez, J.V., Benedito, J.</w:t>
      </w:r>
      <w:r w:rsidR="0076397F" w:rsidRPr="004B762D">
        <w:t xml:space="preserve">, </w:t>
      </w:r>
      <w:r w:rsidRPr="004B762D">
        <w:t>Lorenzo, J.M. 2018 Effect of proteolysis index level on instrumental adhesiveness, free amino acids content and volatile compounds profile of dry-cured ham</w:t>
      </w:r>
      <w:r w:rsidR="0076397F" w:rsidRPr="004B762D">
        <w:t>.</w:t>
      </w:r>
      <w:r w:rsidRPr="004B762D">
        <w:t xml:space="preserve"> </w:t>
      </w:r>
      <w:r w:rsidRPr="004B762D">
        <w:rPr>
          <w:i/>
          <w:iCs/>
        </w:rPr>
        <w:t>Food Research Internationa</w:t>
      </w:r>
      <w:r w:rsidR="0076397F" w:rsidRPr="004B762D">
        <w:rPr>
          <w:i/>
          <w:iCs/>
        </w:rPr>
        <w:t>l</w:t>
      </w:r>
      <w:r w:rsidRPr="004B762D">
        <w:t>, 107, pp. 559–566.</w:t>
      </w:r>
    </w:p>
    <w:p w14:paraId="0391F9EA" w14:textId="433ED406" w:rsidR="00F14F9A" w:rsidRPr="004B762D" w:rsidRDefault="00706941" w:rsidP="00F14F9A">
      <w:pPr>
        <w:pStyle w:val="CETReferencetext"/>
      </w:pPr>
      <w:r w:rsidRPr="004B762D">
        <w:t>Su, F.C., Friesen, M.C., Stefaniak, A.B., Henneberger, P.K., LeBouf, R.F., Stanton, M.L., Liang, X., Humann, M.</w:t>
      </w:r>
      <w:r w:rsidR="0076397F" w:rsidRPr="004B762D">
        <w:t>,</w:t>
      </w:r>
      <w:r w:rsidRPr="004B762D">
        <w:t xml:space="preserve"> Virji, M.A. 2018</w:t>
      </w:r>
      <w:r w:rsidR="0076397F" w:rsidRPr="004B762D">
        <w:t>.</w:t>
      </w:r>
      <w:r w:rsidRPr="004B762D">
        <w:t xml:space="preserve"> Exposures to volatile organic compounds among healthcare workers: Modeling the effects of cleaning tasks and product use</w:t>
      </w:r>
      <w:r w:rsidR="0076397F" w:rsidRPr="004B762D">
        <w:t>.</w:t>
      </w:r>
      <w:r w:rsidRPr="004B762D">
        <w:t xml:space="preserve"> </w:t>
      </w:r>
      <w:r w:rsidRPr="004B762D">
        <w:rPr>
          <w:i/>
          <w:iCs/>
        </w:rPr>
        <w:t>Annals of Work Exposures and Health,</w:t>
      </w:r>
      <w:r w:rsidRPr="004B762D">
        <w:t xml:space="preserve"> 62(7), pp. 852–870.</w:t>
      </w:r>
    </w:p>
    <w:p w14:paraId="62DB9536" w14:textId="580A7605" w:rsidR="00F14F9A" w:rsidRPr="004B762D" w:rsidRDefault="00706941" w:rsidP="00F14F9A">
      <w:pPr>
        <w:pStyle w:val="CETReferencetext"/>
      </w:pPr>
      <w:r w:rsidRPr="004B762D">
        <w:t>Tanaka, N., Aizawa, A., Miyazaki, A.</w:t>
      </w:r>
      <w:r w:rsidR="0076397F" w:rsidRPr="004B762D">
        <w:t>,</w:t>
      </w:r>
      <w:r w:rsidRPr="004B762D">
        <w:t xml:space="preserve"> Ando, Y. 2023</w:t>
      </w:r>
      <w:r w:rsidR="0076397F" w:rsidRPr="004B762D">
        <w:t xml:space="preserve">. </w:t>
      </w:r>
      <w:r w:rsidRPr="004B762D">
        <w:t>Effect of farm Hazard Analysis and Critical Control Point (farm HACCP) certification efforts on emissions of volatile organic compounds from livestock sheds in Japan</w:t>
      </w:r>
      <w:r w:rsidR="0076397F" w:rsidRPr="004B762D">
        <w:t>.</w:t>
      </w:r>
      <w:r w:rsidRPr="004B762D">
        <w:t xml:space="preserve"> </w:t>
      </w:r>
      <w:r w:rsidRPr="004B762D">
        <w:rPr>
          <w:i/>
          <w:iCs/>
        </w:rPr>
        <w:t>Animal Science Journal</w:t>
      </w:r>
      <w:r w:rsidRPr="004B762D">
        <w:t>, 94(1), p. e13908.</w:t>
      </w:r>
    </w:p>
    <w:p w14:paraId="15421883" w14:textId="2EC6ED52" w:rsidR="00F14F9A" w:rsidRPr="004B762D" w:rsidRDefault="00706941" w:rsidP="00F14F9A">
      <w:pPr>
        <w:pStyle w:val="CETReferencetext"/>
      </w:pPr>
      <w:r w:rsidRPr="004B762D">
        <w:t>Terlouw, E.C., Boissy, A.</w:t>
      </w:r>
      <w:r w:rsidR="0076397F" w:rsidRPr="004B762D">
        <w:t>,</w:t>
      </w:r>
      <w:r w:rsidRPr="004B762D">
        <w:t xml:space="preserve"> Blinet, P. 1998</w:t>
      </w:r>
      <w:r w:rsidR="0076397F" w:rsidRPr="004B762D">
        <w:t xml:space="preserve">. </w:t>
      </w:r>
      <w:r w:rsidRPr="004B762D">
        <w:t xml:space="preserve">Behavioural responses of cattle to the odours of blood and urine from conspecifics and to the odour of faeces from carnivores, </w:t>
      </w:r>
      <w:r w:rsidRPr="004B762D">
        <w:rPr>
          <w:i/>
          <w:iCs/>
        </w:rPr>
        <w:t>Applied Animal Behaviour Science</w:t>
      </w:r>
      <w:r w:rsidRPr="004B762D">
        <w:t>, 57(1–2), pp. 9–21.</w:t>
      </w:r>
    </w:p>
    <w:p w14:paraId="33B078E8" w14:textId="5B6C2C41" w:rsidR="00F14F9A" w:rsidRPr="004B762D" w:rsidRDefault="00706941" w:rsidP="00F14F9A">
      <w:pPr>
        <w:pStyle w:val="CETReferencetext"/>
      </w:pPr>
      <w:r w:rsidRPr="004B762D">
        <w:t>Thevenet, F., Rossignol, G., Angulo-Milhem, S., Nicolas, M.</w:t>
      </w:r>
      <w:r w:rsidR="0076397F" w:rsidRPr="004B762D">
        <w:t>,</w:t>
      </w:r>
      <w:r w:rsidRPr="004B762D">
        <w:t xml:space="preserve"> Verriele, M. 2026</w:t>
      </w:r>
      <w:r w:rsidR="00CE6288" w:rsidRPr="004B762D">
        <w:t>.</w:t>
      </w:r>
      <w:r w:rsidRPr="004B762D">
        <w:t xml:space="preserve"> Formaldehyde releasers in cleaning products: Mapping an indoor issue, </w:t>
      </w:r>
      <w:r w:rsidRPr="004B762D">
        <w:rPr>
          <w:i/>
          <w:iCs/>
        </w:rPr>
        <w:t>Journal of Hazardous Materials</w:t>
      </w:r>
      <w:r w:rsidRPr="004B762D">
        <w:t>, p. 141393.</w:t>
      </w:r>
    </w:p>
    <w:p w14:paraId="27F6E0EC" w14:textId="349C3813" w:rsidR="00F14F9A" w:rsidRPr="004B762D" w:rsidRDefault="00706941" w:rsidP="00F14F9A">
      <w:pPr>
        <w:pStyle w:val="CETReferencetext"/>
      </w:pPr>
      <w:r w:rsidRPr="004B762D">
        <w:t>Trabue, S., Scoggin, K., McConnell, L., Maghirang, R., Razote, E.</w:t>
      </w:r>
      <w:r w:rsidR="0076397F" w:rsidRPr="004B762D">
        <w:t>,</w:t>
      </w:r>
      <w:r w:rsidRPr="004B762D">
        <w:t xml:space="preserve"> Hatfield, J. (2011)</w:t>
      </w:r>
      <w:r w:rsidR="00CE6288" w:rsidRPr="004B762D">
        <w:t>.</w:t>
      </w:r>
      <w:r w:rsidRPr="004B762D">
        <w:t xml:space="preserve"> Identifying and tracking key odorants from cattle feedlots</w:t>
      </w:r>
      <w:r w:rsidR="0076397F" w:rsidRPr="004B762D">
        <w:t>.</w:t>
      </w:r>
      <w:r w:rsidRPr="004B762D">
        <w:t xml:space="preserve"> </w:t>
      </w:r>
      <w:r w:rsidRPr="004B762D">
        <w:rPr>
          <w:i/>
          <w:iCs/>
        </w:rPr>
        <w:t>Atmospheric Environment</w:t>
      </w:r>
      <w:r w:rsidRPr="004B762D">
        <w:t>, 45(25), pp. 4243–4251.</w:t>
      </w:r>
    </w:p>
    <w:p w14:paraId="49B5FE53" w14:textId="77777777" w:rsidR="00F14F9A" w:rsidRPr="004B762D" w:rsidRDefault="00706941" w:rsidP="00F14F9A">
      <w:pPr>
        <w:pStyle w:val="CETReferencetext"/>
      </w:pPr>
      <w:r w:rsidRPr="004B762D">
        <w:t>Von Borell, E., Özpinar, A., Eslinger, K.M., Schnitz, A.L., Zhao, Y. and Mitloehner, F.M. (2007) 'Acute and prolonged effects of ammonia on hematological variables, stress responses, performance, and behavior of nursery pigs', *Journal of Swine Health and Production*, 15(3), pp. 137–145.</w:t>
      </w:r>
    </w:p>
    <w:p w14:paraId="28E8379D" w14:textId="386FC46E" w:rsidR="00C52C3C" w:rsidRPr="004B762D" w:rsidRDefault="00706941" w:rsidP="00F14F9A">
      <w:pPr>
        <w:pStyle w:val="CETReferencetext"/>
      </w:pPr>
      <w:r w:rsidRPr="004B762D">
        <w:t>Yuan, B., Coggon, M.M., Koss, A.R., Warneke, C., Eilerman, S., Peischl, J., Aikin, K.C., Ryerson, T.B.</w:t>
      </w:r>
      <w:r w:rsidR="0076397F" w:rsidRPr="004B762D">
        <w:t>,</w:t>
      </w:r>
      <w:r w:rsidRPr="004B762D">
        <w:t xml:space="preserve"> de Gouw, J.A. 2017</w:t>
      </w:r>
      <w:r w:rsidR="0076397F" w:rsidRPr="004B762D">
        <w:t>.</w:t>
      </w:r>
      <w:r w:rsidRPr="004B762D">
        <w:t xml:space="preserve"> Emissions of volatile organic compounds (VOCs) from concentrated animal feeding operations (CAFOs): Chemical compositions and separation of sources</w:t>
      </w:r>
      <w:r w:rsidR="0076397F" w:rsidRPr="004B762D">
        <w:t>.</w:t>
      </w:r>
      <w:r w:rsidRPr="004B762D">
        <w:t xml:space="preserve"> </w:t>
      </w:r>
      <w:r w:rsidRPr="004B762D">
        <w:rPr>
          <w:i/>
          <w:iCs/>
        </w:rPr>
        <w:t>Atmospheric Chemistry and Physics,</w:t>
      </w:r>
      <w:r w:rsidRPr="004B762D">
        <w:t xml:space="preserve"> 17(8), pp. 4945–4956.</w:t>
      </w:r>
    </w:p>
    <w:p w14:paraId="5A13856B" w14:textId="77777777" w:rsidR="006B4888" w:rsidRPr="004B762D" w:rsidRDefault="006B4888" w:rsidP="00963221">
      <w:pPr>
        <w:pStyle w:val="CETReferencetext"/>
        <w:ind w:left="0" w:firstLine="0"/>
      </w:pPr>
    </w:p>
    <w:sectPr w:rsidR="006B4888" w:rsidRPr="004B762D" w:rsidSect="008314D7">
      <w:type w:val="continuous"/>
      <w:pgSz w:w="11906" w:h="16838" w:code="9"/>
      <w:pgMar w:top="1701" w:right="1418" w:bottom="1701" w:left="1701" w:header="1701" w:footer="0" w:gutter="0"/>
      <w:cols w:space="708"/>
      <w:formProt w:val="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J.A.covington" w:date="2026-04-11T08:37:00Z" w:initials="J.">
    <w:p w14:paraId="19C84C93" w14:textId="71A86CBC" w:rsidR="00D600B7" w:rsidRDefault="00145B10">
      <w:pPr>
        <w:pStyle w:val="CommentText"/>
      </w:pPr>
      <w:r>
        <w:rPr>
          <w:rStyle w:val="CommentReference"/>
        </w:rPr>
        <w:annotationRef/>
      </w:r>
      <w:r w:rsidRPr="06713BE7">
        <w:t>Here one is a breed, one is a production category, and one is a culling category. It would be better to describe the population more consistently.</w:t>
      </w:r>
    </w:p>
  </w:comment>
  <w:comment w:id="2" w:author="J.A.covington" w:date="2026-04-11T08:49:00Z" w:initials="J.">
    <w:p w14:paraId="6D9B56E3" w14:textId="2DAD71EE" w:rsidR="00D600B7" w:rsidRDefault="00145B10">
      <w:pPr>
        <w:pStyle w:val="CommentText"/>
      </w:pPr>
      <w:r>
        <w:rPr>
          <w:rStyle w:val="CommentReference"/>
        </w:rPr>
        <w:annotationRef/>
      </w:r>
      <w:r w:rsidRPr="528DAAC6">
        <w:t>I've changed this to logistic rather then linear</w:t>
      </w:r>
    </w:p>
  </w:comment>
  <w:comment w:id="3" w:author="Karim Farag" w:date="2026-04-10T11:46:00Z" w:initials="KF">
    <w:p w14:paraId="553B21B3" w14:textId="59B44116" w:rsidR="007D5A92" w:rsidRDefault="007D5A92">
      <w:pPr>
        <w:pStyle w:val="CommentText"/>
      </w:pPr>
      <w:r>
        <w:rPr>
          <w:rStyle w:val="CommentReference"/>
        </w:rPr>
        <w:annotationRef/>
      </w:r>
      <w:r w:rsidRPr="7C38D256">
        <w:t>Figure 1 is not cited in text?</w:t>
      </w:r>
    </w:p>
  </w:comment>
  <w:comment w:id="4" w:author="Karim Farag" w:date="2026-04-10T11:49:00Z" w:initials="KF">
    <w:p w14:paraId="614CBED0" w14:textId="2E725A13" w:rsidR="007D5A92" w:rsidRDefault="007D5A92">
      <w:pPr>
        <w:pStyle w:val="CommentText"/>
      </w:pPr>
      <w:r>
        <w:rPr>
          <w:rStyle w:val="CommentReference"/>
        </w:rPr>
        <w:annotationRef/>
      </w:r>
      <w:r w:rsidRPr="59BAD1F9">
        <w:t>This table is important and can look neater.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9C84C93" w15:done="1"/>
  <w15:commentEx w15:paraId="6D9B56E3" w15:done="1"/>
  <w15:commentEx w15:paraId="553B21B3" w15:done="1"/>
  <w15:commentEx w15:paraId="614CBED0"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0452735" w16cex:dateUtc="2026-04-11T07:37:00Z"/>
  <w16cex:commentExtensible w16cex:durableId="22C6FC03" w16cex:dateUtc="2026-04-11T07:49:00Z"/>
  <w16cex:commentExtensible w16cex:durableId="1CFE27E9" w16cex:dateUtc="2026-04-10T10:46:00Z"/>
  <w16cex:commentExtensible w16cex:durableId="4EC59D4E" w16cex:dateUtc="2026-04-10T10: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9C84C93" w16cid:durableId="70452735"/>
  <w16cid:commentId w16cid:paraId="6D9B56E3" w16cid:durableId="22C6FC03"/>
  <w16cid:commentId w16cid:paraId="553B21B3" w16cid:durableId="1CFE27E9"/>
  <w16cid:commentId w16cid:paraId="614CBED0" w16cid:durableId="4EC59D4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0EBCA" w14:textId="77777777" w:rsidR="00416CD4" w:rsidRPr="00500334" w:rsidRDefault="00416CD4" w:rsidP="004F5E36">
      <w:r w:rsidRPr="00500334">
        <w:separator/>
      </w:r>
    </w:p>
  </w:endnote>
  <w:endnote w:type="continuationSeparator" w:id="0">
    <w:p w14:paraId="258C4698" w14:textId="77777777" w:rsidR="00416CD4" w:rsidRPr="00500334" w:rsidRDefault="00416CD4" w:rsidP="004F5E36">
      <w:r w:rsidRPr="005003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dvP6960">
    <w:altName w:val="Cambria"/>
    <w:panose1 w:val="00000000000000000000"/>
    <w:charset w:val="4D"/>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23785" w14:textId="77777777" w:rsidR="00416CD4" w:rsidRPr="00500334" w:rsidRDefault="00416CD4" w:rsidP="004F5E36">
      <w:r w:rsidRPr="00500334">
        <w:separator/>
      </w:r>
    </w:p>
  </w:footnote>
  <w:footnote w:type="continuationSeparator" w:id="0">
    <w:p w14:paraId="21F966F2" w14:textId="77777777" w:rsidR="00416CD4" w:rsidRPr="00500334" w:rsidRDefault="00416CD4" w:rsidP="004F5E36">
      <w:r w:rsidRPr="00500334">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58AF15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5EC884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08CBE9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FC0B38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A34EB4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85C6BD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87A996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D2793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5F4206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06ACE1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2438217E"/>
    <w:multiLevelType w:val="multilevel"/>
    <w:tmpl w:val="F17228D6"/>
    <w:lvl w:ilvl="0">
      <w:start w:val="1"/>
      <w:numFmt w:val="decimal"/>
      <w:suff w:val="space"/>
      <w:lvlText w:val="Chapter %1"/>
      <w:lvlJc w:val="left"/>
      <w:pPr>
        <w:ind w:left="0" w:firstLine="0"/>
      </w:pPr>
      <w:rPr>
        <w:rFonts w:hint="default"/>
      </w:rPr>
    </w:lvl>
    <w:lvl w:ilvl="1">
      <w:start w:val="1"/>
      <w:numFmt w:val="decimal"/>
      <w:pStyle w:val="CETHeading1"/>
      <w:suff w:val="space"/>
      <w:lvlText w:val="%2."/>
      <w:lvlJc w:val="left"/>
      <w:pPr>
        <w:ind w:left="1559" w:firstLine="0"/>
      </w:pPr>
      <w:rPr>
        <w:rFonts w:hint="default"/>
      </w:rPr>
    </w:lvl>
    <w:lvl w:ilvl="2">
      <w:start w:val="1"/>
      <w:numFmt w:val="decimal"/>
      <w:pStyle w:val="CETheadingx"/>
      <w:suff w:val="space"/>
      <w:lvlText w:val="%2.%3"/>
      <w:lvlJc w:val="left"/>
      <w:pPr>
        <w:ind w:left="0" w:firstLine="0"/>
      </w:pPr>
      <w:rPr>
        <w:rFonts w:hint="default"/>
      </w:rPr>
    </w:lvl>
    <w:lvl w:ilvl="3">
      <w:start w:val="1"/>
      <w:numFmt w:val="decimal"/>
      <w:pStyle w:val="TableSimple1"/>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11" w15:restartNumberingAfterBreak="0">
    <w:nsid w:val="330B7370"/>
    <w:multiLevelType w:val="hybridMultilevel"/>
    <w:tmpl w:val="12E2AD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351E0394"/>
    <w:multiLevelType w:val="hybridMultilevel"/>
    <w:tmpl w:val="806658E2"/>
    <w:lvl w:ilvl="0" w:tplc="14B0F7A8">
      <w:start w:val="1"/>
      <w:numFmt w:val="bullet"/>
      <w:pStyle w:val="CETnumberingbullets"/>
      <w:lvlText w:val=""/>
      <w:lvlJc w:val="left"/>
      <w:pPr>
        <w:ind w:left="340" w:hanging="227"/>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5BB116B"/>
    <w:multiLevelType w:val="hybridMultilevel"/>
    <w:tmpl w:val="DC7C136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9C329B9"/>
    <w:multiLevelType w:val="hybridMultilevel"/>
    <w:tmpl w:val="A2E6C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B100E8"/>
    <w:multiLevelType w:val="hybridMultilevel"/>
    <w:tmpl w:val="6F34C070"/>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40577F2B"/>
    <w:multiLevelType w:val="hybridMultilevel"/>
    <w:tmpl w:val="61D490DE"/>
    <w:lvl w:ilvl="0" w:tplc="2AAC63A6">
      <w:numFmt w:val="bullet"/>
      <w:lvlText w:val="-"/>
      <w:lvlJc w:val="left"/>
      <w:pPr>
        <w:ind w:left="720" w:hanging="360"/>
      </w:pPr>
      <w:rPr>
        <w:rFonts w:ascii="Aptos" w:eastAsiaTheme="minorEastAsia" w:hAnsi="Aptos" w:cstheme="minorBidi"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0A87BA7"/>
    <w:multiLevelType w:val="hybridMultilevel"/>
    <w:tmpl w:val="1F6A8AD4"/>
    <w:lvl w:ilvl="0" w:tplc="14B0F7A8">
      <w:start w:val="1"/>
      <w:numFmt w:val="bullet"/>
      <w:lvlText w:val=""/>
      <w:lvlJc w:val="left"/>
      <w:pPr>
        <w:ind w:left="340" w:hanging="227"/>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2217387"/>
    <w:multiLevelType w:val="hybridMultilevel"/>
    <w:tmpl w:val="C2AE185A"/>
    <w:lvl w:ilvl="0" w:tplc="14090011">
      <w:start w:val="1"/>
      <w:numFmt w:val="decimal"/>
      <w:lvlText w:val="%1)"/>
      <w:lvlJc w:val="left"/>
      <w:pPr>
        <w:ind w:left="340" w:hanging="227"/>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6205803"/>
    <w:multiLevelType w:val="multilevel"/>
    <w:tmpl w:val="444C89D0"/>
    <w:lvl w:ilvl="0">
      <w:start w:val="1"/>
      <w:numFmt w:val="decimal"/>
      <w:suff w:val="space"/>
      <w:lvlText w:val="Chapter %1"/>
      <w:lvlJc w:val="left"/>
      <w:pPr>
        <w:ind w:left="0" w:firstLine="0"/>
      </w:pPr>
      <w:rPr>
        <w:rFonts w:hint="default"/>
      </w:rPr>
    </w:lvl>
    <w:lvl w:ilvl="1">
      <w:start w:val="1"/>
      <w:numFmt w:val="decimal"/>
      <w:suff w:val="space"/>
      <w:lvlText w:val="%2."/>
      <w:lvlJc w:val="left"/>
      <w:pPr>
        <w:ind w:left="0" w:firstLine="0"/>
      </w:pPr>
      <w:rPr>
        <w:rFonts w:hint="default"/>
      </w:rPr>
    </w:lvl>
    <w:lvl w:ilvl="2">
      <w:start w:val="1"/>
      <w:numFmt w:val="decimal"/>
      <w:suff w:val="space"/>
      <w:lvlText w:val="%2.%3."/>
      <w:lvlJc w:val="left"/>
      <w:pPr>
        <w:ind w:left="0" w:firstLine="0"/>
      </w:pPr>
      <w:rPr>
        <w:rFonts w:hint="default"/>
      </w:rPr>
    </w:lvl>
    <w:lvl w:ilvl="3">
      <w:start w:val="1"/>
      <w:numFmt w:val="decimal"/>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20" w15:restartNumberingAfterBreak="0">
    <w:nsid w:val="5AD311D0"/>
    <w:multiLevelType w:val="hybridMultilevel"/>
    <w:tmpl w:val="F198FF08"/>
    <w:lvl w:ilvl="0" w:tplc="62EA088C">
      <w:start w:val="1"/>
      <w:numFmt w:val="decimal"/>
      <w:pStyle w:val="CETnumbering1"/>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662015B5"/>
    <w:multiLevelType w:val="hybridMultilevel"/>
    <w:tmpl w:val="CCDE094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6865266D"/>
    <w:multiLevelType w:val="hybridMultilevel"/>
    <w:tmpl w:val="F5BE3C4A"/>
    <w:lvl w:ilvl="0" w:tplc="9FC4D28C">
      <w:start w:val="1"/>
      <w:numFmt w:val="lowerLetter"/>
      <w:pStyle w:val="CETnumberinga"/>
      <w:lvlText w:val="%1."/>
      <w:lvlJc w:val="left"/>
      <w:pPr>
        <w:ind w:left="340" w:hanging="227"/>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72CF3980"/>
    <w:multiLevelType w:val="hybridMultilevel"/>
    <w:tmpl w:val="63D65E80"/>
    <w:lvl w:ilvl="0" w:tplc="2AAC63A6">
      <w:numFmt w:val="bullet"/>
      <w:lvlText w:val="-"/>
      <w:lvlJc w:val="left"/>
      <w:pPr>
        <w:ind w:left="1080" w:hanging="360"/>
      </w:pPr>
      <w:rPr>
        <w:rFonts w:ascii="Aptos" w:eastAsiaTheme="minorEastAsia" w:hAnsi="Aptos" w:cstheme="minorBidi"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316882765">
    <w:abstractNumId w:val="10"/>
  </w:num>
  <w:num w:numId="2" w16cid:durableId="1954094313">
    <w:abstractNumId w:val="8"/>
  </w:num>
  <w:num w:numId="3" w16cid:durableId="2001083081">
    <w:abstractNumId w:val="3"/>
  </w:num>
  <w:num w:numId="4" w16cid:durableId="665287687">
    <w:abstractNumId w:val="2"/>
  </w:num>
  <w:num w:numId="5" w16cid:durableId="1763211618">
    <w:abstractNumId w:val="1"/>
  </w:num>
  <w:num w:numId="6" w16cid:durableId="733351894">
    <w:abstractNumId w:val="0"/>
  </w:num>
  <w:num w:numId="7" w16cid:durableId="1265187038">
    <w:abstractNumId w:val="9"/>
  </w:num>
  <w:num w:numId="8" w16cid:durableId="458382672">
    <w:abstractNumId w:val="7"/>
  </w:num>
  <w:num w:numId="9" w16cid:durableId="652636510">
    <w:abstractNumId w:val="6"/>
  </w:num>
  <w:num w:numId="10" w16cid:durableId="1972591888">
    <w:abstractNumId w:val="5"/>
  </w:num>
  <w:num w:numId="11" w16cid:durableId="1179278139">
    <w:abstractNumId w:val="4"/>
  </w:num>
  <w:num w:numId="12" w16cid:durableId="1575509198">
    <w:abstractNumId w:val="19"/>
  </w:num>
  <w:num w:numId="13" w16cid:durableId="695733619">
    <w:abstractNumId w:val="12"/>
  </w:num>
  <w:num w:numId="14" w16cid:durableId="145903400">
    <w:abstractNumId w:val="20"/>
  </w:num>
  <w:num w:numId="15" w16cid:durableId="19162326">
    <w:abstractNumId w:val="22"/>
  </w:num>
  <w:num w:numId="16" w16cid:durableId="1977102699">
    <w:abstractNumId w:val="21"/>
  </w:num>
  <w:num w:numId="17" w16cid:durableId="860774865">
    <w:abstractNumId w:val="11"/>
  </w:num>
  <w:num w:numId="18" w16cid:durableId="313221457">
    <w:abstractNumId w:val="12"/>
    <w:lvlOverride w:ilvl="0">
      <w:startOverride w:val="1"/>
    </w:lvlOverride>
  </w:num>
  <w:num w:numId="19" w16cid:durableId="534971577">
    <w:abstractNumId w:val="18"/>
  </w:num>
  <w:num w:numId="20" w16cid:durableId="1150947773">
    <w:abstractNumId w:val="17"/>
  </w:num>
  <w:num w:numId="21" w16cid:durableId="124660497">
    <w:abstractNumId w:val="15"/>
  </w:num>
  <w:num w:numId="22" w16cid:durableId="2099861471">
    <w:abstractNumId w:val="14"/>
  </w:num>
  <w:num w:numId="23" w16cid:durableId="1998066429">
    <w:abstractNumId w:val="16"/>
  </w:num>
  <w:num w:numId="24" w16cid:durableId="1903755394">
    <w:abstractNumId w:val="13"/>
  </w:num>
  <w:num w:numId="25" w16cid:durableId="1001736963">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A.covington">
    <w15:presenceInfo w15:providerId="AD" w15:userId="S::j.a.covington_warwick.ac.uk#ext#@liveharperac.onmicrosoft.com::3cbe883d-151a-4b58-abe8-46edf6816cfe"/>
  </w15:person>
  <w15:person w15:author="Karim Farag">
    <w15:presenceInfo w15:providerId="AD" w15:userId="S::kfarag@harper-adams.ac.uk::57897a33-64a5-47ec-a3fa-b74a35627cb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enforcement="0"/>
  <w:autoFormatOverride/>
  <w:styleLockTheme/>
  <w:styleLockQFSet/>
  <w:defaultTabStop w:val="708"/>
  <w:hyphenationZone w:val="283"/>
  <w:clickAndTypeStyle w:val="CETBodytext"/>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I0NzezsDA3M7MwMTJW0lEKTi0uzszPAymwrAUAugS3IywAAAA="/>
  </w:docVars>
  <w:rsids>
    <w:rsidRoot w:val="000E414A"/>
    <w:rsid w:val="000027C0"/>
    <w:rsid w:val="00003B0D"/>
    <w:rsid w:val="00004DA4"/>
    <w:rsid w:val="000052FB"/>
    <w:rsid w:val="00005884"/>
    <w:rsid w:val="000059DF"/>
    <w:rsid w:val="00005A19"/>
    <w:rsid w:val="0000718E"/>
    <w:rsid w:val="000117CB"/>
    <w:rsid w:val="000126F9"/>
    <w:rsid w:val="00020AD3"/>
    <w:rsid w:val="00022AF8"/>
    <w:rsid w:val="000238F3"/>
    <w:rsid w:val="0003148D"/>
    <w:rsid w:val="00031EEC"/>
    <w:rsid w:val="00051566"/>
    <w:rsid w:val="00052504"/>
    <w:rsid w:val="000562A9"/>
    <w:rsid w:val="00061B6E"/>
    <w:rsid w:val="00062A9A"/>
    <w:rsid w:val="00065058"/>
    <w:rsid w:val="00070546"/>
    <w:rsid w:val="00075564"/>
    <w:rsid w:val="000842B7"/>
    <w:rsid w:val="000842C2"/>
    <w:rsid w:val="00086B46"/>
    <w:rsid w:val="00086C39"/>
    <w:rsid w:val="000968ED"/>
    <w:rsid w:val="000A03B2"/>
    <w:rsid w:val="000B460D"/>
    <w:rsid w:val="000B62F5"/>
    <w:rsid w:val="000C287E"/>
    <w:rsid w:val="000D0268"/>
    <w:rsid w:val="000D34BE"/>
    <w:rsid w:val="000D79E3"/>
    <w:rsid w:val="000E102F"/>
    <w:rsid w:val="000E36F1"/>
    <w:rsid w:val="000E3A73"/>
    <w:rsid w:val="000E3A8E"/>
    <w:rsid w:val="000E414A"/>
    <w:rsid w:val="000E562B"/>
    <w:rsid w:val="000E75FD"/>
    <w:rsid w:val="000F093C"/>
    <w:rsid w:val="000F208C"/>
    <w:rsid w:val="000F302C"/>
    <w:rsid w:val="000F787B"/>
    <w:rsid w:val="001049A9"/>
    <w:rsid w:val="001070F0"/>
    <w:rsid w:val="0011080F"/>
    <w:rsid w:val="00112623"/>
    <w:rsid w:val="00116626"/>
    <w:rsid w:val="0012091F"/>
    <w:rsid w:val="00120DA4"/>
    <w:rsid w:val="00121446"/>
    <w:rsid w:val="00123D2E"/>
    <w:rsid w:val="00124AAD"/>
    <w:rsid w:val="00126BC2"/>
    <w:rsid w:val="00127CB5"/>
    <w:rsid w:val="001308B6"/>
    <w:rsid w:val="0013121F"/>
    <w:rsid w:val="00131FE6"/>
    <w:rsid w:val="0013263F"/>
    <w:rsid w:val="001331DF"/>
    <w:rsid w:val="00134DE4"/>
    <w:rsid w:val="0014034D"/>
    <w:rsid w:val="00140FE3"/>
    <w:rsid w:val="00144D16"/>
    <w:rsid w:val="00145B10"/>
    <w:rsid w:val="0014763D"/>
    <w:rsid w:val="00150E59"/>
    <w:rsid w:val="00152DE3"/>
    <w:rsid w:val="00161B6C"/>
    <w:rsid w:val="00164CF9"/>
    <w:rsid w:val="001667A6"/>
    <w:rsid w:val="00184AD6"/>
    <w:rsid w:val="001853DF"/>
    <w:rsid w:val="0019090B"/>
    <w:rsid w:val="001A0154"/>
    <w:rsid w:val="001A452D"/>
    <w:rsid w:val="001A4AF7"/>
    <w:rsid w:val="001B0349"/>
    <w:rsid w:val="001B1E93"/>
    <w:rsid w:val="001B2701"/>
    <w:rsid w:val="001B29EE"/>
    <w:rsid w:val="001B65C1"/>
    <w:rsid w:val="001C01A6"/>
    <w:rsid w:val="001C260F"/>
    <w:rsid w:val="001C33F1"/>
    <w:rsid w:val="001C684B"/>
    <w:rsid w:val="001D0CFB"/>
    <w:rsid w:val="001D21AF"/>
    <w:rsid w:val="001D53FC"/>
    <w:rsid w:val="001F42A5"/>
    <w:rsid w:val="001F6FA7"/>
    <w:rsid w:val="001F7B9D"/>
    <w:rsid w:val="002013A2"/>
    <w:rsid w:val="00201C93"/>
    <w:rsid w:val="002020AE"/>
    <w:rsid w:val="002149AF"/>
    <w:rsid w:val="0021613E"/>
    <w:rsid w:val="00218154"/>
    <w:rsid w:val="00221762"/>
    <w:rsid w:val="002224B4"/>
    <w:rsid w:val="00225878"/>
    <w:rsid w:val="00237274"/>
    <w:rsid w:val="0024249D"/>
    <w:rsid w:val="002447EF"/>
    <w:rsid w:val="002468E5"/>
    <w:rsid w:val="00247CB5"/>
    <w:rsid w:val="00251550"/>
    <w:rsid w:val="00255E05"/>
    <w:rsid w:val="00263B05"/>
    <w:rsid w:val="00266DC7"/>
    <w:rsid w:val="0027138A"/>
    <w:rsid w:val="0027221A"/>
    <w:rsid w:val="002735B5"/>
    <w:rsid w:val="00275B61"/>
    <w:rsid w:val="00280FAF"/>
    <w:rsid w:val="00282656"/>
    <w:rsid w:val="00296070"/>
    <w:rsid w:val="00296B83"/>
    <w:rsid w:val="002B1656"/>
    <w:rsid w:val="002B2138"/>
    <w:rsid w:val="002B4015"/>
    <w:rsid w:val="002B78CE"/>
    <w:rsid w:val="002C2FB6"/>
    <w:rsid w:val="002D34CB"/>
    <w:rsid w:val="002E1CAB"/>
    <w:rsid w:val="002E5FA7"/>
    <w:rsid w:val="002F1A2F"/>
    <w:rsid w:val="002F3309"/>
    <w:rsid w:val="003008CE"/>
    <w:rsid w:val="003009B7"/>
    <w:rsid w:val="00300E56"/>
    <w:rsid w:val="0030152C"/>
    <w:rsid w:val="0030469C"/>
    <w:rsid w:val="003123F5"/>
    <w:rsid w:val="003143D7"/>
    <w:rsid w:val="00321CA6"/>
    <w:rsid w:val="00323763"/>
    <w:rsid w:val="00323C5F"/>
    <w:rsid w:val="00331499"/>
    <w:rsid w:val="00334C09"/>
    <w:rsid w:val="003400BE"/>
    <w:rsid w:val="0035413D"/>
    <w:rsid w:val="00362A6D"/>
    <w:rsid w:val="003641BA"/>
    <w:rsid w:val="00365B4D"/>
    <w:rsid w:val="0037036D"/>
    <w:rsid w:val="003723D4"/>
    <w:rsid w:val="00381905"/>
    <w:rsid w:val="003825E4"/>
    <w:rsid w:val="00384CC8"/>
    <w:rsid w:val="003871FD"/>
    <w:rsid w:val="003900AE"/>
    <w:rsid w:val="003922E4"/>
    <w:rsid w:val="00393D1F"/>
    <w:rsid w:val="00396AD6"/>
    <w:rsid w:val="003A1C4C"/>
    <w:rsid w:val="003A1E30"/>
    <w:rsid w:val="003A2829"/>
    <w:rsid w:val="003A3B25"/>
    <w:rsid w:val="003A52E5"/>
    <w:rsid w:val="003A5C78"/>
    <w:rsid w:val="003A6E5A"/>
    <w:rsid w:val="003A7D1C"/>
    <w:rsid w:val="003B304B"/>
    <w:rsid w:val="003B3146"/>
    <w:rsid w:val="003B7445"/>
    <w:rsid w:val="003C4DE3"/>
    <w:rsid w:val="003D1E02"/>
    <w:rsid w:val="003D201B"/>
    <w:rsid w:val="003E0318"/>
    <w:rsid w:val="003E1135"/>
    <w:rsid w:val="003E1B82"/>
    <w:rsid w:val="003E36CF"/>
    <w:rsid w:val="003F015E"/>
    <w:rsid w:val="003F165D"/>
    <w:rsid w:val="003F5FBD"/>
    <w:rsid w:val="00400414"/>
    <w:rsid w:val="00406BED"/>
    <w:rsid w:val="00411DDB"/>
    <w:rsid w:val="0041446B"/>
    <w:rsid w:val="00416CD4"/>
    <w:rsid w:val="00417C19"/>
    <w:rsid w:val="00425FEF"/>
    <w:rsid w:val="0044071E"/>
    <w:rsid w:val="0044329C"/>
    <w:rsid w:val="00451E43"/>
    <w:rsid w:val="00453E24"/>
    <w:rsid w:val="00457456"/>
    <w:rsid w:val="004577FE"/>
    <w:rsid w:val="00457B9C"/>
    <w:rsid w:val="00457E57"/>
    <w:rsid w:val="0046164A"/>
    <w:rsid w:val="004626F5"/>
    <w:rsid w:val="004628D2"/>
    <w:rsid w:val="00462DCD"/>
    <w:rsid w:val="004648AD"/>
    <w:rsid w:val="004703A9"/>
    <w:rsid w:val="0047532A"/>
    <w:rsid w:val="004760DE"/>
    <w:rsid w:val="004763D7"/>
    <w:rsid w:val="004811B0"/>
    <w:rsid w:val="004902DC"/>
    <w:rsid w:val="004A004E"/>
    <w:rsid w:val="004A24CF"/>
    <w:rsid w:val="004A3FEE"/>
    <w:rsid w:val="004A4E3E"/>
    <w:rsid w:val="004A5E57"/>
    <w:rsid w:val="004B762D"/>
    <w:rsid w:val="004C194F"/>
    <w:rsid w:val="004C2490"/>
    <w:rsid w:val="004C3D1D"/>
    <w:rsid w:val="004C3D84"/>
    <w:rsid w:val="004C7913"/>
    <w:rsid w:val="004C79E2"/>
    <w:rsid w:val="004D2047"/>
    <w:rsid w:val="004E4DD6"/>
    <w:rsid w:val="004E6B59"/>
    <w:rsid w:val="004F1A01"/>
    <w:rsid w:val="004F5E36"/>
    <w:rsid w:val="00500334"/>
    <w:rsid w:val="00501968"/>
    <w:rsid w:val="00504C7F"/>
    <w:rsid w:val="005064AE"/>
    <w:rsid w:val="00507B47"/>
    <w:rsid w:val="00507BEF"/>
    <w:rsid w:val="00507CC9"/>
    <w:rsid w:val="005119A5"/>
    <w:rsid w:val="005143FA"/>
    <w:rsid w:val="005151A8"/>
    <w:rsid w:val="00516E37"/>
    <w:rsid w:val="00520235"/>
    <w:rsid w:val="005208CC"/>
    <w:rsid w:val="0052204D"/>
    <w:rsid w:val="00523A41"/>
    <w:rsid w:val="005278B7"/>
    <w:rsid w:val="00530423"/>
    <w:rsid w:val="00530DDC"/>
    <w:rsid w:val="00532016"/>
    <w:rsid w:val="005346C8"/>
    <w:rsid w:val="005423AF"/>
    <w:rsid w:val="00543E7D"/>
    <w:rsid w:val="00547A68"/>
    <w:rsid w:val="00550D01"/>
    <w:rsid w:val="005531C9"/>
    <w:rsid w:val="005613DF"/>
    <w:rsid w:val="00570C43"/>
    <w:rsid w:val="0057296B"/>
    <w:rsid w:val="00575B84"/>
    <w:rsid w:val="00582710"/>
    <w:rsid w:val="005846D3"/>
    <w:rsid w:val="00592274"/>
    <w:rsid w:val="00592482"/>
    <w:rsid w:val="00595009"/>
    <w:rsid w:val="005A7964"/>
    <w:rsid w:val="005B0BB5"/>
    <w:rsid w:val="005B12C2"/>
    <w:rsid w:val="005B2110"/>
    <w:rsid w:val="005B308B"/>
    <w:rsid w:val="005B61E6"/>
    <w:rsid w:val="005C77E1"/>
    <w:rsid w:val="005D1EDC"/>
    <w:rsid w:val="005D668A"/>
    <w:rsid w:val="005D6A2F"/>
    <w:rsid w:val="005E0592"/>
    <w:rsid w:val="005E15D7"/>
    <w:rsid w:val="005E1A82"/>
    <w:rsid w:val="005E3B09"/>
    <w:rsid w:val="005E794C"/>
    <w:rsid w:val="005E7F1C"/>
    <w:rsid w:val="005F0A28"/>
    <w:rsid w:val="005F0E5E"/>
    <w:rsid w:val="005F1398"/>
    <w:rsid w:val="0060016A"/>
    <w:rsid w:val="00600535"/>
    <w:rsid w:val="0060282E"/>
    <w:rsid w:val="00610A02"/>
    <w:rsid w:val="00610CD6"/>
    <w:rsid w:val="00620DEE"/>
    <w:rsid w:val="00621F92"/>
    <w:rsid w:val="0062280A"/>
    <w:rsid w:val="00622A3A"/>
    <w:rsid w:val="00622C1C"/>
    <w:rsid w:val="006231E1"/>
    <w:rsid w:val="00623C93"/>
    <w:rsid w:val="00625639"/>
    <w:rsid w:val="00627EC7"/>
    <w:rsid w:val="00631B33"/>
    <w:rsid w:val="00633DD0"/>
    <w:rsid w:val="00634AAE"/>
    <w:rsid w:val="006401DE"/>
    <w:rsid w:val="0064184D"/>
    <w:rsid w:val="006422CC"/>
    <w:rsid w:val="0064260A"/>
    <w:rsid w:val="006471F5"/>
    <w:rsid w:val="00650FC6"/>
    <w:rsid w:val="00651D18"/>
    <w:rsid w:val="0065572A"/>
    <w:rsid w:val="00660B52"/>
    <w:rsid w:val="00660E3E"/>
    <w:rsid w:val="00661DCC"/>
    <w:rsid w:val="00662E74"/>
    <w:rsid w:val="00665A2F"/>
    <w:rsid w:val="00670F83"/>
    <w:rsid w:val="00680C23"/>
    <w:rsid w:val="00683E23"/>
    <w:rsid w:val="00691FFD"/>
    <w:rsid w:val="00693766"/>
    <w:rsid w:val="00695AF3"/>
    <w:rsid w:val="006A1E23"/>
    <w:rsid w:val="006A285D"/>
    <w:rsid w:val="006A3281"/>
    <w:rsid w:val="006A7038"/>
    <w:rsid w:val="006A78F4"/>
    <w:rsid w:val="006B4888"/>
    <w:rsid w:val="006C2E45"/>
    <w:rsid w:val="006C359C"/>
    <w:rsid w:val="006C5579"/>
    <w:rsid w:val="006D64D5"/>
    <w:rsid w:val="006D6E8B"/>
    <w:rsid w:val="006D7209"/>
    <w:rsid w:val="006E28FC"/>
    <w:rsid w:val="006E737D"/>
    <w:rsid w:val="006F6B5B"/>
    <w:rsid w:val="00706941"/>
    <w:rsid w:val="00706C5F"/>
    <w:rsid w:val="00707DD1"/>
    <w:rsid w:val="007111EA"/>
    <w:rsid w:val="00713973"/>
    <w:rsid w:val="00713F00"/>
    <w:rsid w:val="00720A24"/>
    <w:rsid w:val="00721638"/>
    <w:rsid w:val="00722D67"/>
    <w:rsid w:val="00732386"/>
    <w:rsid w:val="0073514D"/>
    <w:rsid w:val="0073619A"/>
    <w:rsid w:val="007447F3"/>
    <w:rsid w:val="0074508C"/>
    <w:rsid w:val="0075499F"/>
    <w:rsid w:val="007617CC"/>
    <w:rsid w:val="0076397F"/>
    <w:rsid w:val="007661C8"/>
    <w:rsid w:val="0077098D"/>
    <w:rsid w:val="00770EB5"/>
    <w:rsid w:val="0077286C"/>
    <w:rsid w:val="00784F13"/>
    <w:rsid w:val="0078517C"/>
    <w:rsid w:val="00785BF9"/>
    <w:rsid w:val="007914C7"/>
    <w:rsid w:val="007920B5"/>
    <w:rsid w:val="007931FA"/>
    <w:rsid w:val="007941F0"/>
    <w:rsid w:val="007A467F"/>
    <w:rsid w:val="007A4861"/>
    <w:rsid w:val="007A4CCC"/>
    <w:rsid w:val="007A50CF"/>
    <w:rsid w:val="007A7BBA"/>
    <w:rsid w:val="007B0C50"/>
    <w:rsid w:val="007B307F"/>
    <w:rsid w:val="007B48F9"/>
    <w:rsid w:val="007C1A43"/>
    <w:rsid w:val="007C6466"/>
    <w:rsid w:val="007D0951"/>
    <w:rsid w:val="007D5A92"/>
    <w:rsid w:val="007D7519"/>
    <w:rsid w:val="007E4FF0"/>
    <w:rsid w:val="007E50A3"/>
    <w:rsid w:val="007E748A"/>
    <w:rsid w:val="007F27C8"/>
    <w:rsid w:val="007F3A16"/>
    <w:rsid w:val="007F7113"/>
    <w:rsid w:val="0080013E"/>
    <w:rsid w:val="0080184B"/>
    <w:rsid w:val="00813288"/>
    <w:rsid w:val="00814CA0"/>
    <w:rsid w:val="008151DB"/>
    <w:rsid w:val="008168FC"/>
    <w:rsid w:val="00824E5C"/>
    <w:rsid w:val="00830996"/>
    <w:rsid w:val="008314D7"/>
    <w:rsid w:val="008345F1"/>
    <w:rsid w:val="00845BE1"/>
    <w:rsid w:val="00847A7E"/>
    <w:rsid w:val="00847B39"/>
    <w:rsid w:val="00861EEB"/>
    <w:rsid w:val="00865B07"/>
    <w:rsid w:val="008667EA"/>
    <w:rsid w:val="00866FD2"/>
    <w:rsid w:val="00872068"/>
    <w:rsid w:val="0087637F"/>
    <w:rsid w:val="008901AE"/>
    <w:rsid w:val="00892AD5"/>
    <w:rsid w:val="00895709"/>
    <w:rsid w:val="00895A99"/>
    <w:rsid w:val="008A1512"/>
    <w:rsid w:val="008A5196"/>
    <w:rsid w:val="008A71F7"/>
    <w:rsid w:val="008B6F36"/>
    <w:rsid w:val="008D2C2E"/>
    <w:rsid w:val="008D32B9"/>
    <w:rsid w:val="008D433B"/>
    <w:rsid w:val="008D4A16"/>
    <w:rsid w:val="008D627C"/>
    <w:rsid w:val="008E209A"/>
    <w:rsid w:val="008E45BC"/>
    <w:rsid w:val="008E566E"/>
    <w:rsid w:val="008F1A57"/>
    <w:rsid w:val="008F1D5B"/>
    <w:rsid w:val="008F6671"/>
    <w:rsid w:val="00901040"/>
    <w:rsid w:val="0090161A"/>
    <w:rsid w:val="00901EB6"/>
    <w:rsid w:val="009041F8"/>
    <w:rsid w:val="009046B9"/>
    <w:rsid w:val="00904C62"/>
    <w:rsid w:val="009102E3"/>
    <w:rsid w:val="00922BA8"/>
    <w:rsid w:val="00923993"/>
    <w:rsid w:val="00924DAC"/>
    <w:rsid w:val="00927058"/>
    <w:rsid w:val="00933B39"/>
    <w:rsid w:val="00934531"/>
    <w:rsid w:val="00942750"/>
    <w:rsid w:val="009450CE"/>
    <w:rsid w:val="009459BB"/>
    <w:rsid w:val="00947179"/>
    <w:rsid w:val="00951421"/>
    <w:rsid w:val="0095164B"/>
    <w:rsid w:val="00952549"/>
    <w:rsid w:val="00954090"/>
    <w:rsid w:val="009573E7"/>
    <w:rsid w:val="00963221"/>
    <w:rsid w:val="00963E05"/>
    <w:rsid w:val="00964A45"/>
    <w:rsid w:val="00965BE7"/>
    <w:rsid w:val="00967132"/>
    <w:rsid w:val="00967843"/>
    <w:rsid w:val="00967D54"/>
    <w:rsid w:val="00971028"/>
    <w:rsid w:val="00972226"/>
    <w:rsid w:val="009726A6"/>
    <w:rsid w:val="00974114"/>
    <w:rsid w:val="00974AD4"/>
    <w:rsid w:val="0097510E"/>
    <w:rsid w:val="00983844"/>
    <w:rsid w:val="00992891"/>
    <w:rsid w:val="00993B84"/>
    <w:rsid w:val="00996483"/>
    <w:rsid w:val="00996F5A"/>
    <w:rsid w:val="009A2217"/>
    <w:rsid w:val="009A281E"/>
    <w:rsid w:val="009A6953"/>
    <w:rsid w:val="009B041A"/>
    <w:rsid w:val="009B543B"/>
    <w:rsid w:val="009B5B97"/>
    <w:rsid w:val="009C37C3"/>
    <w:rsid w:val="009C3C0A"/>
    <w:rsid w:val="009C7C86"/>
    <w:rsid w:val="009D2989"/>
    <w:rsid w:val="009D2FF7"/>
    <w:rsid w:val="009E430C"/>
    <w:rsid w:val="009E7884"/>
    <w:rsid w:val="009E788A"/>
    <w:rsid w:val="009F0E08"/>
    <w:rsid w:val="009F5EF0"/>
    <w:rsid w:val="00A0150B"/>
    <w:rsid w:val="00A03FC7"/>
    <w:rsid w:val="00A05880"/>
    <w:rsid w:val="00A079AE"/>
    <w:rsid w:val="00A1462A"/>
    <w:rsid w:val="00A1763D"/>
    <w:rsid w:val="00A17CEC"/>
    <w:rsid w:val="00A26CBB"/>
    <w:rsid w:val="00A27EF0"/>
    <w:rsid w:val="00A42361"/>
    <w:rsid w:val="00A50B20"/>
    <w:rsid w:val="00A51390"/>
    <w:rsid w:val="00A55DAC"/>
    <w:rsid w:val="00A60D13"/>
    <w:rsid w:val="00A67E0F"/>
    <w:rsid w:val="00A7223D"/>
    <w:rsid w:val="00A72745"/>
    <w:rsid w:val="00A75113"/>
    <w:rsid w:val="00A75DA0"/>
    <w:rsid w:val="00A76EFC"/>
    <w:rsid w:val="00A848C3"/>
    <w:rsid w:val="00A87D50"/>
    <w:rsid w:val="00A91010"/>
    <w:rsid w:val="00A97A41"/>
    <w:rsid w:val="00A97F29"/>
    <w:rsid w:val="00AA24E2"/>
    <w:rsid w:val="00AA5733"/>
    <w:rsid w:val="00AA6A2B"/>
    <w:rsid w:val="00AA702E"/>
    <w:rsid w:val="00AA7D26"/>
    <w:rsid w:val="00AB08A0"/>
    <w:rsid w:val="00AB0964"/>
    <w:rsid w:val="00AB5011"/>
    <w:rsid w:val="00AC7368"/>
    <w:rsid w:val="00AD0278"/>
    <w:rsid w:val="00AD0BBA"/>
    <w:rsid w:val="00AD1194"/>
    <w:rsid w:val="00AD16B9"/>
    <w:rsid w:val="00AE377D"/>
    <w:rsid w:val="00AF0EBA"/>
    <w:rsid w:val="00AF2971"/>
    <w:rsid w:val="00B02C8A"/>
    <w:rsid w:val="00B14A9D"/>
    <w:rsid w:val="00B17FBD"/>
    <w:rsid w:val="00B26998"/>
    <w:rsid w:val="00B315A6"/>
    <w:rsid w:val="00B31813"/>
    <w:rsid w:val="00B32217"/>
    <w:rsid w:val="00B327C9"/>
    <w:rsid w:val="00B33365"/>
    <w:rsid w:val="00B43BBE"/>
    <w:rsid w:val="00B57B36"/>
    <w:rsid w:val="00B57E6F"/>
    <w:rsid w:val="00B60A7E"/>
    <w:rsid w:val="00B63076"/>
    <w:rsid w:val="00B748F1"/>
    <w:rsid w:val="00B807F4"/>
    <w:rsid w:val="00B81002"/>
    <w:rsid w:val="00B81D8F"/>
    <w:rsid w:val="00B8686D"/>
    <w:rsid w:val="00B87402"/>
    <w:rsid w:val="00B87496"/>
    <w:rsid w:val="00B93D06"/>
    <w:rsid w:val="00B93F69"/>
    <w:rsid w:val="00B97C88"/>
    <w:rsid w:val="00BA0A28"/>
    <w:rsid w:val="00BB1DDC"/>
    <w:rsid w:val="00BB5E55"/>
    <w:rsid w:val="00BB620E"/>
    <w:rsid w:val="00BC30C9"/>
    <w:rsid w:val="00BC4E49"/>
    <w:rsid w:val="00BC6843"/>
    <w:rsid w:val="00BC69D6"/>
    <w:rsid w:val="00BD077D"/>
    <w:rsid w:val="00BD3B7C"/>
    <w:rsid w:val="00BE2E65"/>
    <w:rsid w:val="00BE3E58"/>
    <w:rsid w:val="00BF044A"/>
    <w:rsid w:val="00BF09B0"/>
    <w:rsid w:val="00C01616"/>
    <w:rsid w:val="00C0162B"/>
    <w:rsid w:val="00C068ED"/>
    <w:rsid w:val="00C06FD3"/>
    <w:rsid w:val="00C208E9"/>
    <w:rsid w:val="00C22E0C"/>
    <w:rsid w:val="00C2759A"/>
    <w:rsid w:val="00C345B1"/>
    <w:rsid w:val="00C359F7"/>
    <w:rsid w:val="00C40142"/>
    <w:rsid w:val="00C44D8C"/>
    <w:rsid w:val="00C52C3C"/>
    <w:rsid w:val="00C53E91"/>
    <w:rsid w:val="00C55395"/>
    <w:rsid w:val="00C57182"/>
    <w:rsid w:val="00C575E8"/>
    <w:rsid w:val="00C57863"/>
    <w:rsid w:val="00C640AF"/>
    <w:rsid w:val="00C655FD"/>
    <w:rsid w:val="00C75407"/>
    <w:rsid w:val="00C82944"/>
    <w:rsid w:val="00C82971"/>
    <w:rsid w:val="00C836AA"/>
    <w:rsid w:val="00C841C6"/>
    <w:rsid w:val="00C8674C"/>
    <w:rsid w:val="00C870A8"/>
    <w:rsid w:val="00C94434"/>
    <w:rsid w:val="00CA04E4"/>
    <w:rsid w:val="00CA0D75"/>
    <w:rsid w:val="00CA1C95"/>
    <w:rsid w:val="00CA5A9C"/>
    <w:rsid w:val="00CB0FB4"/>
    <w:rsid w:val="00CB1CDB"/>
    <w:rsid w:val="00CB1F14"/>
    <w:rsid w:val="00CB316E"/>
    <w:rsid w:val="00CB3427"/>
    <w:rsid w:val="00CC4C20"/>
    <w:rsid w:val="00CC65E8"/>
    <w:rsid w:val="00CD3517"/>
    <w:rsid w:val="00CD37CD"/>
    <w:rsid w:val="00CD5C46"/>
    <w:rsid w:val="00CD5FE2"/>
    <w:rsid w:val="00CE6288"/>
    <w:rsid w:val="00CE7C68"/>
    <w:rsid w:val="00CF2939"/>
    <w:rsid w:val="00CF3DA1"/>
    <w:rsid w:val="00CF718B"/>
    <w:rsid w:val="00CF724D"/>
    <w:rsid w:val="00D02B4C"/>
    <w:rsid w:val="00D040C4"/>
    <w:rsid w:val="00D12C9D"/>
    <w:rsid w:val="00D209D8"/>
    <w:rsid w:val="00D20AD1"/>
    <w:rsid w:val="00D226AA"/>
    <w:rsid w:val="00D2582C"/>
    <w:rsid w:val="00D36E21"/>
    <w:rsid w:val="00D46B7E"/>
    <w:rsid w:val="00D473BC"/>
    <w:rsid w:val="00D57C84"/>
    <w:rsid w:val="00D600B7"/>
    <w:rsid w:val="00D6057D"/>
    <w:rsid w:val="00D62ED9"/>
    <w:rsid w:val="00D65165"/>
    <w:rsid w:val="00D71640"/>
    <w:rsid w:val="00D81863"/>
    <w:rsid w:val="00D8351D"/>
    <w:rsid w:val="00D836C5"/>
    <w:rsid w:val="00D84576"/>
    <w:rsid w:val="00DA1399"/>
    <w:rsid w:val="00DA1659"/>
    <w:rsid w:val="00DA24C6"/>
    <w:rsid w:val="00DA4D7B"/>
    <w:rsid w:val="00DA73FB"/>
    <w:rsid w:val="00DC403E"/>
    <w:rsid w:val="00DD271C"/>
    <w:rsid w:val="00DE264A"/>
    <w:rsid w:val="00DE3A63"/>
    <w:rsid w:val="00DE492D"/>
    <w:rsid w:val="00DF2981"/>
    <w:rsid w:val="00DF5072"/>
    <w:rsid w:val="00E02D18"/>
    <w:rsid w:val="00E041E7"/>
    <w:rsid w:val="00E10368"/>
    <w:rsid w:val="00E11439"/>
    <w:rsid w:val="00E23CA1"/>
    <w:rsid w:val="00E25D1D"/>
    <w:rsid w:val="00E27C2A"/>
    <w:rsid w:val="00E409A8"/>
    <w:rsid w:val="00E46D9C"/>
    <w:rsid w:val="00E47D61"/>
    <w:rsid w:val="00E50C12"/>
    <w:rsid w:val="00E57BB5"/>
    <w:rsid w:val="00E65B91"/>
    <w:rsid w:val="00E661D8"/>
    <w:rsid w:val="00E7209D"/>
    <w:rsid w:val="00E72282"/>
    <w:rsid w:val="00E72EAD"/>
    <w:rsid w:val="00E77223"/>
    <w:rsid w:val="00E84658"/>
    <w:rsid w:val="00E84711"/>
    <w:rsid w:val="00E8528B"/>
    <w:rsid w:val="00E85B94"/>
    <w:rsid w:val="00E92094"/>
    <w:rsid w:val="00E93E1E"/>
    <w:rsid w:val="00E954A5"/>
    <w:rsid w:val="00E978D0"/>
    <w:rsid w:val="00EA15A2"/>
    <w:rsid w:val="00EA4613"/>
    <w:rsid w:val="00EA7555"/>
    <w:rsid w:val="00EA7F91"/>
    <w:rsid w:val="00EB0BC5"/>
    <w:rsid w:val="00EB1523"/>
    <w:rsid w:val="00EB7A04"/>
    <w:rsid w:val="00EC0E49"/>
    <w:rsid w:val="00EC101F"/>
    <w:rsid w:val="00EC1D9F"/>
    <w:rsid w:val="00EC29B3"/>
    <w:rsid w:val="00EC4446"/>
    <w:rsid w:val="00EE0131"/>
    <w:rsid w:val="00EE17B0"/>
    <w:rsid w:val="00EE2507"/>
    <w:rsid w:val="00EE6770"/>
    <w:rsid w:val="00EF06D9"/>
    <w:rsid w:val="00EF0982"/>
    <w:rsid w:val="00EF7B98"/>
    <w:rsid w:val="00F02174"/>
    <w:rsid w:val="00F14F9A"/>
    <w:rsid w:val="00F20B8E"/>
    <w:rsid w:val="00F3049E"/>
    <w:rsid w:val="00F30C64"/>
    <w:rsid w:val="00F32BA2"/>
    <w:rsid w:val="00F32CDB"/>
    <w:rsid w:val="00F3348F"/>
    <w:rsid w:val="00F37280"/>
    <w:rsid w:val="00F411FB"/>
    <w:rsid w:val="00F41EE4"/>
    <w:rsid w:val="00F46E0C"/>
    <w:rsid w:val="00F565FE"/>
    <w:rsid w:val="00F63A70"/>
    <w:rsid w:val="00F63D8C"/>
    <w:rsid w:val="00F65950"/>
    <w:rsid w:val="00F734E5"/>
    <w:rsid w:val="00F7534E"/>
    <w:rsid w:val="00F77F59"/>
    <w:rsid w:val="00F83E2C"/>
    <w:rsid w:val="00F913B5"/>
    <w:rsid w:val="00F9384F"/>
    <w:rsid w:val="00F93EDF"/>
    <w:rsid w:val="00F9652F"/>
    <w:rsid w:val="00FA1802"/>
    <w:rsid w:val="00FA1BCF"/>
    <w:rsid w:val="00FA21D0"/>
    <w:rsid w:val="00FA5F5F"/>
    <w:rsid w:val="00FB0FE5"/>
    <w:rsid w:val="00FB730C"/>
    <w:rsid w:val="00FC007F"/>
    <w:rsid w:val="00FC1CCB"/>
    <w:rsid w:val="00FC2695"/>
    <w:rsid w:val="00FC366E"/>
    <w:rsid w:val="00FC3E03"/>
    <w:rsid w:val="00FC3FC1"/>
    <w:rsid w:val="00FC4D6E"/>
    <w:rsid w:val="00FC5DB6"/>
    <w:rsid w:val="00FC7C23"/>
    <w:rsid w:val="00FD2827"/>
    <w:rsid w:val="00FD2F7C"/>
    <w:rsid w:val="00FD644C"/>
    <w:rsid w:val="00FD9AF6"/>
    <w:rsid w:val="00FE5102"/>
    <w:rsid w:val="00FE7D60"/>
    <w:rsid w:val="00FF1410"/>
    <w:rsid w:val="016E730E"/>
    <w:rsid w:val="045D62E4"/>
    <w:rsid w:val="047A5E8B"/>
    <w:rsid w:val="04B7C6BC"/>
    <w:rsid w:val="05AC5B08"/>
    <w:rsid w:val="0705B3E6"/>
    <w:rsid w:val="07CE93F8"/>
    <w:rsid w:val="08A74F42"/>
    <w:rsid w:val="0BB0A00A"/>
    <w:rsid w:val="0E92AD3A"/>
    <w:rsid w:val="0EF5F5AC"/>
    <w:rsid w:val="1072264A"/>
    <w:rsid w:val="11BCE8E0"/>
    <w:rsid w:val="15D9377F"/>
    <w:rsid w:val="1754723C"/>
    <w:rsid w:val="178116C2"/>
    <w:rsid w:val="1954CBAF"/>
    <w:rsid w:val="19783532"/>
    <w:rsid w:val="1ADE737E"/>
    <w:rsid w:val="1E812BF5"/>
    <w:rsid w:val="1EA0A413"/>
    <w:rsid w:val="1EDD28F8"/>
    <w:rsid w:val="1FDA864A"/>
    <w:rsid w:val="1FDDF49B"/>
    <w:rsid w:val="22E1DF53"/>
    <w:rsid w:val="2307F236"/>
    <w:rsid w:val="23632B3E"/>
    <w:rsid w:val="240ACF71"/>
    <w:rsid w:val="24E85F59"/>
    <w:rsid w:val="24E86012"/>
    <w:rsid w:val="2522750F"/>
    <w:rsid w:val="263451DE"/>
    <w:rsid w:val="267CA7B8"/>
    <w:rsid w:val="269B6C5E"/>
    <w:rsid w:val="26B240E0"/>
    <w:rsid w:val="280D0BD6"/>
    <w:rsid w:val="28DC35B2"/>
    <w:rsid w:val="28FC72E7"/>
    <w:rsid w:val="2928B0A0"/>
    <w:rsid w:val="2BAFE35E"/>
    <w:rsid w:val="2C9037FD"/>
    <w:rsid w:val="2EB08941"/>
    <w:rsid w:val="2F68D440"/>
    <w:rsid w:val="311F03A9"/>
    <w:rsid w:val="3308E0C4"/>
    <w:rsid w:val="331CE5D1"/>
    <w:rsid w:val="33ECB7D8"/>
    <w:rsid w:val="3422BA12"/>
    <w:rsid w:val="34261B77"/>
    <w:rsid w:val="343252A0"/>
    <w:rsid w:val="37CAE46D"/>
    <w:rsid w:val="38031773"/>
    <w:rsid w:val="384BB69A"/>
    <w:rsid w:val="3BE64619"/>
    <w:rsid w:val="3C7277A1"/>
    <w:rsid w:val="3C9A67BF"/>
    <w:rsid w:val="3F792297"/>
    <w:rsid w:val="427DE405"/>
    <w:rsid w:val="43917CAE"/>
    <w:rsid w:val="47ED0945"/>
    <w:rsid w:val="4811CEB6"/>
    <w:rsid w:val="483E868E"/>
    <w:rsid w:val="4A0C1E23"/>
    <w:rsid w:val="4A2AD1B4"/>
    <w:rsid w:val="4BCAB32B"/>
    <w:rsid w:val="4C67661E"/>
    <w:rsid w:val="4CDFFFD3"/>
    <w:rsid w:val="4D4F899B"/>
    <w:rsid w:val="5116B842"/>
    <w:rsid w:val="52A4D6A0"/>
    <w:rsid w:val="52B2EAEB"/>
    <w:rsid w:val="53F2DE53"/>
    <w:rsid w:val="54EE6107"/>
    <w:rsid w:val="556244DA"/>
    <w:rsid w:val="56BB5E83"/>
    <w:rsid w:val="58F362F6"/>
    <w:rsid w:val="5921A607"/>
    <w:rsid w:val="5A5068F3"/>
    <w:rsid w:val="5B86D6DE"/>
    <w:rsid w:val="5C7AB556"/>
    <w:rsid w:val="5E75BBDA"/>
    <w:rsid w:val="5F15A057"/>
    <w:rsid w:val="608AE702"/>
    <w:rsid w:val="61373A91"/>
    <w:rsid w:val="61CF6B98"/>
    <w:rsid w:val="6323CB75"/>
    <w:rsid w:val="633A2F1E"/>
    <w:rsid w:val="6400FBE1"/>
    <w:rsid w:val="6597EE2E"/>
    <w:rsid w:val="666D575F"/>
    <w:rsid w:val="6829CA1E"/>
    <w:rsid w:val="68409EBE"/>
    <w:rsid w:val="6893D13C"/>
    <w:rsid w:val="6B3240EC"/>
    <w:rsid w:val="6D55102C"/>
    <w:rsid w:val="6D68B990"/>
    <w:rsid w:val="702DCAC0"/>
    <w:rsid w:val="7049A642"/>
    <w:rsid w:val="716F5FEA"/>
    <w:rsid w:val="717BFB63"/>
    <w:rsid w:val="71C5E161"/>
    <w:rsid w:val="72B8832B"/>
    <w:rsid w:val="740AA5FC"/>
    <w:rsid w:val="763225DC"/>
    <w:rsid w:val="77CB26C0"/>
    <w:rsid w:val="787E0D94"/>
    <w:rsid w:val="78F603A2"/>
    <w:rsid w:val="7946E1CE"/>
    <w:rsid w:val="79EFEE6E"/>
    <w:rsid w:val="7BE4E1A5"/>
    <w:rsid w:val="7C825C79"/>
    <w:rsid w:val="7D049C3E"/>
    <w:rsid w:val="7D4E09B1"/>
    <w:rsid w:val="7E2107C8"/>
  </w:rsids>
  <m:mathPr>
    <m:mathFont m:val="Cambria Math"/>
    <m:brkBin m:val="before"/>
    <m:brkBinSub m:val="--"/>
    <m:smallFrac m:val="0"/>
    <m:dispDef/>
    <m:lMargin m:val="0"/>
    <m:rMargin m:val="0"/>
    <m:defJc m:val="centerGroup"/>
    <m:wrapIndent m:val="1440"/>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AE0CC22"/>
  <w14:defaultImageDpi w14:val="330"/>
  <w15:docId w15:val="{8FF2EAA1-02CE-45DE-BA94-6668BB2D1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ET Top_page"/>
    <w:rsid w:val="0065572A"/>
    <w:pPr>
      <w:tabs>
        <w:tab w:val="right" w:pos="7100"/>
      </w:tabs>
      <w:spacing w:after="0" w:line="264" w:lineRule="auto"/>
      <w:jc w:val="both"/>
    </w:pPr>
    <w:rPr>
      <w:rFonts w:ascii="Arial" w:eastAsia="Times New Roman" w:hAnsi="Arial" w:cs="Times New Roman"/>
      <w:sz w:val="18"/>
      <w:szCs w:val="20"/>
      <w:lang w:val="en-GB"/>
    </w:rPr>
  </w:style>
  <w:style w:type="paragraph" w:styleId="Heading1">
    <w:name w:val="heading 1"/>
    <w:basedOn w:val="CETHeading1"/>
    <w:next w:val="Normal"/>
    <w:link w:val="Heading1Char"/>
    <w:uiPriority w:val="9"/>
    <w:rsid w:val="004F5E36"/>
    <w:pPr>
      <w:tabs>
        <w:tab w:val="clear" w:pos="360"/>
        <w:tab w:val="right" w:pos="7100"/>
      </w:tabs>
      <w:jc w:val="both"/>
      <w:outlineLvl w:val="0"/>
    </w:pPr>
    <w:rPr>
      <w:lang w:val="en-GB"/>
    </w:rPr>
  </w:style>
  <w:style w:type="paragraph" w:styleId="Heading2">
    <w:name w:val="heading 2"/>
    <w:basedOn w:val="Normal"/>
    <w:next w:val="Normal"/>
    <w:link w:val="Heading2Char"/>
    <w:uiPriority w:val="9"/>
    <w:semiHidden/>
    <w:unhideWhenUsed/>
    <w:qFormat/>
    <w:rsid w:val="0003148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03148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03148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03148D"/>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03148D"/>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03148D"/>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3148D"/>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unhideWhenUsed/>
    <w:qFormat/>
    <w:rsid w:val="0003148D"/>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ETAuthors">
    <w:name w:val="CET Authors"/>
    <w:basedOn w:val="CETBodytext"/>
    <w:link w:val="CETAuthorsCarattere"/>
    <w:qFormat/>
    <w:rsid w:val="000E414A"/>
    <w:pPr>
      <w:keepNext/>
      <w:suppressAutoHyphens/>
      <w:spacing w:after="120"/>
    </w:pPr>
    <w:rPr>
      <w:noProof/>
      <w:sz w:val="24"/>
      <w:lang w:val="en-GB"/>
    </w:rPr>
  </w:style>
  <w:style w:type="paragraph" w:customStyle="1" w:styleId="CETTitle">
    <w:name w:val="CET Title"/>
    <w:next w:val="CETAuthors"/>
    <w:link w:val="CETTitleCarattere"/>
    <w:rsid w:val="00FB730C"/>
    <w:pPr>
      <w:suppressAutoHyphens/>
      <w:spacing w:before="480" w:after="120" w:line="264" w:lineRule="auto"/>
      <w:jc w:val="center"/>
      <w:outlineLvl w:val="0"/>
    </w:pPr>
    <w:rPr>
      <w:rFonts w:ascii="Arial" w:eastAsia="Times New Roman" w:hAnsi="Arial" w:cs="Times New Roman"/>
      <w:sz w:val="32"/>
      <w:szCs w:val="20"/>
      <w:lang w:val="en-GB"/>
    </w:rPr>
  </w:style>
  <w:style w:type="character" w:customStyle="1" w:styleId="CETAuthorsCarattere">
    <w:name w:val="CET Authors Carattere"/>
    <w:link w:val="CETAuthors"/>
    <w:rsid w:val="009E788A"/>
    <w:rPr>
      <w:rFonts w:ascii="Arial" w:eastAsia="Times New Roman" w:hAnsi="Arial" w:cs="Times New Roman"/>
      <w:noProof/>
      <w:sz w:val="24"/>
      <w:szCs w:val="20"/>
      <w:lang w:val="en-GB"/>
    </w:rPr>
  </w:style>
  <w:style w:type="character" w:customStyle="1" w:styleId="CETTitleCarattere">
    <w:name w:val="CET Title Carattere"/>
    <w:link w:val="CETTitle"/>
    <w:rsid w:val="00FB730C"/>
    <w:rPr>
      <w:rFonts w:ascii="Arial" w:eastAsia="Times New Roman" w:hAnsi="Arial" w:cs="Times New Roman"/>
      <w:sz w:val="32"/>
      <w:szCs w:val="20"/>
      <w:lang w:val="en-GB"/>
    </w:rPr>
  </w:style>
  <w:style w:type="paragraph" w:customStyle="1" w:styleId="CETHeading1">
    <w:name w:val="CET Heading1"/>
    <w:next w:val="CETBodytext"/>
    <w:qFormat/>
    <w:rsid w:val="009E788A"/>
    <w:pPr>
      <w:keepNext/>
      <w:numPr>
        <w:ilvl w:val="1"/>
        <w:numId w:val="1"/>
      </w:numPr>
      <w:tabs>
        <w:tab w:val="num" w:pos="360"/>
      </w:tabs>
      <w:suppressAutoHyphens/>
      <w:spacing w:before="240" w:after="120" w:line="240" w:lineRule="auto"/>
    </w:pPr>
    <w:rPr>
      <w:rFonts w:ascii="Arial" w:eastAsia="Times New Roman" w:hAnsi="Arial" w:cs="Times New Roman"/>
      <w:b/>
      <w:sz w:val="20"/>
      <w:szCs w:val="20"/>
      <w:lang w:val="en-US"/>
    </w:rPr>
  </w:style>
  <w:style w:type="paragraph" w:customStyle="1" w:styleId="CETBodytext">
    <w:name w:val="CET Body text"/>
    <w:link w:val="CETBodytextCarattere"/>
    <w:qFormat/>
    <w:rsid w:val="000E414A"/>
    <w:pPr>
      <w:tabs>
        <w:tab w:val="right" w:pos="7100"/>
      </w:tabs>
      <w:spacing w:after="0" w:line="264" w:lineRule="auto"/>
      <w:jc w:val="both"/>
    </w:pPr>
    <w:rPr>
      <w:rFonts w:ascii="Arial" w:eastAsia="Times New Roman" w:hAnsi="Arial" w:cs="Times New Roman"/>
      <w:sz w:val="18"/>
      <w:szCs w:val="20"/>
      <w:lang w:val="en-US"/>
    </w:rPr>
  </w:style>
  <w:style w:type="paragraph" w:customStyle="1" w:styleId="CETheadingx">
    <w:name w:val="CET headingx"/>
    <w:next w:val="CETBodytext"/>
    <w:link w:val="CETheadingxCarattere"/>
    <w:autoRedefine/>
    <w:qFormat/>
    <w:rsid w:val="00FA5F5F"/>
    <w:pPr>
      <w:keepNext/>
      <w:numPr>
        <w:ilvl w:val="2"/>
        <w:numId w:val="1"/>
      </w:numPr>
      <w:suppressAutoHyphens/>
      <w:spacing w:before="120" w:after="120" w:line="240" w:lineRule="auto"/>
    </w:pPr>
    <w:rPr>
      <w:rFonts w:ascii="Arial" w:eastAsia="Times New Roman" w:hAnsi="Arial" w:cs="Times New Roman"/>
      <w:b/>
      <w:sz w:val="18"/>
      <w:szCs w:val="20"/>
      <w:lang w:val="en-US"/>
    </w:rPr>
  </w:style>
  <w:style w:type="paragraph" w:customStyle="1" w:styleId="CETAddress">
    <w:name w:val="CET Address"/>
    <w:link w:val="CETAddressCarattere"/>
    <w:qFormat/>
    <w:rsid w:val="009E788A"/>
    <w:pPr>
      <w:keepNext/>
      <w:suppressAutoHyphens/>
      <w:spacing w:after="0"/>
      <w:contextualSpacing/>
    </w:pPr>
    <w:rPr>
      <w:rFonts w:ascii="Arial" w:eastAsia="Times New Roman" w:hAnsi="Arial" w:cs="Times New Roman"/>
      <w:noProof/>
      <w:sz w:val="16"/>
      <w:szCs w:val="20"/>
      <w:lang w:val="en-GB"/>
    </w:rPr>
  </w:style>
  <w:style w:type="table" w:styleId="TableSimple1">
    <w:name w:val="Table Simple 1"/>
    <w:basedOn w:val="TableNormal"/>
    <w:semiHidden/>
    <w:rsid w:val="000E414A"/>
    <w:pPr>
      <w:numPr>
        <w:ilvl w:val="3"/>
        <w:numId w:val="1"/>
      </w:numPr>
      <w:spacing w:after="0" w:line="264" w:lineRule="auto"/>
      <w:jc w:val="both"/>
    </w:pPr>
    <w:rPr>
      <w:rFonts w:ascii="Times New Roman" w:eastAsia="Times New Roman" w:hAnsi="Times New Roman" w:cs="Times New Roman"/>
      <w:sz w:val="20"/>
      <w:szCs w:val="20"/>
      <w:lang w:eastAsia="it-IT"/>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CETBodytextCarattere">
    <w:name w:val="CET Body text Carattere"/>
    <w:link w:val="CETBodytext"/>
    <w:rsid w:val="000E414A"/>
    <w:rPr>
      <w:rFonts w:ascii="Arial" w:eastAsia="Times New Roman" w:hAnsi="Arial" w:cs="Times New Roman"/>
      <w:sz w:val="18"/>
      <w:szCs w:val="20"/>
      <w:lang w:val="en-US"/>
    </w:rPr>
  </w:style>
  <w:style w:type="paragraph" w:customStyle="1" w:styleId="CETReference">
    <w:name w:val="CET Reference"/>
    <w:qFormat/>
    <w:rsid w:val="00FC2695"/>
    <w:pPr>
      <w:spacing w:before="200" w:after="120" w:line="240" w:lineRule="auto"/>
    </w:pPr>
    <w:rPr>
      <w:rFonts w:ascii="Arial" w:eastAsia="Times New Roman" w:hAnsi="Arial" w:cs="Times New Roman"/>
      <w:b/>
      <w:sz w:val="18"/>
      <w:szCs w:val="20"/>
      <w:lang w:val="en-GB"/>
    </w:rPr>
  </w:style>
  <w:style w:type="paragraph" w:customStyle="1" w:styleId="CETCaption">
    <w:name w:val="CET Caption"/>
    <w:link w:val="CETCaptionCarattere"/>
    <w:qFormat/>
    <w:rsid w:val="00F7534E"/>
    <w:pPr>
      <w:spacing w:before="240" w:after="240" w:line="264" w:lineRule="auto"/>
      <w:jc w:val="both"/>
    </w:pPr>
    <w:rPr>
      <w:rFonts w:ascii="Arial" w:eastAsia="Times New Roman" w:hAnsi="Arial" w:cs="Times New Roman"/>
      <w:i/>
      <w:sz w:val="18"/>
      <w:szCs w:val="20"/>
      <w:lang w:val="en-GB"/>
    </w:rPr>
  </w:style>
  <w:style w:type="character" w:customStyle="1" w:styleId="CETheadingxCarattere">
    <w:name w:val="CET headingx Carattere"/>
    <w:link w:val="CETheadingx"/>
    <w:rsid w:val="00FA5F5F"/>
    <w:rPr>
      <w:rFonts w:ascii="Arial" w:eastAsia="Times New Roman" w:hAnsi="Arial" w:cs="Times New Roman"/>
      <w:b/>
      <w:sz w:val="18"/>
      <w:szCs w:val="20"/>
      <w:lang w:val="en-US"/>
    </w:rPr>
  </w:style>
  <w:style w:type="character" w:customStyle="1" w:styleId="CETCaptionCarattere">
    <w:name w:val="CET Caption Carattere"/>
    <w:link w:val="CETCaption"/>
    <w:rsid w:val="00F7534E"/>
    <w:rPr>
      <w:rFonts w:ascii="Arial" w:eastAsia="Times New Roman" w:hAnsi="Arial" w:cs="Times New Roman"/>
      <w:i/>
      <w:sz w:val="18"/>
      <w:szCs w:val="20"/>
      <w:lang w:val="en-GB"/>
    </w:rPr>
  </w:style>
  <w:style w:type="paragraph" w:customStyle="1" w:styleId="CETBodytextItalic">
    <w:name w:val="CET Body text (Italic)"/>
    <w:basedOn w:val="CETBodytext"/>
    <w:qFormat/>
    <w:rsid w:val="004F5E36"/>
    <w:rPr>
      <w:i/>
      <w:lang w:val="en-GB"/>
    </w:rPr>
  </w:style>
  <w:style w:type="character" w:styleId="CommentReference">
    <w:name w:val="annotation reference"/>
    <w:basedOn w:val="DefaultParagraphFont"/>
    <w:uiPriority w:val="99"/>
    <w:semiHidden/>
    <w:unhideWhenUsed/>
    <w:rsid w:val="004577FE"/>
    <w:rPr>
      <w:sz w:val="16"/>
      <w:szCs w:val="16"/>
    </w:rPr>
  </w:style>
  <w:style w:type="paragraph" w:styleId="BalloonText">
    <w:name w:val="Balloon Text"/>
    <w:basedOn w:val="Normal"/>
    <w:link w:val="BalloonTextChar"/>
    <w:uiPriority w:val="99"/>
    <w:semiHidden/>
    <w:unhideWhenUsed/>
    <w:rsid w:val="000D34B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34BE"/>
    <w:rPr>
      <w:rFonts w:ascii="Tahoma" w:hAnsi="Tahoma" w:cs="Tahoma"/>
      <w:sz w:val="16"/>
      <w:szCs w:val="16"/>
    </w:rPr>
  </w:style>
  <w:style w:type="paragraph" w:styleId="Bibliography">
    <w:name w:val="Bibliography"/>
    <w:basedOn w:val="CETReferencetext"/>
    <w:uiPriority w:val="37"/>
    <w:unhideWhenUsed/>
    <w:rsid w:val="00631B33"/>
    <w:pPr>
      <w:spacing w:line="240" w:lineRule="auto"/>
      <w:ind w:left="720" w:hanging="720"/>
    </w:pPr>
  </w:style>
  <w:style w:type="paragraph" w:styleId="BodyText2">
    <w:name w:val="Body Text 2"/>
    <w:basedOn w:val="Normal"/>
    <w:link w:val="BodyText2Char"/>
    <w:uiPriority w:val="99"/>
    <w:semiHidden/>
    <w:unhideWhenUsed/>
    <w:rsid w:val="0003148D"/>
    <w:pPr>
      <w:spacing w:after="120" w:line="480" w:lineRule="auto"/>
    </w:pPr>
  </w:style>
  <w:style w:type="character" w:customStyle="1" w:styleId="BodyText2Char">
    <w:name w:val="Body Text 2 Char"/>
    <w:basedOn w:val="DefaultParagraphFont"/>
    <w:link w:val="BodyText2"/>
    <w:uiPriority w:val="99"/>
    <w:semiHidden/>
    <w:rsid w:val="0003148D"/>
  </w:style>
  <w:style w:type="paragraph" w:styleId="BodyText3">
    <w:name w:val="Body Text 3"/>
    <w:basedOn w:val="Normal"/>
    <w:link w:val="BodyText3Char"/>
    <w:uiPriority w:val="99"/>
    <w:semiHidden/>
    <w:unhideWhenUsed/>
    <w:rsid w:val="0003148D"/>
    <w:pPr>
      <w:spacing w:after="120"/>
    </w:pPr>
    <w:rPr>
      <w:sz w:val="16"/>
      <w:szCs w:val="16"/>
    </w:rPr>
  </w:style>
  <w:style w:type="character" w:customStyle="1" w:styleId="BodyText3Char">
    <w:name w:val="Body Text 3 Char"/>
    <w:basedOn w:val="DefaultParagraphFont"/>
    <w:link w:val="BodyText3"/>
    <w:uiPriority w:val="99"/>
    <w:semiHidden/>
    <w:rsid w:val="0003148D"/>
    <w:rPr>
      <w:sz w:val="16"/>
      <w:szCs w:val="16"/>
    </w:rPr>
  </w:style>
  <w:style w:type="paragraph" w:styleId="BodyText">
    <w:name w:val="Body Text"/>
    <w:basedOn w:val="Normal"/>
    <w:link w:val="BodyTextChar"/>
    <w:uiPriority w:val="99"/>
    <w:semiHidden/>
    <w:unhideWhenUsed/>
    <w:rsid w:val="0003148D"/>
    <w:pPr>
      <w:spacing w:after="120"/>
    </w:pPr>
  </w:style>
  <w:style w:type="character" w:customStyle="1" w:styleId="BodyTextChar">
    <w:name w:val="Body Text Char"/>
    <w:basedOn w:val="DefaultParagraphFont"/>
    <w:link w:val="BodyText"/>
    <w:uiPriority w:val="99"/>
    <w:semiHidden/>
    <w:rsid w:val="0003148D"/>
  </w:style>
  <w:style w:type="paragraph" w:styleId="Date">
    <w:name w:val="Date"/>
    <w:basedOn w:val="Normal"/>
    <w:next w:val="Normal"/>
    <w:link w:val="DateChar"/>
    <w:uiPriority w:val="99"/>
    <w:semiHidden/>
    <w:unhideWhenUsed/>
    <w:rsid w:val="0003148D"/>
  </w:style>
  <w:style w:type="character" w:customStyle="1" w:styleId="DateChar">
    <w:name w:val="Date Char"/>
    <w:basedOn w:val="DefaultParagraphFont"/>
    <w:link w:val="Date"/>
    <w:uiPriority w:val="99"/>
    <w:semiHidden/>
    <w:rsid w:val="0003148D"/>
  </w:style>
  <w:style w:type="paragraph" w:styleId="Caption">
    <w:name w:val="caption"/>
    <w:basedOn w:val="Normal"/>
    <w:next w:val="Normal"/>
    <w:uiPriority w:val="35"/>
    <w:unhideWhenUsed/>
    <w:qFormat/>
    <w:rsid w:val="0003148D"/>
    <w:pPr>
      <w:spacing w:line="240" w:lineRule="auto"/>
    </w:pPr>
    <w:rPr>
      <w:b/>
      <w:bCs/>
      <w:color w:val="4F81BD" w:themeColor="accent1"/>
      <w:szCs w:val="18"/>
    </w:rPr>
  </w:style>
  <w:style w:type="paragraph" w:styleId="List">
    <w:name w:val="List"/>
    <w:basedOn w:val="Normal"/>
    <w:uiPriority w:val="99"/>
    <w:semiHidden/>
    <w:unhideWhenUsed/>
    <w:rsid w:val="0003148D"/>
    <w:pPr>
      <w:ind w:left="283" w:hanging="283"/>
      <w:contextualSpacing/>
    </w:pPr>
  </w:style>
  <w:style w:type="paragraph" w:styleId="List2">
    <w:name w:val="List 2"/>
    <w:basedOn w:val="Normal"/>
    <w:uiPriority w:val="99"/>
    <w:semiHidden/>
    <w:unhideWhenUsed/>
    <w:rsid w:val="0003148D"/>
    <w:pPr>
      <w:ind w:left="566" w:hanging="283"/>
      <w:contextualSpacing/>
    </w:pPr>
  </w:style>
  <w:style w:type="paragraph" w:styleId="List3">
    <w:name w:val="List 3"/>
    <w:basedOn w:val="Normal"/>
    <w:uiPriority w:val="99"/>
    <w:semiHidden/>
    <w:unhideWhenUsed/>
    <w:rsid w:val="0003148D"/>
    <w:pPr>
      <w:ind w:left="849" w:hanging="283"/>
      <w:contextualSpacing/>
    </w:pPr>
  </w:style>
  <w:style w:type="paragraph" w:styleId="List4">
    <w:name w:val="List 4"/>
    <w:basedOn w:val="Normal"/>
    <w:uiPriority w:val="99"/>
    <w:semiHidden/>
    <w:unhideWhenUsed/>
    <w:rsid w:val="0003148D"/>
    <w:pPr>
      <w:ind w:left="1132" w:hanging="283"/>
      <w:contextualSpacing/>
    </w:pPr>
  </w:style>
  <w:style w:type="paragraph" w:styleId="List5">
    <w:name w:val="List 5"/>
    <w:basedOn w:val="Normal"/>
    <w:uiPriority w:val="99"/>
    <w:semiHidden/>
    <w:unhideWhenUsed/>
    <w:rsid w:val="0003148D"/>
    <w:pPr>
      <w:ind w:left="1415" w:hanging="283"/>
      <w:contextualSpacing/>
    </w:pPr>
  </w:style>
  <w:style w:type="paragraph" w:styleId="ListContinue">
    <w:name w:val="List Continue"/>
    <w:basedOn w:val="Normal"/>
    <w:uiPriority w:val="99"/>
    <w:semiHidden/>
    <w:unhideWhenUsed/>
    <w:rsid w:val="0003148D"/>
    <w:pPr>
      <w:spacing w:after="120"/>
      <w:ind w:left="283"/>
      <w:contextualSpacing/>
    </w:pPr>
  </w:style>
  <w:style w:type="paragraph" w:styleId="ListContinue2">
    <w:name w:val="List Continue 2"/>
    <w:basedOn w:val="Normal"/>
    <w:uiPriority w:val="99"/>
    <w:semiHidden/>
    <w:unhideWhenUsed/>
    <w:rsid w:val="0003148D"/>
    <w:pPr>
      <w:spacing w:after="120"/>
      <w:ind w:left="566"/>
      <w:contextualSpacing/>
    </w:pPr>
  </w:style>
  <w:style w:type="paragraph" w:styleId="ListContinue3">
    <w:name w:val="List Continue 3"/>
    <w:basedOn w:val="Normal"/>
    <w:uiPriority w:val="99"/>
    <w:semiHidden/>
    <w:unhideWhenUsed/>
    <w:rsid w:val="0003148D"/>
    <w:pPr>
      <w:spacing w:after="120"/>
      <w:ind w:left="849"/>
      <w:contextualSpacing/>
    </w:pPr>
  </w:style>
  <w:style w:type="paragraph" w:styleId="ListContinue4">
    <w:name w:val="List Continue 4"/>
    <w:basedOn w:val="Normal"/>
    <w:uiPriority w:val="99"/>
    <w:semiHidden/>
    <w:unhideWhenUsed/>
    <w:rsid w:val="0003148D"/>
    <w:pPr>
      <w:spacing w:after="120"/>
      <w:ind w:left="1132"/>
      <w:contextualSpacing/>
    </w:pPr>
  </w:style>
  <w:style w:type="paragraph" w:styleId="ListContinue5">
    <w:name w:val="List Continue 5"/>
    <w:basedOn w:val="Normal"/>
    <w:uiPriority w:val="99"/>
    <w:semiHidden/>
    <w:unhideWhenUsed/>
    <w:rsid w:val="0003148D"/>
    <w:pPr>
      <w:spacing w:after="120"/>
      <w:ind w:left="1415"/>
      <w:contextualSpacing/>
    </w:pPr>
  </w:style>
  <w:style w:type="paragraph" w:styleId="Signature">
    <w:name w:val="Signature"/>
    <w:basedOn w:val="Normal"/>
    <w:link w:val="SignatureChar"/>
    <w:uiPriority w:val="99"/>
    <w:semiHidden/>
    <w:unhideWhenUsed/>
    <w:rsid w:val="0003148D"/>
    <w:pPr>
      <w:spacing w:line="240" w:lineRule="auto"/>
      <w:ind w:left="4252"/>
    </w:pPr>
  </w:style>
  <w:style w:type="character" w:customStyle="1" w:styleId="SignatureChar">
    <w:name w:val="Signature Char"/>
    <w:basedOn w:val="DefaultParagraphFont"/>
    <w:link w:val="Signature"/>
    <w:uiPriority w:val="99"/>
    <w:semiHidden/>
    <w:rsid w:val="0003148D"/>
  </w:style>
  <w:style w:type="paragraph" w:styleId="E-mailSignature">
    <w:name w:val="E-mail Signature"/>
    <w:basedOn w:val="Normal"/>
    <w:link w:val="E-mailSignatureChar"/>
    <w:uiPriority w:val="99"/>
    <w:semiHidden/>
    <w:unhideWhenUsed/>
    <w:rsid w:val="0003148D"/>
    <w:pPr>
      <w:spacing w:line="240" w:lineRule="auto"/>
    </w:pPr>
  </w:style>
  <w:style w:type="character" w:customStyle="1" w:styleId="E-mailSignatureChar">
    <w:name w:val="E-mail Signature Char"/>
    <w:basedOn w:val="DefaultParagraphFont"/>
    <w:link w:val="E-mailSignature"/>
    <w:uiPriority w:val="99"/>
    <w:semiHidden/>
    <w:rsid w:val="0003148D"/>
  </w:style>
  <w:style w:type="paragraph" w:styleId="Salutation">
    <w:name w:val="Salutation"/>
    <w:basedOn w:val="Normal"/>
    <w:next w:val="Normal"/>
    <w:link w:val="SalutationChar"/>
    <w:uiPriority w:val="99"/>
    <w:semiHidden/>
    <w:unhideWhenUsed/>
    <w:rsid w:val="0003148D"/>
  </w:style>
  <w:style w:type="character" w:customStyle="1" w:styleId="SalutationChar">
    <w:name w:val="Salutation Char"/>
    <w:basedOn w:val="DefaultParagraphFont"/>
    <w:link w:val="Salutation"/>
    <w:uiPriority w:val="99"/>
    <w:semiHidden/>
    <w:rsid w:val="0003148D"/>
  </w:style>
  <w:style w:type="paragraph" w:styleId="Closing">
    <w:name w:val="Closing"/>
    <w:basedOn w:val="Normal"/>
    <w:link w:val="ClosingChar"/>
    <w:uiPriority w:val="99"/>
    <w:semiHidden/>
    <w:unhideWhenUsed/>
    <w:rsid w:val="0003148D"/>
    <w:pPr>
      <w:spacing w:line="240" w:lineRule="auto"/>
      <w:ind w:left="4252"/>
    </w:pPr>
  </w:style>
  <w:style w:type="character" w:customStyle="1" w:styleId="ClosingChar">
    <w:name w:val="Closing Char"/>
    <w:basedOn w:val="DefaultParagraphFont"/>
    <w:link w:val="Closing"/>
    <w:uiPriority w:val="99"/>
    <w:semiHidden/>
    <w:rsid w:val="0003148D"/>
  </w:style>
  <w:style w:type="paragraph" w:styleId="Index1">
    <w:name w:val="index 1"/>
    <w:basedOn w:val="Normal"/>
    <w:next w:val="Normal"/>
    <w:autoRedefine/>
    <w:uiPriority w:val="99"/>
    <w:semiHidden/>
    <w:unhideWhenUsed/>
    <w:rsid w:val="0003148D"/>
    <w:pPr>
      <w:spacing w:line="240" w:lineRule="auto"/>
      <w:ind w:left="220" w:hanging="220"/>
    </w:pPr>
  </w:style>
  <w:style w:type="paragraph" w:styleId="Index2">
    <w:name w:val="index 2"/>
    <w:basedOn w:val="Normal"/>
    <w:next w:val="Normal"/>
    <w:autoRedefine/>
    <w:uiPriority w:val="99"/>
    <w:semiHidden/>
    <w:unhideWhenUsed/>
    <w:rsid w:val="0003148D"/>
    <w:pPr>
      <w:spacing w:line="240" w:lineRule="auto"/>
      <w:ind w:left="440" w:hanging="220"/>
    </w:pPr>
  </w:style>
  <w:style w:type="paragraph" w:styleId="Index3">
    <w:name w:val="index 3"/>
    <w:basedOn w:val="Normal"/>
    <w:next w:val="Normal"/>
    <w:autoRedefine/>
    <w:uiPriority w:val="99"/>
    <w:semiHidden/>
    <w:unhideWhenUsed/>
    <w:rsid w:val="0003148D"/>
    <w:pPr>
      <w:spacing w:line="240" w:lineRule="auto"/>
      <w:ind w:left="660" w:hanging="220"/>
    </w:pPr>
  </w:style>
  <w:style w:type="paragraph" w:styleId="Index4">
    <w:name w:val="index 4"/>
    <w:basedOn w:val="Normal"/>
    <w:next w:val="Normal"/>
    <w:autoRedefine/>
    <w:uiPriority w:val="99"/>
    <w:semiHidden/>
    <w:unhideWhenUsed/>
    <w:rsid w:val="0003148D"/>
    <w:pPr>
      <w:spacing w:line="240" w:lineRule="auto"/>
      <w:ind w:left="880" w:hanging="220"/>
    </w:pPr>
  </w:style>
  <w:style w:type="paragraph" w:styleId="Index5">
    <w:name w:val="index 5"/>
    <w:basedOn w:val="Normal"/>
    <w:next w:val="Normal"/>
    <w:autoRedefine/>
    <w:uiPriority w:val="99"/>
    <w:semiHidden/>
    <w:unhideWhenUsed/>
    <w:rsid w:val="0003148D"/>
    <w:pPr>
      <w:spacing w:line="240" w:lineRule="auto"/>
      <w:ind w:left="1100" w:hanging="220"/>
    </w:pPr>
  </w:style>
  <w:style w:type="paragraph" w:styleId="Index6">
    <w:name w:val="index 6"/>
    <w:basedOn w:val="Normal"/>
    <w:next w:val="Normal"/>
    <w:autoRedefine/>
    <w:uiPriority w:val="99"/>
    <w:semiHidden/>
    <w:unhideWhenUsed/>
    <w:rsid w:val="0003148D"/>
    <w:pPr>
      <w:spacing w:line="240" w:lineRule="auto"/>
      <w:ind w:left="1320" w:hanging="220"/>
    </w:pPr>
  </w:style>
  <w:style w:type="paragraph" w:styleId="Index7">
    <w:name w:val="index 7"/>
    <w:basedOn w:val="Normal"/>
    <w:next w:val="Normal"/>
    <w:autoRedefine/>
    <w:uiPriority w:val="99"/>
    <w:semiHidden/>
    <w:unhideWhenUsed/>
    <w:rsid w:val="0003148D"/>
    <w:pPr>
      <w:spacing w:line="240" w:lineRule="auto"/>
      <w:ind w:left="1540" w:hanging="220"/>
    </w:pPr>
  </w:style>
  <w:style w:type="paragraph" w:styleId="Index8">
    <w:name w:val="index 8"/>
    <w:basedOn w:val="Normal"/>
    <w:next w:val="Normal"/>
    <w:autoRedefine/>
    <w:uiPriority w:val="99"/>
    <w:semiHidden/>
    <w:unhideWhenUsed/>
    <w:rsid w:val="0003148D"/>
    <w:pPr>
      <w:spacing w:line="240" w:lineRule="auto"/>
      <w:ind w:left="1760" w:hanging="220"/>
    </w:pPr>
  </w:style>
  <w:style w:type="paragraph" w:styleId="Index9">
    <w:name w:val="index 9"/>
    <w:basedOn w:val="Normal"/>
    <w:next w:val="Normal"/>
    <w:autoRedefine/>
    <w:uiPriority w:val="99"/>
    <w:semiHidden/>
    <w:unhideWhenUsed/>
    <w:rsid w:val="0003148D"/>
    <w:pPr>
      <w:spacing w:line="240" w:lineRule="auto"/>
      <w:ind w:left="1980" w:hanging="220"/>
    </w:pPr>
  </w:style>
  <w:style w:type="paragraph" w:styleId="TableofFigures">
    <w:name w:val="table of figures"/>
    <w:basedOn w:val="Normal"/>
    <w:next w:val="Normal"/>
    <w:uiPriority w:val="99"/>
    <w:semiHidden/>
    <w:unhideWhenUsed/>
    <w:rsid w:val="0003148D"/>
  </w:style>
  <w:style w:type="paragraph" w:styleId="TableofAuthorities">
    <w:name w:val="table of authorities"/>
    <w:basedOn w:val="Normal"/>
    <w:next w:val="Normal"/>
    <w:uiPriority w:val="99"/>
    <w:semiHidden/>
    <w:unhideWhenUsed/>
    <w:rsid w:val="0003148D"/>
    <w:pPr>
      <w:ind w:left="220" w:hanging="220"/>
    </w:pPr>
  </w:style>
  <w:style w:type="paragraph" w:styleId="EnvelopeAddress">
    <w:name w:val="envelope address"/>
    <w:basedOn w:val="Normal"/>
    <w:uiPriority w:val="99"/>
    <w:semiHidden/>
    <w:unhideWhenUsed/>
    <w:rsid w:val="0003148D"/>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HTMLAddress">
    <w:name w:val="HTML Address"/>
    <w:basedOn w:val="Normal"/>
    <w:link w:val="HTMLAddressChar"/>
    <w:uiPriority w:val="99"/>
    <w:semiHidden/>
    <w:unhideWhenUsed/>
    <w:rsid w:val="0003148D"/>
    <w:pPr>
      <w:spacing w:line="240" w:lineRule="auto"/>
    </w:pPr>
    <w:rPr>
      <w:i/>
      <w:iCs/>
    </w:rPr>
  </w:style>
  <w:style w:type="character" w:customStyle="1" w:styleId="HTMLAddressChar">
    <w:name w:val="HTML Address Char"/>
    <w:basedOn w:val="DefaultParagraphFont"/>
    <w:link w:val="HTMLAddress"/>
    <w:uiPriority w:val="99"/>
    <w:semiHidden/>
    <w:rsid w:val="0003148D"/>
    <w:rPr>
      <w:i/>
      <w:iCs/>
    </w:rPr>
  </w:style>
  <w:style w:type="paragraph" w:styleId="EnvelopeReturn">
    <w:name w:val="envelope return"/>
    <w:basedOn w:val="Normal"/>
    <w:uiPriority w:val="99"/>
    <w:semiHidden/>
    <w:unhideWhenUsed/>
    <w:rsid w:val="0003148D"/>
    <w:pPr>
      <w:spacing w:line="240" w:lineRule="auto"/>
    </w:pPr>
    <w:rPr>
      <w:rFonts w:asciiTheme="majorHAnsi" w:eastAsiaTheme="majorEastAsia" w:hAnsiTheme="majorHAnsi" w:cstheme="majorBidi"/>
    </w:rPr>
  </w:style>
  <w:style w:type="paragraph" w:styleId="MessageHeader">
    <w:name w:val="Message Header"/>
    <w:basedOn w:val="Normal"/>
    <w:link w:val="MessageHeaderChar"/>
    <w:uiPriority w:val="99"/>
    <w:semiHidden/>
    <w:unhideWhenUsed/>
    <w:rsid w:val="0003148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03148D"/>
    <w:rPr>
      <w:rFonts w:asciiTheme="majorHAnsi" w:eastAsiaTheme="majorEastAsia" w:hAnsiTheme="majorHAnsi" w:cstheme="majorBidi"/>
      <w:sz w:val="24"/>
      <w:szCs w:val="24"/>
      <w:shd w:val="pct20" w:color="auto" w:fill="auto"/>
    </w:rPr>
  </w:style>
  <w:style w:type="paragraph" w:styleId="NoteHeading">
    <w:name w:val="Note Heading"/>
    <w:basedOn w:val="Normal"/>
    <w:next w:val="Normal"/>
    <w:link w:val="NoteHeadingChar"/>
    <w:uiPriority w:val="99"/>
    <w:semiHidden/>
    <w:unhideWhenUsed/>
    <w:rsid w:val="0003148D"/>
    <w:pPr>
      <w:spacing w:line="240" w:lineRule="auto"/>
    </w:pPr>
  </w:style>
  <w:style w:type="character" w:customStyle="1" w:styleId="NoteHeadingChar">
    <w:name w:val="Note Heading Char"/>
    <w:basedOn w:val="DefaultParagraphFont"/>
    <w:link w:val="NoteHeading"/>
    <w:uiPriority w:val="99"/>
    <w:semiHidden/>
    <w:rsid w:val="0003148D"/>
  </w:style>
  <w:style w:type="paragraph" w:styleId="DocumentMap">
    <w:name w:val="Document Map"/>
    <w:basedOn w:val="Normal"/>
    <w:link w:val="DocumentMapChar"/>
    <w:uiPriority w:val="99"/>
    <w:semiHidden/>
    <w:unhideWhenUsed/>
    <w:rsid w:val="0003148D"/>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03148D"/>
    <w:rPr>
      <w:rFonts w:ascii="Tahoma" w:hAnsi="Tahoma" w:cs="Tahoma"/>
      <w:sz w:val="16"/>
      <w:szCs w:val="16"/>
    </w:rPr>
  </w:style>
  <w:style w:type="paragraph" w:styleId="NormalWeb">
    <w:name w:val="Normal (Web)"/>
    <w:basedOn w:val="Normal"/>
    <w:uiPriority w:val="99"/>
    <w:semiHidden/>
    <w:unhideWhenUsed/>
    <w:rsid w:val="0003148D"/>
    <w:rPr>
      <w:sz w:val="24"/>
      <w:szCs w:val="24"/>
    </w:rPr>
  </w:style>
  <w:style w:type="paragraph" w:styleId="ListNumber">
    <w:name w:val="List Number"/>
    <w:basedOn w:val="Normal"/>
    <w:uiPriority w:val="99"/>
    <w:semiHidden/>
    <w:unhideWhenUsed/>
    <w:rsid w:val="0003148D"/>
    <w:pPr>
      <w:numPr>
        <w:numId w:val="2"/>
      </w:numPr>
      <w:contextualSpacing/>
    </w:pPr>
  </w:style>
  <w:style w:type="paragraph" w:styleId="ListNumber2">
    <w:name w:val="List Number 2"/>
    <w:basedOn w:val="Normal"/>
    <w:uiPriority w:val="99"/>
    <w:semiHidden/>
    <w:unhideWhenUsed/>
    <w:rsid w:val="0003148D"/>
    <w:pPr>
      <w:numPr>
        <w:numId w:val="3"/>
      </w:numPr>
      <w:contextualSpacing/>
    </w:pPr>
  </w:style>
  <w:style w:type="paragraph" w:styleId="ListNumber3">
    <w:name w:val="List Number 3"/>
    <w:basedOn w:val="Normal"/>
    <w:uiPriority w:val="99"/>
    <w:semiHidden/>
    <w:unhideWhenUsed/>
    <w:rsid w:val="0003148D"/>
    <w:pPr>
      <w:numPr>
        <w:numId w:val="4"/>
      </w:numPr>
      <w:contextualSpacing/>
    </w:pPr>
  </w:style>
  <w:style w:type="paragraph" w:styleId="ListNumber4">
    <w:name w:val="List Number 4"/>
    <w:basedOn w:val="Normal"/>
    <w:uiPriority w:val="99"/>
    <w:semiHidden/>
    <w:unhideWhenUsed/>
    <w:rsid w:val="0003148D"/>
    <w:pPr>
      <w:numPr>
        <w:numId w:val="5"/>
      </w:numPr>
      <w:contextualSpacing/>
    </w:pPr>
  </w:style>
  <w:style w:type="paragraph" w:styleId="ListNumber5">
    <w:name w:val="List Number 5"/>
    <w:basedOn w:val="Normal"/>
    <w:uiPriority w:val="99"/>
    <w:semiHidden/>
    <w:unhideWhenUsed/>
    <w:rsid w:val="0003148D"/>
    <w:pPr>
      <w:numPr>
        <w:numId w:val="6"/>
      </w:numPr>
      <w:contextualSpacing/>
    </w:pPr>
  </w:style>
  <w:style w:type="paragraph" w:styleId="HTMLPreformatted">
    <w:name w:val="HTML Preformatted"/>
    <w:basedOn w:val="Normal"/>
    <w:link w:val="HTMLPreformattedChar"/>
    <w:uiPriority w:val="99"/>
    <w:semiHidden/>
    <w:unhideWhenUsed/>
    <w:rsid w:val="0003148D"/>
    <w:pPr>
      <w:spacing w:line="240" w:lineRule="auto"/>
    </w:pPr>
    <w:rPr>
      <w:rFonts w:ascii="Consolas" w:hAnsi="Consolas" w:cs="Consolas"/>
    </w:rPr>
  </w:style>
  <w:style w:type="character" w:customStyle="1" w:styleId="HTMLPreformattedChar">
    <w:name w:val="HTML Preformatted Char"/>
    <w:basedOn w:val="DefaultParagraphFont"/>
    <w:link w:val="HTMLPreformatted"/>
    <w:uiPriority w:val="99"/>
    <w:semiHidden/>
    <w:rsid w:val="0003148D"/>
    <w:rPr>
      <w:rFonts w:ascii="Consolas" w:hAnsi="Consolas" w:cs="Consolas"/>
      <w:sz w:val="20"/>
      <w:szCs w:val="20"/>
    </w:rPr>
  </w:style>
  <w:style w:type="paragraph" w:styleId="BodyTextFirstIndent">
    <w:name w:val="Body Text First Indent"/>
    <w:basedOn w:val="BodyText"/>
    <w:link w:val="BodyTextFirstIndentChar"/>
    <w:uiPriority w:val="99"/>
    <w:semiHidden/>
    <w:unhideWhenUsed/>
    <w:rsid w:val="0003148D"/>
    <w:pPr>
      <w:spacing w:after="200"/>
      <w:ind w:firstLine="360"/>
    </w:pPr>
  </w:style>
  <w:style w:type="character" w:customStyle="1" w:styleId="BodyTextFirstIndentChar">
    <w:name w:val="Body Text First Indent Char"/>
    <w:basedOn w:val="BodyTextChar"/>
    <w:link w:val="BodyTextFirstIndent"/>
    <w:uiPriority w:val="99"/>
    <w:semiHidden/>
    <w:rsid w:val="0003148D"/>
  </w:style>
  <w:style w:type="paragraph" w:styleId="BodyTextIndent">
    <w:name w:val="Body Text Indent"/>
    <w:basedOn w:val="Normal"/>
    <w:link w:val="BodyTextIndentChar"/>
    <w:uiPriority w:val="99"/>
    <w:semiHidden/>
    <w:unhideWhenUsed/>
    <w:rsid w:val="0003148D"/>
    <w:pPr>
      <w:spacing w:after="120"/>
      <w:ind w:left="283"/>
    </w:pPr>
  </w:style>
  <w:style w:type="character" w:customStyle="1" w:styleId="BodyTextIndentChar">
    <w:name w:val="Body Text Indent Char"/>
    <w:basedOn w:val="DefaultParagraphFont"/>
    <w:link w:val="BodyTextIndent"/>
    <w:uiPriority w:val="99"/>
    <w:semiHidden/>
    <w:rsid w:val="0003148D"/>
  </w:style>
  <w:style w:type="paragraph" w:styleId="BodyTextFirstIndent2">
    <w:name w:val="Body Text First Indent 2"/>
    <w:basedOn w:val="BodyTextIndent"/>
    <w:link w:val="BodyTextFirstIndent2Char"/>
    <w:uiPriority w:val="99"/>
    <w:semiHidden/>
    <w:unhideWhenUsed/>
    <w:rsid w:val="0003148D"/>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03148D"/>
  </w:style>
  <w:style w:type="paragraph" w:styleId="ListBullet">
    <w:name w:val="List Bullet"/>
    <w:basedOn w:val="Normal"/>
    <w:uiPriority w:val="99"/>
    <w:semiHidden/>
    <w:unhideWhenUsed/>
    <w:rsid w:val="0003148D"/>
    <w:pPr>
      <w:numPr>
        <w:numId w:val="7"/>
      </w:numPr>
      <w:contextualSpacing/>
    </w:pPr>
  </w:style>
  <w:style w:type="paragraph" w:styleId="ListBullet2">
    <w:name w:val="List Bullet 2"/>
    <w:basedOn w:val="Normal"/>
    <w:uiPriority w:val="99"/>
    <w:semiHidden/>
    <w:unhideWhenUsed/>
    <w:rsid w:val="0003148D"/>
    <w:pPr>
      <w:numPr>
        <w:numId w:val="8"/>
      </w:numPr>
      <w:contextualSpacing/>
    </w:pPr>
  </w:style>
  <w:style w:type="paragraph" w:styleId="ListBullet3">
    <w:name w:val="List Bullet 3"/>
    <w:basedOn w:val="Normal"/>
    <w:uiPriority w:val="99"/>
    <w:semiHidden/>
    <w:unhideWhenUsed/>
    <w:rsid w:val="0003148D"/>
    <w:pPr>
      <w:numPr>
        <w:numId w:val="9"/>
      </w:numPr>
      <w:contextualSpacing/>
    </w:pPr>
  </w:style>
  <w:style w:type="paragraph" w:styleId="ListBullet4">
    <w:name w:val="List Bullet 4"/>
    <w:basedOn w:val="Normal"/>
    <w:uiPriority w:val="99"/>
    <w:semiHidden/>
    <w:unhideWhenUsed/>
    <w:rsid w:val="0003148D"/>
    <w:pPr>
      <w:numPr>
        <w:numId w:val="10"/>
      </w:numPr>
      <w:contextualSpacing/>
    </w:pPr>
  </w:style>
  <w:style w:type="paragraph" w:styleId="ListBullet5">
    <w:name w:val="List Bullet 5"/>
    <w:basedOn w:val="Normal"/>
    <w:uiPriority w:val="99"/>
    <w:semiHidden/>
    <w:unhideWhenUsed/>
    <w:rsid w:val="0003148D"/>
    <w:pPr>
      <w:numPr>
        <w:numId w:val="11"/>
      </w:numPr>
      <w:contextualSpacing/>
    </w:pPr>
  </w:style>
  <w:style w:type="paragraph" w:styleId="BodyTextIndent2">
    <w:name w:val="Body Text Indent 2"/>
    <w:basedOn w:val="Normal"/>
    <w:link w:val="BodyTextIndent2Char"/>
    <w:uiPriority w:val="99"/>
    <w:semiHidden/>
    <w:unhideWhenUsed/>
    <w:rsid w:val="0003148D"/>
    <w:pPr>
      <w:spacing w:after="120" w:line="480" w:lineRule="auto"/>
      <w:ind w:left="283"/>
    </w:pPr>
  </w:style>
  <w:style w:type="character" w:customStyle="1" w:styleId="BodyTextIndent2Char">
    <w:name w:val="Body Text Indent 2 Char"/>
    <w:basedOn w:val="DefaultParagraphFont"/>
    <w:link w:val="BodyTextIndent2"/>
    <w:uiPriority w:val="99"/>
    <w:semiHidden/>
    <w:rsid w:val="0003148D"/>
  </w:style>
  <w:style w:type="paragraph" w:styleId="BodyTextIndent3">
    <w:name w:val="Body Text Indent 3"/>
    <w:basedOn w:val="Normal"/>
    <w:link w:val="BodyTextIndent3Char"/>
    <w:uiPriority w:val="99"/>
    <w:semiHidden/>
    <w:unhideWhenUsed/>
    <w:rsid w:val="0003148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03148D"/>
    <w:rPr>
      <w:sz w:val="16"/>
      <w:szCs w:val="16"/>
    </w:rPr>
  </w:style>
  <w:style w:type="paragraph" w:styleId="NormalIndent">
    <w:name w:val="Normal Indent"/>
    <w:basedOn w:val="Normal"/>
    <w:uiPriority w:val="99"/>
    <w:semiHidden/>
    <w:unhideWhenUsed/>
    <w:rsid w:val="0003148D"/>
    <w:pPr>
      <w:ind w:left="720"/>
    </w:pPr>
  </w:style>
  <w:style w:type="paragraph" w:styleId="CommentText">
    <w:name w:val="annotation text"/>
    <w:basedOn w:val="Normal"/>
    <w:link w:val="CommentTextChar"/>
    <w:uiPriority w:val="99"/>
    <w:unhideWhenUsed/>
    <w:rsid w:val="0003148D"/>
    <w:pPr>
      <w:spacing w:line="240" w:lineRule="auto"/>
    </w:pPr>
  </w:style>
  <w:style w:type="character" w:customStyle="1" w:styleId="CommentTextChar">
    <w:name w:val="Comment Text Char"/>
    <w:basedOn w:val="DefaultParagraphFont"/>
    <w:link w:val="CommentText"/>
    <w:uiPriority w:val="99"/>
    <w:rsid w:val="0003148D"/>
    <w:rPr>
      <w:sz w:val="20"/>
      <w:szCs w:val="20"/>
    </w:rPr>
  </w:style>
  <w:style w:type="paragraph" w:styleId="CommentSubject">
    <w:name w:val="annotation subject"/>
    <w:basedOn w:val="CommentText"/>
    <w:next w:val="CommentText"/>
    <w:link w:val="CommentSubjectChar"/>
    <w:uiPriority w:val="99"/>
    <w:semiHidden/>
    <w:unhideWhenUsed/>
    <w:rsid w:val="0003148D"/>
    <w:rPr>
      <w:b/>
      <w:bCs/>
    </w:rPr>
  </w:style>
  <w:style w:type="character" w:customStyle="1" w:styleId="CommentSubjectChar">
    <w:name w:val="Comment Subject Char"/>
    <w:basedOn w:val="CommentTextChar"/>
    <w:link w:val="CommentSubject"/>
    <w:uiPriority w:val="99"/>
    <w:semiHidden/>
    <w:rsid w:val="0003148D"/>
    <w:rPr>
      <w:b/>
      <w:bCs/>
      <w:sz w:val="20"/>
      <w:szCs w:val="20"/>
    </w:rPr>
  </w:style>
  <w:style w:type="paragraph" w:styleId="TOC1">
    <w:name w:val="toc 1"/>
    <w:basedOn w:val="Normal"/>
    <w:next w:val="Normal"/>
    <w:autoRedefine/>
    <w:uiPriority w:val="39"/>
    <w:semiHidden/>
    <w:unhideWhenUsed/>
    <w:rsid w:val="0003148D"/>
    <w:pPr>
      <w:spacing w:after="100"/>
    </w:pPr>
  </w:style>
  <w:style w:type="paragraph" w:styleId="TOC2">
    <w:name w:val="toc 2"/>
    <w:basedOn w:val="Normal"/>
    <w:next w:val="Normal"/>
    <w:autoRedefine/>
    <w:uiPriority w:val="39"/>
    <w:semiHidden/>
    <w:unhideWhenUsed/>
    <w:rsid w:val="0003148D"/>
    <w:pPr>
      <w:spacing w:after="100"/>
      <w:ind w:left="220"/>
    </w:pPr>
  </w:style>
  <w:style w:type="paragraph" w:styleId="TOC3">
    <w:name w:val="toc 3"/>
    <w:basedOn w:val="Normal"/>
    <w:next w:val="Normal"/>
    <w:autoRedefine/>
    <w:uiPriority w:val="39"/>
    <w:semiHidden/>
    <w:unhideWhenUsed/>
    <w:rsid w:val="0003148D"/>
    <w:pPr>
      <w:spacing w:after="100"/>
      <w:ind w:left="440"/>
    </w:pPr>
  </w:style>
  <w:style w:type="paragraph" w:styleId="TOC4">
    <w:name w:val="toc 4"/>
    <w:basedOn w:val="Normal"/>
    <w:next w:val="Normal"/>
    <w:autoRedefine/>
    <w:uiPriority w:val="39"/>
    <w:semiHidden/>
    <w:unhideWhenUsed/>
    <w:rsid w:val="0003148D"/>
    <w:pPr>
      <w:spacing w:after="100"/>
      <w:ind w:left="660"/>
    </w:pPr>
  </w:style>
  <w:style w:type="paragraph" w:styleId="TOC5">
    <w:name w:val="toc 5"/>
    <w:basedOn w:val="Normal"/>
    <w:next w:val="Normal"/>
    <w:autoRedefine/>
    <w:uiPriority w:val="39"/>
    <w:semiHidden/>
    <w:unhideWhenUsed/>
    <w:rsid w:val="0003148D"/>
    <w:pPr>
      <w:spacing w:after="100"/>
      <w:ind w:left="880"/>
    </w:pPr>
  </w:style>
  <w:style w:type="paragraph" w:styleId="TOC6">
    <w:name w:val="toc 6"/>
    <w:basedOn w:val="Normal"/>
    <w:next w:val="Normal"/>
    <w:autoRedefine/>
    <w:uiPriority w:val="39"/>
    <w:semiHidden/>
    <w:unhideWhenUsed/>
    <w:rsid w:val="0003148D"/>
    <w:pPr>
      <w:spacing w:after="100"/>
      <w:ind w:left="1100"/>
    </w:pPr>
  </w:style>
  <w:style w:type="paragraph" w:styleId="TOC7">
    <w:name w:val="toc 7"/>
    <w:basedOn w:val="Normal"/>
    <w:next w:val="Normal"/>
    <w:autoRedefine/>
    <w:uiPriority w:val="39"/>
    <w:semiHidden/>
    <w:unhideWhenUsed/>
    <w:rsid w:val="0003148D"/>
    <w:pPr>
      <w:spacing w:after="100"/>
      <w:ind w:left="1320"/>
    </w:pPr>
  </w:style>
  <w:style w:type="paragraph" w:styleId="TOC8">
    <w:name w:val="toc 8"/>
    <w:basedOn w:val="Normal"/>
    <w:next w:val="Normal"/>
    <w:autoRedefine/>
    <w:uiPriority w:val="39"/>
    <w:semiHidden/>
    <w:unhideWhenUsed/>
    <w:rsid w:val="0003148D"/>
    <w:pPr>
      <w:spacing w:after="100"/>
      <w:ind w:left="1540"/>
    </w:pPr>
  </w:style>
  <w:style w:type="paragraph" w:styleId="TOC9">
    <w:name w:val="toc 9"/>
    <w:basedOn w:val="Normal"/>
    <w:next w:val="Normal"/>
    <w:autoRedefine/>
    <w:uiPriority w:val="39"/>
    <w:semiHidden/>
    <w:unhideWhenUsed/>
    <w:rsid w:val="0003148D"/>
    <w:pPr>
      <w:spacing w:after="100"/>
      <w:ind w:left="1760"/>
    </w:pPr>
  </w:style>
  <w:style w:type="paragraph" w:styleId="BlockText">
    <w:name w:val="Block Text"/>
    <w:basedOn w:val="Normal"/>
    <w:uiPriority w:val="99"/>
    <w:semiHidden/>
    <w:unhideWhenUsed/>
    <w:rsid w:val="0003148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MacroText">
    <w:name w:val="macro"/>
    <w:link w:val="MacroTextChar"/>
    <w:uiPriority w:val="99"/>
    <w:semiHidden/>
    <w:unhideWhenUsed/>
    <w:rsid w:val="0003148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uiPriority w:val="99"/>
    <w:semiHidden/>
    <w:rsid w:val="0003148D"/>
    <w:rPr>
      <w:rFonts w:ascii="Consolas" w:hAnsi="Consolas" w:cs="Consolas"/>
      <w:sz w:val="20"/>
      <w:szCs w:val="20"/>
    </w:rPr>
  </w:style>
  <w:style w:type="paragraph" w:styleId="PlainText">
    <w:name w:val="Plain Text"/>
    <w:basedOn w:val="Normal"/>
    <w:link w:val="PlainTextChar"/>
    <w:uiPriority w:val="99"/>
    <w:semiHidden/>
    <w:unhideWhenUsed/>
    <w:rsid w:val="0003148D"/>
    <w:pPr>
      <w:spacing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03148D"/>
    <w:rPr>
      <w:rFonts w:ascii="Consolas" w:hAnsi="Consolas" w:cs="Consolas"/>
      <w:sz w:val="21"/>
      <w:szCs w:val="21"/>
    </w:rPr>
  </w:style>
  <w:style w:type="paragraph" w:styleId="FootnoteText">
    <w:name w:val="footnote text"/>
    <w:basedOn w:val="Normal"/>
    <w:link w:val="FootnoteTextChar"/>
    <w:uiPriority w:val="99"/>
    <w:semiHidden/>
    <w:unhideWhenUsed/>
    <w:rsid w:val="0003148D"/>
    <w:pPr>
      <w:spacing w:line="240" w:lineRule="auto"/>
    </w:pPr>
  </w:style>
  <w:style w:type="character" w:customStyle="1" w:styleId="FootnoteTextChar">
    <w:name w:val="Footnote Text Char"/>
    <w:basedOn w:val="DefaultParagraphFont"/>
    <w:link w:val="FootnoteText"/>
    <w:uiPriority w:val="99"/>
    <w:semiHidden/>
    <w:rsid w:val="0003148D"/>
    <w:rPr>
      <w:sz w:val="20"/>
      <w:szCs w:val="20"/>
    </w:rPr>
  </w:style>
  <w:style w:type="paragraph" w:styleId="EndnoteText">
    <w:name w:val="endnote text"/>
    <w:basedOn w:val="Normal"/>
    <w:link w:val="EndnoteTextChar"/>
    <w:uiPriority w:val="99"/>
    <w:semiHidden/>
    <w:unhideWhenUsed/>
    <w:rsid w:val="0003148D"/>
    <w:pPr>
      <w:spacing w:line="240" w:lineRule="auto"/>
    </w:pPr>
  </w:style>
  <w:style w:type="character" w:customStyle="1" w:styleId="EndnoteTextChar">
    <w:name w:val="Endnote Text Char"/>
    <w:basedOn w:val="DefaultParagraphFont"/>
    <w:link w:val="EndnoteText"/>
    <w:uiPriority w:val="99"/>
    <w:semiHidden/>
    <w:rsid w:val="0003148D"/>
    <w:rPr>
      <w:sz w:val="20"/>
      <w:szCs w:val="20"/>
    </w:rPr>
  </w:style>
  <w:style w:type="character" w:customStyle="1" w:styleId="Heading1Char">
    <w:name w:val="Heading 1 Char"/>
    <w:basedOn w:val="DefaultParagraphFont"/>
    <w:link w:val="Heading1"/>
    <w:uiPriority w:val="9"/>
    <w:rsid w:val="004F5E36"/>
    <w:rPr>
      <w:rFonts w:ascii="Arial" w:eastAsia="Times New Roman" w:hAnsi="Arial" w:cs="Times New Roman"/>
      <w:b/>
      <w:sz w:val="20"/>
      <w:szCs w:val="20"/>
      <w:lang w:val="en-GB"/>
    </w:rPr>
  </w:style>
  <w:style w:type="character" w:customStyle="1" w:styleId="Heading2Char">
    <w:name w:val="Heading 2 Char"/>
    <w:basedOn w:val="DefaultParagraphFont"/>
    <w:link w:val="Heading2"/>
    <w:uiPriority w:val="9"/>
    <w:semiHidden/>
    <w:rsid w:val="0003148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03148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03148D"/>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03148D"/>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03148D"/>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03148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3148D"/>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03148D"/>
    <w:rPr>
      <w:rFonts w:asciiTheme="majorHAnsi" w:eastAsiaTheme="majorEastAsia" w:hAnsiTheme="majorHAnsi" w:cstheme="majorBidi"/>
      <w:i/>
      <w:iCs/>
      <w:color w:val="404040" w:themeColor="text1" w:themeTint="BF"/>
      <w:sz w:val="20"/>
      <w:szCs w:val="20"/>
    </w:rPr>
  </w:style>
  <w:style w:type="paragraph" w:styleId="IndexHeading">
    <w:name w:val="index heading"/>
    <w:basedOn w:val="Normal"/>
    <w:next w:val="Index1"/>
    <w:uiPriority w:val="99"/>
    <w:semiHidden/>
    <w:unhideWhenUsed/>
    <w:rsid w:val="0003148D"/>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03148D"/>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semiHidden/>
    <w:unhideWhenUsed/>
    <w:qFormat/>
    <w:rsid w:val="0003148D"/>
    <w:pPr>
      <w:outlineLvl w:val="9"/>
    </w:pPr>
  </w:style>
  <w:style w:type="paragraph" w:customStyle="1" w:styleId="CETemail">
    <w:name w:val="CET email"/>
    <w:next w:val="CETBodytext"/>
    <w:rsid w:val="009E788A"/>
    <w:pPr>
      <w:spacing w:after="240"/>
    </w:pPr>
    <w:rPr>
      <w:rFonts w:ascii="Arial" w:eastAsia="Times New Roman" w:hAnsi="Arial" w:cs="Times New Roman"/>
      <w:noProof/>
      <w:sz w:val="16"/>
      <w:szCs w:val="20"/>
      <w:lang w:val="en-GB"/>
    </w:rPr>
  </w:style>
  <w:style w:type="character" w:customStyle="1" w:styleId="CETAddressCarattere">
    <w:name w:val="CET Address Carattere"/>
    <w:basedOn w:val="DefaultParagraphFont"/>
    <w:link w:val="CETAddress"/>
    <w:rsid w:val="009E788A"/>
    <w:rPr>
      <w:rFonts w:ascii="Arial" w:eastAsia="Times New Roman" w:hAnsi="Arial" w:cs="Times New Roman"/>
      <w:noProof/>
      <w:sz w:val="16"/>
      <w:szCs w:val="20"/>
      <w:lang w:val="en-GB"/>
    </w:rPr>
  </w:style>
  <w:style w:type="paragraph" w:customStyle="1" w:styleId="CETBodytextBold">
    <w:name w:val="CET Body text (Bold)"/>
    <w:basedOn w:val="CETBodytext"/>
    <w:rsid w:val="00901EB6"/>
    <w:rPr>
      <w:b/>
    </w:rPr>
  </w:style>
  <w:style w:type="paragraph" w:customStyle="1" w:styleId="CETnumberingbullets">
    <w:name w:val="CET numbering (bullets)"/>
    <w:rsid w:val="008D433B"/>
    <w:pPr>
      <w:numPr>
        <w:numId w:val="13"/>
      </w:numPr>
      <w:spacing w:after="0" w:line="264" w:lineRule="auto"/>
    </w:pPr>
    <w:rPr>
      <w:rFonts w:ascii="Arial" w:eastAsia="Times New Roman" w:hAnsi="Arial" w:cs="Times New Roman"/>
      <w:sz w:val="18"/>
      <w:szCs w:val="20"/>
      <w:lang w:val="en-GB"/>
    </w:rPr>
  </w:style>
  <w:style w:type="paragraph" w:customStyle="1" w:styleId="CETnumbering1">
    <w:name w:val="CET numbering (1"/>
    <w:aliases w:val="2..)"/>
    <w:rsid w:val="00B57B36"/>
    <w:pPr>
      <w:numPr>
        <w:numId w:val="14"/>
      </w:numPr>
      <w:spacing w:after="0" w:line="264" w:lineRule="auto"/>
      <w:ind w:left="340" w:hanging="227"/>
    </w:pPr>
    <w:rPr>
      <w:rFonts w:ascii="Arial" w:eastAsia="Times New Roman" w:hAnsi="Arial" w:cs="Times New Roman"/>
      <w:sz w:val="18"/>
      <w:szCs w:val="20"/>
      <w:lang w:val="en-US"/>
    </w:rPr>
  </w:style>
  <w:style w:type="paragraph" w:customStyle="1" w:styleId="CETnumberinga">
    <w:name w:val="CET numbering (a"/>
    <w:aliases w:val="b,..)"/>
    <w:rsid w:val="00B57B36"/>
    <w:pPr>
      <w:numPr>
        <w:numId w:val="15"/>
      </w:numPr>
      <w:spacing w:after="0" w:line="264" w:lineRule="auto"/>
    </w:pPr>
    <w:rPr>
      <w:rFonts w:ascii="Arial" w:eastAsia="Times New Roman" w:hAnsi="Arial" w:cs="Times New Roman"/>
      <w:sz w:val="18"/>
      <w:szCs w:val="20"/>
      <w:lang w:val="en-GB"/>
    </w:rPr>
  </w:style>
  <w:style w:type="paragraph" w:styleId="Header">
    <w:name w:val="header"/>
    <w:basedOn w:val="Normal"/>
    <w:link w:val="HeaderChar"/>
    <w:uiPriority w:val="99"/>
    <w:unhideWhenUsed/>
    <w:rsid w:val="005278B7"/>
    <w:pPr>
      <w:tabs>
        <w:tab w:val="clear" w:pos="7100"/>
        <w:tab w:val="center" w:pos="4819"/>
        <w:tab w:val="right" w:pos="9638"/>
      </w:tabs>
      <w:spacing w:line="240" w:lineRule="auto"/>
    </w:pPr>
  </w:style>
  <w:style w:type="character" w:customStyle="1" w:styleId="HeaderChar">
    <w:name w:val="Header Char"/>
    <w:basedOn w:val="DefaultParagraphFont"/>
    <w:link w:val="Header"/>
    <w:uiPriority w:val="99"/>
    <w:rsid w:val="005278B7"/>
    <w:rPr>
      <w:rFonts w:ascii="Arial" w:eastAsia="Times New Roman" w:hAnsi="Arial" w:cs="Times New Roman"/>
      <w:sz w:val="18"/>
      <w:szCs w:val="20"/>
      <w:lang w:val="en-GB"/>
    </w:rPr>
  </w:style>
  <w:style w:type="paragraph" w:styleId="Footer">
    <w:name w:val="footer"/>
    <w:basedOn w:val="Normal"/>
    <w:link w:val="FooterChar"/>
    <w:uiPriority w:val="99"/>
    <w:unhideWhenUsed/>
    <w:rsid w:val="005278B7"/>
    <w:pPr>
      <w:tabs>
        <w:tab w:val="clear" w:pos="7100"/>
        <w:tab w:val="center" w:pos="4819"/>
        <w:tab w:val="right" w:pos="9638"/>
      </w:tabs>
      <w:spacing w:line="240" w:lineRule="auto"/>
    </w:pPr>
  </w:style>
  <w:style w:type="character" w:customStyle="1" w:styleId="FooterChar">
    <w:name w:val="Footer Char"/>
    <w:basedOn w:val="DefaultParagraphFont"/>
    <w:link w:val="Footer"/>
    <w:uiPriority w:val="99"/>
    <w:rsid w:val="005278B7"/>
    <w:rPr>
      <w:rFonts w:ascii="Arial" w:eastAsia="Times New Roman" w:hAnsi="Arial" w:cs="Times New Roman"/>
      <w:sz w:val="18"/>
      <w:szCs w:val="20"/>
      <w:lang w:val="en-GB"/>
    </w:rPr>
  </w:style>
  <w:style w:type="table" w:styleId="TableGrid">
    <w:name w:val="Table Grid"/>
    <w:basedOn w:val="TableNormal"/>
    <w:uiPriority w:val="59"/>
    <w:rsid w:val="00660E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04C62"/>
    <w:rPr>
      <w:color w:val="0000FF" w:themeColor="hyperlink"/>
      <w:u w:val="single"/>
    </w:rPr>
  </w:style>
  <w:style w:type="character" w:customStyle="1" w:styleId="eudoraheader">
    <w:name w:val="eudoraheader"/>
    <w:basedOn w:val="DefaultParagraphFont"/>
    <w:rsid w:val="00904C62"/>
  </w:style>
  <w:style w:type="paragraph" w:customStyle="1" w:styleId="CETListbullets">
    <w:name w:val="CET List bullets"/>
    <w:qFormat/>
    <w:rsid w:val="004577FE"/>
    <w:pPr>
      <w:spacing w:after="0" w:line="264" w:lineRule="auto"/>
      <w:ind w:left="340" w:hanging="227"/>
      <w:jc w:val="both"/>
    </w:pPr>
    <w:rPr>
      <w:rFonts w:ascii="Arial" w:eastAsia="Times New Roman" w:hAnsi="Arial" w:cs="Times New Roman"/>
      <w:sz w:val="18"/>
      <w:szCs w:val="20"/>
      <w:lang w:val="en-GB"/>
    </w:rPr>
  </w:style>
  <w:style w:type="paragraph" w:customStyle="1" w:styleId="CETReferencetext">
    <w:name w:val="CET Reference text"/>
    <w:qFormat/>
    <w:rsid w:val="00600535"/>
    <w:pPr>
      <w:spacing w:after="0" w:line="264" w:lineRule="auto"/>
      <w:ind w:left="284" w:hanging="284"/>
      <w:jc w:val="both"/>
    </w:pPr>
    <w:rPr>
      <w:rFonts w:ascii="Arial" w:eastAsia="Times New Roman" w:hAnsi="Arial" w:cs="Times New Roman"/>
      <w:sz w:val="18"/>
      <w:szCs w:val="20"/>
      <w:lang w:val="en-GB"/>
    </w:rPr>
  </w:style>
  <w:style w:type="paragraph" w:customStyle="1" w:styleId="CETTabletitle">
    <w:name w:val="CET Table title"/>
    <w:qFormat/>
    <w:rsid w:val="00600535"/>
    <w:pPr>
      <w:keepNext/>
      <w:spacing w:before="240" w:after="80" w:line="240" w:lineRule="exact"/>
    </w:pPr>
    <w:rPr>
      <w:rFonts w:ascii="Arial" w:eastAsia="Times New Roman" w:hAnsi="Arial" w:cs="Times New Roman"/>
      <w:i/>
      <w:sz w:val="18"/>
      <w:szCs w:val="20"/>
      <w:lang w:val="en-GB"/>
    </w:rPr>
  </w:style>
  <w:style w:type="paragraph" w:customStyle="1" w:styleId="CETAcknowledgementstitle">
    <w:name w:val="CET Acknowledgements title"/>
    <w:next w:val="CETBodytext"/>
    <w:qFormat/>
    <w:rsid w:val="00600535"/>
    <w:pPr>
      <w:spacing w:before="200" w:after="120"/>
    </w:pPr>
    <w:rPr>
      <w:rFonts w:ascii="Arial" w:eastAsia="Times New Roman" w:hAnsi="Arial" w:cs="Times New Roman"/>
      <w:b/>
      <w:sz w:val="18"/>
      <w:szCs w:val="20"/>
      <w:lang w:val="en-GB"/>
    </w:rPr>
  </w:style>
  <w:style w:type="paragraph" w:customStyle="1" w:styleId="CETEquation">
    <w:name w:val="CET Equation"/>
    <w:basedOn w:val="CETBodytext"/>
    <w:next w:val="CETBodytext"/>
    <w:qFormat/>
    <w:rsid w:val="00600535"/>
    <w:pPr>
      <w:spacing w:before="120" w:after="120"/>
      <w:jc w:val="left"/>
    </w:pPr>
    <w:rPr>
      <w:lang w:val="en-GB"/>
    </w:rPr>
  </w:style>
  <w:style w:type="paragraph" w:customStyle="1" w:styleId="CETHeadingxx">
    <w:name w:val="CET Headingxx"/>
    <w:basedOn w:val="CETheadingx"/>
    <w:link w:val="CETHeadingxxChar"/>
    <w:qFormat/>
    <w:rsid w:val="000F787B"/>
    <w:pPr>
      <w:numPr>
        <w:ilvl w:val="0"/>
        <w:numId w:val="0"/>
      </w:numPr>
    </w:pPr>
  </w:style>
  <w:style w:type="character" w:customStyle="1" w:styleId="CETHeadingxxChar">
    <w:name w:val="CET Headingxx Char"/>
    <w:basedOn w:val="CETheadingxCarattere"/>
    <w:link w:val="CETHeadingxx"/>
    <w:rsid w:val="000F787B"/>
    <w:rPr>
      <w:rFonts w:ascii="Arial" w:eastAsia="Times New Roman" w:hAnsi="Arial" w:cs="Times New Roman"/>
      <w:b/>
      <w:sz w:val="18"/>
      <w:szCs w:val="20"/>
      <w:lang w:val="en-US"/>
    </w:rPr>
  </w:style>
  <w:style w:type="paragraph" w:styleId="ListParagraph">
    <w:name w:val="List Paragraph"/>
    <w:basedOn w:val="Normal"/>
    <w:uiPriority w:val="34"/>
    <w:rsid w:val="00280FAF"/>
    <w:pPr>
      <w:ind w:left="720"/>
      <w:contextualSpacing/>
    </w:pPr>
  </w:style>
  <w:style w:type="character" w:customStyle="1" w:styleId="gmail-apple-converted-space">
    <w:name w:val="gmail-apple-converted-space"/>
    <w:basedOn w:val="DefaultParagraphFont"/>
    <w:rsid w:val="00005A19"/>
  </w:style>
  <w:style w:type="character" w:styleId="UnresolvedMention">
    <w:name w:val="Unresolved Mention"/>
    <w:basedOn w:val="DefaultParagraphFont"/>
    <w:uiPriority w:val="99"/>
    <w:semiHidden/>
    <w:unhideWhenUsed/>
    <w:rsid w:val="000E562B"/>
    <w:rPr>
      <w:color w:val="605E5C"/>
      <w:shd w:val="clear" w:color="auto" w:fill="E1DFDD"/>
    </w:rPr>
  </w:style>
  <w:style w:type="table" w:customStyle="1" w:styleId="PlainTable51">
    <w:name w:val="Plain Table 51"/>
    <w:basedOn w:val="TableNormal"/>
    <w:next w:val="PlainTable5"/>
    <w:uiPriority w:val="45"/>
    <w:rsid w:val="00BB620E"/>
    <w:pPr>
      <w:spacing w:after="0" w:line="240" w:lineRule="auto"/>
    </w:pPr>
    <w:rPr>
      <w:rFonts w:eastAsia="Times New Roman"/>
      <w:sz w:val="24"/>
      <w:szCs w:val="24"/>
      <w:lang w:val="en-GB" w:eastAsia="ja-JP"/>
    </w:rPr>
    <w:tblPr>
      <w:tblStyleRowBandSize w:val="1"/>
      <w:tblStyleColBandSize w:val="1"/>
    </w:tblPr>
    <w:tblStylePr w:type="firstRow">
      <w:rPr>
        <w:rFonts w:ascii="AdvP6960" w:eastAsia="Times New Roman" w:hAnsi="AdvP6960" w:cs="Times New Roman"/>
        <w:i/>
        <w:iCs/>
        <w:sz w:val="26"/>
      </w:rPr>
      <w:tblPr/>
      <w:tcPr>
        <w:tcBorders>
          <w:bottom w:val="single" w:sz="4" w:space="0" w:color="7F7F7F"/>
        </w:tcBorders>
        <w:shd w:val="clear" w:color="auto" w:fill="FFFFFF"/>
      </w:tcPr>
    </w:tblStylePr>
    <w:tblStylePr w:type="lastRow">
      <w:rPr>
        <w:rFonts w:ascii="AdvP6960" w:eastAsia="Times New Roman" w:hAnsi="AdvP6960" w:cs="Times New Roman"/>
        <w:i/>
        <w:iCs/>
        <w:sz w:val="26"/>
      </w:rPr>
      <w:tblPr/>
      <w:tcPr>
        <w:tcBorders>
          <w:top w:val="single" w:sz="4" w:space="0" w:color="7F7F7F"/>
        </w:tcBorders>
        <w:shd w:val="clear" w:color="auto" w:fill="FFFFFF"/>
      </w:tcPr>
    </w:tblStylePr>
    <w:tblStylePr w:type="firstCol">
      <w:pPr>
        <w:jc w:val="right"/>
      </w:pPr>
      <w:rPr>
        <w:rFonts w:ascii="AdvP6960" w:eastAsia="Times New Roman" w:hAnsi="AdvP6960" w:cs="Times New Roman"/>
        <w:i/>
        <w:iCs/>
        <w:sz w:val="26"/>
      </w:rPr>
      <w:tblPr/>
      <w:tcPr>
        <w:tcBorders>
          <w:right w:val="single" w:sz="4" w:space="0" w:color="7F7F7F"/>
        </w:tcBorders>
        <w:shd w:val="clear" w:color="auto" w:fill="FFFFFF"/>
      </w:tcPr>
    </w:tblStylePr>
    <w:tblStylePr w:type="lastCol">
      <w:rPr>
        <w:rFonts w:ascii="AdvP6960" w:eastAsia="Times New Roman" w:hAnsi="AdvP6960"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5">
    <w:name w:val="Plain Table 5"/>
    <w:basedOn w:val="TableNormal"/>
    <w:uiPriority w:val="45"/>
    <w:rsid w:val="00BB620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AF297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FC1CC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609195">
      <w:bodyDiv w:val="1"/>
      <w:marLeft w:val="0"/>
      <w:marRight w:val="0"/>
      <w:marTop w:val="0"/>
      <w:marBottom w:val="0"/>
      <w:divBdr>
        <w:top w:val="none" w:sz="0" w:space="0" w:color="auto"/>
        <w:left w:val="none" w:sz="0" w:space="0" w:color="auto"/>
        <w:bottom w:val="none" w:sz="0" w:space="0" w:color="auto"/>
        <w:right w:val="none" w:sz="0" w:space="0" w:color="auto"/>
      </w:divBdr>
      <w:divsChild>
        <w:div w:id="1810825834">
          <w:marLeft w:val="0"/>
          <w:marRight w:val="0"/>
          <w:marTop w:val="0"/>
          <w:marBottom w:val="0"/>
          <w:divBdr>
            <w:top w:val="none" w:sz="0" w:space="0" w:color="auto"/>
            <w:left w:val="none" w:sz="0" w:space="0" w:color="auto"/>
            <w:bottom w:val="none" w:sz="0" w:space="0" w:color="auto"/>
            <w:right w:val="none" w:sz="0" w:space="0" w:color="auto"/>
          </w:divBdr>
          <w:divsChild>
            <w:div w:id="57883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321189">
      <w:bodyDiv w:val="1"/>
      <w:marLeft w:val="0"/>
      <w:marRight w:val="0"/>
      <w:marTop w:val="0"/>
      <w:marBottom w:val="0"/>
      <w:divBdr>
        <w:top w:val="none" w:sz="0" w:space="0" w:color="auto"/>
        <w:left w:val="none" w:sz="0" w:space="0" w:color="auto"/>
        <w:bottom w:val="none" w:sz="0" w:space="0" w:color="auto"/>
        <w:right w:val="none" w:sz="0" w:space="0" w:color="auto"/>
      </w:divBdr>
      <w:divsChild>
        <w:div w:id="19673504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3056226">
      <w:bodyDiv w:val="1"/>
      <w:marLeft w:val="0"/>
      <w:marRight w:val="0"/>
      <w:marTop w:val="0"/>
      <w:marBottom w:val="0"/>
      <w:divBdr>
        <w:top w:val="none" w:sz="0" w:space="0" w:color="auto"/>
        <w:left w:val="none" w:sz="0" w:space="0" w:color="auto"/>
        <w:bottom w:val="none" w:sz="0" w:space="0" w:color="auto"/>
        <w:right w:val="none" w:sz="0" w:space="0" w:color="auto"/>
      </w:divBdr>
      <w:divsChild>
        <w:div w:id="790123951">
          <w:marLeft w:val="0"/>
          <w:marRight w:val="0"/>
          <w:marTop w:val="0"/>
          <w:marBottom w:val="0"/>
          <w:divBdr>
            <w:top w:val="none" w:sz="0" w:space="0" w:color="auto"/>
            <w:left w:val="none" w:sz="0" w:space="0" w:color="auto"/>
            <w:bottom w:val="none" w:sz="0" w:space="0" w:color="auto"/>
            <w:right w:val="none" w:sz="0" w:space="0" w:color="auto"/>
          </w:divBdr>
          <w:divsChild>
            <w:div w:id="182146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681295">
      <w:bodyDiv w:val="1"/>
      <w:marLeft w:val="0"/>
      <w:marRight w:val="0"/>
      <w:marTop w:val="0"/>
      <w:marBottom w:val="0"/>
      <w:divBdr>
        <w:top w:val="none" w:sz="0" w:space="0" w:color="auto"/>
        <w:left w:val="none" w:sz="0" w:space="0" w:color="auto"/>
        <w:bottom w:val="none" w:sz="0" w:space="0" w:color="auto"/>
        <w:right w:val="none" w:sz="0" w:space="0" w:color="auto"/>
      </w:divBdr>
    </w:div>
    <w:div w:id="1429156813">
      <w:bodyDiv w:val="1"/>
      <w:marLeft w:val="0"/>
      <w:marRight w:val="0"/>
      <w:marTop w:val="0"/>
      <w:marBottom w:val="0"/>
      <w:divBdr>
        <w:top w:val="none" w:sz="0" w:space="0" w:color="auto"/>
        <w:left w:val="none" w:sz="0" w:space="0" w:color="auto"/>
        <w:bottom w:val="none" w:sz="0" w:space="0" w:color="auto"/>
        <w:right w:val="none" w:sz="0" w:space="0" w:color="auto"/>
      </w:divBdr>
    </w:div>
    <w:div w:id="1489904563">
      <w:bodyDiv w:val="1"/>
      <w:marLeft w:val="0"/>
      <w:marRight w:val="0"/>
      <w:marTop w:val="0"/>
      <w:marBottom w:val="0"/>
      <w:divBdr>
        <w:top w:val="none" w:sz="0" w:space="0" w:color="auto"/>
        <w:left w:val="none" w:sz="0" w:space="0" w:color="auto"/>
        <w:bottom w:val="none" w:sz="0" w:space="0" w:color="auto"/>
        <w:right w:val="none" w:sz="0" w:space="0" w:color="auto"/>
      </w:divBdr>
    </w:div>
    <w:div w:id="1682856157">
      <w:bodyDiv w:val="1"/>
      <w:marLeft w:val="0"/>
      <w:marRight w:val="0"/>
      <w:marTop w:val="0"/>
      <w:marBottom w:val="0"/>
      <w:divBdr>
        <w:top w:val="none" w:sz="0" w:space="0" w:color="auto"/>
        <w:left w:val="none" w:sz="0" w:space="0" w:color="auto"/>
        <w:bottom w:val="none" w:sz="0" w:space="0" w:color="auto"/>
        <w:right w:val="none" w:sz="0" w:space="0" w:color="auto"/>
      </w:divBdr>
      <w:divsChild>
        <w:div w:id="2102991222">
          <w:marLeft w:val="0"/>
          <w:marRight w:val="0"/>
          <w:marTop w:val="0"/>
          <w:marBottom w:val="0"/>
          <w:divBdr>
            <w:top w:val="none" w:sz="0" w:space="0" w:color="auto"/>
            <w:left w:val="none" w:sz="0" w:space="0" w:color="auto"/>
            <w:bottom w:val="none" w:sz="0" w:space="0" w:color="auto"/>
            <w:right w:val="none" w:sz="0" w:space="0" w:color="auto"/>
          </w:divBdr>
          <w:divsChild>
            <w:div w:id="108908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7599">
      <w:bodyDiv w:val="1"/>
      <w:marLeft w:val="0"/>
      <w:marRight w:val="0"/>
      <w:marTop w:val="0"/>
      <w:marBottom w:val="0"/>
      <w:divBdr>
        <w:top w:val="none" w:sz="0" w:space="0" w:color="auto"/>
        <w:left w:val="none" w:sz="0" w:space="0" w:color="auto"/>
        <w:bottom w:val="none" w:sz="0" w:space="0" w:color="auto"/>
        <w:right w:val="none" w:sz="0" w:space="0" w:color="auto"/>
      </w:divBdr>
      <w:divsChild>
        <w:div w:id="15006597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Gannon@harper.ac.uk" TargetMode="External"/><Relationship Id="rId18" Type="http://schemas.openxmlformats.org/officeDocument/2006/relationships/image" Target="media/image3.png"/><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image" Target="media/image2.jpeg"/><Relationship Id="rId17" Type="http://schemas.microsoft.com/office/2018/08/relationships/commentsExtensible" Target="commentsExtensible.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microsoft.com/office/2011/relationships/commentsExtended" Target="commentsExtended.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mments" Target="comments.xml"/><Relationship Id="rId22"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23640B1AEF1E843821B409406E23192" ma:contentTypeVersion="12" ma:contentTypeDescription="Create a new document." ma:contentTypeScope="" ma:versionID="ab9d33a50d5d44d283f58159b54e82c9">
  <xsd:schema xmlns:xsd="http://www.w3.org/2001/XMLSchema" xmlns:xs="http://www.w3.org/2001/XMLSchema" xmlns:p="http://schemas.microsoft.com/office/2006/metadata/properties" xmlns:ns2="56ce65be-1ac6-4eb1-9045-03fe4ded3ab2" xmlns:ns3="6cc62a6f-b428-4207-a326-8fae25d9704e" targetNamespace="http://schemas.microsoft.com/office/2006/metadata/properties" ma:root="true" ma:fieldsID="fd5f9933fc69606d7bbf81d9a200338d" ns2:_="" ns3:_="">
    <xsd:import namespace="56ce65be-1ac6-4eb1-9045-03fe4ded3ab2"/>
    <xsd:import namespace="6cc62a6f-b428-4207-a326-8fae25d970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e65be-1ac6-4eb1-9045-03fe4ded3a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bf02668-e5b6-4618-bcae-97b411549ff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cc62a6f-b428-4207-a326-8fae25d9704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0e3fda4-d88a-4600-a374-bb60259bdbb4}" ma:internalName="TaxCatchAll" ma:showField="CatchAllData" ma:web="6cc62a6f-b428-4207-a326-8fae25d970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6cc62a6f-b428-4207-a326-8fae25d9704e" xsi:nil="true"/>
    <lcf76f155ced4ddcb4097134ff3c332f xmlns="56ce65be-1ac6-4eb1-9045-03fe4ded3ab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4C567D1-C83B-4C79-8F9D-BA57886C0D75}">
  <ds:schemaRefs>
    <ds:schemaRef ds:uri="http://schemas.microsoft.com/sharepoint/v3/contenttype/forms"/>
  </ds:schemaRefs>
</ds:datastoreItem>
</file>

<file path=customXml/itemProps2.xml><?xml version="1.0" encoding="utf-8"?>
<ds:datastoreItem xmlns:ds="http://schemas.openxmlformats.org/officeDocument/2006/customXml" ds:itemID="{9D3983C9-6D0A-480C-BF79-A63BD3D99EF4}">
  <ds:schemaRefs>
    <ds:schemaRef ds:uri="http://schemas.openxmlformats.org/officeDocument/2006/bibliography"/>
  </ds:schemaRefs>
</ds:datastoreItem>
</file>

<file path=customXml/itemProps3.xml><?xml version="1.0" encoding="utf-8"?>
<ds:datastoreItem xmlns:ds="http://schemas.openxmlformats.org/officeDocument/2006/customXml" ds:itemID="{0D0ABF69-A004-425A-95F5-17CFE6405F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e65be-1ac6-4eb1-9045-03fe4ded3ab2"/>
    <ds:schemaRef ds:uri="6cc62a6f-b428-4207-a326-8fae25d970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A2A1ED7-7F2A-4E6D-9029-E627ADFBBD0C}">
  <ds:schemaRefs>
    <ds:schemaRef ds:uri="http://schemas.microsoft.com/office/2006/metadata/properties"/>
    <ds:schemaRef ds:uri="http://schemas.microsoft.com/office/infopath/2007/PartnerControls"/>
    <ds:schemaRef ds:uri="6cc62a6f-b428-4207-a326-8fae25d9704e"/>
    <ds:schemaRef ds:uri="56ce65be-1ac6-4eb1-9045-03fe4ded3ab2"/>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6</Pages>
  <Words>3891</Words>
  <Characters>22183</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
    </vt:vector>
  </TitlesOfParts>
  <Company>Dipartimento CMIC - Politecnico di Milano</Company>
  <LinksUpToDate>false</LinksUpToDate>
  <CharactersWithSpaces>26022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raffaella</dc:creator>
  <cp:keywords/>
  <cp:lastModifiedBy>Ellie Gannon</cp:lastModifiedBy>
  <cp:revision>339</cp:revision>
  <cp:lastPrinted>2015-05-12T18:31:00Z</cp:lastPrinted>
  <dcterms:created xsi:type="dcterms:W3CDTF">2026-03-26T09:59:00Z</dcterms:created>
  <dcterms:modified xsi:type="dcterms:W3CDTF">2026-06-06T09:55:00Z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zotero-version="4.0.29.17"&gt;&lt;session id="s8VwuD2U"/&gt;&lt;style id="http://www.zotero.org/styles/chemical-engineering-transactions" hasBibliography="1" bibliographyStyleHasBeenSet="1"/&gt;&lt;prefs&gt;&lt;pref name="fieldType" value="Field"/&gt;&lt;pref na</vt:lpwstr>
  </property>
  <property fmtid="{D5CDD505-2E9C-101B-9397-08002B2CF9AE}" pid="3" name="ZOTERO_PREF_2">
    <vt:lpwstr>me="storeReferences" value="true"/&gt;&lt;pref name="automaticJournalAbbreviations" value=""/&gt;&lt;pref name="noteType" value=""/&gt;&lt;/prefs&gt;&lt;/data&gt;</vt:lpwstr>
  </property>
  <property fmtid="{D5CDD505-2E9C-101B-9397-08002B2CF9AE}" pid="4" name="ContentTypeId">
    <vt:lpwstr>0x010100E23640B1AEF1E843821B409406E23192</vt:lpwstr>
  </property>
  <property fmtid="{D5CDD505-2E9C-101B-9397-08002B2CF9AE}" pid="5" name="MediaServiceImageTags">
    <vt:lpwstr/>
  </property>
</Properties>
</file>