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3F6AC2">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3F6AC2">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3F6AC2">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bookmarkEnd w:id="0"/>
    </w:tbl>
    <w:p w14:paraId="1A78D0F1" w14:textId="77777777" w:rsidR="003F6AC2" w:rsidRDefault="003F6AC2" w:rsidP="00B57E6F">
      <w:pPr>
        <w:pStyle w:val="CETAuthors"/>
        <w:rPr>
          <w:noProof w:val="0"/>
          <w:sz w:val="32"/>
        </w:rPr>
      </w:pPr>
    </w:p>
    <w:p w14:paraId="664F0ECC" w14:textId="17F94B41" w:rsidR="003F6AC2" w:rsidRDefault="003F6AC2" w:rsidP="003F6AC2">
      <w:pPr>
        <w:pStyle w:val="CETAuthors"/>
        <w:jc w:val="center"/>
        <w:rPr>
          <w:noProof w:val="0"/>
          <w:sz w:val="32"/>
        </w:rPr>
      </w:pPr>
      <w:r w:rsidRPr="003F6AC2">
        <w:rPr>
          <w:noProof w:val="0"/>
          <w:sz w:val="32"/>
        </w:rPr>
        <w:t xml:space="preserve">Sensitivity analysis of </w:t>
      </w:r>
      <w:r w:rsidR="00E164FC">
        <w:rPr>
          <w:noProof w:val="0"/>
          <w:sz w:val="32"/>
        </w:rPr>
        <w:t>odour</w:t>
      </w:r>
      <w:r w:rsidRPr="003F6AC2">
        <w:rPr>
          <w:noProof w:val="0"/>
          <w:sz w:val="32"/>
        </w:rPr>
        <w:t xml:space="preserve"> impact to source temporal variability: a case study of an asphalt plant with multiple operational configurations</w:t>
      </w:r>
    </w:p>
    <w:p w14:paraId="0488FED2" w14:textId="49B94417" w:rsidR="00B57E6F" w:rsidRPr="00640130" w:rsidRDefault="003F6AC2" w:rsidP="00B57E6F">
      <w:pPr>
        <w:pStyle w:val="CETAuthors"/>
      </w:pPr>
      <w:r w:rsidRPr="00640130">
        <w:t>Pietro Citterio, Francesca Tagliaferri</w:t>
      </w:r>
      <w:r w:rsidR="00F925F9" w:rsidRPr="00640130">
        <w:t>*, Selena Sironi</w:t>
      </w:r>
    </w:p>
    <w:p w14:paraId="22BA9793" w14:textId="77777777" w:rsidR="00F925F9" w:rsidRPr="00640130" w:rsidRDefault="00F925F9" w:rsidP="00F925F9">
      <w:pPr>
        <w:pStyle w:val="CETAuthors"/>
        <w:rPr>
          <w:sz w:val="16"/>
        </w:rPr>
      </w:pPr>
      <w:r w:rsidRPr="00640130">
        <w:rPr>
          <w:sz w:val="16"/>
        </w:rPr>
        <w:t>Politecnico di Milano, Department of Chemistry, Materials and Chemical Engineering “Giulio Natta” - Piazza Leonardo da Vinci 32, 20133 Milano, Italy</w:t>
      </w:r>
    </w:p>
    <w:p w14:paraId="6B55A636" w14:textId="77777777" w:rsidR="00F925F9" w:rsidRPr="00640130" w:rsidRDefault="00F925F9" w:rsidP="00F925F9">
      <w:pPr>
        <w:rPr>
          <w:noProof/>
          <w:sz w:val="16"/>
        </w:rPr>
      </w:pPr>
    </w:p>
    <w:p w14:paraId="4FD64E37" w14:textId="77777777" w:rsidR="00F925F9" w:rsidRPr="00640130" w:rsidRDefault="00F925F9" w:rsidP="00F925F9">
      <w:r w:rsidRPr="00640130">
        <w:t xml:space="preserve">*Corresponding author: Francesca Tagliaferri, </w:t>
      </w:r>
      <w:hyperlink r:id="rId10" w:history="1">
        <w:r w:rsidRPr="00640130">
          <w:rPr>
            <w:rStyle w:val="Collegamentoipertestuale"/>
            <w:color w:val="auto"/>
          </w:rPr>
          <w:t>francesca.tagliaferri @polimi.it</w:t>
        </w:r>
      </w:hyperlink>
      <w:r w:rsidRPr="00640130">
        <w:rPr>
          <w:u w:val="single"/>
        </w:rPr>
        <w:t>;</w:t>
      </w:r>
      <w:r w:rsidRPr="00640130">
        <w:t xml:space="preserve"> +39 02 2399 3149</w:t>
      </w:r>
    </w:p>
    <w:p w14:paraId="1323AC35" w14:textId="0A11B367" w:rsidR="003F6AC2" w:rsidRPr="00640130" w:rsidRDefault="003F6AC2" w:rsidP="00CA2E90">
      <w:pPr>
        <w:pStyle w:val="CETHeading1"/>
        <w:numPr>
          <w:ilvl w:val="0"/>
          <w:numId w:val="0"/>
        </w:numPr>
        <w:jc w:val="both"/>
        <w:rPr>
          <w:b w:val="0"/>
          <w:sz w:val="18"/>
          <w:lang w:val="en-GB"/>
        </w:rPr>
      </w:pPr>
      <w:r w:rsidRPr="00640130">
        <w:rPr>
          <w:b w:val="0"/>
          <w:sz w:val="18"/>
          <w:lang w:val="en-GB"/>
        </w:rPr>
        <w:t xml:space="preserve">This study addresses the challenge of assessing </w:t>
      </w:r>
      <w:r w:rsidR="00E164FC" w:rsidRPr="00640130">
        <w:rPr>
          <w:b w:val="0"/>
          <w:sz w:val="18"/>
          <w:lang w:val="en-GB"/>
        </w:rPr>
        <w:t>odour</w:t>
      </w:r>
      <w:r w:rsidRPr="00640130">
        <w:rPr>
          <w:b w:val="0"/>
          <w:sz w:val="18"/>
          <w:lang w:val="en-GB"/>
        </w:rPr>
        <w:t xml:space="preserve"> impacts, which differ from conventional air pollutants due to their sensitivity to short-term peak exposures. </w:t>
      </w:r>
      <w:r w:rsidR="0008595E" w:rsidRPr="0008595E">
        <w:rPr>
          <w:b w:val="0"/>
          <w:sz w:val="18"/>
          <w:lang w:val="en-GB"/>
        </w:rPr>
        <w:t xml:space="preserve">Even brief odour events can cause disturbance, making high-end percentile concentrations more relevant than long-term averages. For this reason, it is </w:t>
      </w:r>
      <w:r w:rsidR="0008595E">
        <w:rPr>
          <w:b w:val="0"/>
          <w:sz w:val="18"/>
          <w:lang w:val="en-GB"/>
        </w:rPr>
        <w:t>crucial</w:t>
      </w:r>
      <w:r w:rsidR="0008595E" w:rsidRPr="0008595E">
        <w:rPr>
          <w:b w:val="0"/>
          <w:sz w:val="18"/>
          <w:lang w:val="en-GB"/>
        </w:rPr>
        <w:t xml:space="preserve"> to estimate the </w:t>
      </w:r>
      <w:r w:rsidR="0008595E">
        <w:rPr>
          <w:b w:val="0"/>
          <w:sz w:val="18"/>
          <w:lang w:val="en-GB"/>
        </w:rPr>
        <w:t xml:space="preserve">odour </w:t>
      </w:r>
      <w:r w:rsidR="0008595E" w:rsidRPr="0008595E">
        <w:rPr>
          <w:b w:val="0"/>
          <w:sz w:val="18"/>
          <w:lang w:val="en-GB"/>
        </w:rPr>
        <w:t xml:space="preserve">emission flux </w:t>
      </w:r>
      <w:r w:rsidR="001720FB">
        <w:rPr>
          <w:b w:val="0"/>
          <w:sz w:val="18"/>
          <w:lang w:val="en-GB"/>
        </w:rPr>
        <w:t>at</w:t>
      </w:r>
      <w:r w:rsidR="0008595E" w:rsidRPr="0008595E">
        <w:rPr>
          <w:b w:val="0"/>
          <w:sz w:val="18"/>
          <w:lang w:val="en-GB"/>
        </w:rPr>
        <w:t xml:space="preserve"> high temporal resolution, so that short-term</w:t>
      </w:r>
      <w:r w:rsidR="00087272">
        <w:rPr>
          <w:b w:val="0"/>
          <w:sz w:val="18"/>
          <w:lang w:val="en-GB"/>
        </w:rPr>
        <w:t xml:space="preserve"> emission</w:t>
      </w:r>
      <w:r w:rsidR="0008595E" w:rsidRPr="0008595E">
        <w:rPr>
          <w:b w:val="0"/>
          <w:sz w:val="18"/>
          <w:lang w:val="en-GB"/>
        </w:rPr>
        <w:t xml:space="preserve"> peaks</w:t>
      </w:r>
      <w:r w:rsidR="0008595E">
        <w:rPr>
          <w:b w:val="0"/>
          <w:sz w:val="18"/>
          <w:lang w:val="en-GB"/>
        </w:rPr>
        <w:t xml:space="preserve">, </w:t>
      </w:r>
      <w:r w:rsidR="0008595E" w:rsidRPr="0008595E">
        <w:rPr>
          <w:b w:val="0"/>
          <w:sz w:val="18"/>
          <w:lang w:val="en-GB"/>
        </w:rPr>
        <w:t>more representative of potential odour nuisance</w:t>
      </w:r>
      <w:r w:rsidR="0008595E">
        <w:rPr>
          <w:b w:val="0"/>
          <w:sz w:val="18"/>
          <w:lang w:val="en-GB"/>
        </w:rPr>
        <w:t xml:space="preserve">, </w:t>
      </w:r>
      <w:r w:rsidR="0008595E" w:rsidRPr="0008595E">
        <w:rPr>
          <w:b w:val="0"/>
          <w:sz w:val="18"/>
          <w:lang w:val="en-GB"/>
        </w:rPr>
        <w:t xml:space="preserve">are properly captured. </w:t>
      </w:r>
      <w:r w:rsidRPr="00640130">
        <w:rPr>
          <w:b w:val="0"/>
          <w:sz w:val="18"/>
          <w:lang w:val="en-GB"/>
        </w:rPr>
        <w:t xml:space="preserve">The research evaluates </w:t>
      </w:r>
      <w:r w:rsidR="00E164FC" w:rsidRPr="00640130">
        <w:rPr>
          <w:b w:val="0"/>
          <w:sz w:val="18"/>
          <w:lang w:val="en-GB"/>
        </w:rPr>
        <w:t>odour</w:t>
      </w:r>
      <w:r w:rsidRPr="00640130">
        <w:rPr>
          <w:b w:val="0"/>
          <w:sz w:val="18"/>
          <w:lang w:val="en-GB"/>
        </w:rPr>
        <w:t xml:space="preserve"> dispersion from a bituminous conglomerate plant located in a densely urbanized area using the CALPUFF dispersion model. The analysis focuses on how different temporal emission patterns influence </w:t>
      </w:r>
      <w:r w:rsidR="00E164FC" w:rsidRPr="00640130">
        <w:rPr>
          <w:b w:val="0"/>
          <w:sz w:val="18"/>
          <w:lang w:val="en-GB"/>
        </w:rPr>
        <w:t>odour</w:t>
      </w:r>
      <w:r w:rsidRPr="00640130">
        <w:rPr>
          <w:b w:val="0"/>
          <w:sz w:val="18"/>
          <w:lang w:val="en-GB"/>
        </w:rPr>
        <w:t xml:space="preserve"> impact at nearby receptors. </w:t>
      </w:r>
      <w:r w:rsidR="003D0643" w:rsidRPr="003D0643">
        <w:rPr>
          <w:b w:val="0"/>
          <w:sz w:val="18"/>
          <w:lang w:val="en-GB"/>
        </w:rPr>
        <w:t>Two emission sources associated with distinct production units are considered, and their impacts are assessed under two modelling scenarios</w:t>
      </w:r>
      <w:r w:rsidRPr="00640130">
        <w:rPr>
          <w:b w:val="0"/>
          <w:sz w:val="18"/>
          <w:lang w:val="en-GB"/>
        </w:rPr>
        <w:t xml:space="preserve">: </w:t>
      </w:r>
      <w:r w:rsidR="001720FB">
        <w:rPr>
          <w:b w:val="0"/>
          <w:sz w:val="18"/>
          <w:lang w:val="en-GB"/>
        </w:rPr>
        <w:t xml:space="preserve">(i) </w:t>
      </w:r>
      <w:r w:rsidRPr="00640130">
        <w:rPr>
          <w:b w:val="0"/>
          <w:sz w:val="18"/>
          <w:lang w:val="en-GB"/>
        </w:rPr>
        <w:t>a realistic discontinuous schedule with emissions during working hours, including a stochastic one-hour peak linked to loading activities</w:t>
      </w:r>
      <w:r w:rsidR="001720FB">
        <w:rPr>
          <w:b w:val="0"/>
          <w:sz w:val="18"/>
          <w:lang w:val="en-GB"/>
        </w:rPr>
        <w:t>; (ii)</w:t>
      </w:r>
      <w:r w:rsidRPr="00640130">
        <w:rPr>
          <w:b w:val="0"/>
          <w:sz w:val="18"/>
          <w:lang w:val="en-GB"/>
        </w:rPr>
        <w:t xml:space="preserve"> </w:t>
      </w:r>
      <w:r w:rsidR="001720FB" w:rsidRPr="001720FB">
        <w:rPr>
          <w:b w:val="0"/>
          <w:sz w:val="18"/>
          <w:lang w:val="en-GB"/>
        </w:rPr>
        <w:t>a simplified and intentionally conservative continuous 24-hour emission scenario, providing a coarse, upper-bound estimate rather than a refined representation of actual conditions</w:t>
      </w:r>
      <w:r w:rsidRPr="00640130">
        <w:rPr>
          <w:b w:val="0"/>
          <w:sz w:val="18"/>
          <w:lang w:val="en-GB"/>
        </w:rPr>
        <w:t xml:space="preserve">. Results show substantial differences in predicted </w:t>
      </w:r>
      <w:r w:rsidR="00E164FC" w:rsidRPr="00640130">
        <w:rPr>
          <w:b w:val="0"/>
          <w:sz w:val="18"/>
          <w:lang w:val="en-GB"/>
        </w:rPr>
        <w:t>odour</w:t>
      </w:r>
      <w:r w:rsidRPr="00640130">
        <w:rPr>
          <w:b w:val="0"/>
          <w:sz w:val="18"/>
          <w:lang w:val="en-GB"/>
        </w:rPr>
        <w:t xml:space="preserve"> impacts between the scenarios. The findings emphasize that emission timing and temporal variability play a crucial role in </w:t>
      </w:r>
      <w:r w:rsidR="00E164FC" w:rsidRPr="00640130">
        <w:rPr>
          <w:b w:val="0"/>
          <w:sz w:val="18"/>
          <w:lang w:val="en-GB"/>
        </w:rPr>
        <w:t>odour</w:t>
      </w:r>
      <w:r w:rsidRPr="00640130">
        <w:rPr>
          <w:b w:val="0"/>
          <w:sz w:val="18"/>
          <w:lang w:val="en-GB"/>
        </w:rPr>
        <w:t xml:space="preserve"> dispersion</w:t>
      </w:r>
      <w:r w:rsidR="001720FB">
        <w:rPr>
          <w:b w:val="0"/>
          <w:sz w:val="18"/>
          <w:lang w:val="en-GB"/>
        </w:rPr>
        <w:t>,</w:t>
      </w:r>
      <w:r w:rsidRPr="00640130">
        <w:rPr>
          <w:b w:val="0"/>
          <w:sz w:val="18"/>
          <w:lang w:val="en-GB"/>
        </w:rPr>
        <w:t xml:space="preserve"> highlight</w:t>
      </w:r>
      <w:r w:rsidR="001720FB">
        <w:rPr>
          <w:b w:val="0"/>
          <w:sz w:val="18"/>
          <w:lang w:val="en-GB"/>
        </w:rPr>
        <w:t>ing</w:t>
      </w:r>
      <w:r w:rsidRPr="00640130">
        <w:rPr>
          <w:b w:val="0"/>
          <w:sz w:val="18"/>
          <w:lang w:val="en-GB"/>
        </w:rPr>
        <w:t xml:space="preserve"> that overly conservative assumptions may not reflect real conditions and can misrepresent actual impacts.</w:t>
      </w:r>
    </w:p>
    <w:p w14:paraId="476B2F2E" w14:textId="112CFAD9" w:rsidR="00600535" w:rsidRPr="00640130" w:rsidRDefault="00600535">
      <w:pPr>
        <w:pStyle w:val="CETHeading1"/>
        <w:rPr>
          <w:lang w:val="en-GB"/>
        </w:rPr>
      </w:pPr>
      <w:r w:rsidRPr="00640130">
        <w:rPr>
          <w:lang w:val="en-GB"/>
        </w:rPr>
        <w:t>Introduction</w:t>
      </w:r>
    </w:p>
    <w:p w14:paraId="2B8640EA" w14:textId="40CD4FCC" w:rsidR="00753780" w:rsidRPr="00681C68" w:rsidRDefault="001820D3" w:rsidP="00681C68">
      <w:pPr>
        <w:pStyle w:val="CETHeading1"/>
        <w:numPr>
          <w:ilvl w:val="0"/>
          <w:numId w:val="0"/>
        </w:numPr>
        <w:spacing w:after="0"/>
        <w:jc w:val="both"/>
        <w:rPr>
          <w:b w:val="0"/>
          <w:bCs/>
          <w:sz w:val="18"/>
          <w:szCs w:val="18"/>
        </w:rPr>
      </w:pPr>
      <w:r w:rsidRPr="00940CCF">
        <w:rPr>
          <w:b w:val="0"/>
          <w:bCs/>
          <w:sz w:val="18"/>
          <w:szCs w:val="18"/>
        </w:rPr>
        <w:t xml:space="preserve">Environmental odours emitted by industrial facilities are an increasing source of concern for nearby communities, often leading to complaints and social conflicts (Davoli et al., 2018; Palmiotto et al., 2014; Brancher </w:t>
      </w:r>
      <w:r w:rsidR="00592CB3">
        <w:rPr>
          <w:b w:val="0"/>
          <w:bCs/>
          <w:sz w:val="18"/>
          <w:szCs w:val="18"/>
        </w:rPr>
        <w:t>and</w:t>
      </w:r>
      <w:r w:rsidRPr="00940CCF">
        <w:rPr>
          <w:b w:val="0"/>
          <w:bCs/>
          <w:sz w:val="18"/>
          <w:szCs w:val="18"/>
        </w:rPr>
        <w:t xml:space="preserve"> De Melo Lisboa, 2014). Unlike conventional air pollutants, odorous compounds are typically present in trace concentrations within complex mixtures, making it difficult to identify the responsible sources during nuisance episodes (Invernizzi et al., 2020). For this reason, effective odour management requires quantitative metrics such as odour concentration and odour emission rate (OER), which are essential inputs for dispersion modelling and impact assessment (Conti</w:t>
      </w:r>
      <w:r w:rsidR="00592CB3">
        <w:rPr>
          <w:b w:val="0"/>
          <w:bCs/>
          <w:sz w:val="18"/>
          <w:szCs w:val="18"/>
        </w:rPr>
        <w:t xml:space="preserve"> et al.</w:t>
      </w:r>
      <w:r w:rsidRPr="00940CCF">
        <w:rPr>
          <w:b w:val="0"/>
          <w:bCs/>
          <w:sz w:val="18"/>
          <w:szCs w:val="18"/>
        </w:rPr>
        <w:t xml:space="preserve">, 2020; Piringer </w:t>
      </w:r>
      <w:r w:rsidR="00592CB3">
        <w:rPr>
          <w:b w:val="0"/>
          <w:bCs/>
          <w:sz w:val="18"/>
          <w:szCs w:val="18"/>
        </w:rPr>
        <w:t>and</w:t>
      </w:r>
      <w:r w:rsidRPr="00940CCF">
        <w:rPr>
          <w:b w:val="0"/>
          <w:bCs/>
          <w:sz w:val="18"/>
          <w:szCs w:val="18"/>
        </w:rPr>
        <w:t xml:space="preserve"> Schauberger, 2020; Davoli, et al., 2018)</w:t>
      </w:r>
      <w:r w:rsidR="00C471B3" w:rsidRPr="00681C68">
        <w:rPr>
          <w:b w:val="0"/>
          <w:bCs/>
          <w:sz w:val="18"/>
          <w:szCs w:val="18"/>
        </w:rPr>
        <w:t xml:space="preserve">. </w:t>
      </w:r>
    </w:p>
    <w:p w14:paraId="2202381E" w14:textId="330BEBB7" w:rsidR="00753780" w:rsidRPr="00681C68" w:rsidRDefault="00753780" w:rsidP="00681C68">
      <w:pPr>
        <w:pStyle w:val="CETHeading1"/>
        <w:numPr>
          <w:ilvl w:val="0"/>
          <w:numId w:val="0"/>
        </w:numPr>
        <w:spacing w:before="0" w:after="0"/>
        <w:jc w:val="both"/>
        <w:rPr>
          <w:b w:val="0"/>
          <w:bCs/>
          <w:sz w:val="18"/>
          <w:szCs w:val="18"/>
        </w:rPr>
      </w:pPr>
      <w:r w:rsidRPr="00681C68">
        <w:rPr>
          <w:b w:val="0"/>
          <w:bCs/>
          <w:sz w:val="18"/>
          <w:szCs w:val="18"/>
        </w:rPr>
        <w:t xml:space="preserve">Within this framework, </w:t>
      </w:r>
      <w:r>
        <w:rPr>
          <w:b w:val="0"/>
          <w:bCs/>
          <w:sz w:val="18"/>
          <w:szCs w:val="18"/>
        </w:rPr>
        <w:t>t</w:t>
      </w:r>
      <w:r w:rsidRPr="00681C68">
        <w:rPr>
          <w:b w:val="0"/>
          <w:bCs/>
          <w:sz w:val="18"/>
          <w:szCs w:val="18"/>
        </w:rPr>
        <w:t xml:space="preserve">he dispersion and impact of </w:t>
      </w:r>
      <w:r w:rsidR="00E97FC3">
        <w:rPr>
          <w:b w:val="0"/>
          <w:bCs/>
          <w:sz w:val="18"/>
          <w:szCs w:val="18"/>
        </w:rPr>
        <w:t>odour</w:t>
      </w:r>
      <w:r w:rsidRPr="00681C68">
        <w:rPr>
          <w:b w:val="0"/>
          <w:bCs/>
          <w:sz w:val="18"/>
          <w:szCs w:val="18"/>
        </w:rPr>
        <w:t xml:space="preserve"> emissions are strongly influenced by meteorological conditions, including atmospheric stability, wind regime, and mixing height (Piringer </w:t>
      </w:r>
      <w:r w:rsidR="00592CB3">
        <w:rPr>
          <w:b w:val="0"/>
          <w:bCs/>
          <w:sz w:val="18"/>
          <w:szCs w:val="18"/>
        </w:rPr>
        <w:t>and</w:t>
      </w:r>
      <w:r w:rsidRPr="00681C68">
        <w:rPr>
          <w:b w:val="0"/>
          <w:bCs/>
          <w:sz w:val="18"/>
          <w:szCs w:val="18"/>
        </w:rPr>
        <w:t xml:space="preserve"> Schauberger, 2020). Stable conditions, low wind speeds, and reduced mixing heights tend to enhance the accumulation of odours, increasing the likelihood of nuisance events, while unstable conditions promote dilution (Conti </w:t>
      </w:r>
      <w:r w:rsidR="00592CB3">
        <w:rPr>
          <w:b w:val="0"/>
          <w:bCs/>
          <w:sz w:val="18"/>
          <w:szCs w:val="18"/>
        </w:rPr>
        <w:t>et al.</w:t>
      </w:r>
      <w:r w:rsidRPr="00681C68">
        <w:rPr>
          <w:b w:val="0"/>
          <w:bCs/>
          <w:sz w:val="18"/>
          <w:szCs w:val="18"/>
        </w:rPr>
        <w:t xml:space="preserve">, 2020; Vuolo et al., 2023; Tagliaferri et al., 2024). </w:t>
      </w:r>
    </w:p>
    <w:p w14:paraId="45ADE7D1" w14:textId="2CA26F48" w:rsidR="006A5061" w:rsidRDefault="00753780">
      <w:pPr>
        <w:pStyle w:val="CETHeading1"/>
        <w:numPr>
          <w:ilvl w:val="0"/>
          <w:numId w:val="0"/>
        </w:numPr>
        <w:spacing w:before="0" w:after="0"/>
        <w:jc w:val="both"/>
        <w:rPr>
          <w:b w:val="0"/>
          <w:bCs/>
          <w:sz w:val="18"/>
          <w:szCs w:val="18"/>
        </w:rPr>
      </w:pPr>
      <w:r w:rsidRPr="00753780">
        <w:rPr>
          <w:b w:val="0"/>
          <w:bCs/>
          <w:sz w:val="18"/>
          <w:szCs w:val="18"/>
        </w:rPr>
        <w:t>Beyond meteorological effects,</w:t>
      </w:r>
      <w:r>
        <w:rPr>
          <w:b w:val="0"/>
          <w:bCs/>
          <w:sz w:val="18"/>
          <w:szCs w:val="18"/>
        </w:rPr>
        <w:t xml:space="preserve"> a</w:t>
      </w:r>
      <w:r w:rsidR="001820D3" w:rsidRPr="00940CCF">
        <w:rPr>
          <w:b w:val="0"/>
          <w:bCs/>
          <w:sz w:val="18"/>
          <w:szCs w:val="18"/>
        </w:rPr>
        <w:t xml:space="preserve"> key peculiarity of odour impact is that human perception is primarily driven by short-term peak concentrations rather than long-term average values (Invernizzi et al., 2020). Even brief episodes of high concentration can cause nuisance, meaning that the temporal variability of emissions plays a crucial role in determining actual impacts</w:t>
      </w:r>
      <w:r w:rsidR="004A0A85">
        <w:rPr>
          <w:b w:val="0"/>
          <w:bCs/>
          <w:sz w:val="18"/>
          <w:szCs w:val="18"/>
        </w:rPr>
        <w:t xml:space="preserve"> </w:t>
      </w:r>
      <w:r w:rsidR="004A0A85" w:rsidRPr="00940CCF">
        <w:rPr>
          <w:b w:val="0"/>
          <w:bCs/>
          <w:sz w:val="18"/>
          <w:szCs w:val="18"/>
        </w:rPr>
        <w:t>(</w:t>
      </w:r>
      <w:r w:rsidR="004A0A85">
        <w:rPr>
          <w:b w:val="0"/>
          <w:bCs/>
          <w:sz w:val="18"/>
          <w:szCs w:val="18"/>
        </w:rPr>
        <w:t>Tagliaferri et al., 2026</w:t>
      </w:r>
      <w:r w:rsidR="004A0A85" w:rsidRPr="00940CCF">
        <w:rPr>
          <w:b w:val="0"/>
          <w:bCs/>
          <w:sz w:val="18"/>
          <w:szCs w:val="18"/>
        </w:rPr>
        <w:t>)</w:t>
      </w:r>
      <w:r w:rsidR="001820D3" w:rsidRPr="00940CCF">
        <w:rPr>
          <w:b w:val="0"/>
          <w:bCs/>
          <w:sz w:val="18"/>
          <w:szCs w:val="18"/>
        </w:rPr>
        <w:t>.</w:t>
      </w:r>
      <w:r w:rsidR="00B65DCA">
        <w:rPr>
          <w:b w:val="0"/>
          <w:bCs/>
          <w:sz w:val="18"/>
          <w:szCs w:val="18"/>
        </w:rPr>
        <w:t xml:space="preserve"> </w:t>
      </w:r>
      <w:r w:rsidR="00B65DCA" w:rsidRPr="00B65DCA">
        <w:rPr>
          <w:b w:val="0"/>
          <w:bCs/>
          <w:sz w:val="18"/>
          <w:szCs w:val="18"/>
        </w:rPr>
        <w:t xml:space="preserve">This aspect becomes even more critical in the case of industrial processes operating under discontinuous or cyclic conditions, where emissions are not constant over time but occur in intermittent phases associated with specific operational steps. Under these conditions, short-term emission peaks may be significantly higher than average levels and can dominate the </w:t>
      </w:r>
      <w:r w:rsidR="00B65DCA" w:rsidRPr="00B65DCA">
        <w:rPr>
          <w:b w:val="0"/>
          <w:bCs/>
          <w:sz w:val="18"/>
          <w:szCs w:val="18"/>
        </w:rPr>
        <w:lastRenderedPageBreak/>
        <w:t>overall odour impact despite their limited duration.</w:t>
      </w:r>
      <w:r w:rsidR="001820D3" w:rsidRPr="00940CCF">
        <w:rPr>
          <w:b w:val="0"/>
          <w:bCs/>
          <w:sz w:val="18"/>
          <w:szCs w:val="18"/>
        </w:rPr>
        <w:t xml:space="preserve"> As a consequence, modelling approaches based on time-averaged or continuous emissions may fail to represent realistic exposure conditions. </w:t>
      </w:r>
    </w:p>
    <w:p w14:paraId="4F76F2A1" w14:textId="4ABE550D" w:rsidR="0008595E" w:rsidRDefault="0008595E" w:rsidP="0008595E">
      <w:pPr>
        <w:pStyle w:val="CETBodytext"/>
        <w:rPr>
          <w:bCs/>
          <w:szCs w:val="18"/>
        </w:rPr>
      </w:pPr>
      <w:r w:rsidRPr="0008595E">
        <w:rPr>
          <w:bCs/>
          <w:szCs w:val="18"/>
        </w:rPr>
        <w:t>Among industrial sources, bituminous conglomerate (asphalt) plants represent a particularly relevant case study. These facilities are typically medium</w:t>
      </w:r>
      <w:r>
        <w:rPr>
          <w:bCs/>
          <w:szCs w:val="18"/>
        </w:rPr>
        <w:t>-</w:t>
      </w:r>
      <w:r w:rsidRPr="0008595E">
        <w:rPr>
          <w:bCs/>
          <w:szCs w:val="18"/>
        </w:rPr>
        <w:t>small</w:t>
      </w:r>
      <w:r>
        <w:rPr>
          <w:bCs/>
          <w:szCs w:val="18"/>
        </w:rPr>
        <w:t xml:space="preserve"> </w:t>
      </w:r>
      <w:r w:rsidRPr="0008595E">
        <w:rPr>
          <w:bCs/>
          <w:szCs w:val="18"/>
        </w:rPr>
        <w:t>sized and widely distributed across the territory, often located in proximity to residential areas or urban contexts. This spatial distribution makes odour emissions a critical issue for nearby communities, frequently leading to complaints and the need for detailed environmental assessments.</w:t>
      </w:r>
      <w:r w:rsidR="00785679">
        <w:rPr>
          <w:bCs/>
          <w:szCs w:val="18"/>
        </w:rPr>
        <w:t xml:space="preserve"> </w:t>
      </w:r>
      <w:r w:rsidRPr="0008595E">
        <w:rPr>
          <w:bCs/>
          <w:szCs w:val="18"/>
        </w:rPr>
        <w:t>The</w:t>
      </w:r>
      <w:r>
        <w:rPr>
          <w:bCs/>
          <w:szCs w:val="18"/>
        </w:rPr>
        <w:t xml:space="preserve"> </w:t>
      </w:r>
      <w:r w:rsidRPr="0008595E">
        <w:rPr>
          <w:bCs/>
          <w:szCs w:val="18"/>
        </w:rPr>
        <w:t xml:space="preserve">production process involves the drying, heating, and mixing of mineral aggregates with bitumen at high temperatures. These operations generate both channelled emissions (e.g., from stacks and process vents) and diffuse emissions (e.g., from material handling, storage areas, and truck loading/unloading). </w:t>
      </w:r>
      <w:r w:rsidR="00785679" w:rsidRPr="00785679">
        <w:rPr>
          <w:bCs/>
          <w:szCs w:val="18"/>
        </w:rPr>
        <w:t>From a chemical standpoint</w:t>
      </w:r>
      <w:r w:rsidRPr="0008595E">
        <w:rPr>
          <w:bCs/>
          <w:szCs w:val="18"/>
        </w:rPr>
        <w:t xml:space="preserve">, these activities can release a complex mixture of pollutants, including particulate matter, sulphur-containing compounds, and volatile organic compounds such as aromatic hydrocarbons. In particular, </w:t>
      </w:r>
      <w:r w:rsidR="00785679" w:rsidRPr="00785679">
        <w:rPr>
          <w:bCs/>
          <w:szCs w:val="18"/>
        </w:rPr>
        <w:t>reduced sulphur compounds (e.g., hydrogen sulphide and mercaptans)</w:t>
      </w:r>
      <w:r w:rsidRPr="0008595E">
        <w:rPr>
          <w:bCs/>
          <w:szCs w:val="18"/>
        </w:rPr>
        <w:t xml:space="preserve"> are of concern due to their strong odour intensity, especially under suboptimal combustion or process conditions (Davoli et al., 2018; Germin-Aizac et al., 2023).</w:t>
      </w:r>
      <w:r>
        <w:rPr>
          <w:bCs/>
          <w:szCs w:val="18"/>
        </w:rPr>
        <w:t xml:space="preserve"> </w:t>
      </w:r>
      <w:r w:rsidRPr="0008595E">
        <w:rPr>
          <w:bCs/>
          <w:szCs w:val="18"/>
        </w:rPr>
        <w:t>Furthermore, the variability of operating conditions</w:t>
      </w:r>
      <w:r>
        <w:rPr>
          <w:bCs/>
          <w:szCs w:val="18"/>
        </w:rPr>
        <w:t xml:space="preserve">, </w:t>
      </w:r>
      <w:r w:rsidRPr="0008595E">
        <w:rPr>
          <w:bCs/>
          <w:szCs w:val="18"/>
        </w:rPr>
        <w:t>such as changes in production rates, raw material characteristics, and combustion efficiency</w:t>
      </w:r>
      <w:r>
        <w:rPr>
          <w:bCs/>
          <w:szCs w:val="18"/>
        </w:rPr>
        <w:t xml:space="preserve">, </w:t>
      </w:r>
      <w:r w:rsidRPr="0008595E">
        <w:rPr>
          <w:bCs/>
          <w:szCs w:val="18"/>
        </w:rPr>
        <w:t xml:space="preserve">can lead to significant temporal fluctuations in odour emissions. </w:t>
      </w:r>
    </w:p>
    <w:p w14:paraId="79AAFFAA" w14:textId="64EE7AEE" w:rsidR="003F6AC2" w:rsidRPr="00940CCF" w:rsidRDefault="001820D3" w:rsidP="00681C68">
      <w:pPr>
        <w:pStyle w:val="CETHeading1"/>
        <w:numPr>
          <w:ilvl w:val="0"/>
          <w:numId w:val="0"/>
        </w:numPr>
        <w:spacing w:before="0" w:after="0"/>
        <w:jc w:val="both"/>
        <w:rPr>
          <w:b w:val="0"/>
          <w:bCs/>
          <w:sz w:val="18"/>
          <w:szCs w:val="18"/>
          <w:lang w:val="en-GB"/>
        </w:rPr>
      </w:pPr>
      <w:r w:rsidRPr="00940CCF">
        <w:rPr>
          <w:b w:val="0"/>
          <w:bCs/>
          <w:sz w:val="18"/>
          <w:szCs w:val="18"/>
        </w:rPr>
        <w:t xml:space="preserve">The present study aims to evaluate how different emission temporal regimes can influence predicted odour impacts, highlighting the importance of adopting time-resolved approaches capable of capturing peak events and realistic operating conditions. </w:t>
      </w:r>
      <w:r w:rsidR="004A0A85" w:rsidRPr="004A0A85">
        <w:rPr>
          <w:b w:val="0"/>
          <w:bCs/>
          <w:sz w:val="18"/>
          <w:szCs w:val="18"/>
        </w:rPr>
        <w:t>To this end, the analysis focuses on a case study of a bituminous conglomerate plant characterized by a markedly discontinuous operational regime. The facility comprises multiple production lines with different operating schedules, including units that are inactive during nighttime and others that operate only during specific periods of the year. This results in a highly variable emission pattern, further influenced by transient conditions such as short-term increases in airflow associated with specific activities.</w:t>
      </w:r>
    </w:p>
    <w:p w14:paraId="3502D6FA" w14:textId="768CA5D8" w:rsidR="003F6AC2" w:rsidRPr="00940CCF" w:rsidRDefault="003F6AC2" w:rsidP="007F76C8">
      <w:pPr>
        <w:pStyle w:val="CETHeading1"/>
        <w:jc w:val="both"/>
      </w:pPr>
      <w:r w:rsidRPr="00940CCF">
        <w:t>Methods</w:t>
      </w:r>
    </w:p>
    <w:p w14:paraId="0CC35359" w14:textId="71B44E10" w:rsidR="003F6AC2" w:rsidRPr="00940CCF" w:rsidRDefault="003F6AC2" w:rsidP="007F76C8">
      <w:pPr>
        <w:pStyle w:val="CETheadingx"/>
        <w:jc w:val="both"/>
      </w:pPr>
      <w:r w:rsidRPr="00940CCF">
        <w:t>CALPUFF model</w:t>
      </w:r>
    </w:p>
    <w:p w14:paraId="34D2C028" w14:textId="2BEED8B3" w:rsidR="00B16383" w:rsidRDefault="00F3331B" w:rsidP="00B16383">
      <w:pPr>
        <w:pStyle w:val="CETheadingx"/>
        <w:numPr>
          <w:ilvl w:val="0"/>
          <w:numId w:val="0"/>
        </w:numPr>
        <w:spacing w:after="0"/>
        <w:jc w:val="both"/>
        <w:rPr>
          <w:b w:val="0"/>
          <w:bCs/>
        </w:rPr>
      </w:pPr>
      <w:r w:rsidRPr="00940CCF">
        <w:rPr>
          <w:b w:val="0"/>
          <w:bCs/>
        </w:rPr>
        <w:t>This study was carried out using the CALPUFF modelling system, a three-dimensional, non-steady-state Lagrangian puff dispersion model widely applied for the simulation of atmospheric transport and dispersion of pollutants, including gases, aerosols, and particulate matter (S</w:t>
      </w:r>
      <w:r w:rsidR="00592CB3">
        <w:rPr>
          <w:b w:val="0"/>
          <w:bCs/>
        </w:rPr>
        <w:t>cire et al.</w:t>
      </w:r>
      <w:r w:rsidRPr="00940CCF">
        <w:rPr>
          <w:b w:val="0"/>
          <w:bCs/>
        </w:rPr>
        <w:t xml:space="preserve">, 2000). </w:t>
      </w:r>
    </w:p>
    <w:p w14:paraId="008B07E6" w14:textId="77777777" w:rsidR="00B16383" w:rsidRDefault="00F3331B" w:rsidP="00B16383">
      <w:pPr>
        <w:pStyle w:val="CETheadingx"/>
        <w:numPr>
          <w:ilvl w:val="0"/>
          <w:numId w:val="0"/>
        </w:numPr>
        <w:spacing w:before="0" w:after="0"/>
        <w:jc w:val="both"/>
        <w:rPr>
          <w:b w:val="0"/>
        </w:rPr>
      </w:pPr>
      <w:r w:rsidRPr="00940CCF">
        <w:rPr>
          <w:b w:val="0"/>
          <w:bCs/>
        </w:rPr>
        <w:t>CALPUFF</w:t>
      </w:r>
      <w:r w:rsidRPr="00940CCF">
        <w:rPr>
          <w:b w:val="0"/>
        </w:rPr>
        <w:t xml:space="preserve"> is particularly suitable for applications involving complex environments, as it can account for spatial and temporal variability in meteorological conditions. The model represents emissions as a series of discrete puffs, each containing a fraction of the emitted mass, which are transported by the wind field while expanding both horizontally and vertically according to Gaussian distributions. This approach allows the model to capture variations in wind speed, wind direction, and atmospheric stability over time and space.</w:t>
      </w:r>
      <w:r w:rsidR="00D3115D" w:rsidRPr="00940CCF">
        <w:rPr>
          <w:b w:val="0"/>
        </w:rPr>
        <w:t xml:space="preserve"> </w:t>
      </w:r>
    </w:p>
    <w:p w14:paraId="40BB9D9E" w14:textId="12C52A5F" w:rsidR="0095413D" w:rsidRDefault="00B16383" w:rsidP="0095413D">
      <w:pPr>
        <w:pStyle w:val="CETheadingx"/>
        <w:numPr>
          <w:ilvl w:val="0"/>
          <w:numId w:val="0"/>
        </w:numPr>
        <w:spacing w:before="0" w:after="0"/>
        <w:jc w:val="both"/>
        <w:rPr>
          <w:b w:val="0"/>
        </w:rPr>
      </w:pPr>
      <w:r>
        <w:rPr>
          <w:b w:val="0"/>
        </w:rPr>
        <w:t>M</w:t>
      </w:r>
      <w:r w:rsidR="00F3331B" w:rsidRPr="00940CCF">
        <w:rPr>
          <w:b w:val="0"/>
        </w:rPr>
        <w:t>eteorological input fields were generated using CALMET, the diagnostic meteorological preprocessor associated with CALPUFF. CALMET integrates multiple data sources, including terrain characteristics, surface and upper-air observations, and prognostic meteorological data, to produce high-resolution, gridded fields of wind, temperature, and atmospheric stability. These fields provide the basis for a physically consistent representation of dispersion processes under varying atmospheric conditions.</w:t>
      </w:r>
      <w:r w:rsidR="00D3115D" w:rsidRPr="00940CCF">
        <w:rPr>
          <w:b w:val="0"/>
        </w:rPr>
        <w:t xml:space="preserve"> </w:t>
      </w:r>
      <w:r w:rsidR="00F3331B" w:rsidRPr="00940CCF">
        <w:rPr>
          <w:b w:val="0"/>
        </w:rPr>
        <w:t>All simulations were performed with CALPUFF version 7.2.1 over a full annual period</w:t>
      </w:r>
      <w:r w:rsidR="00410E19" w:rsidRPr="00940CCF">
        <w:rPr>
          <w:b w:val="0"/>
        </w:rPr>
        <w:t xml:space="preserve"> (2025)</w:t>
      </w:r>
      <w:r w:rsidR="00F3331B" w:rsidRPr="00940CCF">
        <w:rPr>
          <w:b w:val="0"/>
        </w:rPr>
        <w:t xml:space="preserve">, using a temporal resolution of 3600 seconds. In line with standard practice in odour dispersion modelling, chemical transformation processes were not considered, assuming odourous compounds to be chemically inert. Similarly, dry and wet deposition processes were excluded, resulting in a conservative estimation of ground-level concentrations. </w:t>
      </w:r>
      <w:r w:rsidR="008635FA" w:rsidRPr="008635FA">
        <w:rPr>
          <w:b w:val="0"/>
        </w:rPr>
        <w:t>The dispersion option was configured to derive horizontal and vertical dispersion coefficients from micrometeorological parameters provided by CALMET</w:t>
      </w:r>
      <w:r w:rsidR="008635FA">
        <w:rPr>
          <w:b w:val="0"/>
        </w:rPr>
        <w:t xml:space="preserve"> (MDISP=2)</w:t>
      </w:r>
      <w:r w:rsidR="00F3331B" w:rsidRPr="00940CCF">
        <w:rPr>
          <w:b w:val="0"/>
        </w:rPr>
        <w:t xml:space="preserve">, </w:t>
      </w:r>
      <w:r w:rsidR="008635FA">
        <w:rPr>
          <w:b w:val="0"/>
        </w:rPr>
        <w:t>thereby</w:t>
      </w:r>
      <w:r w:rsidR="008635FA" w:rsidRPr="00940CCF">
        <w:rPr>
          <w:b w:val="0"/>
        </w:rPr>
        <w:t xml:space="preserve"> </w:t>
      </w:r>
      <w:r w:rsidR="00F3331B" w:rsidRPr="00940CCF">
        <w:rPr>
          <w:b w:val="0"/>
        </w:rPr>
        <w:t xml:space="preserve">ensuring a physically based representation of turbulence and atmospheric stability. </w:t>
      </w:r>
    </w:p>
    <w:p w14:paraId="525762AA" w14:textId="5BC2AF3E" w:rsidR="003F6AC2" w:rsidRPr="00940CCF" w:rsidRDefault="003F6AC2" w:rsidP="007F76C8">
      <w:pPr>
        <w:pStyle w:val="CETheadingx"/>
        <w:jc w:val="both"/>
      </w:pPr>
      <w:r w:rsidRPr="00940CCF">
        <w:t>Site description and mete</w:t>
      </w:r>
      <w:r w:rsidR="00F925F9" w:rsidRPr="00940CCF">
        <w:t>o</w:t>
      </w:r>
      <w:r w:rsidRPr="00940CCF">
        <w:t>rological data</w:t>
      </w:r>
    </w:p>
    <w:p w14:paraId="1D1991A1" w14:textId="77777777" w:rsidR="0095413D" w:rsidRDefault="0095413D" w:rsidP="00681C68">
      <w:pPr>
        <w:pStyle w:val="CETListbullets"/>
        <w:ind w:left="0" w:firstLine="0"/>
      </w:pPr>
      <w:bookmarkStart w:id="1" w:name="_Hlk227763923"/>
      <w:r w:rsidRPr="006152BF">
        <w:t xml:space="preserve">The computational domain is located in northern Italy and covers an area of 6 km × 6 km with a horizontal grid </w:t>
      </w:r>
    </w:p>
    <w:p w14:paraId="29A675ED" w14:textId="77777777" w:rsidR="0095413D" w:rsidRDefault="0095413D" w:rsidP="00681C68">
      <w:pPr>
        <w:pStyle w:val="CETListbullets"/>
        <w:ind w:left="0" w:firstLine="0"/>
      </w:pPr>
      <w:r w:rsidRPr="006152BF">
        <w:t xml:space="preserve">resolution of 100 m. The area lies within the Po Valley and is characterized by relatively flat terrain, with elevations ranging between approximately 140 and 160 m above sea level. The asphalt plant is situated within a small industrial zone embedded in a mixed landscape of agricultural land and residential areas, with a few additional industrial clusters. This spatial configuration is typical of the region, where industrial, agricultural, and residential land uses coexist in close proximity, representing a key factor in the occurrence of odour nuisance. Land use data for the simulations were derived from the CORINE Land Cover (CLC 2018) database at 100 m resolution, while terrain elevation data were obtained from the SRTM Global dataset at 30 m resolution. Meteorological input fields for CALMET (version 6.5.0) were generated using a hybrid approach. Surface observations were taken from a ARPA Lombardia (Regional Environmental Protection Agency) meteorological station, located within the modelling domain and providing all required parameters, i.e. wind speed and direction </w:t>
      </w:r>
      <w:r w:rsidRPr="006152BF">
        <w:lastRenderedPageBreak/>
        <w:t xml:space="preserve">at 10m height, air temperature, solar radiation, atmospheric pressure and relative humidity. Upper-air data were obtained from hourly three-dimensional outputs of a prognostic WRF model with a spatial resolution of 1 km. This combined approach allows for the reconstruction of spatially distributed, three-dimensional meteorological fields, overcoming the limitations of single-point measurements. </w:t>
      </w:r>
    </w:p>
    <w:p w14:paraId="09E1E99A" w14:textId="22D27D3E" w:rsidR="0095413D" w:rsidRDefault="0095413D" w:rsidP="00681C68">
      <w:pPr>
        <w:pStyle w:val="CETListbullets"/>
        <w:ind w:left="0" w:firstLine="0"/>
      </w:pPr>
      <w:r w:rsidRPr="006152BF">
        <w:t xml:space="preserve">The dataset covers the entire year 2025, which was selected as the reference period for the simulations. An overview of the main meteorological features of the study area is provided through the analysis of wind regime and atmospheric stability. In particular, </w:t>
      </w:r>
      <w:r w:rsidR="00087272">
        <w:fldChar w:fldCharType="begin"/>
      </w:r>
      <w:r w:rsidR="00087272">
        <w:instrText xml:space="preserve"> REF _Ref227660671 \h  \* MERGEFORMAT </w:instrText>
      </w:r>
      <w:r w:rsidR="00087272">
        <w:fldChar w:fldCharType="separate"/>
      </w:r>
      <w:r w:rsidR="00087272" w:rsidRPr="00087272">
        <w:t>Figure 1</w:t>
      </w:r>
      <w:r w:rsidR="00087272">
        <w:fldChar w:fldCharType="end"/>
      </w:r>
      <w:r w:rsidRPr="006152BF">
        <w:t xml:space="preserve"> shows the annual wind rose (blowing-from) together with the frequency distribution of Pasquill–Gifford stability classes. The wind rose indicates that the prevailing wind directions are from the south-west and east, with a lower contribution from the northern sector. </w:t>
      </w:r>
    </w:p>
    <w:p w14:paraId="04C8786D" w14:textId="185B3AEC" w:rsidR="0095413D" w:rsidRPr="00681C68" w:rsidRDefault="0095413D" w:rsidP="00681C68">
      <w:pPr>
        <w:pStyle w:val="CETListbullets"/>
        <w:ind w:left="0" w:firstLine="0"/>
      </w:pPr>
      <w:r w:rsidRPr="006152BF">
        <w:t>The stability class distribution shows a predominance of stable atmospheric conditions (P.G. class F), followed by neutral conditions (P.G. class D). Such conditions are known to be unfavourable for pollutant dispersion, as they limit atmospheric mixing and promote the accumulation of pollutants near the ground.</w:t>
      </w:r>
    </w:p>
    <w:bookmarkEnd w:id="1"/>
    <w:p w14:paraId="599FB8DC" w14:textId="3DEE136E" w:rsidR="00270BA9" w:rsidRPr="00940CCF" w:rsidRDefault="00270BA9" w:rsidP="00681C68">
      <w:pPr>
        <w:pStyle w:val="CETListbullets"/>
      </w:pPr>
      <w:r w:rsidRPr="00940CCF">
        <w:rPr>
          <w:noProof/>
        </w:rPr>
        <w:drawing>
          <wp:inline distT="0" distB="0" distL="0" distR="0" wp14:anchorId="57DEC259" wp14:editId="17D2C18D">
            <wp:extent cx="2740827" cy="2056478"/>
            <wp:effectExtent l="0" t="0" r="2540" b="127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64693" cy="2074385"/>
                    </a:xfrm>
                    <a:prstGeom prst="rect">
                      <a:avLst/>
                    </a:prstGeom>
                  </pic:spPr>
                </pic:pic>
              </a:graphicData>
            </a:graphic>
          </wp:inline>
        </w:drawing>
      </w:r>
      <w:r w:rsidRPr="00940CCF">
        <w:rPr>
          <w:rFonts w:cs="Arial"/>
          <w:noProof/>
        </w:rPr>
        <w:drawing>
          <wp:inline distT="0" distB="0" distL="0" distR="0" wp14:anchorId="36ABCCC2" wp14:editId="7189E0F8">
            <wp:extent cx="2694769" cy="1965578"/>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9459" cy="1998175"/>
                    </a:xfrm>
                    <a:prstGeom prst="rect">
                      <a:avLst/>
                    </a:prstGeom>
                  </pic:spPr>
                </pic:pic>
              </a:graphicData>
            </a:graphic>
          </wp:inline>
        </w:drawing>
      </w:r>
    </w:p>
    <w:p w14:paraId="50D14D14" w14:textId="36044F6A" w:rsidR="003F6AC2" w:rsidRPr="00681C68" w:rsidRDefault="00270BA9" w:rsidP="00681C68">
      <w:pPr>
        <w:pStyle w:val="Didascalia"/>
        <w:rPr>
          <w:b w:val="0"/>
          <w:i/>
          <w:iCs/>
        </w:rPr>
      </w:pPr>
      <w:bookmarkStart w:id="2" w:name="_Ref227660671"/>
      <w:r w:rsidRPr="00681C68">
        <w:rPr>
          <w:b w:val="0"/>
          <w:bCs w:val="0"/>
          <w:i/>
          <w:iCs/>
          <w:color w:val="auto"/>
        </w:rPr>
        <w:t xml:space="preserve">Figure </w:t>
      </w:r>
      <w:r w:rsidRPr="00681C68">
        <w:rPr>
          <w:b w:val="0"/>
          <w:bCs w:val="0"/>
          <w:i/>
          <w:iCs/>
          <w:color w:val="auto"/>
        </w:rPr>
        <w:fldChar w:fldCharType="begin"/>
      </w:r>
      <w:r w:rsidRPr="00681C68">
        <w:rPr>
          <w:b w:val="0"/>
          <w:bCs w:val="0"/>
          <w:i/>
          <w:iCs/>
          <w:color w:val="auto"/>
        </w:rPr>
        <w:instrText xml:space="preserve"> SEQ Figure \* ARABIC </w:instrText>
      </w:r>
      <w:r w:rsidRPr="00681C68">
        <w:rPr>
          <w:b w:val="0"/>
          <w:bCs w:val="0"/>
          <w:i/>
          <w:iCs/>
          <w:color w:val="auto"/>
        </w:rPr>
        <w:fldChar w:fldCharType="separate"/>
      </w:r>
      <w:r w:rsidR="005B4D4F">
        <w:rPr>
          <w:b w:val="0"/>
          <w:bCs w:val="0"/>
          <w:i/>
          <w:iCs/>
          <w:noProof/>
          <w:color w:val="auto"/>
        </w:rPr>
        <w:t>1</w:t>
      </w:r>
      <w:r w:rsidRPr="00681C68">
        <w:rPr>
          <w:b w:val="0"/>
          <w:bCs w:val="0"/>
          <w:i/>
          <w:iCs/>
          <w:color w:val="auto"/>
        </w:rPr>
        <w:fldChar w:fldCharType="end"/>
      </w:r>
      <w:bookmarkEnd w:id="2"/>
      <w:r w:rsidR="007F76C8">
        <w:rPr>
          <w:b w:val="0"/>
          <w:bCs w:val="0"/>
          <w:i/>
          <w:iCs/>
          <w:color w:val="auto"/>
        </w:rPr>
        <w:t>:</w:t>
      </w:r>
      <w:r w:rsidRPr="00681C68">
        <w:rPr>
          <w:b w:val="0"/>
          <w:bCs w:val="0"/>
          <w:i/>
          <w:iCs/>
          <w:color w:val="auto"/>
        </w:rPr>
        <w:t xml:space="preserve"> Annual wind rose (blowing-from) and stability class frequency distribution for the entire simulation year.</w:t>
      </w:r>
    </w:p>
    <w:p w14:paraId="5772B000" w14:textId="37C05F73" w:rsidR="003F6AC2" w:rsidRPr="00940CCF" w:rsidRDefault="003F6AC2" w:rsidP="003F6AC2">
      <w:pPr>
        <w:pStyle w:val="CETBodytext"/>
        <w:rPr>
          <w:lang w:val="en-GB"/>
        </w:rPr>
      </w:pPr>
    </w:p>
    <w:p w14:paraId="6A1A9DB6" w14:textId="365EBFB4" w:rsidR="003F6AC2" w:rsidRPr="00940CCF" w:rsidRDefault="003F6AC2">
      <w:pPr>
        <w:pStyle w:val="CETheadingx"/>
      </w:pPr>
      <w:r w:rsidRPr="00940CCF">
        <w:t>Emission Data and Sources Characterization</w:t>
      </w:r>
    </w:p>
    <w:p w14:paraId="1EA3836A" w14:textId="5FA8A796" w:rsidR="007E1308" w:rsidRPr="00940CCF" w:rsidRDefault="007E1308" w:rsidP="00CA2E90">
      <w:pPr>
        <w:pStyle w:val="CETBodytext"/>
      </w:pPr>
      <w:r w:rsidRPr="00940CCF">
        <w:t>The plant configuration consists of two distinct process units, each connected to a dedicated stack</w:t>
      </w:r>
      <w:r w:rsidR="007E69D7">
        <w:t xml:space="preserve">, </w:t>
      </w:r>
      <w:r w:rsidR="007E69D7" w:rsidRPr="007E69D7">
        <w:t>corresponding to two bituminous conglomerate production lines operating under different regimes: one continuous and the other intermittent</w:t>
      </w:r>
      <w:r w:rsidRPr="00940CCF">
        <w:t>. For stacks, and more generally for all point emission sources, the assessment of odour emissions cannot rely solely on odour concentration values. Instead, it is necessary to refer to the OER, defined as the product of odour concentration and airflow rate, and expressed in odour units per second (ou</w:t>
      </w:r>
      <w:r w:rsidRPr="00940CCF">
        <w:rPr>
          <w:vertAlign w:val="subscript"/>
        </w:rPr>
        <w:t>E</w:t>
      </w:r>
      <w:r w:rsidRPr="00940CCF">
        <w:t>/s):</w:t>
      </w:r>
    </w:p>
    <w:p w14:paraId="0DB00A76" w14:textId="6A6478BB" w:rsidR="003D32BA" w:rsidRPr="00940CCF" w:rsidRDefault="003D32BA" w:rsidP="00CA2E90">
      <w:pPr>
        <w:pStyle w:val="Didascalia"/>
        <w:tabs>
          <w:tab w:val="clear" w:pos="7100"/>
          <w:tab w:val="left" w:pos="750"/>
        </w:tabs>
      </w:pPr>
      <w:r w:rsidRPr="00940CCF">
        <w:rPr>
          <w:b w:val="0"/>
          <w:bCs w:val="0"/>
          <w:noProof/>
        </w:rPr>
        <mc:AlternateContent>
          <mc:Choice Requires="wps">
            <w:drawing>
              <wp:anchor distT="45720" distB="45720" distL="114300" distR="114300" simplePos="0" relativeHeight="251659264" behindDoc="0" locked="0" layoutInCell="1" allowOverlap="1" wp14:anchorId="1FB470F9" wp14:editId="3AC6EE7F">
                <wp:simplePos x="0" y="0"/>
                <wp:positionH relativeFrom="margin">
                  <wp:align>left</wp:align>
                </wp:positionH>
                <wp:positionV relativeFrom="paragraph">
                  <wp:posOffset>45085</wp:posOffset>
                </wp:positionV>
                <wp:extent cx="2360930" cy="730250"/>
                <wp:effectExtent l="0" t="0" r="15875" b="1270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30250"/>
                        </a:xfrm>
                        <a:prstGeom prst="rect">
                          <a:avLst/>
                        </a:prstGeom>
                        <a:solidFill>
                          <a:srgbClr val="FFFFFF"/>
                        </a:solidFill>
                        <a:ln w="9525">
                          <a:solidFill>
                            <a:schemeClr val="bg1"/>
                          </a:solidFill>
                          <a:miter lim="800000"/>
                          <a:headEnd/>
                          <a:tailEnd/>
                        </a:ln>
                      </wps:spPr>
                      <wps:txbx>
                        <w:txbxContent>
                          <w:p w14:paraId="5F1A221E" w14:textId="77AB737A" w:rsidR="003D32BA" w:rsidRPr="007E69D7" w:rsidRDefault="003D32BA" w:rsidP="003D32BA">
                            <w:pPr>
                              <w:pStyle w:val="CETBodytext"/>
                              <w:keepNext/>
                              <w:jc w:val="center"/>
                            </w:pPr>
                            <w:r w:rsidRPr="003D32BA">
                              <w:rPr>
                                <w:rFonts w:ascii="Cambria Math" w:hAnsi="Cambria Math"/>
                                <w:i/>
                              </w:rPr>
                              <w:br/>
                            </w:r>
                            <m:oMathPara>
                              <m:oMathParaPr>
                                <m:jc m:val="left"/>
                              </m:oMathParaPr>
                              <m:oMath>
                                <m:r>
                                  <w:rPr>
                                    <w:rFonts w:ascii="Cambria Math" w:hAnsi="Cambria Math"/>
                                  </w:rPr>
                                  <m:t xml:space="preserve">OER </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ou</m:t>
                                            </m:r>
                                          </m:e>
                                          <m:sub>
                                            <m:r>
                                              <w:rPr>
                                                <w:rFonts w:ascii="Cambria Math" w:hAnsi="Cambria Math"/>
                                              </w:rPr>
                                              <m:t>E</m:t>
                                            </m:r>
                                          </m:sub>
                                        </m:sSub>
                                      </m:num>
                                      <m:den>
                                        <m:r>
                                          <w:rPr>
                                            <w:rFonts w:ascii="Cambria Math" w:hAnsi="Cambria Math"/>
                                          </w:rPr>
                                          <m:t>s</m:t>
                                        </m:r>
                                      </m:den>
                                    </m:f>
                                  </m:e>
                                </m:d>
                                <m:r>
                                  <w:rPr>
                                    <w:rFonts w:ascii="Cambria Math" w:hAnsi="Cambria Math"/>
                                  </w:rPr>
                                  <m:t>=</m:t>
                                </m:r>
                                <m:f>
                                  <m:fPr>
                                    <m:ctrlPr>
                                      <w:rPr>
                                        <w:rFonts w:ascii="Cambria Math" w:hAnsi="Cambria Math"/>
                                        <w:i/>
                                      </w:rPr>
                                    </m:ctrlPr>
                                  </m:fPr>
                                  <m:num>
                                    <m:r>
                                      <w:rPr>
                                        <w:rFonts w:ascii="Cambria Math" w:hAnsi="Cambria Math"/>
                                      </w:rPr>
                                      <m:t>Q</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h</m:t>
                                            </m:r>
                                          </m:den>
                                        </m:f>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od</m:t>
                                        </m:r>
                                      </m:sub>
                                    </m:sSub>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ou</m:t>
                                                </m:r>
                                              </m:e>
                                              <m:sub>
                                                <m:r>
                                                  <w:rPr>
                                                    <w:rFonts w:ascii="Cambria Math" w:hAnsi="Cambria Math"/>
                                                  </w:rPr>
                                                  <m:t>E</m:t>
                                                </m:r>
                                              </m:sub>
                                            </m:sSub>
                                          </m:num>
                                          <m:den>
                                            <m:sSup>
                                              <m:sSupPr>
                                                <m:ctrlPr>
                                                  <w:rPr>
                                                    <w:rFonts w:ascii="Cambria Math" w:hAnsi="Cambria Math"/>
                                                    <w:i/>
                                                  </w:rPr>
                                                </m:ctrlPr>
                                              </m:sSupPr>
                                              <m:e>
                                                <m:r>
                                                  <w:rPr>
                                                    <w:rFonts w:ascii="Cambria Math" w:hAnsi="Cambria Math"/>
                                                  </w:rPr>
                                                  <m:t>m</m:t>
                                                </m:r>
                                              </m:e>
                                              <m:sup>
                                                <m:r>
                                                  <w:rPr>
                                                    <w:rFonts w:ascii="Cambria Math" w:hAnsi="Cambria Math"/>
                                                  </w:rPr>
                                                  <m:t>3</m:t>
                                                </m:r>
                                              </m:sup>
                                            </m:sSup>
                                          </m:den>
                                        </m:f>
                                      </m:e>
                                    </m:d>
                                  </m:num>
                                  <m:den>
                                    <m:r>
                                      <w:rPr>
                                        <w:rFonts w:ascii="Cambria Math" w:hAnsi="Cambria Math"/>
                                      </w:rPr>
                                      <m:t>3600</m:t>
                                    </m:r>
                                    <m:d>
                                      <m:dPr>
                                        <m:begChr m:val="["/>
                                        <m:endChr m:val="]"/>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h</m:t>
                                            </m:r>
                                          </m:den>
                                        </m:f>
                                      </m:e>
                                    </m:d>
                                  </m:den>
                                </m:f>
                              </m:oMath>
                            </m:oMathPara>
                          </w:p>
                          <w:p w14:paraId="21F90388" w14:textId="14EA32CC" w:rsidR="003D32BA" w:rsidRDefault="003D32BA" w:rsidP="003D32BA">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FB470F9" id="_x0000_t202" coordsize="21600,21600" o:spt="202" path="m,l,21600r21600,l21600,xe">
                <v:stroke joinstyle="miter"/>
                <v:path gradientshapeok="t" o:connecttype="rect"/>
              </v:shapetype>
              <v:shape id="Casella di testo 2" o:spid="_x0000_s1026" type="#_x0000_t202" style="position:absolute;left:0;text-align:left;margin-left:0;margin-top:3.55pt;width:185.9pt;height:57.5pt;z-index:25165926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" strokecolor="white [3212]">
                <v:textbox>
                  <w:txbxContent>
                    <w:p w14:paraId="5F1A221E" w14:textId="77AB737A" w:rsidR="003D32BA" w:rsidRPr="007E69D7" w:rsidRDefault="003D32BA" w:rsidP="003D32BA">
                      <w:pPr>
                        <w:pStyle w:val="CETBodytext"/>
                        <w:keepNext/>
                        <w:jc w:val="center"/>
                      </w:pPr>
                      <w:r w:rsidRPr="003D32BA">
                        <w:rPr>
                          <w:rFonts w:ascii="Cambria Math" w:hAnsi="Cambria Math"/>
                          <w:i/>
                        </w:rPr>
                        <w:br/>
                      </w:r>
                      <m:oMathPara>
                        <m:oMathParaPr>
                          <m:jc m:val="left"/>
                        </m:oMathParaPr>
                        <m:oMath>
                          <m:r>
                            <w:rPr>
                              <w:rFonts w:ascii="Cambria Math" w:hAnsi="Cambria Math"/>
                            </w:rPr>
                            <m:t xml:space="preserve">OER </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ou</m:t>
                                      </m:r>
                                    </m:e>
                                    <m:sub>
                                      <m:r>
                                        <w:rPr>
                                          <w:rFonts w:ascii="Cambria Math" w:hAnsi="Cambria Math"/>
                                        </w:rPr>
                                        <m:t>E</m:t>
                                      </m:r>
                                    </m:sub>
                                  </m:sSub>
                                </m:num>
                                <m:den>
                                  <m:r>
                                    <w:rPr>
                                      <w:rFonts w:ascii="Cambria Math" w:hAnsi="Cambria Math"/>
                                    </w:rPr>
                                    <m:t>s</m:t>
                                  </m:r>
                                </m:den>
                              </m:f>
                            </m:e>
                          </m:d>
                          <m:r>
                            <w:rPr>
                              <w:rFonts w:ascii="Cambria Math" w:hAnsi="Cambria Math"/>
                            </w:rPr>
                            <m:t>=</m:t>
                          </m:r>
                          <m:f>
                            <m:fPr>
                              <m:ctrlPr>
                                <w:rPr>
                                  <w:rFonts w:ascii="Cambria Math" w:hAnsi="Cambria Math"/>
                                  <w:i/>
                                </w:rPr>
                              </m:ctrlPr>
                            </m:fPr>
                            <m:num>
                              <m:r>
                                <w:rPr>
                                  <w:rFonts w:ascii="Cambria Math" w:hAnsi="Cambria Math"/>
                                </w:rPr>
                                <m:t>Q</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h</m:t>
                                      </m:r>
                                    </m:den>
                                  </m:f>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od</m:t>
                                  </m:r>
                                </m:sub>
                              </m:sSub>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ou</m:t>
                                          </m:r>
                                        </m:e>
                                        <m:sub>
                                          <m:r>
                                            <w:rPr>
                                              <w:rFonts w:ascii="Cambria Math" w:hAnsi="Cambria Math"/>
                                            </w:rPr>
                                            <m:t>E</m:t>
                                          </m:r>
                                        </m:sub>
                                      </m:sSub>
                                    </m:num>
                                    <m:den>
                                      <m:sSup>
                                        <m:sSupPr>
                                          <m:ctrlPr>
                                            <w:rPr>
                                              <w:rFonts w:ascii="Cambria Math" w:hAnsi="Cambria Math"/>
                                              <w:i/>
                                            </w:rPr>
                                          </m:ctrlPr>
                                        </m:sSupPr>
                                        <m:e>
                                          <m:r>
                                            <w:rPr>
                                              <w:rFonts w:ascii="Cambria Math" w:hAnsi="Cambria Math"/>
                                            </w:rPr>
                                            <m:t>m</m:t>
                                          </m:r>
                                        </m:e>
                                        <m:sup>
                                          <m:r>
                                            <w:rPr>
                                              <w:rFonts w:ascii="Cambria Math" w:hAnsi="Cambria Math"/>
                                            </w:rPr>
                                            <m:t>3</m:t>
                                          </m:r>
                                        </m:sup>
                                      </m:sSup>
                                    </m:den>
                                  </m:f>
                                </m:e>
                              </m:d>
                            </m:num>
                            <m:den>
                              <m:r>
                                <w:rPr>
                                  <w:rFonts w:ascii="Cambria Math" w:hAnsi="Cambria Math"/>
                                </w:rPr>
                                <m:t>3600</m:t>
                              </m:r>
                              <m:d>
                                <m:dPr>
                                  <m:begChr m:val="["/>
                                  <m:endChr m:val="]"/>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h</m:t>
                                      </m:r>
                                    </m:den>
                                  </m:f>
                                </m:e>
                              </m:d>
                            </m:den>
                          </m:f>
                        </m:oMath>
                      </m:oMathPara>
                    </w:p>
                    <w:p w14:paraId="21F90388" w14:textId="14EA32CC" w:rsidR="003D32BA" w:rsidRDefault="003D32BA" w:rsidP="003D32BA">
                      <w:pPr>
                        <w:jc w:val="center"/>
                      </w:pPr>
                    </w:p>
                  </w:txbxContent>
                </v:textbox>
                <w10:wrap type="square" anchorx="margin"/>
              </v:shape>
            </w:pict>
          </mc:Fallback>
        </mc:AlternateContent>
      </w:r>
      <w:r w:rsidRPr="00940CCF">
        <w:tab/>
      </w:r>
    </w:p>
    <w:p w14:paraId="24E78E88" w14:textId="4780C2A4" w:rsidR="003D32BA" w:rsidRPr="00940CCF" w:rsidRDefault="003D32BA" w:rsidP="003F6AC2">
      <w:pPr>
        <w:pStyle w:val="CETBodytext"/>
      </w:pPr>
    </w:p>
    <w:p w14:paraId="3F454C79" w14:textId="644E4D84" w:rsidR="003D32BA" w:rsidRPr="00940CCF" w:rsidRDefault="003D32BA" w:rsidP="003D32BA">
      <w:pPr>
        <w:pStyle w:val="CETBodytext"/>
        <w:jc w:val="right"/>
      </w:pPr>
      <w:r w:rsidRPr="00940CCF">
        <w:t xml:space="preserve">                                                                                                              (1)</w:t>
      </w:r>
    </w:p>
    <w:p w14:paraId="16CEFA55" w14:textId="77777777" w:rsidR="003D32BA" w:rsidRPr="00940CCF" w:rsidRDefault="003D32BA" w:rsidP="003D32BA">
      <w:pPr>
        <w:pStyle w:val="CETBodytext"/>
        <w:jc w:val="center"/>
      </w:pPr>
    </w:p>
    <w:p w14:paraId="77B2846E" w14:textId="77777777" w:rsidR="003D32BA" w:rsidRPr="00940CCF" w:rsidRDefault="003D32BA" w:rsidP="003F6AC2">
      <w:pPr>
        <w:pStyle w:val="CETBodytext"/>
      </w:pPr>
    </w:p>
    <w:p w14:paraId="492B44B2" w14:textId="77777777" w:rsidR="00021341" w:rsidRPr="00940CCF" w:rsidRDefault="00021341" w:rsidP="003F6AC2">
      <w:pPr>
        <w:pStyle w:val="CETBodytext"/>
      </w:pPr>
    </w:p>
    <w:p w14:paraId="48867B39" w14:textId="0FDF4673" w:rsidR="00270BA9" w:rsidRPr="00940CCF" w:rsidRDefault="00270BA9" w:rsidP="00270BA9">
      <w:pPr>
        <w:pStyle w:val="CETBodytext"/>
        <w:rPr>
          <w:iCs/>
          <w:lang w:val="en-GB"/>
        </w:rPr>
      </w:pPr>
      <w:r w:rsidRPr="00940CCF">
        <w:rPr>
          <w:iCs/>
          <w:lang w:val="en-GB"/>
        </w:rPr>
        <w:t>According to EN 13725:2022 (</w:t>
      </w:r>
      <w:r w:rsidR="007E69D7">
        <w:rPr>
          <w:iCs/>
          <w:lang w:val="en-GB"/>
        </w:rPr>
        <w:t>CEN</w:t>
      </w:r>
      <w:r w:rsidRPr="00940CCF">
        <w:rPr>
          <w:iCs/>
          <w:lang w:val="en-GB"/>
        </w:rPr>
        <w:t>, 2022), the airflow rate must be normalized to a reference temperature of 20°C. In this study, odour concentration values, derived from samples collected at the plant’s emission points simultaneously with field measurements of air flow rates, were subsequently analysed by dynamic olfactometry in the laboratory.</w:t>
      </w:r>
    </w:p>
    <w:p w14:paraId="1AD6022B" w14:textId="3A007F91" w:rsidR="00282EA9" w:rsidRPr="00940CCF" w:rsidRDefault="00270BA9" w:rsidP="00681C68">
      <w:pPr>
        <w:pStyle w:val="CETBodytext"/>
      </w:pPr>
      <w:r w:rsidRPr="00940CCF">
        <w:rPr>
          <w:bCs/>
          <w:szCs w:val="18"/>
          <w:lang w:val="en-GB"/>
        </w:rPr>
        <w:t>As the objective of this study is to evaluate the importance of temporal resolution in odour impact assessment, two emission scenarios were defined. The first scenario (hereafter referred to as “</w:t>
      </w:r>
      <w:r w:rsidR="00885493">
        <w:rPr>
          <w:bCs/>
          <w:szCs w:val="18"/>
          <w:lang w:val="en-GB"/>
        </w:rPr>
        <w:t>continuous</w:t>
      </w:r>
      <w:r w:rsidRPr="00940CCF">
        <w:rPr>
          <w:bCs/>
          <w:szCs w:val="18"/>
          <w:lang w:val="en-GB"/>
        </w:rPr>
        <w:t xml:space="preserve"> scenario”) in which both stacks operate continuously (24/7) throughout the entire year. The second scenario (hereafter referred to as “time-resolved scenario”) reflects a more realistic, discontinuous operating regime, representative of actual plant activity. In this case, operations occur daily between 07:00 and 15:00. The first stack, i.e. C1, operates on 80% of the working days of the year, with constant flow rate and odour concentration. The second stack, i.e. C2, operates throughout all working hours and is characterized by a daily peak emission period lasting one hour, associated with truck loading operations of the final product. During this phase, in order to limit diffuse emissions related to material handling, the extraction system operates at higher capacity, resulting in increased airflow directed to stack C2 and higher odour concentrations. The timing of this peak is randomly distributed within the daily operational window over the simulation year. This approach reflects the variability of real plant operations, </w:t>
      </w:r>
      <w:r w:rsidRPr="00940CCF">
        <w:rPr>
          <w:bCs/>
          <w:szCs w:val="18"/>
          <w:lang w:val="en-GB"/>
        </w:rPr>
        <w:lastRenderedPageBreak/>
        <w:t>where truck arrivals do not occur at fixed times, and allows the peak emissions to be associated with a range of meteorological conditions.</w:t>
      </w:r>
      <w:r w:rsidR="005B4D4F">
        <w:rPr>
          <w:bCs/>
          <w:szCs w:val="18"/>
          <w:lang w:val="en-GB"/>
        </w:rPr>
        <w:t xml:space="preserve"> The emissivity characteristics of the two scenarios are reported in </w:t>
      </w:r>
      <w:r w:rsidR="005B4D4F">
        <w:rPr>
          <w:bCs/>
          <w:szCs w:val="18"/>
        </w:rPr>
        <w:fldChar w:fldCharType="begin"/>
      </w:r>
      <w:r w:rsidR="005B4D4F">
        <w:rPr>
          <w:bCs/>
          <w:szCs w:val="18"/>
          <w:lang w:val="en-GB"/>
        </w:rPr>
        <w:instrText xml:space="preserve"> REF _Ref227753008 \h </w:instrText>
      </w:r>
      <w:r w:rsidR="005B4D4F">
        <w:rPr>
          <w:bCs/>
          <w:szCs w:val="18"/>
        </w:rPr>
      </w:r>
      <w:r w:rsidR="005B4D4F">
        <w:rPr>
          <w:bCs/>
          <w:szCs w:val="18"/>
        </w:rPr>
        <w:fldChar w:fldCharType="separate"/>
      </w:r>
      <w:r w:rsidR="005B4D4F" w:rsidRPr="005B4D4F">
        <w:t xml:space="preserve">Table </w:t>
      </w:r>
      <w:r w:rsidR="005B4D4F">
        <w:rPr>
          <w:noProof/>
        </w:rPr>
        <w:t>1</w:t>
      </w:r>
      <w:r w:rsidR="005B4D4F">
        <w:rPr>
          <w:bCs/>
          <w:szCs w:val="18"/>
        </w:rPr>
        <w:fldChar w:fldCharType="end"/>
      </w:r>
      <w:r w:rsidR="005B4D4F" w:rsidRPr="005B4D4F">
        <w:rPr>
          <w:bCs/>
          <w:szCs w:val="18"/>
        </w:rPr>
        <w:t>.</w:t>
      </w:r>
    </w:p>
    <w:p w14:paraId="1BBBB27A" w14:textId="77777777" w:rsidR="00282EA9" w:rsidRPr="00940CCF" w:rsidRDefault="00282EA9" w:rsidP="00282EA9"/>
    <w:p w14:paraId="6858EF80" w14:textId="523B29D1" w:rsidR="005B4D4F" w:rsidRPr="001720FB" w:rsidRDefault="005B4D4F" w:rsidP="00681C68">
      <w:pPr>
        <w:pStyle w:val="Didascalia"/>
        <w:keepNext/>
      </w:pPr>
      <w:bookmarkStart w:id="3" w:name="_Ref227753008"/>
      <w:r w:rsidRPr="00681C68">
        <w:rPr>
          <w:b w:val="0"/>
          <w:bCs w:val="0"/>
          <w:i/>
          <w:iCs/>
          <w:color w:val="auto"/>
        </w:rPr>
        <w:t xml:space="preserve">Table </w:t>
      </w:r>
      <w:r w:rsidRPr="00681C68">
        <w:rPr>
          <w:b w:val="0"/>
          <w:bCs w:val="0"/>
          <w:i/>
          <w:iCs/>
          <w:color w:val="auto"/>
        </w:rPr>
        <w:fldChar w:fldCharType="begin"/>
      </w:r>
      <w:r w:rsidRPr="00681C68">
        <w:rPr>
          <w:b w:val="0"/>
          <w:bCs w:val="0"/>
          <w:i/>
          <w:iCs/>
          <w:color w:val="auto"/>
        </w:rPr>
        <w:instrText xml:space="preserve"> SEQ Table \* ARABIC </w:instrText>
      </w:r>
      <w:r w:rsidRPr="00681C68">
        <w:rPr>
          <w:b w:val="0"/>
          <w:bCs w:val="0"/>
          <w:i/>
          <w:iCs/>
          <w:color w:val="auto"/>
        </w:rPr>
        <w:fldChar w:fldCharType="separate"/>
      </w:r>
      <w:r w:rsidRPr="00292493">
        <w:rPr>
          <w:b w:val="0"/>
          <w:bCs w:val="0"/>
          <w:i/>
          <w:iCs/>
          <w:color w:val="auto"/>
        </w:rPr>
        <w:t>1</w:t>
      </w:r>
      <w:r w:rsidRPr="00681C68">
        <w:rPr>
          <w:b w:val="0"/>
          <w:bCs w:val="0"/>
          <w:i/>
          <w:iCs/>
          <w:color w:val="auto"/>
        </w:rPr>
        <w:fldChar w:fldCharType="end"/>
      </w:r>
      <w:bookmarkEnd w:id="3"/>
      <w:r w:rsidR="00292493">
        <w:rPr>
          <w:b w:val="0"/>
          <w:bCs w:val="0"/>
          <w:i/>
          <w:iCs/>
          <w:color w:val="auto"/>
        </w:rPr>
        <w:t>:</w:t>
      </w:r>
      <w:r w:rsidRPr="00681C68">
        <w:rPr>
          <w:b w:val="0"/>
          <w:bCs w:val="0"/>
          <w:i/>
          <w:iCs/>
          <w:color w:val="auto"/>
        </w:rPr>
        <w:t xml:space="preserve"> Emission scenarios</w:t>
      </w:r>
    </w:p>
    <w:tbl>
      <w:tblPr>
        <w:tblW w:w="7371" w:type="dxa"/>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1593"/>
        <w:gridCol w:w="959"/>
        <w:gridCol w:w="1134"/>
        <w:gridCol w:w="850"/>
        <w:gridCol w:w="1560"/>
        <w:gridCol w:w="1275"/>
      </w:tblGrid>
      <w:tr w:rsidR="009E146F" w:rsidRPr="0012406F" w14:paraId="64C99FA1" w14:textId="77777777" w:rsidTr="00292493">
        <w:tc>
          <w:tcPr>
            <w:tcW w:w="1593" w:type="dxa"/>
            <w:tcBorders>
              <w:top w:val="single" w:sz="12" w:space="0" w:color="008000"/>
              <w:bottom w:val="single" w:sz="6" w:space="0" w:color="008000"/>
            </w:tcBorders>
            <w:shd w:val="clear" w:color="auto" w:fill="FFFFFF"/>
            <w:vAlign w:val="center"/>
          </w:tcPr>
          <w:p w14:paraId="0E462DC5" w14:textId="77777777" w:rsidR="009E146F" w:rsidRPr="0012406F" w:rsidRDefault="009E146F">
            <w:pPr>
              <w:pStyle w:val="CETBodytext"/>
              <w:rPr>
                <w:rFonts w:cs="Arial"/>
                <w:sz w:val="16"/>
                <w:szCs w:val="16"/>
                <w:lang w:val="en-GB"/>
              </w:rPr>
            </w:pPr>
            <w:r w:rsidRPr="0012406F">
              <w:rPr>
                <w:rFonts w:cs="Arial"/>
                <w:color w:val="000000"/>
                <w:sz w:val="16"/>
                <w:szCs w:val="16"/>
              </w:rPr>
              <w:t> </w:t>
            </w:r>
          </w:p>
        </w:tc>
        <w:tc>
          <w:tcPr>
            <w:tcW w:w="2093" w:type="dxa"/>
            <w:gridSpan w:val="2"/>
            <w:tcBorders>
              <w:top w:val="single" w:sz="12" w:space="0" w:color="008000"/>
              <w:bottom w:val="single" w:sz="6" w:space="0" w:color="008000"/>
            </w:tcBorders>
            <w:shd w:val="clear" w:color="auto" w:fill="FFFFFF"/>
            <w:vAlign w:val="center"/>
          </w:tcPr>
          <w:p w14:paraId="5427ED70" w14:textId="4A6B9B30" w:rsidR="009E146F" w:rsidRPr="0012406F" w:rsidRDefault="00885493" w:rsidP="00681C68">
            <w:pPr>
              <w:pStyle w:val="CETBodytext"/>
              <w:jc w:val="left"/>
              <w:rPr>
                <w:rFonts w:cs="Arial"/>
                <w:sz w:val="16"/>
                <w:szCs w:val="16"/>
                <w:lang w:val="en-GB"/>
              </w:rPr>
            </w:pPr>
            <w:r>
              <w:rPr>
                <w:rFonts w:cs="Arial"/>
                <w:color w:val="000000"/>
                <w:sz w:val="16"/>
                <w:szCs w:val="16"/>
              </w:rPr>
              <w:t>Continuous</w:t>
            </w:r>
            <w:r w:rsidR="009E146F" w:rsidRPr="0012406F">
              <w:rPr>
                <w:rFonts w:cs="Arial"/>
                <w:color w:val="000000"/>
                <w:sz w:val="16"/>
                <w:szCs w:val="16"/>
              </w:rPr>
              <w:t xml:space="preserve"> scenario</w:t>
            </w:r>
          </w:p>
        </w:tc>
        <w:tc>
          <w:tcPr>
            <w:tcW w:w="3685" w:type="dxa"/>
            <w:gridSpan w:val="3"/>
            <w:tcBorders>
              <w:top w:val="single" w:sz="12" w:space="0" w:color="008000"/>
              <w:bottom w:val="single" w:sz="6" w:space="0" w:color="008000"/>
            </w:tcBorders>
            <w:shd w:val="clear" w:color="auto" w:fill="FFFFFF"/>
            <w:vAlign w:val="center"/>
          </w:tcPr>
          <w:p w14:paraId="74776819" w14:textId="34134E75" w:rsidR="009E146F" w:rsidRPr="0012406F" w:rsidRDefault="009E146F" w:rsidP="00681C68">
            <w:pPr>
              <w:pStyle w:val="CETBodytext"/>
              <w:jc w:val="left"/>
              <w:rPr>
                <w:rFonts w:cs="Arial"/>
                <w:sz w:val="16"/>
                <w:szCs w:val="16"/>
                <w:lang w:val="en-GB"/>
              </w:rPr>
            </w:pPr>
            <w:r w:rsidRPr="0012406F">
              <w:rPr>
                <w:rFonts w:cs="Arial"/>
                <w:color w:val="000000"/>
                <w:sz w:val="16"/>
                <w:szCs w:val="16"/>
              </w:rPr>
              <w:t>Time-resolved scenario</w:t>
            </w:r>
          </w:p>
        </w:tc>
      </w:tr>
      <w:tr w:rsidR="00292493" w:rsidRPr="0012406F" w14:paraId="4E82B054" w14:textId="77777777" w:rsidTr="00292493">
        <w:trPr>
          <w:trHeight w:val="418"/>
        </w:trPr>
        <w:tc>
          <w:tcPr>
            <w:tcW w:w="1593" w:type="dxa"/>
            <w:shd w:val="clear" w:color="auto" w:fill="FFFFFF"/>
            <w:vAlign w:val="center"/>
          </w:tcPr>
          <w:p w14:paraId="25FDCCFD" w14:textId="77777777" w:rsidR="00292493" w:rsidRPr="0012406F" w:rsidRDefault="00292493">
            <w:pPr>
              <w:pStyle w:val="CETBodytext"/>
              <w:rPr>
                <w:rFonts w:cs="Arial"/>
                <w:sz w:val="16"/>
                <w:szCs w:val="16"/>
                <w:lang w:val="en-GB"/>
              </w:rPr>
            </w:pPr>
            <w:r w:rsidRPr="0012406F">
              <w:rPr>
                <w:rFonts w:cs="Arial"/>
                <w:color w:val="000000"/>
                <w:sz w:val="16"/>
                <w:szCs w:val="16"/>
              </w:rPr>
              <w:t> </w:t>
            </w:r>
          </w:p>
        </w:tc>
        <w:tc>
          <w:tcPr>
            <w:tcW w:w="959" w:type="dxa"/>
            <w:shd w:val="clear" w:color="auto" w:fill="FFFFFF"/>
            <w:vAlign w:val="center"/>
          </w:tcPr>
          <w:p w14:paraId="14ADD629" w14:textId="77777777" w:rsidR="00292493" w:rsidRPr="00292493" w:rsidRDefault="00292493">
            <w:pPr>
              <w:pStyle w:val="CETBodytext"/>
              <w:rPr>
                <w:rFonts w:cs="Arial"/>
                <w:sz w:val="16"/>
                <w:szCs w:val="16"/>
                <w:lang w:val="en-GB"/>
              </w:rPr>
            </w:pPr>
            <w:r w:rsidRPr="00292493">
              <w:rPr>
                <w:rFonts w:cs="Arial"/>
                <w:color w:val="000000"/>
                <w:sz w:val="16"/>
                <w:szCs w:val="16"/>
              </w:rPr>
              <w:t>C1</w:t>
            </w:r>
          </w:p>
        </w:tc>
        <w:tc>
          <w:tcPr>
            <w:tcW w:w="1134" w:type="dxa"/>
            <w:shd w:val="clear" w:color="auto" w:fill="FFFFFF"/>
            <w:vAlign w:val="center"/>
          </w:tcPr>
          <w:p w14:paraId="6BFDAAF9" w14:textId="77777777" w:rsidR="00292493" w:rsidRPr="00292493" w:rsidRDefault="00292493">
            <w:pPr>
              <w:pStyle w:val="CETBodytext"/>
              <w:rPr>
                <w:rFonts w:cs="Arial"/>
                <w:sz w:val="16"/>
                <w:szCs w:val="16"/>
                <w:lang w:val="en-GB"/>
              </w:rPr>
            </w:pPr>
            <w:r w:rsidRPr="00292493">
              <w:rPr>
                <w:rFonts w:cs="Arial"/>
                <w:color w:val="000000"/>
                <w:sz w:val="16"/>
                <w:szCs w:val="16"/>
              </w:rPr>
              <w:t>C2</w:t>
            </w:r>
          </w:p>
        </w:tc>
        <w:tc>
          <w:tcPr>
            <w:tcW w:w="850" w:type="dxa"/>
            <w:shd w:val="clear" w:color="auto" w:fill="FFFFFF"/>
            <w:vAlign w:val="center"/>
          </w:tcPr>
          <w:p w14:paraId="7D95089E" w14:textId="77777777" w:rsidR="00292493" w:rsidRPr="00292493" w:rsidRDefault="00292493">
            <w:pPr>
              <w:pStyle w:val="CETBodytext"/>
              <w:rPr>
                <w:rFonts w:cs="Arial"/>
                <w:sz w:val="16"/>
                <w:szCs w:val="16"/>
                <w:lang w:val="en-GB"/>
              </w:rPr>
            </w:pPr>
            <w:r w:rsidRPr="00292493">
              <w:rPr>
                <w:rFonts w:cs="Arial"/>
                <w:color w:val="000000"/>
                <w:sz w:val="16"/>
                <w:szCs w:val="16"/>
              </w:rPr>
              <w:t>C1</w:t>
            </w:r>
          </w:p>
        </w:tc>
        <w:tc>
          <w:tcPr>
            <w:tcW w:w="1560" w:type="dxa"/>
            <w:shd w:val="clear" w:color="auto" w:fill="FFFFFF"/>
            <w:vAlign w:val="center"/>
          </w:tcPr>
          <w:p w14:paraId="681341A6" w14:textId="77777777" w:rsidR="00292493" w:rsidRPr="00292493" w:rsidRDefault="00292493">
            <w:pPr>
              <w:pStyle w:val="CETBodytext"/>
              <w:rPr>
                <w:rFonts w:cs="Arial"/>
                <w:sz w:val="16"/>
                <w:szCs w:val="16"/>
                <w:lang w:val="en-GB"/>
              </w:rPr>
            </w:pPr>
            <w:r w:rsidRPr="00292493">
              <w:rPr>
                <w:rFonts w:cs="Arial"/>
                <w:color w:val="000000"/>
                <w:sz w:val="16"/>
                <w:szCs w:val="16"/>
              </w:rPr>
              <w:t xml:space="preserve">        C2</w:t>
            </w:r>
          </w:p>
        </w:tc>
        <w:tc>
          <w:tcPr>
            <w:tcW w:w="1275" w:type="dxa"/>
            <w:shd w:val="clear" w:color="auto" w:fill="FFFFFF"/>
            <w:vAlign w:val="center"/>
          </w:tcPr>
          <w:p w14:paraId="7EE56B29" w14:textId="7F558E69" w:rsidR="00292493" w:rsidRPr="00292493" w:rsidRDefault="00292493">
            <w:pPr>
              <w:pStyle w:val="CETBodytext"/>
              <w:rPr>
                <w:rFonts w:cs="Arial"/>
                <w:sz w:val="16"/>
                <w:szCs w:val="16"/>
                <w:lang w:val="en-GB"/>
              </w:rPr>
            </w:pPr>
            <w:r>
              <w:rPr>
                <w:rFonts w:cs="Arial"/>
                <w:sz w:val="16"/>
                <w:szCs w:val="16"/>
                <w:lang w:val="en-GB"/>
              </w:rPr>
              <w:t>C2</w:t>
            </w:r>
          </w:p>
        </w:tc>
      </w:tr>
      <w:tr w:rsidR="009E146F" w:rsidRPr="0012406F" w14:paraId="09079BB8" w14:textId="77777777" w:rsidTr="00292493">
        <w:tc>
          <w:tcPr>
            <w:tcW w:w="1593" w:type="dxa"/>
            <w:shd w:val="clear" w:color="auto" w:fill="FFFFFF"/>
            <w:vAlign w:val="center"/>
          </w:tcPr>
          <w:p w14:paraId="06B35BA3" w14:textId="77777777" w:rsidR="009E146F" w:rsidRPr="0012406F" w:rsidRDefault="009E146F">
            <w:pPr>
              <w:pStyle w:val="CETBodytext"/>
              <w:rPr>
                <w:rFonts w:cs="Arial"/>
                <w:sz w:val="16"/>
                <w:szCs w:val="16"/>
                <w:lang w:val="en-GB"/>
              </w:rPr>
            </w:pPr>
            <w:r w:rsidRPr="0012406F">
              <w:rPr>
                <w:rFonts w:cs="Arial"/>
                <w:color w:val="000000"/>
                <w:sz w:val="16"/>
                <w:szCs w:val="16"/>
              </w:rPr>
              <w:t> </w:t>
            </w:r>
          </w:p>
        </w:tc>
        <w:tc>
          <w:tcPr>
            <w:tcW w:w="959" w:type="dxa"/>
            <w:shd w:val="clear" w:color="auto" w:fill="FFFFFF"/>
            <w:vAlign w:val="center"/>
          </w:tcPr>
          <w:p w14:paraId="29CF3CE1" w14:textId="77777777" w:rsidR="009E146F" w:rsidRPr="0012406F" w:rsidRDefault="009E146F">
            <w:pPr>
              <w:pStyle w:val="CETBodytext"/>
              <w:rPr>
                <w:rFonts w:cs="Arial"/>
                <w:sz w:val="16"/>
                <w:szCs w:val="16"/>
                <w:lang w:val="en-GB"/>
              </w:rPr>
            </w:pPr>
            <w:r w:rsidRPr="0012406F">
              <w:rPr>
                <w:rFonts w:cs="Arial"/>
                <w:color w:val="000000"/>
                <w:sz w:val="16"/>
                <w:szCs w:val="16"/>
              </w:rPr>
              <w:t> </w:t>
            </w:r>
          </w:p>
        </w:tc>
        <w:tc>
          <w:tcPr>
            <w:tcW w:w="1134" w:type="dxa"/>
            <w:shd w:val="clear" w:color="auto" w:fill="FFFFFF"/>
            <w:vAlign w:val="center"/>
          </w:tcPr>
          <w:p w14:paraId="0E5F5437" w14:textId="77777777" w:rsidR="009E146F" w:rsidRPr="0012406F" w:rsidRDefault="009E146F">
            <w:pPr>
              <w:pStyle w:val="CETBodytext"/>
              <w:rPr>
                <w:rFonts w:cs="Arial"/>
                <w:sz w:val="16"/>
                <w:szCs w:val="16"/>
                <w:lang w:val="en-GB"/>
              </w:rPr>
            </w:pPr>
            <w:r w:rsidRPr="0012406F">
              <w:rPr>
                <w:rFonts w:cs="Arial"/>
                <w:color w:val="000000"/>
                <w:sz w:val="16"/>
                <w:szCs w:val="16"/>
              </w:rPr>
              <w:t> </w:t>
            </w:r>
          </w:p>
        </w:tc>
        <w:tc>
          <w:tcPr>
            <w:tcW w:w="850" w:type="dxa"/>
            <w:shd w:val="clear" w:color="auto" w:fill="FFFFFF"/>
            <w:vAlign w:val="center"/>
          </w:tcPr>
          <w:p w14:paraId="7A2E789A" w14:textId="77777777" w:rsidR="009E146F" w:rsidRPr="00BD04C0" w:rsidRDefault="009E146F">
            <w:pPr>
              <w:pStyle w:val="CETBodytext"/>
              <w:ind w:right="-1"/>
              <w:rPr>
                <w:rFonts w:cs="Arial"/>
                <w:b/>
                <w:bCs/>
                <w:sz w:val="16"/>
                <w:szCs w:val="16"/>
                <w:lang w:val="en-GB"/>
              </w:rPr>
            </w:pPr>
            <w:r w:rsidRPr="009A7600">
              <w:rPr>
                <w:rFonts w:cs="Arial"/>
                <w:b/>
                <w:bCs/>
                <w:sz w:val="16"/>
                <w:szCs w:val="16"/>
                <w:lang w:val="en-GB"/>
              </w:rPr>
              <w:t> </w:t>
            </w:r>
          </w:p>
        </w:tc>
        <w:tc>
          <w:tcPr>
            <w:tcW w:w="1560" w:type="dxa"/>
            <w:shd w:val="clear" w:color="auto" w:fill="FFFFFF"/>
            <w:vAlign w:val="center"/>
          </w:tcPr>
          <w:p w14:paraId="63D595BE" w14:textId="0426F53D" w:rsidR="009E146F" w:rsidRPr="00292493" w:rsidRDefault="009E146F" w:rsidP="00681C68">
            <w:pPr>
              <w:pStyle w:val="CETBodytext"/>
              <w:ind w:right="-1"/>
              <w:jc w:val="left"/>
              <w:rPr>
                <w:rFonts w:cs="Arial"/>
                <w:b/>
                <w:bCs/>
                <w:sz w:val="16"/>
                <w:szCs w:val="16"/>
                <w:lang w:val="en-GB"/>
              </w:rPr>
            </w:pPr>
            <w:r w:rsidRPr="00BD04C0">
              <w:rPr>
                <w:rFonts w:cs="Arial"/>
                <w:b/>
                <w:bCs/>
                <w:sz w:val="16"/>
                <w:szCs w:val="16"/>
                <w:lang w:val="en-GB"/>
              </w:rPr>
              <w:t xml:space="preserve">Standard operating </w:t>
            </w:r>
            <w:r w:rsidRPr="00292493">
              <w:rPr>
                <w:rFonts w:cs="Arial"/>
                <w:b/>
                <w:bCs/>
                <w:sz w:val="16"/>
                <w:szCs w:val="16"/>
                <w:lang w:val="en-GB"/>
              </w:rPr>
              <w:t>conditions</w:t>
            </w:r>
          </w:p>
        </w:tc>
        <w:tc>
          <w:tcPr>
            <w:tcW w:w="1275" w:type="dxa"/>
            <w:shd w:val="clear" w:color="auto" w:fill="FFFFFF"/>
            <w:vAlign w:val="center"/>
          </w:tcPr>
          <w:p w14:paraId="13DE8626" w14:textId="2323486A" w:rsidR="009E146F" w:rsidRPr="00292493" w:rsidRDefault="009E146F" w:rsidP="00681C68">
            <w:pPr>
              <w:pStyle w:val="CETBodytext"/>
              <w:ind w:right="-1"/>
              <w:jc w:val="left"/>
              <w:rPr>
                <w:rFonts w:cs="Arial"/>
                <w:b/>
                <w:bCs/>
                <w:sz w:val="16"/>
                <w:szCs w:val="16"/>
                <w:lang w:val="en-GB"/>
              </w:rPr>
            </w:pPr>
            <w:r w:rsidRPr="00292493">
              <w:rPr>
                <w:rFonts w:cs="Arial"/>
                <w:b/>
                <w:bCs/>
                <w:sz w:val="16"/>
                <w:szCs w:val="16"/>
                <w:lang w:val="en-GB"/>
              </w:rPr>
              <w:t>Truck loading conditions</w:t>
            </w:r>
          </w:p>
        </w:tc>
      </w:tr>
      <w:tr w:rsidR="009E146F" w:rsidRPr="0012406F" w14:paraId="645617AF" w14:textId="77777777" w:rsidTr="00292493">
        <w:tc>
          <w:tcPr>
            <w:tcW w:w="1593" w:type="dxa"/>
            <w:shd w:val="clear" w:color="auto" w:fill="FFFFFF"/>
            <w:vAlign w:val="center"/>
          </w:tcPr>
          <w:p w14:paraId="03ED9865" w14:textId="79FAE790" w:rsidR="009E146F" w:rsidRPr="0012406F" w:rsidRDefault="009E146F">
            <w:pPr>
              <w:pStyle w:val="CETBodytext"/>
              <w:rPr>
                <w:rFonts w:cs="Arial"/>
                <w:sz w:val="16"/>
                <w:szCs w:val="16"/>
                <w:lang w:val="en-GB"/>
              </w:rPr>
            </w:pPr>
            <w:r w:rsidRPr="0012406F">
              <w:rPr>
                <w:rFonts w:cs="Arial"/>
                <w:color w:val="000000"/>
                <w:sz w:val="16"/>
                <w:szCs w:val="16"/>
              </w:rPr>
              <w:t>Q [m</w:t>
            </w:r>
            <w:r w:rsidRPr="0012406F">
              <w:rPr>
                <w:rFonts w:cs="Arial"/>
                <w:color w:val="000000"/>
                <w:sz w:val="16"/>
                <w:szCs w:val="16"/>
                <w:vertAlign w:val="superscript"/>
              </w:rPr>
              <w:t>3</w:t>
            </w:r>
            <w:r w:rsidRPr="0012406F">
              <w:rPr>
                <w:rFonts w:cs="Arial"/>
                <w:color w:val="000000"/>
                <w:sz w:val="16"/>
                <w:szCs w:val="16"/>
              </w:rPr>
              <w:t>/h]</w:t>
            </w:r>
          </w:p>
        </w:tc>
        <w:tc>
          <w:tcPr>
            <w:tcW w:w="959" w:type="dxa"/>
            <w:shd w:val="clear" w:color="auto" w:fill="FFFFFF"/>
            <w:vAlign w:val="center"/>
          </w:tcPr>
          <w:p w14:paraId="4CFC1728" w14:textId="77777777" w:rsidR="009E146F" w:rsidRPr="0012406F" w:rsidRDefault="009E146F">
            <w:pPr>
              <w:pStyle w:val="CETBodytext"/>
              <w:rPr>
                <w:rFonts w:cs="Arial"/>
                <w:sz w:val="16"/>
                <w:szCs w:val="16"/>
                <w:lang w:val="en-GB"/>
              </w:rPr>
            </w:pPr>
            <w:r w:rsidRPr="0012406F">
              <w:rPr>
                <w:rFonts w:cs="Arial"/>
                <w:color w:val="000000"/>
                <w:sz w:val="16"/>
                <w:szCs w:val="16"/>
              </w:rPr>
              <w:t>65000</w:t>
            </w:r>
          </w:p>
        </w:tc>
        <w:tc>
          <w:tcPr>
            <w:tcW w:w="1134" w:type="dxa"/>
            <w:shd w:val="clear" w:color="auto" w:fill="FFFFFF"/>
            <w:vAlign w:val="center"/>
          </w:tcPr>
          <w:p w14:paraId="7E1149C5" w14:textId="77777777" w:rsidR="009E146F" w:rsidRPr="0012406F" w:rsidRDefault="009E146F">
            <w:pPr>
              <w:pStyle w:val="CETBodytext"/>
              <w:rPr>
                <w:rFonts w:cs="Arial"/>
                <w:sz w:val="16"/>
                <w:szCs w:val="16"/>
                <w:lang w:val="en-GB"/>
              </w:rPr>
            </w:pPr>
            <w:r w:rsidRPr="0012406F">
              <w:rPr>
                <w:rFonts w:cs="Arial"/>
                <w:color w:val="000000"/>
                <w:sz w:val="16"/>
                <w:szCs w:val="16"/>
              </w:rPr>
              <w:t>105000</w:t>
            </w:r>
          </w:p>
        </w:tc>
        <w:tc>
          <w:tcPr>
            <w:tcW w:w="850" w:type="dxa"/>
            <w:shd w:val="clear" w:color="auto" w:fill="FFFFFF"/>
            <w:vAlign w:val="center"/>
          </w:tcPr>
          <w:p w14:paraId="78480E83" w14:textId="77777777" w:rsidR="009E146F" w:rsidRPr="0012406F" w:rsidRDefault="009E146F">
            <w:pPr>
              <w:pStyle w:val="CETBodytext"/>
              <w:rPr>
                <w:rFonts w:cs="Arial"/>
                <w:sz w:val="16"/>
                <w:szCs w:val="16"/>
                <w:lang w:val="en-GB"/>
              </w:rPr>
            </w:pPr>
            <w:r w:rsidRPr="0012406F">
              <w:rPr>
                <w:rFonts w:cs="Arial"/>
                <w:color w:val="000000"/>
                <w:sz w:val="16"/>
                <w:szCs w:val="16"/>
              </w:rPr>
              <w:t>65000</w:t>
            </w:r>
          </w:p>
        </w:tc>
        <w:tc>
          <w:tcPr>
            <w:tcW w:w="1560" w:type="dxa"/>
            <w:shd w:val="clear" w:color="auto" w:fill="FFFFFF"/>
            <w:vAlign w:val="center"/>
          </w:tcPr>
          <w:p w14:paraId="7F61B2D8" w14:textId="77777777" w:rsidR="009E146F" w:rsidRPr="0012406F" w:rsidRDefault="009E146F">
            <w:pPr>
              <w:pStyle w:val="CETBodytext"/>
              <w:rPr>
                <w:rFonts w:cs="Arial"/>
                <w:sz w:val="16"/>
                <w:szCs w:val="16"/>
                <w:lang w:val="en-GB"/>
              </w:rPr>
            </w:pPr>
            <w:r w:rsidRPr="0012406F">
              <w:rPr>
                <w:rFonts w:cs="Arial"/>
                <w:color w:val="000000"/>
                <w:sz w:val="16"/>
                <w:szCs w:val="16"/>
              </w:rPr>
              <w:t>105000</w:t>
            </w:r>
          </w:p>
        </w:tc>
        <w:tc>
          <w:tcPr>
            <w:tcW w:w="1275" w:type="dxa"/>
            <w:shd w:val="clear" w:color="auto" w:fill="FFFFFF"/>
            <w:vAlign w:val="center"/>
          </w:tcPr>
          <w:p w14:paraId="62170107" w14:textId="77777777" w:rsidR="009E146F" w:rsidRPr="0012406F" w:rsidRDefault="009E146F">
            <w:pPr>
              <w:pStyle w:val="CETBodytext"/>
              <w:rPr>
                <w:rFonts w:cs="Arial"/>
                <w:sz w:val="16"/>
                <w:szCs w:val="16"/>
                <w:lang w:val="en-GB"/>
              </w:rPr>
            </w:pPr>
            <w:r w:rsidRPr="0012406F">
              <w:rPr>
                <w:rFonts w:cs="Arial"/>
                <w:sz w:val="16"/>
                <w:szCs w:val="16"/>
              </w:rPr>
              <w:t>125000</w:t>
            </w:r>
          </w:p>
        </w:tc>
      </w:tr>
      <w:tr w:rsidR="009E146F" w:rsidRPr="0012406F" w14:paraId="2FDB252C" w14:textId="77777777" w:rsidTr="00292493">
        <w:tc>
          <w:tcPr>
            <w:tcW w:w="1593" w:type="dxa"/>
            <w:shd w:val="clear" w:color="auto" w:fill="FFFFFF"/>
            <w:vAlign w:val="center"/>
          </w:tcPr>
          <w:p w14:paraId="2B671093" w14:textId="72165503" w:rsidR="009E146F" w:rsidRPr="0012406F" w:rsidRDefault="009E146F">
            <w:pPr>
              <w:pStyle w:val="CETBodytext"/>
              <w:rPr>
                <w:rFonts w:cs="Arial"/>
                <w:sz w:val="16"/>
                <w:szCs w:val="16"/>
                <w:lang w:val="en-GB"/>
              </w:rPr>
            </w:pPr>
            <w:r w:rsidRPr="0012406F">
              <w:rPr>
                <w:rFonts w:cs="Arial"/>
                <w:color w:val="000000"/>
                <w:sz w:val="16"/>
                <w:szCs w:val="16"/>
              </w:rPr>
              <w:t>Cod [ou</w:t>
            </w:r>
            <w:r w:rsidRPr="0012406F">
              <w:rPr>
                <w:rFonts w:cs="Arial"/>
                <w:color w:val="000000"/>
                <w:sz w:val="16"/>
                <w:szCs w:val="16"/>
                <w:vertAlign w:val="subscript"/>
              </w:rPr>
              <w:t>E</w:t>
            </w:r>
            <w:r w:rsidRPr="0012406F">
              <w:rPr>
                <w:rFonts w:cs="Arial"/>
                <w:color w:val="000000"/>
                <w:sz w:val="16"/>
                <w:szCs w:val="16"/>
              </w:rPr>
              <w:t>/m</w:t>
            </w:r>
            <w:r w:rsidRPr="0012406F">
              <w:rPr>
                <w:rFonts w:cs="Arial"/>
                <w:color w:val="000000"/>
                <w:sz w:val="16"/>
                <w:szCs w:val="16"/>
                <w:vertAlign w:val="superscript"/>
              </w:rPr>
              <w:t>3</w:t>
            </w:r>
            <w:r w:rsidRPr="0012406F">
              <w:rPr>
                <w:rFonts w:cs="Arial"/>
                <w:color w:val="000000"/>
                <w:sz w:val="16"/>
                <w:szCs w:val="16"/>
              </w:rPr>
              <w:t>]</w:t>
            </w:r>
          </w:p>
        </w:tc>
        <w:tc>
          <w:tcPr>
            <w:tcW w:w="959" w:type="dxa"/>
            <w:shd w:val="clear" w:color="auto" w:fill="FFFFFF"/>
            <w:vAlign w:val="center"/>
          </w:tcPr>
          <w:p w14:paraId="2BF3A09C" w14:textId="77777777" w:rsidR="009E146F" w:rsidRPr="0012406F" w:rsidRDefault="009E146F">
            <w:pPr>
              <w:pStyle w:val="CETBodytext"/>
              <w:rPr>
                <w:rFonts w:cs="Arial"/>
                <w:sz w:val="16"/>
                <w:szCs w:val="16"/>
                <w:lang w:val="en-GB"/>
              </w:rPr>
            </w:pPr>
            <w:r w:rsidRPr="0012406F">
              <w:rPr>
                <w:rFonts w:cs="Arial"/>
                <w:color w:val="000000"/>
                <w:sz w:val="16"/>
                <w:szCs w:val="16"/>
              </w:rPr>
              <w:t>3500</w:t>
            </w:r>
          </w:p>
        </w:tc>
        <w:tc>
          <w:tcPr>
            <w:tcW w:w="1134" w:type="dxa"/>
            <w:shd w:val="clear" w:color="auto" w:fill="FFFFFF"/>
            <w:vAlign w:val="center"/>
          </w:tcPr>
          <w:p w14:paraId="3C6545E8" w14:textId="77777777" w:rsidR="009E146F" w:rsidRPr="0012406F" w:rsidRDefault="009E146F">
            <w:pPr>
              <w:pStyle w:val="CETBodytext"/>
              <w:rPr>
                <w:rFonts w:cs="Arial"/>
                <w:sz w:val="16"/>
                <w:szCs w:val="16"/>
                <w:lang w:val="en-GB"/>
              </w:rPr>
            </w:pPr>
            <w:r w:rsidRPr="0012406F">
              <w:rPr>
                <w:rFonts w:cs="Arial"/>
                <w:color w:val="000000"/>
                <w:sz w:val="16"/>
                <w:szCs w:val="16"/>
              </w:rPr>
              <w:t>6000</w:t>
            </w:r>
          </w:p>
        </w:tc>
        <w:tc>
          <w:tcPr>
            <w:tcW w:w="850" w:type="dxa"/>
            <w:shd w:val="clear" w:color="auto" w:fill="FFFFFF"/>
            <w:vAlign w:val="center"/>
          </w:tcPr>
          <w:p w14:paraId="1437A8D4" w14:textId="77777777" w:rsidR="009E146F" w:rsidRPr="0012406F" w:rsidRDefault="009E146F">
            <w:pPr>
              <w:pStyle w:val="CETBodytext"/>
              <w:rPr>
                <w:rFonts w:cs="Arial"/>
                <w:sz w:val="16"/>
                <w:szCs w:val="16"/>
                <w:lang w:val="en-GB"/>
              </w:rPr>
            </w:pPr>
            <w:r w:rsidRPr="0012406F">
              <w:rPr>
                <w:rFonts w:cs="Arial"/>
                <w:color w:val="000000"/>
                <w:sz w:val="16"/>
                <w:szCs w:val="16"/>
              </w:rPr>
              <w:t>3500</w:t>
            </w:r>
          </w:p>
        </w:tc>
        <w:tc>
          <w:tcPr>
            <w:tcW w:w="1560" w:type="dxa"/>
            <w:shd w:val="clear" w:color="auto" w:fill="FFFFFF"/>
            <w:vAlign w:val="center"/>
          </w:tcPr>
          <w:p w14:paraId="365494CC" w14:textId="77777777" w:rsidR="009E146F" w:rsidRPr="0012406F" w:rsidRDefault="009E146F">
            <w:pPr>
              <w:pStyle w:val="CETBodytext"/>
              <w:rPr>
                <w:rFonts w:cs="Arial"/>
                <w:sz w:val="16"/>
                <w:szCs w:val="16"/>
                <w:lang w:val="en-GB"/>
              </w:rPr>
            </w:pPr>
            <w:r w:rsidRPr="0012406F">
              <w:rPr>
                <w:rFonts w:cs="Arial"/>
                <w:color w:val="000000"/>
                <w:sz w:val="16"/>
                <w:szCs w:val="16"/>
              </w:rPr>
              <w:t>6000</w:t>
            </w:r>
          </w:p>
        </w:tc>
        <w:tc>
          <w:tcPr>
            <w:tcW w:w="1275" w:type="dxa"/>
            <w:shd w:val="clear" w:color="auto" w:fill="FFFFFF"/>
            <w:vAlign w:val="center"/>
          </w:tcPr>
          <w:p w14:paraId="65DD3065" w14:textId="77777777" w:rsidR="009E146F" w:rsidRPr="0012406F" w:rsidRDefault="009E146F">
            <w:pPr>
              <w:pStyle w:val="CETBodytext"/>
              <w:rPr>
                <w:rFonts w:cs="Arial"/>
                <w:sz w:val="16"/>
                <w:szCs w:val="16"/>
                <w:lang w:val="en-GB"/>
              </w:rPr>
            </w:pPr>
            <w:r w:rsidRPr="0012406F">
              <w:rPr>
                <w:rFonts w:cs="Arial"/>
                <w:color w:val="000000"/>
                <w:sz w:val="16"/>
                <w:szCs w:val="16"/>
              </w:rPr>
              <w:t>7500</w:t>
            </w:r>
          </w:p>
        </w:tc>
      </w:tr>
      <w:tr w:rsidR="009E146F" w:rsidRPr="0012406F" w14:paraId="24DA074D" w14:textId="77777777" w:rsidTr="00292493">
        <w:tc>
          <w:tcPr>
            <w:tcW w:w="1593" w:type="dxa"/>
            <w:shd w:val="clear" w:color="auto" w:fill="FFFFFF"/>
            <w:vAlign w:val="center"/>
          </w:tcPr>
          <w:p w14:paraId="052DC84D" w14:textId="65B05D19" w:rsidR="009E146F" w:rsidRPr="0012406F" w:rsidRDefault="009E146F">
            <w:pPr>
              <w:pStyle w:val="CETBodytext"/>
              <w:ind w:right="-1"/>
              <w:rPr>
                <w:rFonts w:cs="Arial"/>
                <w:sz w:val="16"/>
                <w:szCs w:val="16"/>
                <w:lang w:val="en-GB"/>
              </w:rPr>
            </w:pPr>
            <w:r w:rsidRPr="0012406F">
              <w:rPr>
                <w:rFonts w:cs="Arial"/>
                <w:color w:val="000000"/>
                <w:sz w:val="16"/>
                <w:szCs w:val="16"/>
              </w:rPr>
              <w:t>OER [ou</w:t>
            </w:r>
            <w:r w:rsidRPr="0012406F">
              <w:rPr>
                <w:rFonts w:cs="Arial"/>
                <w:color w:val="000000"/>
                <w:sz w:val="16"/>
                <w:szCs w:val="16"/>
                <w:vertAlign w:val="subscript"/>
              </w:rPr>
              <w:t>E</w:t>
            </w:r>
            <w:r w:rsidRPr="0012406F">
              <w:rPr>
                <w:rFonts w:cs="Arial"/>
                <w:color w:val="000000"/>
                <w:sz w:val="16"/>
                <w:szCs w:val="16"/>
              </w:rPr>
              <w:t>/s]</w:t>
            </w:r>
          </w:p>
        </w:tc>
        <w:tc>
          <w:tcPr>
            <w:tcW w:w="959" w:type="dxa"/>
            <w:shd w:val="clear" w:color="auto" w:fill="FFFFFF"/>
            <w:vAlign w:val="center"/>
          </w:tcPr>
          <w:p w14:paraId="4869F81B" w14:textId="77777777" w:rsidR="009E146F" w:rsidRPr="0012406F" w:rsidRDefault="009E146F">
            <w:pPr>
              <w:pStyle w:val="CETBodytext"/>
              <w:ind w:right="-1"/>
              <w:rPr>
                <w:rFonts w:cs="Arial"/>
                <w:sz w:val="16"/>
                <w:szCs w:val="16"/>
                <w:lang w:val="en-GB"/>
              </w:rPr>
            </w:pPr>
            <w:r w:rsidRPr="0012406F">
              <w:rPr>
                <w:rFonts w:cs="Arial"/>
                <w:color w:val="000000"/>
                <w:sz w:val="16"/>
                <w:szCs w:val="16"/>
              </w:rPr>
              <w:t>73294</w:t>
            </w:r>
          </w:p>
        </w:tc>
        <w:tc>
          <w:tcPr>
            <w:tcW w:w="1134" w:type="dxa"/>
            <w:shd w:val="clear" w:color="auto" w:fill="FFFFFF"/>
            <w:vAlign w:val="center"/>
          </w:tcPr>
          <w:p w14:paraId="245FFE40" w14:textId="77777777" w:rsidR="009E146F" w:rsidRPr="0012406F" w:rsidRDefault="009E146F">
            <w:pPr>
              <w:pStyle w:val="CETBodytext"/>
              <w:ind w:right="-1"/>
              <w:rPr>
                <w:rFonts w:cs="Arial"/>
                <w:sz w:val="16"/>
                <w:szCs w:val="16"/>
                <w:lang w:val="en-GB"/>
              </w:rPr>
            </w:pPr>
            <w:r w:rsidRPr="0012406F">
              <w:rPr>
                <w:rFonts w:cs="Arial"/>
                <w:color w:val="000000"/>
                <w:sz w:val="16"/>
                <w:szCs w:val="16"/>
              </w:rPr>
              <w:t>188044</w:t>
            </w:r>
          </w:p>
        </w:tc>
        <w:tc>
          <w:tcPr>
            <w:tcW w:w="850" w:type="dxa"/>
            <w:shd w:val="clear" w:color="auto" w:fill="FFFFFF"/>
            <w:vAlign w:val="center"/>
          </w:tcPr>
          <w:p w14:paraId="11A999F2" w14:textId="77777777" w:rsidR="009E146F" w:rsidRPr="0012406F" w:rsidRDefault="009E146F">
            <w:pPr>
              <w:pStyle w:val="CETBodytext"/>
              <w:ind w:right="-1"/>
              <w:rPr>
                <w:rFonts w:cs="Arial"/>
                <w:sz w:val="16"/>
                <w:szCs w:val="16"/>
                <w:lang w:val="en-GB"/>
              </w:rPr>
            </w:pPr>
            <w:r w:rsidRPr="0012406F">
              <w:rPr>
                <w:rFonts w:cs="Arial"/>
                <w:color w:val="000000"/>
                <w:sz w:val="16"/>
                <w:szCs w:val="16"/>
              </w:rPr>
              <w:t>73294</w:t>
            </w:r>
          </w:p>
        </w:tc>
        <w:tc>
          <w:tcPr>
            <w:tcW w:w="1560" w:type="dxa"/>
            <w:shd w:val="clear" w:color="auto" w:fill="FFFFFF"/>
            <w:vAlign w:val="center"/>
          </w:tcPr>
          <w:p w14:paraId="32839156" w14:textId="77777777" w:rsidR="009E146F" w:rsidRPr="0012406F" w:rsidRDefault="009E146F">
            <w:pPr>
              <w:pStyle w:val="CETBodytext"/>
              <w:ind w:right="-1"/>
              <w:rPr>
                <w:rFonts w:cs="Arial"/>
                <w:sz w:val="16"/>
                <w:szCs w:val="16"/>
                <w:lang w:val="en-GB"/>
              </w:rPr>
            </w:pPr>
            <w:r w:rsidRPr="0012406F">
              <w:rPr>
                <w:rFonts w:cs="Arial"/>
                <w:color w:val="000000"/>
                <w:sz w:val="16"/>
                <w:szCs w:val="16"/>
              </w:rPr>
              <w:t>188044</w:t>
            </w:r>
          </w:p>
        </w:tc>
        <w:tc>
          <w:tcPr>
            <w:tcW w:w="1275" w:type="dxa"/>
            <w:shd w:val="clear" w:color="auto" w:fill="FFFFFF"/>
            <w:vAlign w:val="center"/>
          </w:tcPr>
          <w:p w14:paraId="7C6B6176" w14:textId="77777777" w:rsidR="009E146F" w:rsidRPr="0012406F" w:rsidRDefault="009E146F">
            <w:pPr>
              <w:pStyle w:val="CETBodytext"/>
              <w:ind w:right="-1"/>
              <w:rPr>
                <w:rFonts w:cs="Arial"/>
                <w:sz w:val="16"/>
                <w:szCs w:val="16"/>
                <w:lang w:val="en-GB"/>
              </w:rPr>
            </w:pPr>
            <w:r w:rsidRPr="0012406F">
              <w:rPr>
                <w:rFonts w:cs="Arial"/>
                <w:color w:val="000000"/>
                <w:sz w:val="16"/>
                <w:szCs w:val="16"/>
              </w:rPr>
              <w:t>223862</w:t>
            </w:r>
          </w:p>
        </w:tc>
      </w:tr>
    </w:tbl>
    <w:p w14:paraId="51532FA6" w14:textId="6DE258B9" w:rsidR="006907AF" w:rsidRPr="00940CCF" w:rsidRDefault="006907AF" w:rsidP="006907AF">
      <w:pPr>
        <w:pStyle w:val="CETBodytext"/>
        <w:rPr>
          <w:lang w:val="en-GB"/>
        </w:rPr>
      </w:pPr>
    </w:p>
    <w:p w14:paraId="0D4683E5" w14:textId="481AF1AE" w:rsidR="00966EEC" w:rsidRDefault="00087272">
      <w:pPr>
        <w:pStyle w:val="CETBodytext"/>
        <w:rPr>
          <w:lang w:val="en-GB"/>
        </w:rPr>
      </w:pPr>
      <w:r>
        <w:rPr>
          <w:lang w:val="en-GB"/>
        </w:rPr>
        <w:t>As</w:t>
      </w:r>
      <w:r w:rsidR="00885493" w:rsidRPr="00885493">
        <w:rPr>
          <w:lang w:val="en-GB"/>
        </w:rPr>
        <w:t xml:space="preserve"> illustrated in </w:t>
      </w:r>
      <w:r w:rsidRPr="001720FB">
        <w:rPr>
          <w:rFonts w:cs="Arial"/>
          <w:lang w:val="en-GB"/>
        </w:rPr>
        <w:fldChar w:fldCharType="begin"/>
      </w:r>
      <w:r w:rsidRPr="00681C68">
        <w:rPr>
          <w:rFonts w:cs="Arial"/>
          <w:lang w:val="en-GB"/>
        </w:rPr>
        <w:instrText xml:space="preserve"> REF _Ref227753213 \h  \* MERGEFORMAT </w:instrText>
      </w:r>
      <w:r w:rsidRPr="001720FB">
        <w:rPr>
          <w:rFonts w:cs="Arial"/>
          <w:lang w:val="en-GB"/>
        </w:rPr>
      </w:r>
      <w:r w:rsidRPr="001720FB">
        <w:rPr>
          <w:rFonts w:cs="Arial"/>
          <w:lang w:val="en-GB"/>
        </w:rPr>
        <w:fldChar w:fldCharType="separate"/>
      </w:r>
      <w:r w:rsidRPr="00681C68">
        <w:rPr>
          <w:rFonts w:cs="Arial"/>
        </w:rPr>
        <w:t xml:space="preserve">Figure </w:t>
      </w:r>
      <w:r w:rsidRPr="00681C68">
        <w:rPr>
          <w:rFonts w:cs="Arial"/>
          <w:noProof/>
        </w:rPr>
        <w:t>2</w:t>
      </w:r>
      <w:r w:rsidRPr="001720FB">
        <w:rPr>
          <w:rFonts w:cs="Arial"/>
          <w:lang w:val="en-GB"/>
        </w:rPr>
        <w:fldChar w:fldCharType="end"/>
      </w:r>
      <w:r w:rsidR="001413B8">
        <w:rPr>
          <w:lang w:val="en-GB"/>
        </w:rPr>
        <w:t xml:space="preserve"> </w:t>
      </w:r>
      <w:r w:rsidR="001413B8" w:rsidRPr="001413B8">
        <w:rPr>
          <w:lang w:val="en-GB"/>
        </w:rPr>
        <w:t>for an example week</w:t>
      </w:r>
      <w:r w:rsidR="00885493" w:rsidRPr="00885493">
        <w:rPr>
          <w:lang w:val="en-GB"/>
        </w:rPr>
        <w:t xml:space="preserve">, </w:t>
      </w:r>
      <w:r>
        <w:rPr>
          <w:lang w:val="en-GB"/>
        </w:rPr>
        <w:t>t</w:t>
      </w:r>
      <w:r w:rsidR="00885493" w:rsidRPr="00885493">
        <w:rPr>
          <w:lang w:val="en-GB"/>
        </w:rPr>
        <w:t>he continuous scenario assumes a constant emission rate throughout the entire year, whereas the time-resolved scenario exhibits a more complex temporal pattern. This includes</w:t>
      </w:r>
      <w:r w:rsidR="001413B8">
        <w:rPr>
          <w:lang w:val="en-GB"/>
        </w:rPr>
        <w:t>, for C2,</w:t>
      </w:r>
      <w:r w:rsidR="00885493" w:rsidRPr="00885493">
        <w:rPr>
          <w:lang w:val="en-GB"/>
        </w:rPr>
        <w:t xml:space="preserve"> intermittent peaks associated with activities such as truck loading, as well as differing operating schedules among stacks, including downtime periods, thus providing a more realistic representation of actual operating conditions.</w:t>
      </w:r>
    </w:p>
    <w:p w14:paraId="69E4981D" w14:textId="3F553F34" w:rsidR="00681C68" w:rsidRDefault="00681C68" w:rsidP="00681C68">
      <w:pPr>
        <w:pStyle w:val="CETBodytext"/>
        <w:rPr>
          <w:lang w:val="en-GB"/>
        </w:rPr>
      </w:pPr>
      <w:r>
        <w:rPr>
          <w:noProof/>
          <w:lang w:val="en-GB"/>
        </w:rPr>
        <w:drawing>
          <wp:inline distT="0" distB="0" distL="0" distR="0" wp14:anchorId="25D440DB" wp14:editId="6C979FB5">
            <wp:extent cx="2778586" cy="1620000"/>
            <wp:effectExtent l="0" t="0" r="317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3"/>
                    <a:stretch>
                      <a:fillRect/>
                    </a:stretch>
                  </pic:blipFill>
                  <pic:spPr>
                    <a:xfrm>
                      <a:off x="0" y="0"/>
                      <a:ext cx="2778586" cy="1620000"/>
                    </a:xfrm>
                    <a:prstGeom prst="rect">
                      <a:avLst/>
                    </a:prstGeom>
                  </pic:spPr>
                </pic:pic>
              </a:graphicData>
            </a:graphic>
          </wp:inline>
        </w:drawing>
      </w:r>
      <w:r>
        <w:rPr>
          <w:noProof/>
          <w:lang w:val="en-GB"/>
        </w:rPr>
        <w:drawing>
          <wp:inline distT="0" distB="0" distL="0" distR="0" wp14:anchorId="44668029" wp14:editId="27B68B94">
            <wp:extent cx="2778586" cy="1620000"/>
            <wp:effectExtent l="0" t="0" r="317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4"/>
                    <a:stretch>
                      <a:fillRect/>
                    </a:stretch>
                  </pic:blipFill>
                  <pic:spPr>
                    <a:xfrm>
                      <a:off x="0" y="0"/>
                      <a:ext cx="2778586" cy="1620000"/>
                    </a:xfrm>
                    <a:prstGeom prst="rect">
                      <a:avLst/>
                    </a:prstGeom>
                  </pic:spPr>
                </pic:pic>
              </a:graphicData>
            </a:graphic>
          </wp:inline>
        </w:drawing>
      </w:r>
    </w:p>
    <w:p w14:paraId="32F4450F" w14:textId="594ED0D6" w:rsidR="007B789C" w:rsidRDefault="00966EEC" w:rsidP="00681C68">
      <w:pPr>
        <w:pStyle w:val="CETBodytext"/>
        <w:jc w:val="left"/>
        <w:rPr>
          <w:iCs/>
          <w:lang w:val="en-GB"/>
        </w:rPr>
      </w:pPr>
      <w:bookmarkStart w:id="4" w:name="_Ref227753213"/>
      <w:r w:rsidRPr="007F76C8">
        <w:rPr>
          <w:i/>
          <w:iCs/>
        </w:rPr>
        <w:t xml:space="preserve">Figure </w:t>
      </w:r>
      <w:r w:rsidRPr="001720FB">
        <w:rPr>
          <w:i/>
          <w:iCs/>
        </w:rPr>
        <w:fldChar w:fldCharType="begin"/>
      </w:r>
      <w:r w:rsidRPr="007F76C8">
        <w:rPr>
          <w:i/>
          <w:iCs/>
        </w:rPr>
        <w:instrText xml:space="preserve"> SEQ Figure \* ARABIC </w:instrText>
      </w:r>
      <w:r w:rsidRPr="001720FB">
        <w:rPr>
          <w:i/>
          <w:iCs/>
        </w:rPr>
        <w:fldChar w:fldCharType="separate"/>
      </w:r>
      <w:r w:rsidR="005B4D4F">
        <w:rPr>
          <w:i/>
          <w:iCs/>
          <w:noProof/>
        </w:rPr>
        <w:t>2</w:t>
      </w:r>
      <w:r w:rsidRPr="001720FB">
        <w:rPr>
          <w:i/>
          <w:iCs/>
        </w:rPr>
        <w:fldChar w:fldCharType="end"/>
      </w:r>
      <w:bookmarkEnd w:id="4"/>
      <w:r w:rsidR="007F76C8">
        <w:rPr>
          <w:i/>
          <w:iCs/>
        </w:rPr>
        <w:t xml:space="preserve">: </w:t>
      </w:r>
      <w:r w:rsidRPr="00940CCF">
        <w:rPr>
          <w:i/>
          <w:iCs/>
        </w:rPr>
        <w:t xml:space="preserve">OER time variation for the </w:t>
      </w:r>
      <w:r w:rsidR="00885493">
        <w:rPr>
          <w:i/>
          <w:iCs/>
        </w:rPr>
        <w:t>continuous</w:t>
      </w:r>
      <w:r w:rsidRPr="00940CCF">
        <w:rPr>
          <w:i/>
          <w:iCs/>
        </w:rPr>
        <w:t xml:space="preserve"> scenario (left) and time-resolved scenario (right). First week of the year example</w:t>
      </w:r>
      <w:r w:rsidR="007B789C" w:rsidRPr="007B789C">
        <w:rPr>
          <w:iCs/>
          <w:lang w:val="en-GB"/>
        </w:rPr>
        <w:t xml:space="preserve"> </w:t>
      </w:r>
    </w:p>
    <w:p w14:paraId="014467B7" w14:textId="77777777" w:rsidR="007B789C" w:rsidRDefault="007B789C" w:rsidP="007B789C">
      <w:pPr>
        <w:pStyle w:val="CETBodytext"/>
        <w:rPr>
          <w:iCs/>
          <w:lang w:val="en-GB"/>
        </w:rPr>
      </w:pPr>
    </w:p>
    <w:p w14:paraId="7CB7571D" w14:textId="600A2BEF" w:rsidR="007B789C" w:rsidRPr="007E69D7" w:rsidRDefault="007B789C" w:rsidP="007B789C">
      <w:pPr>
        <w:pStyle w:val="CETBodytext"/>
        <w:rPr>
          <w:iCs/>
          <w:lang w:val="en-GB"/>
        </w:rPr>
      </w:pPr>
      <w:r w:rsidRPr="007E69D7">
        <w:rPr>
          <w:iCs/>
          <w:lang w:val="en-GB"/>
        </w:rPr>
        <w:t>The geometrical and physical parameters of the two simulated stacks are shown in the following table</w:t>
      </w:r>
      <w:r w:rsidRPr="00940CCF">
        <w:rPr>
          <w:iCs/>
          <w:lang w:val="en-GB"/>
        </w:rPr>
        <w:t>.</w:t>
      </w:r>
    </w:p>
    <w:p w14:paraId="3EA854C5" w14:textId="77777777" w:rsidR="005B4D4F" w:rsidRDefault="005B4D4F" w:rsidP="005B4D4F">
      <w:pPr>
        <w:pStyle w:val="Didascalia"/>
        <w:keepNext/>
      </w:pPr>
    </w:p>
    <w:p w14:paraId="4E576EC2" w14:textId="2B72376F" w:rsidR="005B4D4F" w:rsidRPr="001413B8" w:rsidRDefault="005B4D4F" w:rsidP="00681C68">
      <w:pPr>
        <w:pStyle w:val="CETBodytext"/>
        <w:jc w:val="left"/>
        <w:rPr>
          <w:i/>
          <w:iCs/>
        </w:rPr>
      </w:pPr>
      <w:r w:rsidRPr="00681C68">
        <w:rPr>
          <w:i/>
          <w:iCs/>
        </w:rPr>
        <w:t xml:space="preserve">Table </w:t>
      </w:r>
      <w:r w:rsidRPr="00681C68">
        <w:rPr>
          <w:i/>
          <w:iCs/>
        </w:rPr>
        <w:fldChar w:fldCharType="begin"/>
      </w:r>
      <w:r w:rsidRPr="00681C68">
        <w:rPr>
          <w:i/>
          <w:iCs/>
        </w:rPr>
        <w:instrText xml:space="preserve"> SEQ Table \* ARABIC </w:instrText>
      </w:r>
      <w:r w:rsidRPr="00681C68">
        <w:rPr>
          <w:i/>
          <w:iCs/>
        </w:rPr>
        <w:fldChar w:fldCharType="separate"/>
      </w:r>
      <w:r w:rsidRPr="00681C68">
        <w:rPr>
          <w:i/>
          <w:iCs/>
        </w:rPr>
        <w:t>2</w:t>
      </w:r>
      <w:r w:rsidRPr="00681C68">
        <w:rPr>
          <w:i/>
          <w:iCs/>
        </w:rPr>
        <w:fldChar w:fldCharType="end"/>
      </w:r>
      <w:r w:rsidR="001413B8">
        <w:rPr>
          <w:i/>
          <w:iCs/>
        </w:rPr>
        <w:t>:</w:t>
      </w:r>
      <w:r w:rsidRPr="00681C68">
        <w:rPr>
          <w:i/>
          <w:iCs/>
        </w:rPr>
        <w:t xml:space="preserve"> Geometrical and physical parameters</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134"/>
        <w:gridCol w:w="1134"/>
        <w:gridCol w:w="1134"/>
        <w:gridCol w:w="1134"/>
        <w:gridCol w:w="1134"/>
        <w:gridCol w:w="1134"/>
        <w:gridCol w:w="1134"/>
      </w:tblGrid>
      <w:tr w:rsidR="007B789C" w:rsidRPr="00940CCF" w14:paraId="149438BA" w14:textId="77777777" w:rsidTr="00474145">
        <w:tc>
          <w:tcPr>
            <w:tcW w:w="1134" w:type="dxa"/>
            <w:tcBorders>
              <w:top w:val="single" w:sz="12" w:space="0" w:color="008000"/>
              <w:bottom w:val="single" w:sz="6" w:space="0" w:color="008000"/>
            </w:tcBorders>
            <w:shd w:val="clear" w:color="auto" w:fill="FFFFFF"/>
          </w:tcPr>
          <w:p w14:paraId="34A300C0" w14:textId="77777777" w:rsidR="007B789C" w:rsidRPr="00940CCF" w:rsidRDefault="007B789C" w:rsidP="00474145">
            <w:pPr>
              <w:pStyle w:val="CETBodytext"/>
              <w:rPr>
                <w:lang w:val="en-GB"/>
              </w:rPr>
            </w:pPr>
            <w:r w:rsidRPr="00940CCF">
              <w:rPr>
                <w:lang w:val="en-GB"/>
              </w:rPr>
              <w:t xml:space="preserve">Sources </w:t>
            </w:r>
          </w:p>
        </w:tc>
        <w:tc>
          <w:tcPr>
            <w:tcW w:w="1134" w:type="dxa"/>
            <w:tcBorders>
              <w:top w:val="single" w:sz="12" w:space="0" w:color="008000"/>
              <w:bottom w:val="single" w:sz="6" w:space="0" w:color="008000"/>
            </w:tcBorders>
            <w:shd w:val="clear" w:color="auto" w:fill="FFFFFF"/>
          </w:tcPr>
          <w:p w14:paraId="6C6089EF" w14:textId="77777777" w:rsidR="007B789C" w:rsidRPr="00940CCF" w:rsidRDefault="007B789C" w:rsidP="00474145">
            <w:pPr>
              <w:pStyle w:val="CETBodytext"/>
              <w:rPr>
                <w:lang w:val="en-GB"/>
              </w:rPr>
            </w:pPr>
            <w:r w:rsidRPr="00940CCF">
              <w:rPr>
                <w:lang w:val="en-GB"/>
              </w:rPr>
              <w:t>H [m]</w:t>
            </w:r>
          </w:p>
        </w:tc>
        <w:tc>
          <w:tcPr>
            <w:tcW w:w="1134" w:type="dxa"/>
            <w:tcBorders>
              <w:top w:val="single" w:sz="12" w:space="0" w:color="008000"/>
              <w:bottom w:val="single" w:sz="6" w:space="0" w:color="008000"/>
            </w:tcBorders>
            <w:shd w:val="clear" w:color="auto" w:fill="FFFFFF"/>
          </w:tcPr>
          <w:p w14:paraId="4E987AE7" w14:textId="77777777" w:rsidR="007B789C" w:rsidRPr="00940CCF" w:rsidRDefault="007B789C" w:rsidP="00474145">
            <w:pPr>
              <w:pStyle w:val="CETBodytext"/>
              <w:rPr>
                <w:lang w:val="en-GB"/>
              </w:rPr>
            </w:pPr>
            <w:r w:rsidRPr="00940CCF">
              <w:rPr>
                <w:lang w:val="en-GB"/>
              </w:rPr>
              <w:t>D [m]</w:t>
            </w:r>
          </w:p>
        </w:tc>
        <w:tc>
          <w:tcPr>
            <w:tcW w:w="1134" w:type="dxa"/>
            <w:tcBorders>
              <w:top w:val="single" w:sz="12" w:space="0" w:color="008000"/>
              <w:bottom w:val="single" w:sz="6" w:space="0" w:color="008000"/>
            </w:tcBorders>
            <w:shd w:val="clear" w:color="auto" w:fill="FFFFFF"/>
          </w:tcPr>
          <w:p w14:paraId="4AAFCB1B" w14:textId="77777777" w:rsidR="007B789C" w:rsidRPr="00940CCF" w:rsidRDefault="007B789C" w:rsidP="00474145">
            <w:pPr>
              <w:pStyle w:val="CETBodytext"/>
              <w:ind w:right="-1"/>
              <w:rPr>
                <w:rFonts w:cs="Arial"/>
                <w:szCs w:val="18"/>
                <w:lang w:val="en-GB"/>
              </w:rPr>
            </w:pPr>
            <w:r w:rsidRPr="00940CCF">
              <w:rPr>
                <w:rFonts w:cs="Arial"/>
                <w:szCs w:val="18"/>
                <w:lang w:val="en-GB"/>
              </w:rPr>
              <w:t>T [K]</w:t>
            </w:r>
          </w:p>
        </w:tc>
        <w:tc>
          <w:tcPr>
            <w:tcW w:w="1134" w:type="dxa"/>
            <w:tcBorders>
              <w:top w:val="single" w:sz="12" w:space="0" w:color="008000"/>
              <w:bottom w:val="single" w:sz="6" w:space="0" w:color="008000"/>
            </w:tcBorders>
            <w:shd w:val="clear" w:color="auto" w:fill="FFFFFF"/>
          </w:tcPr>
          <w:p w14:paraId="550FA6D2" w14:textId="77777777" w:rsidR="007B789C" w:rsidRPr="00940CCF" w:rsidRDefault="007B789C" w:rsidP="00474145">
            <w:pPr>
              <w:pStyle w:val="CETBodytext"/>
              <w:ind w:right="-1"/>
              <w:rPr>
                <w:rFonts w:cs="Arial"/>
                <w:szCs w:val="18"/>
                <w:lang w:val="en-GB"/>
              </w:rPr>
            </w:pPr>
            <w:r>
              <w:rPr>
                <w:rFonts w:cs="Arial"/>
                <w:szCs w:val="18"/>
                <w:lang w:val="en-GB"/>
              </w:rPr>
              <w:t>v [m/s]</w:t>
            </w:r>
          </w:p>
        </w:tc>
        <w:tc>
          <w:tcPr>
            <w:tcW w:w="1134" w:type="dxa"/>
            <w:tcBorders>
              <w:top w:val="single" w:sz="12" w:space="0" w:color="008000"/>
              <w:bottom w:val="single" w:sz="6" w:space="0" w:color="008000"/>
            </w:tcBorders>
            <w:shd w:val="clear" w:color="auto" w:fill="FFFFFF"/>
          </w:tcPr>
          <w:p w14:paraId="547FA23A" w14:textId="77777777" w:rsidR="007B789C" w:rsidRPr="00940CCF" w:rsidRDefault="007B789C" w:rsidP="00474145">
            <w:pPr>
              <w:pStyle w:val="CETBodytext"/>
              <w:ind w:right="-1"/>
              <w:rPr>
                <w:rFonts w:cs="Arial"/>
                <w:szCs w:val="18"/>
                <w:lang w:val="en-GB"/>
              </w:rPr>
            </w:pPr>
          </w:p>
        </w:tc>
        <w:tc>
          <w:tcPr>
            <w:tcW w:w="1134" w:type="dxa"/>
            <w:tcBorders>
              <w:top w:val="single" w:sz="12" w:space="0" w:color="008000"/>
              <w:bottom w:val="single" w:sz="6" w:space="0" w:color="008000"/>
            </w:tcBorders>
            <w:shd w:val="clear" w:color="auto" w:fill="FFFFFF"/>
          </w:tcPr>
          <w:p w14:paraId="3F7F600A" w14:textId="77777777" w:rsidR="007B789C" w:rsidRPr="00940CCF" w:rsidRDefault="007B789C" w:rsidP="00474145">
            <w:pPr>
              <w:pStyle w:val="CETBodytext"/>
              <w:ind w:right="-1"/>
              <w:rPr>
                <w:rFonts w:cs="Arial"/>
                <w:szCs w:val="18"/>
                <w:lang w:val="en-GB"/>
              </w:rPr>
            </w:pPr>
          </w:p>
        </w:tc>
      </w:tr>
      <w:tr w:rsidR="007B789C" w:rsidRPr="00940CCF" w14:paraId="217D57C0" w14:textId="77777777" w:rsidTr="00474145">
        <w:tc>
          <w:tcPr>
            <w:tcW w:w="1134" w:type="dxa"/>
            <w:shd w:val="clear" w:color="auto" w:fill="FFFFFF"/>
          </w:tcPr>
          <w:p w14:paraId="1550E9ED" w14:textId="77777777" w:rsidR="007B789C" w:rsidRPr="00940CCF" w:rsidRDefault="007B789C" w:rsidP="00474145">
            <w:pPr>
              <w:pStyle w:val="CETBodytext"/>
              <w:rPr>
                <w:lang w:val="en-GB"/>
              </w:rPr>
            </w:pPr>
            <w:r w:rsidRPr="00940CCF">
              <w:rPr>
                <w:lang w:val="en-GB"/>
              </w:rPr>
              <w:t>C1</w:t>
            </w:r>
          </w:p>
        </w:tc>
        <w:tc>
          <w:tcPr>
            <w:tcW w:w="1134" w:type="dxa"/>
            <w:shd w:val="clear" w:color="auto" w:fill="FFFFFF"/>
          </w:tcPr>
          <w:p w14:paraId="5C2ADEF8" w14:textId="77777777" w:rsidR="007B789C" w:rsidRPr="00940CCF" w:rsidRDefault="007B789C" w:rsidP="00474145">
            <w:pPr>
              <w:pStyle w:val="CETBodytext"/>
              <w:rPr>
                <w:lang w:val="en-GB"/>
              </w:rPr>
            </w:pPr>
            <w:r w:rsidRPr="00940CCF">
              <w:rPr>
                <w:lang w:val="en-GB"/>
              </w:rPr>
              <w:t>21</w:t>
            </w:r>
          </w:p>
        </w:tc>
        <w:tc>
          <w:tcPr>
            <w:tcW w:w="1134" w:type="dxa"/>
            <w:shd w:val="clear" w:color="auto" w:fill="FFFFFF"/>
          </w:tcPr>
          <w:p w14:paraId="73B8C0EF" w14:textId="77777777" w:rsidR="007B789C" w:rsidRPr="00940CCF" w:rsidRDefault="007B789C" w:rsidP="00474145">
            <w:pPr>
              <w:pStyle w:val="CETBodytext"/>
              <w:rPr>
                <w:lang w:val="en-GB"/>
              </w:rPr>
            </w:pPr>
            <w:r w:rsidRPr="00940CCF">
              <w:rPr>
                <w:lang w:val="en-GB"/>
              </w:rPr>
              <w:t>1.6</w:t>
            </w:r>
          </w:p>
        </w:tc>
        <w:tc>
          <w:tcPr>
            <w:tcW w:w="1134" w:type="dxa"/>
            <w:shd w:val="clear" w:color="auto" w:fill="FFFFFF"/>
          </w:tcPr>
          <w:p w14:paraId="11CE7FCC" w14:textId="77777777" w:rsidR="007B789C" w:rsidRPr="00940CCF" w:rsidRDefault="007B789C" w:rsidP="00474145">
            <w:pPr>
              <w:pStyle w:val="CETBodytext"/>
              <w:ind w:right="-1"/>
              <w:rPr>
                <w:rFonts w:cs="Arial"/>
                <w:szCs w:val="18"/>
                <w:lang w:val="en-GB"/>
              </w:rPr>
            </w:pPr>
            <w:r w:rsidRPr="00940CCF">
              <w:rPr>
                <w:rFonts w:cs="Arial"/>
                <w:szCs w:val="18"/>
                <w:lang w:val="en-GB"/>
              </w:rPr>
              <w:t>340</w:t>
            </w:r>
          </w:p>
        </w:tc>
        <w:tc>
          <w:tcPr>
            <w:tcW w:w="1134" w:type="dxa"/>
            <w:shd w:val="clear" w:color="auto" w:fill="FFFFFF"/>
          </w:tcPr>
          <w:p w14:paraId="3A096909" w14:textId="77777777" w:rsidR="007B789C" w:rsidRPr="00940CCF" w:rsidRDefault="007B789C" w:rsidP="00474145">
            <w:pPr>
              <w:pStyle w:val="CETBodytext"/>
              <w:ind w:right="-1"/>
              <w:rPr>
                <w:rFonts w:cs="Arial"/>
                <w:szCs w:val="18"/>
                <w:lang w:val="en-GB"/>
              </w:rPr>
            </w:pPr>
            <w:r>
              <w:rPr>
                <w:rFonts w:cs="Arial"/>
                <w:szCs w:val="18"/>
                <w:lang w:val="en-GB"/>
              </w:rPr>
              <w:t>9</w:t>
            </w:r>
          </w:p>
        </w:tc>
        <w:tc>
          <w:tcPr>
            <w:tcW w:w="1134" w:type="dxa"/>
            <w:shd w:val="clear" w:color="auto" w:fill="FFFFFF"/>
          </w:tcPr>
          <w:p w14:paraId="160F5364" w14:textId="77777777" w:rsidR="007B789C" w:rsidRPr="00940CCF" w:rsidRDefault="007B789C" w:rsidP="00474145">
            <w:pPr>
              <w:pStyle w:val="CETBodytext"/>
              <w:ind w:right="-1"/>
              <w:rPr>
                <w:rFonts w:cs="Arial"/>
                <w:szCs w:val="18"/>
                <w:lang w:val="en-GB"/>
              </w:rPr>
            </w:pPr>
          </w:p>
        </w:tc>
        <w:tc>
          <w:tcPr>
            <w:tcW w:w="1134" w:type="dxa"/>
            <w:shd w:val="clear" w:color="auto" w:fill="FFFFFF"/>
          </w:tcPr>
          <w:p w14:paraId="64FEE3FD" w14:textId="77777777" w:rsidR="007B789C" w:rsidRPr="00940CCF" w:rsidRDefault="007B789C" w:rsidP="00474145">
            <w:pPr>
              <w:pStyle w:val="CETBodytext"/>
              <w:ind w:right="-1"/>
              <w:rPr>
                <w:rFonts w:cs="Arial"/>
                <w:szCs w:val="18"/>
                <w:lang w:val="en-GB"/>
              </w:rPr>
            </w:pPr>
          </w:p>
        </w:tc>
      </w:tr>
      <w:tr w:rsidR="007B789C" w:rsidRPr="00940CCF" w14:paraId="288E1AF0" w14:textId="77777777" w:rsidTr="00474145">
        <w:tc>
          <w:tcPr>
            <w:tcW w:w="1134" w:type="dxa"/>
            <w:shd w:val="clear" w:color="auto" w:fill="FFFFFF"/>
          </w:tcPr>
          <w:p w14:paraId="609C175F" w14:textId="77777777" w:rsidR="007B789C" w:rsidRPr="00940CCF" w:rsidRDefault="007B789C" w:rsidP="00474145">
            <w:pPr>
              <w:pStyle w:val="CETBodytext"/>
              <w:ind w:right="-1"/>
              <w:rPr>
                <w:rFonts w:cs="Arial"/>
                <w:szCs w:val="18"/>
                <w:lang w:val="en-GB"/>
              </w:rPr>
            </w:pPr>
            <w:r w:rsidRPr="00940CCF">
              <w:rPr>
                <w:rFonts w:cs="Arial"/>
                <w:szCs w:val="18"/>
                <w:lang w:val="en-GB"/>
              </w:rPr>
              <w:t>C2</w:t>
            </w:r>
          </w:p>
        </w:tc>
        <w:tc>
          <w:tcPr>
            <w:tcW w:w="1134" w:type="dxa"/>
            <w:shd w:val="clear" w:color="auto" w:fill="FFFFFF"/>
          </w:tcPr>
          <w:p w14:paraId="5F39814F" w14:textId="77777777" w:rsidR="007B789C" w:rsidRPr="00940CCF" w:rsidRDefault="007B789C" w:rsidP="00474145">
            <w:pPr>
              <w:pStyle w:val="CETBodytext"/>
              <w:ind w:right="-1"/>
              <w:rPr>
                <w:rFonts w:cs="Arial"/>
                <w:szCs w:val="18"/>
                <w:lang w:val="en-GB"/>
              </w:rPr>
            </w:pPr>
            <w:r w:rsidRPr="00940CCF">
              <w:rPr>
                <w:rFonts w:cs="Arial"/>
                <w:szCs w:val="18"/>
                <w:lang w:val="en-GB"/>
              </w:rPr>
              <w:t>25</w:t>
            </w:r>
          </w:p>
        </w:tc>
        <w:tc>
          <w:tcPr>
            <w:tcW w:w="1134" w:type="dxa"/>
            <w:shd w:val="clear" w:color="auto" w:fill="FFFFFF"/>
          </w:tcPr>
          <w:p w14:paraId="3C229FD2" w14:textId="77777777" w:rsidR="007B789C" w:rsidRPr="00940CCF" w:rsidRDefault="007B789C" w:rsidP="00474145">
            <w:pPr>
              <w:pStyle w:val="CETBodytext"/>
              <w:ind w:right="-1"/>
              <w:rPr>
                <w:rFonts w:cs="Arial"/>
                <w:szCs w:val="18"/>
                <w:lang w:val="en-GB"/>
              </w:rPr>
            </w:pPr>
            <w:r w:rsidRPr="00940CCF">
              <w:rPr>
                <w:rFonts w:cs="Arial"/>
                <w:szCs w:val="18"/>
                <w:lang w:val="en-GB"/>
              </w:rPr>
              <w:t>1.6</w:t>
            </w:r>
          </w:p>
        </w:tc>
        <w:tc>
          <w:tcPr>
            <w:tcW w:w="1134" w:type="dxa"/>
            <w:shd w:val="clear" w:color="auto" w:fill="FFFFFF"/>
          </w:tcPr>
          <w:p w14:paraId="175A1940" w14:textId="77777777" w:rsidR="007B789C" w:rsidRPr="00940CCF" w:rsidRDefault="007B789C" w:rsidP="00474145">
            <w:pPr>
              <w:pStyle w:val="CETBodytext"/>
              <w:ind w:right="-1"/>
              <w:rPr>
                <w:rFonts w:cs="Arial"/>
                <w:szCs w:val="18"/>
                <w:lang w:val="en-GB"/>
              </w:rPr>
            </w:pPr>
            <w:r w:rsidRPr="00940CCF">
              <w:rPr>
                <w:rFonts w:cs="Arial"/>
                <w:szCs w:val="18"/>
                <w:lang w:val="en-GB"/>
              </w:rPr>
              <w:t>315</w:t>
            </w:r>
          </w:p>
        </w:tc>
        <w:tc>
          <w:tcPr>
            <w:tcW w:w="1134" w:type="dxa"/>
            <w:shd w:val="clear" w:color="auto" w:fill="FFFFFF"/>
          </w:tcPr>
          <w:p w14:paraId="76877D8B" w14:textId="2FBD83F2" w:rsidR="007B789C" w:rsidRPr="00940CCF" w:rsidRDefault="007B789C" w:rsidP="00474145">
            <w:pPr>
              <w:pStyle w:val="CETBodytext"/>
              <w:ind w:right="-1"/>
              <w:rPr>
                <w:rFonts w:cs="Arial"/>
                <w:szCs w:val="18"/>
                <w:lang w:val="en-GB"/>
              </w:rPr>
            </w:pPr>
            <w:r>
              <w:rPr>
                <w:rFonts w:cs="Arial"/>
                <w:szCs w:val="18"/>
                <w:lang w:val="en-GB"/>
              </w:rPr>
              <w:t>14</w:t>
            </w:r>
            <w:r w:rsidR="001413B8">
              <w:rPr>
                <w:rFonts w:cs="Arial"/>
                <w:szCs w:val="18"/>
                <w:lang w:val="en-GB"/>
              </w:rPr>
              <w:t>*</w:t>
            </w:r>
            <w:r w:rsidR="00885493">
              <w:rPr>
                <w:rFonts w:cs="Arial"/>
                <w:szCs w:val="18"/>
                <w:lang w:val="en-GB"/>
              </w:rPr>
              <w:t>/17</w:t>
            </w:r>
            <w:r w:rsidR="001413B8">
              <w:rPr>
                <w:rFonts w:cs="Arial"/>
                <w:szCs w:val="18"/>
                <w:lang w:val="en-GB"/>
              </w:rPr>
              <w:t>*</w:t>
            </w:r>
            <w:r w:rsidR="00885493">
              <w:rPr>
                <w:rFonts w:cs="Arial"/>
                <w:szCs w:val="18"/>
                <w:lang w:val="en-GB"/>
              </w:rPr>
              <w:t>*</w:t>
            </w:r>
          </w:p>
        </w:tc>
        <w:tc>
          <w:tcPr>
            <w:tcW w:w="1134" w:type="dxa"/>
            <w:shd w:val="clear" w:color="auto" w:fill="FFFFFF"/>
          </w:tcPr>
          <w:p w14:paraId="46E840C5" w14:textId="77777777" w:rsidR="007B789C" w:rsidRPr="00940CCF" w:rsidRDefault="007B789C" w:rsidP="00474145">
            <w:pPr>
              <w:pStyle w:val="CETBodytext"/>
              <w:ind w:right="-1"/>
              <w:rPr>
                <w:rFonts w:cs="Arial"/>
                <w:szCs w:val="18"/>
                <w:lang w:val="en-GB"/>
              </w:rPr>
            </w:pPr>
          </w:p>
        </w:tc>
        <w:tc>
          <w:tcPr>
            <w:tcW w:w="1134" w:type="dxa"/>
            <w:shd w:val="clear" w:color="auto" w:fill="FFFFFF"/>
          </w:tcPr>
          <w:p w14:paraId="5709A865" w14:textId="77777777" w:rsidR="007B789C" w:rsidRPr="00940CCF" w:rsidRDefault="007B789C" w:rsidP="00474145">
            <w:pPr>
              <w:pStyle w:val="CETBodytext"/>
              <w:ind w:right="-1"/>
              <w:rPr>
                <w:rFonts w:cs="Arial"/>
                <w:szCs w:val="18"/>
                <w:lang w:val="en-GB"/>
              </w:rPr>
            </w:pPr>
          </w:p>
        </w:tc>
      </w:tr>
    </w:tbl>
    <w:p w14:paraId="1F72AC3E" w14:textId="35A5071B" w:rsidR="00966EEC" w:rsidRPr="00681C68" w:rsidRDefault="007B789C" w:rsidP="00CA2E90">
      <w:pPr>
        <w:pStyle w:val="Didascalia"/>
        <w:rPr>
          <w:b w:val="0"/>
          <w:bCs w:val="0"/>
          <w:color w:val="auto"/>
          <w:sz w:val="16"/>
          <w:szCs w:val="16"/>
        </w:rPr>
      </w:pPr>
      <w:r w:rsidRPr="00681C68">
        <w:rPr>
          <w:b w:val="0"/>
          <w:bCs w:val="0"/>
          <w:color w:val="auto"/>
          <w:sz w:val="16"/>
          <w:szCs w:val="16"/>
        </w:rPr>
        <w:t xml:space="preserve">*referred to </w:t>
      </w:r>
      <w:r w:rsidR="001413B8" w:rsidRPr="001413B8">
        <w:rPr>
          <w:b w:val="0"/>
          <w:bCs w:val="0"/>
          <w:color w:val="auto"/>
          <w:sz w:val="16"/>
          <w:szCs w:val="16"/>
        </w:rPr>
        <w:t>“Standard operating conditions” configuration; **</w:t>
      </w:r>
      <w:r w:rsidR="001413B8" w:rsidRPr="00681C68">
        <w:rPr>
          <w:b w:val="0"/>
          <w:bCs w:val="0"/>
          <w:color w:val="auto"/>
          <w:sz w:val="16"/>
          <w:szCs w:val="16"/>
        </w:rPr>
        <w:t xml:space="preserve">referred to </w:t>
      </w:r>
      <w:r w:rsidR="001413B8" w:rsidRPr="001413B8">
        <w:rPr>
          <w:b w:val="0"/>
          <w:bCs w:val="0"/>
          <w:color w:val="auto"/>
          <w:sz w:val="16"/>
          <w:szCs w:val="16"/>
        </w:rPr>
        <w:t>“Truck loading conditions” configuration</w:t>
      </w:r>
    </w:p>
    <w:p w14:paraId="49CD9B34" w14:textId="77777777" w:rsidR="00D3115D" w:rsidRPr="00940CCF" w:rsidRDefault="00D3115D" w:rsidP="00D3115D">
      <w:pPr>
        <w:pStyle w:val="CETHeading1"/>
      </w:pPr>
      <w:r w:rsidRPr="00940CCF">
        <w:t>Results</w:t>
      </w:r>
    </w:p>
    <w:p w14:paraId="71CDC4C8" w14:textId="0A7742FC" w:rsidR="00535C66" w:rsidRPr="00940CCF" w:rsidRDefault="00535C66" w:rsidP="00CA2E90">
      <w:pPr>
        <w:pStyle w:val="CETBodytext"/>
      </w:pPr>
      <w:r w:rsidRPr="00940CCF">
        <w:t xml:space="preserve">The results of the study are presented in terms of odour impact maps </w:t>
      </w:r>
      <w:r w:rsidR="00BC5EE7">
        <w:t>(</w:t>
      </w:r>
      <w:r w:rsidR="00BC5EE7">
        <w:fldChar w:fldCharType="begin"/>
      </w:r>
      <w:r w:rsidR="00BC5EE7">
        <w:instrText xml:space="preserve"> REF _Ref227760209 \h  \* MERGEFORMAT </w:instrText>
      </w:r>
      <w:r w:rsidR="00BC5EE7">
        <w:fldChar w:fldCharType="separate"/>
      </w:r>
      <w:r w:rsidR="00BC5EE7" w:rsidRPr="00BC5EE7">
        <w:t xml:space="preserve">Figure </w:t>
      </w:r>
      <w:r w:rsidR="00BC5EE7" w:rsidRPr="00681C68">
        <w:t>3</w:t>
      </w:r>
      <w:r w:rsidR="00BC5EE7">
        <w:fldChar w:fldCharType="end"/>
      </w:r>
      <w:r w:rsidR="00BC5EE7">
        <w:t xml:space="preserve">) </w:t>
      </w:r>
      <w:r w:rsidRPr="00940CCF">
        <w:t>and ground-level concentrations at sensitive receptors</w:t>
      </w:r>
      <w:r w:rsidR="00BC5EE7">
        <w:t xml:space="preserve"> (</w:t>
      </w:r>
      <w:r w:rsidR="00BC5EE7">
        <w:fldChar w:fldCharType="begin"/>
      </w:r>
      <w:r w:rsidR="00BC5EE7">
        <w:instrText xml:space="preserve"> REF _Ref227752844 \h  \* MERGEFORMAT </w:instrText>
      </w:r>
      <w:r w:rsidR="00BC5EE7">
        <w:fldChar w:fldCharType="separate"/>
      </w:r>
      <w:r w:rsidR="00BC5EE7" w:rsidRPr="00BC5EE7">
        <w:t>Table 3</w:t>
      </w:r>
      <w:r w:rsidR="00BC5EE7">
        <w:fldChar w:fldCharType="end"/>
      </w:r>
      <w:r w:rsidR="00BC5EE7">
        <w:t>)</w:t>
      </w:r>
      <w:r w:rsidRPr="00940CCF">
        <w:t xml:space="preserve">. Odour impact was assessed using the 98th percentile of odour concentrations over the simulation year, in accordance with the Italian regulatory framework </w:t>
      </w:r>
      <w:sdt>
        <w:sdtPr>
          <w:id w:val="316549160"/>
          <w:citation/>
        </w:sdtPr>
        <w:sdtEndPr/>
        <w:sdtContent>
          <w:r w:rsidRPr="00940CCF">
            <w:fldChar w:fldCharType="begin"/>
          </w:r>
          <w:r w:rsidRPr="00940CCF">
            <w:rPr>
              <w:lang w:val="it-IT"/>
            </w:rPr>
            <w:instrText xml:space="preserve"> CITATION Dec23 \l 1040 </w:instrText>
          </w:r>
          <w:r w:rsidRPr="00940CCF">
            <w:fldChar w:fldCharType="separate"/>
          </w:r>
          <w:r w:rsidR="000013CE" w:rsidRPr="00940CCF">
            <w:rPr>
              <w:noProof/>
              <w:lang w:val="it-IT"/>
            </w:rPr>
            <w:t>(Decreto direttoriale MinAmbiente 28 giugno 2023, n. 309, 2023)</w:t>
          </w:r>
          <w:r w:rsidRPr="00940CCF">
            <w:fldChar w:fldCharType="end"/>
          </w:r>
        </w:sdtContent>
      </w:sdt>
      <w:r w:rsidRPr="00940CCF">
        <w:t>. The analysis was based on hourly averaged concentrations (1-hour averaging time) generated by CALPUFF. To account for short-term fluctuations relevant to odour perception, a peak-to-mean factor was applied during post-processing using CALPOST (version 7.1.0). Specifically, hourly mean concentrations were multiplied by a constant factor of 2.3, as prescribed by Italian guidelines.</w:t>
      </w:r>
    </w:p>
    <w:p w14:paraId="58E08953" w14:textId="27D593F6" w:rsidR="00282EA9" w:rsidRPr="00940CCF" w:rsidRDefault="00282EA9" w:rsidP="00282EA9">
      <w:pPr>
        <w:pStyle w:val="CETBodytext"/>
      </w:pPr>
    </w:p>
    <w:p w14:paraId="657D4D8F" w14:textId="77777777" w:rsidR="005B4D4F" w:rsidRDefault="00D3115D">
      <w:pPr>
        <w:pStyle w:val="CETBodytext"/>
        <w:keepNext/>
      </w:pPr>
      <w:r w:rsidRPr="00940CCF">
        <w:rPr>
          <w:noProof/>
        </w:rPr>
        <w:lastRenderedPageBreak/>
        <w:drawing>
          <wp:inline distT="0" distB="0" distL="0" distR="0" wp14:anchorId="30FA69F8" wp14:editId="11C01C46">
            <wp:extent cx="2524023" cy="24840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811" b="593"/>
                    <a:stretch/>
                  </pic:blipFill>
                  <pic:spPr bwMode="auto">
                    <a:xfrm>
                      <a:off x="0" y="0"/>
                      <a:ext cx="2524023" cy="2484000"/>
                    </a:xfrm>
                    <a:prstGeom prst="rect">
                      <a:avLst/>
                    </a:prstGeom>
                    <a:ln>
                      <a:noFill/>
                    </a:ln>
                    <a:extLst>
                      <a:ext uri="{53640926-AAD7-44D8-BBD7-CCE9431645EC}">
                        <a14:shadowObscured xmlns:a14="http://schemas.microsoft.com/office/drawing/2010/main"/>
                      </a:ext>
                    </a:extLst>
                  </pic:spPr>
                </pic:pic>
              </a:graphicData>
            </a:graphic>
          </wp:inline>
        </w:drawing>
      </w:r>
      <w:r w:rsidR="0087420D" w:rsidRPr="00940CCF">
        <w:rPr>
          <w:noProof/>
        </w:rPr>
        <w:t xml:space="preserve"> </w:t>
      </w:r>
      <w:r w:rsidRPr="00940CCF">
        <w:rPr>
          <w:noProof/>
        </w:rPr>
        <w:drawing>
          <wp:inline distT="0" distB="0" distL="0" distR="0" wp14:anchorId="4710453D" wp14:editId="563D0243">
            <wp:extent cx="2513923" cy="2484000"/>
            <wp:effectExtent l="0" t="0" r="127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715"/>
                    <a:stretch/>
                  </pic:blipFill>
                  <pic:spPr bwMode="auto">
                    <a:xfrm>
                      <a:off x="0" y="0"/>
                      <a:ext cx="2513923" cy="2484000"/>
                    </a:xfrm>
                    <a:prstGeom prst="rect">
                      <a:avLst/>
                    </a:prstGeom>
                    <a:ln>
                      <a:noFill/>
                    </a:ln>
                    <a:extLst>
                      <a:ext uri="{53640926-AAD7-44D8-BBD7-CCE9431645EC}">
                        <a14:shadowObscured xmlns:a14="http://schemas.microsoft.com/office/drawing/2010/main"/>
                      </a:ext>
                    </a:extLst>
                  </pic:spPr>
                </pic:pic>
              </a:graphicData>
            </a:graphic>
          </wp:inline>
        </w:drawing>
      </w:r>
      <w:r w:rsidR="0087420D" w:rsidRPr="00940CCF">
        <w:rPr>
          <w:noProof/>
        </w:rPr>
        <w:t xml:space="preserve"> </w:t>
      </w:r>
      <w:r w:rsidR="0087420D" w:rsidRPr="00940CCF">
        <w:rPr>
          <w:noProof/>
        </w:rPr>
        <w:drawing>
          <wp:inline distT="0" distB="0" distL="0" distR="0" wp14:anchorId="5DF9FF88" wp14:editId="3A243528">
            <wp:extent cx="286247" cy="2506701"/>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368" cy="2525272"/>
                    </a:xfrm>
                    <a:prstGeom prst="rect">
                      <a:avLst/>
                    </a:prstGeom>
                  </pic:spPr>
                </pic:pic>
              </a:graphicData>
            </a:graphic>
          </wp:inline>
        </w:drawing>
      </w:r>
    </w:p>
    <w:p w14:paraId="70629E11" w14:textId="45DA7771" w:rsidR="007E1308" w:rsidRPr="00681C68" w:rsidRDefault="005B4D4F" w:rsidP="00681C68">
      <w:pPr>
        <w:pStyle w:val="Didascalia"/>
        <w:rPr>
          <w:b w:val="0"/>
          <w:bCs w:val="0"/>
          <w:i/>
          <w:iCs/>
          <w:color w:val="auto"/>
        </w:rPr>
      </w:pPr>
      <w:bookmarkStart w:id="5" w:name="_Ref227760209"/>
      <w:r w:rsidRPr="00681C68">
        <w:rPr>
          <w:b w:val="0"/>
          <w:bCs w:val="0"/>
          <w:i/>
          <w:iCs/>
          <w:color w:val="auto"/>
        </w:rPr>
        <w:t xml:space="preserve">Figure </w:t>
      </w:r>
      <w:r w:rsidRPr="00681C68">
        <w:rPr>
          <w:b w:val="0"/>
          <w:bCs w:val="0"/>
          <w:i/>
          <w:iCs/>
          <w:color w:val="auto"/>
        </w:rPr>
        <w:fldChar w:fldCharType="begin"/>
      </w:r>
      <w:r w:rsidRPr="00681C68">
        <w:rPr>
          <w:b w:val="0"/>
          <w:bCs w:val="0"/>
          <w:i/>
          <w:iCs/>
          <w:color w:val="auto"/>
        </w:rPr>
        <w:instrText xml:space="preserve"> SEQ Figure \* ARABIC </w:instrText>
      </w:r>
      <w:r w:rsidRPr="00681C68">
        <w:rPr>
          <w:b w:val="0"/>
          <w:bCs w:val="0"/>
          <w:i/>
          <w:iCs/>
          <w:color w:val="auto"/>
        </w:rPr>
        <w:fldChar w:fldCharType="separate"/>
      </w:r>
      <w:r w:rsidRPr="00681C68">
        <w:rPr>
          <w:b w:val="0"/>
          <w:bCs w:val="0"/>
          <w:i/>
          <w:iCs/>
          <w:color w:val="auto"/>
        </w:rPr>
        <w:t>3</w:t>
      </w:r>
      <w:r w:rsidRPr="00681C68">
        <w:rPr>
          <w:b w:val="0"/>
          <w:bCs w:val="0"/>
          <w:i/>
          <w:iCs/>
          <w:color w:val="auto"/>
        </w:rPr>
        <w:fldChar w:fldCharType="end"/>
      </w:r>
      <w:bookmarkEnd w:id="5"/>
      <w:r w:rsidR="0095413D">
        <w:rPr>
          <w:b w:val="0"/>
          <w:bCs w:val="0"/>
          <w:i/>
          <w:iCs/>
          <w:color w:val="auto"/>
        </w:rPr>
        <w:t>:</w:t>
      </w:r>
      <w:r w:rsidRPr="00681C68">
        <w:rPr>
          <w:b w:val="0"/>
          <w:bCs w:val="0"/>
          <w:i/>
          <w:iCs/>
          <w:color w:val="auto"/>
        </w:rPr>
        <w:t xml:space="preserve"> Odour impact maps (98°percentile, on an annual basis) simulated for the </w:t>
      </w:r>
      <w:r w:rsidR="00885493" w:rsidRPr="00681C68">
        <w:rPr>
          <w:b w:val="0"/>
          <w:bCs w:val="0"/>
          <w:i/>
          <w:iCs/>
          <w:color w:val="auto"/>
        </w:rPr>
        <w:t>continuous</w:t>
      </w:r>
      <w:r w:rsidRPr="00681C68">
        <w:rPr>
          <w:b w:val="0"/>
          <w:bCs w:val="0"/>
          <w:i/>
          <w:iCs/>
          <w:color w:val="auto"/>
        </w:rPr>
        <w:t xml:space="preserve"> scenario (left) and time-resolved scenario (right). The plant is located in the centre of the simulation domain</w:t>
      </w:r>
      <w:r w:rsidR="00BA4110">
        <w:rPr>
          <w:b w:val="0"/>
          <w:bCs w:val="0"/>
          <w:i/>
          <w:iCs/>
          <w:color w:val="auto"/>
        </w:rPr>
        <w:t xml:space="preserve"> (6x6 km</w:t>
      </w:r>
      <w:r w:rsidR="00BA4110" w:rsidRPr="00BA4110">
        <w:rPr>
          <w:b w:val="0"/>
          <w:bCs w:val="0"/>
          <w:i/>
          <w:iCs/>
          <w:color w:val="auto"/>
          <w:vertAlign w:val="superscript"/>
        </w:rPr>
        <w:t>2</w:t>
      </w:r>
      <w:r w:rsidR="00BA4110">
        <w:rPr>
          <w:b w:val="0"/>
          <w:bCs w:val="0"/>
          <w:i/>
          <w:iCs/>
          <w:color w:val="auto"/>
        </w:rPr>
        <w:t>)</w:t>
      </w:r>
    </w:p>
    <w:p w14:paraId="381AD664" w14:textId="3D527E7A" w:rsidR="00282EA9" w:rsidRPr="00940CCF" w:rsidRDefault="00282EA9" w:rsidP="0087420D">
      <w:pPr>
        <w:pStyle w:val="Didascalia"/>
        <w:jc w:val="left"/>
        <w:rPr>
          <w:b w:val="0"/>
          <w:bCs w:val="0"/>
          <w:i/>
          <w:iCs/>
        </w:rPr>
      </w:pPr>
    </w:p>
    <w:p w14:paraId="1B8B783D" w14:textId="54182404" w:rsidR="00282EA9" w:rsidRPr="00940CCF" w:rsidRDefault="00282EA9" w:rsidP="00145BE8">
      <w:pPr>
        <w:pStyle w:val="CETBodytext"/>
        <w:jc w:val="left"/>
        <w:rPr>
          <w:lang w:val="en-GB"/>
        </w:rPr>
      </w:pPr>
    </w:p>
    <w:p w14:paraId="2643D0CE" w14:textId="62B0A4ED" w:rsidR="0087420D" w:rsidRDefault="0087420D" w:rsidP="0087420D">
      <w:pPr>
        <w:pStyle w:val="Didascalia"/>
        <w:keepNext/>
        <w:rPr>
          <w:rFonts w:cs="Arial"/>
          <w:b w:val="0"/>
          <w:bCs w:val="0"/>
          <w:i/>
          <w:iCs/>
          <w:color w:val="000000"/>
          <w:vertAlign w:val="superscript"/>
        </w:rPr>
      </w:pPr>
      <w:bookmarkStart w:id="6" w:name="_Ref227752844"/>
      <w:bookmarkStart w:id="7" w:name="_Ref227752839"/>
      <w:r w:rsidRPr="001413B8">
        <w:rPr>
          <w:b w:val="0"/>
          <w:bCs w:val="0"/>
          <w:i/>
          <w:iCs/>
          <w:color w:val="auto"/>
        </w:rPr>
        <w:t xml:space="preserve">Table </w:t>
      </w:r>
      <w:r w:rsidRPr="001413B8">
        <w:rPr>
          <w:b w:val="0"/>
          <w:bCs w:val="0"/>
          <w:i/>
          <w:iCs/>
          <w:color w:val="auto"/>
        </w:rPr>
        <w:fldChar w:fldCharType="begin"/>
      </w:r>
      <w:r w:rsidRPr="001413B8">
        <w:rPr>
          <w:b w:val="0"/>
          <w:bCs w:val="0"/>
          <w:i/>
          <w:iCs/>
          <w:color w:val="auto"/>
        </w:rPr>
        <w:instrText xml:space="preserve"> SEQ Table \* ARABIC </w:instrText>
      </w:r>
      <w:r w:rsidRPr="001413B8">
        <w:rPr>
          <w:b w:val="0"/>
          <w:bCs w:val="0"/>
          <w:i/>
          <w:iCs/>
          <w:color w:val="auto"/>
        </w:rPr>
        <w:fldChar w:fldCharType="separate"/>
      </w:r>
      <w:r w:rsidR="005B4D4F" w:rsidRPr="001413B8">
        <w:rPr>
          <w:b w:val="0"/>
          <w:bCs w:val="0"/>
          <w:i/>
          <w:iCs/>
          <w:color w:val="auto"/>
        </w:rPr>
        <w:t>3</w:t>
      </w:r>
      <w:r w:rsidRPr="001413B8">
        <w:rPr>
          <w:b w:val="0"/>
          <w:bCs w:val="0"/>
          <w:i/>
          <w:iCs/>
          <w:color w:val="auto"/>
        </w:rPr>
        <w:fldChar w:fldCharType="end"/>
      </w:r>
      <w:bookmarkEnd w:id="6"/>
      <w:r w:rsidR="001413B8">
        <w:rPr>
          <w:b w:val="0"/>
          <w:bCs w:val="0"/>
          <w:i/>
          <w:iCs/>
          <w:color w:val="auto"/>
        </w:rPr>
        <w:t xml:space="preserve">: </w:t>
      </w:r>
      <w:r w:rsidR="00E164FC" w:rsidRPr="00940CCF">
        <w:rPr>
          <w:b w:val="0"/>
          <w:bCs w:val="0"/>
          <w:i/>
          <w:iCs/>
          <w:color w:val="auto"/>
        </w:rPr>
        <w:t>Odour</w:t>
      </w:r>
      <w:r w:rsidR="007B2B28" w:rsidRPr="00940CCF">
        <w:rPr>
          <w:b w:val="0"/>
          <w:bCs w:val="0"/>
          <w:i/>
          <w:iCs/>
          <w:color w:val="auto"/>
        </w:rPr>
        <w:t xml:space="preserve"> concentration</w:t>
      </w:r>
      <w:r w:rsidR="00D3418A" w:rsidRPr="00940CCF">
        <w:rPr>
          <w:b w:val="0"/>
          <w:bCs w:val="0"/>
          <w:i/>
          <w:iCs/>
          <w:color w:val="auto"/>
        </w:rPr>
        <w:t xml:space="preserve"> (98° percentile, on an annual basis)</w:t>
      </w:r>
      <w:r w:rsidR="007B2B28" w:rsidRPr="00940CCF">
        <w:rPr>
          <w:b w:val="0"/>
          <w:bCs w:val="0"/>
          <w:i/>
          <w:iCs/>
          <w:color w:val="auto"/>
        </w:rPr>
        <w:t xml:space="preserve"> at sensitive receptor</w:t>
      </w:r>
      <w:bookmarkEnd w:id="7"/>
      <w:r w:rsidR="00BA4110">
        <w:rPr>
          <w:b w:val="0"/>
          <w:bCs w:val="0"/>
          <w:i/>
          <w:iCs/>
          <w:color w:val="auto"/>
        </w:rPr>
        <w:t>s</w:t>
      </w:r>
    </w:p>
    <w:tbl>
      <w:tblPr>
        <w:tblW w:w="7797" w:type="dxa"/>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851"/>
        <w:gridCol w:w="1417"/>
        <w:gridCol w:w="1276"/>
        <w:gridCol w:w="1276"/>
        <w:gridCol w:w="1559"/>
        <w:gridCol w:w="1418"/>
      </w:tblGrid>
      <w:tr w:rsidR="004F0F55" w:rsidRPr="00940CCF" w14:paraId="2C56356A" w14:textId="77777777" w:rsidTr="004F0F55">
        <w:tc>
          <w:tcPr>
            <w:tcW w:w="851" w:type="dxa"/>
            <w:tcBorders>
              <w:top w:val="single" w:sz="12" w:space="0" w:color="008000"/>
              <w:bottom w:val="single" w:sz="6" w:space="0" w:color="008000"/>
            </w:tcBorders>
            <w:shd w:val="clear" w:color="auto" w:fill="FFFFFF"/>
            <w:vAlign w:val="center"/>
          </w:tcPr>
          <w:p w14:paraId="22252E21" w14:textId="2C4D596F" w:rsidR="004F0F55" w:rsidRPr="00940CCF" w:rsidRDefault="004F0F55" w:rsidP="00385202">
            <w:pPr>
              <w:pStyle w:val="CETBodytext"/>
              <w:rPr>
                <w:rFonts w:cs="Arial"/>
                <w:szCs w:val="18"/>
                <w:lang w:val="en-GB"/>
              </w:rPr>
            </w:pPr>
            <w:r w:rsidRPr="00940CCF">
              <w:rPr>
                <w:rFonts w:cs="Arial"/>
                <w:szCs w:val="18"/>
              </w:rPr>
              <w:t>ID</w:t>
            </w:r>
          </w:p>
        </w:tc>
        <w:tc>
          <w:tcPr>
            <w:tcW w:w="1417" w:type="dxa"/>
            <w:tcBorders>
              <w:top w:val="single" w:sz="12" w:space="0" w:color="008000"/>
              <w:bottom w:val="single" w:sz="6" w:space="0" w:color="008000"/>
            </w:tcBorders>
            <w:shd w:val="clear" w:color="auto" w:fill="FFFFFF"/>
            <w:vAlign w:val="center"/>
          </w:tcPr>
          <w:p w14:paraId="07675D31" w14:textId="77777777" w:rsidR="004F0F55" w:rsidRPr="00940CCF" w:rsidRDefault="004F0F55" w:rsidP="00385202">
            <w:pPr>
              <w:pStyle w:val="CETBodytext"/>
              <w:rPr>
                <w:rFonts w:cs="Arial"/>
                <w:szCs w:val="18"/>
                <w:lang w:val="en-GB"/>
              </w:rPr>
            </w:pPr>
            <w:r w:rsidRPr="00940CCF">
              <w:rPr>
                <w:rFonts w:cs="Arial"/>
                <w:szCs w:val="18"/>
              </w:rPr>
              <w:t>Description</w:t>
            </w:r>
          </w:p>
        </w:tc>
        <w:tc>
          <w:tcPr>
            <w:tcW w:w="1276" w:type="dxa"/>
            <w:tcBorders>
              <w:top w:val="single" w:sz="12" w:space="0" w:color="008000"/>
              <w:bottom w:val="single" w:sz="6" w:space="0" w:color="008000"/>
            </w:tcBorders>
            <w:shd w:val="clear" w:color="auto" w:fill="FFFFFF"/>
            <w:vAlign w:val="center"/>
          </w:tcPr>
          <w:p w14:paraId="1A031DB3" w14:textId="6B4F1607" w:rsidR="004F0F55" w:rsidRDefault="004F0F55" w:rsidP="00385202">
            <w:pPr>
              <w:pStyle w:val="CETBodytext"/>
              <w:rPr>
                <w:rFonts w:cs="Arial"/>
                <w:szCs w:val="18"/>
              </w:rPr>
            </w:pPr>
            <w:r>
              <w:rPr>
                <w:rFonts w:cs="Arial"/>
                <w:szCs w:val="18"/>
              </w:rPr>
              <w:t>Source distance [km]</w:t>
            </w:r>
          </w:p>
        </w:tc>
        <w:tc>
          <w:tcPr>
            <w:tcW w:w="1276" w:type="dxa"/>
            <w:tcBorders>
              <w:top w:val="single" w:sz="12" w:space="0" w:color="008000"/>
              <w:bottom w:val="single" w:sz="6" w:space="0" w:color="008000"/>
            </w:tcBorders>
            <w:shd w:val="clear" w:color="auto" w:fill="FFFFFF"/>
            <w:vAlign w:val="center"/>
          </w:tcPr>
          <w:p w14:paraId="7EBB0ACD" w14:textId="4429FE07" w:rsidR="004F0F55" w:rsidRDefault="004F0F55" w:rsidP="00385202">
            <w:pPr>
              <w:pStyle w:val="CETBodytext"/>
              <w:rPr>
                <w:rFonts w:cs="Arial"/>
                <w:szCs w:val="18"/>
              </w:rPr>
            </w:pPr>
            <w:r>
              <w:rPr>
                <w:rFonts w:cs="Arial"/>
                <w:szCs w:val="18"/>
              </w:rPr>
              <w:t>Continuous</w:t>
            </w:r>
            <w:r w:rsidRPr="00940CCF">
              <w:rPr>
                <w:rFonts w:cs="Arial"/>
                <w:szCs w:val="18"/>
              </w:rPr>
              <w:t xml:space="preserve"> scenario </w:t>
            </w:r>
          </w:p>
          <w:p w14:paraId="236ED2EE" w14:textId="026B719D" w:rsidR="004F0F55" w:rsidRPr="00940CCF" w:rsidRDefault="004F0F55" w:rsidP="00385202">
            <w:pPr>
              <w:pStyle w:val="CETBodytext"/>
              <w:rPr>
                <w:rFonts w:cs="Arial"/>
                <w:szCs w:val="18"/>
                <w:lang w:val="en-GB"/>
              </w:rPr>
            </w:pPr>
            <w:r>
              <w:rPr>
                <w:rFonts w:cs="Arial"/>
                <w:szCs w:val="18"/>
              </w:rPr>
              <w:t>C98 [ou</w:t>
            </w:r>
            <w:r w:rsidRPr="0012406F">
              <w:rPr>
                <w:rFonts w:cs="Arial"/>
                <w:szCs w:val="18"/>
                <w:vertAlign w:val="subscript"/>
              </w:rPr>
              <w:t>E</w:t>
            </w:r>
            <w:r>
              <w:rPr>
                <w:rFonts w:cs="Arial"/>
                <w:szCs w:val="18"/>
              </w:rPr>
              <w:t>/m</w:t>
            </w:r>
            <w:r w:rsidRPr="0012406F">
              <w:rPr>
                <w:rFonts w:cs="Arial"/>
                <w:szCs w:val="18"/>
                <w:vertAlign w:val="superscript"/>
              </w:rPr>
              <w:t>3</w:t>
            </w:r>
            <w:r>
              <w:rPr>
                <w:rFonts w:cs="Arial"/>
                <w:szCs w:val="18"/>
              </w:rPr>
              <w:t>]</w:t>
            </w:r>
          </w:p>
        </w:tc>
        <w:tc>
          <w:tcPr>
            <w:tcW w:w="1559" w:type="dxa"/>
            <w:tcBorders>
              <w:top w:val="single" w:sz="12" w:space="0" w:color="008000"/>
              <w:bottom w:val="single" w:sz="6" w:space="0" w:color="008000"/>
            </w:tcBorders>
            <w:shd w:val="clear" w:color="auto" w:fill="FFFFFF"/>
            <w:vAlign w:val="center"/>
          </w:tcPr>
          <w:p w14:paraId="6B175793" w14:textId="77777777" w:rsidR="004F0F55" w:rsidRDefault="004F0F55" w:rsidP="00385202">
            <w:pPr>
              <w:pStyle w:val="CETBodytext"/>
              <w:rPr>
                <w:rFonts w:cs="Arial"/>
                <w:szCs w:val="18"/>
              </w:rPr>
            </w:pPr>
            <w:r w:rsidRPr="00940CCF">
              <w:rPr>
                <w:rFonts w:cs="Arial"/>
                <w:szCs w:val="18"/>
              </w:rPr>
              <w:t xml:space="preserve">Time-resolved scenario </w:t>
            </w:r>
          </w:p>
          <w:p w14:paraId="6D9EBBCA" w14:textId="79878288" w:rsidR="004F0F55" w:rsidRPr="00940CCF" w:rsidRDefault="004F0F55" w:rsidP="00385202">
            <w:pPr>
              <w:pStyle w:val="CETBodytext"/>
              <w:rPr>
                <w:rFonts w:cs="Arial"/>
                <w:szCs w:val="18"/>
                <w:lang w:val="en-GB"/>
              </w:rPr>
            </w:pPr>
            <w:r>
              <w:rPr>
                <w:rFonts w:cs="Arial"/>
                <w:szCs w:val="18"/>
              </w:rPr>
              <w:t>C98 [ou</w:t>
            </w:r>
            <w:r w:rsidRPr="0012406F">
              <w:rPr>
                <w:rFonts w:cs="Arial"/>
                <w:szCs w:val="18"/>
                <w:vertAlign w:val="subscript"/>
              </w:rPr>
              <w:t>E</w:t>
            </w:r>
            <w:r>
              <w:rPr>
                <w:rFonts w:cs="Arial"/>
                <w:szCs w:val="18"/>
              </w:rPr>
              <w:t>/m</w:t>
            </w:r>
            <w:r w:rsidRPr="0012406F">
              <w:rPr>
                <w:rFonts w:cs="Arial"/>
                <w:szCs w:val="18"/>
                <w:vertAlign w:val="superscript"/>
              </w:rPr>
              <w:t>3</w:t>
            </w:r>
            <w:r>
              <w:rPr>
                <w:rFonts w:cs="Arial"/>
                <w:szCs w:val="18"/>
              </w:rPr>
              <w:t>]</w:t>
            </w:r>
          </w:p>
        </w:tc>
        <w:tc>
          <w:tcPr>
            <w:tcW w:w="1418" w:type="dxa"/>
            <w:tcBorders>
              <w:top w:val="single" w:sz="12" w:space="0" w:color="008000"/>
              <w:bottom w:val="single" w:sz="6" w:space="0" w:color="008000"/>
            </w:tcBorders>
            <w:shd w:val="clear" w:color="auto" w:fill="FFFFFF"/>
            <w:vAlign w:val="center"/>
          </w:tcPr>
          <w:p w14:paraId="7D973196" w14:textId="3594DAE6" w:rsidR="004F0F55" w:rsidRPr="00940CCF" w:rsidRDefault="004F0F55" w:rsidP="00385202">
            <w:pPr>
              <w:pStyle w:val="CETBodytext"/>
              <w:rPr>
                <w:rFonts w:cs="Arial"/>
                <w:szCs w:val="18"/>
              </w:rPr>
            </w:pPr>
            <w:r w:rsidRPr="00940CCF">
              <w:rPr>
                <w:rFonts w:cs="Arial"/>
                <w:szCs w:val="18"/>
              </w:rPr>
              <w:t>Increase [%]</w:t>
            </w:r>
          </w:p>
        </w:tc>
      </w:tr>
      <w:tr w:rsidR="004F0F55" w:rsidRPr="00940CCF" w14:paraId="690AC247" w14:textId="77777777" w:rsidTr="004F0F55">
        <w:tc>
          <w:tcPr>
            <w:tcW w:w="851" w:type="dxa"/>
            <w:shd w:val="clear" w:color="auto" w:fill="FFFFFF"/>
            <w:vAlign w:val="center"/>
          </w:tcPr>
          <w:p w14:paraId="024BE8F8" w14:textId="77777777" w:rsidR="004F0F55" w:rsidRPr="00940CCF" w:rsidRDefault="004F0F55" w:rsidP="00385202">
            <w:pPr>
              <w:pStyle w:val="CETBodytext"/>
              <w:rPr>
                <w:rFonts w:cs="Arial"/>
                <w:szCs w:val="18"/>
                <w:lang w:val="en-GB"/>
              </w:rPr>
            </w:pPr>
            <w:r w:rsidRPr="00940CCF">
              <w:rPr>
                <w:rFonts w:cs="Arial"/>
                <w:szCs w:val="18"/>
              </w:rPr>
              <w:t>R_1</w:t>
            </w:r>
          </w:p>
        </w:tc>
        <w:tc>
          <w:tcPr>
            <w:tcW w:w="1417" w:type="dxa"/>
            <w:shd w:val="clear" w:color="auto" w:fill="FFFFFF"/>
            <w:vAlign w:val="center"/>
          </w:tcPr>
          <w:p w14:paraId="3535342E" w14:textId="77777777" w:rsidR="004F0F55" w:rsidRPr="00940CCF" w:rsidRDefault="004F0F55" w:rsidP="00385202">
            <w:pPr>
              <w:pStyle w:val="CETBodytext"/>
              <w:rPr>
                <w:rFonts w:cs="Arial"/>
                <w:szCs w:val="18"/>
                <w:lang w:val="en-GB"/>
              </w:rPr>
            </w:pPr>
            <w:r w:rsidRPr="00940CCF">
              <w:rPr>
                <w:rFonts w:cs="Arial"/>
                <w:szCs w:val="18"/>
              </w:rPr>
              <w:t xml:space="preserve">Residential </w:t>
            </w:r>
          </w:p>
        </w:tc>
        <w:tc>
          <w:tcPr>
            <w:tcW w:w="1276" w:type="dxa"/>
            <w:shd w:val="clear" w:color="auto" w:fill="FFFFFF"/>
            <w:vAlign w:val="center"/>
          </w:tcPr>
          <w:p w14:paraId="334BAD40" w14:textId="74BE7A8B" w:rsidR="004F0F55" w:rsidRPr="00940CCF" w:rsidRDefault="00840000" w:rsidP="00385202">
            <w:pPr>
              <w:pStyle w:val="CETBodytext"/>
              <w:rPr>
                <w:rFonts w:cs="Arial"/>
                <w:szCs w:val="18"/>
              </w:rPr>
            </w:pPr>
            <w:r>
              <w:rPr>
                <w:rFonts w:cs="Arial"/>
                <w:szCs w:val="18"/>
              </w:rPr>
              <w:t>0.35</w:t>
            </w:r>
          </w:p>
        </w:tc>
        <w:tc>
          <w:tcPr>
            <w:tcW w:w="1276" w:type="dxa"/>
            <w:shd w:val="clear" w:color="auto" w:fill="FFFFFF"/>
            <w:vAlign w:val="center"/>
          </w:tcPr>
          <w:p w14:paraId="551FAA7E" w14:textId="049716A0" w:rsidR="004F0F55" w:rsidRPr="00940CCF" w:rsidRDefault="004F0F55" w:rsidP="00385202">
            <w:pPr>
              <w:pStyle w:val="CETBodytext"/>
              <w:rPr>
                <w:rFonts w:cs="Arial"/>
                <w:szCs w:val="18"/>
                <w:lang w:val="en-GB"/>
              </w:rPr>
            </w:pPr>
            <w:r w:rsidRPr="00940CCF">
              <w:rPr>
                <w:rFonts w:cs="Arial"/>
                <w:szCs w:val="18"/>
              </w:rPr>
              <w:t>2.39</w:t>
            </w:r>
          </w:p>
        </w:tc>
        <w:tc>
          <w:tcPr>
            <w:tcW w:w="1559" w:type="dxa"/>
            <w:shd w:val="clear" w:color="auto" w:fill="FFFFFF"/>
            <w:vAlign w:val="center"/>
          </w:tcPr>
          <w:p w14:paraId="3ADC9631" w14:textId="77777777" w:rsidR="004F0F55" w:rsidRPr="00940CCF" w:rsidRDefault="004F0F55" w:rsidP="00385202">
            <w:pPr>
              <w:pStyle w:val="CETBodytext"/>
              <w:rPr>
                <w:rFonts w:cs="Arial"/>
                <w:szCs w:val="18"/>
                <w:lang w:val="en-GB"/>
              </w:rPr>
            </w:pPr>
            <w:r w:rsidRPr="00940CCF">
              <w:rPr>
                <w:rFonts w:cs="Arial"/>
                <w:szCs w:val="18"/>
              </w:rPr>
              <w:t>2.23</w:t>
            </w:r>
          </w:p>
        </w:tc>
        <w:tc>
          <w:tcPr>
            <w:tcW w:w="1418" w:type="dxa"/>
            <w:shd w:val="clear" w:color="auto" w:fill="FFFFFF"/>
            <w:vAlign w:val="center"/>
          </w:tcPr>
          <w:p w14:paraId="3B7A974A" w14:textId="2E06C090" w:rsidR="004F0F55" w:rsidRPr="00940CCF" w:rsidRDefault="004F0F55" w:rsidP="00385202">
            <w:pPr>
              <w:pStyle w:val="CETBodytext"/>
              <w:rPr>
                <w:rFonts w:cs="Arial"/>
                <w:szCs w:val="18"/>
              </w:rPr>
            </w:pPr>
            <w:r w:rsidRPr="00940CCF">
              <w:t>7</w:t>
            </w:r>
          </w:p>
        </w:tc>
      </w:tr>
      <w:tr w:rsidR="004F0F55" w:rsidRPr="00940CCF" w14:paraId="624DA9D9" w14:textId="77777777" w:rsidTr="004F0F55">
        <w:tc>
          <w:tcPr>
            <w:tcW w:w="851" w:type="dxa"/>
            <w:shd w:val="clear" w:color="auto" w:fill="FFFFFF"/>
            <w:vAlign w:val="center"/>
          </w:tcPr>
          <w:p w14:paraId="5CCC1A2C" w14:textId="77777777" w:rsidR="004F0F55" w:rsidRPr="00940CCF" w:rsidRDefault="004F0F55" w:rsidP="00385202">
            <w:pPr>
              <w:pStyle w:val="CETBodytext"/>
              <w:rPr>
                <w:rFonts w:cs="Arial"/>
                <w:szCs w:val="18"/>
                <w:lang w:val="en-GB"/>
              </w:rPr>
            </w:pPr>
            <w:r w:rsidRPr="00940CCF">
              <w:rPr>
                <w:rFonts w:cs="Arial"/>
                <w:szCs w:val="18"/>
              </w:rPr>
              <w:t>R_2</w:t>
            </w:r>
          </w:p>
        </w:tc>
        <w:tc>
          <w:tcPr>
            <w:tcW w:w="1417" w:type="dxa"/>
            <w:shd w:val="clear" w:color="auto" w:fill="FFFFFF"/>
            <w:vAlign w:val="center"/>
          </w:tcPr>
          <w:p w14:paraId="1D14F7E8" w14:textId="77777777" w:rsidR="004F0F55" w:rsidRPr="00940CCF" w:rsidRDefault="004F0F55" w:rsidP="00385202">
            <w:pPr>
              <w:pStyle w:val="CETBodytext"/>
              <w:rPr>
                <w:rFonts w:cs="Arial"/>
                <w:szCs w:val="18"/>
                <w:lang w:val="en-GB"/>
              </w:rPr>
            </w:pPr>
            <w:r w:rsidRPr="00940CCF">
              <w:rPr>
                <w:rFonts w:cs="Arial"/>
                <w:szCs w:val="18"/>
              </w:rPr>
              <w:t xml:space="preserve">Residential </w:t>
            </w:r>
          </w:p>
        </w:tc>
        <w:tc>
          <w:tcPr>
            <w:tcW w:w="1276" w:type="dxa"/>
            <w:shd w:val="clear" w:color="auto" w:fill="FFFFFF"/>
            <w:vAlign w:val="center"/>
          </w:tcPr>
          <w:p w14:paraId="7DE21461" w14:textId="7BACCD82" w:rsidR="004F0F55" w:rsidRPr="00940CCF" w:rsidRDefault="00840000" w:rsidP="00385202">
            <w:pPr>
              <w:pStyle w:val="CETBodytext"/>
              <w:rPr>
                <w:rFonts w:cs="Arial"/>
                <w:szCs w:val="18"/>
              </w:rPr>
            </w:pPr>
            <w:r>
              <w:rPr>
                <w:rFonts w:cs="Arial"/>
                <w:szCs w:val="18"/>
              </w:rPr>
              <w:t>0.65</w:t>
            </w:r>
          </w:p>
        </w:tc>
        <w:tc>
          <w:tcPr>
            <w:tcW w:w="1276" w:type="dxa"/>
            <w:shd w:val="clear" w:color="auto" w:fill="FFFFFF"/>
            <w:vAlign w:val="center"/>
          </w:tcPr>
          <w:p w14:paraId="487744AA" w14:textId="794241C5" w:rsidR="004F0F55" w:rsidRPr="00940CCF" w:rsidRDefault="004F0F55" w:rsidP="00385202">
            <w:pPr>
              <w:pStyle w:val="CETBodytext"/>
              <w:rPr>
                <w:rFonts w:cs="Arial"/>
                <w:szCs w:val="18"/>
                <w:lang w:val="en-GB"/>
              </w:rPr>
            </w:pPr>
            <w:r w:rsidRPr="00940CCF">
              <w:rPr>
                <w:rFonts w:cs="Arial"/>
                <w:szCs w:val="18"/>
              </w:rPr>
              <w:t>1.57</w:t>
            </w:r>
          </w:p>
        </w:tc>
        <w:tc>
          <w:tcPr>
            <w:tcW w:w="1559" w:type="dxa"/>
            <w:shd w:val="clear" w:color="auto" w:fill="FFFFFF"/>
            <w:vAlign w:val="center"/>
          </w:tcPr>
          <w:p w14:paraId="22920F3E" w14:textId="77777777" w:rsidR="004F0F55" w:rsidRPr="00940CCF" w:rsidRDefault="004F0F55" w:rsidP="00385202">
            <w:pPr>
              <w:pStyle w:val="CETBodytext"/>
              <w:rPr>
                <w:rFonts w:cs="Arial"/>
                <w:szCs w:val="18"/>
                <w:lang w:val="en-GB"/>
              </w:rPr>
            </w:pPr>
            <w:r w:rsidRPr="00940CCF">
              <w:rPr>
                <w:rFonts w:cs="Arial"/>
                <w:szCs w:val="18"/>
              </w:rPr>
              <w:t>1.16</w:t>
            </w:r>
          </w:p>
        </w:tc>
        <w:tc>
          <w:tcPr>
            <w:tcW w:w="1418" w:type="dxa"/>
            <w:shd w:val="clear" w:color="auto" w:fill="FFFFFF"/>
            <w:vAlign w:val="center"/>
          </w:tcPr>
          <w:p w14:paraId="585F7D10" w14:textId="6E5D8939" w:rsidR="004F0F55" w:rsidRPr="00940CCF" w:rsidRDefault="004F0F55" w:rsidP="00385202">
            <w:pPr>
              <w:pStyle w:val="CETBodytext"/>
              <w:rPr>
                <w:rFonts w:cs="Arial"/>
                <w:szCs w:val="18"/>
              </w:rPr>
            </w:pPr>
            <w:r w:rsidRPr="00940CCF">
              <w:t>35</w:t>
            </w:r>
          </w:p>
        </w:tc>
      </w:tr>
      <w:tr w:rsidR="004F0F55" w:rsidRPr="00940CCF" w14:paraId="428212E5" w14:textId="77777777" w:rsidTr="004F0F55">
        <w:tc>
          <w:tcPr>
            <w:tcW w:w="851" w:type="dxa"/>
            <w:shd w:val="clear" w:color="auto" w:fill="FFFFFF"/>
            <w:vAlign w:val="center"/>
          </w:tcPr>
          <w:p w14:paraId="5879DE45" w14:textId="77777777" w:rsidR="004F0F55" w:rsidRPr="00940CCF" w:rsidRDefault="004F0F55" w:rsidP="00385202">
            <w:pPr>
              <w:pStyle w:val="CETBodytext"/>
              <w:rPr>
                <w:rFonts w:cs="Arial"/>
                <w:szCs w:val="18"/>
                <w:lang w:val="en-GB"/>
              </w:rPr>
            </w:pPr>
            <w:r w:rsidRPr="00940CCF">
              <w:rPr>
                <w:rFonts w:cs="Arial"/>
                <w:szCs w:val="18"/>
              </w:rPr>
              <w:t>R_3</w:t>
            </w:r>
          </w:p>
        </w:tc>
        <w:tc>
          <w:tcPr>
            <w:tcW w:w="1417" w:type="dxa"/>
            <w:shd w:val="clear" w:color="auto" w:fill="FFFFFF"/>
            <w:vAlign w:val="center"/>
          </w:tcPr>
          <w:p w14:paraId="5650E13F" w14:textId="77777777" w:rsidR="004F0F55" w:rsidRPr="00940CCF" w:rsidRDefault="004F0F55" w:rsidP="00385202">
            <w:pPr>
              <w:pStyle w:val="CETBodytext"/>
              <w:rPr>
                <w:rFonts w:cs="Arial"/>
                <w:szCs w:val="18"/>
                <w:lang w:val="en-GB"/>
              </w:rPr>
            </w:pPr>
            <w:r w:rsidRPr="00940CCF">
              <w:rPr>
                <w:rFonts w:cs="Arial"/>
                <w:szCs w:val="18"/>
              </w:rPr>
              <w:t xml:space="preserve">Residential </w:t>
            </w:r>
          </w:p>
        </w:tc>
        <w:tc>
          <w:tcPr>
            <w:tcW w:w="1276" w:type="dxa"/>
            <w:shd w:val="clear" w:color="auto" w:fill="FFFFFF"/>
            <w:vAlign w:val="center"/>
          </w:tcPr>
          <w:p w14:paraId="353BBF7D" w14:textId="47D65CF2" w:rsidR="004F0F55" w:rsidRPr="00940CCF" w:rsidRDefault="00840000" w:rsidP="00385202">
            <w:pPr>
              <w:pStyle w:val="CETBodytext"/>
              <w:rPr>
                <w:rFonts w:cs="Arial"/>
                <w:szCs w:val="18"/>
              </w:rPr>
            </w:pPr>
            <w:r>
              <w:rPr>
                <w:rFonts w:cs="Arial"/>
                <w:szCs w:val="18"/>
              </w:rPr>
              <w:t>0.5</w:t>
            </w:r>
          </w:p>
        </w:tc>
        <w:tc>
          <w:tcPr>
            <w:tcW w:w="1276" w:type="dxa"/>
            <w:shd w:val="clear" w:color="auto" w:fill="FFFFFF"/>
            <w:vAlign w:val="center"/>
          </w:tcPr>
          <w:p w14:paraId="77DE021A" w14:textId="6534CA24" w:rsidR="004F0F55" w:rsidRPr="00940CCF" w:rsidRDefault="004F0F55" w:rsidP="00385202">
            <w:pPr>
              <w:pStyle w:val="CETBodytext"/>
              <w:rPr>
                <w:rFonts w:cs="Arial"/>
                <w:szCs w:val="18"/>
                <w:lang w:val="en-GB"/>
              </w:rPr>
            </w:pPr>
            <w:r w:rsidRPr="00940CCF">
              <w:rPr>
                <w:rFonts w:cs="Arial"/>
                <w:szCs w:val="18"/>
              </w:rPr>
              <w:t>1.99</w:t>
            </w:r>
          </w:p>
        </w:tc>
        <w:tc>
          <w:tcPr>
            <w:tcW w:w="1559" w:type="dxa"/>
            <w:shd w:val="clear" w:color="auto" w:fill="FFFFFF"/>
            <w:vAlign w:val="center"/>
          </w:tcPr>
          <w:p w14:paraId="1B03A5F2" w14:textId="77777777" w:rsidR="004F0F55" w:rsidRPr="00940CCF" w:rsidRDefault="004F0F55" w:rsidP="00385202">
            <w:pPr>
              <w:pStyle w:val="CETBodytext"/>
              <w:rPr>
                <w:rFonts w:cs="Arial"/>
                <w:szCs w:val="18"/>
                <w:lang w:val="en-GB"/>
              </w:rPr>
            </w:pPr>
            <w:r w:rsidRPr="00940CCF">
              <w:rPr>
                <w:rFonts w:cs="Arial"/>
                <w:szCs w:val="18"/>
              </w:rPr>
              <w:t>1.86</w:t>
            </w:r>
          </w:p>
        </w:tc>
        <w:tc>
          <w:tcPr>
            <w:tcW w:w="1418" w:type="dxa"/>
            <w:shd w:val="clear" w:color="auto" w:fill="FFFFFF"/>
            <w:vAlign w:val="center"/>
          </w:tcPr>
          <w:p w14:paraId="7601EA2F" w14:textId="0D6B598E" w:rsidR="004F0F55" w:rsidRPr="00940CCF" w:rsidRDefault="004F0F55" w:rsidP="00385202">
            <w:pPr>
              <w:pStyle w:val="CETBodytext"/>
              <w:rPr>
                <w:rFonts w:cs="Arial"/>
                <w:szCs w:val="18"/>
              </w:rPr>
            </w:pPr>
            <w:r w:rsidRPr="00940CCF">
              <w:t>7</w:t>
            </w:r>
          </w:p>
        </w:tc>
      </w:tr>
      <w:tr w:rsidR="004F0F55" w:rsidRPr="00940CCF" w14:paraId="6F13D593" w14:textId="77777777" w:rsidTr="004F0F55">
        <w:tc>
          <w:tcPr>
            <w:tcW w:w="851" w:type="dxa"/>
            <w:shd w:val="clear" w:color="auto" w:fill="FFFFFF"/>
            <w:vAlign w:val="center"/>
          </w:tcPr>
          <w:p w14:paraId="131BC4EB" w14:textId="77777777" w:rsidR="004F0F55" w:rsidRPr="00940CCF" w:rsidRDefault="004F0F55" w:rsidP="00385202">
            <w:pPr>
              <w:pStyle w:val="CETBodytext"/>
              <w:rPr>
                <w:rFonts w:cs="Arial"/>
                <w:szCs w:val="18"/>
                <w:lang w:val="en-GB"/>
              </w:rPr>
            </w:pPr>
            <w:r w:rsidRPr="00940CCF">
              <w:rPr>
                <w:rFonts w:cs="Arial"/>
                <w:szCs w:val="18"/>
              </w:rPr>
              <w:t>R_4</w:t>
            </w:r>
          </w:p>
        </w:tc>
        <w:tc>
          <w:tcPr>
            <w:tcW w:w="1417" w:type="dxa"/>
            <w:shd w:val="clear" w:color="auto" w:fill="FFFFFF"/>
            <w:vAlign w:val="center"/>
          </w:tcPr>
          <w:p w14:paraId="2B5E2A2A" w14:textId="77777777" w:rsidR="004F0F55" w:rsidRPr="00940CCF" w:rsidRDefault="004F0F55" w:rsidP="00385202">
            <w:pPr>
              <w:pStyle w:val="CETBodytext"/>
              <w:rPr>
                <w:rFonts w:cs="Arial"/>
                <w:szCs w:val="18"/>
                <w:lang w:val="en-GB"/>
              </w:rPr>
            </w:pPr>
            <w:r w:rsidRPr="00940CCF">
              <w:rPr>
                <w:rFonts w:cs="Arial"/>
                <w:szCs w:val="18"/>
              </w:rPr>
              <w:t xml:space="preserve">Residential </w:t>
            </w:r>
          </w:p>
        </w:tc>
        <w:tc>
          <w:tcPr>
            <w:tcW w:w="1276" w:type="dxa"/>
            <w:shd w:val="clear" w:color="auto" w:fill="FFFFFF"/>
            <w:vAlign w:val="center"/>
          </w:tcPr>
          <w:p w14:paraId="0E0127C8" w14:textId="0F920A3C" w:rsidR="004F0F55" w:rsidRPr="00940CCF" w:rsidRDefault="00840000" w:rsidP="00385202">
            <w:pPr>
              <w:pStyle w:val="CETBodytext"/>
              <w:rPr>
                <w:rFonts w:cs="Arial"/>
                <w:szCs w:val="18"/>
              </w:rPr>
            </w:pPr>
            <w:r>
              <w:rPr>
                <w:rFonts w:cs="Arial"/>
                <w:szCs w:val="18"/>
              </w:rPr>
              <w:t>0.85</w:t>
            </w:r>
          </w:p>
        </w:tc>
        <w:tc>
          <w:tcPr>
            <w:tcW w:w="1276" w:type="dxa"/>
            <w:shd w:val="clear" w:color="auto" w:fill="FFFFFF"/>
            <w:vAlign w:val="center"/>
          </w:tcPr>
          <w:p w14:paraId="568448FA" w14:textId="502DF447" w:rsidR="004F0F55" w:rsidRPr="00940CCF" w:rsidRDefault="004F0F55" w:rsidP="00385202">
            <w:pPr>
              <w:pStyle w:val="CETBodytext"/>
              <w:rPr>
                <w:rFonts w:cs="Arial"/>
                <w:szCs w:val="18"/>
                <w:lang w:val="en-GB"/>
              </w:rPr>
            </w:pPr>
            <w:r w:rsidRPr="00940CCF">
              <w:rPr>
                <w:rFonts w:cs="Arial"/>
                <w:szCs w:val="18"/>
              </w:rPr>
              <w:t>0.38</w:t>
            </w:r>
          </w:p>
        </w:tc>
        <w:tc>
          <w:tcPr>
            <w:tcW w:w="1559" w:type="dxa"/>
            <w:shd w:val="clear" w:color="auto" w:fill="FFFFFF"/>
            <w:vAlign w:val="center"/>
          </w:tcPr>
          <w:p w14:paraId="2BF06FBF" w14:textId="77777777" w:rsidR="004F0F55" w:rsidRPr="00940CCF" w:rsidRDefault="004F0F55" w:rsidP="00385202">
            <w:pPr>
              <w:pStyle w:val="CETBodytext"/>
              <w:rPr>
                <w:rFonts w:cs="Arial"/>
                <w:szCs w:val="18"/>
                <w:lang w:val="en-GB"/>
              </w:rPr>
            </w:pPr>
            <w:r w:rsidRPr="00940CCF">
              <w:rPr>
                <w:rFonts w:cs="Arial"/>
                <w:szCs w:val="18"/>
              </w:rPr>
              <w:t>0.09</w:t>
            </w:r>
          </w:p>
        </w:tc>
        <w:tc>
          <w:tcPr>
            <w:tcW w:w="1418" w:type="dxa"/>
            <w:shd w:val="clear" w:color="auto" w:fill="FFFFFF"/>
            <w:vAlign w:val="center"/>
          </w:tcPr>
          <w:p w14:paraId="41FBAC75" w14:textId="33BE1AF1" w:rsidR="004F0F55" w:rsidRPr="00940CCF" w:rsidRDefault="004F0F55" w:rsidP="00385202">
            <w:pPr>
              <w:pStyle w:val="CETBodytext"/>
              <w:rPr>
                <w:rFonts w:cs="Arial"/>
                <w:szCs w:val="18"/>
              </w:rPr>
            </w:pPr>
            <w:r w:rsidRPr="00940CCF">
              <w:t>322</w:t>
            </w:r>
          </w:p>
        </w:tc>
      </w:tr>
      <w:tr w:rsidR="004F0F55" w:rsidRPr="00940CCF" w14:paraId="1348444A" w14:textId="77777777" w:rsidTr="004F0F55">
        <w:tc>
          <w:tcPr>
            <w:tcW w:w="851" w:type="dxa"/>
            <w:shd w:val="clear" w:color="auto" w:fill="FFFFFF"/>
            <w:vAlign w:val="center"/>
          </w:tcPr>
          <w:p w14:paraId="66F556C5" w14:textId="77777777" w:rsidR="004F0F55" w:rsidRPr="00940CCF" w:rsidRDefault="004F0F55" w:rsidP="00385202">
            <w:pPr>
              <w:pStyle w:val="CETBodytext"/>
              <w:rPr>
                <w:rFonts w:cs="Arial"/>
                <w:szCs w:val="18"/>
                <w:lang w:val="en-GB"/>
              </w:rPr>
            </w:pPr>
            <w:r w:rsidRPr="00940CCF">
              <w:rPr>
                <w:rFonts w:cs="Arial"/>
                <w:szCs w:val="18"/>
              </w:rPr>
              <w:t>R_5</w:t>
            </w:r>
          </w:p>
        </w:tc>
        <w:tc>
          <w:tcPr>
            <w:tcW w:w="1417" w:type="dxa"/>
            <w:shd w:val="clear" w:color="auto" w:fill="FFFFFF"/>
            <w:vAlign w:val="center"/>
          </w:tcPr>
          <w:p w14:paraId="6D0EB2D5" w14:textId="77777777" w:rsidR="004F0F55" w:rsidRPr="00940CCF" w:rsidRDefault="004F0F55" w:rsidP="00385202">
            <w:pPr>
              <w:pStyle w:val="CETBodytext"/>
              <w:rPr>
                <w:rFonts w:cs="Arial"/>
                <w:szCs w:val="18"/>
                <w:lang w:val="en-GB"/>
              </w:rPr>
            </w:pPr>
            <w:r w:rsidRPr="00940CCF">
              <w:rPr>
                <w:rFonts w:cs="Arial"/>
                <w:szCs w:val="18"/>
              </w:rPr>
              <w:t>Fish Market</w:t>
            </w:r>
          </w:p>
        </w:tc>
        <w:tc>
          <w:tcPr>
            <w:tcW w:w="1276" w:type="dxa"/>
            <w:shd w:val="clear" w:color="auto" w:fill="FFFFFF"/>
            <w:vAlign w:val="center"/>
          </w:tcPr>
          <w:p w14:paraId="3EF87A1B" w14:textId="7DFCC45E" w:rsidR="004F0F55" w:rsidRPr="00940CCF" w:rsidRDefault="00840000" w:rsidP="00385202">
            <w:pPr>
              <w:pStyle w:val="CETBodytext"/>
              <w:rPr>
                <w:rFonts w:cs="Arial"/>
                <w:szCs w:val="18"/>
              </w:rPr>
            </w:pPr>
            <w:r>
              <w:rPr>
                <w:rFonts w:cs="Arial"/>
                <w:szCs w:val="18"/>
              </w:rPr>
              <w:t>0.6</w:t>
            </w:r>
          </w:p>
        </w:tc>
        <w:tc>
          <w:tcPr>
            <w:tcW w:w="1276" w:type="dxa"/>
            <w:shd w:val="clear" w:color="auto" w:fill="FFFFFF"/>
            <w:vAlign w:val="center"/>
          </w:tcPr>
          <w:p w14:paraId="67EF8B77" w14:textId="5D5FCAEB" w:rsidR="004F0F55" w:rsidRPr="00940CCF" w:rsidRDefault="004F0F55" w:rsidP="00385202">
            <w:pPr>
              <w:pStyle w:val="CETBodytext"/>
              <w:rPr>
                <w:rFonts w:cs="Arial"/>
                <w:szCs w:val="18"/>
                <w:lang w:val="en-GB"/>
              </w:rPr>
            </w:pPr>
            <w:r w:rsidRPr="00940CCF">
              <w:rPr>
                <w:rFonts w:cs="Arial"/>
                <w:szCs w:val="18"/>
              </w:rPr>
              <w:t>1.72</w:t>
            </w:r>
          </w:p>
        </w:tc>
        <w:tc>
          <w:tcPr>
            <w:tcW w:w="1559" w:type="dxa"/>
            <w:shd w:val="clear" w:color="auto" w:fill="FFFFFF"/>
            <w:vAlign w:val="center"/>
          </w:tcPr>
          <w:p w14:paraId="6BC63842" w14:textId="77777777" w:rsidR="004F0F55" w:rsidRPr="00940CCF" w:rsidRDefault="004F0F55" w:rsidP="00385202">
            <w:pPr>
              <w:pStyle w:val="CETBodytext"/>
              <w:rPr>
                <w:rFonts w:cs="Arial"/>
                <w:szCs w:val="18"/>
                <w:lang w:val="en-GB"/>
              </w:rPr>
            </w:pPr>
            <w:r w:rsidRPr="00940CCF">
              <w:rPr>
                <w:rFonts w:cs="Arial"/>
                <w:szCs w:val="18"/>
              </w:rPr>
              <w:t>1.38</w:t>
            </w:r>
          </w:p>
        </w:tc>
        <w:tc>
          <w:tcPr>
            <w:tcW w:w="1418" w:type="dxa"/>
            <w:shd w:val="clear" w:color="auto" w:fill="FFFFFF"/>
            <w:vAlign w:val="center"/>
          </w:tcPr>
          <w:p w14:paraId="2E6928A0" w14:textId="1D88AF95" w:rsidR="004F0F55" w:rsidRPr="00940CCF" w:rsidRDefault="004F0F55" w:rsidP="00385202">
            <w:pPr>
              <w:pStyle w:val="CETBodytext"/>
              <w:rPr>
                <w:rFonts w:cs="Arial"/>
                <w:szCs w:val="18"/>
              </w:rPr>
            </w:pPr>
            <w:r w:rsidRPr="00940CCF">
              <w:t>25</w:t>
            </w:r>
          </w:p>
        </w:tc>
      </w:tr>
      <w:tr w:rsidR="004F0F55" w:rsidRPr="00940CCF" w14:paraId="065282B6" w14:textId="77777777" w:rsidTr="004F0F55">
        <w:tc>
          <w:tcPr>
            <w:tcW w:w="851" w:type="dxa"/>
            <w:shd w:val="clear" w:color="auto" w:fill="FFFFFF"/>
            <w:vAlign w:val="center"/>
          </w:tcPr>
          <w:p w14:paraId="56708D45" w14:textId="77777777" w:rsidR="004F0F55" w:rsidRPr="00940CCF" w:rsidRDefault="004F0F55" w:rsidP="00385202">
            <w:pPr>
              <w:pStyle w:val="CETBodytext"/>
              <w:ind w:right="-1"/>
              <w:rPr>
                <w:rFonts w:cs="Arial"/>
                <w:szCs w:val="18"/>
                <w:lang w:val="en-GB"/>
              </w:rPr>
            </w:pPr>
            <w:r w:rsidRPr="00940CCF">
              <w:rPr>
                <w:rFonts w:cs="Arial"/>
                <w:szCs w:val="18"/>
              </w:rPr>
              <w:t>R_6</w:t>
            </w:r>
          </w:p>
        </w:tc>
        <w:tc>
          <w:tcPr>
            <w:tcW w:w="1417" w:type="dxa"/>
            <w:shd w:val="clear" w:color="auto" w:fill="FFFFFF"/>
            <w:vAlign w:val="center"/>
          </w:tcPr>
          <w:p w14:paraId="36E8675C" w14:textId="77777777" w:rsidR="004F0F55" w:rsidRPr="00940CCF" w:rsidRDefault="004F0F55" w:rsidP="00385202">
            <w:pPr>
              <w:pStyle w:val="CETBodytext"/>
              <w:ind w:right="-1"/>
              <w:rPr>
                <w:rFonts w:cs="Arial"/>
                <w:szCs w:val="18"/>
                <w:lang w:val="en-GB"/>
              </w:rPr>
            </w:pPr>
            <w:r w:rsidRPr="00940CCF">
              <w:rPr>
                <w:rFonts w:cs="Arial"/>
                <w:szCs w:val="18"/>
              </w:rPr>
              <w:t>Farmstead</w:t>
            </w:r>
          </w:p>
        </w:tc>
        <w:tc>
          <w:tcPr>
            <w:tcW w:w="1276" w:type="dxa"/>
            <w:shd w:val="clear" w:color="auto" w:fill="FFFFFF"/>
            <w:vAlign w:val="center"/>
          </w:tcPr>
          <w:p w14:paraId="588DEE36" w14:textId="3F26FFE3" w:rsidR="004F0F55" w:rsidRPr="00940CCF" w:rsidRDefault="00840000" w:rsidP="00385202">
            <w:pPr>
              <w:pStyle w:val="CETBodytext"/>
              <w:ind w:right="-1"/>
              <w:rPr>
                <w:rFonts w:cs="Arial"/>
                <w:szCs w:val="18"/>
              </w:rPr>
            </w:pPr>
            <w:r>
              <w:rPr>
                <w:rFonts w:cs="Arial"/>
                <w:szCs w:val="18"/>
              </w:rPr>
              <w:t>1.6</w:t>
            </w:r>
          </w:p>
        </w:tc>
        <w:tc>
          <w:tcPr>
            <w:tcW w:w="1276" w:type="dxa"/>
            <w:shd w:val="clear" w:color="auto" w:fill="FFFFFF"/>
            <w:vAlign w:val="center"/>
          </w:tcPr>
          <w:p w14:paraId="0CD1FF5B" w14:textId="5D712464" w:rsidR="004F0F55" w:rsidRPr="00940CCF" w:rsidRDefault="004F0F55" w:rsidP="00385202">
            <w:pPr>
              <w:pStyle w:val="CETBodytext"/>
              <w:ind w:right="-1"/>
              <w:rPr>
                <w:rFonts w:cs="Arial"/>
                <w:szCs w:val="18"/>
                <w:lang w:val="en-GB"/>
              </w:rPr>
            </w:pPr>
            <w:r w:rsidRPr="00940CCF">
              <w:rPr>
                <w:rFonts w:cs="Arial"/>
                <w:szCs w:val="18"/>
              </w:rPr>
              <w:t>0.23</w:t>
            </w:r>
          </w:p>
        </w:tc>
        <w:tc>
          <w:tcPr>
            <w:tcW w:w="1559" w:type="dxa"/>
            <w:shd w:val="clear" w:color="auto" w:fill="FFFFFF"/>
            <w:vAlign w:val="center"/>
          </w:tcPr>
          <w:p w14:paraId="6F3DEBBF" w14:textId="77777777" w:rsidR="004F0F55" w:rsidRPr="00940CCF" w:rsidRDefault="004F0F55" w:rsidP="00385202">
            <w:pPr>
              <w:pStyle w:val="CETBodytext"/>
              <w:ind w:right="-1"/>
              <w:rPr>
                <w:rFonts w:cs="Arial"/>
                <w:szCs w:val="18"/>
                <w:lang w:val="en-GB"/>
              </w:rPr>
            </w:pPr>
            <w:r w:rsidRPr="00940CCF">
              <w:rPr>
                <w:rFonts w:cs="Arial"/>
                <w:szCs w:val="18"/>
              </w:rPr>
              <w:t>0.10</w:t>
            </w:r>
          </w:p>
        </w:tc>
        <w:tc>
          <w:tcPr>
            <w:tcW w:w="1418" w:type="dxa"/>
            <w:shd w:val="clear" w:color="auto" w:fill="FFFFFF"/>
            <w:vAlign w:val="center"/>
          </w:tcPr>
          <w:p w14:paraId="3589E63D" w14:textId="589C2DBE" w:rsidR="004F0F55" w:rsidRPr="00940CCF" w:rsidRDefault="004F0F55" w:rsidP="00385202">
            <w:pPr>
              <w:pStyle w:val="CETBodytext"/>
              <w:ind w:right="-1"/>
              <w:rPr>
                <w:rFonts w:cs="Arial"/>
                <w:szCs w:val="18"/>
              </w:rPr>
            </w:pPr>
            <w:r w:rsidRPr="00940CCF">
              <w:t>130</w:t>
            </w:r>
          </w:p>
        </w:tc>
      </w:tr>
      <w:tr w:rsidR="004F0F55" w:rsidRPr="00940CCF" w14:paraId="7995A117" w14:textId="77777777" w:rsidTr="004F0F55">
        <w:tc>
          <w:tcPr>
            <w:tcW w:w="851" w:type="dxa"/>
            <w:shd w:val="clear" w:color="auto" w:fill="FFFFFF"/>
            <w:vAlign w:val="center"/>
          </w:tcPr>
          <w:p w14:paraId="266D3DB6" w14:textId="77777777" w:rsidR="004F0F55" w:rsidRPr="00940CCF" w:rsidRDefault="004F0F55" w:rsidP="00385202">
            <w:pPr>
              <w:pStyle w:val="CETBodytext"/>
              <w:ind w:right="-1"/>
              <w:rPr>
                <w:rFonts w:cs="Arial"/>
                <w:color w:val="000000"/>
                <w:szCs w:val="18"/>
              </w:rPr>
            </w:pPr>
            <w:r w:rsidRPr="00940CCF">
              <w:rPr>
                <w:rFonts w:cs="Arial"/>
                <w:szCs w:val="18"/>
              </w:rPr>
              <w:t>R_7</w:t>
            </w:r>
          </w:p>
        </w:tc>
        <w:tc>
          <w:tcPr>
            <w:tcW w:w="1417" w:type="dxa"/>
            <w:shd w:val="clear" w:color="auto" w:fill="FFFFFF"/>
            <w:vAlign w:val="center"/>
          </w:tcPr>
          <w:p w14:paraId="47E52E6E" w14:textId="77777777" w:rsidR="004F0F55" w:rsidRPr="00940CCF" w:rsidRDefault="004F0F55" w:rsidP="00385202">
            <w:pPr>
              <w:pStyle w:val="CETBodytext"/>
              <w:ind w:right="-1"/>
              <w:rPr>
                <w:rFonts w:cs="Arial"/>
                <w:color w:val="000000"/>
                <w:szCs w:val="18"/>
              </w:rPr>
            </w:pPr>
            <w:r w:rsidRPr="00940CCF">
              <w:rPr>
                <w:rFonts w:cs="Arial"/>
                <w:szCs w:val="18"/>
              </w:rPr>
              <w:t>Service Area</w:t>
            </w:r>
          </w:p>
        </w:tc>
        <w:tc>
          <w:tcPr>
            <w:tcW w:w="1276" w:type="dxa"/>
            <w:shd w:val="clear" w:color="auto" w:fill="FFFFFF"/>
            <w:vAlign w:val="center"/>
          </w:tcPr>
          <w:p w14:paraId="73127DBB" w14:textId="04773724" w:rsidR="004F0F55" w:rsidRPr="00940CCF" w:rsidRDefault="00840000" w:rsidP="00385202">
            <w:pPr>
              <w:pStyle w:val="CETBodytext"/>
              <w:ind w:right="-1"/>
              <w:rPr>
                <w:rFonts w:cs="Arial"/>
                <w:szCs w:val="18"/>
              </w:rPr>
            </w:pPr>
            <w:r>
              <w:rPr>
                <w:rFonts w:cs="Arial"/>
                <w:szCs w:val="18"/>
              </w:rPr>
              <w:t>0.5</w:t>
            </w:r>
          </w:p>
        </w:tc>
        <w:tc>
          <w:tcPr>
            <w:tcW w:w="1276" w:type="dxa"/>
            <w:shd w:val="clear" w:color="auto" w:fill="FFFFFF"/>
            <w:vAlign w:val="center"/>
          </w:tcPr>
          <w:p w14:paraId="3E331E75" w14:textId="57F87E4F" w:rsidR="004F0F55" w:rsidRPr="00940CCF" w:rsidRDefault="004F0F55" w:rsidP="00385202">
            <w:pPr>
              <w:pStyle w:val="CETBodytext"/>
              <w:ind w:right="-1"/>
              <w:rPr>
                <w:rFonts w:cs="Arial"/>
                <w:color w:val="000000"/>
                <w:szCs w:val="18"/>
              </w:rPr>
            </w:pPr>
            <w:r w:rsidRPr="00940CCF">
              <w:rPr>
                <w:rFonts w:cs="Arial"/>
                <w:szCs w:val="18"/>
              </w:rPr>
              <w:t>0.54</w:t>
            </w:r>
          </w:p>
        </w:tc>
        <w:tc>
          <w:tcPr>
            <w:tcW w:w="1559" w:type="dxa"/>
            <w:shd w:val="clear" w:color="auto" w:fill="FFFFFF"/>
            <w:vAlign w:val="center"/>
          </w:tcPr>
          <w:p w14:paraId="4A2448F1" w14:textId="77777777" w:rsidR="004F0F55" w:rsidRPr="00940CCF" w:rsidRDefault="004F0F55" w:rsidP="00385202">
            <w:pPr>
              <w:pStyle w:val="CETBodytext"/>
              <w:ind w:right="-1"/>
              <w:rPr>
                <w:rFonts w:cs="Arial"/>
                <w:color w:val="000000"/>
                <w:szCs w:val="18"/>
              </w:rPr>
            </w:pPr>
            <w:r w:rsidRPr="00940CCF">
              <w:rPr>
                <w:rFonts w:cs="Arial"/>
                <w:szCs w:val="18"/>
              </w:rPr>
              <w:t>0.18</w:t>
            </w:r>
          </w:p>
        </w:tc>
        <w:tc>
          <w:tcPr>
            <w:tcW w:w="1418" w:type="dxa"/>
            <w:shd w:val="clear" w:color="auto" w:fill="FFFFFF"/>
            <w:vAlign w:val="center"/>
          </w:tcPr>
          <w:p w14:paraId="6D0F289B" w14:textId="0DBF3443" w:rsidR="004F0F55" w:rsidRPr="00940CCF" w:rsidRDefault="004F0F55" w:rsidP="00385202">
            <w:pPr>
              <w:pStyle w:val="CETBodytext"/>
              <w:ind w:right="-1"/>
              <w:rPr>
                <w:rFonts w:cs="Arial"/>
                <w:szCs w:val="18"/>
              </w:rPr>
            </w:pPr>
            <w:r w:rsidRPr="00940CCF">
              <w:t>200</w:t>
            </w:r>
          </w:p>
        </w:tc>
      </w:tr>
      <w:tr w:rsidR="004F0F55" w:rsidRPr="00940CCF" w14:paraId="7DFF8684" w14:textId="77777777" w:rsidTr="004F0F55">
        <w:tc>
          <w:tcPr>
            <w:tcW w:w="851" w:type="dxa"/>
            <w:shd w:val="clear" w:color="auto" w:fill="FFFFFF"/>
            <w:vAlign w:val="center"/>
          </w:tcPr>
          <w:p w14:paraId="7C51E703" w14:textId="77777777" w:rsidR="004F0F55" w:rsidRPr="00940CCF" w:rsidRDefault="004F0F55" w:rsidP="00385202">
            <w:pPr>
              <w:pStyle w:val="CETBodytext"/>
              <w:ind w:right="-1"/>
              <w:rPr>
                <w:rFonts w:cs="Arial"/>
                <w:color w:val="000000"/>
                <w:szCs w:val="18"/>
              </w:rPr>
            </w:pPr>
            <w:r w:rsidRPr="00940CCF">
              <w:rPr>
                <w:rFonts w:cs="Arial"/>
                <w:szCs w:val="18"/>
              </w:rPr>
              <w:t>R_8</w:t>
            </w:r>
          </w:p>
        </w:tc>
        <w:tc>
          <w:tcPr>
            <w:tcW w:w="1417" w:type="dxa"/>
            <w:shd w:val="clear" w:color="auto" w:fill="FFFFFF"/>
            <w:vAlign w:val="center"/>
          </w:tcPr>
          <w:p w14:paraId="6D186170" w14:textId="77777777" w:rsidR="004F0F55" w:rsidRPr="00940CCF" w:rsidRDefault="004F0F55" w:rsidP="00385202">
            <w:pPr>
              <w:pStyle w:val="CETBodytext"/>
              <w:ind w:right="-1"/>
              <w:rPr>
                <w:rFonts w:cs="Arial"/>
                <w:color w:val="000000"/>
                <w:szCs w:val="18"/>
              </w:rPr>
            </w:pPr>
            <w:r w:rsidRPr="00940CCF">
              <w:rPr>
                <w:rFonts w:cs="Arial"/>
                <w:szCs w:val="18"/>
              </w:rPr>
              <w:t>Village</w:t>
            </w:r>
          </w:p>
        </w:tc>
        <w:tc>
          <w:tcPr>
            <w:tcW w:w="1276" w:type="dxa"/>
            <w:shd w:val="clear" w:color="auto" w:fill="FFFFFF"/>
            <w:vAlign w:val="center"/>
          </w:tcPr>
          <w:p w14:paraId="4E3536E1" w14:textId="5FF1BE8E" w:rsidR="004F0F55" w:rsidRPr="00940CCF" w:rsidRDefault="00840000" w:rsidP="00385202">
            <w:pPr>
              <w:pStyle w:val="CETBodytext"/>
              <w:ind w:right="-1"/>
              <w:rPr>
                <w:rFonts w:cs="Arial"/>
                <w:szCs w:val="18"/>
              </w:rPr>
            </w:pPr>
            <w:r>
              <w:rPr>
                <w:rFonts w:cs="Arial"/>
                <w:szCs w:val="18"/>
              </w:rPr>
              <w:t>1.7</w:t>
            </w:r>
          </w:p>
        </w:tc>
        <w:tc>
          <w:tcPr>
            <w:tcW w:w="1276" w:type="dxa"/>
            <w:shd w:val="clear" w:color="auto" w:fill="FFFFFF"/>
            <w:vAlign w:val="center"/>
          </w:tcPr>
          <w:p w14:paraId="5B5EEF8F" w14:textId="276E5164" w:rsidR="004F0F55" w:rsidRPr="00940CCF" w:rsidRDefault="004F0F55" w:rsidP="00385202">
            <w:pPr>
              <w:pStyle w:val="CETBodytext"/>
              <w:ind w:right="-1"/>
              <w:rPr>
                <w:rFonts w:cs="Arial"/>
                <w:color w:val="000000"/>
                <w:szCs w:val="18"/>
              </w:rPr>
            </w:pPr>
            <w:r w:rsidRPr="00940CCF">
              <w:rPr>
                <w:rFonts w:cs="Arial"/>
                <w:szCs w:val="18"/>
              </w:rPr>
              <w:t>0.29</w:t>
            </w:r>
          </w:p>
        </w:tc>
        <w:tc>
          <w:tcPr>
            <w:tcW w:w="1559" w:type="dxa"/>
            <w:shd w:val="clear" w:color="auto" w:fill="FFFFFF"/>
            <w:vAlign w:val="center"/>
          </w:tcPr>
          <w:p w14:paraId="6419341D" w14:textId="77777777" w:rsidR="004F0F55" w:rsidRPr="00940CCF" w:rsidRDefault="004F0F55" w:rsidP="00385202">
            <w:pPr>
              <w:pStyle w:val="CETBodytext"/>
              <w:ind w:right="-1"/>
              <w:rPr>
                <w:rFonts w:cs="Arial"/>
                <w:color w:val="000000"/>
                <w:szCs w:val="18"/>
              </w:rPr>
            </w:pPr>
            <w:r w:rsidRPr="00940CCF">
              <w:rPr>
                <w:rFonts w:cs="Arial"/>
                <w:szCs w:val="18"/>
              </w:rPr>
              <w:t>0.10</w:t>
            </w:r>
          </w:p>
        </w:tc>
        <w:tc>
          <w:tcPr>
            <w:tcW w:w="1418" w:type="dxa"/>
            <w:shd w:val="clear" w:color="auto" w:fill="FFFFFF"/>
            <w:vAlign w:val="center"/>
          </w:tcPr>
          <w:p w14:paraId="35F11D58" w14:textId="1545467A" w:rsidR="004F0F55" w:rsidRPr="00940CCF" w:rsidRDefault="004F0F55" w:rsidP="00385202">
            <w:pPr>
              <w:pStyle w:val="CETBodytext"/>
              <w:ind w:right="-1"/>
              <w:rPr>
                <w:rFonts w:cs="Arial"/>
                <w:szCs w:val="18"/>
              </w:rPr>
            </w:pPr>
            <w:r w:rsidRPr="00940CCF">
              <w:t>190</w:t>
            </w:r>
          </w:p>
        </w:tc>
      </w:tr>
      <w:tr w:rsidR="004F0F55" w:rsidRPr="00940CCF" w14:paraId="0E9223DF" w14:textId="77777777" w:rsidTr="004F0F55">
        <w:tc>
          <w:tcPr>
            <w:tcW w:w="851" w:type="dxa"/>
            <w:shd w:val="clear" w:color="auto" w:fill="FFFFFF"/>
            <w:vAlign w:val="center"/>
          </w:tcPr>
          <w:p w14:paraId="4ED87614" w14:textId="77777777" w:rsidR="004F0F55" w:rsidRPr="00940CCF" w:rsidRDefault="004F0F55" w:rsidP="00385202">
            <w:pPr>
              <w:pStyle w:val="CETBodytext"/>
              <w:ind w:right="-1"/>
              <w:rPr>
                <w:rFonts w:cs="Arial"/>
                <w:color w:val="000000"/>
                <w:szCs w:val="18"/>
              </w:rPr>
            </w:pPr>
            <w:r w:rsidRPr="00940CCF">
              <w:rPr>
                <w:rFonts w:cs="Arial"/>
                <w:szCs w:val="18"/>
              </w:rPr>
              <w:t>R_9</w:t>
            </w:r>
          </w:p>
        </w:tc>
        <w:tc>
          <w:tcPr>
            <w:tcW w:w="1417" w:type="dxa"/>
            <w:shd w:val="clear" w:color="auto" w:fill="FFFFFF"/>
            <w:vAlign w:val="center"/>
          </w:tcPr>
          <w:p w14:paraId="6136CE7B" w14:textId="77777777" w:rsidR="004F0F55" w:rsidRPr="00940CCF" w:rsidRDefault="004F0F55" w:rsidP="00385202">
            <w:pPr>
              <w:pStyle w:val="CETBodytext"/>
              <w:ind w:right="-1"/>
              <w:rPr>
                <w:rFonts w:cs="Arial"/>
                <w:color w:val="000000"/>
                <w:szCs w:val="18"/>
              </w:rPr>
            </w:pPr>
            <w:r w:rsidRPr="00940CCF">
              <w:rPr>
                <w:rFonts w:cs="Arial"/>
                <w:szCs w:val="18"/>
              </w:rPr>
              <w:t>Village</w:t>
            </w:r>
          </w:p>
        </w:tc>
        <w:tc>
          <w:tcPr>
            <w:tcW w:w="1276" w:type="dxa"/>
            <w:shd w:val="clear" w:color="auto" w:fill="FFFFFF"/>
            <w:vAlign w:val="center"/>
          </w:tcPr>
          <w:p w14:paraId="5F363291" w14:textId="5C9592CC" w:rsidR="004F0F55" w:rsidRPr="00940CCF" w:rsidRDefault="00840000" w:rsidP="00385202">
            <w:pPr>
              <w:pStyle w:val="CETBodytext"/>
              <w:ind w:right="-1"/>
              <w:rPr>
                <w:rFonts w:cs="Arial"/>
                <w:szCs w:val="18"/>
              </w:rPr>
            </w:pPr>
            <w:r>
              <w:rPr>
                <w:rFonts w:cs="Arial"/>
                <w:szCs w:val="18"/>
              </w:rPr>
              <w:t>1.4</w:t>
            </w:r>
          </w:p>
        </w:tc>
        <w:tc>
          <w:tcPr>
            <w:tcW w:w="1276" w:type="dxa"/>
            <w:shd w:val="clear" w:color="auto" w:fill="FFFFFF"/>
            <w:vAlign w:val="center"/>
          </w:tcPr>
          <w:p w14:paraId="0E9C3022" w14:textId="6A872F80" w:rsidR="004F0F55" w:rsidRPr="00940CCF" w:rsidRDefault="004F0F55" w:rsidP="00385202">
            <w:pPr>
              <w:pStyle w:val="CETBodytext"/>
              <w:ind w:right="-1"/>
              <w:rPr>
                <w:rFonts w:cs="Arial"/>
                <w:color w:val="000000"/>
                <w:szCs w:val="18"/>
              </w:rPr>
            </w:pPr>
            <w:r w:rsidRPr="00940CCF">
              <w:rPr>
                <w:rFonts w:cs="Arial"/>
                <w:szCs w:val="18"/>
              </w:rPr>
              <w:t>0.50</w:t>
            </w:r>
          </w:p>
        </w:tc>
        <w:tc>
          <w:tcPr>
            <w:tcW w:w="1559" w:type="dxa"/>
            <w:shd w:val="clear" w:color="auto" w:fill="FFFFFF"/>
            <w:vAlign w:val="center"/>
          </w:tcPr>
          <w:p w14:paraId="18EF4DF6" w14:textId="77777777" w:rsidR="004F0F55" w:rsidRPr="00940CCF" w:rsidRDefault="004F0F55" w:rsidP="00385202">
            <w:pPr>
              <w:pStyle w:val="CETBodytext"/>
              <w:ind w:right="-1"/>
              <w:rPr>
                <w:rFonts w:cs="Arial"/>
                <w:color w:val="000000"/>
                <w:szCs w:val="18"/>
              </w:rPr>
            </w:pPr>
            <w:r w:rsidRPr="00940CCF">
              <w:rPr>
                <w:rFonts w:cs="Arial"/>
                <w:szCs w:val="18"/>
              </w:rPr>
              <w:t>0.35</w:t>
            </w:r>
          </w:p>
        </w:tc>
        <w:tc>
          <w:tcPr>
            <w:tcW w:w="1418" w:type="dxa"/>
            <w:shd w:val="clear" w:color="auto" w:fill="FFFFFF"/>
            <w:vAlign w:val="center"/>
          </w:tcPr>
          <w:p w14:paraId="2F8EA664" w14:textId="2269F5A5" w:rsidR="004F0F55" w:rsidRPr="00940CCF" w:rsidRDefault="004F0F55" w:rsidP="00385202">
            <w:pPr>
              <w:pStyle w:val="CETBodytext"/>
              <w:ind w:right="-1"/>
              <w:rPr>
                <w:rFonts w:cs="Arial"/>
                <w:szCs w:val="18"/>
              </w:rPr>
            </w:pPr>
            <w:r w:rsidRPr="00940CCF">
              <w:t>43</w:t>
            </w:r>
          </w:p>
        </w:tc>
      </w:tr>
      <w:tr w:rsidR="004F0F55" w:rsidRPr="00940CCF" w14:paraId="777F7FD3" w14:textId="77777777" w:rsidTr="004F0F55">
        <w:tc>
          <w:tcPr>
            <w:tcW w:w="851" w:type="dxa"/>
            <w:shd w:val="clear" w:color="auto" w:fill="FFFFFF"/>
            <w:vAlign w:val="center"/>
          </w:tcPr>
          <w:p w14:paraId="1776D7D0" w14:textId="77777777" w:rsidR="004F0F55" w:rsidRPr="00940CCF" w:rsidRDefault="004F0F55" w:rsidP="00385202">
            <w:pPr>
              <w:pStyle w:val="CETBodytext"/>
              <w:ind w:right="-1"/>
              <w:rPr>
                <w:rFonts w:cs="Arial"/>
                <w:color w:val="000000"/>
                <w:szCs w:val="18"/>
              </w:rPr>
            </w:pPr>
            <w:r w:rsidRPr="00940CCF">
              <w:rPr>
                <w:rFonts w:cs="Arial"/>
                <w:szCs w:val="18"/>
              </w:rPr>
              <w:t>R_10</w:t>
            </w:r>
          </w:p>
        </w:tc>
        <w:tc>
          <w:tcPr>
            <w:tcW w:w="1417" w:type="dxa"/>
            <w:shd w:val="clear" w:color="auto" w:fill="FFFFFF"/>
            <w:vAlign w:val="center"/>
          </w:tcPr>
          <w:p w14:paraId="45420A13" w14:textId="77777777" w:rsidR="004F0F55" w:rsidRPr="00940CCF" w:rsidRDefault="004F0F55" w:rsidP="00385202">
            <w:pPr>
              <w:pStyle w:val="CETBodytext"/>
              <w:ind w:right="-1"/>
              <w:rPr>
                <w:rFonts w:cs="Arial"/>
                <w:color w:val="000000"/>
                <w:szCs w:val="18"/>
              </w:rPr>
            </w:pPr>
            <w:r w:rsidRPr="00940CCF">
              <w:rPr>
                <w:rFonts w:cs="Arial"/>
                <w:szCs w:val="18"/>
              </w:rPr>
              <w:t>Village</w:t>
            </w:r>
          </w:p>
        </w:tc>
        <w:tc>
          <w:tcPr>
            <w:tcW w:w="1276" w:type="dxa"/>
            <w:shd w:val="clear" w:color="auto" w:fill="FFFFFF"/>
            <w:vAlign w:val="center"/>
          </w:tcPr>
          <w:p w14:paraId="2BAC794A" w14:textId="30C41445" w:rsidR="004F0F55" w:rsidRPr="00940CCF" w:rsidRDefault="00840000" w:rsidP="00385202">
            <w:pPr>
              <w:pStyle w:val="CETBodytext"/>
              <w:ind w:right="-1"/>
              <w:rPr>
                <w:rFonts w:cs="Arial"/>
                <w:szCs w:val="18"/>
              </w:rPr>
            </w:pPr>
            <w:r>
              <w:rPr>
                <w:rFonts w:cs="Arial"/>
                <w:szCs w:val="18"/>
              </w:rPr>
              <w:t>1.5</w:t>
            </w:r>
          </w:p>
        </w:tc>
        <w:tc>
          <w:tcPr>
            <w:tcW w:w="1276" w:type="dxa"/>
            <w:shd w:val="clear" w:color="auto" w:fill="FFFFFF"/>
            <w:vAlign w:val="center"/>
          </w:tcPr>
          <w:p w14:paraId="118947A2" w14:textId="3D3EC230" w:rsidR="004F0F55" w:rsidRPr="00940CCF" w:rsidRDefault="004F0F55" w:rsidP="00385202">
            <w:pPr>
              <w:pStyle w:val="CETBodytext"/>
              <w:ind w:right="-1"/>
              <w:rPr>
                <w:rFonts w:cs="Arial"/>
                <w:color w:val="000000"/>
                <w:szCs w:val="18"/>
              </w:rPr>
            </w:pPr>
            <w:r w:rsidRPr="00940CCF">
              <w:rPr>
                <w:rFonts w:cs="Arial"/>
                <w:szCs w:val="18"/>
              </w:rPr>
              <w:t>0.73</w:t>
            </w:r>
          </w:p>
        </w:tc>
        <w:tc>
          <w:tcPr>
            <w:tcW w:w="1559" w:type="dxa"/>
            <w:shd w:val="clear" w:color="auto" w:fill="FFFFFF"/>
            <w:vAlign w:val="center"/>
          </w:tcPr>
          <w:p w14:paraId="5A8DC553" w14:textId="77777777" w:rsidR="004F0F55" w:rsidRPr="00940CCF" w:rsidRDefault="004F0F55" w:rsidP="00385202">
            <w:pPr>
              <w:pStyle w:val="CETBodytext"/>
              <w:ind w:right="-1"/>
              <w:rPr>
                <w:rFonts w:cs="Arial"/>
                <w:color w:val="000000"/>
                <w:szCs w:val="18"/>
              </w:rPr>
            </w:pPr>
            <w:r w:rsidRPr="00940CCF">
              <w:rPr>
                <w:rFonts w:cs="Arial"/>
                <w:szCs w:val="18"/>
              </w:rPr>
              <w:t>0.42</w:t>
            </w:r>
          </w:p>
        </w:tc>
        <w:tc>
          <w:tcPr>
            <w:tcW w:w="1418" w:type="dxa"/>
            <w:shd w:val="clear" w:color="auto" w:fill="FFFFFF"/>
            <w:vAlign w:val="center"/>
          </w:tcPr>
          <w:p w14:paraId="0BD7F931" w14:textId="107A0A99" w:rsidR="004F0F55" w:rsidRPr="00940CCF" w:rsidRDefault="004F0F55" w:rsidP="00385202">
            <w:pPr>
              <w:pStyle w:val="CETBodytext"/>
              <w:ind w:right="-1"/>
              <w:rPr>
                <w:rFonts w:cs="Arial"/>
                <w:szCs w:val="18"/>
              </w:rPr>
            </w:pPr>
            <w:r w:rsidRPr="00940CCF">
              <w:t>74</w:t>
            </w:r>
          </w:p>
        </w:tc>
      </w:tr>
      <w:tr w:rsidR="004F0F55" w:rsidRPr="00940CCF" w14:paraId="49330E74" w14:textId="77777777" w:rsidTr="004F0F55">
        <w:tc>
          <w:tcPr>
            <w:tcW w:w="851" w:type="dxa"/>
            <w:shd w:val="clear" w:color="auto" w:fill="FFFFFF"/>
            <w:vAlign w:val="center"/>
          </w:tcPr>
          <w:p w14:paraId="7157B63D" w14:textId="77777777" w:rsidR="004F0F55" w:rsidRPr="00940CCF" w:rsidRDefault="004F0F55" w:rsidP="00385202">
            <w:pPr>
              <w:pStyle w:val="CETBodytext"/>
              <w:ind w:right="-1"/>
              <w:rPr>
                <w:rFonts w:cs="Arial"/>
                <w:color w:val="000000"/>
                <w:szCs w:val="18"/>
              </w:rPr>
            </w:pPr>
            <w:r w:rsidRPr="00940CCF">
              <w:rPr>
                <w:rFonts w:cs="Arial"/>
                <w:szCs w:val="18"/>
              </w:rPr>
              <w:t>R_11</w:t>
            </w:r>
          </w:p>
        </w:tc>
        <w:tc>
          <w:tcPr>
            <w:tcW w:w="1417" w:type="dxa"/>
            <w:shd w:val="clear" w:color="auto" w:fill="FFFFFF"/>
            <w:vAlign w:val="center"/>
          </w:tcPr>
          <w:p w14:paraId="4CF73447" w14:textId="77777777" w:rsidR="004F0F55" w:rsidRPr="00940CCF" w:rsidRDefault="004F0F55" w:rsidP="00385202">
            <w:pPr>
              <w:pStyle w:val="CETBodytext"/>
              <w:ind w:right="-1"/>
              <w:rPr>
                <w:rFonts w:cs="Arial"/>
                <w:color w:val="000000"/>
                <w:szCs w:val="18"/>
              </w:rPr>
            </w:pPr>
            <w:r w:rsidRPr="00940CCF">
              <w:rPr>
                <w:rFonts w:cs="Arial"/>
                <w:szCs w:val="18"/>
              </w:rPr>
              <w:t>Hospital</w:t>
            </w:r>
          </w:p>
        </w:tc>
        <w:tc>
          <w:tcPr>
            <w:tcW w:w="1276" w:type="dxa"/>
            <w:shd w:val="clear" w:color="auto" w:fill="FFFFFF"/>
            <w:vAlign w:val="center"/>
          </w:tcPr>
          <w:p w14:paraId="65A56E1D" w14:textId="58FCF2FD" w:rsidR="004F0F55" w:rsidRPr="00940CCF" w:rsidRDefault="00840000" w:rsidP="00385202">
            <w:pPr>
              <w:pStyle w:val="CETBodytext"/>
              <w:ind w:right="-1"/>
              <w:rPr>
                <w:rFonts w:cs="Arial"/>
                <w:szCs w:val="18"/>
              </w:rPr>
            </w:pPr>
            <w:r>
              <w:rPr>
                <w:rFonts w:cs="Arial"/>
                <w:szCs w:val="18"/>
              </w:rPr>
              <w:t>2.2</w:t>
            </w:r>
          </w:p>
        </w:tc>
        <w:tc>
          <w:tcPr>
            <w:tcW w:w="1276" w:type="dxa"/>
            <w:shd w:val="clear" w:color="auto" w:fill="FFFFFF"/>
            <w:vAlign w:val="center"/>
          </w:tcPr>
          <w:p w14:paraId="429D53D8" w14:textId="12B5DB29" w:rsidR="004F0F55" w:rsidRPr="00940CCF" w:rsidRDefault="004F0F55" w:rsidP="00385202">
            <w:pPr>
              <w:pStyle w:val="CETBodytext"/>
              <w:ind w:right="-1"/>
              <w:rPr>
                <w:rFonts w:cs="Arial"/>
                <w:color w:val="000000"/>
                <w:szCs w:val="18"/>
              </w:rPr>
            </w:pPr>
            <w:r w:rsidRPr="00940CCF">
              <w:rPr>
                <w:rFonts w:cs="Arial"/>
                <w:szCs w:val="18"/>
              </w:rPr>
              <w:t>0.27</w:t>
            </w:r>
          </w:p>
        </w:tc>
        <w:tc>
          <w:tcPr>
            <w:tcW w:w="1559" w:type="dxa"/>
            <w:shd w:val="clear" w:color="auto" w:fill="FFFFFF"/>
            <w:vAlign w:val="center"/>
          </w:tcPr>
          <w:p w14:paraId="28A66D52" w14:textId="77777777" w:rsidR="004F0F55" w:rsidRPr="00940CCF" w:rsidRDefault="004F0F55" w:rsidP="00385202">
            <w:pPr>
              <w:pStyle w:val="CETBodytext"/>
              <w:ind w:right="-1"/>
              <w:rPr>
                <w:rFonts w:cs="Arial"/>
                <w:color w:val="000000"/>
                <w:szCs w:val="18"/>
              </w:rPr>
            </w:pPr>
            <w:r w:rsidRPr="00940CCF">
              <w:rPr>
                <w:rFonts w:cs="Arial"/>
                <w:szCs w:val="18"/>
              </w:rPr>
              <w:t>0.14</w:t>
            </w:r>
          </w:p>
        </w:tc>
        <w:tc>
          <w:tcPr>
            <w:tcW w:w="1418" w:type="dxa"/>
            <w:shd w:val="clear" w:color="auto" w:fill="FFFFFF"/>
            <w:vAlign w:val="center"/>
          </w:tcPr>
          <w:p w14:paraId="13BCB331" w14:textId="405F6504" w:rsidR="004F0F55" w:rsidRPr="00940CCF" w:rsidRDefault="004F0F55" w:rsidP="00385202">
            <w:pPr>
              <w:pStyle w:val="CETBodytext"/>
              <w:ind w:right="-1"/>
              <w:rPr>
                <w:rFonts w:cs="Arial"/>
                <w:szCs w:val="18"/>
              </w:rPr>
            </w:pPr>
            <w:r w:rsidRPr="00940CCF">
              <w:t>93</w:t>
            </w:r>
          </w:p>
        </w:tc>
      </w:tr>
    </w:tbl>
    <w:p w14:paraId="3D2A83B3" w14:textId="7ADFEB2C" w:rsidR="0087420D" w:rsidRPr="00940CCF" w:rsidRDefault="0087420D" w:rsidP="006907AF">
      <w:pPr>
        <w:pStyle w:val="CETBodytext"/>
        <w:rPr>
          <w:lang w:val="en-GB"/>
        </w:rPr>
      </w:pPr>
    </w:p>
    <w:p w14:paraId="31372540" w14:textId="482299E6" w:rsidR="0095413D" w:rsidRPr="00940CCF" w:rsidRDefault="00940CCF" w:rsidP="00940CCF">
      <w:pPr>
        <w:pStyle w:val="CETBodytext"/>
        <w:rPr>
          <w:lang w:val="en-GB"/>
        </w:rPr>
      </w:pPr>
      <w:r w:rsidRPr="00940CCF">
        <w:rPr>
          <w:lang w:val="en-GB"/>
        </w:rPr>
        <w:t xml:space="preserve">As expected, the </w:t>
      </w:r>
      <w:r w:rsidR="007B0ED1">
        <w:rPr>
          <w:lang w:val="en-GB"/>
        </w:rPr>
        <w:t xml:space="preserve">continuous emission </w:t>
      </w:r>
      <w:r w:rsidRPr="00940CCF">
        <w:rPr>
          <w:lang w:val="en-GB"/>
        </w:rPr>
        <w:t xml:space="preserve">scenario results in substantially higher impacts compared to the </w:t>
      </w:r>
      <w:r w:rsidR="0012406F">
        <w:rPr>
          <w:lang w:val="en-GB"/>
        </w:rPr>
        <w:t>time-resolved</w:t>
      </w:r>
      <w:r w:rsidRPr="00940CCF">
        <w:rPr>
          <w:lang w:val="en-GB"/>
        </w:rPr>
        <w:t xml:space="preserve"> scenario. This difference is evident not only in the concentration levels at the receptors, but also in the much broader spatial extent of the affected area, as clearly illustrated by the impact maps.</w:t>
      </w:r>
    </w:p>
    <w:p w14:paraId="0F64965E" w14:textId="5EFA7793" w:rsidR="00940CCF" w:rsidRPr="00940CCF" w:rsidRDefault="00940CCF" w:rsidP="00940CCF">
      <w:pPr>
        <w:pStyle w:val="CETBodytext"/>
        <w:rPr>
          <w:lang w:val="en-GB"/>
        </w:rPr>
      </w:pPr>
      <w:r w:rsidRPr="00940CCF">
        <w:rPr>
          <w:lang w:val="en-GB"/>
        </w:rPr>
        <w:t xml:space="preserve">Notably, the divergence between the two scenarios becomes more pronounced with increasing distance from the source, where the continuous emission assumption produces a wider and more persistent impact. The average increase across all receptors between the </w:t>
      </w:r>
      <w:r w:rsidR="00885493">
        <w:rPr>
          <w:lang w:val="en-GB"/>
        </w:rPr>
        <w:t>continuous</w:t>
      </w:r>
      <w:r w:rsidRPr="00940CCF">
        <w:rPr>
          <w:lang w:val="en-GB"/>
        </w:rPr>
        <w:t xml:space="preserve"> and time-resolved scenarios is approximately 10</w:t>
      </w:r>
      <w:r w:rsidR="007B0ED1">
        <w:rPr>
          <w:lang w:val="en-GB"/>
        </w:rPr>
        <w:t>0</w:t>
      </w:r>
      <w:r w:rsidRPr="00940CCF">
        <w:rPr>
          <w:lang w:val="en-GB"/>
        </w:rPr>
        <w:t>%, with the largest differences observed at receptors located</w:t>
      </w:r>
      <w:r w:rsidR="00B61554">
        <w:rPr>
          <w:lang w:val="en-GB"/>
        </w:rPr>
        <w:t xml:space="preserve"> downwind and</w:t>
      </w:r>
      <w:r w:rsidRPr="00940CCF">
        <w:rPr>
          <w:lang w:val="en-GB"/>
        </w:rPr>
        <w:t xml:space="preserve"> farther from the source.</w:t>
      </w:r>
    </w:p>
    <w:p w14:paraId="310B2893" w14:textId="61B60263" w:rsidR="007A2BD4" w:rsidRPr="00940CCF" w:rsidRDefault="00940CCF" w:rsidP="00940CCF">
      <w:pPr>
        <w:pStyle w:val="CETBodytext"/>
        <w:rPr>
          <w:lang w:val="en-GB"/>
        </w:rPr>
      </w:pPr>
      <w:r w:rsidRPr="00940CCF">
        <w:rPr>
          <w:lang w:val="en-GB"/>
        </w:rPr>
        <w:t>These findings underscore how</w:t>
      </w:r>
      <w:r w:rsidR="00885493">
        <w:rPr>
          <w:lang w:val="en-GB"/>
        </w:rPr>
        <w:t xml:space="preserve"> steady-state and low temporal resolution</w:t>
      </w:r>
      <w:r w:rsidRPr="00940CCF">
        <w:rPr>
          <w:lang w:val="en-GB"/>
        </w:rPr>
        <w:t xml:space="preserve"> modelling approaches may not always provide a fully representative picture of actual conditions.</w:t>
      </w:r>
      <w:r>
        <w:rPr>
          <w:lang w:val="en-GB"/>
        </w:rPr>
        <w:t xml:space="preserve"> </w:t>
      </w:r>
      <w:r w:rsidR="007A2BD4" w:rsidRPr="00940CCF">
        <w:rPr>
          <w:lang w:val="en-GB"/>
        </w:rPr>
        <w:t xml:space="preserve">Several factors contribute to the higher impacts observed in the continuous scenario. First, emissions occurring during night time are subject to reduced atmospheric dispersion due to stable conditions and limited mixing. </w:t>
      </w:r>
      <w:r w:rsidR="003D0643" w:rsidRPr="003D0643">
        <w:rPr>
          <w:lang w:val="en-GB"/>
        </w:rPr>
        <w:t>While vertical mixing is suppressed, horizontal transport still occur, allowing pollutants to remain concentrated within the lower layers and be carried over longer distances, potentially affecting receptors far from the source</w:t>
      </w:r>
      <w:r w:rsidR="007A2BD4" w:rsidRPr="00940CCF">
        <w:rPr>
          <w:lang w:val="en-GB"/>
        </w:rPr>
        <w:t xml:space="preserve">. In contrast, the </w:t>
      </w:r>
      <w:r w:rsidR="007B0ED1">
        <w:rPr>
          <w:lang w:val="en-GB"/>
        </w:rPr>
        <w:t>refined</w:t>
      </w:r>
      <w:r w:rsidR="007A2BD4" w:rsidRPr="00940CCF">
        <w:rPr>
          <w:lang w:val="en-GB"/>
        </w:rPr>
        <w:t xml:space="preserve"> scenario is restricted to daytime hours, when enhanced solar radiation promotes atmospheric instability and vertical mixing, favouring dilution and reducing long-range impacts, even in the presence of short-term emission peaks.</w:t>
      </w:r>
    </w:p>
    <w:p w14:paraId="00429901" w14:textId="77777777" w:rsidR="004F0F55" w:rsidRDefault="007A2BD4" w:rsidP="0012406F">
      <w:pPr>
        <w:pStyle w:val="CETBodytext"/>
        <w:rPr>
          <w:lang w:val="en-GB"/>
        </w:rPr>
      </w:pPr>
      <w:r w:rsidRPr="00940CCF">
        <w:rPr>
          <w:lang w:val="en-GB"/>
        </w:rPr>
        <w:t>Second, the continuous scenario leads to a much larger total odour mass emitted. Running 24 hours instead of eight</w:t>
      </w:r>
      <w:r w:rsidR="00BA4110">
        <w:rPr>
          <w:lang w:val="en-GB"/>
        </w:rPr>
        <w:t xml:space="preserve"> (</w:t>
      </w:r>
      <w:r w:rsidR="00BA4110" w:rsidRPr="00940CCF">
        <w:rPr>
          <w:bCs/>
          <w:szCs w:val="18"/>
          <w:lang w:val="en-GB"/>
        </w:rPr>
        <w:t>07:00 and 15:00</w:t>
      </w:r>
      <w:r w:rsidR="00BA4110">
        <w:rPr>
          <w:lang w:val="en-GB"/>
        </w:rPr>
        <w:t>)</w:t>
      </w:r>
      <w:r w:rsidRPr="00940CCF">
        <w:rPr>
          <w:lang w:val="en-GB"/>
        </w:rPr>
        <w:t xml:space="preserve"> produces a higher cumulative load, raising the risk of exceeding odour thresholds at receptors. Moreover, in the time-resolved scenario, stack C1 operate</w:t>
      </w:r>
      <w:r w:rsidR="00BC5EE7">
        <w:rPr>
          <w:lang w:val="en-GB"/>
        </w:rPr>
        <w:t>s</w:t>
      </w:r>
      <w:r w:rsidRPr="00940CCF">
        <w:rPr>
          <w:lang w:val="en-GB"/>
        </w:rPr>
        <w:t xml:space="preserve"> </w:t>
      </w:r>
      <w:r w:rsidR="00BC5EE7" w:rsidRPr="00BC5EE7">
        <w:rPr>
          <w:lang w:val="en-GB"/>
        </w:rPr>
        <w:t>for only 80% of the working time, more accurately reflecting real operating conditions, including intermittent shutdowns, malfunctions, and maintenance activities</w:t>
      </w:r>
      <w:r w:rsidRPr="00940CCF">
        <w:rPr>
          <w:lang w:val="en-GB"/>
        </w:rPr>
        <w:t xml:space="preserve">. </w:t>
      </w:r>
    </w:p>
    <w:p w14:paraId="3BDC7C84" w14:textId="379C6C2D" w:rsidR="00EA7D73" w:rsidRPr="00940CCF" w:rsidRDefault="009A7600" w:rsidP="0012406F">
      <w:pPr>
        <w:pStyle w:val="CETBodytext"/>
        <w:rPr>
          <w:lang w:val="en-GB"/>
        </w:rPr>
      </w:pPr>
      <w:r w:rsidRPr="009A7600">
        <w:rPr>
          <w:lang w:val="en-GB"/>
        </w:rPr>
        <w:lastRenderedPageBreak/>
        <w:t>It is worth noting that, although the time-resolved scenario exhibits higher emission rates during the one-hour peak period</w:t>
      </w:r>
      <w:r w:rsidR="004F0F55">
        <w:rPr>
          <w:lang w:val="en-GB"/>
        </w:rPr>
        <w:t xml:space="preserve"> (during truck loading)</w:t>
      </w:r>
      <w:r w:rsidRPr="009A7600">
        <w:rPr>
          <w:lang w:val="en-GB"/>
        </w:rPr>
        <w:t>, it results in lower overall odour impacts. This is because the peak is limited to a single hour per day and is not fixed at a specific time; instead, it is randomly distributed over the working hours. As a result, the peak does not systematically coincide with unfavourable dispersion conditions, reducing the likelihood of worst-case impacts</w:t>
      </w:r>
      <w:r w:rsidR="007A2BD4" w:rsidRPr="00940CCF">
        <w:rPr>
          <w:lang w:val="en-GB"/>
        </w:rPr>
        <w:t>.</w:t>
      </w:r>
    </w:p>
    <w:p w14:paraId="6713E779" w14:textId="264236C3" w:rsidR="007B2B28" w:rsidRPr="00940CCF" w:rsidRDefault="007F76C8" w:rsidP="0012406F">
      <w:pPr>
        <w:pStyle w:val="CETHeading1"/>
        <w:jc w:val="both"/>
      </w:pPr>
      <w:r w:rsidRPr="00940CCF">
        <w:t>Conclusions</w:t>
      </w:r>
    </w:p>
    <w:p w14:paraId="37526F21" w14:textId="36AF40A9" w:rsidR="00D3115D" w:rsidRPr="00940CCF" w:rsidRDefault="00D3115D" w:rsidP="0012406F">
      <w:pPr>
        <w:pStyle w:val="CETBodytext"/>
        <w:rPr>
          <w:lang w:val="en-GB"/>
        </w:rPr>
      </w:pPr>
      <w:r w:rsidRPr="00940CCF">
        <w:rPr>
          <w:lang w:val="en-GB"/>
        </w:rPr>
        <w:t xml:space="preserve">The CALPUFF model was used to evaluate odour impacts from a bituminous conglomerate plant under two emission scenarios: </w:t>
      </w:r>
      <w:r w:rsidR="00885493">
        <w:rPr>
          <w:lang w:val="en-GB"/>
        </w:rPr>
        <w:t>continuous</w:t>
      </w:r>
      <w:r w:rsidRPr="00940CCF">
        <w:rPr>
          <w:lang w:val="en-GB"/>
        </w:rPr>
        <w:t xml:space="preserve"> (24/7, </w:t>
      </w:r>
      <w:r w:rsidR="00196A85" w:rsidRPr="00940CCF">
        <w:rPr>
          <w:lang w:val="en-GB"/>
        </w:rPr>
        <w:t>contin</w:t>
      </w:r>
      <w:r w:rsidR="00BC22C9">
        <w:rPr>
          <w:lang w:val="en-GB"/>
        </w:rPr>
        <w:t>u</w:t>
      </w:r>
      <w:r w:rsidR="00196A85" w:rsidRPr="00940CCF">
        <w:rPr>
          <w:lang w:val="en-GB"/>
        </w:rPr>
        <w:t>ous</w:t>
      </w:r>
      <w:r w:rsidRPr="00940CCF">
        <w:rPr>
          <w:lang w:val="en-GB"/>
        </w:rPr>
        <w:t xml:space="preserve">) and a </w:t>
      </w:r>
      <w:r w:rsidR="00196A85" w:rsidRPr="00940CCF">
        <w:rPr>
          <w:lang w:val="en-GB"/>
        </w:rPr>
        <w:t xml:space="preserve">more </w:t>
      </w:r>
      <w:r w:rsidRPr="00940CCF">
        <w:rPr>
          <w:lang w:val="en-GB"/>
        </w:rPr>
        <w:t xml:space="preserve">realistic time-resolved regime. The continuous scenario resulted in higher </w:t>
      </w:r>
      <w:r w:rsidR="009A7600">
        <w:rPr>
          <w:lang w:val="en-GB"/>
        </w:rPr>
        <w:t xml:space="preserve">ground-level </w:t>
      </w:r>
      <w:r w:rsidRPr="00940CCF">
        <w:rPr>
          <w:lang w:val="en-GB"/>
        </w:rPr>
        <w:t xml:space="preserve">odour concentrations and a </w:t>
      </w:r>
      <w:r w:rsidR="00592CB3">
        <w:rPr>
          <w:lang w:val="en-GB"/>
        </w:rPr>
        <w:t>broader</w:t>
      </w:r>
      <w:r w:rsidRPr="00940CCF">
        <w:rPr>
          <w:lang w:val="en-GB"/>
        </w:rPr>
        <w:t xml:space="preserve"> </w:t>
      </w:r>
      <w:r w:rsidR="00592CB3">
        <w:t xml:space="preserve">impacted </w:t>
      </w:r>
      <w:r w:rsidRPr="00940CCF">
        <w:rPr>
          <w:lang w:val="en-GB"/>
        </w:rPr>
        <w:t>area,</w:t>
      </w:r>
      <w:r w:rsidR="00592CB3">
        <w:rPr>
          <w:lang w:val="en-GB"/>
        </w:rPr>
        <w:t xml:space="preserve"> </w:t>
      </w:r>
      <w:r w:rsidR="00592CB3" w:rsidRPr="00592CB3">
        <w:rPr>
          <w:lang w:val="en-GB"/>
        </w:rPr>
        <w:t>with differences between the two scenarios becoming more pronounced with increasing distance from the source. This behaviour is mainly attributable to the persistence of emissions during stable night-time conditions,</w:t>
      </w:r>
      <w:r w:rsidR="00592CB3">
        <w:rPr>
          <w:lang w:val="en-GB"/>
        </w:rPr>
        <w:t xml:space="preserve"> </w:t>
      </w:r>
      <w:r w:rsidRPr="00940CCF">
        <w:rPr>
          <w:lang w:val="en-GB"/>
        </w:rPr>
        <w:t xml:space="preserve">when limited vertical mixing enhances pollutant </w:t>
      </w:r>
      <w:r w:rsidR="00592CB3">
        <w:rPr>
          <w:lang w:val="en-GB"/>
        </w:rPr>
        <w:t>accumulation</w:t>
      </w:r>
      <w:r w:rsidRPr="00940CCF">
        <w:rPr>
          <w:lang w:val="en-GB"/>
        </w:rPr>
        <w:t xml:space="preserve"> and long-range transport. </w:t>
      </w:r>
      <w:r w:rsidR="00592CB3" w:rsidRPr="00592CB3">
        <w:rPr>
          <w:lang w:val="en-GB"/>
        </w:rPr>
        <w:t>In addition, the simultaneous operation of all sources increases the likelihood of unfavourable dispersion conditions.</w:t>
      </w:r>
      <w:r w:rsidRPr="00940CCF">
        <w:rPr>
          <w:lang w:val="en-GB"/>
        </w:rPr>
        <w:t xml:space="preserve"> In contrast, the </w:t>
      </w:r>
      <w:r w:rsidR="00196A85" w:rsidRPr="00940CCF">
        <w:rPr>
          <w:lang w:val="en-GB"/>
        </w:rPr>
        <w:t>time-resolved</w:t>
      </w:r>
      <w:r w:rsidRPr="00940CCF">
        <w:rPr>
          <w:lang w:val="en-GB"/>
        </w:rPr>
        <w:t xml:space="preserve"> scenario benefits from daytime operation and emission-free periods, promoting dilution and reducing overall impact. </w:t>
      </w:r>
      <w:r w:rsidR="00592CB3" w:rsidRPr="00592CB3">
        <w:rPr>
          <w:lang w:val="en-GB"/>
        </w:rPr>
        <w:t>Although higher emission rates occur during a stochastic peak, its influence remains limited due to its short duration (one hour per day) and random temporal occurrence, which reduces the probability of coinciding with unfavourable meteorological conditions</w:t>
      </w:r>
      <w:r w:rsidRPr="00940CCF">
        <w:rPr>
          <w:lang w:val="en-GB"/>
        </w:rPr>
        <w:t>. Overall</w:t>
      </w:r>
      <w:r w:rsidR="00C471B3" w:rsidRPr="00940CCF">
        <w:rPr>
          <w:lang w:val="en-GB"/>
        </w:rPr>
        <w:t>,</w:t>
      </w:r>
      <w:r w:rsidRPr="00940CCF">
        <w:rPr>
          <w:lang w:val="en-GB"/>
        </w:rPr>
        <w:t xml:space="preserve"> while continuous scenarios provide a conservative upper bound, they may overestimate actual impacts. Incorporating realistic operational schedules is therefore essential for more accurate assessments and effective mitigation planning.</w:t>
      </w:r>
    </w:p>
    <w:p w14:paraId="0483E2EB" w14:textId="55E9332D" w:rsidR="000013CE" w:rsidRPr="00940CCF" w:rsidRDefault="000013CE" w:rsidP="00CA2E90">
      <w:pPr>
        <w:pStyle w:val="CETHeading1"/>
        <w:numPr>
          <w:ilvl w:val="0"/>
          <w:numId w:val="0"/>
        </w:numPr>
      </w:pPr>
      <w:r w:rsidRPr="00940CCF">
        <w:rPr>
          <w:lang w:val="it-IT"/>
        </w:rPr>
        <w:t>Re</w:t>
      </w:r>
      <w:r w:rsidR="00C471B3" w:rsidRPr="00940CCF">
        <w:rPr>
          <w:lang w:val="it-IT"/>
        </w:rPr>
        <w:t>f</w:t>
      </w:r>
      <w:r w:rsidRPr="00940CCF">
        <w:rPr>
          <w:lang w:val="it-IT"/>
        </w:rPr>
        <w:t>erences</w:t>
      </w:r>
    </w:p>
    <w:p w14:paraId="18A65480" w14:textId="03F21501" w:rsidR="000013CE" w:rsidRPr="00940CCF" w:rsidRDefault="000013CE" w:rsidP="000013CE">
      <w:pPr>
        <w:pStyle w:val="Bibliografia"/>
        <w:rPr>
          <w:noProof/>
          <w:sz w:val="24"/>
          <w:szCs w:val="24"/>
        </w:rPr>
      </w:pPr>
      <w:r w:rsidRPr="00940CCF">
        <w:fldChar w:fldCharType="begin"/>
      </w:r>
      <w:r w:rsidRPr="00940CCF">
        <w:instrText>BIBLIOGRAPHY</w:instrText>
      </w:r>
      <w:r w:rsidRPr="00940CCF">
        <w:fldChar w:fldCharType="separate"/>
      </w:r>
      <w:r w:rsidRPr="00940CCF">
        <w:rPr>
          <w:noProof/>
        </w:rPr>
        <w:t>Brancher M.,  De Melo Lisboa H.</w:t>
      </w:r>
      <w:r w:rsidR="00640130">
        <w:rPr>
          <w:noProof/>
        </w:rPr>
        <w:t>,</w:t>
      </w:r>
      <w:r w:rsidRPr="00940CCF">
        <w:rPr>
          <w:noProof/>
        </w:rPr>
        <w:t xml:space="preserve"> 2014</w:t>
      </w:r>
      <w:r w:rsidR="00640130">
        <w:rPr>
          <w:noProof/>
        </w:rPr>
        <w:t>,</w:t>
      </w:r>
      <w:r w:rsidRPr="00940CCF">
        <w:rPr>
          <w:noProof/>
        </w:rPr>
        <w:t xml:space="preserve"> Odour impact assessment by community survey</w:t>
      </w:r>
      <w:r w:rsidR="00410E19" w:rsidRPr="00940CCF">
        <w:rPr>
          <w:noProof/>
        </w:rPr>
        <w:t>, Chemical engineering transactions, 40, 1-6</w:t>
      </w:r>
    </w:p>
    <w:p w14:paraId="4004659A" w14:textId="5395A64C" w:rsidR="000013CE" w:rsidRPr="00940CCF" w:rsidRDefault="000013CE" w:rsidP="000013CE">
      <w:pPr>
        <w:pStyle w:val="Bibliografia"/>
        <w:rPr>
          <w:noProof/>
        </w:rPr>
      </w:pPr>
      <w:r w:rsidRPr="00940CCF">
        <w:rPr>
          <w:noProof/>
        </w:rPr>
        <w:t>Brancher M., Hoinaski L., Piringer M., Prata A.,  Schauberger G.</w:t>
      </w:r>
      <w:r w:rsidR="00640130">
        <w:rPr>
          <w:noProof/>
        </w:rPr>
        <w:t>,</w:t>
      </w:r>
      <w:r w:rsidRPr="00940CCF">
        <w:rPr>
          <w:noProof/>
        </w:rPr>
        <w:t xml:space="preserve"> 2021</w:t>
      </w:r>
      <w:r w:rsidR="00640130">
        <w:rPr>
          <w:noProof/>
        </w:rPr>
        <w:t>,</w:t>
      </w:r>
      <w:r w:rsidRPr="00940CCF">
        <w:rPr>
          <w:noProof/>
        </w:rPr>
        <w:t xml:space="preserve"> Dispersion modelling of environmental odours using hourly-resolved emission scenarios: Implications for impact assessments.</w:t>
      </w:r>
      <w:r w:rsidR="006957BD" w:rsidRPr="00940CCF">
        <w:rPr>
          <w:noProof/>
        </w:rPr>
        <w:t>, Atmospheric environment: X, 12, 1-13</w:t>
      </w:r>
      <w:r w:rsidR="00C471B3" w:rsidRPr="00940CCF">
        <w:rPr>
          <w:noProof/>
        </w:rPr>
        <w:t>.</w:t>
      </w:r>
    </w:p>
    <w:p w14:paraId="20BAD5A3" w14:textId="77777777" w:rsidR="00BD04C0" w:rsidRPr="00940CCF" w:rsidRDefault="00BD04C0" w:rsidP="00BD04C0">
      <w:pPr>
        <w:pStyle w:val="Bibliografia"/>
        <w:rPr>
          <w:noProof/>
        </w:rPr>
      </w:pPr>
      <w:r>
        <w:rPr>
          <w:noProof/>
        </w:rPr>
        <w:t xml:space="preserve">CEN, </w:t>
      </w:r>
      <w:r w:rsidRPr="00940CCF">
        <w:rPr>
          <w:noProof/>
        </w:rPr>
        <w:t>EN 13725:2022, Stationary source emissions - Determination of odour concentration by dynamic olfactometry and odour emission rate</w:t>
      </w:r>
      <w:r>
        <w:rPr>
          <w:noProof/>
        </w:rPr>
        <w:t>,</w:t>
      </w:r>
      <w:r w:rsidRPr="00940CCF">
        <w:rPr>
          <w:noProof/>
        </w:rPr>
        <w:t xml:space="preserve"> 2022.</w:t>
      </w:r>
    </w:p>
    <w:p w14:paraId="03BA9A25" w14:textId="5396E937" w:rsidR="000013CE" w:rsidRPr="00940CCF" w:rsidRDefault="000013CE" w:rsidP="000013CE">
      <w:pPr>
        <w:pStyle w:val="Bibliografia"/>
        <w:rPr>
          <w:noProof/>
        </w:rPr>
      </w:pPr>
      <w:r w:rsidRPr="00940CCF">
        <w:rPr>
          <w:noProof/>
        </w:rPr>
        <w:t>Conti C., Guarino M.,  Bacenetti J.</w:t>
      </w:r>
      <w:r w:rsidR="00640130">
        <w:rPr>
          <w:noProof/>
        </w:rPr>
        <w:t>,</w:t>
      </w:r>
      <w:r w:rsidRPr="00940CCF">
        <w:rPr>
          <w:noProof/>
        </w:rPr>
        <w:t xml:space="preserve"> 2020</w:t>
      </w:r>
      <w:r w:rsidR="00640130">
        <w:rPr>
          <w:noProof/>
        </w:rPr>
        <w:t>,</w:t>
      </w:r>
      <w:r w:rsidRPr="00940CCF">
        <w:rPr>
          <w:noProof/>
        </w:rPr>
        <w:t xml:space="preserve"> Measurements techniques and models to assess odor annoyance: A review</w:t>
      </w:r>
      <w:r w:rsidR="006957BD" w:rsidRPr="00940CCF">
        <w:rPr>
          <w:noProof/>
        </w:rPr>
        <w:t>, Environment international, 134, 1-16</w:t>
      </w:r>
      <w:r w:rsidR="00C471B3" w:rsidRPr="00940CCF">
        <w:rPr>
          <w:noProof/>
        </w:rPr>
        <w:t>.</w:t>
      </w:r>
    </w:p>
    <w:p w14:paraId="28B81EB6" w14:textId="042D65E3" w:rsidR="000013CE" w:rsidRPr="00940CCF" w:rsidRDefault="000013CE" w:rsidP="000013CE">
      <w:pPr>
        <w:pStyle w:val="Bibliografia"/>
        <w:rPr>
          <w:noProof/>
        </w:rPr>
      </w:pPr>
      <w:r w:rsidRPr="00940CCF">
        <w:rPr>
          <w:noProof/>
        </w:rPr>
        <w:t>Davoli E., Porro E., Piangerelli L., Foschi A., Paleari B., Ross</w:t>
      </w:r>
      <w:r w:rsidR="00D45F43">
        <w:rPr>
          <w:noProof/>
        </w:rPr>
        <w:t>i</w:t>
      </w:r>
      <w:r w:rsidRPr="00940CCF">
        <w:rPr>
          <w:noProof/>
        </w:rPr>
        <w:t xml:space="preserve"> A.N.,</w:t>
      </w:r>
      <w:r w:rsidR="006957BD" w:rsidRPr="00940CCF">
        <w:rPr>
          <w:noProof/>
        </w:rPr>
        <w:t xml:space="preserve"> Bonati S., Il Grande M.,</w:t>
      </w:r>
      <w:r w:rsidRPr="00940CCF">
        <w:rPr>
          <w:noProof/>
        </w:rPr>
        <w:t xml:space="preserve"> Bonura A.</w:t>
      </w:r>
      <w:r w:rsidR="00640130">
        <w:rPr>
          <w:noProof/>
        </w:rPr>
        <w:t>,</w:t>
      </w:r>
      <w:r w:rsidRPr="00940CCF">
        <w:rPr>
          <w:noProof/>
        </w:rPr>
        <w:t>2018</w:t>
      </w:r>
      <w:r w:rsidR="00640130">
        <w:rPr>
          <w:noProof/>
        </w:rPr>
        <w:t>,</w:t>
      </w:r>
      <w:r w:rsidRPr="00940CCF">
        <w:rPr>
          <w:noProof/>
        </w:rPr>
        <w:t xml:space="preserve"> Bituminous Conglomerates Industrial Production. Assessment of Odour Emissions in View of Regional Guidelines Publication</w:t>
      </w:r>
      <w:r w:rsidR="006957BD" w:rsidRPr="00940CCF">
        <w:rPr>
          <w:noProof/>
        </w:rPr>
        <w:t>, Chemical enginnering transactions,</w:t>
      </w:r>
      <w:r w:rsidRPr="00940CCF">
        <w:rPr>
          <w:noProof/>
        </w:rPr>
        <w:t xml:space="preserve"> 68, 1-6.</w:t>
      </w:r>
    </w:p>
    <w:p w14:paraId="3A7EF878" w14:textId="43E63273" w:rsidR="000013CE" w:rsidRPr="00940CCF" w:rsidRDefault="000013CE" w:rsidP="000013CE">
      <w:pPr>
        <w:pStyle w:val="Bibliografia"/>
        <w:rPr>
          <w:noProof/>
        </w:rPr>
      </w:pPr>
      <w:r w:rsidRPr="00940CCF">
        <w:rPr>
          <w:noProof/>
        </w:rPr>
        <w:t>Decreto direttoriale MinAmbiente</w:t>
      </w:r>
      <w:r w:rsidR="00640130">
        <w:rPr>
          <w:noProof/>
        </w:rPr>
        <w:t>,</w:t>
      </w:r>
      <w:r w:rsidRPr="00940CCF">
        <w:rPr>
          <w:noProof/>
        </w:rPr>
        <w:t xml:space="preserve"> 28 giugno 2023, n. 309. 2023.</w:t>
      </w:r>
    </w:p>
    <w:p w14:paraId="3C3EA6EB" w14:textId="581EA9CF" w:rsidR="000013CE" w:rsidRPr="00940CCF" w:rsidRDefault="000013CE" w:rsidP="000013CE">
      <w:pPr>
        <w:pStyle w:val="Bibliografia"/>
        <w:rPr>
          <w:noProof/>
        </w:rPr>
      </w:pPr>
      <w:r w:rsidRPr="00940CCF">
        <w:rPr>
          <w:noProof/>
        </w:rPr>
        <w:t>Germin-Aizac J., Maitre A., Balducci F., Montlevier S., Marques M., Tribouiller J.,</w:t>
      </w:r>
      <w:r w:rsidR="006957BD" w:rsidRPr="00940CCF">
        <w:rPr>
          <w:noProof/>
        </w:rPr>
        <w:t xml:space="preserve"> Demeilliers,C.,</w:t>
      </w:r>
      <w:r w:rsidRPr="00940CCF">
        <w:rPr>
          <w:noProof/>
        </w:rPr>
        <w:t xml:space="preserve"> Persoons R.</w:t>
      </w:r>
      <w:r w:rsidR="00640130">
        <w:rPr>
          <w:noProof/>
        </w:rPr>
        <w:t>,</w:t>
      </w:r>
      <w:r w:rsidRPr="00940CCF">
        <w:rPr>
          <w:noProof/>
        </w:rPr>
        <w:t xml:space="preserve"> 2023</w:t>
      </w:r>
      <w:r w:rsidR="00640130">
        <w:rPr>
          <w:noProof/>
        </w:rPr>
        <w:t>,</w:t>
      </w:r>
      <w:r w:rsidRPr="00940CCF">
        <w:rPr>
          <w:noProof/>
        </w:rPr>
        <w:t xml:space="preserve"> Bitumen fumes and PAHs in asphalt road paving: Emission characteristics, determinants of exposure and environmental impact</w:t>
      </w:r>
      <w:r w:rsidR="006957BD" w:rsidRPr="00940CCF">
        <w:rPr>
          <w:noProof/>
        </w:rPr>
        <w:t>, Environmental reasearch, 128, 1-11</w:t>
      </w:r>
      <w:r w:rsidR="00C471B3" w:rsidRPr="00940CCF">
        <w:rPr>
          <w:noProof/>
        </w:rPr>
        <w:t>.</w:t>
      </w:r>
    </w:p>
    <w:p w14:paraId="4A965CE3" w14:textId="5A0215B5" w:rsidR="000013CE" w:rsidRPr="00940CCF" w:rsidRDefault="000013CE" w:rsidP="000013CE">
      <w:pPr>
        <w:pStyle w:val="Bibliografia"/>
        <w:rPr>
          <w:noProof/>
        </w:rPr>
      </w:pPr>
      <w:r w:rsidRPr="00940CCF">
        <w:rPr>
          <w:noProof/>
        </w:rPr>
        <w:t>Invernizzi M., Brancher M., Sironi S., Capelli L., Piringer M.,  Schaub</w:t>
      </w:r>
      <w:sdt>
        <w:sdtPr>
          <w:rPr>
            <w:noProof/>
          </w:rPr>
          <w:tag w:val="MENDELEY_CITATION_TEMP"/>
          <w:id w:val="598989074"/>
          <w:placeholder>
            <w:docPart w:val="DefaultPlaceholder_-1854013440"/>
          </w:placeholder>
          <w:showingPlcHdr/>
          <w15:appearance w15:val="hidden"/>
        </w:sdtPr>
        <w:sdtEndPr/>
        <w:sdtContent>
          <w:r w:rsidR="00681C68" w:rsidRPr="00CE1D35">
            <w:rPr>
              <w:rStyle w:val="Testosegnaposto"/>
            </w:rPr>
            <w:t>Fare clic o toccare qui per immettere il testo.</w:t>
          </w:r>
        </w:sdtContent>
      </w:sdt>
      <w:r w:rsidRPr="00940CCF">
        <w:rPr>
          <w:noProof/>
        </w:rPr>
        <w:t>erger G.</w:t>
      </w:r>
      <w:r w:rsidR="00640130">
        <w:rPr>
          <w:noProof/>
        </w:rPr>
        <w:t>,</w:t>
      </w:r>
      <w:r w:rsidRPr="00940CCF">
        <w:rPr>
          <w:noProof/>
        </w:rPr>
        <w:t xml:space="preserve"> 2020</w:t>
      </w:r>
      <w:r w:rsidR="00640130">
        <w:rPr>
          <w:noProof/>
        </w:rPr>
        <w:t>,</w:t>
      </w:r>
      <w:r w:rsidRPr="00940CCF">
        <w:rPr>
          <w:noProof/>
        </w:rPr>
        <w:t xml:space="preserve"> Odour impact assessment by considering short-term ambient concentrations: A multi-model and two-site comparison</w:t>
      </w:r>
      <w:r w:rsidR="006957BD" w:rsidRPr="00940CCF">
        <w:rPr>
          <w:noProof/>
        </w:rPr>
        <w:t>, Environment international, 144, 1-17</w:t>
      </w:r>
      <w:r w:rsidR="00C471B3" w:rsidRPr="00940CCF">
        <w:rPr>
          <w:noProof/>
        </w:rPr>
        <w:t>.</w:t>
      </w:r>
    </w:p>
    <w:p w14:paraId="0576504D" w14:textId="26A93E07" w:rsidR="000013CE" w:rsidRPr="00940CCF" w:rsidRDefault="000013CE" w:rsidP="000013CE">
      <w:pPr>
        <w:pStyle w:val="Bibliografia"/>
        <w:rPr>
          <w:noProof/>
        </w:rPr>
      </w:pPr>
      <w:r w:rsidRPr="00940CCF">
        <w:rPr>
          <w:noProof/>
        </w:rPr>
        <w:t>Lotesoriere B., Panzitta A.,  Capelli L.</w:t>
      </w:r>
      <w:r w:rsidR="00640130">
        <w:rPr>
          <w:noProof/>
        </w:rPr>
        <w:t>,</w:t>
      </w:r>
      <w:r w:rsidRPr="00940CCF">
        <w:rPr>
          <w:noProof/>
        </w:rPr>
        <w:t xml:space="preserve"> 2022</w:t>
      </w:r>
      <w:r w:rsidR="00640130">
        <w:rPr>
          <w:noProof/>
        </w:rPr>
        <w:t>,</w:t>
      </w:r>
      <w:r w:rsidRPr="00940CCF">
        <w:rPr>
          <w:noProof/>
        </w:rPr>
        <w:t xml:space="preserve"> A Method to Evaluate Odour Impacts in the Case of Highly Variable Emission Scenarios: a Case Study in a Foundry</w:t>
      </w:r>
      <w:r w:rsidR="006957BD" w:rsidRPr="00940CCF">
        <w:rPr>
          <w:noProof/>
        </w:rPr>
        <w:t>, Chemical enginnering transactions, 95, 1-6</w:t>
      </w:r>
    </w:p>
    <w:p w14:paraId="26F359AA" w14:textId="42A4506B" w:rsidR="000013CE" w:rsidRPr="00940CCF" w:rsidRDefault="000013CE" w:rsidP="000013CE">
      <w:pPr>
        <w:pStyle w:val="Bibliografia"/>
        <w:rPr>
          <w:noProof/>
        </w:rPr>
      </w:pPr>
      <w:r w:rsidRPr="00940CCF">
        <w:rPr>
          <w:noProof/>
        </w:rPr>
        <w:t>Palmiotto M., Fattore E., Paiano V., Celeste G., Colombo A.,  Davoli E.</w:t>
      </w:r>
      <w:r w:rsidR="00640130">
        <w:rPr>
          <w:noProof/>
        </w:rPr>
        <w:t>,</w:t>
      </w:r>
      <w:r w:rsidRPr="00940CCF">
        <w:rPr>
          <w:noProof/>
        </w:rPr>
        <w:t xml:space="preserve"> 2014</w:t>
      </w:r>
      <w:r w:rsidR="00640130">
        <w:rPr>
          <w:noProof/>
        </w:rPr>
        <w:t>,</w:t>
      </w:r>
      <w:r w:rsidRPr="00940CCF">
        <w:rPr>
          <w:noProof/>
        </w:rPr>
        <w:t xml:space="preserve"> Influence of a municipal solid waste landfill in the surrounding environment: Toxicological risk and odor nuisance effects</w:t>
      </w:r>
      <w:r w:rsidR="006957BD" w:rsidRPr="00940CCF">
        <w:rPr>
          <w:noProof/>
        </w:rPr>
        <w:t>, Environment internation, 68, 16-24</w:t>
      </w:r>
      <w:r w:rsidR="00C471B3" w:rsidRPr="00940CCF">
        <w:rPr>
          <w:noProof/>
        </w:rPr>
        <w:t>.</w:t>
      </w:r>
    </w:p>
    <w:p w14:paraId="60C3915E" w14:textId="6C25E5B7" w:rsidR="000013CE" w:rsidRPr="00940CCF" w:rsidRDefault="000013CE" w:rsidP="000013CE">
      <w:pPr>
        <w:pStyle w:val="Bibliografia"/>
        <w:rPr>
          <w:noProof/>
        </w:rPr>
      </w:pPr>
      <w:r w:rsidRPr="00940CCF">
        <w:rPr>
          <w:noProof/>
        </w:rPr>
        <w:t>Piringer M.,  Schauberger G.</w:t>
      </w:r>
      <w:r w:rsidR="00640130">
        <w:rPr>
          <w:noProof/>
        </w:rPr>
        <w:t>,</w:t>
      </w:r>
      <w:r w:rsidRPr="00940CCF">
        <w:rPr>
          <w:noProof/>
        </w:rPr>
        <w:t xml:space="preserve"> 2020</w:t>
      </w:r>
      <w:r w:rsidR="00640130">
        <w:rPr>
          <w:noProof/>
        </w:rPr>
        <w:t>,</w:t>
      </w:r>
      <w:r w:rsidRPr="00940CCF">
        <w:rPr>
          <w:noProof/>
        </w:rPr>
        <w:t xml:space="preserve"> Environmental Odour: Emission, Dispersion, and the Assessment of Annoyance</w:t>
      </w:r>
      <w:r w:rsidR="006957BD" w:rsidRPr="00940CCF">
        <w:rPr>
          <w:noProof/>
        </w:rPr>
        <w:t>, Atmosphere, 11, 896, 1-4</w:t>
      </w:r>
      <w:r w:rsidR="00C471B3" w:rsidRPr="00940CCF">
        <w:rPr>
          <w:noProof/>
        </w:rPr>
        <w:t>.</w:t>
      </w:r>
    </w:p>
    <w:p w14:paraId="49ACAF58" w14:textId="3D96354B" w:rsidR="000013CE" w:rsidRPr="00940CCF" w:rsidRDefault="000013CE" w:rsidP="000013CE">
      <w:pPr>
        <w:pStyle w:val="Bibliografia"/>
        <w:rPr>
          <w:noProof/>
        </w:rPr>
      </w:pPr>
      <w:r w:rsidRPr="00940CCF">
        <w:rPr>
          <w:noProof/>
        </w:rPr>
        <w:t>S</w:t>
      </w:r>
      <w:r w:rsidR="00592CB3">
        <w:rPr>
          <w:noProof/>
        </w:rPr>
        <w:t>c</w:t>
      </w:r>
      <w:r w:rsidRPr="00940CCF">
        <w:rPr>
          <w:noProof/>
        </w:rPr>
        <w:t>ire J.S., Strimaitis D.G.,  Yamartino R.J.</w:t>
      </w:r>
      <w:r w:rsidR="00640130">
        <w:rPr>
          <w:noProof/>
        </w:rPr>
        <w:t>,</w:t>
      </w:r>
      <w:r w:rsidRPr="00940CCF">
        <w:rPr>
          <w:noProof/>
        </w:rPr>
        <w:t xml:space="preserve"> 2000</w:t>
      </w:r>
      <w:r w:rsidR="00640130">
        <w:rPr>
          <w:noProof/>
        </w:rPr>
        <w:t>,</w:t>
      </w:r>
      <w:r w:rsidRPr="00940CCF">
        <w:rPr>
          <w:noProof/>
        </w:rPr>
        <w:t xml:space="preserve"> A user's guide for the CALPUFF dispersion model</w:t>
      </w:r>
      <w:r w:rsidR="00C471B3" w:rsidRPr="00940CCF">
        <w:rPr>
          <w:noProof/>
        </w:rPr>
        <w:t>, &lt;www.calpuff.org/calpuff/download/CALPUFF_UsersGuide.pdf&gt;.</w:t>
      </w:r>
    </w:p>
    <w:p w14:paraId="3968EFBB" w14:textId="2939559D" w:rsidR="000013CE" w:rsidRPr="00940CCF" w:rsidRDefault="000013CE" w:rsidP="000013CE">
      <w:pPr>
        <w:pStyle w:val="Bibliografia"/>
        <w:rPr>
          <w:noProof/>
        </w:rPr>
      </w:pPr>
      <w:r w:rsidRPr="00940CCF">
        <w:rPr>
          <w:noProof/>
        </w:rPr>
        <w:t>Tagliaferri F., Facagni L., Invernizzi M., Ferrer Hernandez A.L., Hernández-Garces A.,  Sironi S.</w:t>
      </w:r>
      <w:r w:rsidR="00640130">
        <w:rPr>
          <w:noProof/>
        </w:rPr>
        <w:t>,</w:t>
      </w:r>
      <w:r w:rsidRPr="00940CCF">
        <w:rPr>
          <w:noProof/>
        </w:rPr>
        <w:t xml:space="preserve"> 2024</w:t>
      </w:r>
      <w:r w:rsidR="00640130">
        <w:rPr>
          <w:noProof/>
        </w:rPr>
        <w:t>,</w:t>
      </w:r>
      <w:r w:rsidRPr="00940CCF">
        <w:rPr>
          <w:noProof/>
        </w:rPr>
        <w:t xml:space="preserve"> Odor Impact Assessment via Dispersion Model: Comparison of Different Input Meteorological Datasets</w:t>
      </w:r>
      <w:r w:rsidR="00C471B3" w:rsidRPr="00940CCF">
        <w:rPr>
          <w:noProof/>
        </w:rPr>
        <w:t>, Apllied sciences, 14, 2457, 1-19.</w:t>
      </w:r>
    </w:p>
    <w:p w14:paraId="09C1B639" w14:textId="16617752" w:rsidR="000013CE" w:rsidRPr="00940CCF" w:rsidRDefault="000013CE" w:rsidP="000013CE">
      <w:pPr>
        <w:pStyle w:val="Bibliografia"/>
        <w:rPr>
          <w:noProof/>
        </w:rPr>
      </w:pPr>
      <w:r w:rsidRPr="00940CCF">
        <w:rPr>
          <w:noProof/>
        </w:rPr>
        <w:t>Tagliaferri F., Sironi S.,  Invernizzi M.</w:t>
      </w:r>
      <w:r w:rsidR="00640130">
        <w:rPr>
          <w:noProof/>
        </w:rPr>
        <w:t>,</w:t>
      </w:r>
      <w:r w:rsidRPr="00940CCF">
        <w:rPr>
          <w:noProof/>
        </w:rPr>
        <w:t xml:space="preserve"> 2026</w:t>
      </w:r>
      <w:r w:rsidR="00640130">
        <w:rPr>
          <w:noProof/>
        </w:rPr>
        <w:t>,</w:t>
      </w:r>
      <w:r w:rsidRPr="00940CCF">
        <w:rPr>
          <w:noProof/>
        </w:rPr>
        <w:t xml:space="preserve"> Assessing VOC Dispersion from Hydrocarbon Storage Tanks: A Case Study on Emission Temporal Resolution. </w:t>
      </w:r>
      <w:r w:rsidR="00C471B3" w:rsidRPr="00940CCF">
        <w:rPr>
          <w:noProof/>
        </w:rPr>
        <w:t xml:space="preserve">Applied sciences, </w:t>
      </w:r>
      <w:r w:rsidRPr="00940CCF">
        <w:rPr>
          <w:noProof/>
        </w:rPr>
        <w:t>16, 1-16.</w:t>
      </w:r>
    </w:p>
    <w:p w14:paraId="67786D1D" w14:textId="442EFF39" w:rsidR="000013CE" w:rsidRPr="00940CCF" w:rsidRDefault="000013CE" w:rsidP="000013CE">
      <w:pPr>
        <w:pStyle w:val="Bibliografia"/>
        <w:rPr>
          <w:noProof/>
        </w:rPr>
      </w:pPr>
      <w:r w:rsidRPr="00940CCF">
        <w:rPr>
          <w:noProof/>
        </w:rPr>
        <w:t>Vuolo M.R., Acutis M., Tyagi B., Boccasile G., Perego A., Pelissetti S.</w:t>
      </w:r>
      <w:r w:rsidR="00640130">
        <w:rPr>
          <w:noProof/>
        </w:rPr>
        <w:t>,</w:t>
      </w:r>
      <w:r w:rsidRPr="00940CCF">
        <w:rPr>
          <w:noProof/>
        </w:rPr>
        <w:t xml:space="preserve"> 2023</w:t>
      </w:r>
      <w:r w:rsidR="00640130">
        <w:rPr>
          <w:noProof/>
        </w:rPr>
        <w:t>,</w:t>
      </w:r>
      <w:r w:rsidRPr="00940CCF">
        <w:rPr>
          <w:noProof/>
        </w:rPr>
        <w:t xml:space="preserve"> Odour Emissions and Dispersion from Digestate Spreading</w:t>
      </w:r>
      <w:r w:rsidR="00C471B3" w:rsidRPr="00940CCF">
        <w:rPr>
          <w:noProof/>
        </w:rPr>
        <w:t>, Atmosphere, 14, 619, 1-38</w:t>
      </w:r>
      <w:r w:rsidR="00531F23">
        <w:rPr>
          <w:noProof/>
        </w:rPr>
        <w:t>.</w:t>
      </w:r>
    </w:p>
    <w:p w14:paraId="28E8379D" w14:textId="447EC031" w:rsidR="00C52C3C" w:rsidRDefault="000013CE" w:rsidP="00CA2E90">
      <w:r w:rsidRPr="00940CCF">
        <w:rPr>
          <w:b/>
          <w:bCs/>
        </w:rPr>
        <w:fldChar w:fldCharType="end"/>
      </w:r>
    </w:p>
    <w:sectPr w:rsidR="00C52C3C"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ABAB" w14:textId="77777777" w:rsidR="007D1F3B" w:rsidRDefault="007D1F3B" w:rsidP="004F5E36">
      <w:r>
        <w:separator/>
      </w:r>
    </w:p>
  </w:endnote>
  <w:endnote w:type="continuationSeparator" w:id="0">
    <w:p w14:paraId="2DB11F06" w14:textId="77777777" w:rsidR="007D1F3B" w:rsidRDefault="007D1F3B"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5D23" w14:textId="77777777" w:rsidR="007D1F3B" w:rsidRDefault="007D1F3B" w:rsidP="004F5E36">
      <w:r>
        <w:separator/>
      </w:r>
    </w:p>
  </w:footnote>
  <w:footnote w:type="continuationSeparator" w:id="0">
    <w:p w14:paraId="4CD69B2C" w14:textId="77777777" w:rsidR="007D1F3B" w:rsidRDefault="007D1F3B"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C587447"/>
    <w:multiLevelType w:val="hybridMultilevel"/>
    <w:tmpl w:val="17927B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1A2708"/>
    <w:multiLevelType w:val="hybridMultilevel"/>
    <w:tmpl w:val="15E42B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7"/>
  </w:num>
  <w:num w:numId="13">
    <w:abstractNumId w:val="12"/>
  </w:num>
  <w:num w:numId="14">
    <w:abstractNumId w:val="18"/>
  </w:num>
  <w:num w:numId="15">
    <w:abstractNumId w:val="21"/>
  </w:num>
  <w:num w:numId="16">
    <w:abstractNumId w:val="20"/>
  </w:num>
  <w:num w:numId="17">
    <w:abstractNumId w:val="11"/>
  </w:num>
  <w:num w:numId="18">
    <w:abstractNumId w:val="12"/>
    <w:lvlOverride w:ilvl="0">
      <w:startOverride w:val="1"/>
    </w:lvlOverride>
  </w:num>
  <w:num w:numId="19">
    <w:abstractNumId w:val="16"/>
  </w:num>
  <w:num w:numId="20">
    <w:abstractNumId w:val="15"/>
  </w:num>
  <w:num w:numId="21">
    <w:abstractNumId w:val="14"/>
  </w:num>
  <w:num w:numId="22">
    <w:abstractNumId w:val="13"/>
  </w:num>
  <w:num w:numId="23">
    <w:abstractNumId w:val="19"/>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13CE"/>
    <w:rsid w:val="000027C0"/>
    <w:rsid w:val="000052FB"/>
    <w:rsid w:val="00005884"/>
    <w:rsid w:val="00005A19"/>
    <w:rsid w:val="0001073B"/>
    <w:rsid w:val="000117CB"/>
    <w:rsid w:val="00021341"/>
    <w:rsid w:val="0003036C"/>
    <w:rsid w:val="0003148D"/>
    <w:rsid w:val="00031EEC"/>
    <w:rsid w:val="00050712"/>
    <w:rsid w:val="00051566"/>
    <w:rsid w:val="000519DD"/>
    <w:rsid w:val="00052C87"/>
    <w:rsid w:val="000562A9"/>
    <w:rsid w:val="00061B6E"/>
    <w:rsid w:val="00062A9A"/>
    <w:rsid w:val="00065058"/>
    <w:rsid w:val="0008595E"/>
    <w:rsid w:val="00086C39"/>
    <w:rsid w:val="00087272"/>
    <w:rsid w:val="000A03B2"/>
    <w:rsid w:val="000D0268"/>
    <w:rsid w:val="000D34BE"/>
    <w:rsid w:val="000E102F"/>
    <w:rsid w:val="000E36F1"/>
    <w:rsid w:val="000E3A73"/>
    <w:rsid w:val="000E414A"/>
    <w:rsid w:val="000E75FD"/>
    <w:rsid w:val="000F093C"/>
    <w:rsid w:val="000F787B"/>
    <w:rsid w:val="0012091F"/>
    <w:rsid w:val="0012406F"/>
    <w:rsid w:val="00124AAD"/>
    <w:rsid w:val="00126BC2"/>
    <w:rsid w:val="001308B6"/>
    <w:rsid w:val="0013121F"/>
    <w:rsid w:val="00131FE6"/>
    <w:rsid w:val="0013263F"/>
    <w:rsid w:val="001331DF"/>
    <w:rsid w:val="00134DE4"/>
    <w:rsid w:val="0014034D"/>
    <w:rsid w:val="00140FE3"/>
    <w:rsid w:val="001413B8"/>
    <w:rsid w:val="00144D16"/>
    <w:rsid w:val="00145410"/>
    <w:rsid w:val="00145BE8"/>
    <w:rsid w:val="00150E59"/>
    <w:rsid w:val="00152DE3"/>
    <w:rsid w:val="00164CF9"/>
    <w:rsid w:val="001667A6"/>
    <w:rsid w:val="001720FB"/>
    <w:rsid w:val="001820D3"/>
    <w:rsid w:val="00184AD6"/>
    <w:rsid w:val="001874E2"/>
    <w:rsid w:val="00196A85"/>
    <w:rsid w:val="001A0154"/>
    <w:rsid w:val="001A4AF7"/>
    <w:rsid w:val="001B0349"/>
    <w:rsid w:val="001B1E93"/>
    <w:rsid w:val="001B65C1"/>
    <w:rsid w:val="001C260F"/>
    <w:rsid w:val="001C33F1"/>
    <w:rsid w:val="001C684B"/>
    <w:rsid w:val="001D0CFB"/>
    <w:rsid w:val="001D21AF"/>
    <w:rsid w:val="001D53FC"/>
    <w:rsid w:val="001E340A"/>
    <w:rsid w:val="001F42A5"/>
    <w:rsid w:val="001F7B9D"/>
    <w:rsid w:val="00201C93"/>
    <w:rsid w:val="002139AF"/>
    <w:rsid w:val="0021613E"/>
    <w:rsid w:val="002224B4"/>
    <w:rsid w:val="002357F5"/>
    <w:rsid w:val="002447EF"/>
    <w:rsid w:val="00245A33"/>
    <w:rsid w:val="00251550"/>
    <w:rsid w:val="00263B05"/>
    <w:rsid w:val="00270BA9"/>
    <w:rsid w:val="0027221A"/>
    <w:rsid w:val="00275B61"/>
    <w:rsid w:val="00280FAF"/>
    <w:rsid w:val="00282656"/>
    <w:rsid w:val="00282EA9"/>
    <w:rsid w:val="00292493"/>
    <w:rsid w:val="0029514E"/>
    <w:rsid w:val="00296B83"/>
    <w:rsid w:val="002B4015"/>
    <w:rsid w:val="002B78CE"/>
    <w:rsid w:val="002C2FB6"/>
    <w:rsid w:val="002E5FA7"/>
    <w:rsid w:val="002F3309"/>
    <w:rsid w:val="002F6939"/>
    <w:rsid w:val="003008CE"/>
    <w:rsid w:val="003009B7"/>
    <w:rsid w:val="00300E56"/>
    <w:rsid w:val="0030152C"/>
    <w:rsid w:val="003043D1"/>
    <w:rsid w:val="0030469C"/>
    <w:rsid w:val="00311823"/>
    <w:rsid w:val="00321CA6"/>
    <w:rsid w:val="00323763"/>
    <w:rsid w:val="00323C5F"/>
    <w:rsid w:val="00334C09"/>
    <w:rsid w:val="0035023A"/>
    <w:rsid w:val="00357AF8"/>
    <w:rsid w:val="003723D4"/>
    <w:rsid w:val="00381905"/>
    <w:rsid w:val="00384AFE"/>
    <w:rsid w:val="00384CC8"/>
    <w:rsid w:val="003862B9"/>
    <w:rsid w:val="003871FD"/>
    <w:rsid w:val="0039294C"/>
    <w:rsid w:val="003A1E30"/>
    <w:rsid w:val="003A2829"/>
    <w:rsid w:val="003A7D1C"/>
    <w:rsid w:val="003B304B"/>
    <w:rsid w:val="003B3146"/>
    <w:rsid w:val="003B3448"/>
    <w:rsid w:val="003D0643"/>
    <w:rsid w:val="003D1E02"/>
    <w:rsid w:val="003D32BA"/>
    <w:rsid w:val="003D511C"/>
    <w:rsid w:val="003E1135"/>
    <w:rsid w:val="003F015E"/>
    <w:rsid w:val="003F1347"/>
    <w:rsid w:val="003F6AC2"/>
    <w:rsid w:val="00400414"/>
    <w:rsid w:val="004018D2"/>
    <w:rsid w:val="00410E19"/>
    <w:rsid w:val="0041446B"/>
    <w:rsid w:val="0044071E"/>
    <w:rsid w:val="0044329C"/>
    <w:rsid w:val="00453E24"/>
    <w:rsid w:val="00457456"/>
    <w:rsid w:val="004577FE"/>
    <w:rsid w:val="00457B9C"/>
    <w:rsid w:val="0046164A"/>
    <w:rsid w:val="004628D2"/>
    <w:rsid w:val="00462DCD"/>
    <w:rsid w:val="004648AD"/>
    <w:rsid w:val="004703A9"/>
    <w:rsid w:val="004760DE"/>
    <w:rsid w:val="004763D7"/>
    <w:rsid w:val="004A004E"/>
    <w:rsid w:val="004A0A85"/>
    <w:rsid w:val="004A24CF"/>
    <w:rsid w:val="004A5E57"/>
    <w:rsid w:val="004C194F"/>
    <w:rsid w:val="004C3D1D"/>
    <w:rsid w:val="004C3D84"/>
    <w:rsid w:val="004C6C89"/>
    <w:rsid w:val="004C7913"/>
    <w:rsid w:val="004E4DD6"/>
    <w:rsid w:val="004F0F55"/>
    <w:rsid w:val="004F5E36"/>
    <w:rsid w:val="00507B47"/>
    <w:rsid w:val="00507BEF"/>
    <w:rsid w:val="00507CC9"/>
    <w:rsid w:val="00507EAC"/>
    <w:rsid w:val="005119A5"/>
    <w:rsid w:val="005278B7"/>
    <w:rsid w:val="00531F23"/>
    <w:rsid w:val="00532016"/>
    <w:rsid w:val="005346C8"/>
    <w:rsid w:val="00535C66"/>
    <w:rsid w:val="00543E7D"/>
    <w:rsid w:val="00547A68"/>
    <w:rsid w:val="00550D01"/>
    <w:rsid w:val="005531C9"/>
    <w:rsid w:val="0056106C"/>
    <w:rsid w:val="00570C43"/>
    <w:rsid w:val="00573037"/>
    <w:rsid w:val="00592274"/>
    <w:rsid w:val="00592CB3"/>
    <w:rsid w:val="00595009"/>
    <w:rsid w:val="005B2110"/>
    <w:rsid w:val="005B4D4F"/>
    <w:rsid w:val="005B61E6"/>
    <w:rsid w:val="005C77E1"/>
    <w:rsid w:val="005D668A"/>
    <w:rsid w:val="005D6A2F"/>
    <w:rsid w:val="005E0592"/>
    <w:rsid w:val="005E1A82"/>
    <w:rsid w:val="005E794C"/>
    <w:rsid w:val="005F0A28"/>
    <w:rsid w:val="005F0E5E"/>
    <w:rsid w:val="005F5133"/>
    <w:rsid w:val="00600535"/>
    <w:rsid w:val="00610CD6"/>
    <w:rsid w:val="00620DEE"/>
    <w:rsid w:val="00621F92"/>
    <w:rsid w:val="0062280A"/>
    <w:rsid w:val="006231E1"/>
    <w:rsid w:val="00625639"/>
    <w:rsid w:val="00631B33"/>
    <w:rsid w:val="00632517"/>
    <w:rsid w:val="00640130"/>
    <w:rsid w:val="0064184D"/>
    <w:rsid w:val="006422CC"/>
    <w:rsid w:val="00651D18"/>
    <w:rsid w:val="00660E3E"/>
    <w:rsid w:val="00662E74"/>
    <w:rsid w:val="00680C23"/>
    <w:rsid w:val="00681C68"/>
    <w:rsid w:val="00683E23"/>
    <w:rsid w:val="006907AF"/>
    <w:rsid w:val="00693766"/>
    <w:rsid w:val="006957BD"/>
    <w:rsid w:val="006A3281"/>
    <w:rsid w:val="006A5061"/>
    <w:rsid w:val="006B4888"/>
    <w:rsid w:val="006B7B54"/>
    <w:rsid w:val="006C2E45"/>
    <w:rsid w:val="006C359C"/>
    <w:rsid w:val="006C5579"/>
    <w:rsid w:val="006D6E8B"/>
    <w:rsid w:val="006D7209"/>
    <w:rsid w:val="006E1124"/>
    <w:rsid w:val="006E737D"/>
    <w:rsid w:val="007027FB"/>
    <w:rsid w:val="00707DD1"/>
    <w:rsid w:val="00713973"/>
    <w:rsid w:val="00720A24"/>
    <w:rsid w:val="00732386"/>
    <w:rsid w:val="0073514D"/>
    <w:rsid w:val="007447F3"/>
    <w:rsid w:val="00753780"/>
    <w:rsid w:val="0075499F"/>
    <w:rsid w:val="00760B4C"/>
    <w:rsid w:val="007617CC"/>
    <w:rsid w:val="007661C8"/>
    <w:rsid w:val="007706F6"/>
    <w:rsid w:val="0077098D"/>
    <w:rsid w:val="007762DF"/>
    <w:rsid w:val="00785679"/>
    <w:rsid w:val="00785BF9"/>
    <w:rsid w:val="007931FA"/>
    <w:rsid w:val="007A2BD4"/>
    <w:rsid w:val="007A4861"/>
    <w:rsid w:val="007A7BBA"/>
    <w:rsid w:val="007B0C50"/>
    <w:rsid w:val="007B0ED1"/>
    <w:rsid w:val="007B2B28"/>
    <w:rsid w:val="007B48F9"/>
    <w:rsid w:val="007B789C"/>
    <w:rsid w:val="007C1A43"/>
    <w:rsid w:val="007C4B02"/>
    <w:rsid w:val="007D0951"/>
    <w:rsid w:val="007D1F3B"/>
    <w:rsid w:val="007E1308"/>
    <w:rsid w:val="007E69D7"/>
    <w:rsid w:val="007F27C8"/>
    <w:rsid w:val="007F76C8"/>
    <w:rsid w:val="0080013E"/>
    <w:rsid w:val="0080184B"/>
    <w:rsid w:val="00810AFC"/>
    <w:rsid w:val="00813288"/>
    <w:rsid w:val="008158B8"/>
    <w:rsid w:val="008162C7"/>
    <w:rsid w:val="008168FC"/>
    <w:rsid w:val="00823F00"/>
    <w:rsid w:val="00830996"/>
    <w:rsid w:val="008314D7"/>
    <w:rsid w:val="008345F1"/>
    <w:rsid w:val="00840000"/>
    <w:rsid w:val="00840582"/>
    <w:rsid w:val="00854342"/>
    <w:rsid w:val="00857EC8"/>
    <w:rsid w:val="008635FA"/>
    <w:rsid w:val="00864308"/>
    <w:rsid w:val="00865B07"/>
    <w:rsid w:val="008667EA"/>
    <w:rsid w:val="0087420D"/>
    <w:rsid w:val="0087637F"/>
    <w:rsid w:val="00885493"/>
    <w:rsid w:val="00892AD5"/>
    <w:rsid w:val="008A1512"/>
    <w:rsid w:val="008A6A29"/>
    <w:rsid w:val="008D32B9"/>
    <w:rsid w:val="008D433B"/>
    <w:rsid w:val="008D4A16"/>
    <w:rsid w:val="008E209A"/>
    <w:rsid w:val="008E45BC"/>
    <w:rsid w:val="008E566E"/>
    <w:rsid w:val="008F397A"/>
    <w:rsid w:val="0090161A"/>
    <w:rsid w:val="00901EB6"/>
    <w:rsid w:val="009027B7"/>
    <w:rsid w:val="009041F8"/>
    <w:rsid w:val="00904C62"/>
    <w:rsid w:val="00921338"/>
    <w:rsid w:val="00922BA8"/>
    <w:rsid w:val="00924DAC"/>
    <w:rsid w:val="00927058"/>
    <w:rsid w:val="00935ED2"/>
    <w:rsid w:val="00940CCF"/>
    <w:rsid w:val="00942750"/>
    <w:rsid w:val="009450CE"/>
    <w:rsid w:val="009459BB"/>
    <w:rsid w:val="00947179"/>
    <w:rsid w:val="0095164B"/>
    <w:rsid w:val="00954090"/>
    <w:rsid w:val="0095413D"/>
    <w:rsid w:val="009573E7"/>
    <w:rsid w:val="00963E05"/>
    <w:rsid w:val="00964A45"/>
    <w:rsid w:val="00966EEC"/>
    <w:rsid w:val="00967843"/>
    <w:rsid w:val="00967D54"/>
    <w:rsid w:val="00971028"/>
    <w:rsid w:val="00993B84"/>
    <w:rsid w:val="00996483"/>
    <w:rsid w:val="00996F5A"/>
    <w:rsid w:val="009A067F"/>
    <w:rsid w:val="009A7600"/>
    <w:rsid w:val="009B041A"/>
    <w:rsid w:val="009C37C3"/>
    <w:rsid w:val="009C7C86"/>
    <w:rsid w:val="009D2FF7"/>
    <w:rsid w:val="009E146F"/>
    <w:rsid w:val="009E7884"/>
    <w:rsid w:val="009E788A"/>
    <w:rsid w:val="009F0E08"/>
    <w:rsid w:val="00A079AE"/>
    <w:rsid w:val="00A1462A"/>
    <w:rsid w:val="00A165EF"/>
    <w:rsid w:val="00A1763D"/>
    <w:rsid w:val="00A17CEC"/>
    <w:rsid w:val="00A26CBB"/>
    <w:rsid w:val="00A27EF0"/>
    <w:rsid w:val="00A42361"/>
    <w:rsid w:val="00A50B20"/>
    <w:rsid w:val="00A51390"/>
    <w:rsid w:val="00A60D13"/>
    <w:rsid w:val="00A7223D"/>
    <w:rsid w:val="00A72745"/>
    <w:rsid w:val="00A76EFC"/>
    <w:rsid w:val="00A87D50"/>
    <w:rsid w:val="00A91010"/>
    <w:rsid w:val="00A9711C"/>
    <w:rsid w:val="00A97F29"/>
    <w:rsid w:val="00AA702E"/>
    <w:rsid w:val="00AA7D26"/>
    <w:rsid w:val="00AB0964"/>
    <w:rsid w:val="00AB5011"/>
    <w:rsid w:val="00AC7368"/>
    <w:rsid w:val="00AD0278"/>
    <w:rsid w:val="00AD16B9"/>
    <w:rsid w:val="00AE377D"/>
    <w:rsid w:val="00AF0EBA"/>
    <w:rsid w:val="00B02C8A"/>
    <w:rsid w:val="00B155A2"/>
    <w:rsid w:val="00B16383"/>
    <w:rsid w:val="00B17FBD"/>
    <w:rsid w:val="00B315A6"/>
    <w:rsid w:val="00B31813"/>
    <w:rsid w:val="00B33365"/>
    <w:rsid w:val="00B34242"/>
    <w:rsid w:val="00B3685A"/>
    <w:rsid w:val="00B46B9F"/>
    <w:rsid w:val="00B57B36"/>
    <w:rsid w:val="00B57E6F"/>
    <w:rsid w:val="00B61554"/>
    <w:rsid w:val="00B65DCA"/>
    <w:rsid w:val="00B8686D"/>
    <w:rsid w:val="00B93F69"/>
    <w:rsid w:val="00B95F2C"/>
    <w:rsid w:val="00BA4110"/>
    <w:rsid w:val="00BB03B0"/>
    <w:rsid w:val="00BB1DDC"/>
    <w:rsid w:val="00BC22C9"/>
    <w:rsid w:val="00BC30C9"/>
    <w:rsid w:val="00BC5EE7"/>
    <w:rsid w:val="00BD04C0"/>
    <w:rsid w:val="00BD077D"/>
    <w:rsid w:val="00BE3E58"/>
    <w:rsid w:val="00C01616"/>
    <w:rsid w:val="00C0162B"/>
    <w:rsid w:val="00C068ED"/>
    <w:rsid w:val="00C208E9"/>
    <w:rsid w:val="00C22E0C"/>
    <w:rsid w:val="00C345B1"/>
    <w:rsid w:val="00C40142"/>
    <w:rsid w:val="00C471B3"/>
    <w:rsid w:val="00C52C3C"/>
    <w:rsid w:val="00C57182"/>
    <w:rsid w:val="00C57863"/>
    <w:rsid w:val="00C640AF"/>
    <w:rsid w:val="00C655FD"/>
    <w:rsid w:val="00C75407"/>
    <w:rsid w:val="00C7722D"/>
    <w:rsid w:val="00C841C6"/>
    <w:rsid w:val="00C870A8"/>
    <w:rsid w:val="00C94434"/>
    <w:rsid w:val="00CA0D75"/>
    <w:rsid w:val="00CA1C95"/>
    <w:rsid w:val="00CA2E90"/>
    <w:rsid w:val="00CA5A9C"/>
    <w:rsid w:val="00CC4C20"/>
    <w:rsid w:val="00CD3517"/>
    <w:rsid w:val="00CD5C46"/>
    <w:rsid w:val="00CD5FE2"/>
    <w:rsid w:val="00CE0D4A"/>
    <w:rsid w:val="00CE7C68"/>
    <w:rsid w:val="00CF3C2C"/>
    <w:rsid w:val="00D02B4C"/>
    <w:rsid w:val="00D040C4"/>
    <w:rsid w:val="00D20AD1"/>
    <w:rsid w:val="00D2582C"/>
    <w:rsid w:val="00D3115D"/>
    <w:rsid w:val="00D3418A"/>
    <w:rsid w:val="00D45F43"/>
    <w:rsid w:val="00D46B7E"/>
    <w:rsid w:val="00D57C84"/>
    <w:rsid w:val="00D6057D"/>
    <w:rsid w:val="00D61311"/>
    <w:rsid w:val="00D64302"/>
    <w:rsid w:val="00D71640"/>
    <w:rsid w:val="00D836C5"/>
    <w:rsid w:val="00D84576"/>
    <w:rsid w:val="00DA1399"/>
    <w:rsid w:val="00DA24C6"/>
    <w:rsid w:val="00DA4D7B"/>
    <w:rsid w:val="00DC2902"/>
    <w:rsid w:val="00DD271C"/>
    <w:rsid w:val="00DE264A"/>
    <w:rsid w:val="00DF5072"/>
    <w:rsid w:val="00E02D18"/>
    <w:rsid w:val="00E041E7"/>
    <w:rsid w:val="00E164FC"/>
    <w:rsid w:val="00E23CA1"/>
    <w:rsid w:val="00E24B88"/>
    <w:rsid w:val="00E4044A"/>
    <w:rsid w:val="00E409A8"/>
    <w:rsid w:val="00E47D61"/>
    <w:rsid w:val="00E50C12"/>
    <w:rsid w:val="00E65B91"/>
    <w:rsid w:val="00E7209D"/>
    <w:rsid w:val="00E72EAD"/>
    <w:rsid w:val="00E77223"/>
    <w:rsid w:val="00E8528B"/>
    <w:rsid w:val="00E85B94"/>
    <w:rsid w:val="00E978D0"/>
    <w:rsid w:val="00E97FC3"/>
    <w:rsid w:val="00EA4613"/>
    <w:rsid w:val="00EA7D73"/>
    <w:rsid w:val="00EA7F91"/>
    <w:rsid w:val="00EB1523"/>
    <w:rsid w:val="00EB59F0"/>
    <w:rsid w:val="00EC0E49"/>
    <w:rsid w:val="00EC101F"/>
    <w:rsid w:val="00EC1D9F"/>
    <w:rsid w:val="00EE0131"/>
    <w:rsid w:val="00EE17B0"/>
    <w:rsid w:val="00EF06D9"/>
    <w:rsid w:val="00EF0982"/>
    <w:rsid w:val="00F01212"/>
    <w:rsid w:val="00F3049E"/>
    <w:rsid w:val="00F30C64"/>
    <w:rsid w:val="00F32BA2"/>
    <w:rsid w:val="00F32CDB"/>
    <w:rsid w:val="00F3331B"/>
    <w:rsid w:val="00F3348F"/>
    <w:rsid w:val="00F37280"/>
    <w:rsid w:val="00F408E0"/>
    <w:rsid w:val="00F41EE4"/>
    <w:rsid w:val="00F565FE"/>
    <w:rsid w:val="00F63A70"/>
    <w:rsid w:val="00F63D8C"/>
    <w:rsid w:val="00F65562"/>
    <w:rsid w:val="00F7534E"/>
    <w:rsid w:val="00F925F9"/>
    <w:rsid w:val="00F93EDF"/>
    <w:rsid w:val="00F97E25"/>
    <w:rsid w:val="00FA1385"/>
    <w:rsid w:val="00FA1802"/>
    <w:rsid w:val="00FA21D0"/>
    <w:rsid w:val="00FA3D59"/>
    <w:rsid w:val="00FA5F5F"/>
    <w:rsid w:val="00FB730C"/>
    <w:rsid w:val="00FC2695"/>
    <w:rsid w:val="00FC3E03"/>
    <w:rsid w:val="00FC3FC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qFormat/>
    <w:rsid w:val="004F5E36"/>
    <w:pPr>
      <w:tabs>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Testosegnaposto">
    <w:name w:val="Placeholder Text"/>
    <w:basedOn w:val="Carpredefinitoparagrafo"/>
    <w:uiPriority w:val="99"/>
    <w:semiHidden/>
    <w:rsid w:val="003F6A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5571">
      <w:bodyDiv w:val="1"/>
      <w:marLeft w:val="0"/>
      <w:marRight w:val="0"/>
      <w:marTop w:val="0"/>
      <w:marBottom w:val="0"/>
      <w:divBdr>
        <w:top w:val="none" w:sz="0" w:space="0" w:color="auto"/>
        <w:left w:val="none" w:sz="0" w:space="0" w:color="auto"/>
        <w:bottom w:val="none" w:sz="0" w:space="0" w:color="auto"/>
        <w:right w:val="none" w:sz="0" w:space="0" w:color="auto"/>
      </w:divBdr>
    </w:div>
    <w:div w:id="33164222">
      <w:bodyDiv w:val="1"/>
      <w:marLeft w:val="0"/>
      <w:marRight w:val="0"/>
      <w:marTop w:val="0"/>
      <w:marBottom w:val="0"/>
      <w:divBdr>
        <w:top w:val="none" w:sz="0" w:space="0" w:color="auto"/>
        <w:left w:val="none" w:sz="0" w:space="0" w:color="auto"/>
        <w:bottom w:val="none" w:sz="0" w:space="0" w:color="auto"/>
        <w:right w:val="none" w:sz="0" w:space="0" w:color="auto"/>
      </w:divBdr>
    </w:div>
    <w:div w:id="37777601">
      <w:bodyDiv w:val="1"/>
      <w:marLeft w:val="0"/>
      <w:marRight w:val="0"/>
      <w:marTop w:val="0"/>
      <w:marBottom w:val="0"/>
      <w:divBdr>
        <w:top w:val="none" w:sz="0" w:space="0" w:color="auto"/>
        <w:left w:val="none" w:sz="0" w:space="0" w:color="auto"/>
        <w:bottom w:val="none" w:sz="0" w:space="0" w:color="auto"/>
        <w:right w:val="none" w:sz="0" w:space="0" w:color="auto"/>
      </w:divBdr>
    </w:div>
    <w:div w:id="47463405">
      <w:bodyDiv w:val="1"/>
      <w:marLeft w:val="0"/>
      <w:marRight w:val="0"/>
      <w:marTop w:val="0"/>
      <w:marBottom w:val="0"/>
      <w:divBdr>
        <w:top w:val="none" w:sz="0" w:space="0" w:color="auto"/>
        <w:left w:val="none" w:sz="0" w:space="0" w:color="auto"/>
        <w:bottom w:val="none" w:sz="0" w:space="0" w:color="auto"/>
        <w:right w:val="none" w:sz="0" w:space="0" w:color="auto"/>
      </w:divBdr>
    </w:div>
    <w:div w:id="51513237">
      <w:bodyDiv w:val="1"/>
      <w:marLeft w:val="0"/>
      <w:marRight w:val="0"/>
      <w:marTop w:val="0"/>
      <w:marBottom w:val="0"/>
      <w:divBdr>
        <w:top w:val="none" w:sz="0" w:space="0" w:color="auto"/>
        <w:left w:val="none" w:sz="0" w:space="0" w:color="auto"/>
        <w:bottom w:val="none" w:sz="0" w:space="0" w:color="auto"/>
        <w:right w:val="none" w:sz="0" w:space="0" w:color="auto"/>
      </w:divBdr>
    </w:div>
    <w:div w:id="56560106">
      <w:bodyDiv w:val="1"/>
      <w:marLeft w:val="0"/>
      <w:marRight w:val="0"/>
      <w:marTop w:val="0"/>
      <w:marBottom w:val="0"/>
      <w:divBdr>
        <w:top w:val="none" w:sz="0" w:space="0" w:color="auto"/>
        <w:left w:val="none" w:sz="0" w:space="0" w:color="auto"/>
        <w:bottom w:val="none" w:sz="0" w:space="0" w:color="auto"/>
        <w:right w:val="none" w:sz="0" w:space="0" w:color="auto"/>
      </w:divBdr>
    </w:div>
    <w:div w:id="62728349">
      <w:bodyDiv w:val="1"/>
      <w:marLeft w:val="0"/>
      <w:marRight w:val="0"/>
      <w:marTop w:val="0"/>
      <w:marBottom w:val="0"/>
      <w:divBdr>
        <w:top w:val="none" w:sz="0" w:space="0" w:color="auto"/>
        <w:left w:val="none" w:sz="0" w:space="0" w:color="auto"/>
        <w:bottom w:val="none" w:sz="0" w:space="0" w:color="auto"/>
        <w:right w:val="none" w:sz="0" w:space="0" w:color="auto"/>
      </w:divBdr>
    </w:div>
    <w:div w:id="70467369">
      <w:bodyDiv w:val="1"/>
      <w:marLeft w:val="0"/>
      <w:marRight w:val="0"/>
      <w:marTop w:val="0"/>
      <w:marBottom w:val="0"/>
      <w:divBdr>
        <w:top w:val="none" w:sz="0" w:space="0" w:color="auto"/>
        <w:left w:val="none" w:sz="0" w:space="0" w:color="auto"/>
        <w:bottom w:val="none" w:sz="0" w:space="0" w:color="auto"/>
        <w:right w:val="none" w:sz="0" w:space="0" w:color="auto"/>
      </w:divBdr>
    </w:div>
    <w:div w:id="71706121">
      <w:bodyDiv w:val="1"/>
      <w:marLeft w:val="0"/>
      <w:marRight w:val="0"/>
      <w:marTop w:val="0"/>
      <w:marBottom w:val="0"/>
      <w:divBdr>
        <w:top w:val="none" w:sz="0" w:space="0" w:color="auto"/>
        <w:left w:val="none" w:sz="0" w:space="0" w:color="auto"/>
        <w:bottom w:val="none" w:sz="0" w:space="0" w:color="auto"/>
        <w:right w:val="none" w:sz="0" w:space="0" w:color="auto"/>
      </w:divBdr>
    </w:div>
    <w:div w:id="87236751">
      <w:bodyDiv w:val="1"/>
      <w:marLeft w:val="0"/>
      <w:marRight w:val="0"/>
      <w:marTop w:val="0"/>
      <w:marBottom w:val="0"/>
      <w:divBdr>
        <w:top w:val="none" w:sz="0" w:space="0" w:color="auto"/>
        <w:left w:val="none" w:sz="0" w:space="0" w:color="auto"/>
        <w:bottom w:val="none" w:sz="0" w:space="0" w:color="auto"/>
        <w:right w:val="none" w:sz="0" w:space="0" w:color="auto"/>
      </w:divBdr>
    </w:div>
    <w:div w:id="90049634">
      <w:bodyDiv w:val="1"/>
      <w:marLeft w:val="0"/>
      <w:marRight w:val="0"/>
      <w:marTop w:val="0"/>
      <w:marBottom w:val="0"/>
      <w:divBdr>
        <w:top w:val="none" w:sz="0" w:space="0" w:color="auto"/>
        <w:left w:val="none" w:sz="0" w:space="0" w:color="auto"/>
        <w:bottom w:val="none" w:sz="0" w:space="0" w:color="auto"/>
        <w:right w:val="none" w:sz="0" w:space="0" w:color="auto"/>
      </w:divBdr>
    </w:div>
    <w:div w:id="91174077">
      <w:bodyDiv w:val="1"/>
      <w:marLeft w:val="0"/>
      <w:marRight w:val="0"/>
      <w:marTop w:val="0"/>
      <w:marBottom w:val="0"/>
      <w:divBdr>
        <w:top w:val="none" w:sz="0" w:space="0" w:color="auto"/>
        <w:left w:val="none" w:sz="0" w:space="0" w:color="auto"/>
        <w:bottom w:val="none" w:sz="0" w:space="0" w:color="auto"/>
        <w:right w:val="none" w:sz="0" w:space="0" w:color="auto"/>
      </w:divBdr>
    </w:div>
    <w:div w:id="92014568">
      <w:bodyDiv w:val="1"/>
      <w:marLeft w:val="0"/>
      <w:marRight w:val="0"/>
      <w:marTop w:val="0"/>
      <w:marBottom w:val="0"/>
      <w:divBdr>
        <w:top w:val="none" w:sz="0" w:space="0" w:color="auto"/>
        <w:left w:val="none" w:sz="0" w:space="0" w:color="auto"/>
        <w:bottom w:val="none" w:sz="0" w:space="0" w:color="auto"/>
        <w:right w:val="none" w:sz="0" w:space="0" w:color="auto"/>
      </w:divBdr>
    </w:div>
    <w:div w:id="110249798">
      <w:bodyDiv w:val="1"/>
      <w:marLeft w:val="0"/>
      <w:marRight w:val="0"/>
      <w:marTop w:val="0"/>
      <w:marBottom w:val="0"/>
      <w:divBdr>
        <w:top w:val="none" w:sz="0" w:space="0" w:color="auto"/>
        <w:left w:val="none" w:sz="0" w:space="0" w:color="auto"/>
        <w:bottom w:val="none" w:sz="0" w:space="0" w:color="auto"/>
        <w:right w:val="none" w:sz="0" w:space="0" w:color="auto"/>
      </w:divBdr>
    </w:div>
    <w:div w:id="125511981">
      <w:bodyDiv w:val="1"/>
      <w:marLeft w:val="0"/>
      <w:marRight w:val="0"/>
      <w:marTop w:val="0"/>
      <w:marBottom w:val="0"/>
      <w:divBdr>
        <w:top w:val="none" w:sz="0" w:space="0" w:color="auto"/>
        <w:left w:val="none" w:sz="0" w:space="0" w:color="auto"/>
        <w:bottom w:val="none" w:sz="0" w:space="0" w:color="auto"/>
        <w:right w:val="none" w:sz="0" w:space="0" w:color="auto"/>
      </w:divBdr>
    </w:div>
    <w:div w:id="129328513">
      <w:bodyDiv w:val="1"/>
      <w:marLeft w:val="0"/>
      <w:marRight w:val="0"/>
      <w:marTop w:val="0"/>
      <w:marBottom w:val="0"/>
      <w:divBdr>
        <w:top w:val="none" w:sz="0" w:space="0" w:color="auto"/>
        <w:left w:val="none" w:sz="0" w:space="0" w:color="auto"/>
        <w:bottom w:val="none" w:sz="0" w:space="0" w:color="auto"/>
        <w:right w:val="none" w:sz="0" w:space="0" w:color="auto"/>
      </w:divBdr>
    </w:div>
    <w:div w:id="147794345">
      <w:bodyDiv w:val="1"/>
      <w:marLeft w:val="0"/>
      <w:marRight w:val="0"/>
      <w:marTop w:val="0"/>
      <w:marBottom w:val="0"/>
      <w:divBdr>
        <w:top w:val="none" w:sz="0" w:space="0" w:color="auto"/>
        <w:left w:val="none" w:sz="0" w:space="0" w:color="auto"/>
        <w:bottom w:val="none" w:sz="0" w:space="0" w:color="auto"/>
        <w:right w:val="none" w:sz="0" w:space="0" w:color="auto"/>
      </w:divBdr>
    </w:div>
    <w:div w:id="147862345">
      <w:bodyDiv w:val="1"/>
      <w:marLeft w:val="0"/>
      <w:marRight w:val="0"/>
      <w:marTop w:val="0"/>
      <w:marBottom w:val="0"/>
      <w:divBdr>
        <w:top w:val="none" w:sz="0" w:space="0" w:color="auto"/>
        <w:left w:val="none" w:sz="0" w:space="0" w:color="auto"/>
        <w:bottom w:val="none" w:sz="0" w:space="0" w:color="auto"/>
        <w:right w:val="none" w:sz="0" w:space="0" w:color="auto"/>
      </w:divBdr>
    </w:div>
    <w:div w:id="149490387">
      <w:bodyDiv w:val="1"/>
      <w:marLeft w:val="0"/>
      <w:marRight w:val="0"/>
      <w:marTop w:val="0"/>
      <w:marBottom w:val="0"/>
      <w:divBdr>
        <w:top w:val="none" w:sz="0" w:space="0" w:color="auto"/>
        <w:left w:val="none" w:sz="0" w:space="0" w:color="auto"/>
        <w:bottom w:val="none" w:sz="0" w:space="0" w:color="auto"/>
        <w:right w:val="none" w:sz="0" w:space="0" w:color="auto"/>
      </w:divBdr>
    </w:div>
    <w:div w:id="150146840">
      <w:bodyDiv w:val="1"/>
      <w:marLeft w:val="0"/>
      <w:marRight w:val="0"/>
      <w:marTop w:val="0"/>
      <w:marBottom w:val="0"/>
      <w:divBdr>
        <w:top w:val="none" w:sz="0" w:space="0" w:color="auto"/>
        <w:left w:val="none" w:sz="0" w:space="0" w:color="auto"/>
        <w:bottom w:val="none" w:sz="0" w:space="0" w:color="auto"/>
        <w:right w:val="none" w:sz="0" w:space="0" w:color="auto"/>
      </w:divBdr>
    </w:div>
    <w:div w:id="158230982">
      <w:bodyDiv w:val="1"/>
      <w:marLeft w:val="0"/>
      <w:marRight w:val="0"/>
      <w:marTop w:val="0"/>
      <w:marBottom w:val="0"/>
      <w:divBdr>
        <w:top w:val="none" w:sz="0" w:space="0" w:color="auto"/>
        <w:left w:val="none" w:sz="0" w:space="0" w:color="auto"/>
        <w:bottom w:val="none" w:sz="0" w:space="0" w:color="auto"/>
        <w:right w:val="none" w:sz="0" w:space="0" w:color="auto"/>
      </w:divBdr>
    </w:div>
    <w:div w:id="169954001">
      <w:bodyDiv w:val="1"/>
      <w:marLeft w:val="0"/>
      <w:marRight w:val="0"/>
      <w:marTop w:val="0"/>
      <w:marBottom w:val="0"/>
      <w:divBdr>
        <w:top w:val="none" w:sz="0" w:space="0" w:color="auto"/>
        <w:left w:val="none" w:sz="0" w:space="0" w:color="auto"/>
        <w:bottom w:val="none" w:sz="0" w:space="0" w:color="auto"/>
        <w:right w:val="none" w:sz="0" w:space="0" w:color="auto"/>
      </w:divBdr>
    </w:div>
    <w:div w:id="175191348">
      <w:bodyDiv w:val="1"/>
      <w:marLeft w:val="0"/>
      <w:marRight w:val="0"/>
      <w:marTop w:val="0"/>
      <w:marBottom w:val="0"/>
      <w:divBdr>
        <w:top w:val="none" w:sz="0" w:space="0" w:color="auto"/>
        <w:left w:val="none" w:sz="0" w:space="0" w:color="auto"/>
        <w:bottom w:val="none" w:sz="0" w:space="0" w:color="auto"/>
        <w:right w:val="none" w:sz="0" w:space="0" w:color="auto"/>
      </w:divBdr>
    </w:div>
    <w:div w:id="184289998">
      <w:bodyDiv w:val="1"/>
      <w:marLeft w:val="0"/>
      <w:marRight w:val="0"/>
      <w:marTop w:val="0"/>
      <w:marBottom w:val="0"/>
      <w:divBdr>
        <w:top w:val="none" w:sz="0" w:space="0" w:color="auto"/>
        <w:left w:val="none" w:sz="0" w:space="0" w:color="auto"/>
        <w:bottom w:val="none" w:sz="0" w:space="0" w:color="auto"/>
        <w:right w:val="none" w:sz="0" w:space="0" w:color="auto"/>
      </w:divBdr>
    </w:div>
    <w:div w:id="200284204">
      <w:bodyDiv w:val="1"/>
      <w:marLeft w:val="0"/>
      <w:marRight w:val="0"/>
      <w:marTop w:val="0"/>
      <w:marBottom w:val="0"/>
      <w:divBdr>
        <w:top w:val="none" w:sz="0" w:space="0" w:color="auto"/>
        <w:left w:val="none" w:sz="0" w:space="0" w:color="auto"/>
        <w:bottom w:val="none" w:sz="0" w:space="0" w:color="auto"/>
        <w:right w:val="none" w:sz="0" w:space="0" w:color="auto"/>
      </w:divBdr>
    </w:div>
    <w:div w:id="201401988">
      <w:bodyDiv w:val="1"/>
      <w:marLeft w:val="0"/>
      <w:marRight w:val="0"/>
      <w:marTop w:val="0"/>
      <w:marBottom w:val="0"/>
      <w:divBdr>
        <w:top w:val="none" w:sz="0" w:space="0" w:color="auto"/>
        <w:left w:val="none" w:sz="0" w:space="0" w:color="auto"/>
        <w:bottom w:val="none" w:sz="0" w:space="0" w:color="auto"/>
        <w:right w:val="none" w:sz="0" w:space="0" w:color="auto"/>
      </w:divBdr>
    </w:div>
    <w:div w:id="205945741">
      <w:bodyDiv w:val="1"/>
      <w:marLeft w:val="0"/>
      <w:marRight w:val="0"/>
      <w:marTop w:val="0"/>
      <w:marBottom w:val="0"/>
      <w:divBdr>
        <w:top w:val="none" w:sz="0" w:space="0" w:color="auto"/>
        <w:left w:val="none" w:sz="0" w:space="0" w:color="auto"/>
        <w:bottom w:val="none" w:sz="0" w:space="0" w:color="auto"/>
        <w:right w:val="none" w:sz="0" w:space="0" w:color="auto"/>
      </w:divBdr>
    </w:div>
    <w:div w:id="206838548">
      <w:bodyDiv w:val="1"/>
      <w:marLeft w:val="0"/>
      <w:marRight w:val="0"/>
      <w:marTop w:val="0"/>
      <w:marBottom w:val="0"/>
      <w:divBdr>
        <w:top w:val="none" w:sz="0" w:space="0" w:color="auto"/>
        <w:left w:val="none" w:sz="0" w:space="0" w:color="auto"/>
        <w:bottom w:val="none" w:sz="0" w:space="0" w:color="auto"/>
        <w:right w:val="none" w:sz="0" w:space="0" w:color="auto"/>
      </w:divBdr>
    </w:div>
    <w:div w:id="220679118">
      <w:bodyDiv w:val="1"/>
      <w:marLeft w:val="0"/>
      <w:marRight w:val="0"/>
      <w:marTop w:val="0"/>
      <w:marBottom w:val="0"/>
      <w:divBdr>
        <w:top w:val="none" w:sz="0" w:space="0" w:color="auto"/>
        <w:left w:val="none" w:sz="0" w:space="0" w:color="auto"/>
        <w:bottom w:val="none" w:sz="0" w:space="0" w:color="auto"/>
        <w:right w:val="none" w:sz="0" w:space="0" w:color="auto"/>
      </w:divBdr>
    </w:div>
    <w:div w:id="223832334">
      <w:bodyDiv w:val="1"/>
      <w:marLeft w:val="0"/>
      <w:marRight w:val="0"/>
      <w:marTop w:val="0"/>
      <w:marBottom w:val="0"/>
      <w:divBdr>
        <w:top w:val="none" w:sz="0" w:space="0" w:color="auto"/>
        <w:left w:val="none" w:sz="0" w:space="0" w:color="auto"/>
        <w:bottom w:val="none" w:sz="0" w:space="0" w:color="auto"/>
        <w:right w:val="none" w:sz="0" w:space="0" w:color="auto"/>
      </w:divBdr>
    </w:div>
    <w:div w:id="230121072">
      <w:bodyDiv w:val="1"/>
      <w:marLeft w:val="0"/>
      <w:marRight w:val="0"/>
      <w:marTop w:val="0"/>
      <w:marBottom w:val="0"/>
      <w:divBdr>
        <w:top w:val="none" w:sz="0" w:space="0" w:color="auto"/>
        <w:left w:val="none" w:sz="0" w:space="0" w:color="auto"/>
        <w:bottom w:val="none" w:sz="0" w:space="0" w:color="auto"/>
        <w:right w:val="none" w:sz="0" w:space="0" w:color="auto"/>
      </w:divBdr>
    </w:div>
    <w:div w:id="234898529">
      <w:bodyDiv w:val="1"/>
      <w:marLeft w:val="0"/>
      <w:marRight w:val="0"/>
      <w:marTop w:val="0"/>
      <w:marBottom w:val="0"/>
      <w:divBdr>
        <w:top w:val="none" w:sz="0" w:space="0" w:color="auto"/>
        <w:left w:val="none" w:sz="0" w:space="0" w:color="auto"/>
        <w:bottom w:val="none" w:sz="0" w:space="0" w:color="auto"/>
        <w:right w:val="none" w:sz="0" w:space="0" w:color="auto"/>
      </w:divBdr>
    </w:div>
    <w:div w:id="235239693">
      <w:bodyDiv w:val="1"/>
      <w:marLeft w:val="0"/>
      <w:marRight w:val="0"/>
      <w:marTop w:val="0"/>
      <w:marBottom w:val="0"/>
      <w:divBdr>
        <w:top w:val="none" w:sz="0" w:space="0" w:color="auto"/>
        <w:left w:val="none" w:sz="0" w:space="0" w:color="auto"/>
        <w:bottom w:val="none" w:sz="0" w:space="0" w:color="auto"/>
        <w:right w:val="none" w:sz="0" w:space="0" w:color="auto"/>
      </w:divBdr>
    </w:div>
    <w:div w:id="243028035">
      <w:bodyDiv w:val="1"/>
      <w:marLeft w:val="0"/>
      <w:marRight w:val="0"/>
      <w:marTop w:val="0"/>
      <w:marBottom w:val="0"/>
      <w:divBdr>
        <w:top w:val="none" w:sz="0" w:space="0" w:color="auto"/>
        <w:left w:val="none" w:sz="0" w:space="0" w:color="auto"/>
        <w:bottom w:val="none" w:sz="0" w:space="0" w:color="auto"/>
        <w:right w:val="none" w:sz="0" w:space="0" w:color="auto"/>
      </w:divBdr>
    </w:div>
    <w:div w:id="244997461">
      <w:bodyDiv w:val="1"/>
      <w:marLeft w:val="0"/>
      <w:marRight w:val="0"/>
      <w:marTop w:val="0"/>
      <w:marBottom w:val="0"/>
      <w:divBdr>
        <w:top w:val="none" w:sz="0" w:space="0" w:color="auto"/>
        <w:left w:val="none" w:sz="0" w:space="0" w:color="auto"/>
        <w:bottom w:val="none" w:sz="0" w:space="0" w:color="auto"/>
        <w:right w:val="none" w:sz="0" w:space="0" w:color="auto"/>
      </w:divBdr>
    </w:div>
    <w:div w:id="249312704">
      <w:bodyDiv w:val="1"/>
      <w:marLeft w:val="0"/>
      <w:marRight w:val="0"/>
      <w:marTop w:val="0"/>
      <w:marBottom w:val="0"/>
      <w:divBdr>
        <w:top w:val="none" w:sz="0" w:space="0" w:color="auto"/>
        <w:left w:val="none" w:sz="0" w:space="0" w:color="auto"/>
        <w:bottom w:val="none" w:sz="0" w:space="0" w:color="auto"/>
        <w:right w:val="none" w:sz="0" w:space="0" w:color="auto"/>
      </w:divBdr>
    </w:div>
    <w:div w:id="271935588">
      <w:bodyDiv w:val="1"/>
      <w:marLeft w:val="0"/>
      <w:marRight w:val="0"/>
      <w:marTop w:val="0"/>
      <w:marBottom w:val="0"/>
      <w:divBdr>
        <w:top w:val="none" w:sz="0" w:space="0" w:color="auto"/>
        <w:left w:val="none" w:sz="0" w:space="0" w:color="auto"/>
        <w:bottom w:val="none" w:sz="0" w:space="0" w:color="auto"/>
        <w:right w:val="none" w:sz="0" w:space="0" w:color="auto"/>
      </w:divBdr>
    </w:div>
    <w:div w:id="277764494">
      <w:bodyDiv w:val="1"/>
      <w:marLeft w:val="0"/>
      <w:marRight w:val="0"/>
      <w:marTop w:val="0"/>
      <w:marBottom w:val="0"/>
      <w:divBdr>
        <w:top w:val="none" w:sz="0" w:space="0" w:color="auto"/>
        <w:left w:val="none" w:sz="0" w:space="0" w:color="auto"/>
        <w:bottom w:val="none" w:sz="0" w:space="0" w:color="auto"/>
        <w:right w:val="none" w:sz="0" w:space="0" w:color="auto"/>
      </w:divBdr>
    </w:div>
    <w:div w:id="283004550">
      <w:bodyDiv w:val="1"/>
      <w:marLeft w:val="0"/>
      <w:marRight w:val="0"/>
      <w:marTop w:val="0"/>
      <w:marBottom w:val="0"/>
      <w:divBdr>
        <w:top w:val="none" w:sz="0" w:space="0" w:color="auto"/>
        <w:left w:val="none" w:sz="0" w:space="0" w:color="auto"/>
        <w:bottom w:val="none" w:sz="0" w:space="0" w:color="auto"/>
        <w:right w:val="none" w:sz="0" w:space="0" w:color="auto"/>
      </w:divBdr>
    </w:div>
    <w:div w:id="329144863">
      <w:bodyDiv w:val="1"/>
      <w:marLeft w:val="0"/>
      <w:marRight w:val="0"/>
      <w:marTop w:val="0"/>
      <w:marBottom w:val="0"/>
      <w:divBdr>
        <w:top w:val="none" w:sz="0" w:space="0" w:color="auto"/>
        <w:left w:val="none" w:sz="0" w:space="0" w:color="auto"/>
        <w:bottom w:val="none" w:sz="0" w:space="0" w:color="auto"/>
        <w:right w:val="none" w:sz="0" w:space="0" w:color="auto"/>
      </w:divBdr>
    </w:div>
    <w:div w:id="347104064">
      <w:bodyDiv w:val="1"/>
      <w:marLeft w:val="0"/>
      <w:marRight w:val="0"/>
      <w:marTop w:val="0"/>
      <w:marBottom w:val="0"/>
      <w:divBdr>
        <w:top w:val="none" w:sz="0" w:space="0" w:color="auto"/>
        <w:left w:val="none" w:sz="0" w:space="0" w:color="auto"/>
        <w:bottom w:val="none" w:sz="0" w:space="0" w:color="auto"/>
        <w:right w:val="none" w:sz="0" w:space="0" w:color="auto"/>
      </w:divBdr>
    </w:div>
    <w:div w:id="349335679">
      <w:bodyDiv w:val="1"/>
      <w:marLeft w:val="0"/>
      <w:marRight w:val="0"/>
      <w:marTop w:val="0"/>
      <w:marBottom w:val="0"/>
      <w:divBdr>
        <w:top w:val="none" w:sz="0" w:space="0" w:color="auto"/>
        <w:left w:val="none" w:sz="0" w:space="0" w:color="auto"/>
        <w:bottom w:val="none" w:sz="0" w:space="0" w:color="auto"/>
        <w:right w:val="none" w:sz="0" w:space="0" w:color="auto"/>
      </w:divBdr>
    </w:div>
    <w:div w:id="364333258">
      <w:bodyDiv w:val="1"/>
      <w:marLeft w:val="0"/>
      <w:marRight w:val="0"/>
      <w:marTop w:val="0"/>
      <w:marBottom w:val="0"/>
      <w:divBdr>
        <w:top w:val="none" w:sz="0" w:space="0" w:color="auto"/>
        <w:left w:val="none" w:sz="0" w:space="0" w:color="auto"/>
        <w:bottom w:val="none" w:sz="0" w:space="0" w:color="auto"/>
        <w:right w:val="none" w:sz="0" w:space="0" w:color="auto"/>
      </w:divBdr>
    </w:div>
    <w:div w:id="378940029">
      <w:bodyDiv w:val="1"/>
      <w:marLeft w:val="0"/>
      <w:marRight w:val="0"/>
      <w:marTop w:val="0"/>
      <w:marBottom w:val="0"/>
      <w:divBdr>
        <w:top w:val="none" w:sz="0" w:space="0" w:color="auto"/>
        <w:left w:val="none" w:sz="0" w:space="0" w:color="auto"/>
        <w:bottom w:val="none" w:sz="0" w:space="0" w:color="auto"/>
        <w:right w:val="none" w:sz="0" w:space="0" w:color="auto"/>
      </w:divBdr>
    </w:div>
    <w:div w:id="390618353">
      <w:bodyDiv w:val="1"/>
      <w:marLeft w:val="0"/>
      <w:marRight w:val="0"/>
      <w:marTop w:val="0"/>
      <w:marBottom w:val="0"/>
      <w:divBdr>
        <w:top w:val="none" w:sz="0" w:space="0" w:color="auto"/>
        <w:left w:val="none" w:sz="0" w:space="0" w:color="auto"/>
        <w:bottom w:val="none" w:sz="0" w:space="0" w:color="auto"/>
        <w:right w:val="none" w:sz="0" w:space="0" w:color="auto"/>
      </w:divBdr>
    </w:div>
    <w:div w:id="396515684">
      <w:bodyDiv w:val="1"/>
      <w:marLeft w:val="0"/>
      <w:marRight w:val="0"/>
      <w:marTop w:val="0"/>
      <w:marBottom w:val="0"/>
      <w:divBdr>
        <w:top w:val="none" w:sz="0" w:space="0" w:color="auto"/>
        <w:left w:val="none" w:sz="0" w:space="0" w:color="auto"/>
        <w:bottom w:val="none" w:sz="0" w:space="0" w:color="auto"/>
        <w:right w:val="none" w:sz="0" w:space="0" w:color="auto"/>
      </w:divBdr>
    </w:div>
    <w:div w:id="399330382">
      <w:bodyDiv w:val="1"/>
      <w:marLeft w:val="0"/>
      <w:marRight w:val="0"/>
      <w:marTop w:val="0"/>
      <w:marBottom w:val="0"/>
      <w:divBdr>
        <w:top w:val="none" w:sz="0" w:space="0" w:color="auto"/>
        <w:left w:val="none" w:sz="0" w:space="0" w:color="auto"/>
        <w:bottom w:val="none" w:sz="0" w:space="0" w:color="auto"/>
        <w:right w:val="none" w:sz="0" w:space="0" w:color="auto"/>
      </w:divBdr>
    </w:div>
    <w:div w:id="399914080">
      <w:bodyDiv w:val="1"/>
      <w:marLeft w:val="0"/>
      <w:marRight w:val="0"/>
      <w:marTop w:val="0"/>
      <w:marBottom w:val="0"/>
      <w:divBdr>
        <w:top w:val="none" w:sz="0" w:space="0" w:color="auto"/>
        <w:left w:val="none" w:sz="0" w:space="0" w:color="auto"/>
        <w:bottom w:val="none" w:sz="0" w:space="0" w:color="auto"/>
        <w:right w:val="none" w:sz="0" w:space="0" w:color="auto"/>
      </w:divBdr>
    </w:div>
    <w:div w:id="403069165">
      <w:bodyDiv w:val="1"/>
      <w:marLeft w:val="0"/>
      <w:marRight w:val="0"/>
      <w:marTop w:val="0"/>
      <w:marBottom w:val="0"/>
      <w:divBdr>
        <w:top w:val="none" w:sz="0" w:space="0" w:color="auto"/>
        <w:left w:val="none" w:sz="0" w:space="0" w:color="auto"/>
        <w:bottom w:val="none" w:sz="0" w:space="0" w:color="auto"/>
        <w:right w:val="none" w:sz="0" w:space="0" w:color="auto"/>
      </w:divBdr>
    </w:div>
    <w:div w:id="407189176">
      <w:bodyDiv w:val="1"/>
      <w:marLeft w:val="0"/>
      <w:marRight w:val="0"/>
      <w:marTop w:val="0"/>
      <w:marBottom w:val="0"/>
      <w:divBdr>
        <w:top w:val="none" w:sz="0" w:space="0" w:color="auto"/>
        <w:left w:val="none" w:sz="0" w:space="0" w:color="auto"/>
        <w:bottom w:val="none" w:sz="0" w:space="0" w:color="auto"/>
        <w:right w:val="none" w:sz="0" w:space="0" w:color="auto"/>
      </w:divBdr>
    </w:div>
    <w:div w:id="418524072">
      <w:bodyDiv w:val="1"/>
      <w:marLeft w:val="0"/>
      <w:marRight w:val="0"/>
      <w:marTop w:val="0"/>
      <w:marBottom w:val="0"/>
      <w:divBdr>
        <w:top w:val="none" w:sz="0" w:space="0" w:color="auto"/>
        <w:left w:val="none" w:sz="0" w:space="0" w:color="auto"/>
        <w:bottom w:val="none" w:sz="0" w:space="0" w:color="auto"/>
        <w:right w:val="none" w:sz="0" w:space="0" w:color="auto"/>
      </w:divBdr>
    </w:div>
    <w:div w:id="418715625">
      <w:bodyDiv w:val="1"/>
      <w:marLeft w:val="0"/>
      <w:marRight w:val="0"/>
      <w:marTop w:val="0"/>
      <w:marBottom w:val="0"/>
      <w:divBdr>
        <w:top w:val="none" w:sz="0" w:space="0" w:color="auto"/>
        <w:left w:val="none" w:sz="0" w:space="0" w:color="auto"/>
        <w:bottom w:val="none" w:sz="0" w:space="0" w:color="auto"/>
        <w:right w:val="none" w:sz="0" w:space="0" w:color="auto"/>
      </w:divBdr>
    </w:div>
    <w:div w:id="421069299">
      <w:bodyDiv w:val="1"/>
      <w:marLeft w:val="0"/>
      <w:marRight w:val="0"/>
      <w:marTop w:val="0"/>
      <w:marBottom w:val="0"/>
      <w:divBdr>
        <w:top w:val="none" w:sz="0" w:space="0" w:color="auto"/>
        <w:left w:val="none" w:sz="0" w:space="0" w:color="auto"/>
        <w:bottom w:val="none" w:sz="0" w:space="0" w:color="auto"/>
        <w:right w:val="none" w:sz="0" w:space="0" w:color="auto"/>
      </w:divBdr>
    </w:div>
    <w:div w:id="423890173">
      <w:bodyDiv w:val="1"/>
      <w:marLeft w:val="0"/>
      <w:marRight w:val="0"/>
      <w:marTop w:val="0"/>
      <w:marBottom w:val="0"/>
      <w:divBdr>
        <w:top w:val="none" w:sz="0" w:space="0" w:color="auto"/>
        <w:left w:val="none" w:sz="0" w:space="0" w:color="auto"/>
        <w:bottom w:val="none" w:sz="0" w:space="0" w:color="auto"/>
        <w:right w:val="none" w:sz="0" w:space="0" w:color="auto"/>
      </w:divBdr>
    </w:div>
    <w:div w:id="424108948">
      <w:bodyDiv w:val="1"/>
      <w:marLeft w:val="0"/>
      <w:marRight w:val="0"/>
      <w:marTop w:val="0"/>
      <w:marBottom w:val="0"/>
      <w:divBdr>
        <w:top w:val="none" w:sz="0" w:space="0" w:color="auto"/>
        <w:left w:val="none" w:sz="0" w:space="0" w:color="auto"/>
        <w:bottom w:val="none" w:sz="0" w:space="0" w:color="auto"/>
        <w:right w:val="none" w:sz="0" w:space="0" w:color="auto"/>
      </w:divBdr>
    </w:div>
    <w:div w:id="429741400">
      <w:bodyDiv w:val="1"/>
      <w:marLeft w:val="0"/>
      <w:marRight w:val="0"/>
      <w:marTop w:val="0"/>
      <w:marBottom w:val="0"/>
      <w:divBdr>
        <w:top w:val="none" w:sz="0" w:space="0" w:color="auto"/>
        <w:left w:val="none" w:sz="0" w:space="0" w:color="auto"/>
        <w:bottom w:val="none" w:sz="0" w:space="0" w:color="auto"/>
        <w:right w:val="none" w:sz="0" w:space="0" w:color="auto"/>
      </w:divBdr>
    </w:div>
    <w:div w:id="429860607">
      <w:bodyDiv w:val="1"/>
      <w:marLeft w:val="0"/>
      <w:marRight w:val="0"/>
      <w:marTop w:val="0"/>
      <w:marBottom w:val="0"/>
      <w:divBdr>
        <w:top w:val="none" w:sz="0" w:space="0" w:color="auto"/>
        <w:left w:val="none" w:sz="0" w:space="0" w:color="auto"/>
        <w:bottom w:val="none" w:sz="0" w:space="0" w:color="auto"/>
        <w:right w:val="none" w:sz="0" w:space="0" w:color="auto"/>
      </w:divBdr>
    </w:div>
    <w:div w:id="430248162">
      <w:bodyDiv w:val="1"/>
      <w:marLeft w:val="0"/>
      <w:marRight w:val="0"/>
      <w:marTop w:val="0"/>
      <w:marBottom w:val="0"/>
      <w:divBdr>
        <w:top w:val="none" w:sz="0" w:space="0" w:color="auto"/>
        <w:left w:val="none" w:sz="0" w:space="0" w:color="auto"/>
        <w:bottom w:val="none" w:sz="0" w:space="0" w:color="auto"/>
        <w:right w:val="none" w:sz="0" w:space="0" w:color="auto"/>
      </w:divBdr>
    </w:div>
    <w:div w:id="438306220">
      <w:bodyDiv w:val="1"/>
      <w:marLeft w:val="0"/>
      <w:marRight w:val="0"/>
      <w:marTop w:val="0"/>
      <w:marBottom w:val="0"/>
      <w:divBdr>
        <w:top w:val="none" w:sz="0" w:space="0" w:color="auto"/>
        <w:left w:val="none" w:sz="0" w:space="0" w:color="auto"/>
        <w:bottom w:val="none" w:sz="0" w:space="0" w:color="auto"/>
        <w:right w:val="none" w:sz="0" w:space="0" w:color="auto"/>
      </w:divBdr>
    </w:div>
    <w:div w:id="471141958">
      <w:bodyDiv w:val="1"/>
      <w:marLeft w:val="0"/>
      <w:marRight w:val="0"/>
      <w:marTop w:val="0"/>
      <w:marBottom w:val="0"/>
      <w:divBdr>
        <w:top w:val="none" w:sz="0" w:space="0" w:color="auto"/>
        <w:left w:val="none" w:sz="0" w:space="0" w:color="auto"/>
        <w:bottom w:val="none" w:sz="0" w:space="0" w:color="auto"/>
        <w:right w:val="none" w:sz="0" w:space="0" w:color="auto"/>
      </w:divBdr>
    </w:div>
    <w:div w:id="472869045">
      <w:bodyDiv w:val="1"/>
      <w:marLeft w:val="0"/>
      <w:marRight w:val="0"/>
      <w:marTop w:val="0"/>
      <w:marBottom w:val="0"/>
      <w:divBdr>
        <w:top w:val="none" w:sz="0" w:space="0" w:color="auto"/>
        <w:left w:val="none" w:sz="0" w:space="0" w:color="auto"/>
        <w:bottom w:val="none" w:sz="0" w:space="0" w:color="auto"/>
        <w:right w:val="none" w:sz="0" w:space="0" w:color="auto"/>
      </w:divBdr>
    </w:div>
    <w:div w:id="477112542">
      <w:bodyDiv w:val="1"/>
      <w:marLeft w:val="0"/>
      <w:marRight w:val="0"/>
      <w:marTop w:val="0"/>
      <w:marBottom w:val="0"/>
      <w:divBdr>
        <w:top w:val="none" w:sz="0" w:space="0" w:color="auto"/>
        <w:left w:val="none" w:sz="0" w:space="0" w:color="auto"/>
        <w:bottom w:val="none" w:sz="0" w:space="0" w:color="auto"/>
        <w:right w:val="none" w:sz="0" w:space="0" w:color="auto"/>
      </w:divBdr>
    </w:div>
    <w:div w:id="478764242">
      <w:bodyDiv w:val="1"/>
      <w:marLeft w:val="0"/>
      <w:marRight w:val="0"/>
      <w:marTop w:val="0"/>
      <w:marBottom w:val="0"/>
      <w:divBdr>
        <w:top w:val="none" w:sz="0" w:space="0" w:color="auto"/>
        <w:left w:val="none" w:sz="0" w:space="0" w:color="auto"/>
        <w:bottom w:val="none" w:sz="0" w:space="0" w:color="auto"/>
        <w:right w:val="none" w:sz="0" w:space="0" w:color="auto"/>
      </w:divBdr>
    </w:div>
    <w:div w:id="482741457">
      <w:bodyDiv w:val="1"/>
      <w:marLeft w:val="0"/>
      <w:marRight w:val="0"/>
      <w:marTop w:val="0"/>
      <w:marBottom w:val="0"/>
      <w:divBdr>
        <w:top w:val="none" w:sz="0" w:space="0" w:color="auto"/>
        <w:left w:val="none" w:sz="0" w:space="0" w:color="auto"/>
        <w:bottom w:val="none" w:sz="0" w:space="0" w:color="auto"/>
        <w:right w:val="none" w:sz="0" w:space="0" w:color="auto"/>
      </w:divBdr>
    </w:div>
    <w:div w:id="497886989">
      <w:bodyDiv w:val="1"/>
      <w:marLeft w:val="0"/>
      <w:marRight w:val="0"/>
      <w:marTop w:val="0"/>
      <w:marBottom w:val="0"/>
      <w:divBdr>
        <w:top w:val="none" w:sz="0" w:space="0" w:color="auto"/>
        <w:left w:val="none" w:sz="0" w:space="0" w:color="auto"/>
        <w:bottom w:val="none" w:sz="0" w:space="0" w:color="auto"/>
        <w:right w:val="none" w:sz="0" w:space="0" w:color="auto"/>
      </w:divBdr>
    </w:div>
    <w:div w:id="515850103">
      <w:bodyDiv w:val="1"/>
      <w:marLeft w:val="0"/>
      <w:marRight w:val="0"/>
      <w:marTop w:val="0"/>
      <w:marBottom w:val="0"/>
      <w:divBdr>
        <w:top w:val="none" w:sz="0" w:space="0" w:color="auto"/>
        <w:left w:val="none" w:sz="0" w:space="0" w:color="auto"/>
        <w:bottom w:val="none" w:sz="0" w:space="0" w:color="auto"/>
        <w:right w:val="none" w:sz="0" w:space="0" w:color="auto"/>
      </w:divBdr>
    </w:div>
    <w:div w:id="534461528">
      <w:bodyDiv w:val="1"/>
      <w:marLeft w:val="0"/>
      <w:marRight w:val="0"/>
      <w:marTop w:val="0"/>
      <w:marBottom w:val="0"/>
      <w:divBdr>
        <w:top w:val="none" w:sz="0" w:space="0" w:color="auto"/>
        <w:left w:val="none" w:sz="0" w:space="0" w:color="auto"/>
        <w:bottom w:val="none" w:sz="0" w:space="0" w:color="auto"/>
        <w:right w:val="none" w:sz="0" w:space="0" w:color="auto"/>
      </w:divBdr>
    </w:div>
    <w:div w:id="544830465">
      <w:bodyDiv w:val="1"/>
      <w:marLeft w:val="0"/>
      <w:marRight w:val="0"/>
      <w:marTop w:val="0"/>
      <w:marBottom w:val="0"/>
      <w:divBdr>
        <w:top w:val="none" w:sz="0" w:space="0" w:color="auto"/>
        <w:left w:val="none" w:sz="0" w:space="0" w:color="auto"/>
        <w:bottom w:val="none" w:sz="0" w:space="0" w:color="auto"/>
        <w:right w:val="none" w:sz="0" w:space="0" w:color="auto"/>
      </w:divBdr>
    </w:div>
    <w:div w:id="572275889">
      <w:bodyDiv w:val="1"/>
      <w:marLeft w:val="0"/>
      <w:marRight w:val="0"/>
      <w:marTop w:val="0"/>
      <w:marBottom w:val="0"/>
      <w:divBdr>
        <w:top w:val="none" w:sz="0" w:space="0" w:color="auto"/>
        <w:left w:val="none" w:sz="0" w:space="0" w:color="auto"/>
        <w:bottom w:val="none" w:sz="0" w:space="0" w:color="auto"/>
        <w:right w:val="none" w:sz="0" w:space="0" w:color="auto"/>
      </w:divBdr>
    </w:div>
    <w:div w:id="574244723">
      <w:bodyDiv w:val="1"/>
      <w:marLeft w:val="0"/>
      <w:marRight w:val="0"/>
      <w:marTop w:val="0"/>
      <w:marBottom w:val="0"/>
      <w:divBdr>
        <w:top w:val="none" w:sz="0" w:space="0" w:color="auto"/>
        <w:left w:val="none" w:sz="0" w:space="0" w:color="auto"/>
        <w:bottom w:val="none" w:sz="0" w:space="0" w:color="auto"/>
        <w:right w:val="none" w:sz="0" w:space="0" w:color="auto"/>
      </w:divBdr>
      <w:divsChild>
        <w:div w:id="1436292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069444">
      <w:bodyDiv w:val="1"/>
      <w:marLeft w:val="0"/>
      <w:marRight w:val="0"/>
      <w:marTop w:val="0"/>
      <w:marBottom w:val="0"/>
      <w:divBdr>
        <w:top w:val="none" w:sz="0" w:space="0" w:color="auto"/>
        <w:left w:val="none" w:sz="0" w:space="0" w:color="auto"/>
        <w:bottom w:val="none" w:sz="0" w:space="0" w:color="auto"/>
        <w:right w:val="none" w:sz="0" w:space="0" w:color="auto"/>
      </w:divBdr>
    </w:div>
    <w:div w:id="580527913">
      <w:bodyDiv w:val="1"/>
      <w:marLeft w:val="0"/>
      <w:marRight w:val="0"/>
      <w:marTop w:val="0"/>
      <w:marBottom w:val="0"/>
      <w:divBdr>
        <w:top w:val="none" w:sz="0" w:space="0" w:color="auto"/>
        <w:left w:val="none" w:sz="0" w:space="0" w:color="auto"/>
        <w:bottom w:val="none" w:sz="0" w:space="0" w:color="auto"/>
        <w:right w:val="none" w:sz="0" w:space="0" w:color="auto"/>
      </w:divBdr>
    </w:div>
    <w:div w:id="581530925">
      <w:bodyDiv w:val="1"/>
      <w:marLeft w:val="0"/>
      <w:marRight w:val="0"/>
      <w:marTop w:val="0"/>
      <w:marBottom w:val="0"/>
      <w:divBdr>
        <w:top w:val="none" w:sz="0" w:space="0" w:color="auto"/>
        <w:left w:val="none" w:sz="0" w:space="0" w:color="auto"/>
        <w:bottom w:val="none" w:sz="0" w:space="0" w:color="auto"/>
        <w:right w:val="none" w:sz="0" w:space="0" w:color="auto"/>
      </w:divBdr>
    </w:div>
    <w:div w:id="584917229">
      <w:bodyDiv w:val="1"/>
      <w:marLeft w:val="0"/>
      <w:marRight w:val="0"/>
      <w:marTop w:val="0"/>
      <w:marBottom w:val="0"/>
      <w:divBdr>
        <w:top w:val="none" w:sz="0" w:space="0" w:color="auto"/>
        <w:left w:val="none" w:sz="0" w:space="0" w:color="auto"/>
        <w:bottom w:val="none" w:sz="0" w:space="0" w:color="auto"/>
        <w:right w:val="none" w:sz="0" w:space="0" w:color="auto"/>
      </w:divBdr>
    </w:div>
    <w:div w:id="593173949">
      <w:bodyDiv w:val="1"/>
      <w:marLeft w:val="0"/>
      <w:marRight w:val="0"/>
      <w:marTop w:val="0"/>
      <w:marBottom w:val="0"/>
      <w:divBdr>
        <w:top w:val="none" w:sz="0" w:space="0" w:color="auto"/>
        <w:left w:val="none" w:sz="0" w:space="0" w:color="auto"/>
        <w:bottom w:val="none" w:sz="0" w:space="0" w:color="auto"/>
        <w:right w:val="none" w:sz="0" w:space="0" w:color="auto"/>
      </w:divBdr>
    </w:div>
    <w:div w:id="593831331">
      <w:bodyDiv w:val="1"/>
      <w:marLeft w:val="0"/>
      <w:marRight w:val="0"/>
      <w:marTop w:val="0"/>
      <w:marBottom w:val="0"/>
      <w:divBdr>
        <w:top w:val="none" w:sz="0" w:space="0" w:color="auto"/>
        <w:left w:val="none" w:sz="0" w:space="0" w:color="auto"/>
        <w:bottom w:val="none" w:sz="0" w:space="0" w:color="auto"/>
        <w:right w:val="none" w:sz="0" w:space="0" w:color="auto"/>
      </w:divBdr>
    </w:div>
    <w:div w:id="606544773">
      <w:bodyDiv w:val="1"/>
      <w:marLeft w:val="0"/>
      <w:marRight w:val="0"/>
      <w:marTop w:val="0"/>
      <w:marBottom w:val="0"/>
      <w:divBdr>
        <w:top w:val="none" w:sz="0" w:space="0" w:color="auto"/>
        <w:left w:val="none" w:sz="0" w:space="0" w:color="auto"/>
        <w:bottom w:val="none" w:sz="0" w:space="0" w:color="auto"/>
        <w:right w:val="none" w:sz="0" w:space="0" w:color="auto"/>
      </w:divBdr>
    </w:div>
    <w:div w:id="616377572">
      <w:bodyDiv w:val="1"/>
      <w:marLeft w:val="0"/>
      <w:marRight w:val="0"/>
      <w:marTop w:val="0"/>
      <w:marBottom w:val="0"/>
      <w:divBdr>
        <w:top w:val="none" w:sz="0" w:space="0" w:color="auto"/>
        <w:left w:val="none" w:sz="0" w:space="0" w:color="auto"/>
        <w:bottom w:val="none" w:sz="0" w:space="0" w:color="auto"/>
        <w:right w:val="none" w:sz="0" w:space="0" w:color="auto"/>
      </w:divBdr>
    </w:div>
    <w:div w:id="623660695">
      <w:bodyDiv w:val="1"/>
      <w:marLeft w:val="0"/>
      <w:marRight w:val="0"/>
      <w:marTop w:val="0"/>
      <w:marBottom w:val="0"/>
      <w:divBdr>
        <w:top w:val="none" w:sz="0" w:space="0" w:color="auto"/>
        <w:left w:val="none" w:sz="0" w:space="0" w:color="auto"/>
        <w:bottom w:val="none" w:sz="0" w:space="0" w:color="auto"/>
        <w:right w:val="none" w:sz="0" w:space="0" w:color="auto"/>
      </w:divBdr>
    </w:div>
    <w:div w:id="653489147">
      <w:bodyDiv w:val="1"/>
      <w:marLeft w:val="0"/>
      <w:marRight w:val="0"/>
      <w:marTop w:val="0"/>
      <w:marBottom w:val="0"/>
      <w:divBdr>
        <w:top w:val="none" w:sz="0" w:space="0" w:color="auto"/>
        <w:left w:val="none" w:sz="0" w:space="0" w:color="auto"/>
        <w:bottom w:val="none" w:sz="0" w:space="0" w:color="auto"/>
        <w:right w:val="none" w:sz="0" w:space="0" w:color="auto"/>
      </w:divBdr>
    </w:div>
    <w:div w:id="654182332">
      <w:bodyDiv w:val="1"/>
      <w:marLeft w:val="0"/>
      <w:marRight w:val="0"/>
      <w:marTop w:val="0"/>
      <w:marBottom w:val="0"/>
      <w:divBdr>
        <w:top w:val="none" w:sz="0" w:space="0" w:color="auto"/>
        <w:left w:val="none" w:sz="0" w:space="0" w:color="auto"/>
        <w:bottom w:val="none" w:sz="0" w:space="0" w:color="auto"/>
        <w:right w:val="none" w:sz="0" w:space="0" w:color="auto"/>
      </w:divBdr>
    </w:div>
    <w:div w:id="670379386">
      <w:bodyDiv w:val="1"/>
      <w:marLeft w:val="0"/>
      <w:marRight w:val="0"/>
      <w:marTop w:val="0"/>
      <w:marBottom w:val="0"/>
      <w:divBdr>
        <w:top w:val="none" w:sz="0" w:space="0" w:color="auto"/>
        <w:left w:val="none" w:sz="0" w:space="0" w:color="auto"/>
        <w:bottom w:val="none" w:sz="0" w:space="0" w:color="auto"/>
        <w:right w:val="none" w:sz="0" w:space="0" w:color="auto"/>
      </w:divBdr>
    </w:div>
    <w:div w:id="672298857">
      <w:bodyDiv w:val="1"/>
      <w:marLeft w:val="0"/>
      <w:marRight w:val="0"/>
      <w:marTop w:val="0"/>
      <w:marBottom w:val="0"/>
      <w:divBdr>
        <w:top w:val="none" w:sz="0" w:space="0" w:color="auto"/>
        <w:left w:val="none" w:sz="0" w:space="0" w:color="auto"/>
        <w:bottom w:val="none" w:sz="0" w:space="0" w:color="auto"/>
        <w:right w:val="none" w:sz="0" w:space="0" w:color="auto"/>
      </w:divBdr>
    </w:div>
    <w:div w:id="677387343">
      <w:bodyDiv w:val="1"/>
      <w:marLeft w:val="0"/>
      <w:marRight w:val="0"/>
      <w:marTop w:val="0"/>
      <w:marBottom w:val="0"/>
      <w:divBdr>
        <w:top w:val="none" w:sz="0" w:space="0" w:color="auto"/>
        <w:left w:val="none" w:sz="0" w:space="0" w:color="auto"/>
        <w:bottom w:val="none" w:sz="0" w:space="0" w:color="auto"/>
        <w:right w:val="none" w:sz="0" w:space="0" w:color="auto"/>
      </w:divBdr>
    </w:div>
    <w:div w:id="677930415">
      <w:bodyDiv w:val="1"/>
      <w:marLeft w:val="0"/>
      <w:marRight w:val="0"/>
      <w:marTop w:val="0"/>
      <w:marBottom w:val="0"/>
      <w:divBdr>
        <w:top w:val="none" w:sz="0" w:space="0" w:color="auto"/>
        <w:left w:val="none" w:sz="0" w:space="0" w:color="auto"/>
        <w:bottom w:val="none" w:sz="0" w:space="0" w:color="auto"/>
        <w:right w:val="none" w:sz="0" w:space="0" w:color="auto"/>
      </w:divBdr>
    </w:div>
    <w:div w:id="680012641">
      <w:bodyDiv w:val="1"/>
      <w:marLeft w:val="0"/>
      <w:marRight w:val="0"/>
      <w:marTop w:val="0"/>
      <w:marBottom w:val="0"/>
      <w:divBdr>
        <w:top w:val="none" w:sz="0" w:space="0" w:color="auto"/>
        <w:left w:val="none" w:sz="0" w:space="0" w:color="auto"/>
        <w:bottom w:val="none" w:sz="0" w:space="0" w:color="auto"/>
        <w:right w:val="none" w:sz="0" w:space="0" w:color="auto"/>
      </w:divBdr>
    </w:div>
    <w:div w:id="681785608">
      <w:bodyDiv w:val="1"/>
      <w:marLeft w:val="0"/>
      <w:marRight w:val="0"/>
      <w:marTop w:val="0"/>
      <w:marBottom w:val="0"/>
      <w:divBdr>
        <w:top w:val="none" w:sz="0" w:space="0" w:color="auto"/>
        <w:left w:val="none" w:sz="0" w:space="0" w:color="auto"/>
        <w:bottom w:val="none" w:sz="0" w:space="0" w:color="auto"/>
        <w:right w:val="none" w:sz="0" w:space="0" w:color="auto"/>
      </w:divBdr>
    </w:div>
    <w:div w:id="683552690">
      <w:bodyDiv w:val="1"/>
      <w:marLeft w:val="0"/>
      <w:marRight w:val="0"/>
      <w:marTop w:val="0"/>
      <w:marBottom w:val="0"/>
      <w:divBdr>
        <w:top w:val="none" w:sz="0" w:space="0" w:color="auto"/>
        <w:left w:val="none" w:sz="0" w:space="0" w:color="auto"/>
        <w:bottom w:val="none" w:sz="0" w:space="0" w:color="auto"/>
        <w:right w:val="none" w:sz="0" w:space="0" w:color="auto"/>
      </w:divBdr>
    </w:div>
    <w:div w:id="686560279">
      <w:bodyDiv w:val="1"/>
      <w:marLeft w:val="0"/>
      <w:marRight w:val="0"/>
      <w:marTop w:val="0"/>
      <w:marBottom w:val="0"/>
      <w:divBdr>
        <w:top w:val="none" w:sz="0" w:space="0" w:color="auto"/>
        <w:left w:val="none" w:sz="0" w:space="0" w:color="auto"/>
        <w:bottom w:val="none" w:sz="0" w:space="0" w:color="auto"/>
        <w:right w:val="none" w:sz="0" w:space="0" w:color="auto"/>
      </w:divBdr>
    </w:div>
    <w:div w:id="686567339">
      <w:bodyDiv w:val="1"/>
      <w:marLeft w:val="0"/>
      <w:marRight w:val="0"/>
      <w:marTop w:val="0"/>
      <w:marBottom w:val="0"/>
      <w:divBdr>
        <w:top w:val="none" w:sz="0" w:space="0" w:color="auto"/>
        <w:left w:val="none" w:sz="0" w:space="0" w:color="auto"/>
        <w:bottom w:val="none" w:sz="0" w:space="0" w:color="auto"/>
        <w:right w:val="none" w:sz="0" w:space="0" w:color="auto"/>
      </w:divBdr>
    </w:div>
    <w:div w:id="689184580">
      <w:bodyDiv w:val="1"/>
      <w:marLeft w:val="0"/>
      <w:marRight w:val="0"/>
      <w:marTop w:val="0"/>
      <w:marBottom w:val="0"/>
      <w:divBdr>
        <w:top w:val="none" w:sz="0" w:space="0" w:color="auto"/>
        <w:left w:val="none" w:sz="0" w:space="0" w:color="auto"/>
        <w:bottom w:val="none" w:sz="0" w:space="0" w:color="auto"/>
        <w:right w:val="none" w:sz="0" w:space="0" w:color="auto"/>
      </w:divBdr>
    </w:div>
    <w:div w:id="690956958">
      <w:bodyDiv w:val="1"/>
      <w:marLeft w:val="0"/>
      <w:marRight w:val="0"/>
      <w:marTop w:val="0"/>
      <w:marBottom w:val="0"/>
      <w:divBdr>
        <w:top w:val="none" w:sz="0" w:space="0" w:color="auto"/>
        <w:left w:val="none" w:sz="0" w:space="0" w:color="auto"/>
        <w:bottom w:val="none" w:sz="0" w:space="0" w:color="auto"/>
        <w:right w:val="none" w:sz="0" w:space="0" w:color="auto"/>
      </w:divBdr>
    </w:div>
    <w:div w:id="698705263">
      <w:bodyDiv w:val="1"/>
      <w:marLeft w:val="0"/>
      <w:marRight w:val="0"/>
      <w:marTop w:val="0"/>
      <w:marBottom w:val="0"/>
      <w:divBdr>
        <w:top w:val="none" w:sz="0" w:space="0" w:color="auto"/>
        <w:left w:val="none" w:sz="0" w:space="0" w:color="auto"/>
        <w:bottom w:val="none" w:sz="0" w:space="0" w:color="auto"/>
        <w:right w:val="none" w:sz="0" w:space="0" w:color="auto"/>
      </w:divBdr>
    </w:div>
    <w:div w:id="701976411">
      <w:bodyDiv w:val="1"/>
      <w:marLeft w:val="0"/>
      <w:marRight w:val="0"/>
      <w:marTop w:val="0"/>
      <w:marBottom w:val="0"/>
      <w:divBdr>
        <w:top w:val="none" w:sz="0" w:space="0" w:color="auto"/>
        <w:left w:val="none" w:sz="0" w:space="0" w:color="auto"/>
        <w:bottom w:val="none" w:sz="0" w:space="0" w:color="auto"/>
        <w:right w:val="none" w:sz="0" w:space="0" w:color="auto"/>
      </w:divBdr>
    </w:div>
    <w:div w:id="703091124">
      <w:bodyDiv w:val="1"/>
      <w:marLeft w:val="0"/>
      <w:marRight w:val="0"/>
      <w:marTop w:val="0"/>
      <w:marBottom w:val="0"/>
      <w:divBdr>
        <w:top w:val="none" w:sz="0" w:space="0" w:color="auto"/>
        <w:left w:val="none" w:sz="0" w:space="0" w:color="auto"/>
        <w:bottom w:val="none" w:sz="0" w:space="0" w:color="auto"/>
        <w:right w:val="none" w:sz="0" w:space="0" w:color="auto"/>
      </w:divBdr>
    </w:div>
    <w:div w:id="703138473">
      <w:bodyDiv w:val="1"/>
      <w:marLeft w:val="0"/>
      <w:marRight w:val="0"/>
      <w:marTop w:val="0"/>
      <w:marBottom w:val="0"/>
      <w:divBdr>
        <w:top w:val="none" w:sz="0" w:space="0" w:color="auto"/>
        <w:left w:val="none" w:sz="0" w:space="0" w:color="auto"/>
        <w:bottom w:val="none" w:sz="0" w:space="0" w:color="auto"/>
        <w:right w:val="none" w:sz="0" w:space="0" w:color="auto"/>
      </w:divBdr>
    </w:div>
    <w:div w:id="709380998">
      <w:bodyDiv w:val="1"/>
      <w:marLeft w:val="0"/>
      <w:marRight w:val="0"/>
      <w:marTop w:val="0"/>
      <w:marBottom w:val="0"/>
      <w:divBdr>
        <w:top w:val="none" w:sz="0" w:space="0" w:color="auto"/>
        <w:left w:val="none" w:sz="0" w:space="0" w:color="auto"/>
        <w:bottom w:val="none" w:sz="0" w:space="0" w:color="auto"/>
        <w:right w:val="none" w:sz="0" w:space="0" w:color="auto"/>
      </w:divBdr>
    </w:div>
    <w:div w:id="719477089">
      <w:bodyDiv w:val="1"/>
      <w:marLeft w:val="0"/>
      <w:marRight w:val="0"/>
      <w:marTop w:val="0"/>
      <w:marBottom w:val="0"/>
      <w:divBdr>
        <w:top w:val="none" w:sz="0" w:space="0" w:color="auto"/>
        <w:left w:val="none" w:sz="0" w:space="0" w:color="auto"/>
        <w:bottom w:val="none" w:sz="0" w:space="0" w:color="auto"/>
        <w:right w:val="none" w:sz="0" w:space="0" w:color="auto"/>
      </w:divBdr>
    </w:div>
    <w:div w:id="721947418">
      <w:bodyDiv w:val="1"/>
      <w:marLeft w:val="0"/>
      <w:marRight w:val="0"/>
      <w:marTop w:val="0"/>
      <w:marBottom w:val="0"/>
      <w:divBdr>
        <w:top w:val="none" w:sz="0" w:space="0" w:color="auto"/>
        <w:left w:val="none" w:sz="0" w:space="0" w:color="auto"/>
        <w:bottom w:val="none" w:sz="0" w:space="0" w:color="auto"/>
        <w:right w:val="none" w:sz="0" w:space="0" w:color="auto"/>
      </w:divBdr>
    </w:div>
    <w:div w:id="730813997">
      <w:bodyDiv w:val="1"/>
      <w:marLeft w:val="0"/>
      <w:marRight w:val="0"/>
      <w:marTop w:val="0"/>
      <w:marBottom w:val="0"/>
      <w:divBdr>
        <w:top w:val="none" w:sz="0" w:space="0" w:color="auto"/>
        <w:left w:val="none" w:sz="0" w:space="0" w:color="auto"/>
        <w:bottom w:val="none" w:sz="0" w:space="0" w:color="auto"/>
        <w:right w:val="none" w:sz="0" w:space="0" w:color="auto"/>
      </w:divBdr>
    </w:div>
    <w:div w:id="732041490">
      <w:bodyDiv w:val="1"/>
      <w:marLeft w:val="0"/>
      <w:marRight w:val="0"/>
      <w:marTop w:val="0"/>
      <w:marBottom w:val="0"/>
      <w:divBdr>
        <w:top w:val="none" w:sz="0" w:space="0" w:color="auto"/>
        <w:left w:val="none" w:sz="0" w:space="0" w:color="auto"/>
        <w:bottom w:val="none" w:sz="0" w:space="0" w:color="auto"/>
        <w:right w:val="none" w:sz="0" w:space="0" w:color="auto"/>
      </w:divBdr>
    </w:div>
    <w:div w:id="732974427">
      <w:bodyDiv w:val="1"/>
      <w:marLeft w:val="0"/>
      <w:marRight w:val="0"/>
      <w:marTop w:val="0"/>
      <w:marBottom w:val="0"/>
      <w:divBdr>
        <w:top w:val="none" w:sz="0" w:space="0" w:color="auto"/>
        <w:left w:val="none" w:sz="0" w:space="0" w:color="auto"/>
        <w:bottom w:val="none" w:sz="0" w:space="0" w:color="auto"/>
        <w:right w:val="none" w:sz="0" w:space="0" w:color="auto"/>
      </w:divBdr>
    </w:div>
    <w:div w:id="737436586">
      <w:bodyDiv w:val="1"/>
      <w:marLeft w:val="0"/>
      <w:marRight w:val="0"/>
      <w:marTop w:val="0"/>
      <w:marBottom w:val="0"/>
      <w:divBdr>
        <w:top w:val="none" w:sz="0" w:space="0" w:color="auto"/>
        <w:left w:val="none" w:sz="0" w:space="0" w:color="auto"/>
        <w:bottom w:val="none" w:sz="0" w:space="0" w:color="auto"/>
        <w:right w:val="none" w:sz="0" w:space="0" w:color="auto"/>
      </w:divBdr>
    </w:div>
    <w:div w:id="764958013">
      <w:bodyDiv w:val="1"/>
      <w:marLeft w:val="0"/>
      <w:marRight w:val="0"/>
      <w:marTop w:val="0"/>
      <w:marBottom w:val="0"/>
      <w:divBdr>
        <w:top w:val="none" w:sz="0" w:space="0" w:color="auto"/>
        <w:left w:val="none" w:sz="0" w:space="0" w:color="auto"/>
        <w:bottom w:val="none" w:sz="0" w:space="0" w:color="auto"/>
        <w:right w:val="none" w:sz="0" w:space="0" w:color="auto"/>
      </w:divBdr>
    </w:div>
    <w:div w:id="775754896">
      <w:bodyDiv w:val="1"/>
      <w:marLeft w:val="0"/>
      <w:marRight w:val="0"/>
      <w:marTop w:val="0"/>
      <w:marBottom w:val="0"/>
      <w:divBdr>
        <w:top w:val="none" w:sz="0" w:space="0" w:color="auto"/>
        <w:left w:val="none" w:sz="0" w:space="0" w:color="auto"/>
        <w:bottom w:val="none" w:sz="0" w:space="0" w:color="auto"/>
        <w:right w:val="none" w:sz="0" w:space="0" w:color="auto"/>
      </w:divBdr>
    </w:div>
    <w:div w:id="780342143">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3020">
      <w:bodyDiv w:val="1"/>
      <w:marLeft w:val="0"/>
      <w:marRight w:val="0"/>
      <w:marTop w:val="0"/>
      <w:marBottom w:val="0"/>
      <w:divBdr>
        <w:top w:val="none" w:sz="0" w:space="0" w:color="auto"/>
        <w:left w:val="none" w:sz="0" w:space="0" w:color="auto"/>
        <w:bottom w:val="none" w:sz="0" w:space="0" w:color="auto"/>
        <w:right w:val="none" w:sz="0" w:space="0" w:color="auto"/>
      </w:divBdr>
    </w:div>
    <w:div w:id="788400281">
      <w:bodyDiv w:val="1"/>
      <w:marLeft w:val="0"/>
      <w:marRight w:val="0"/>
      <w:marTop w:val="0"/>
      <w:marBottom w:val="0"/>
      <w:divBdr>
        <w:top w:val="none" w:sz="0" w:space="0" w:color="auto"/>
        <w:left w:val="none" w:sz="0" w:space="0" w:color="auto"/>
        <w:bottom w:val="none" w:sz="0" w:space="0" w:color="auto"/>
        <w:right w:val="none" w:sz="0" w:space="0" w:color="auto"/>
      </w:divBdr>
    </w:div>
    <w:div w:id="788935422">
      <w:bodyDiv w:val="1"/>
      <w:marLeft w:val="0"/>
      <w:marRight w:val="0"/>
      <w:marTop w:val="0"/>
      <w:marBottom w:val="0"/>
      <w:divBdr>
        <w:top w:val="none" w:sz="0" w:space="0" w:color="auto"/>
        <w:left w:val="none" w:sz="0" w:space="0" w:color="auto"/>
        <w:bottom w:val="none" w:sz="0" w:space="0" w:color="auto"/>
        <w:right w:val="none" w:sz="0" w:space="0" w:color="auto"/>
      </w:divBdr>
    </w:div>
    <w:div w:id="795025498">
      <w:bodyDiv w:val="1"/>
      <w:marLeft w:val="0"/>
      <w:marRight w:val="0"/>
      <w:marTop w:val="0"/>
      <w:marBottom w:val="0"/>
      <w:divBdr>
        <w:top w:val="none" w:sz="0" w:space="0" w:color="auto"/>
        <w:left w:val="none" w:sz="0" w:space="0" w:color="auto"/>
        <w:bottom w:val="none" w:sz="0" w:space="0" w:color="auto"/>
        <w:right w:val="none" w:sz="0" w:space="0" w:color="auto"/>
      </w:divBdr>
    </w:div>
    <w:div w:id="802112511">
      <w:bodyDiv w:val="1"/>
      <w:marLeft w:val="0"/>
      <w:marRight w:val="0"/>
      <w:marTop w:val="0"/>
      <w:marBottom w:val="0"/>
      <w:divBdr>
        <w:top w:val="none" w:sz="0" w:space="0" w:color="auto"/>
        <w:left w:val="none" w:sz="0" w:space="0" w:color="auto"/>
        <w:bottom w:val="none" w:sz="0" w:space="0" w:color="auto"/>
        <w:right w:val="none" w:sz="0" w:space="0" w:color="auto"/>
      </w:divBdr>
    </w:div>
    <w:div w:id="803353733">
      <w:bodyDiv w:val="1"/>
      <w:marLeft w:val="0"/>
      <w:marRight w:val="0"/>
      <w:marTop w:val="0"/>
      <w:marBottom w:val="0"/>
      <w:divBdr>
        <w:top w:val="none" w:sz="0" w:space="0" w:color="auto"/>
        <w:left w:val="none" w:sz="0" w:space="0" w:color="auto"/>
        <w:bottom w:val="none" w:sz="0" w:space="0" w:color="auto"/>
        <w:right w:val="none" w:sz="0" w:space="0" w:color="auto"/>
      </w:divBdr>
    </w:div>
    <w:div w:id="812527283">
      <w:bodyDiv w:val="1"/>
      <w:marLeft w:val="0"/>
      <w:marRight w:val="0"/>
      <w:marTop w:val="0"/>
      <w:marBottom w:val="0"/>
      <w:divBdr>
        <w:top w:val="none" w:sz="0" w:space="0" w:color="auto"/>
        <w:left w:val="none" w:sz="0" w:space="0" w:color="auto"/>
        <w:bottom w:val="none" w:sz="0" w:space="0" w:color="auto"/>
        <w:right w:val="none" w:sz="0" w:space="0" w:color="auto"/>
      </w:divBdr>
    </w:div>
    <w:div w:id="817843480">
      <w:bodyDiv w:val="1"/>
      <w:marLeft w:val="0"/>
      <w:marRight w:val="0"/>
      <w:marTop w:val="0"/>
      <w:marBottom w:val="0"/>
      <w:divBdr>
        <w:top w:val="none" w:sz="0" w:space="0" w:color="auto"/>
        <w:left w:val="none" w:sz="0" w:space="0" w:color="auto"/>
        <w:bottom w:val="none" w:sz="0" w:space="0" w:color="auto"/>
        <w:right w:val="none" w:sz="0" w:space="0" w:color="auto"/>
      </w:divBdr>
    </w:div>
    <w:div w:id="826476345">
      <w:bodyDiv w:val="1"/>
      <w:marLeft w:val="0"/>
      <w:marRight w:val="0"/>
      <w:marTop w:val="0"/>
      <w:marBottom w:val="0"/>
      <w:divBdr>
        <w:top w:val="none" w:sz="0" w:space="0" w:color="auto"/>
        <w:left w:val="none" w:sz="0" w:space="0" w:color="auto"/>
        <w:bottom w:val="none" w:sz="0" w:space="0" w:color="auto"/>
        <w:right w:val="none" w:sz="0" w:space="0" w:color="auto"/>
      </w:divBdr>
    </w:div>
    <w:div w:id="837503822">
      <w:bodyDiv w:val="1"/>
      <w:marLeft w:val="0"/>
      <w:marRight w:val="0"/>
      <w:marTop w:val="0"/>
      <w:marBottom w:val="0"/>
      <w:divBdr>
        <w:top w:val="none" w:sz="0" w:space="0" w:color="auto"/>
        <w:left w:val="none" w:sz="0" w:space="0" w:color="auto"/>
        <w:bottom w:val="none" w:sz="0" w:space="0" w:color="auto"/>
        <w:right w:val="none" w:sz="0" w:space="0" w:color="auto"/>
      </w:divBdr>
    </w:div>
    <w:div w:id="841895437">
      <w:bodyDiv w:val="1"/>
      <w:marLeft w:val="0"/>
      <w:marRight w:val="0"/>
      <w:marTop w:val="0"/>
      <w:marBottom w:val="0"/>
      <w:divBdr>
        <w:top w:val="none" w:sz="0" w:space="0" w:color="auto"/>
        <w:left w:val="none" w:sz="0" w:space="0" w:color="auto"/>
        <w:bottom w:val="none" w:sz="0" w:space="0" w:color="auto"/>
        <w:right w:val="none" w:sz="0" w:space="0" w:color="auto"/>
      </w:divBdr>
    </w:div>
    <w:div w:id="843517625">
      <w:bodyDiv w:val="1"/>
      <w:marLeft w:val="0"/>
      <w:marRight w:val="0"/>
      <w:marTop w:val="0"/>
      <w:marBottom w:val="0"/>
      <w:divBdr>
        <w:top w:val="none" w:sz="0" w:space="0" w:color="auto"/>
        <w:left w:val="none" w:sz="0" w:space="0" w:color="auto"/>
        <w:bottom w:val="none" w:sz="0" w:space="0" w:color="auto"/>
        <w:right w:val="none" w:sz="0" w:space="0" w:color="auto"/>
      </w:divBdr>
    </w:div>
    <w:div w:id="844974278">
      <w:bodyDiv w:val="1"/>
      <w:marLeft w:val="0"/>
      <w:marRight w:val="0"/>
      <w:marTop w:val="0"/>
      <w:marBottom w:val="0"/>
      <w:divBdr>
        <w:top w:val="none" w:sz="0" w:space="0" w:color="auto"/>
        <w:left w:val="none" w:sz="0" w:space="0" w:color="auto"/>
        <w:bottom w:val="none" w:sz="0" w:space="0" w:color="auto"/>
        <w:right w:val="none" w:sz="0" w:space="0" w:color="auto"/>
      </w:divBdr>
    </w:div>
    <w:div w:id="845903902">
      <w:bodyDiv w:val="1"/>
      <w:marLeft w:val="0"/>
      <w:marRight w:val="0"/>
      <w:marTop w:val="0"/>
      <w:marBottom w:val="0"/>
      <w:divBdr>
        <w:top w:val="none" w:sz="0" w:space="0" w:color="auto"/>
        <w:left w:val="none" w:sz="0" w:space="0" w:color="auto"/>
        <w:bottom w:val="none" w:sz="0" w:space="0" w:color="auto"/>
        <w:right w:val="none" w:sz="0" w:space="0" w:color="auto"/>
      </w:divBdr>
    </w:div>
    <w:div w:id="846403201">
      <w:bodyDiv w:val="1"/>
      <w:marLeft w:val="0"/>
      <w:marRight w:val="0"/>
      <w:marTop w:val="0"/>
      <w:marBottom w:val="0"/>
      <w:divBdr>
        <w:top w:val="none" w:sz="0" w:space="0" w:color="auto"/>
        <w:left w:val="none" w:sz="0" w:space="0" w:color="auto"/>
        <w:bottom w:val="none" w:sz="0" w:space="0" w:color="auto"/>
        <w:right w:val="none" w:sz="0" w:space="0" w:color="auto"/>
      </w:divBdr>
    </w:div>
    <w:div w:id="858396251">
      <w:bodyDiv w:val="1"/>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4971254">
      <w:bodyDiv w:val="1"/>
      <w:marLeft w:val="0"/>
      <w:marRight w:val="0"/>
      <w:marTop w:val="0"/>
      <w:marBottom w:val="0"/>
      <w:divBdr>
        <w:top w:val="none" w:sz="0" w:space="0" w:color="auto"/>
        <w:left w:val="none" w:sz="0" w:space="0" w:color="auto"/>
        <w:bottom w:val="none" w:sz="0" w:space="0" w:color="auto"/>
        <w:right w:val="none" w:sz="0" w:space="0" w:color="auto"/>
      </w:divBdr>
    </w:div>
    <w:div w:id="883715473">
      <w:bodyDiv w:val="1"/>
      <w:marLeft w:val="0"/>
      <w:marRight w:val="0"/>
      <w:marTop w:val="0"/>
      <w:marBottom w:val="0"/>
      <w:divBdr>
        <w:top w:val="none" w:sz="0" w:space="0" w:color="auto"/>
        <w:left w:val="none" w:sz="0" w:space="0" w:color="auto"/>
        <w:bottom w:val="none" w:sz="0" w:space="0" w:color="auto"/>
        <w:right w:val="none" w:sz="0" w:space="0" w:color="auto"/>
      </w:divBdr>
    </w:div>
    <w:div w:id="888027618">
      <w:bodyDiv w:val="1"/>
      <w:marLeft w:val="0"/>
      <w:marRight w:val="0"/>
      <w:marTop w:val="0"/>
      <w:marBottom w:val="0"/>
      <w:divBdr>
        <w:top w:val="none" w:sz="0" w:space="0" w:color="auto"/>
        <w:left w:val="none" w:sz="0" w:space="0" w:color="auto"/>
        <w:bottom w:val="none" w:sz="0" w:space="0" w:color="auto"/>
        <w:right w:val="none" w:sz="0" w:space="0" w:color="auto"/>
      </w:divBdr>
    </w:div>
    <w:div w:id="890120095">
      <w:bodyDiv w:val="1"/>
      <w:marLeft w:val="0"/>
      <w:marRight w:val="0"/>
      <w:marTop w:val="0"/>
      <w:marBottom w:val="0"/>
      <w:divBdr>
        <w:top w:val="none" w:sz="0" w:space="0" w:color="auto"/>
        <w:left w:val="none" w:sz="0" w:space="0" w:color="auto"/>
        <w:bottom w:val="none" w:sz="0" w:space="0" w:color="auto"/>
        <w:right w:val="none" w:sz="0" w:space="0" w:color="auto"/>
      </w:divBdr>
    </w:div>
    <w:div w:id="892303842">
      <w:bodyDiv w:val="1"/>
      <w:marLeft w:val="0"/>
      <w:marRight w:val="0"/>
      <w:marTop w:val="0"/>
      <w:marBottom w:val="0"/>
      <w:divBdr>
        <w:top w:val="none" w:sz="0" w:space="0" w:color="auto"/>
        <w:left w:val="none" w:sz="0" w:space="0" w:color="auto"/>
        <w:bottom w:val="none" w:sz="0" w:space="0" w:color="auto"/>
        <w:right w:val="none" w:sz="0" w:space="0" w:color="auto"/>
      </w:divBdr>
    </w:div>
    <w:div w:id="895166693">
      <w:bodyDiv w:val="1"/>
      <w:marLeft w:val="0"/>
      <w:marRight w:val="0"/>
      <w:marTop w:val="0"/>
      <w:marBottom w:val="0"/>
      <w:divBdr>
        <w:top w:val="none" w:sz="0" w:space="0" w:color="auto"/>
        <w:left w:val="none" w:sz="0" w:space="0" w:color="auto"/>
        <w:bottom w:val="none" w:sz="0" w:space="0" w:color="auto"/>
        <w:right w:val="none" w:sz="0" w:space="0" w:color="auto"/>
      </w:divBdr>
    </w:div>
    <w:div w:id="903756388">
      <w:bodyDiv w:val="1"/>
      <w:marLeft w:val="0"/>
      <w:marRight w:val="0"/>
      <w:marTop w:val="0"/>
      <w:marBottom w:val="0"/>
      <w:divBdr>
        <w:top w:val="none" w:sz="0" w:space="0" w:color="auto"/>
        <w:left w:val="none" w:sz="0" w:space="0" w:color="auto"/>
        <w:bottom w:val="none" w:sz="0" w:space="0" w:color="auto"/>
        <w:right w:val="none" w:sz="0" w:space="0" w:color="auto"/>
      </w:divBdr>
    </w:div>
    <w:div w:id="927884818">
      <w:bodyDiv w:val="1"/>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03261">
      <w:bodyDiv w:val="1"/>
      <w:marLeft w:val="0"/>
      <w:marRight w:val="0"/>
      <w:marTop w:val="0"/>
      <w:marBottom w:val="0"/>
      <w:divBdr>
        <w:top w:val="none" w:sz="0" w:space="0" w:color="auto"/>
        <w:left w:val="none" w:sz="0" w:space="0" w:color="auto"/>
        <w:bottom w:val="none" w:sz="0" w:space="0" w:color="auto"/>
        <w:right w:val="none" w:sz="0" w:space="0" w:color="auto"/>
      </w:divBdr>
    </w:div>
    <w:div w:id="946734221">
      <w:bodyDiv w:val="1"/>
      <w:marLeft w:val="0"/>
      <w:marRight w:val="0"/>
      <w:marTop w:val="0"/>
      <w:marBottom w:val="0"/>
      <w:divBdr>
        <w:top w:val="none" w:sz="0" w:space="0" w:color="auto"/>
        <w:left w:val="none" w:sz="0" w:space="0" w:color="auto"/>
        <w:bottom w:val="none" w:sz="0" w:space="0" w:color="auto"/>
        <w:right w:val="none" w:sz="0" w:space="0" w:color="auto"/>
      </w:divBdr>
    </w:div>
    <w:div w:id="957183317">
      <w:bodyDiv w:val="1"/>
      <w:marLeft w:val="0"/>
      <w:marRight w:val="0"/>
      <w:marTop w:val="0"/>
      <w:marBottom w:val="0"/>
      <w:divBdr>
        <w:top w:val="none" w:sz="0" w:space="0" w:color="auto"/>
        <w:left w:val="none" w:sz="0" w:space="0" w:color="auto"/>
        <w:bottom w:val="none" w:sz="0" w:space="0" w:color="auto"/>
        <w:right w:val="none" w:sz="0" w:space="0" w:color="auto"/>
      </w:divBdr>
    </w:div>
    <w:div w:id="960069006">
      <w:bodyDiv w:val="1"/>
      <w:marLeft w:val="0"/>
      <w:marRight w:val="0"/>
      <w:marTop w:val="0"/>
      <w:marBottom w:val="0"/>
      <w:divBdr>
        <w:top w:val="none" w:sz="0" w:space="0" w:color="auto"/>
        <w:left w:val="none" w:sz="0" w:space="0" w:color="auto"/>
        <w:bottom w:val="none" w:sz="0" w:space="0" w:color="auto"/>
        <w:right w:val="none" w:sz="0" w:space="0" w:color="auto"/>
      </w:divBdr>
    </w:div>
    <w:div w:id="969824869">
      <w:bodyDiv w:val="1"/>
      <w:marLeft w:val="0"/>
      <w:marRight w:val="0"/>
      <w:marTop w:val="0"/>
      <w:marBottom w:val="0"/>
      <w:divBdr>
        <w:top w:val="none" w:sz="0" w:space="0" w:color="auto"/>
        <w:left w:val="none" w:sz="0" w:space="0" w:color="auto"/>
        <w:bottom w:val="none" w:sz="0" w:space="0" w:color="auto"/>
        <w:right w:val="none" w:sz="0" w:space="0" w:color="auto"/>
      </w:divBdr>
    </w:div>
    <w:div w:id="972255750">
      <w:bodyDiv w:val="1"/>
      <w:marLeft w:val="0"/>
      <w:marRight w:val="0"/>
      <w:marTop w:val="0"/>
      <w:marBottom w:val="0"/>
      <w:divBdr>
        <w:top w:val="none" w:sz="0" w:space="0" w:color="auto"/>
        <w:left w:val="none" w:sz="0" w:space="0" w:color="auto"/>
        <w:bottom w:val="none" w:sz="0" w:space="0" w:color="auto"/>
        <w:right w:val="none" w:sz="0" w:space="0" w:color="auto"/>
      </w:divBdr>
    </w:div>
    <w:div w:id="974288532">
      <w:bodyDiv w:val="1"/>
      <w:marLeft w:val="0"/>
      <w:marRight w:val="0"/>
      <w:marTop w:val="0"/>
      <w:marBottom w:val="0"/>
      <w:divBdr>
        <w:top w:val="none" w:sz="0" w:space="0" w:color="auto"/>
        <w:left w:val="none" w:sz="0" w:space="0" w:color="auto"/>
        <w:bottom w:val="none" w:sz="0" w:space="0" w:color="auto"/>
        <w:right w:val="none" w:sz="0" w:space="0" w:color="auto"/>
      </w:divBdr>
    </w:div>
    <w:div w:id="974480775">
      <w:bodyDiv w:val="1"/>
      <w:marLeft w:val="0"/>
      <w:marRight w:val="0"/>
      <w:marTop w:val="0"/>
      <w:marBottom w:val="0"/>
      <w:divBdr>
        <w:top w:val="none" w:sz="0" w:space="0" w:color="auto"/>
        <w:left w:val="none" w:sz="0" w:space="0" w:color="auto"/>
        <w:bottom w:val="none" w:sz="0" w:space="0" w:color="auto"/>
        <w:right w:val="none" w:sz="0" w:space="0" w:color="auto"/>
      </w:divBdr>
    </w:div>
    <w:div w:id="976951486">
      <w:bodyDiv w:val="1"/>
      <w:marLeft w:val="0"/>
      <w:marRight w:val="0"/>
      <w:marTop w:val="0"/>
      <w:marBottom w:val="0"/>
      <w:divBdr>
        <w:top w:val="none" w:sz="0" w:space="0" w:color="auto"/>
        <w:left w:val="none" w:sz="0" w:space="0" w:color="auto"/>
        <w:bottom w:val="none" w:sz="0" w:space="0" w:color="auto"/>
        <w:right w:val="none" w:sz="0" w:space="0" w:color="auto"/>
      </w:divBdr>
    </w:div>
    <w:div w:id="983388234">
      <w:bodyDiv w:val="1"/>
      <w:marLeft w:val="0"/>
      <w:marRight w:val="0"/>
      <w:marTop w:val="0"/>
      <w:marBottom w:val="0"/>
      <w:divBdr>
        <w:top w:val="none" w:sz="0" w:space="0" w:color="auto"/>
        <w:left w:val="none" w:sz="0" w:space="0" w:color="auto"/>
        <w:bottom w:val="none" w:sz="0" w:space="0" w:color="auto"/>
        <w:right w:val="none" w:sz="0" w:space="0" w:color="auto"/>
      </w:divBdr>
    </w:div>
    <w:div w:id="986666717">
      <w:bodyDiv w:val="1"/>
      <w:marLeft w:val="0"/>
      <w:marRight w:val="0"/>
      <w:marTop w:val="0"/>
      <w:marBottom w:val="0"/>
      <w:divBdr>
        <w:top w:val="none" w:sz="0" w:space="0" w:color="auto"/>
        <w:left w:val="none" w:sz="0" w:space="0" w:color="auto"/>
        <w:bottom w:val="none" w:sz="0" w:space="0" w:color="auto"/>
        <w:right w:val="none" w:sz="0" w:space="0" w:color="auto"/>
      </w:divBdr>
    </w:div>
    <w:div w:id="991715000">
      <w:bodyDiv w:val="1"/>
      <w:marLeft w:val="0"/>
      <w:marRight w:val="0"/>
      <w:marTop w:val="0"/>
      <w:marBottom w:val="0"/>
      <w:divBdr>
        <w:top w:val="none" w:sz="0" w:space="0" w:color="auto"/>
        <w:left w:val="none" w:sz="0" w:space="0" w:color="auto"/>
        <w:bottom w:val="none" w:sz="0" w:space="0" w:color="auto"/>
        <w:right w:val="none" w:sz="0" w:space="0" w:color="auto"/>
      </w:divBdr>
    </w:div>
    <w:div w:id="1008142661">
      <w:bodyDiv w:val="1"/>
      <w:marLeft w:val="0"/>
      <w:marRight w:val="0"/>
      <w:marTop w:val="0"/>
      <w:marBottom w:val="0"/>
      <w:divBdr>
        <w:top w:val="none" w:sz="0" w:space="0" w:color="auto"/>
        <w:left w:val="none" w:sz="0" w:space="0" w:color="auto"/>
        <w:bottom w:val="none" w:sz="0" w:space="0" w:color="auto"/>
        <w:right w:val="none" w:sz="0" w:space="0" w:color="auto"/>
      </w:divBdr>
    </w:div>
    <w:div w:id="1014386127">
      <w:bodyDiv w:val="1"/>
      <w:marLeft w:val="0"/>
      <w:marRight w:val="0"/>
      <w:marTop w:val="0"/>
      <w:marBottom w:val="0"/>
      <w:divBdr>
        <w:top w:val="none" w:sz="0" w:space="0" w:color="auto"/>
        <w:left w:val="none" w:sz="0" w:space="0" w:color="auto"/>
        <w:bottom w:val="none" w:sz="0" w:space="0" w:color="auto"/>
        <w:right w:val="none" w:sz="0" w:space="0" w:color="auto"/>
      </w:divBdr>
    </w:div>
    <w:div w:id="1019159812">
      <w:bodyDiv w:val="1"/>
      <w:marLeft w:val="0"/>
      <w:marRight w:val="0"/>
      <w:marTop w:val="0"/>
      <w:marBottom w:val="0"/>
      <w:divBdr>
        <w:top w:val="none" w:sz="0" w:space="0" w:color="auto"/>
        <w:left w:val="none" w:sz="0" w:space="0" w:color="auto"/>
        <w:bottom w:val="none" w:sz="0" w:space="0" w:color="auto"/>
        <w:right w:val="none" w:sz="0" w:space="0" w:color="auto"/>
      </w:divBdr>
    </w:div>
    <w:div w:id="1026521823">
      <w:bodyDiv w:val="1"/>
      <w:marLeft w:val="0"/>
      <w:marRight w:val="0"/>
      <w:marTop w:val="0"/>
      <w:marBottom w:val="0"/>
      <w:divBdr>
        <w:top w:val="none" w:sz="0" w:space="0" w:color="auto"/>
        <w:left w:val="none" w:sz="0" w:space="0" w:color="auto"/>
        <w:bottom w:val="none" w:sz="0" w:space="0" w:color="auto"/>
        <w:right w:val="none" w:sz="0" w:space="0" w:color="auto"/>
      </w:divBdr>
    </w:div>
    <w:div w:id="1032651801">
      <w:bodyDiv w:val="1"/>
      <w:marLeft w:val="0"/>
      <w:marRight w:val="0"/>
      <w:marTop w:val="0"/>
      <w:marBottom w:val="0"/>
      <w:divBdr>
        <w:top w:val="none" w:sz="0" w:space="0" w:color="auto"/>
        <w:left w:val="none" w:sz="0" w:space="0" w:color="auto"/>
        <w:bottom w:val="none" w:sz="0" w:space="0" w:color="auto"/>
        <w:right w:val="none" w:sz="0" w:space="0" w:color="auto"/>
      </w:divBdr>
    </w:div>
    <w:div w:id="1034773295">
      <w:bodyDiv w:val="1"/>
      <w:marLeft w:val="0"/>
      <w:marRight w:val="0"/>
      <w:marTop w:val="0"/>
      <w:marBottom w:val="0"/>
      <w:divBdr>
        <w:top w:val="none" w:sz="0" w:space="0" w:color="auto"/>
        <w:left w:val="none" w:sz="0" w:space="0" w:color="auto"/>
        <w:bottom w:val="none" w:sz="0" w:space="0" w:color="auto"/>
        <w:right w:val="none" w:sz="0" w:space="0" w:color="auto"/>
      </w:divBdr>
    </w:div>
    <w:div w:id="1060207133">
      <w:bodyDiv w:val="1"/>
      <w:marLeft w:val="0"/>
      <w:marRight w:val="0"/>
      <w:marTop w:val="0"/>
      <w:marBottom w:val="0"/>
      <w:divBdr>
        <w:top w:val="none" w:sz="0" w:space="0" w:color="auto"/>
        <w:left w:val="none" w:sz="0" w:space="0" w:color="auto"/>
        <w:bottom w:val="none" w:sz="0" w:space="0" w:color="auto"/>
        <w:right w:val="none" w:sz="0" w:space="0" w:color="auto"/>
      </w:divBdr>
    </w:div>
    <w:div w:id="1067456634">
      <w:bodyDiv w:val="1"/>
      <w:marLeft w:val="0"/>
      <w:marRight w:val="0"/>
      <w:marTop w:val="0"/>
      <w:marBottom w:val="0"/>
      <w:divBdr>
        <w:top w:val="none" w:sz="0" w:space="0" w:color="auto"/>
        <w:left w:val="none" w:sz="0" w:space="0" w:color="auto"/>
        <w:bottom w:val="none" w:sz="0" w:space="0" w:color="auto"/>
        <w:right w:val="none" w:sz="0" w:space="0" w:color="auto"/>
      </w:divBdr>
    </w:div>
    <w:div w:id="1073551517">
      <w:bodyDiv w:val="1"/>
      <w:marLeft w:val="0"/>
      <w:marRight w:val="0"/>
      <w:marTop w:val="0"/>
      <w:marBottom w:val="0"/>
      <w:divBdr>
        <w:top w:val="none" w:sz="0" w:space="0" w:color="auto"/>
        <w:left w:val="none" w:sz="0" w:space="0" w:color="auto"/>
        <w:bottom w:val="none" w:sz="0" w:space="0" w:color="auto"/>
        <w:right w:val="none" w:sz="0" w:space="0" w:color="auto"/>
      </w:divBdr>
    </w:div>
    <w:div w:id="1073813956">
      <w:bodyDiv w:val="1"/>
      <w:marLeft w:val="0"/>
      <w:marRight w:val="0"/>
      <w:marTop w:val="0"/>
      <w:marBottom w:val="0"/>
      <w:divBdr>
        <w:top w:val="none" w:sz="0" w:space="0" w:color="auto"/>
        <w:left w:val="none" w:sz="0" w:space="0" w:color="auto"/>
        <w:bottom w:val="none" w:sz="0" w:space="0" w:color="auto"/>
        <w:right w:val="none" w:sz="0" w:space="0" w:color="auto"/>
      </w:divBdr>
    </w:div>
    <w:div w:id="1079182170">
      <w:bodyDiv w:val="1"/>
      <w:marLeft w:val="0"/>
      <w:marRight w:val="0"/>
      <w:marTop w:val="0"/>
      <w:marBottom w:val="0"/>
      <w:divBdr>
        <w:top w:val="none" w:sz="0" w:space="0" w:color="auto"/>
        <w:left w:val="none" w:sz="0" w:space="0" w:color="auto"/>
        <w:bottom w:val="none" w:sz="0" w:space="0" w:color="auto"/>
        <w:right w:val="none" w:sz="0" w:space="0" w:color="auto"/>
      </w:divBdr>
    </w:div>
    <w:div w:id="1106654015">
      <w:bodyDiv w:val="1"/>
      <w:marLeft w:val="0"/>
      <w:marRight w:val="0"/>
      <w:marTop w:val="0"/>
      <w:marBottom w:val="0"/>
      <w:divBdr>
        <w:top w:val="none" w:sz="0" w:space="0" w:color="auto"/>
        <w:left w:val="none" w:sz="0" w:space="0" w:color="auto"/>
        <w:bottom w:val="none" w:sz="0" w:space="0" w:color="auto"/>
        <w:right w:val="none" w:sz="0" w:space="0" w:color="auto"/>
      </w:divBdr>
    </w:div>
    <w:div w:id="1118722705">
      <w:bodyDiv w:val="1"/>
      <w:marLeft w:val="0"/>
      <w:marRight w:val="0"/>
      <w:marTop w:val="0"/>
      <w:marBottom w:val="0"/>
      <w:divBdr>
        <w:top w:val="none" w:sz="0" w:space="0" w:color="auto"/>
        <w:left w:val="none" w:sz="0" w:space="0" w:color="auto"/>
        <w:bottom w:val="none" w:sz="0" w:space="0" w:color="auto"/>
        <w:right w:val="none" w:sz="0" w:space="0" w:color="auto"/>
      </w:divBdr>
    </w:div>
    <w:div w:id="1122461057">
      <w:bodyDiv w:val="1"/>
      <w:marLeft w:val="0"/>
      <w:marRight w:val="0"/>
      <w:marTop w:val="0"/>
      <w:marBottom w:val="0"/>
      <w:divBdr>
        <w:top w:val="none" w:sz="0" w:space="0" w:color="auto"/>
        <w:left w:val="none" w:sz="0" w:space="0" w:color="auto"/>
        <w:bottom w:val="none" w:sz="0" w:space="0" w:color="auto"/>
        <w:right w:val="none" w:sz="0" w:space="0" w:color="auto"/>
      </w:divBdr>
    </w:div>
    <w:div w:id="1132407206">
      <w:bodyDiv w:val="1"/>
      <w:marLeft w:val="0"/>
      <w:marRight w:val="0"/>
      <w:marTop w:val="0"/>
      <w:marBottom w:val="0"/>
      <w:divBdr>
        <w:top w:val="none" w:sz="0" w:space="0" w:color="auto"/>
        <w:left w:val="none" w:sz="0" w:space="0" w:color="auto"/>
        <w:bottom w:val="none" w:sz="0" w:space="0" w:color="auto"/>
        <w:right w:val="none" w:sz="0" w:space="0" w:color="auto"/>
      </w:divBdr>
    </w:div>
    <w:div w:id="1138034110">
      <w:bodyDiv w:val="1"/>
      <w:marLeft w:val="0"/>
      <w:marRight w:val="0"/>
      <w:marTop w:val="0"/>
      <w:marBottom w:val="0"/>
      <w:divBdr>
        <w:top w:val="none" w:sz="0" w:space="0" w:color="auto"/>
        <w:left w:val="none" w:sz="0" w:space="0" w:color="auto"/>
        <w:bottom w:val="none" w:sz="0" w:space="0" w:color="auto"/>
        <w:right w:val="none" w:sz="0" w:space="0" w:color="auto"/>
      </w:divBdr>
    </w:div>
    <w:div w:id="1143961900">
      <w:bodyDiv w:val="1"/>
      <w:marLeft w:val="0"/>
      <w:marRight w:val="0"/>
      <w:marTop w:val="0"/>
      <w:marBottom w:val="0"/>
      <w:divBdr>
        <w:top w:val="none" w:sz="0" w:space="0" w:color="auto"/>
        <w:left w:val="none" w:sz="0" w:space="0" w:color="auto"/>
        <w:bottom w:val="none" w:sz="0" w:space="0" w:color="auto"/>
        <w:right w:val="none" w:sz="0" w:space="0" w:color="auto"/>
      </w:divBdr>
    </w:div>
    <w:div w:id="1164929550">
      <w:bodyDiv w:val="1"/>
      <w:marLeft w:val="0"/>
      <w:marRight w:val="0"/>
      <w:marTop w:val="0"/>
      <w:marBottom w:val="0"/>
      <w:divBdr>
        <w:top w:val="none" w:sz="0" w:space="0" w:color="auto"/>
        <w:left w:val="none" w:sz="0" w:space="0" w:color="auto"/>
        <w:bottom w:val="none" w:sz="0" w:space="0" w:color="auto"/>
        <w:right w:val="none" w:sz="0" w:space="0" w:color="auto"/>
      </w:divBdr>
    </w:div>
    <w:div w:id="1184707174">
      <w:bodyDiv w:val="1"/>
      <w:marLeft w:val="0"/>
      <w:marRight w:val="0"/>
      <w:marTop w:val="0"/>
      <w:marBottom w:val="0"/>
      <w:divBdr>
        <w:top w:val="none" w:sz="0" w:space="0" w:color="auto"/>
        <w:left w:val="none" w:sz="0" w:space="0" w:color="auto"/>
        <w:bottom w:val="none" w:sz="0" w:space="0" w:color="auto"/>
        <w:right w:val="none" w:sz="0" w:space="0" w:color="auto"/>
      </w:divBdr>
    </w:div>
    <w:div w:id="1192957953">
      <w:bodyDiv w:val="1"/>
      <w:marLeft w:val="0"/>
      <w:marRight w:val="0"/>
      <w:marTop w:val="0"/>
      <w:marBottom w:val="0"/>
      <w:divBdr>
        <w:top w:val="none" w:sz="0" w:space="0" w:color="auto"/>
        <w:left w:val="none" w:sz="0" w:space="0" w:color="auto"/>
        <w:bottom w:val="none" w:sz="0" w:space="0" w:color="auto"/>
        <w:right w:val="none" w:sz="0" w:space="0" w:color="auto"/>
      </w:divBdr>
    </w:div>
    <w:div w:id="1232426645">
      <w:bodyDiv w:val="1"/>
      <w:marLeft w:val="0"/>
      <w:marRight w:val="0"/>
      <w:marTop w:val="0"/>
      <w:marBottom w:val="0"/>
      <w:divBdr>
        <w:top w:val="none" w:sz="0" w:space="0" w:color="auto"/>
        <w:left w:val="none" w:sz="0" w:space="0" w:color="auto"/>
        <w:bottom w:val="none" w:sz="0" w:space="0" w:color="auto"/>
        <w:right w:val="none" w:sz="0" w:space="0" w:color="auto"/>
      </w:divBdr>
    </w:div>
    <w:div w:id="1253277255">
      <w:bodyDiv w:val="1"/>
      <w:marLeft w:val="0"/>
      <w:marRight w:val="0"/>
      <w:marTop w:val="0"/>
      <w:marBottom w:val="0"/>
      <w:divBdr>
        <w:top w:val="none" w:sz="0" w:space="0" w:color="auto"/>
        <w:left w:val="none" w:sz="0" w:space="0" w:color="auto"/>
        <w:bottom w:val="none" w:sz="0" w:space="0" w:color="auto"/>
        <w:right w:val="none" w:sz="0" w:space="0" w:color="auto"/>
      </w:divBdr>
    </w:div>
    <w:div w:id="1257786538">
      <w:bodyDiv w:val="1"/>
      <w:marLeft w:val="0"/>
      <w:marRight w:val="0"/>
      <w:marTop w:val="0"/>
      <w:marBottom w:val="0"/>
      <w:divBdr>
        <w:top w:val="none" w:sz="0" w:space="0" w:color="auto"/>
        <w:left w:val="none" w:sz="0" w:space="0" w:color="auto"/>
        <w:bottom w:val="none" w:sz="0" w:space="0" w:color="auto"/>
        <w:right w:val="none" w:sz="0" w:space="0" w:color="auto"/>
      </w:divBdr>
    </w:div>
    <w:div w:id="1259172088">
      <w:bodyDiv w:val="1"/>
      <w:marLeft w:val="0"/>
      <w:marRight w:val="0"/>
      <w:marTop w:val="0"/>
      <w:marBottom w:val="0"/>
      <w:divBdr>
        <w:top w:val="none" w:sz="0" w:space="0" w:color="auto"/>
        <w:left w:val="none" w:sz="0" w:space="0" w:color="auto"/>
        <w:bottom w:val="none" w:sz="0" w:space="0" w:color="auto"/>
        <w:right w:val="none" w:sz="0" w:space="0" w:color="auto"/>
      </w:divBdr>
    </w:div>
    <w:div w:id="1259414181">
      <w:bodyDiv w:val="1"/>
      <w:marLeft w:val="0"/>
      <w:marRight w:val="0"/>
      <w:marTop w:val="0"/>
      <w:marBottom w:val="0"/>
      <w:divBdr>
        <w:top w:val="none" w:sz="0" w:space="0" w:color="auto"/>
        <w:left w:val="none" w:sz="0" w:space="0" w:color="auto"/>
        <w:bottom w:val="none" w:sz="0" w:space="0" w:color="auto"/>
        <w:right w:val="none" w:sz="0" w:space="0" w:color="auto"/>
      </w:divBdr>
    </w:div>
    <w:div w:id="1263799581">
      <w:bodyDiv w:val="1"/>
      <w:marLeft w:val="0"/>
      <w:marRight w:val="0"/>
      <w:marTop w:val="0"/>
      <w:marBottom w:val="0"/>
      <w:divBdr>
        <w:top w:val="none" w:sz="0" w:space="0" w:color="auto"/>
        <w:left w:val="none" w:sz="0" w:space="0" w:color="auto"/>
        <w:bottom w:val="none" w:sz="0" w:space="0" w:color="auto"/>
        <w:right w:val="none" w:sz="0" w:space="0" w:color="auto"/>
      </w:divBdr>
    </w:div>
    <w:div w:id="1264221818">
      <w:bodyDiv w:val="1"/>
      <w:marLeft w:val="0"/>
      <w:marRight w:val="0"/>
      <w:marTop w:val="0"/>
      <w:marBottom w:val="0"/>
      <w:divBdr>
        <w:top w:val="none" w:sz="0" w:space="0" w:color="auto"/>
        <w:left w:val="none" w:sz="0" w:space="0" w:color="auto"/>
        <w:bottom w:val="none" w:sz="0" w:space="0" w:color="auto"/>
        <w:right w:val="none" w:sz="0" w:space="0" w:color="auto"/>
      </w:divBdr>
    </w:div>
    <w:div w:id="1264534287">
      <w:bodyDiv w:val="1"/>
      <w:marLeft w:val="0"/>
      <w:marRight w:val="0"/>
      <w:marTop w:val="0"/>
      <w:marBottom w:val="0"/>
      <w:divBdr>
        <w:top w:val="none" w:sz="0" w:space="0" w:color="auto"/>
        <w:left w:val="none" w:sz="0" w:space="0" w:color="auto"/>
        <w:bottom w:val="none" w:sz="0" w:space="0" w:color="auto"/>
        <w:right w:val="none" w:sz="0" w:space="0" w:color="auto"/>
      </w:divBdr>
    </w:div>
    <w:div w:id="1275669136">
      <w:bodyDiv w:val="1"/>
      <w:marLeft w:val="0"/>
      <w:marRight w:val="0"/>
      <w:marTop w:val="0"/>
      <w:marBottom w:val="0"/>
      <w:divBdr>
        <w:top w:val="none" w:sz="0" w:space="0" w:color="auto"/>
        <w:left w:val="none" w:sz="0" w:space="0" w:color="auto"/>
        <w:bottom w:val="none" w:sz="0" w:space="0" w:color="auto"/>
        <w:right w:val="none" w:sz="0" w:space="0" w:color="auto"/>
      </w:divBdr>
    </w:div>
    <w:div w:id="1294291050">
      <w:bodyDiv w:val="1"/>
      <w:marLeft w:val="0"/>
      <w:marRight w:val="0"/>
      <w:marTop w:val="0"/>
      <w:marBottom w:val="0"/>
      <w:divBdr>
        <w:top w:val="none" w:sz="0" w:space="0" w:color="auto"/>
        <w:left w:val="none" w:sz="0" w:space="0" w:color="auto"/>
        <w:bottom w:val="none" w:sz="0" w:space="0" w:color="auto"/>
        <w:right w:val="none" w:sz="0" w:space="0" w:color="auto"/>
      </w:divBdr>
    </w:div>
    <w:div w:id="1295065859">
      <w:bodyDiv w:val="1"/>
      <w:marLeft w:val="0"/>
      <w:marRight w:val="0"/>
      <w:marTop w:val="0"/>
      <w:marBottom w:val="0"/>
      <w:divBdr>
        <w:top w:val="none" w:sz="0" w:space="0" w:color="auto"/>
        <w:left w:val="none" w:sz="0" w:space="0" w:color="auto"/>
        <w:bottom w:val="none" w:sz="0" w:space="0" w:color="auto"/>
        <w:right w:val="none" w:sz="0" w:space="0" w:color="auto"/>
      </w:divBdr>
    </w:div>
    <w:div w:id="1303848483">
      <w:bodyDiv w:val="1"/>
      <w:marLeft w:val="0"/>
      <w:marRight w:val="0"/>
      <w:marTop w:val="0"/>
      <w:marBottom w:val="0"/>
      <w:divBdr>
        <w:top w:val="none" w:sz="0" w:space="0" w:color="auto"/>
        <w:left w:val="none" w:sz="0" w:space="0" w:color="auto"/>
        <w:bottom w:val="none" w:sz="0" w:space="0" w:color="auto"/>
        <w:right w:val="none" w:sz="0" w:space="0" w:color="auto"/>
      </w:divBdr>
    </w:div>
    <w:div w:id="1308897369">
      <w:bodyDiv w:val="1"/>
      <w:marLeft w:val="0"/>
      <w:marRight w:val="0"/>
      <w:marTop w:val="0"/>
      <w:marBottom w:val="0"/>
      <w:divBdr>
        <w:top w:val="none" w:sz="0" w:space="0" w:color="auto"/>
        <w:left w:val="none" w:sz="0" w:space="0" w:color="auto"/>
        <w:bottom w:val="none" w:sz="0" w:space="0" w:color="auto"/>
        <w:right w:val="none" w:sz="0" w:space="0" w:color="auto"/>
      </w:divBdr>
    </w:div>
    <w:div w:id="1310556096">
      <w:bodyDiv w:val="1"/>
      <w:marLeft w:val="0"/>
      <w:marRight w:val="0"/>
      <w:marTop w:val="0"/>
      <w:marBottom w:val="0"/>
      <w:divBdr>
        <w:top w:val="none" w:sz="0" w:space="0" w:color="auto"/>
        <w:left w:val="none" w:sz="0" w:space="0" w:color="auto"/>
        <w:bottom w:val="none" w:sz="0" w:space="0" w:color="auto"/>
        <w:right w:val="none" w:sz="0" w:space="0" w:color="auto"/>
      </w:divBdr>
    </w:div>
    <w:div w:id="1316304274">
      <w:bodyDiv w:val="1"/>
      <w:marLeft w:val="0"/>
      <w:marRight w:val="0"/>
      <w:marTop w:val="0"/>
      <w:marBottom w:val="0"/>
      <w:divBdr>
        <w:top w:val="none" w:sz="0" w:space="0" w:color="auto"/>
        <w:left w:val="none" w:sz="0" w:space="0" w:color="auto"/>
        <w:bottom w:val="none" w:sz="0" w:space="0" w:color="auto"/>
        <w:right w:val="none" w:sz="0" w:space="0" w:color="auto"/>
      </w:divBdr>
    </w:div>
    <w:div w:id="1321350529">
      <w:bodyDiv w:val="1"/>
      <w:marLeft w:val="0"/>
      <w:marRight w:val="0"/>
      <w:marTop w:val="0"/>
      <w:marBottom w:val="0"/>
      <w:divBdr>
        <w:top w:val="none" w:sz="0" w:space="0" w:color="auto"/>
        <w:left w:val="none" w:sz="0" w:space="0" w:color="auto"/>
        <w:bottom w:val="none" w:sz="0" w:space="0" w:color="auto"/>
        <w:right w:val="none" w:sz="0" w:space="0" w:color="auto"/>
      </w:divBdr>
    </w:div>
    <w:div w:id="1321613076">
      <w:bodyDiv w:val="1"/>
      <w:marLeft w:val="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354724141">
      <w:bodyDiv w:val="1"/>
      <w:marLeft w:val="0"/>
      <w:marRight w:val="0"/>
      <w:marTop w:val="0"/>
      <w:marBottom w:val="0"/>
      <w:divBdr>
        <w:top w:val="none" w:sz="0" w:space="0" w:color="auto"/>
        <w:left w:val="none" w:sz="0" w:space="0" w:color="auto"/>
        <w:bottom w:val="none" w:sz="0" w:space="0" w:color="auto"/>
        <w:right w:val="none" w:sz="0" w:space="0" w:color="auto"/>
      </w:divBdr>
    </w:div>
    <w:div w:id="1354766714">
      <w:bodyDiv w:val="1"/>
      <w:marLeft w:val="0"/>
      <w:marRight w:val="0"/>
      <w:marTop w:val="0"/>
      <w:marBottom w:val="0"/>
      <w:divBdr>
        <w:top w:val="none" w:sz="0" w:space="0" w:color="auto"/>
        <w:left w:val="none" w:sz="0" w:space="0" w:color="auto"/>
        <w:bottom w:val="none" w:sz="0" w:space="0" w:color="auto"/>
        <w:right w:val="none" w:sz="0" w:space="0" w:color="auto"/>
      </w:divBdr>
    </w:div>
    <w:div w:id="1362509934">
      <w:bodyDiv w:val="1"/>
      <w:marLeft w:val="0"/>
      <w:marRight w:val="0"/>
      <w:marTop w:val="0"/>
      <w:marBottom w:val="0"/>
      <w:divBdr>
        <w:top w:val="none" w:sz="0" w:space="0" w:color="auto"/>
        <w:left w:val="none" w:sz="0" w:space="0" w:color="auto"/>
        <w:bottom w:val="none" w:sz="0" w:space="0" w:color="auto"/>
        <w:right w:val="none" w:sz="0" w:space="0" w:color="auto"/>
      </w:divBdr>
    </w:div>
    <w:div w:id="1380015449">
      <w:bodyDiv w:val="1"/>
      <w:marLeft w:val="0"/>
      <w:marRight w:val="0"/>
      <w:marTop w:val="0"/>
      <w:marBottom w:val="0"/>
      <w:divBdr>
        <w:top w:val="none" w:sz="0" w:space="0" w:color="auto"/>
        <w:left w:val="none" w:sz="0" w:space="0" w:color="auto"/>
        <w:bottom w:val="none" w:sz="0" w:space="0" w:color="auto"/>
        <w:right w:val="none" w:sz="0" w:space="0" w:color="auto"/>
      </w:divBdr>
    </w:div>
    <w:div w:id="1388721468">
      <w:bodyDiv w:val="1"/>
      <w:marLeft w:val="0"/>
      <w:marRight w:val="0"/>
      <w:marTop w:val="0"/>
      <w:marBottom w:val="0"/>
      <w:divBdr>
        <w:top w:val="none" w:sz="0" w:space="0" w:color="auto"/>
        <w:left w:val="none" w:sz="0" w:space="0" w:color="auto"/>
        <w:bottom w:val="none" w:sz="0" w:space="0" w:color="auto"/>
        <w:right w:val="none" w:sz="0" w:space="0" w:color="auto"/>
      </w:divBdr>
    </w:div>
    <w:div w:id="1390808107">
      <w:bodyDiv w:val="1"/>
      <w:marLeft w:val="0"/>
      <w:marRight w:val="0"/>
      <w:marTop w:val="0"/>
      <w:marBottom w:val="0"/>
      <w:divBdr>
        <w:top w:val="none" w:sz="0" w:space="0" w:color="auto"/>
        <w:left w:val="none" w:sz="0" w:space="0" w:color="auto"/>
        <w:bottom w:val="none" w:sz="0" w:space="0" w:color="auto"/>
        <w:right w:val="none" w:sz="0" w:space="0" w:color="auto"/>
      </w:divBdr>
    </w:div>
    <w:div w:id="1390960412">
      <w:bodyDiv w:val="1"/>
      <w:marLeft w:val="0"/>
      <w:marRight w:val="0"/>
      <w:marTop w:val="0"/>
      <w:marBottom w:val="0"/>
      <w:divBdr>
        <w:top w:val="none" w:sz="0" w:space="0" w:color="auto"/>
        <w:left w:val="none" w:sz="0" w:space="0" w:color="auto"/>
        <w:bottom w:val="none" w:sz="0" w:space="0" w:color="auto"/>
        <w:right w:val="none" w:sz="0" w:space="0" w:color="auto"/>
      </w:divBdr>
    </w:div>
    <w:div w:id="1393192904">
      <w:bodyDiv w:val="1"/>
      <w:marLeft w:val="0"/>
      <w:marRight w:val="0"/>
      <w:marTop w:val="0"/>
      <w:marBottom w:val="0"/>
      <w:divBdr>
        <w:top w:val="none" w:sz="0" w:space="0" w:color="auto"/>
        <w:left w:val="none" w:sz="0" w:space="0" w:color="auto"/>
        <w:bottom w:val="none" w:sz="0" w:space="0" w:color="auto"/>
        <w:right w:val="none" w:sz="0" w:space="0" w:color="auto"/>
      </w:divBdr>
    </w:div>
    <w:div w:id="1401515141">
      <w:bodyDiv w:val="1"/>
      <w:marLeft w:val="0"/>
      <w:marRight w:val="0"/>
      <w:marTop w:val="0"/>
      <w:marBottom w:val="0"/>
      <w:divBdr>
        <w:top w:val="none" w:sz="0" w:space="0" w:color="auto"/>
        <w:left w:val="none" w:sz="0" w:space="0" w:color="auto"/>
        <w:bottom w:val="none" w:sz="0" w:space="0" w:color="auto"/>
        <w:right w:val="none" w:sz="0" w:space="0" w:color="auto"/>
      </w:divBdr>
    </w:div>
    <w:div w:id="1406996353">
      <w:bodyDiv w:val="1"/>
      <w:marLeft w:val="0"/>
      <w:marRight w:val="0"/>
      <w:marTop w:val="0"/>
      <w:marBottom w:val="0"/>
      <w:divBdr>
        <w:top w:val="none" w:sz="0" w:space="0" w:color="auto"/>
        <w:left w:val="none" w:sz="0" w:space="0" w:color="auto"/>
        <w:bottom w:val="none" w:sz="0" w:space="0" w:color="auto"/>
        <w:right w:val="none" w:sz="0" w:space="0" w:color="auto"/>
      </w:divBdr>
    </w:div>
    <w:div w:id="1423377573">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39519132">
      <w:bodyDiv w:val="1"/>
      <w:marLeft w:val="0"/>
      <w:marRight w:val="0"/>
      <w:marTop w:val="0"/>
      <w:marBottom w:val="0"/>
      <w:divBdr>
        <w:top w:val="none" w:sz="0" w:space="0" w:color="auto"/>
        <w:left w:val="none" w:sz="0" w:space="0" w:color="auto"/>
        <w:bottom w:val="none" w:sz="0" w:space="0" w:color="auto"/>
        <w:right w:val="none" w:sz="0" w:space="0" w:color="auto"/>
      </w:divBdr>
    </w:div>
    <w:div w:id="1452362997">
      <w:bodyDiv w:val="1"/>
      <w:marLeft w:val="0"/>
      <w:marRight w:val="0"/>
      <w:marTop w:val="0"/>
      <w:marBottom w:val="0"/>
      <w:divBdr>
        <w:top w:val="none" w:sz="0" w:space="0" w:color="auto"/>
        <w:left w:val="none" w:sz="0" w:space="0" w:color="auto"/>
        <w:bottom w:val="none" w:sz="0" w:space="0" w:color="auto"/>
        <w:right w:val="none" w:sz="0" w:space="0" w:color="auto"/>
      </w:divBdr>
    </w:div>
    <w:div w:id="1468013224">
      <w:bodyDiv w:val="1"/>
      <w:marLeft w:val="0"/>
      <w:marRight w:val="0"/>
      <w:marTop w:val="0"/>
      <w:marBottom w:val="0"/>
      <w:divBdr>
        <w:top w:val="none" w:sz="0" w:space="0" w:color="auto"/>
        <w:left w:val="none" w:sz="0" w:space="0" w:color="auto"/>
        <w:bottom w:val="none" w:sz="0" w:space="0" w:color="auto"/>
        <w:right w:val="none" w:sz="0" w:space="0" w:color="auto"/>
      </w:divBdr>
    </w:div>
    <w:div w:id="1469005955">
      <w:bodyDiv w:val="1"/>
      <w:marLeft w:val="0"/>
      <w:marRight w:val="0"/>
      <w:marTop w:val="0"/>
      <w:marBottom w:val="0"/>
      <w:divBdr>
        <w:top w:val="none" w:sz="0" w:space="0" w:color="auto"/>
        <w:left w:val="none" w:sz="0" w:space="0" w:color="auto"/>
        <w:bottom w:val="none" w:sz="0" w:space="0" w:color="auto"/>
        <w:right w:val="none" w:sz="0" w:space="0" w:color="auto"/>
      </w:divBdr>
    </w:div>
    <w:div w:id="1474561950">
      <w:bodyDiv w:val="1"/>
      <w:marLeft w:val="0"/>
      <w:marRight w:val="0"/>
      <w:marTop w:val="0"/>
      <w:marBottom w:val="0"/>
      <w:divBdr>
        <w:top w:val="none" w:sz="0" w:space="0" w:color="auto"/>
        <w:left w:val="none" w:sz="0" w:space="0" w:color="auto"/>
        <w:bottom w:val="none" w:sz="0" w:space="0" w:color="auto"/>
        <w:right w:val="none" w:sz="0" w:space="0" w:color="auto"/>
      </w:divBdr>
    </w:div>
    <w:div w:id="1475759972">
      <w:bodyDiv w:val="1"/>
      <w:marLeft w:val="0"/>
      <w:marRight w:val="0"/>
      <w:marTop w:val="0"/>
      <w:marBottom w:val="0"/>
      <w:divBdr>
        <w:top w:val="none" w:sz="0" w:space="0" w:color="auto"/>
        <w:left w:val="none" w:sz="0" w:space="0" w:color="auto"/>
        <w:bottom w:val="none" w:sz="0" w:space="0" w:color="auto"/>
        <w:right w:val="none" w:sz="0" w:space="0" w:color="auto"/>
      </w:divBdr>
    </w:div>
    <w:div w:id="1483083117">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515991993">
      <w:bodyDiv w:val="1"/>
      <w:marLeft w:val="0"/>
      <w:marRight w:val="0"/>
      <w:marTop w:val="0"/>
      <w:marBottom w:val="0"/>
      <w:divBdr>
        <w:top w:val="none" w:sz="0" w:space="0" w:color="auto"/>
        <w:left w:val="none" w:sz="0" w:space="0" w:color="auto"/>
        <w:bottom w:val="none" w:sz="0" w:space="0" w:color="auto"/>
        <w:right w:val="none" w:sz="0" w:space="0" w:color="auto"/>
      </w:divBdr>
    </w:div>
    <w:div w:id="1516118369">
      <w:bodyDiv w:val="1"/>
      <w:marLeft w:val="0"/>
      <w:marRight w:val="0"/>
      <w:marTop w:val="0"/>
      <w:marBottom w:val="0"/>
      <w:divBdr>
        <w:top w:val="none" w:sz="0" w:space="0" w:color="auto"/>
        <w:left w:val="none" w:sz="0" w:space="0" w:color="auto"/>
        <w:bottom w:val="none" w:sz="0" w:space="0" w:color="auto"/>
        <w:right w:val="none" w:sz="0" w:space="0" w:color="auto"/>
      </w:divBdr>
    </w:div>
    <w:div w:id="1518930873">
      <w:bodyDiv w:val="1"/>
      <w:marLeft w:val="0"/>
      <w:marRight w:val="0"/>
      <w:marTop w:val="0"/>
      <w:marBottom w:val="0"/>
      <w:divBdr>
        <w:top w:val="none" w:sz="0" w:space="0" w:color="auto"/>
        <w:left w:val="none" w:sz="0" w:space="0" w:color="auto"/>
        <w:bottom w:val="none" w:sz="0" w:space="0" w:color="auto"/>
        <w:right w:val="none" w:sz="0" w:space="0" w:color="auto"/>
      </w:divBdr>
    </w:div>
    <w:div w:id="1519541625">
      <w:bodyDiv w:val="1"/>
      <w:marLeft w:val="0"/>
      <w:marRight w:val="0"/>
      <w:marTop w:val="0"/>
      <w:marBottom w:val="0"/>
      <w:divBdr>
        <w:top w:val="none" w:sz="0" w:space="0" w:color="auto"/>
        <w:left w:val="none" w:sz="0" w:space="0" w:color="auto"/>
        <w:bottom w:val="none" w:sz="0" w:space="0" w:color="auto"/>
        <w:right w:val="none" w:sz="0" w:space="0" w:color="auto"/>
      </w:divBdr>
    </w:div>
    <w:div w:id="1527719678">
      <w:bodyDiv w:val="1"/>
      <w:marLeft w:val="0"/>
      <w:marRight w:val="0"/>
      <w:marTop w:val="0"/>
      <w:marBottom w:val="0"/>
      <w:divBdr>
        <w:top w:val="none" w:sz="0" w:space="0" w:color="auto"/>
        <w:left w:val="none" w:sz="0" w:space="0" w:color="auto"/>
        <w:bottom w:val="none" w:sz="0" w:space="0" w:color="auto"/>
        <w:right w:val="none" w:sz="0" w:space="0" w:color="auto"/>
      </w:divBdr>
    </w:div>
    <w:div w:id="1528517644">
      <w:bodyDiv w:val="1"/>
      <w:marLeft w:val="0"/>
      <w:marRight w:val="0"/>
      <w:marTop w:val="0"/>
      <w:marBottom w:val="0"/>
      <w:divBdr>
        <w:top w:val="none" w:sz="0" w:space="0" w:color="auto"/>
        <w:left w:val="none" w:sz="0" w:space="0" w:color="auto"/>
        <w:bottom w:val="none" w:sz="0" w:space="0" w:color="auto"/>
        <w:right w:val="none" w:sz="0" w:space="0" w:color="auto"/>
      </w:divBdr>
    </w:div>
    <w:div w:id="1529953246">
      <w:bodyDiv w:val="1"/>
      <w:marLeft w:val="0"/>
      <w:marRight w:val="0"/>
      <w:marTop w:val="0"/>
      <w:marBottom w:val="0"/>
      <w:divBdr>
        <w:top w:val="none" w:sz="0" w:space="0" w:color="auto"/>
        <w:left w:val="none" w:sz="0" w:space="0" w:color="auto"/>
        <w:bottom w:val="none" w:sz="0" w:space="0" w:color="auto"/>
        <w:right w:val="none" w:sz="0" w:space="0" w:color="auto"/>
      </w:divBdr>
    </w:div>
    <w:div w:id="1531261873">
      <w:bodyDiv w:val="1"/>
      <w:marLeft w:val="0"/>
      <w:marRight w:val="0"/>
      <w:marTop w:val="0"/>
      <w:marBottom w:val="0"/>
      <w:divBdr>
        <w:top w:val="none" w:sz="0" w:space="0" w:color="auto"/>
        <w:left w:val="none" w:sz="0" w:space="0" w:color="auto"/>
        <w:bottom w:val="none" w:sz="0" w:space="0" w:color="auto"/>
        <w:right w:val="none" w:sz="0" w:space="0" w:color="auto"/>
      </w:divBdr>
    </w:div>
    <w:div w:id="1541891963">
      <w:bodyDiv w:val="1"/>
      <w:marLeft w:val="0"/>
      <w:marRight w:val="0"/>
      <w:marTop w:val="0"/>
      <w:marBottom w:val="0"/>
      <w:divBdr>
        <w:top w:val="none" w:sz="0" w:space="0" w:color="auto"/>
        <w:left w:val="none" w:sz="0" w:space="0" w:color="auto"/>
        <w:bottom w:val="none" w:sz="0" w:space="0" w:color="auto"/>
        <w:right w:val="none" w:sz="0" w:space="0" w:color="auto"/>
      </w:divBdr>
    </w:div>
    <w:div w:id="1556114625">
      <w:bodyDiv w:val="1"/>
      <w:marLeft w:val="0"/>
      <w:marRight w:val="0"/>
      <w:marTop w:val="0"/>
      <w:marBottom w:val="0"/>
      <w:divBdr>
        <w:top w:val="none" w:sz="0" w:space="0" w:color="auto"/>
        <w:left w:val="none" w:sz="0" w:space="0" w:color="auto"/>
        <w:bottom w:val="none" w:sz="0" w:space="0" w:color="auto"/>
        <w:right w:val="none" w:sz="0" w:space="0" w:color="auto"/>
      </w:divBdr>
    </w:div>
    <w:div w:id="1566181566">
      <w:bodyDiv w:val="1"/>
      <w:marLeft w:val="0"/>
      <w:marRight w:val="0"/>
      <w:marTop w:val="0"/>
      <w:marBottom w:val="0"/>
      <w:divBdr>
        <w:top w:val="none" w:sz="0" w:space="0" w:color="auto"/>
        <w:left w:val="none" w:sz="0" w:space="0" w:color="auto"/>
        <w:bottom w:val="none" w:sz="0" w:space="0" w:color="auto"/>
        <w:right w:val="none" w:sz="0" w:space="0" w:color="auto"/>
      </w:divBdr>
    </w:div>
    <w:div w:id="1578322743">
      <w:bodyDiv w:val="1"/>
      <w:marLeft w:val="0"/>
      <w:marRight w:val="0"/>
      <w:marTop w:val="0"/>
      <w:marBottom w:val="0"/>
      <w:divBdr>
        <w:top w:val="none" w:sz="0" w:space="0" w:color="auto"/>
        <w:left w:val="none" w:sz="0" w:space="0" w:color="auto"/>
        <w:bottom w:val="none" w:sz="0" w:space="0" w:color="auto"/>
        <w:right w:val="none" w:sz="0" w:space="0" w:color="auto"/>
      </w:divBdr>
    </w:div>
    <w:div w:id="1578437014">
      <w:bodyDiv w:val="1"/>
      <w:marLeft w:val="0"/>
      <w:marRight w:val="0"/>
      <w:marTop w:val="0"/>
      <w:marBottom w:val="0"/>
      <w:divBdr>
        <w:top w:val="none" w:sz="0" w:space="0" w:color="auto"/>
        <w:left w:val="none" w:sz="0" w:space="0" w:color="auto"/>
        <w:bottom w:val="none" w:sz="0" w:space="0" w:color="auto"/>
        <w:right w:val="none" w:sz="0" w:space="0" w:color="auto"/>
      </w:divBdr>
    </w:div>
    <w:div w:id="1584948499">
      <w:bodyDiv w:val="1"/>
      <w:marLeft w:val="0"/>
      <w:marRight w:val="0"/>
      <w:marTop w:val="0"/>
      <w:marBottom w:val="0"/>
      <w:divBdr>
        <w:top w:val="none" w:sz="0" w:space="0" w:color="auto"/>
        <w:left w:val="none" w:sz="0" w:space="0" w:color="auto"/>
        <w:bottom w:val="none" w:sz="0" w:space="0" w:color="auto"/>
        <w:right w:val="none" w:sz="0" w:space="0" w:color="auto"/>
      </w:divBdr>
    </w:div>
    <w:div w:id="1615284269">
      <w:bodyDiv w:val="1"/>
      <w:marLeft w:val="0"/>
      <w:marRight w:val="0"/>
      <w:marTop w:val="0"/>
      <w:marBottom w:val="0"/>
      <w:divBdr>
        <w:top w:val="none" w:sz="0" w:space="0" w:color="auto"/>
        <w:left w:val="none" w:sz="0" w:space="0" w:color="auto"/>
        <w:bottom w:val="none" w:sz="0" w:space="0" w:color="auto"/>
        <w:right w:val="none" w:sz="0" w:space="0" w:color="auto"/>
      </w:divBdr>
    </w:div>
    <w:div w:id="1619147048">
      <w:bodyDiv w:val="1"/>
      <w:marLeft w:val="0"/>
      <w:marRight w:val="0"/>
      <w:marTop w:val="0"/>
      <w:marBottom w:val="0"/>
      <w:divBdr>
        <w:top w:val="none" w:sz="0" w:space="0" w:color="auto"/>
        <w:left w:val="none" w:sz="0" w:space="0" w:color="auto"/>
        <w:bottom w:val="none" w:sz="0" w:space="0" w:color="auto"/>
        <w:right w:val="none" w:sz="0" w:space="0" w:color="auto"/>
      </w:divBdr>
    </w:div>
    <w:div w:id="1619295964">
      <w:bodyDiv w:val="1"/>
      <w:marLeft w:val="0"/>
      <w:marRight w:val="0"/>
      <w:marTop w:val="0"/>
      <w:marBottom w:val="0"/>
      <w:divBdr>
        <w:top w:val="none" w:sz="0" w:space="0" w:color="auto"/>
        <w:left w:val="none" w:sz="0" w:space="0" w:color="auto"/>
        <w:bottom w:val="none" w:sz="0" w:space="0" w:color="auto"/>
        <w:right w:val="none" w:sz="0" w:space="0" w:color="auto"/>
      </w:divBdr>
    </w:div>
    <w:div w:id="1632632966">
      <w:bodyDiv w:val="1"/>
      <w:marLeft w:val="0"/>
      <w:marRight w:val="0"/>
      <w:marTop w:val="0"/>
      <w:marBottom w:val="0"/>
      <w:divBdr>
        <w:top w:val="none" w:sz="0" w:space="0" w:color="auto"/>
        <w:left w:val="none" w:sz="0" w:space="0" w:color="auto"/>
        <w:bottom w:val="none" w:sz="0" w:space="0" w:color="auto"/>
        <w:right w:val="none" w:sz="0" w:space="0" w:color="auto"/>
      </w:divBdr>
    </w:div>
    <w:div w:id="1640261753">
      <w:bodyDiv w:val="1"/>
      <w:marLeft w:val="0"/>
      <w:marRight w:val="0"/>
      <w:marTop w:val="0"/>
      <w:marBottom w:val="0"/>
      <w:divBdr>
        <w:top w:val="none" w:sz="0" w:space="0" w:color="auto"/>
        <w:left w:val="none" w:sz="0" w:space="0" w:color="auto"/>
        <w:bottom w:val="none" w:sz="0" w:space="0" w:color="auto"/>
        <w:right w:val="none" w:sz="0" w:space="0" w:color="auto"/>
      </w:divBdr>
    </w:div>
    <w:div w:id="1652249582">
      <w:bodyDiv w:val="1"/>
      <w:marLeft w:val="0"/>
      <w:marRight w:val="0"/>
      <w:marTop w:val="0"/>
      <w:marBottom w:val="0"/>
      <w:divBdr>
        <w:top w:val="none" w:sz="0" w:space="0" w:color="auto"/>
        <w:left w:val="none" w:sz="0" w:space="0" w:color="auto"/>
        <w:bottom w:val="none" w:sz="0" w:space="0" w:color="auto"/>
        <w:right w:val="none" w:sz="0" w:space="0" w:color="auto"/>
      </w:divBdr>
    </w:div>
    <w:div w:id="1661343634">
      <w:bodyDiv w:val="1"/>
      <w:marLeft w:val="0"/>
      <w:marRight w:val="0"/>
      <w:marTop w:val="0"/>
      <w:marBottom w:val="0"/>
      <w:divBdr>
        <w:top w:val="none" w:sz="0" w:space="0" w:color="auto"/>
        <w:left w:val="none" w:sz="0" w:space="0" w:color="auto"/>
        <w:bottom w:val="none" w:sz="0" w:space="0" w:color="auto"/>
        <w:right w:val="none" w:sz="0" w:space="0" w:color="auto"/>
      </w:divBdr>
    </w:div>
    <w:div w:id="1665165490">
      <w:bodyDiv w:val="1"/>
      <w:marLeft w:val="0"/>
      <w:marRight w:val="0"/>
      <w:marTop w:val="0"/>
      <w:marBottom w:val="0"/>
      <w:divBdr>
        <w:top w:val="none" w:sz="0" w:space="0" w:color="auto"/>
        <w:left w:val="none" w:sz="0" w:space="0" w:color="auto"/>
        <w:bottom w:val="none" w:sz="0" w:space="0" w:color="auto"/>
        <w:right w:val="none" w:sz="0" w:space="0" w:color="auto"/>
      </w:divBdr>
    </w:div>
    <w:div w:id="1681353311">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8396">
      <w:bodyDiv w:val="1"/>
      <w:marLeft w:val="0"/>
      <w:marRight w:val="0"/>
      <w:marTop w:val="0"/>
      <w:marBottom w:val="0"/>
      <w:divBdr>
        <w:top w:val="none" w:sz="0" w:space="0" w:color="auto"/>
        <w:left w:val="none" w:sz="0" w:space="0" w:color="auto"/>
        <w:bottom w:val="none" w:sz="0" w:space="0" w:color="auto"/>
        <w:right w:val="none" w:sz="0" w:space="0" w:color="auto"/>
      </w:divBdr>
    </w:div>
    <w:div w:id="1695569921">
      <w:bodyDiv w:val="1"/>
      <w:marLeft w:val="0"/>
      <w:marRight w:val="0"/>
      <w:marTop w:val="0"/>
      <w:marBottom w:val="0"/>
      <w:divBdr>
        <w:top w:val="none" w:sz="0" w:space="0" w:color="auto"/>
        <w:left w:val="none" w:sz="0" w:space="0" w:color="auto"/>
        <w:bottom w:val="none" w:sz="0" w:space="0" w:color="auto"/>
        <w:right w:val="none" w:sz="0" w:space="0" w:color="auto"/>
      </w:divBdr>
    </w:div>
    <w:div w:id="1701005021">
      <w:bodyDiv w:val="1"/>
      <w:marLeft w:val="0"/>
      <w:marRight w:val="0"/>
      <w:marTop w:val="0"/>
      <w:marBottom w:val="0"/>
      <w:divBdr>
        <w:top w:val="none" w:sz="0" w:space="0" w:color="auto"/>
        <w:left w:val="none" w:sz="0" w:space="0" w:color="auto"/>
        <w:bottom w:val="none" w:sz="0" w:space="0" w:color="auto"/>
        <w:right w:val="none" w:sz="0" w:space="0" w:color="auto"/>
      </w:divBdr>
    </w:div>
    <w:div w:id="1708096491">
      <w:bodyDiv w:val="1"/>
      <w:marLeft w:val="0"/>
      <w:marRight w:val="0"/>
      <w:marTop w:val="0"/>
      <w:marBottom w:val="0"/>
      <w:divBdr>
        <w:top w:val="none" w:sz="0" w:space="0" w:color="auto"/>
        <w:left w:val="none" w:sz="0" w:space="0" w:color="auto"/>
        <w:bottom w:val="none" w:sz="0" w:space="0" w:color="auto"/>
        <w:right w:val="none" w:sz="0" w:space="0" w:color="auto"/>
      </w:divBdr>
    </w:div>
    <w:div w:id="1712919984">
      <w:bodyDiv w:val="1"/>
      <w:marLeft w:val="0"/>
      <w:marRight w:val="0"/>
      <w:marTop w:val="0"/>
      <w:marBottom w:val="0"/>
      <w:divBdr>
        <w:top w:val="none" w:sz="0" w:space="0" w:color="auto"/>
        <w:left w:val="none" w:sz="0" w:space="0" w:color="auto"/>
        <w:bottom w:val="none" w:sz="0" w:space="0" w:color="auto"/>
        <w:right w:val="none" w:sz="0" w:space="0" w:color="auto"/>
      </w:divBdr>
    </w:div>
    <w:div w:id="1715040711">
      <w:bodyDiv w:val="1"/>
      <w:marLeft w:val="0"/>
      <w:marRight w:val="0"/>
      <w:marTop w:val="0"/>
      <w:marBottom w:val="0"/>
      <w:divBdr>
        <w:top w:val="none" w:sz="0" w:space="0" w:color="auto"/>
        <w:left w:val="none" w:sz="0" w:space="0" w:color="auto"/>
        <w:bottom w:val="none" w:sz="0" w:space="0" w:color="auto"/>
        <w:right w:val="none" w:sz="0" w:space="0" w:color="auto"/>
      </w:divBdr>
    </w:div>
    <w:div w:id="1727410132">
      <w:bodyDiv w:val="1"/>
      <w:marLeft w:val="0"/>
      <w:marRight w:val="0"/>
      <w:marTop w:val="0"/>
      <w:marBottom w:val="0"/>
      <w:divBdr>
        <w:top w:val="none" w:sz="0" w:space="0" w:color="auto"/>
        <w:left w:val="none" w:sz="0" w:space="0" w:color="auto"/>
        <w:bottom w:val="none" w:sz="0" w:space="0" w:color="auto"/>
        <w:right w:val="none" w:sz="0" w:space="0" w:color="auto"/>
      </w:divBdr>
    </w:div>
    <w:div w:id="1733575764">
      <w:bodyDiv w:val="1"/>
      <w:marLeft w:val="0"/>
      <w:marRight w:val="0"/>
      <w:marTop w:val="0"/>
      <w:marBottom w:val="0"/>
      <w:divBdr>
        <w:top w:val="none" w:sz="0" w:space="0" w:color="auto"/>
        <w:left w:val="none" w:sz="0" w:space="0" w:color="auto"/>
        <w:bottom w:val="none" w:sz="0" w:space="0" w:color="auto"/>
        <w:right w:val="none" w:sz="0" w:space="0" w:color="auto"/>
      </w:divBdr>
    </w:div>
    <w:div w:id="1748721669">
      <w:bodyDiv w:val="1"/>
      <w:marLeft w:val="0"/>
      <w:marRight w:val="0"/>
      <w:marTop w:val="0"/>
      <w:marBottom w:val="0"/>
      <w:divBdr>
        <w:top w:val="none" w:sz="0" w:space="0" w:color="auto"/>
        <w:left w:val="none" w:sz="0" w:space="0" w:color="auto"/>
        <w:bottom w:val="none" w:sz="0" w:space="0" w:color="auto"/>
        <w:right w:val="none" w:sz="0" w:space="0" w:color="auto"/>
      </w:divBdr>
    </w:div>
    <w:div w:id="1750930475">
      <w:bodyDiv w:val="1"/>
      <w:marLeft w:val="0"/>
      <w:marRight w:val="0"/>
      <w:marTop w:val="0"/>
      <w:marBottom w:val="0"/>
      <w:divBdr>
        <w:top w:val="none" w:sz="0" w:space="0" w:color="auto"/>
        <w:left w:val="none" w:sz="0" w:space="0" w:color="auto"/>
        <w:bottom w:val="none" w:sz="0" w:space="0" w:color="auto"/>
        <w:right w:val="none" w:sz="0" w:space="0" w:color="auto"/>
      </w:divBdr>
    </w:div>
    <w:div w:id="1764917200">
      <w:bodyDiv w:val="1"/>
      <w:marLeft w:val="0"/>
      <w:marRight w:val="0"/>
      <w:marTop w:val="0"/>
      <w:marBottom w:val="0"/>
      <w:divBdr>
        <w:top w:val="none" w:sz="0" w:space="0" w:color="auto"/>
        <w:left w:val="none" w:sz="0" w:space="0" w:color="auto"/>
        <w:bottom w:val="none" w:sz="0" w:space="0" w:color="auto"/>
        <w:right w:val="none" w:sz="0" w:space="0" w:color="auto"/>
      </w:divBdr>
    </w:div>
    <w:div w:id="1769085555">
      <w:bodyDiv w:val="1"/>
      <w:marLeft w:val="0"/>
      <w:marRight w:val="0"/>
      <w:marTop w:val="0"/>
      <w:marBottom w:val="0"/>
      <w:divBdr>
        <w:top w:val="none" w:sz="0" w:space="0" w:color="auto"/>
        <w:left w:val="none" w:sz="0" w:space="0" w:color="auto"/>
        <w:bottom w:val="none" w:sz="0" w:space="0" w:color="auto"/>
        <w:right w:val="none" w:sz="0" w:space="0" w:color="auto"/>
      </w:divBdr>
    </w:div>
    <w:div w:id="1775242283">
      <w:bodyDiv w:val="1"/>
      <w:marLeft w:val="0"/>
      <w:marRight w:val="0"/>
      <w:marTop w:val="0"/>
      <w:marBottom w:val="0"/>
      <w:divBdr>
        <w:top w:val="none" w:sz="0" w:space="0" w:color="auto"/>
        <w:left w:val="none" w:sz="0" w:space="0" w:color="auto"/>
        <w:bottom w:val="none" w:sz="0" w:space="0" w:color="auto"/>
        <w:right w:val="none" w:sz="0" w:space="0" w:color="auto"/>
      </w:divBdr>
    </w:div>
    <w:div w:id="1777020164">
      <w:bodyDiv w:val="1"/>
      <w:marLeft w:val="0"/>
      <w:marRight w:val="0"/>
      <w:marTop w:val="0"/>
      <w:marBottom w:val="0"/>
      <w:divBdr>
        <w:top w:val="none" w:sz="0" w:space="0" w:color="auto"/>
        <w:left w:val="none" w:sz="0" w:space="0" w:color="auto"/>
        <w:bottom w:val="none" w:sz="0" w:space="0" w:color="auto"/>
        <w:right w:val="none" w:sz="0" w:space="0" w:color="auto"/>
      </w:divBdr>
    </w:div>
    <w:div w:id="1792900079">
      <w:bodyDiv w:val="1"/>
      <w:marLeft w:val="0"/>
      <w:marRight w:val="0"/>
      <w:marTop w:val="0"/>
      <w:marBottom w:val="0"/>
      <w:divBdr>
        <w:top w:val="none" w:sz="0" w:space="0" w:color="auto"/>
        <w:left w:val="none" w:sz="0" w:space="0" w:color="auto"/>
        <w:bottom w:val="none" w:sz="0" w:space="0" w:color="auto"/>
        <w:right w:val="none" w:sz="0" w:space="0" w:color="auto"/>
      </w:divBdr>
    </w:div>
    <w:div w:id="1801260496">
      <w:bodyDiv w:val="1"/>
      <w:marLeft w:val="0"/>
      <w:marRight w:val="0"/>
      <w:marTop w:val="0"/>
      <w:marBottom w:val="0"/>
      <w:divBdr>
        <w:top w:val="none" w:sz="0" w:space="0" w:color="auto"/>
        <w:left w:val="none" w:sz="0" w:space="0" w:color="auto"/>
        <w:bottom w:val="none" w:sz="0" w:space="0" w:color="auto"/>
        <w:right w:val="none" w:sz="0" w:space="0" w:color="auto"/>
      </w:divBdr>
    </w:div>
    <w:div w:id="1809516343">
      <w:bodyDiv w:val="1"/>
      <w:marLeft w:val="0"/>
      <w:marRight w:val="0"/>
      <w:marTop w:val="0"/>
      <w:marBottom w:val="0"/>
      <w:divBdr>
        <w:top w:val="none" w:sz="0" w:space="0" w:color="auto"/>
        <w:left w:val="none" w:sz="0" w:space="0" w:color="auto"/>
        <w:bottom w:val="none" w:sz="0" w:space="0" w:color="auto"/>
        <w:right w:val="none" w:sz="0" w:space="0" w:color="auto"/>
      </w:divBdr>
    </w:div>
    <w:div w:id="1820682580">
      <w:bodyDiv w:val="1"/>
      <w:marLeft w:val="0"/>
      <w:marRight w:val="0"/>
      <w:marTop w:val="0"/>
      <w:marBottom w:val="0"/>
      <w:divBdr>
        <w:top w:val="none" w:sz="0" w:space="0" w:color="auto"/>
        <w:left w:val="none" w:sz="0" w:space="0" w:color="auto"/>
        <w:bottom w:val="none" w:sz="0" w:space="0" w:color="auto"/>
        <w:right w:val="none" w:sz="0" w:space="0" w:color="auto"/>
      </w:divBdr>
    </w:div>
    <w:div w:id="1826361515">
      <w:bodyDiv w:val="1"/>
      <w:marLeft w:val="0"/>
      <w:marRight w:val="0"/>
      <w:marTop w:val="0"/>
      <w:marBottom w:val="0"/>
      <w:divBdr>
        <w:top w:val="none" w:sz="0" w:space="0" w:color="auto"/>
        <w:left w:val="none" w:sz="0" w:space="0" w:color="auto"/>
        <w:bottom w:val="none" w:sz="0" w:space="0" w:color="auto"/>
        <w:right w:val="none" w:sz="0" w:space="0" w:color="auto"/>
      </w:divBdr>
    </w:div>
    <w:div w:id="1830368007">
      <w:bodyDiv w:val="1"/>
      <w:marLeft w:val="0"/>
      <w:marRight w:val="0"/>
      <w:marTop w:val="0"/>
      <w:marBottom w:val="0"/>
      <w:divBdr>
        <w:top w:val="none" w:sz="0" w:space="0" w:color="auto"/>
        <w:left w:val="none" w:sz="0" w:space="0" w:color="auto"/>
        <w:bottom w:val="none" w:sz="0" w:space="0" w:color="auto"/>
        <w:right w:val="none" w:sz="0" w:space="0" w:color="auto"/>
      </w:divBdr>
    </w:div>
    <w:div w:id="1836023708">
      <w:bodyDiv w:val="1"/>
      <w:marLeft w:val="0"/>
      <w:marRight w:val="0"/>
      <w:marTop w:val="0"/>
      <w:marBottom w:val="0"/>
      <w:divBdr>
        <w:top w:val="none" w:sz="0" w:space="0" w:color="auto"/>
        <w:left w:val="none" w:sz="0" w:space="0" w:color="auto"/>
        <w:bottom w:val="none" w:sz="0" w:space="0" w:color="auto"/>
        <w:right w:val="none" w:sz="0" w:space="0" w:color="auto"/>
      </w:divBdr>
    </w:div>
    <w:div w:id="1837913767">
      <w:bodyDiv w:val="1"/>
      <w:marLeft w:val="0"/>
      <w:marRight w:val="0"/>
      <w:marTop w:val="0"/>
      <w:marBottom w:val="0"/>
      <w:divBdr>
        <w:top w:val="none" w:sz="0" w:space="0" w:color="auto"/>
        <w:left w:val="none" w:sz="0" w:space="0" w:color="auto"/>
        <w:bottom w:val="none" w:sz="0" w:space="0" w:color="auto"/>
        <w:right w:val="none" w:sz="0" w:space="0" w:color="auto"/>
      </w:divBdr>
    </w:div>
    <w:div w:id="1838615602">
      <w:bodyDiv w:val="1"/>
      <w:marLeft w:val="0"/>
      <w:marRight w:val="0"/>
      <w:marTop w:val="0"/>
      <w:marBottom w:val="0"/>
      <w:divBdr>
        <w:top w:val="none" w:sz="0" w:space="0" w:color="auto"/>
        <w:left w:val="none" w:sz="0" w:space="0" w:color="auto"/>
        <w:bottom w:val="none" w:sz="0" w:space="0" w:color="auto"/>
        <w:right w:val="none" w:sz="0" w:space="0" w:color="auto"/>
      </w:divBdr>
    </w:div>
    <w:div w:id="1839072488">
      <w:bodyDiv w:val="1"/>
      <w:marLeft w:val="0"/>
      <w:marRight w:val="0"/>
      <w:marTop w:val="0"/>
      <w:marBottom w:val="0"/>
      <w:divBdr>
        <w:top w:val="none" w:sz="0" w:space="0" w:color="auto"/>
        <w:left w:val="none" w:sz="0" w:space="0" w:color="auto"/>
        <w:bottom w:val="none" w:sz="0" w:space="0" w:color="auto"/>
        <w:right w:val="none" w:sz="0" w:space="0" w:color="auto"/>
      </w:divBdr>
    </w:div>
    <w:div w:id="1848597286">
      <w:bodyDiv w:val="1"/>
      <w:marLeft w:val="0"/>
      <w:marRight w:val="0"/>
      <w:marTop w:val="0"/>
      <w:marBottom w:val="0"/>
      <w:divBdr>
        <w:top w:val="none" w:sz="0" w:space="0" w:color="auto"/>
        <w:left w:val="none" w:sz="0" w:space="0" w:color="auto"/>
        <w:bottom w:val="none" w:sz="0" w:space="0" w:color="auto"/>
        <w:right w:val="none" w:sz="0" w:space="0" w:color="auto"/>
      </w:divBdr>
    </w:div>
    <w:div w:id="1849254189">
      <w:bodyDiv w:val="1"/>
      <w:marLeft w:val="0"/>
      <w:marRight w:val="0"/>
      <w:marTop w:val="0"/>
      <w:marBottom w:val="0"/>
      <w:divBdr>
        <w:top w:val="none" w:sz="0" w:space="0" w:color="auto"/>
        <w:left w:val="none" w:sz="0" w:space="0" w:color="auto"/>
        <w:bottom w:val="none" w:sz="0" w:space="0" w:color="auto"/>
        <w:right w:val="none" w:sz="0" w:space="0" w:color="auto"/>
      </w:divBdr>
    </w:div>
    <w:div w:id="1851289747">
      <w:bodyDiv w:val="1"/>
      <w:marLeft w:val="0"/>
      <w:marRight w:val="0"/>
      <w:marTop w:val="0"/>
      <w:marBottom w:val="0"/>
      <w:divBdr>
        <w:top w:val="none" w:sz="0" w:space="0" w:color="auto"/>
        <w:left w:val="none" w:sz="0" w:space="0" w:color="auto"/>
        <w:bottom w:val="none" w:sz="0" w:space="0" w:color="auto"/>
        <w:right w:val="none" w:sz="0" w:space="0" w:color="auto"/>
      </w:divBdr>
    </w:div>
    <w:div w:id="1853766220">
      <w:bodyDiv w:val="1"/>
      <w:marLeft w:val="0"/>
      <w:marRight w:val="0"/>
      <w:marTop w:val="0"/>
      <w:marBottom w:val="0"/>
      <w:divBdr>
        <w:top w:val="none" w:sz="0" w:space="0" w:color="auto"/>
        <w:left w:val="none" w:sz="0" w:space="0" w:color="auto"/>
        <w:bottom w:val="none" w:sz="0" w:space="0" w:color="auto"/>
        <w:right w:val="none" w:sz="0" w:space="0" w:color="auto"/>
      </w:divBdr>
    </w:div>
    <w:div w:id="1855410972">
      <w:bodyDiv w:val="1"/>
      <w:marLeft w:val="0"/>
      <w:marRight w:val="0"/>
      <w:marTop w:val="0"/>
      <w:marBottom w:val="0"/>
      <w:divBdr>
        <w:top w:val="none" w:sz="0" w:space="0" w:color="auto"/>
        <w:left w:val="none" w:sz="0" w:space="0" w:color="auto"/>
        <w:bottom w:val="none" w:sz="0" w:space="0" w:color="auto"/>
        <w:right w:val="none" w:sz="0" w:space="0" w:color="auto"/>
      </w:divBdr>
    </w:div>
    <w:div w:id="1874531848">
      <w:bodyDiv w:val="1"/>
      <w:marLeft w:val="0"/>
      <w:marRight w:val="0"/>
      <w:marTop w:val="0"/>
      <w:marBottom w:val="0"/>
      <w:divBdr>
        <w:top w:val="none" w:sz="0" w:space="0" w:color="auto"/>
        <w:left w:val="none" w:sz="0" w:space="0" w:color="auto"/>
        <w:bottom w:val="none" w:sz="0" w:space="0" w:color="auto"/>
        <w:right w:val="none" w:sz="0" w:space="0" w:color="auto"/>
      </w:divBdr>
    </w:div>
    <w:div w:id="1887066233">
      <w:bodyDiv w:val="1"/>
      <w:marLeft w:val="0"/>
      <w:marRight w:val="0"/>
      <w:marTop w:val="0"/>
      <w:marBottom w:val="0"/>
      <w:divBdr>
        <w:top w:val="none" w:sz="0" w:space="0" w:color="auto"/>
        <w:left w:val="none" w:sz="0" w:space="0" w:color="auto"/>
        <w:bottom w:val="none" w:sz="0" w:space="0" w:color="auto"/>
        <w:right w:val="none" w:sz="0" w:space="0" w:color="auto"/>
      </w:divBdr>
    </w:div>
    <w:div w:id="1900365014">
      <w:bodyDiv w:val="1"/>
      <w:marLeft w:val="0"/>
      <w:marRight w:val="0"/>
      <w:marTop w:val="0"/>
      <w:marBottom w:val="0"/>
      <w:divBdr>
        <w:top w:val="none" w:sz="0" w:space="0" w:color="auto"/>
        <w:left w:val="none" w:sz="0" w:space="0" w:color="auto"/>
        <w:bottom w:val="none" w:sz="0" w:space="0" w:color="auto"/>
        <w:right w:val="none" w:sz="0" w:space="0" w:color="auto"/>
      </w:divBdr>
    </w:div>
    <w:div w:id="1913734427">
      <w:bodyDiv w:val="1"/>
      <w:marLeft w:val="0"/>
      <w:marRight w:val="0"/>
      <w:marTop w:val="0"/>
      <w:marBottom w:val="0"/>
      <w:divBdr>
        <w:top w:val="none" w:sz="0" w:space="0" w:color="auto"/>
        <w:left w:val="none" w:sz="0" w:space="0" w:color="auto"/>
        <w:bottom w:val="none" w:sz="0" w:space="0" w:color="auto"/>
        <w:right w:val="none" w:sz="0" w:space="0" w:color="auto"/>
      </w:divBdr>
    </w:div>
    <w:div w:id="1914272039">
      <w:bodyDiv w:val="1"/>
      <w:marLeft w:val="0"/>
      <w:marRight w:val="0"/>
      <w:marTop w:val="0"/>
      <w:marBottom w:val="0"/>
      <w:divBdr>
        <w:top w:val="none" w:sz="0" w:space="0" w:color="auto"/>
        <w:left w:val="none" w:sz="0" w:space="0" w:color="auto"/>
        <w:bottom w:val="none" w:sz="0" w:space="0" w:color="auto"/>
        <w:right w:val="none" w:sz="0" w:space="0" w:color="auto"/>
      </w:divBdr>
    </w:div>
    <w:div w:id="1919629977">
      <w:bodyDiv w:val="1"/>
      <w:marLeft w:val="0"/>
      <w:marRight w:val="0"/>
      <w:marTop w:val="0"/>
      <w:marBottom w:val="0"/>
      <w:divBdr>
        <w:top w:val="none" w:sz="0" w:space="0" w:color="auto"/>
        <w:left w:val="none" w:sz="0" w:space="0" w:color="auto"/>
        <w:bottom w:val="none" w:sz="0" w:space="0" w:color="auto"/>
        <w:right w:val="none" w:sz="0" w:space="0" w:color="auto"/>
      </w:divBdr>
    </w:div>
    <w:div w:id="1940333602">
      <w:bodyDiv w:val="1"/>
      <w:marLeft w:val="0"/>
      <w:marRight w:val="0"/>
      <w:marTop w:val="0"/>
      <w:marBottom w:val="0"/>
      <w:divBdr>
        <w:top w:val="none" w:sz="0" w:space="0" w:color="auto"/>
        <w:left w:val="none" w:sz="0" w:space="0" w:color="auto"/>
        <w:bottom w:val="none" w:sz="0" w:space="0" w:color="auto"/>
        <w:right w:val="none" w:sz="0" w:space="0" w:color="auto"/>
      </w:divBdr>
    </w:div>
    <w:div w:id="1947224566">
      <w:bodyDiv w:val="1"/>
      <w:marLeft w:val="0"/>
      <w:marRight w:val="0"/>
      <w:marTop w:val="0"/>
      <w:marBottom w:val="0"/>
      <w:divBdr>
        <w:top w:val="none" w:sz="0" w:space="0" w:color="auto"/>
        <w:left w:val="none" w:sz="0" w:space="0" w:color="auto"/>
        <w:bottom w:val="none" w:sz="0" w:space="0" w:color="auto"/>
        <w:right w:val="none" w:sz="0" w:space="0" w:color="auto"/>
      </w:divBdr>
    </w:div>
    <w:div w:id="1951887207">
      <w:bodyDiv w:val="1"/>
      <w:marLeft w:val="0"/>
      <w:marRight w:val="0"/>
      <w:marTop w:val="0"/>
      <w:marBottom w:val="0"/>
      <w:divBdr>
        <w:top w:val="none" w:sz="0" w:space="0" w:color="auto"/>
        <w:left w:val="none" w:sz="0" w:space="0" w:color="auto"/>
        <w:bottom w:val="none" w:sz="0" w:space="0" w:color="auto"/>
        <w:right w:val="none" w:sz="0" w:space="0" w:color="auto"/>
      </w:divBdr>
    </w:div>
    <w:div w:id="1954630561">
      <w:bodyDiv w:val="1"/>
      <w:marLeft w:val="0"/>
      <w:marRight w:val="0"/>
      <w:marTop w:val="0"/>
      <w:marBottom w:val="0"/>
      <w:divBdr>
        <w:top w:val="none" w:sz="0" w:space="0" w:color="auto"/>
        <w:left w:val="none" w:sz="0" w:space="0" w:color="auto"/>
        <w:bottom w:val="none" w:sz="0" w:space="0" w:color="auto"/>
        <w:right w:val="none" w:sz="0" w:space="0" w:color="auto"/>
      </w:divBdr>
    </w:div>
    <w:div w:id="1955092795">
      <w:bodyDiv w:val="1"/>
      <w:marLeft w:val="0"/>
      <w:marRight w:val="0"/>
      <w:marTop w:val="0"/>
      <w:marBottom w:val="0"/>
      <w:divBdr>
        <w:top w:val="none" w:sz="0" w:space="0" w:color="auto"/>
        <w:left w:val="none" w:sz="0" w:space="0" w:color="auto"/>
        <w:bottom w:val="none" w:sz="0" w:space="0" w:color="auto"/>
        <w:right w:val="none" w:sz="0" w:space="0" w:color="auto"/>
      </w:divBdr>
    </w:div>
    <w:div w:id="1959489926">
      <w:bodyDiv w:val="1"/>
      <w:marLeft w:val="0"/>
      <w:marRight w:val="0"/>
      <w:marTop w:val="0"/>
      <w:marBottom w:val="0"/>
      <w:divBdr>
        <w:top w:val="none" w:sz="0" w:space="0" w:color="auto"/>
        <w:left w:val="none" w:sz="0" w:space="0" w:color="auto"/>
        <w:bottom w:val="none" w:sz="0" w:space="0" w:color="auto"/>
        <w:right w:val="none" w:sz="0" w:space="0" w:color="auto"/>
      </w:divBdr>
    </w:div>
    <w:div w:id="1965774380">
      <w:bodyDiv w:val="1"/>
      <w:marLeft w:val="0"/>
      <w:marRight w:val="0"/>
      <w:marTop w:val="0"/>
      <w:marBottom w:val="0"/>
      <w:divBdr>
        <w:top w:val="none" w:sz="0" w:space="0" w:color="auto"/>
        <w:left w:val="none" w:sz="0" w:space="0" w:color="auto"/>
        <w:bottom w:val="none" w:sz="0" w:space="0" w:color="auto"/>
        <w:right w:val="none" w:sz="0" w:space="0" w:color="auto"/>
      </w:divBdr>
    </w:div>
    <w:div w:id="1978218363">
      <w:bodyDiv w:val="1"/>
      <w:marLeft w:val="0"/>
      <w:marRight w:val="0"/>
      <w:marTop w:val="0"/>
      <w:marBottom w:val="0"/>
      <w:divBdr>
        <w:top w:val="none" w:sz="0" w:space="0" w:color="auto"/>
        <w:left w:val="none" w:sz="0" w:space="0" w:color="auto"/>
        <w:bottom w:val="none" w:sz="0" w:space="0" w:color="auto"/>
        <w:right w:val="none" w:sz="0" w:space="0" w:color="auto"/>
      </w:divBdr>
    </w:div>
    <w:div w:id="1979727001">
      <w:bodyDiv w:val="1"/>
      <w:marLeft w:val="0"/>
      <w:marRight w:val="0"/>
      <w:marTop w:val="0"/>
      <w:marBottom w:val="0"/>
      <w:divBdr>
        <w:top w:val="none" w:sz="0" w:space="0" w:color="auto"/>
        <w:left w:val="none" w:sz="0" w:space="0" w:color="auto"/>
        <w:bottom w:val="none" w:sz="0" w:space="0" w:color="auto"/>
        <w:right w:val="none" w:sz="0" w:space="0" w:color="auto"/>
      </w:divBdr>
    </w:div>
    <w:div w:id="1982417132">
      <w:bodyDiv w:val="1"/>
      <w:marLeft w:val="0"/>
      <w:marRight w:val="0"/>
      <w:marTop w:val="0"/>
      <w:marBottom w:val="0"/>
      <w:divBdr>
        <w:top w:val="none" w:sz="0" w:space="0" w:color="auto"/>
        <w:left w:val="none" w:sz="0" w:space="0" w:color="auto"/>
        <w:bottom w:val="none" w:sz="0" w:space="0" w:color="auto"/>
        <w:right w:val="none" w:sz="0" w:space="0" w:color="auto"/>
      </w:divBdr>
    </w:div>
    <w:div w:id="1995061270">
      <w:bodyDiv w:val="1"/>
      <w:marLeft w:val="0"/>
      <w:marRight w:val="0"/>
      <w:marTop w:val="0"/>
      <w:marBottom w:val="0"/>
      <w:divBdr>
        <w:top w:val="none" w:sz="0" w:space="0" w:color="auto"/>
        <w:left w:val="none" w:sz="0" w:space="0" w:color="auto"/>
        <w:bottom w:val="none" w:sz="0" w:space="0" w:color="auto"/>
        <w:right w:val="none" w:sz="0" w:space="0" w:color="auto"/>
      </w:divBdr>
    </w:div>
    <w:div w:id="1997149116">
      <w:bodyDiv w:val="1"/>
      <w:marLeft w:val="0"/>
      <w:marRight w:val="0"/>
      <w:marTop w:val="0"/>
      <w:marBottom w:val="0"/>
      <w:divBdr>
        <w:top w:val="none" w:sz="0" w:space="0" w:color="auto"/>
        <w:left w:val="none" w:sz="0" w:space="0" w:color="auto"/>
        <w:bottom w:val="none" w:sz="0" w:space="0" w:color="auto"/>
        <w:right w:val="none" w:sz="0" w:space="0" w:color="auto"/>
      </w:divBdr>
    </w:div>
    <w:div w:id="2007895369">
      <w:bodyDiv w:val="1"/>
      <w:marLeft w:val="0"/>
      <w:marRight w:val="0"/>
      <w:marTop w:val="0"/>
      <w:marBottom w:val="0"/>
      <w:divBdr>
        <w:top w:val="none" w:sz="0" w:space="0" w:color="auto"/>
        <w:left w:val="none" w:sz="0" w:space="0" w:color="auto"/>
        <w:bottom w:val="none" w:sz="0" w:space="0" w:color="auto"/>
        <w:right w:val="none" w:sz="0" w:space="0" w:color="auto"/>
      </w:divBdr>
    </w:div>
    <w:div w:id="2030064829">
      <w:bodyDiv w:val="1"/>
      <w:marLeft w:val="0"/>
      <w:marRight w:val="0"/>
      <w:marTop w:val="0"/>
      <w:marBottom w:val="0"/>
      <w:divBdr>
        <w:top w:val="none" w:sz="0" w:space="0" w:color="auto"/>
        <w:left w:val="none" w:sz="0" w:space="0" w:color="auto"/>
        <w:bottom w:val="none" w:sz="0" w:space="0" w:color="auto"/>
        <w:right w:val="none" w:sz="0" w:space="0" w:color="auto"/>
      </w:divBdr>
    </w:div>
    <w:div w:id="2036036190">
      <w:bodyDiv w:val="1"/>
      <w:marLeft w:val="0"/>
      <w:marRight w:val="0"/>
      <w:marTop w:val="0"/>
      <w:marBottom w:val="0"/>
      <w:divBdr>
        <w:top w:val="none" w:sz="0" w:space="0" w:color="auto"/>
        <w:left w:val="none" w:sz="0" w:space="0" w:color="auto"/>
        <w:bottom w:val="none" w:sz="0" w:space="0" w:color="auto"/>
        <w:right w:val="none" w:sz="0" w:space="0" w:color="auto"/>
      </w:divBdr>
    </w:div>
    <w:div w:id="2042120655">
      <w:bodyDiv w:val="1"/>
      <w:marLeft w:val="0"/>
      <w:marRight w:val="0"/>
      <w:marTop w:val="0"/>
      <w:marBottom w:val="0"/>
      <w:divBdr>
        <w:top w:val="none" w:sz="0" w:space="0" w:color="auto"/>
        <w:left w:val="none" w:sz="0" w:space="0" w:color="auto"/>
        <w:bottom w:val="none" w:sz="0" w:space="0" w:color="auto"/>
        <w:right w:val="none" w:sz="0" w:space="0" w:color="auto"/>
      </w:divBdr>
    </w:div>
    <w:div w:id="2062704527">
      <w:bodyDiv w:val="1"/>
      <w:marLeft w:val="0"/>
      <w:marRight w:val="0"/>
      <w:marTop w:val="0"/>
      <w:marBottom w:val="0"/>
      <w:divBdr>
        <w:top w:val="none" w:sz="0" w:space="0" w:color="auto"/>
        <w:left w:val="none" w:sz="0" w:space="0" w:color="auto"/>
        <w:bottom w:val="none" w:sz="0" w:space="0" w:color="auto"/>
        <w:right w:val="none" w:sz="0" w:space="0" w:color="auto"/>
      </w:divBdr>
    </w:div>
    <w:div w:id="2070151482">
      <w:bodyDiv w:val="1"/>
      <w:marLeft w:val="0"/>
      <w:marRight w:val="0"/>
      <w:marTop w:val="0"/>
      <w:marBottom w:val="0"/>
      <w:divBdr>
        <w:top w:val="none" w:sz="0" w:space="0" w:color="auto"/>
        <w:left w:val="none" w:sz="0" w:space="0" w:color="auto"/>
        <w:bottom w:val="none" w:sz="0" w:space="0" w:color="auto"/>
        <w:right w:val="none" w:sz="0" w:space="0" w:color="auto"/>
      </w:divBdr>
    </w:div>
    <w:div w:id="2072732249">
      <w:bodyDiv w:val="1"/>
      <w:marLeft w:val="0"/>
      <w:marRight w:val="0"/>
      <w:marTop w:val="0"/>
      <w:marBottom w:val="0"/>
      <w:divBdr>
        <w:top w:val="none" w:sz="0" w:space="0" w:color="auto"/>
        <w:left w:val="none" w:sz="0" w:space="0" w:color="auto"/>
        <w:bottom w:val="none" w:sz="0" w:space="0" w:color="auto"/>
        <w:right w:val="none" w:sz="0" w:space="0" w:color="auto"/>
      </w:divBdr>
    </w:div>
    <w:div w:id="2078360894">
      <w:bodyDiv w:val="1"/>
      <w:marLeft w:val="0"/>
      <w:marRight w:val="0"/>
      <w:marTop w:val="0"/>
      <w:marBottom w:val="0"/>
      <w:divBdr>
        <w:top w:val="none" w:sz="0" w:space="0" w:color="auto"/>
        <w:left w:val="none" w:sz="0" w:space="0" w:color="auto"/>
        <w:bottom w:val="none" w:sz="0" w:space="0" w:color="auto"/>
        <w:right w:val="none" w:sz="0" w:space="0" w:color="auto"/>
      </w:divBdr>
    </w:div>
    <w:div w:id="2082897822">
      <w:bodyDiv w:val="1"/>
      <w:marLeft w:val="0"/>
      <w:marRight w:val="0"/>
      <w:marTop w:val="0"/>
      <w:marBottom w:val="0"/>
      <w:divBdr>
        <w:top w:val="none" w:sz="0" w:space="0" w:color="auto"/>
        <w:left w:val="none" w:sz="0" w:space="0" w:color="auto"/>
        <w:bottom w:val="none" w:sz="0" w:space="0" w:color="auto"/>
        <w:right w:val="none" w:sz="0" w:space="0" w:color="auto"/>
      </w:divBdr>
    </w:div>
    <w:div w:id="2083675862">
      <w:bodyDiv w:val="1"/>
      <w:marLeft w:val="0"/>
      <w:marRight w:val="0"/>
      <w:marTop w:val="0"/>
      <w:marBottom w:val="0"/>
      <w:divBdr>
        <w:top w:val="none" w:sz="0" w:space="0" w:color="auto"/>
        <w:left w:val="none" w:sz="0" w:space="0" w:color="auto"/>
        <w:bottom w:val="none" w:sz="0" w:space="0" w:color="auto"/>
        <w:right w:val="none" w:sz="0" w:space="0" w:color="auto"/>
      </w:divBdr>
    </w:div>
    <w:div w:id="2104256236">
      <w:bodyDiv w:val="1"/>
      <w:marLeft w:val="0"/>
      <w:marRight w:val="0"/>
      <w:marTop w:val="0"/>
      <w:marBottom w:val="0"/>
      <w:divBdr>
        <w:top w:val="none" w:sz="0" w:space="0" w:color="auto"/>
        <w:left w:val="none" w:sz="0" w:space="0" w:color="auto"/>
        <w:bottom w:val="none" w:sz="0" w:space="0" w:color="auto"/>
        <w:right w:val="none" w:sz="0" w:space="0" w:color="auto"/>
      </w:divBdr>
    </w:div>
    <w:div w:id="2109544855">
      <w:bodyDiv w:val="1"/>
      <w:marLeft w:val="0"/>
      <w:marRight w:val="0"/>
      <w:marTop w:val="0"/>
      <w:marBottom w:val="0"/>
      <w:divBdr>
        <w:top w:val="none" w:sz="0" w:space="0" w:color="auto"/>
        <w:left w:val="none" w:sz="0" w:space="0" w:color="auto"/>
        <w:bottom w:val="none" w:sz="0" w:space="0" w:color="auto"/>
        <w:right w:val="none" w:sz="0" w:space="0" w:color="auto"/>
      </w:divBdr>
    </w:div>
    <w:div w:id="2114353125">
      <w:bodyDiv w:val="1"/>
      <w:marLeft w:val="0"/>
      <w:marRight w:val="0"/>
      <w:marTop w:val="0"/>
      <w:marBottom w:val="0"/>
      <w:divBdr>
        <w:top w:val="none" w:sz="0" w:space="0" w:color="auto"/>
        <w:left w:val="none" w:sz="0" w:space="0" w:color="auto"/>
        <w:bottom w:val="none" w:sz="0" w:space="0" w:color="auto"/>
        <w:right w:val="none" w:sz="0" w:space="0" w:color="auto"/>
      </w:divBdr>
    </w:div>
    <w:div w:id="2116753040">
      <w:bodyDiv w:val="1"/>
      <w:marLeft w:val="0"/>
      <w:marRight w:val="0"/>
      <w:marTop w:val="0"/>
      <w:marBottom w:val="0"/>
      <w:divBdr>
        <w:top w:val="none" w:sz="0" w:space="0" w:color="auto"/>
        <w:left w:val="none" w:sz="0" w:space="0" w:color="auto"/>
        <w:bottom w:val="none" w:sz="0" w:space="0" w:color="auto"/>
        <w:right w:val="none" w:sz="0" w:space="0" w:color="auto"/>
      </w:divBdr>
    </w:div>
    <w:div w:id="2118408018">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550851">
      <w:bodyDiv w:val="1"/>
      <w:marLeft w:val="0"/>
      <w:marRight w:val="0"/>
      <w:marTop w:val="0"/>
      <w:marBottom w:val="0"/>
      <w:divBdr>
        <w:top w:val="none" w:sz="0" w:space="0" w:color="auto"/>
        <w:left w:val="none" w:sz="0" w:space="0" w:color="auto"/>
        <w:bottom w:val="none" w:sz="0" w:space="0" w:color="auto"/>
        <w:right w:val="none" w:sz="0" w:space="0" w:color="auto"/>
      </w:divBdr>
    </w:div>
    <w:div w:id="2138915191">
      <w:bodyDiv w:val="1"/>
      <w:marLeft w:val="0"/>
      <w:marRight w:val="0"/>
      <w:marTop w:val="0"/>
      <w:marBottom w:val="0"/>
      <w:divBdr>
        <w:top w:val="none" w:sz="0" w:space="0" w:color="auto"/>
        <w:left w:val="none" w:sz="0" w:space="0" w:color="auto"/>
        <w:bottom w:val="none" w:sz="0" w:space="0" w:color="auto"/>
        <w:right w:val="none" w:sz="0" w:space="0" w:color="auto"/>
      </w:divBdr>
    </w:div>
    <w:div w:id="214612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marzio.invernizzi@polimi.it"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C2068424-F8D4-4B90-A735-B9F5CFD53C95}"/>
      </w:docPartPr>
      <w:docPartBody>
        <w:p w:rsidR="00883581" w:rsidRDefault="0020452E">
          <w:r w:rsidRPr="00CE1D35">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2E"/>
    <w:rsid w:val="001B34A1"/>
    <w:rsid w:val="0020452E"/>
    <w:rsid w:val="00597B84"/>
    <w:rsid w:val="00697860"/>
    <w:rsid w:val="00883581"/>
    <w:rsid w:val="00A33A2D"/>
    <w:rsid w:val="00AD3CEB"/>
    <w:rsid w:val="00C4031A"/>
    <w:rsid w:val="00EC7C5F"/>
    <w:rsid w:val="00F24AC8"/>
    <w:rsid w:val="00F436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045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55FA2A-5457-4E9F-BE9D-26C2A62B9980}">
  <we:reference id="f78a3046-9e99-4300-aa2b-5814002b01a2" version="1.55.1.0" store="EXCatalog" storeType="EXCatalog"/>
  <we:alternateReferences>
    <we:reference id="WA104382081" version="1.55.1.0" store="it-IT" storeType="OMEX"/>
  </we:alternateReferences>
  <we:properties>
    <we:property name="MENDELEY_BIBLIOGRAPHY_IS_DIRTY" value="true"/>
    <we:property name="MENDELEY_BIBLIOGRAPHY_LAST_MODIFIED" value="1776327335805"/>
    <we:property name="MENDELEY_CITATIONS" value="[{&quot;citationID&quot;:&quot;MENDELEY_CITATION_398b1dc4-adb3-4bba-8c32-2a0255d7be3c&quot;,&quot;properties&quot;:{&quot;noteIndex&quot;:0},&quot;isEdited&quot;:false,&quot;manualOverride&quot;:{&quot;isManuallyOverridden&quot;:false,&quot;citeprocText&quot;:&quot;(Badach et al., 2018)&quot;,&quot;manualOverrideText&quot;:&quot;&quot;},&quot;citationTag&quot;:&quot;MENDELEY_CITATION_v3_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&quot;,&quot;citationItems&quot;:[{&quot;id&quot;:&quot;637b653b-2315-315e-ad10-1ecb7a840f90&quot;,&quot;itemData&quot;:{&quot;type&quot;:&quot;article-journal&quot;,&quot;id&quot;:&quot;637b653b-2315-315e-ad10-1ecb7a840f90&quot;,&quot;title&quot;:&quot;A case study of odour nuisance evaluation in the context of integrated urban planning&quot;,&quot;author&quot;:[{&quot;family&quot;:&quot;Badach&quot;,&quot;given&quot;:&quot;Joanna&quot;,&quot;parse-names&quot;:false,&quot;dropping-particle&quot;:&quot;&quot;,&quot;non-dropping-particle&quot;:&quot;&quot;},{&quot;family&quot;:&quot;Kolasińska&quot;,&quot;given&quot;:&quot;Paulina&quot;,&quot;parse-names&quot;:false,&quot;dropping-particle&quot;:&quot;&quot;,&quot;non-dropping-particle&quot;:&quot;&quot;},{&quot;family&quot;:&quot;Paciorek&quot;,&quot;given&quot;:&quot;Małgorzata&quot;,&quot;parse-names&quot;:false,&quot;dropping-particle&quot;:&quot;&quot;,&quot;non-dropping-particle&quot;:&quot;&quot;},{&quot;family&quot;:&quot;Wojnowski&quot;,&quot;given&quot;:&quot;Wojciech&quot;,&quot;parse-names&quot;:false,&quot;dropping-particle&quot;:&quot;&quot;,&quot;non-dropping-particle&quot;:&quot;&quot;},{&quot;family&quot;:&quot;Dymerski&quot;,&quot;given&quot;:&quot;Tomasz&quot;,&quot;parse-names&quot;:false,&quot;dropping-particle&quot;:&quot;&quot;,&quot;non-dropping-particle&quot;:&quot;&quot;},{&quot;family&quot;:&quot;Gębicki&quot;,&quot;given&quot;:&quot;Jacek&quot;,&quot;parse-names&quot;:false,&quot;dropping-particle&quot;:&quot;&quot;,&quot;non-dropping-particle&quot;:&quot;&quot;},{&quot;family&quot;:&quot;Dymnicka&quot;,&quot;given&quot;:&quot;Małgorzata&quot;,&quot;parse-names&quot;:false,&quot;dropping-particle&quot;:&quot;&quot;,&quot;non-dropping-particle&quot;:&quot;&quot;},{&quot;family&quot;:&quot;Namieśnik&quot;,&quot;given&quot;:&quot;Jacek&quot;,&quot;parse-names&quot;:false,&quot;dropping-particle&quot;:&quot;&quot;,&quot;non-dropping-particle&quot;:&quot;&quot;}],&quot;container-title&quot;:&quot;Journal of Environmental Management&quot;,&quot;container-title-short&quot;:&quot;J. Environ. Manage.&quot;,&quot;DOI&quot;:&quot;10.1016/j.jenvman.2018.02.086&quot;,&quot;ISSN&quot;:&quot;10958630&quot;,&quot;PMID&quot;:&quot;29505997&quot;,&quot;issued&quot;:{&quot;date-parts&quot;:[[2018,5,1]]},&quot;page&quot;:&quot;417-424&quot;,&quot;abstract&quot;:&quot;Odour nuisance poses a serious problem in many urban areas, yet its evaluation and mitigation is often omitted in the urban planning process. By identifying its range and spatio-temporal variations, it could be taken into consideration by planners in urban development strategies and land use decisions. The aim of the study was to present the application of odour evaluation techniques in the improvement of the quality of life in the built environment. The problem of odours is discussed in regard to human health, social aspects and current practices in the management of spatial development. The application possibilities of field olfactometry are demonstrated based on a case study of a municipal landfill which is a major source of odour nuisance for the adjacent areas. The results of odour nuisance measurements were field olfactometry combined with topographical and meteorological data. Using dispersion modelling (non-steady-state Lagrangian Gaussian puff model CALPUFF with dedicated meteorological pre-processor CALMET) it was possible to calculate odour concentrations and to place the measured odour concentrations in a specific spatial context. The obtained results were juxtaposed with local development strategies and discussed in the context of environmental-based planning. We suggest that odour evaluation and dispersion modelling are valid tools in managing the dynamics of urban growth.&quot;,&quot;publisher&quot;:&quot;Academic Press&quot;,&quot;volume&quot;:&quot;213&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Fra26</b:Tag>
    <b:SourceType>Misc</b:SourceType>
    <b:Guid>{687765DB-6DB3-4412-9406-FAAACF6F78D0}</b:Guid>
    <b:Author>
      <b:Author>
        <b:NameList>
          <b:Person>
            <b:Last>Tagliaferri</b:Last>
            <b:First>Francesca</b:First>
          </b:Person>
          <b:Person>
            <b:Last>Sironi</b:Last>
            <b:First>Selena</b:First>
          </b:Person>
          <b:Person>
            <b:Last>Invernizzi</b:Last>
            <b:First>Marzio</b:First>
          </b:Person>
        </b:NameList>
      </b:Author>
    </b:Author>
    <b:Title>Assessing VOC Dispersion from Hydrocarbon Storage Tanks: A Case Study on Emission Temporal Resolution</b:Title>
    <b:Year>2026</b:Year>
    <b:Publisher>applied sciences</b:Publisher>
    <b:Pages>1-16</b:Pages>
    <b:Volume>16</b:Volume>
    <b:RefOrder>12</b:RefOrder>
  </b:Source>
  <b:Source>
    <b:Tag>Lot22</b:Tag>
    <b:SourceType>Misc</b:SourceType>
    <b:Guid>{7D324572-F3E2-43DA-A21B-A051C1B7E395}</b:Guid>
    <b:Author>
      <b:Author>
        <b:NameList>
          <b:Person>
            <b:Last>Lotesoriere</b:Last>
            <b:First>Beatrice</b:First>
          </b:Person>
          <b:Person>
            <b:Last>Panzitta</b:Last>
            <b:First>Alessandra</b:First>
          </b:Person>
          <b:Person>
            <b:Last>Capelli</b:Last>
            <b:First>Laura,</b:First>
          </b:Person>
        </b:NameList>
      </b:Author>
    </b:Author>
    <b:Title>A Method to Evaluate Odour Impacts in the Case of Highly Variable Emission Scenarios: a Case Study in a Foundry</b:Title>
    <b:Year>2022</b:Year>
    <b:RefOrder>13</b:RefOrder>
  </b:Source>
  <b:Source>
    <b:Tag>Enr18</b:Tag>
    <b:SourceType>Misc</b:SourceType>
    <b:Guid>{FC99A87D-52B9-4CD1-86F5-BA930A87FB72}</b:Guid>
    <b:Author>
      <b:Author>
        <b:NameList>
          <b:Person>
            <b:Last>Davoli</b:Last>
            <b:First>Enrico</b:First>
          </b:Person>
          <b:Person>
            <b:Last>Porro</b:Last>
            <b:First>Emma</b:First>
          </b:Person>
          <b:Person>
            <b:Last>Piangerelli</b:Last>
            <b:First>Luca</b:First>
          </b:Person>
          <b:Person>
            <b:Last>Foschi</b:Last>
            <b:First>Antonio</b:First>
          </b:Person>
          <b:Person>
            <b:Last>Paleari</b:Last>
            <b:First>Barbara</b:First>
          </b:Person>
          <b:Person>
            <b:Last>Rossi</b:Last>
            <b:First>Andrea</b:First>
            <b:Middle>Nicola</b:Middle>
          </b:Person>
          <b:Person>
            <b:Last>Bonati</b:Last>
            <b:First>Simone</b:First>
          </b:Person>
          <b:Person>
            <b:Last>Il Grande</b:Last>
            <b:First>Massimiliano</b:First>
          </b:Person>
          <b:Person>
            <b:Last>Bonura</b:Last>
            <b:First>Anna</b:First>
          </b:Person>
        </b:NameList>
      </b:Author>
    </b:Author>
    <b:Title>Bituminous Conglomerates Industrial Production. Assessment of Odour Emissions in View of Regional Guidelines Publication</b:Title>
    <b:Year>2018</b:Year>
    <b:Pages>1-6</b:Pages>
    <b:Volume>68</b:Volume>
    <b:RefOrder>1</b:RefOrder>
  </b:Source>
  <b:Source>
    <b:Tag>Inv20</b:Tag>
    <b:SourceType>Misc</b:SourceType>
    <b:Guid>{6B1DEF11-B8DE-42BF-8926-A96229547C9B}</b:Guid>
    <b:Author>
      <b:Author>
        <b:NameList>
          <b:Person>
            <b:Last>Invernizzi</b:Last>
            <b:First>Marzio</b:First>
          </b:Person>
          <b:Person>
            <b:Last>Brancher</b:Last>
            <b:First>Marlon</b:First>
          </b:Person>
          <b:Person>
            <b:Last>Sironi</b:Last>
            <b:First>Selena</b:First>
          </b:Person>
          <b:Person>
            <b:Last>Capelli</b:Last>
            <b:First>Laura</b:First>
          </b:Person>
          <b:Person>
            <b:Last>Piringer</b:Last>
            <b:First>Martin</b:First>
          </b:Person>
          <b:Person>
            <b:Last>Schauberger</b:Last>
            <b:First>Günther</b:First>
          </b:Person>
        </b:NameList>
      </b:Author>
    </b:Author>
    <b:Title>Odour impact assessment by considering short-term ambient concentrations: A multi-model and two-site comparison</b:Title>
    <b:Year>2020</b:Year>
    <b:RefOrder>4</b:RefOrder>
  </b:Source>
  <b:Source>
    <b:Tag>Pal14</b:Tag>
    <b:SourceType>Misc</b:SourceType>
    <b:Guid>{DC0A550F-4AC3-4FD7-9250-87C75FFD085E}</b:Guid>
    <b:Author>
      <b:Author>
        <b:NameList>
          <b:Person>
            <b:Last>Palmiotto</b:Last>
            <b:First>Marinella</b:First>
          </b:Person>
          <b:Person>
            <b:Last>Fattore</b:Last>
            <b:First>Elena</b:First>
          </b:Person>
          <b:Person>
            <b:Last>Paiano</b:Last>
            <b:First>Viviana</b:First>
          </b:Person>
          <b:Person>
            <b:Last>Celeste</b:Last>
            <b:First>Giorgio</b:First>
          </b:Person>
          <b:Person>
            <b:Last>Colombo</b:Last>
            <b:First>Andrea</b:First>
          </b:Person>
          <b:Person>
            <b:Last>Davoli</b:Last>
            <b:First>Enrico</b:First>
          </b:Person>
        </b:NameList>
      </b:Author>
    </b:Author>
    <b:Title>Influence of a municipal solid waste landfill in the surrounding environment: Toxicological risk and odor nuisance effects</b:Title>
    <b:Year>2014</b:Year>
    <b:RefOrder>2</b:RefOrder>
  </b:Source>
  <b:Source>
    <b:Tag>Bra14</b:Tag>
    <b:SourceType>Misc</b:SourceType>
    <b:Guid>{EB8AA259-770D-4310-8AD9-32D8F73C89DF}</b:Guid>
    <b:Author>
      <b:Author>
        <b:NameList>
          <b:Person>
            <b:Last>Brancher</b:Last>
            <b:First>Marlon</b:First>
          </b:Person>
          <b:Person>
            <b:Last>De Melo Lisboa</b:Last>
            <b:First>Henrique</b:First>
          </b:Person>
        </b:NameList>
      </b:Author>
    </b:Author>
    <b:Title>Odour impact assessment by community survey</b:Title>
    <b:Year>2014</b:Year>
    <b:RefOrder>3</b:RefOrder>
  </b:Source>
  <b:Source>
    <b:Tag>Sis25</b:Tag>
    <b:SourceType>Misc</b:SourceType>
    <b:Guid>{AE6E0095-BA0C-4E96-B12B-88C68CC6D213}</b:Guid>
    <b:Author>
      <b:Author>
        <b:NameList>
          <b:Person>
            <b:Last>Sistema Nazione per la Protezione dell'Ambiente</b:Last>
          </b:Person>
        </b:NameList>
      </b:Author>
    </b:Author>
    <b:Title>Emissioni odorigene: elementi di riferimento e approcci metodologici per il monitoraggio</b:Title>
    <b:Year>2025</b:Year>
    <b:RefOrder>7</b:RefOrder>
  </b:Source>
  <b:Source>
    <b:Tag>Con20</b:Tag>
    <b:SourceType>Misc</b:SourceType>
    <b:Guid>{DBF5615F-280A-48E7-B6AE-AA39EFF22148}</b:Guid>
    <b:Author>
      <b:Author>
        <b:NameList>
          <b:Person>
            <b:Last>Conti</b:Last>
            <b:First>Cecilia</b:First>
          </b:Person>
          <b:Person>
            <b:Last>Guarino</b:Last>
            <b:First>Marcella</b:First>
          </b:Person>
          <b:Person>
            <b:Last>Bacenetti</b:Last>
            <b:First>Jacopo</b:First>
          </b:Person>
        </b:NameList>
      </b:Author>
    </b:Author>
    <b:PublicationTitle>Measurements techniques and models to assess odor annoyance: A review</b:PublicationTitle>
    <b:Year>2020</b:Year>
    <b:RefOrder>5</b:RefOrder>
  </b:Source>
  <b:Source>
    <b:Tag>Pir20</b:Tag>
    <b:SourceType>Misc</b:SourceType>
    <b:Guid>{870DAA32-D3CC-4877-9FF5-60964BEC77EA}</b:Guid>
    <b:Author>
      <b:Author>
        <b:NameList>
          <b:Person>
            <b:Last>Piringer</b:Last>
            <b:First>Martin</b:First>
          </b:Person>
          <b:Person>
            <b:Last>Schauberger</b:Last>
            <b:First>Gunther</b:First>
          </b:Person>
        </b:NameList>
      </b:Author>
    </b:Author>
    <b:Title>Environmental Odour: Emission, Dispersion, and the Assessment of Annoyance</b:Title>
    <b:Year>2020</b:Year>
    <b:RefOrder>6</b:RefOrder>
  </b:Source>
  <b:Source>
    <b:Tag>Tag24</b:Tag>
    <b:SourceType>Misc</b:SourceType>
    <b:Guid>{6B1CB841-A43A-47DA-BDD6-BCE293DA2DA7}</b:Guid>
    <b:Author>
      <b:Author>
        <b:NameList>
          <b:Person>
            <b:Last>Tagliaferri</b:Last>
            <b:First>Francesca</b:First>
          </b:Person>
          <b:Person>
            <b:Last>Facagni</b:Last>
            <b:First>Laura</b:First>
          </b:Person>
          <b:Person>
            <b:Last>Invernizzi</b:Last>
            <b:First>Marzio</b:First>
          </b:Person>
          <b:Person>
            <b:Last>Ferrer Hernandez</b:Last>
            <b:First>Adrian</b:First>
            <b:Middle>Luis</b:Middle>
          </b:Person>
          <b:Person>
            <b:Last>Hernández-Garces</b:Last>
            <b:First>Anel</b:First>
          </b:Person>
          <b:Person>
            <b:Last>Sironi</b:Last>
            <b:First>Selena</b:First>
          </b:Person>
        </b:NameList>
      </b:Author>
    </b:Author>
    <b:Title>Odor Impact Assessment via Dispersion Model: Comparison of Different Input Meteorological Datasets</b:Title>
    <b:Year>2024</b:Year>
    <b:RefOrder>9</b:RefOrder>
  </b:Source>
  <b:Source>
    <b:Tag>Vuo23</b:Tag>
    <b:SourceType>Misc</b:SourceType>
    <b:Guid>{24A3795B-1E17-4103-A64C-E352A51F3401}</b:Guid>
    <b:Author>
      <b:Author>
        <b:NameList>
          <b:Person>
            <b:Last>Vuolo</b:Last>
            <b:First>Maria</b:First>
            <b:Middle>Raffaella</b:Middle>
          </b:Person>
          <b:Person>
            <b:Last>Acutis</b:Last>
            <b:First>Marco</b:First>
          </b:Person>
          <b:Person>
            <b:Last>Tyagi</b:Last>
            <b:First>Bhishma</b:First>
          </b:Person>
          <b:Person>
            <b:Last>Boccasile</b:Last>
            <b:First>Gabriele</b:First>
          </b:Person>
          <b:Person>
            <b:Last>Perego</b:Last>
            <b:First>Alessia</b:First>
          </b:Person>
          <b:Person>
            <b:Last>Pelissetti</b:Last>
            <b:First>Simone</b:First>
          </b:Person>
        </b:NameList>
      </b:Author>
    </b:Author>
    <b:Title>Odour Emissions and Dispersion from Digestate Spreading</b:Title>
    <b:Year>2023</b:Year>
    <b:RefOrder>8</b:RefOrder>
  </b:Source>
  <b:Source>
    <b:Tag>Ger23</b:Tag>
    <b:SourceType>Misc</b:SourceType>
    <b:Guid>{2F9FF00F-356E-485A-B763-960015803DB8}</b:Guid>
    <b:Author>
      <b:Author>
        <b:NameList>
          <b:Person>
            <b:Last>Germin-Aizac</b:Last>
            <b:First>Julie</b:First>
          </b:Person>
          <b:Person>
            <b:Last>Maitre</b:Last>
            <b:First>Anne</b:First>
          </b:Person>
          <b:Person>
            <b:Last>Balducci</b:Last>
            <b:First>Franck</b:First>
          </b:Person>
          <b:Person>
            <b:Last>Montlevier</b:Last>
            <b:First>Sarah</b:First>
          </b:Person>
          <b:Person>
            <b:Last>Marques</b:Last>
            <b:First>Marie</b:First>
          </b:Person>
          <b:Person>
            <b:Last>Tribouiller</b:Last>
            <b:First>Justine</b:First>
          </b:Person>
          <b:Person>
            <b:Last>Demeilliers</b:Last>
            <b:First>Christine</b:First>
          </b:Person>
          <b:Person>
            <b:Last>Persoons</b:Last>
            <b:First>Renaud</b:First>
          </b:Person>
        </b:NameList>
      </b:Author>
    </b:Author>
    <b:Title>Bitumen fumes and PAHs in asphalt road paving: Emission characteristics, determinants of exposure and environmental impact</b:Title>
    <b:Year>2023</b:Year>
    <b:RefOrder>10</b:RefOrder>
  </b:Source>
  <b:Source>
    <b:Tag>Bra21</b:Tag>
    <b:SourceType>Misc</b:SourceType>
    <b:Guid>{68642313-B081-422E-BBC1-AB066C73346C}</b:Guid>
    <b:Author>
      <b:Author>
        <b:NameList>
          <b:Person>
            <b:Last>Brancher</b:Last>
            <b:First>Marlon</b:First>
          </b:Person>
          <b:Person>
            <b:Last>Hoinaski</b:Last>
            <b:First>Leonardo</b:First>
          </b:Person>
          <b:Person>
            <b:Last>Piringer</b:Last>
            <b:First>Martin</b:First>
          </b:Person>
          <b:Person>
            <b:Last>A.Prata</b:Last>
            <b:First>Ademir</b:First>
          </b:Person>
          <b:Person>
            <b:Last>Schauberger</b:Last>
            <b:First>Gunther</b:First>
          </b:Person>
        </b:NameList>
      </b:Author>
    </b:Author>
    <b:Title>Dispersion modelling of environmental odours using hourly-resolved emission scenarios: Implications for impact assessments</b:Title>
    <b:Year>2021</b:Year>
    <b:RefOrder>11</b:RefOrder>
  </b:Source>
  <b:Source>
    <b:Tag>Shi00</b:Tag>
    <b:SourceType>Misc</b:SourceType>
    <b:Guid>{D7FFDD8E-0414-4750-B82D-8883DC4F7134}</b:Guid>
    <b:Author>
      <b:Author>
        <b:NameList>
          <b:Person>
            <b:Last>Shire</b:Last>
            <b:First>Joseph</b:First>
            <b:Middle>S.</b:Middle>
          </b:Person>
          <b:Person>
            <b:Last>Strimaitis</b:Last>
            <b:First>David</b:First>
            <b:Middle>G.</b:Middle>
          </b:Person>
          <b:Person>
            <b:Last>Yamartino</b:Last>
            <b:First>Robert</b:First>
            <b:Middle>J.</b:Middle>
          </b:Person>
        </b:NameList>
      </b:Author>
    </b:Author>
    <b:Title>A user's guide for the CALPUFF dispersion model</b:Title>
    <b:Year>2000</b:Year>
    <b:RefOrder>15</b:RefOrder>
  </b:Source>
  <b:Source>
    <b:Tag>EN122</b:Tag>
    <b:SourceType>Misc</b:SourceType>
    <b:Guid>{A586D87D-CCE1-4BAF-9460-E7DF1033B7BB}</b:Guid>
    <b:Title>EN 13725:2022, Stationary source emissions - Determination of odour concentration by dynamic olfactometry and odour emission rate</b:Title>
    <b:Year>2022</b:Year>
    <b:RefOrder>16</b:RefOrder>
  </b:Source>
  <b:Source>
    <b:Tag>Dec23</b:Tag>
    <b:SourceType>Misc</b:SourceType>
    <b:Guid>{E162782C-FB3C-4710-8924-B14106CE7D20}</b:Guid>
    <b:Title>Decreto direttoriale MinAmbiente 28 giugno 2023, n. 309</b:Title>
    <b:Year>2023</b:Year>
    <b:RefOrder>14</b:RefOrder>
  </b:Source>
</b:Sources>
</file>

<file path=customXml/itemProps1.xml><?xml version="1.0" encoding="utf-8"?>
<ds:datastoreItem xmlns:ds="http://schemas.openxmlformats.org/officeDocument/2006/customXml" ds:itemID="{655108BF-6F82-4338-9421-D6B04608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3574</Words>
  <Characters>20373</Characters>
  <Application>Microsoft Office Word</Application>
  <DocSecurity>0</DocSecurity>
  <Lines>169</Lines>
  <Paragraphs>47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Pietro Citterio</cp:lastModifiedBy>
  <cp:revision>6</cp:revision>
  <cp:lastPrinted>2015-05-12T18:31:00Z</cp:lastPrinted>
  <dcterms:created xsi:type="dcterms:W3CDTF">2026-04-22T12:40:00Z</dcterms:created>
  <dcterms:modified xsi:type="dcterms:W3CDTF">2026-04-24T07:58:00Z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