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bottom w:val="single" w:sz="4" w:space="0" w:color="auto"/>
        </w:tblBorders>
        <w:tblLook w:val="01E0" w:firstRow="1" w:lastRow="1" w:firstColumn="1" w:lastColumn="1" w:noHBand="0" w:noVBand="0"/>
      </w:tblPr>
      <w:tblGrid>
        <w:gridCol w:w="6940"/>
        <w:gridCol w:w="1842"/>
      </w:tblGrid>
      <w:tr w:rsidR="000A03B2" w:rsidRPr="00E33F8E" w14:paraId="2A131A54" w14:textId="77777777" w:rsidTr="0060420A">
        <w:trPr>
          <w:trHeight w:val="852"/>
          <w:jc w:val="center"/>
        </w:trPr>
        <w:tc>
          <w:tcPr>
            <w:tcW w:w="6940" w:type="dxa"/>
            <w:vMerge w:val="restart"/>
            <w:tcBorders>
              <w:right w:val="single" w:sz="4" w:space="0" w:color="auto"/>
            </w:tcBorders>
          </w:tcPr>
          <w:p w14:paraId="38C3D2BA" w14:textId="77777777" w:rsidR="000A03B2" w:rsidRPr="00E33F8E" w:rsidRDefault="000A03B2" w:rsidP="00DE264A">
            <w:pPr>
              <w:tabs>
                <w:tab w:val="left" w:pos="-108"/>
              </w:tabs>
              <w:ind w:left="-108"/>
              <w:jc w:val="left"/>
              <w:rPr>
                <w:rFonts w:cs="Arial"/>
                <w:b/>
                <w:bCs/>
                <w:i/>
                <w:iCs/>
                <w:color w:val="000066"/>
                <w:sz w:val="12"/>
                <w:szCs w:val="12"/>
                <w:lang w:eastAsia="it-IT"/>
              </w:rPr>
            </w:pPr>
            <w:r w:rsidRPr="00E33F8E">
              <w:rPr>
                <w:rFonts w:cs="Arial"/>
                <w:noProof/>
                <w:color w:val="241F20"/>
                <w:szCs w:val="18"/>
                <w:lang w:val="pl-PL" w:eastAsia="pl-PL"/>
              </w:rPr>
              <w:drawing>
                <wp:inline distT="0" distB="0" distL="0" distR="0" wp14:anchorId="02B7C3D3" wp14:editId="5EE03112">
                  <wp:extent cx="640080" cy="373380"/>
                  <wp:effectExtent l="0" t="0" r="7620" b="7620"/>
                  <wp:docPr id="5" name="Immagine 5" descr="ce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t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0080" cy="373380"/>
                          </a:xfrm>
                          <a:prstGeom prst="rect">
                            <a:avLst/>
                          </a:prstGeom>
                          <a:noFill/>
                          <a:ln>
                            <a:noFill/>
                          </a:ln>
                        </pic:spPr>
                      </pic:pic>
                    </a:graphicData>
                  </a:graphic>
                </wp:inline>
              </w:drawing>
            </w:r>
            <w:r w:rsidRPr="00E33F8E">
              <w:rPr>
                <w:rFonts w:cs="Arial"/>
                <w:color w:val="241F20"/>
                <w:szCs w:val="18"/>
                <w:lang w:eastAsia="it-IT"/>
              </w:rPr>
              <w:t xml:space="preserve"> </w:t>
            </w:r>
            <w:r w:rsidRPr="00E33F8E">
              <w:rPr>
                <w:rFonts w:cs="Arial"/>
                <w:b/>
                <w:bCs/>
                <w:i/>
                <w:iCs/>
                <w:color w:val="000066"/>
                <w:sz w:val="24"/>
                <w:szCs w:val="24"/>
                <w:lang w:eastAsia="it-IT"/>
              </w:rPr>
              <w:t>CHEMICAL ENGINEERING</w:t>
            </w:r>
            <w:r w:rsidRPr="00E33F8E">
              <w:rPr>
                <w:rFonts w:cs="Arial"/>
                <w:b/>
                <w:bCs/>
                <w:i/>
                <w:iCs/>
                <w:color w:val="0033FF"/>
                <w:sz w:val="24"/>
                <w:szCs w:val="24"/>
                <w:lang w:eastAsia="it-IT"/>
              </w:rPr>
              <w:t xml:space="preserve"> </w:t>
            </w:r>
            <w:r w:rsidRPr="00E33F8E">
              <w:rPr>
                <w:rFonts w:cs="Arial"/>
                <w:b/>
                <w:bCs/>
                <w:i/>
                <w:iCs/>
                <w:color w:val="666666"/>
                <w:sz w:val="24"/>
                <w:szCs w:val="24"/>
                <w:lang w:eastAsia="it-IT"/>
              </w:rPr>
              <w:t>TRANSACTIONS</w:t>
            </w:r>
            <w:r w:rsidRPr="00E33F8E">
              <w:rPr>
                <w:rFonts w:cs="Arial"/>
                <w:color w:val="333333"/>
                <w:sz w:val="24"/>
                <w:szCs w:val="24"/>
                <w:lang w:eastAsia="it-IT"/>
              </w:rPr>
              <w:t xml:space="preserve"> </w:t>
            </w:r>
            <w:r w:rsidRPr="00E33F8E">
              <w:rPr>
                <w:rFonts w:cs="Arial"/>
                <w:b/>
                <w:bCs/>
                <w:i/>
                <w:iCs/>
                <w:color w:val="000066"/>
                <w:sz w:val="27"/>
                <w:szCs w:val="27"/>
                <w:lang w:eastAsia="it-IT"/>
              </w:rPr>
              <w:br/>
            </w:r>
          </w:p>
          <w:p w14:paraId="4B780582" w14:textId="7CE2ED3B" w:rsidR="000A03B2" w:rsidRPr="00E33F8E" w:rsidRDefault="00A76EFC" w:rsidP="001D21AF">
            <w:pPr>
              <w:tabs>
                <w:tab w:val="left" w:pos="-108"/>
              </w:tabs>
              <w:ind w:left="-108"/>
              <w:rPr>
                <w:rFonts w:cs="Arial"/>
                <w:b/>
                <w:bCs/>
                <w:i/>
                <w:iCs/>
                <w:color w:val="000066"/>
                <w:sz w:val="22"/>
                <w:szCs w:val="22"/>
                <w:lang w:eastAsia="it-IT"/>
              </w:rPr>
            </w:pPr>
            <w:r w:rsidRPr="00E33F8E">
              <w:rPr>
                <w:rFonts w:cs="Arial"/>
                <w:b/>
                <w:bCs/>
                <w:i/>
                <w:iCs/>
                <w:color w:val="000066"/>
                <w:sz w:val="22"/>
                <w:szCs w:val="22"/>
                <w:lang w:eastAsia="it-IT"/>
              </w:rPr>
              <w:t>VOL.</w:t>
            </w:r>
            <w:r w:rsidR="007B48F9" w:rsidRPr="00E33F8E">
              <w:rPr>
                <w:rFonts w:cs="Arial"/>
                <w:b/>
                <w:bCs/>
                <w:i/>
                <w:iCs/>
                <w:color w:val="000066"/>
                <w:sz w:val="22"/>
                <w:szCs w:val="22"/>
                <w:lang w:eastAsia="it-IT"/>
              </w:rPr>
              <w:t>,</w:t>
            </w:r>
            <w:r w:rsidR="00FA5F5F" w:rsidRPr="00E33F8E">
              <w:rPr>
                <w:rFonts w:cs="Arial"/>
                <w:b/>
                <w:bCs/>
                <w:i/>
                <w:iCs/>
                <w:color w:val="000066"/>
                <w:sz w:val="22"/>
                <w:szCs w:val="22"/>
                <w:lang w:eastAsia="it-IT"/>
              </w:rPr>
              <w:t xml:space="preserve"> </w:t>
            </w:r>
            <w:r w:rsidR="0030152C" w:rsidRPr="00E33F8E">
              <w:rPr>
                <w:rFonts w:cs="Arial"/>
                <w:b/>
                <w:bCs/>
                <w:i/>
                <w:iCs/>
                <w:color w:val="000066"/>
                <w:sz w:val="22"/>
                <w:szCs w:val="22"/>
                <w:lang w:eastAsia="it-IT"/>
              </w:rPr>
              <w:t>202</w:t>
            </w:r>
            <w:r w:rsidR="0071292C">
              <w:rPr>
                <w:rFonts w:cs="Arial"/>
                <w:b/>
                <w:bCs/>
                <w:i/>
                <w:iCs/>
                <w:color w:val="000066"/>
                <w:sz w:val="22"/>
                <w:szCs w:val="22"/>
                <w:lang w:eastAsia="it-IT"/>
              </w:rPr>
              <w:t>6</w:t>
            </w:r>
          </w:p>
        </w:tc>
        <w:tc>
          <w:tcPr>
            <w:tcW w:w="1842" w:type="dxa"/>
            <w:tcBorders>
              <w:left w:val="single" w:sz="4" w:space="0" w:color="auto"/>
              <w:bottom w:val="nil"/>
              <w:right w:val="single" w:sz="4" w:space="0" w:color="auto"/>
            </w:tcBorders>
          </w:tcPr>
          <w:p w14:paraId="56782132" w14:textId="77777777" w:rsidR="000A03B2" w:rsidRPr="00E33F8E" w:rsidRDefault="000A03B2" w:rsidP="00CD5FE2">
            <w:pPr>
              <w:spacing w:line="140" w:lineRule="atLeast"/>
              <w:jc w:val="right"/>
              <w:rPr>
                <w:rFonts w:cs="Arial"/>
                <w:sz w:val="14"/>
                <w:szCs w:val="14"/>
              </w:rPr>
            </w:pPr>
            <w:r w:rsidRPr="00E33F8E">
              <w:rPr>
                <w:rFonts w:cs="Arial"/>
                <w:sz w:val="14"/>
                <w:szCs w:val="14"/>
              </w:rPr>
              <w:t>A publication of</w:t>
            </w:r>
          </w:p>
          <w:p w14:paraId="599E5441" w14:textId="77777777" w:rsidR="000A03B2" w:rsidRPr="00E33F8E" w:rsidRDefault="000A03B2" w:rsidP="00CD5FE2">
            <w:pPr>
              <w:jc w:val="right"/>
              <w:rPr>
                <w:rFonts w:cs="Arial"/>
              </w:rPr>
            </w:pPr>
            <w:r w:rsidRPr="00E33F8E">
              <w:rPr>
                <w:rFonts w:cs="Arial"/>
                <w:noProof/>
                <w:lang w:val="pl-PL" w:eastAsia="pl-PL"/>
              </w:rPr>
              <w:drawing>
                <wp:inline distT="0" distB="0" distL="0" distR="0" wp14:anchorId="59C75AF4" wp14:editId="4FF92432">
                  <wp:extent cx="670560" cy="358140"/>
                  <wp:effectExtent l="0" t="0" r="0" b="3810"/>
                  <wp:docPr id="6" name="Immagine 6" descr="aidiclogo_gr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idiclogo_gran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0560" cy="358140"/>
                          </a:xfrm>
                          <a:prstGeom prst="rect">
                            <a:avLst/>
                          </a:prstGeom>
                          <a:noFill/>
                          <a:ln>
                            <a:noFill/>
                          </a:ln>
                        </pic:spPr>
                      </pic:pic>
                    </a:graphicData>
                  </a:graphic>
                </wp:inline>
              </w:drawing>
            </w:r>
          </w:p>
        </w:tc>
      </w:tr>
      <w:tr w:rsidR="000A03B2" w:rsidRPr="00E33F8E" w14:paraId="380FA3CD" w14:textId="77777777" w:rsidTr="0060420A">
        <w:trPr>
          <w:trHeight w:val="567"/>
          <w:jc w:val="center"/>
        </w:trPr>
        <w:tc>
          <w:tcPr>
            <w:tcW w:w="6940" w:type="dxa"/>
            <w:vMerge/>
            <w:tcBorders>
              <w:right w:val="single" w:sz="4" w:space="0" w:color="auto"/>
            </w:tcBorders>
          </w:tcPr>
          <w:p w14:paraId="39E5E4C1" w14:textId="77777777" w:rsidR="000A03B2" w:rsidRPr="00E33F8E" w:rsidRDefault="000A03B2" w:rsidP="00CD5FE2">
            <w:pPr>
              <w:tabs>
                <w:tab w:val="left" w:pos="-108"/>
              </w:tabs>
              <w:rPr>
                <w:rFonts w:cs="Arial"/>
              </w:rPr>
            </w:pPr>
          </w:p>
        </w:tc>
        <w:tc>
          <w:tcPr>
            <w:tcW w:w="1842" w:type="dxa"/>
            <w:tcBorders>
              <w:left w:val="single" w:sz="4" w:space="0" w:color="auto"/>
              <w:bottom w:val="nil"/>
              <w:right w:val="single" w:sz="4" w:space="0" w:color="auto"/>
            </w:tcBorders>
          </w:tcPr>
          <w:p w14:paraId="43858A98" w14:textId="77777777" w:rsidR="000A03B2" w:rsidRPr="00E33F8E" w:rsidRDefault="000A03B2" w:rsidP="00CD5FE2">
            <w:pPr>
              <w:spacing w:line="140" w:lineRule="atLeast"/>
              <w:jc w:val="right"/>
              <w:rPr>
                <w:rFonts w:cs="Arial"/>
                <w:sz w:val="14"/>
                <w:szCs w:val="14"/>
              </w:rPr>
            </w:pPr>
            <w:r w:rsidRPr="00E33F8E">
              <w:rPr>
                <w:rFonts w:cs="Arial"/>
                <w:sz w:val="14"/>
                <w:szCs w:val="14"/>
              </w:rPr>
              <w:t>The Italian Association</w:t>
            </w:r>
          </w:p>
          <w:p w14:paraId="7522B1D2" w14:textId="77777777" w:rsidR="000A03B2" w:rsidRPr="00E33F8E" w:rsidRDefault="000A03B2" w:rsidP="00CD5FE2">
            <w:pPr>
              <w:spacing w:line="140" w:lineRule="atLeast"/>
              <w:jc w:val="right"/>
              <w:rPr>
                <w:rFonts w:cs="Arial"/>
                <w:sz w:val="14"/>
                <w:szCs w:val="14"/>
              </w:rPr>
            </w:pPr>
            <w:r w:rsidRPr="00E33F8E">
              <w:rPr>
                <w:rFonts w:cs="Arial"/>
                <w:sz w:val="14"/>
                <w:szCs w:val="14"/>
              </w:rPr>
              <w:t>of Chemical Engineering</w:t>
            </w:r>
          </w:p>
          <w:p w14:paraId="4F0CC5DE" w14:textId="47FDB2FC" w:rsidR="000A03B2" w:rsidRPr="00E33F8E" w:rsidRDefault="000D0268" w:rsidP="00CD5FE2">
            <w:pPr>
              <w:spacing w:line="140" w:lineRule="atLeast"/>
              <w:jc w:val="right"/>
              <w:rPr>
                <w:rFonts w:cs="Arial"/>
                <w:sz w:val="13"/>
                <w:szCs w:val="13"/>
              </w:rPr>
            </w:pPr>
            <w:r w:rsidRPr="00E33F8E">
              <w:rPr>
                <w:rFonts w:cs="Arial"/>
                <w:sz w:val="13"/>
                <w:szCs w:val="13"/>
              </w:rPr>
              <w:t>Online at www.cetjournal.it</w:t>
            </w:r>
          </w:p>
        </w:tc>
      </w:tr>
      <w:tr w:rsidR="000A03B2" w:rsidRPr="00E33F8E" w14:paraId="2D1B7169" w14:textId="77777777" w:rsidTr="0060420A">
        <w:trPr>
          <w:trHeight w:val="68"/>
          <w:jc w:val="center"/>
        </w:trPr>
        <w:tc>
          <w:tcPr>
            <w:tcW w:w="8782" w:type="dxa"/>
            <w:gridSpan w:val="2"/>
          </w:tcPr>
          <w:p w14:paraId="1D8DD3C9" w14:textId="4B0098C6" w:rsidR="00AA7D26" w:rsidRPr="00F37B50" w:rsidRDefault="00AA7D26" w:rsidP="00AA7D26">
            <w:pPr>
              <w:ind w:left="-107"/>
              <w:outlineLvl w:val="2"/>
              <w:rPr>
                <w:rFonts w:cs="Arial"/>
                <w:bCs/>
                <w:color w:val="000000"/>
                <w:sz w:val="14"/>
                <w:szCs w:val="14"/>
                <w:lang w:val="it-IT" w:eastAsia="it-IT"/>
              </w:rPr>
            </w:pPr>
            <w:r w:rsidRPr="00F37B50">
              <w:rPr>
                <w:rFonts w:cs="Arial"/>
                <w:iCs/>
                <w:color w:val="333333"/>
                <w:sz w:val="14"/>
                <w:szCs w:val="14"/>
                <w:lang w:val="it-IT" w:eastAsia="it-IT"/>
              </w:rPr>
              <w:t>Guest Editors:</w:t>
            </w:r>
            <w:r w:rsidRPr="00F37B50">
              <w:rPr>
                <w:rFonts w:cs="Arial"/>
                <w:color w:val="000000"/>
                <w:sz w:val="14"/>
                <w:szCs w:val="14"/>
                <w:shd w:val="clear" w:color="auto" w:fill="FFFFFF"/>
                <w:lang w:val="it-IT"/>
              </w:rPr>
              <w:t xml:space="preserve"> </w:t>
            </w:r>
            <w:r w:rsidR="00DE5583" w:rsidRPr="00550D01">
              <w:rPr>
                <w:rFonts w:ascii="Tahoma" w:hAnsi="Tahoma" w:cs="Tahoma"/>
                <w:color w:val="000000"/>
                <w:sz w:val="14"/>
                <w:szCs w:val="14"/>
                <w:shd w:val="clear" w:color="auto" w:fill="FFFFFF"/>
                <w:lang w:val="it-IT"/>
              </w:rPr>
              <w:t xml:space="preserve">Laura </w:t>
            </w:r>
            <w:r w:rsidR="00DE5583">
              <w:rPr>
                <w:rFonts w:ascii="Tahoma" w:hAnsi="Tahoma" w:cs="Tahoma"/>
                <w:color w:val="000000"/>
                <w:sz w:val="14"/>
                <w:szCs w:val="14"/>
                <w:shd w:val="clear" w:color="auto" w:fill="FFFFFF"/>
                <w:lang w:val="it-IT"/>
              </w:rPr>
              <w:t>C</w:t>
            </w:r>
            <w:r w:rsidR="00DE5583" w:rsidRPr="00550D01">
              <w:rPr>
                <w:rFonts w:ascii="Tahoma" w:hAnsi="Tahoma" w:cs="Tahoma"/>
                <w:color w:val="000000"/>
                <w:sz w:val="14"/>
                <w:szCs w:val="14"/>
                <w:shd w:val="clear" w:color="auto" w:fill="FFFFFF"/>
                <w:lang w:val="it-IT"/>
              </w:rPr>
              <w:t>apelli, Marzio Invernizzi</w:t>
            </w:r>
            <w:r w:rsidR="00DE5583">
              <w:rPr>
                <w:rFonts w:ascii="Tahoma" w:hAnsi="Tahoma" w:cs="Tahoma"/>
                <w:color w:val="000000"/>
                <w:sz w:val="14"/>
                <w:szCs w:val="14"/>
                <w:shd w:val="clear" w:color="auto" w:fill="FFFFFF"/>
                <w:lang w:val="it-IT"/>
              </w:rPr>
              <w:t>,</w:t>
            </w:r>
            <w:r w:rsidR="00DE5583" w:rsidRPr="00550D01">
              <w:rPr>
                <w:rFonts w:ascii="Tahoma" w:hAnsi="Tahoma" w:cs="Tahoma"/>
                <w:color w:val="000000"/>
                <w:sz w:val="14"/>
                <w:szCs w:val="14"/>
                <w:shd w:val="clear" w:color="auto" w:fill="FFFFFF"/>
                <w:lang w:val="it-IT"/>
              </w:rPr>
              <w:t xml:space="preserve"> Selena Sironi</w:t>
            </w:r>
          </w:p>
          <w:p w14:paraId="1B0F1814" w14:textId="19BE3C5A" w:rsidR="000A03B2" w:rsidRPr="00E33F8E" w:rsidRDefault="00AA7D26" w:rsidP="00AA7D26">
            <w:pPr>
              <w:tabs>
                <w:tab w:val="left" w:pos="-108"/>
              </w:tabs>
              <w:spacing w:line="140" w:lineRule="atLeast"/>
              <w:ind w:left="-107"/>
              <w:jc w:val="left"/>
              <w:rPr>
                <w:rFonts w:cs="Arial"/>
              </w:rPr>
            </w:pPr>
            <w:r w:rsidRPr="00E33F8E">
              <w:rPr>
                <w:rFonts w:cs="Arial"/>
                <w:iCs/>
                <w:color w:val="333333"/>
                <w:sz w:val="14"/>
                <w:szCs w:val="14"/>
                <w:lang w:eastAsia="it-IT"/>
              </w:rPr>
              <w:t>Copyright © 202</w:t>
            </w:r>
            <w:r w:rsidR="00487E6F">
              <w:rPr>
                <w:rFonts w:cs="Arial"/>
                <w:iCs/>
                <w:color w:val="333333"/>
                <w:sz w:val="14"/>
                <w:szCs w:val="14"/>
                <w:lang w:eastAsia="it-IT"/>
              </w:rPr>
              <w:t>6</w:t>
            </w:r>
            <w:r w:rsidRPr="00E33F8E">
              <w:rPr>
                <w:rFonts w:cs="Arial"/>
                <w:iCs/>
                <w:color w:val="333333"/>
                <w:sz w:val="14"/>
                <w:szCs w:val="14"/>
                <w:lang w:eastAsia="it-IT"/>
              </w:rPr>
              <w:t xml:space="preserve">, AIDIC Servizi </w:t>
            </w:r>
            <w:proofErr w:type="spellStart"/>
            <w:r w:rsidRPr="00E33F8E">
              <w:rPr>
                <w:rFonts w:cs="Arial"/>
                <w:iCs/>
                <w:color w:val="333333"/>
                <w:sz w:val="14"/>
                <w:szCs w:val="14"/>
                <w:lang w:eastAsia="it-IT"/>
              </w:rPr>
              <w:t>S.r.l</w:t>
            </w:r>
            <w:proofErr w:type="spellEnd"/>
            <w:r w:rsidRPr="00E33F8E">
              <w:rPr>
                <w:rFonts w:cs="Arial"/>
                <w:iCs/>
                <w:color w:val="333333"/>
                <w:sz w:val="14"/>
                <w:szCs w:val="14"/>
                <w:lang w:eastAsia="it-IT"/>
              </w:rPr>
              <w:t>.</w:t>
            </w:r>
            <w:r w:rsidRPr="00E33F8E">
              <w:rPr>
                <w:rFonts w:cs="Arial"/>
                <w:iCs/>
                <w:color w:val="333333"/>
                <w:sz w:val="14"/>
                <w:szCs w:val="14"/>
                <w:lang w:eastAsia="it-IT"/>
              </w:rPr>
              <w:br/>
            </w:r>
            <w:r w:rsidR="00DE5583" w:rsidRPr="00B57B36">
              <w:rPr>
                <w:rFonts w:ascii="Tahoma" w:hAnsi="Tahoma" w:cs="Tahoma"/>
                <w:b/>
                <w:iCs/>
                <w:color w:val="000000"/>
                <w:sz w:val="14"/>
                <w:szCs w:val="14"/>
                <w:lang w:eastAsia="it-IT"/>
              </w:rPr>
              <w:t>ISBN</w:t>
            </w:r>
            <w:r w:rsidR="00DE5583" w:rsidRPr="00B57B36">
              <w:rPr>
                <w:rFonts w:ascii="Tahoma" w:hAnsi="Tahoma" w:cs="Tahoma"/>
                <w:iCs/>
                <w:color w:val="000000"/>
                <w:sz w:val="14"/>
                <w:szCs w:val="14"/>
                <w:lang w:eastAsia="it-IT"/>
              </w:rPr>
              <w:t xml:space="preserve"> </w:t>
            </w:r>
            <w:r w:rsidR="00DE5583" w:rsidRPr="000562A9">
              <w:rPr>
                <w:rFonts w:ascii="Tahoma" w:hAnsi="Tahoma" w:cs="Tahoma"/>
                <w:sz w:val="14"/>
                <w:szCs w:val="14"/>
              </w:rPr>
              <w:t>97</w:t>
            </w:r>
            <w:r w:rsidR="00DE5583">
              <w:rPr>
                <w:rFonts w:ascii="Tahoma" w:hAnsi="Tahoma" w:cs="Tahoma"/>
                <w:sz w:val="14"/>
                <w:szCs w:val="14"/>
              </w:rPr>
              <w:t>9</w:t>
            </w:r>
            <w:r w:rsidR="00DE5583" w:rsidRPr="000562A9">
              <w:rPr>
                <w:rFonts w:ascii="Tahoma" w:hAnsi="Tahoma" w:cs="Tahoma"/>
                <w:sz w:val="14"/>
                <w:szCs w:val="14"/>
              </w:rPr>
              <w:t>-</w:t>
            </w:r>
            <w:r w:rsidR="00DE5583">
              <w:rPr>
                <w:rFonts w:ascii="Tahoma" w:hAnsi="Tahoma" w:cs="Tahoma"/>
                <w:sz w:val="14"/>
                <w:szCs w:val="14"/>
              </w:rPr>
              <w:t>12</w:t>
            </w:r>
            <w:r w:rsidR="00DE5583" w:rsidRPr="000562A9">
              <w:rPr>
                <w:rFonts w:ascii="Tahoma" w:hAnsi="Tahoma" w:cs="Tahoma"/>
                <w:sz w:val="14"/>
                <w:szCs w:val="14"/>
              </w:rPr>
              <w:t>-</w:t>
            </w:r>
            <w:r w:rsidR="00DE5583">
              <w:rPr>
                <w:rFonts w:ascii="Tahoma" w:hAnsi="Tahoma" w:cs="Tahoma"/>
                <w:sz w:val="14"/>
                <w:szCs w:val="14"/>
              </w:rPr>
              <w:t>81206-xx-x</w:t>
            </w:r>
            <w:r w:rsidR="00DE5583" w:rsidRPr="00EF06D9">
              <w:rPr>
                <w:rFonts w:ascii="Tahoma" w:hAnsi="Tahoma" w:cs="Tahoma"/>
                <w:iCs/>
                <w:color w:val="333333"/>
                <w:sz w:val="14"/>
                <w:szCs w:val="14"/>
                <w:lang w:eastAsia="it-IT"/>
              </w:rPr>
              <w:t>;</w:t>
            </w:r>
            <w:r w:rsidR="00DE5583" w:rsidRPr="00B57B36">
              <w:rPr>
                <w:rFonts w:ascii="Tahoma" w:hAnsi="Tahoma" w:cs="Tahoma"/>
                <w:iCs/>
                <w:color w:val="333333"/>
                <w:sz w:val="14"/>
                <w:szCs w:val="14"/>
                <w:lang w:eastAsia="it-IT"/>
              </w:rPr>
              <w:t xml:space="preserve"> </w:t>
            </w:r>
            <w:r w:rsidR="00DE5583" w:rsidRPr="00B57B36">
              <w:rPr>
                <w:rFonts w:ascii="Tahoma" w:hAnsi="Tahoma" w:cs="Tahoma"/>
                <w:b/>
                <w:iCs/>
                <w:color w:val="333333"/>
                <w:sz w:val="14"/>
                <w:szCs w:val="14"/>
                <w:lang w:eastAsia="it-IT"/>
              </w:rPr>
              <w:t>ISSN</w:t>
            </w:r>
            <w:r w:rsidR="00DE5583" w:rsidRPr="00B57B36">
              <w:rPr>
                <w:rFonts w:ascii="Tahoma" w:hAnsi="Tahoma" w:cs="Tahoma"/>
                <w:iCs/>
                <w:color w:val="333333"/>
                <w:sz w:val="14"/>
                <w:szCs w:val="14"/>
                <w:lang w:eastAsia="it-IT"/>
              </w:rPr>
              <w:t xml:space="preserve"> 2283-9216</w:t>
            </w:r>
          </w:p>
        </w:tc>
      </w:tr>
    </w:tbl>
    <w:p w14:paraId="1CDBD981" w14:textId="77777777" w:rsidR="00B11C77" w:rsidRPr="00B11C77" w:rsidRDefault="00B11C77" w:rsidP="00B11C77">
      <w:pPr>
        <w:jc w:val="center"/>
        <w:rPr>
          <w:rFonts w:cs="Arial"/>
          <w:sz w:val="32"/>
          <w:szCs w:val="32"/>
        </w:rPr>
      </w:pPr>
      <w:r w:rsidRPr="00B11C77">
        <w:rPr>
          <w:rFonts w:cs="Arial"/>
          <w:sz w:val="32"/>
          <w:szCs w:val="32"/>
        </w:rPr>
        <w:t>Degradation of Selected Odorants by Hydroxyl Radicals in a Controlled Lab-Scale Reactor: Preliminary Results</w:t>
      </w:r>
    </w:p>
    <w:p w14:paraId="0EC39C52" w14:textId="5B8E6A35" w:rsidR="0060420A" w:rsidRPr="00EA6920" w:rsidRDefault="0060420A" w:rsidP="00B57E6F">
      <w:pPr>
        <w:pStyle w:val="CETAddress"/>
        <w:rPr>
          <w:rFonts w:cs="Arial"/>
          <w:sz w:val="24"/>
        </w:rPr>
      </w:pPr>
      <w:r w:rsidRPr="00EA6920">
        <w:rPr>
          <w:rFonts w:cs="Arial"/>
          <w:sz w:val="24"/>
        </w:rPr>
        <w:t>Marouane D</w:t>
      </w:r>
      <w:r w:rsidR="00403E74" w:rsidRPr="00EA6920">
        <w:rPr>
          <w:rFonts w:cs="Arial"/>
          <w:sz w:val="24"/>
        </w:rPr>
        <w:t>hia</w:t>
      </w:r>
      <w:r w:rsidR="00CF4F30" w:rsidRPr="00EA6920">
        <w:rPr>
          <w:rFonts w:cs="Arial"/>
          <w:sz w:val="24"/>
        </w:rPr>
        <w:t xml:space="preserve"> </w:t>
      </w:r>
      <w:r w:rsidRPr="00EA6920">
        <w:rPr>
          <w:rFonts w:cs="Arial"/>
          <w:sz w:val="24"/>
        </w:rPr>
        <w:t>E</w:t>
      </w:r>
      <w:r w:rsidR="00403E74" w:rsidRPr="00EA6920">
        <w:rPr>
          <w:rFonts w:cs="Arial"/>
          <w:sz w:val="24"/>
        </w:rPr>
        <w:t>ddine</w:t>
      </w:r>
      <w:r w:rsidR="00CF4F30" w:rsidRPr="00EA6920">
        <w:rPr>
          <w:rFonts w:cs="Arial"/>
          <w:sz w:val="24"/>
        </w:rPr>
        <w:t xml:space="preserve"> </w:t>
      </w:r>
      <w:r w:rsidRPr="00EA6920">
        <w:rPr>
          <w:rFonts w:cs="Arial"/>
          <w:sz w:val="24"/>
        </w:rPr>
        <w:t>Bouguerra,</w:t>
      </w:r>
      <w:r w:rsidR="0071292C" w:rsidRPr="00EA6920">
        <w:rPr>
          <w:rFonts w:cs="Arial"/>
          <w:sz w:val="24"/>
        </w:rPr>
        <w:t xml:space="preserve"> </w:t>
      </w:r>
      <w:r w:rsidRPr="00EA6920">
        <w:rPr>
          <w:rFonts w:cs="Arial"/>
          <w:sz w:val="24"/>
        </w:rPr>
        <w:t>Tomasz Gierczak,</w:t>
      </w:r>
      <w:r w:rsidR="00C170F3" w:rsidRPr="00EA6920">
        <w:rPr>
          <w:rFonts w:cs="Arial"/>
          <w:sz w:val="24"/>
        </w:rPr>
        <w:t xml:space="preserve"> </w:t>
      </w:r>
      <w:r w:rsidRPr="00EA6920">
        <w:rPr>
          <w:rFonts w:cs="Arial"/>
          <w:sz w:val="24"/>
        </w:rPr>
        <w:t>Radosław J. Barczak</w:t>
      </w:r>
      <w:r w:rsidR="00C170F3" w:rsidRPr="00EA6920">
        <w:rPr>
          <w:rFonts w:cs="Arial"/>
        </w:rPr>
        <w:t>*</w:t>
      </w:r>
    </w:p>
    <w:p w14:paraId="73F1267A" w14:textId="093A3141" w:rsidR="00B57E6F" w:rsidRPr="00E33F8E" w:rsidRDefault="00C170F3" w:rsidP="00B57E6F">
      <w:pPr>
        <w:pStyle w:val="CETemail"/>
        <w:rPr>
          <w:rFonts w:cs="Arial"/>
        </w:rPr>
      </w:pPr>
      <w:r w:rsidRPr="00E33F8E">
        <w:rPr>
          <w:rFonts w:cs="Arial"/>
        </w:rPr>
        <w:t>Faculty of Chemistry, University of Warsaw, 1 Pasteura Street, 02-093, Warsaw, Poland</w:t>
      </w:r>
      <w:r w:rsidRPr="00E33F8E">
        <w:rPr>
          <w:rFonts w:cs="Arial"/>
        </w:rPr>
        <w:br/>
        <w:t>Corresponding author. rbarczak@chem.uw.edu.pl</w:t>
      </w:r>
    </w:p>
    <w:p w14:paraId="04B319EE" w14:textId="55D05AA7" w:rsidR="00600535" w:rsidRPr="00B11C77" w:rsidRDefault="00B11C77" w:rsidP="00B11C77">
      <w:pPr>
        <w:spacing w:line="276" w:lineRule="auto"/>
        <w:rPr>
          <w:rFonts w:cs="Arial"/>
          <w:color w:val="000000" w:themeColor="text1"/>
          <w:szCs w:val="18"/>
        </w:rPr>
      </w:pPr>
      <w:bookmarkStart w:id="0" w:name="_Hlk495475023"/>
      <w:r w:rsidRPr="00B11C77">
        <w:rPr>
          <w:rFonts w:cs="Arial"/>
          <w:color w:val="000000" w:themeColor="text1"/>
          <w:szCs w:val="18"/>
        </w:rPr>
        <w:t xml:space="preserve">Nowadays, the emission of nuisance odorants from Wastewater Treatment Plants (WWTPs) leads to persistent community complaints and localized air quality degradation. Predicting </w:t>
      </w:r>
      <w:r w:rsidR="00A2444B">
        <w:rPr>
          <w:rFonts w:cs="Arial"/>
          <w:color w:val="000000" w:themeColor="text1"/>
          <w:szCs w:val="18"/>
        </w:rPr>
        <w:t>odorants'</w:t>
      </w:r>
      <w:r w:rsidR="00A2444B" w:rsidRPr="00B11C77">
        <w:rPr>
          <w:rFonts w:cs="Arial"/>
          <w:color w:val="000000" w:themeColor="text1"/>
          <w:szCs w:val="18"/>
        </w:rPr>
        <w:t xml:space="preserve"> </w:t>
      </w:r>
      <w:r w:rsidRPr="00B11C77">
        <w:rPr>
          <w:rFonts w:cs="Arial"/>
          <w:color w:val="000000" w:themeColor="text1"/>
          <w:szCs w:val="18"/>
        </w:rPr>
        <w:t xml:space="preserve">environmental impact requires a precise characterization of atmospheric lifetimes. This study determined the hydroxyl (•OH) radical reaction kinetics for </w:t>
      </w:r>
      <w:r w:rsidR="00EE52CC" w:rsidRPr="00EE52CC">
        <w:rPr>
          <w:rFonts w:cs="Arial"/>
          <w:color w:val="000000" w:themeColor="text1"/>
          <w:szCs w:val="18"/>
        </w:rPr>
        <w:t>1,3,5-trimethylbenzene</w:t>
      </w:r>
      <w:r w:rsidRPr="00B11C77">
        <w:rPr>
          <w:rFonts w:cs="Arial"/>
          <w:color w:val="000000" w:themeColor="text1"/>
          <w:szCs w:val="18"/>
        </w:rPr>
        <w:t xml:space="preserve"> (</w:t>
      </w:r>
      <w:r w:rsidR="00EE52CC">
        <w:rPr>
          <w:rFonts w:cs="Arial"/>
          <w:color w:val="000000" w:themeColor="text1"/>
          <w:szCs w:val="18"/>
        </w:rPr>
        <w:t>TMB</w:t>
      </w:r>
      <w:r w:rsidRPr="00B11C77">
        <w:rPr>
          <w:rFonts w:cs="Arial"/>
          <w:color w:val="000000" w:themeColor="text1"/>
          <w:szCs w:val="18"/>
        </w:rPr>
        <w:t xml:space="preserve">), Dimethyl trisulfide (DMTS), and 2-Isopropyl-3-methoxypyrazine (IPMP). Experiments were conducted in a laboratory-scale photochemical reactor, temperature-controlled at 298K via water bath circulation. •OH, were generated </w:t>
      </w:r>
      <w:r w:rsidR="00A2444B">
        <w:rPr>
          <w:rFonts w:cs="Arial"/>
          <w:color w:val="000000" w:themeColor="text1"/>
          <w:szCs w:val="18"/>
        </w:rPr>
        <w:t>in situ</w:t>
      </w:r>
      <w:r w:rsidRPr="00B11C77">
        <w:rPr>
          <w:rFonts w:cs="Arial"/>
          <w:color w:val="000000" w:themeColor="text1"/>
          <w:szCs w:val="18"/>
        </w:rPr>
        <w:t xml:space="preserve"> through the photolysis of synthesized methyl nitrite (CH</w:t>
      </w:r>
      <w:r w:rsidRPr="00B11C77">
        <w:rPr>
          <w:rFonts w:cs="Arial"/>
          <w:color w:val="000000" w:themeColor="text1"/>
          <w:szCs w:val="18"/>
          <w:vertAlign w:val="subscript"/>
        </w:rPr>
        <w:t>3</w:t>
      </w:r>
      <w:r w:rsidRPr="00B11C77">
        <w:rPr>
          <w:rFonts w:cs="Arial"/>
          <w:color w:val="000000" w:themeColor="text1"/>
          <w:szCs w:val="18"/>
        </w:rPr>
        <w:t xml:space="preserve">ONO) at 355 nm. Using the relative rate method with </w:t>
      </w:r>
      <w:r w:rsidR="00A2444B">
        <w:rPr>
          <w:rFonts w:cs="Arial"/>
          <w:color w:val="000000" w:themeColor="text1"/>
          <w:szCs w:val="18"/>
        </w:rPr>
        <w:t>t</w:t>
      </w:r>
      <w:r w:rsidRPr="00B11C77">
        <w:rPr>
          <w:rFonts w:cs="Arial"/>
          <w:color w:val="000000" w:themeColor="text1"/>
          <w:szCs w:val="18"/>
        </w:rPr>
        <w:t xml:space="preserve">oluene </w:t>
      </w:r>
      <w:r w:rsidR="00902ACC">
        <w:rPr>
          <w:rFonts w:cs="Arial"/>
          <w:color w:val="000000" w:themeColor="text1"/>
          <w:szCs w:val="18"/>
        </w:rPr>
        <w:t xml:space="preserve">(TOL) </w:t>
      </w:r>
      <w:r w:rsidRPr="00B11C77">
        <w:rPr>
          <w:rFonts w:cs="Arial"/>
          <w:color w:val="000000" w:themeColor="text1"/>
          <w:szCs w:val="18"/>
        </w:rPr>
        <w:t xml:space="preserve">as the reference </w:t>
      </w:r>
      <w:r w:rsidR="00A2444B">
        <w:rPr>
          <w:rFonts w:cs="Arial"/>
          <w:color w:val="000000" w:themeColor="text1"/>
          <w:szCs w:val="18"/>
        </w:rPr>
        <w:t>compound</w:t>
      </w:r>
      <w:r w:rsidRPr="00B11C77">
        <w:rPr>
          <w:rFonts w:cs="Arial"/>
          <w:color w:val="000000" w:themeColor="text1"/>
          <w:szCs w:val="18"/>
        </w:rPr>
        <w:t xml:space="preserve"> (</w:t>
      </w:r>
      <w:proofErr w:type="spellStart"/>
      <w:r w:rsidRPr="00B11C77">
        <w:rPr>
          <w:rFonts w:cs="Arial"/>
          <w:color w:val="000000" w:themeColor="text1"/>
          <w:szCs w:val="18"/>
        </w:rPr>
        <w:t>k</w:t>
      </w:r>
      <w:r w:rsidRPr="00B11C77">
        <w:rPr>
          <w:rFonts w:cs="Arial"/>
          <w:color w:val="000000" w:themeColor="text1"/>
          <w:szCs w:val="18"/>
          <w:vertAlign w:val="subscript"/>
        </w:rPr>
        <w:t>ref</w:t>
      </w:r>
      <w:proofErr w:type="spellEnd"/>
      <w:r w:rsidRPr="00B11C77">
        <w:rPr>
          <w:rFonts w:cs="Arial"/>
          <w:color w:val="000000" w:themeColor="text1"/>
          <w:szCs w:val="18"/>
          <w:vertAlign w:val="subscript"/>
        </w:rPr>
        <w:t xml:space="preserve"> </w:t>
      </w:r>
      <w:r w:rsidRPr="00B11C77">
        <w:rPr>
          <w:rFonts w:cs="Arial"/>
          <w:color w:val="000000" w:themeColor="text1"/>
          <w:szCs w:val="18"/>
        </w:rPr>
        <w:t>= 5.63x10</w:t>
      </w:r>
      <w:r w:rsidRPr="00B11C77">
        <w:rPr>
          <w:rFonts w:cs="Arial"/>
          <w:color w:val="000000" w:themeColor="text1"/>
          <w:szCs w:val="18"/>
          <w:vertAlign w:val="superscript"/>
        </w:rPr>
        <w:t>-12</w:t>
      </w:r>
      <w:r w:rsidRPr="00B11C77">
        <w:rPr>
          <w:rFonts w:cs="Arial"/>
          <w:color w:val="000000" w:themeColor="text1"/>
          <w:szCs w:val="18"/>
        </w:rPr>
        <w:t xml:space="preserve"> cm</w:t>
      </w:r>
      <w:r w:rsidRPr="00B11C77">
        <w:rPr>
          <w:rFonts w:cs="Arial"/>
          <w:color w:val="000000" w:themeColor="text1"/>
          <w:szCs w:val="18"/>
          <w:vertAlign w:val="superscript"/>
        </w:rPr>
        <w:t>3</w:t>
      </w:r>
      <w:r w:rsidRPr="00B11C77">
        <w:rPr>
          <w:rFonts w:cs="Arial"/>
          <w:color w:val="000000" w:themeColor="text1"/>
          <w:szCs w:val="18"/>
        </w:rPr>
        <w:t xml:space="preserve"> mo</w:t>
      </w:r>
      <w:r w:rsidRPr="00C11A10">
        <w:rPr>
          <w:rFonts w:cs="Arial"/>
          <w:color w:val="000000" w:themeColor="text1"/>
          <w:szCs w:val="18"/>
        </w:rPr>
        <w:t>lecule</w:t>
      </w:r>
      <w:r w:rsidRPr="00C11A10">
        <w:rPr>
          <w:rFonts w:cs="Arial"/>
          <w:color w:val="000000" w:themeColor="text1"/>
          <w:szCs w:val="18"/>
          <w:vertAlign w:val="superscript"/>
        </w:rPr>
        <w:t>-1</w:t>
      </w:r>
      <w:r w:rsidRPr="00C11A10">
        <w:rPr>
          <w:rFonts w:cs="Arial"/>
          <w:color w:val="000000" w:themeColor="text1"/>
          <w:szCs w:val="18"/>
        </w:rPr>
        <w:t xml:space="preserve"> s</w:t>
      </w:r>
      <w:r w:rsidRPr="00C11A10">
        <w:rPr>
          <w:rFonts w:cs="Arial"/>
          <w:color w:val="000000" w:themeColor="text1"/>
          <w:szCs w:val="18"/>
          <w:vertAlign w:val="superscript"/>
        </w:rPr>
        <w:t>-1</w:t>
      </w:r>
      <w:r w:rsidRPr="00C11A10">
        <w:rPr>
          <w:rFonts w:cs="Arial"/>
          <w:color w:val="000000" w:themeColor="text1"/>
          <w:szCs w:val="18"/>
        </w:rPr>
        <w:t xml:space="preserve">), we derived </w:t>
      </w:r>
      <w:r w:rsidR="00E91614">
        <w:rPr>
          <w:rFonts w:cs="Arial"/>
          <w:color w:val="000000" w:themeColor="text1"/>
          <w:szCs w:val="18"/>
        </w:rPr>
        <w:t xml:space="preserve">bimolecular </w:t>
      </w:r>
      <w:r w:rsidRPr="00C11A10">
        <w:rPr>
          <w:rFonts w:cs="Arial"/>
          <w:color w:val="000000" w:themeColor="text1"/>
          <w:szCs w:val="18"/>
        </w:rPr>
        <w:t xml:space="preserve">reaction rate </w:t>
      </w:r>
      <w:r w:rsidR="00A2444B">
        <w:rPr>
          <w:rFonts w:cs="Arial"/>
          <w:color w:val="000000" w:themeColor="text1"/>
          <w:szCs w:val="18"/>
        </w:rPr>
        <w:t>constants</w:t>
      </w:r>
      <w:r w:rsidR="00A2444B" w:rsidRPr="00C11A10">
        <w:rPr>
          <w:rFonts w:cs="Arial"/>
          <w:color w:val="000000" w:themeColor="text1"/>
          <w:szCs w:val="18"/>
        </w:rPr>
        <w:t xml:space="preserve"> </w:t>
      </w:r>
      <w:r w:rsidRPr="00EA6920">
        <w:rPr>
          <w:rFonts w:cs="Arial"/>
          <w:color w:val="000000" w:themeColor="text1"/>
          <w:szCs w:val="18"/>
        </w:rPr>
        <w:t xml:space="preserve">of (k` = </w:t>
      </w:r>
      <w:r w:rsidR="008A6FBF" w:rsidRPr="00EA6920">
        <w:rPr>
          <w:rFonts w:cs="Arial"/>
          <w:color w:val="000000" w:themeColor="text1"/>
          <w:szCs w:val="18"/>
        </w:rPr>
        <w:t>6.97</w:t>
      </w:r>
      <w:r w:rsidRPr="00EA6920">
        <w:rPr>
          <w:rFonts w:cs="Arial"/>
          <w:color w:val="000000" w:themeColor="text1"/>
          <w:szCs w:val="18"/>
        </w:rPr>
        <w:t>x10</w:t>
      </w:r>
      <w:r w:rsidRPr="00EA6920">
        <w:rPr>
          <w:rFonts w:cs="Arial"/>
          <w:color w:val="000000" w:themeColor="text1"/>
          <w:szCs w:val="18"/>
          <w:vertAlign w:val="superscript"/>
        </w:rPr>
        <w:t>-</w:t>
      </w:r>
      <w:r w:rsidR="009B28CB" w:rsidRPr="00EA6920">
        <w:rPr>
          <w:rFonts w:cs="Arial"/>
          <w:color w:val="000000" w:themeColor="text1"/>
          <w:szCs w:val="18"/>
          <w:vertAlign w:val="superscript"/>
        </w:rPr>
        <w:t>12</w:t>
      </w:r>
      <w:r w:rsidRPr="00EA6920">
        <w:rPr>
          <w:rFonts w:cs="Arial"/>
          <w:color w:val="000000" w:themeColor="text1"/>
          <w:szCs w:val="18"/>
        </w:rPr>
        <w:t xml:space="preserve">) for </w:t>
      </w:r>
      <w:r w:rsidR="00EE52CC" w:rsidRPr="00EA6920">
        <w:rPr>
          <w:rFonts w:cs="Arial"/>
          <w:color w:val="000000" w:themeColor="text1"/>
          <w:szCs w:val="18"/>
        </w:rPr>
        <w:t>TMB</w:t>
      </w:r>
      <w:r w:rsidRPr="00EA6920">
        <w:rPr>
          <w:rFonts w:cs="Arial"/>
          <w:color w:val="000000" w:themeColor="text1"/>
          <w:szCs w:val="18"/>
        </w:rPr>
        <w:t xml:space="preserve">, (k` = </w:t>
      </w:r>
      <w:r w:rsidR="008A6FBF" w:rsidRPr="00EA6920">
        <w:rPr>
          <w:rFonts w:cs="Arial"/>
          <w:color w:val="000000" w:themeColor="text1"/>
          <w:szCs w:val="18"/>
        </w:rPr>
        <w:t>6.39</w:t>
      </w:r>
      <w:r w:rsidRPr="00EA6920">
        <w:rPr>
          <w:rFonts w:cs="Arial"/>
          <w:color w:val="000000" w:themeColor="text1"/>
          <w:szCs w:val="18"/>
        </w:rPr>
        <w:t>x10</w:t>
      </w:r>
      <w:r w:rsidRPr="00EA6920">
        <w:rPr>
          <w:rFonts w:cs="Arial"/>
          <w:color w:val="000000" w:themeColor="text1"/>
          <w:szCs w:val="18"/>
          <w:vertAlign w:val="superscript"/>
        </w:rPr>
        <w:t>-</w:t>
      </w:r>
      <w:r w:rsidR="009B28CB" w:rsidRPr="00EA6920">
        <w:rPr>
          <w:rFonts w:cs="Arial"/>
          <w:color w:val="000000" w:themeColor="text1"/>
          <w:szCs w:val="18"/>
          <w:vertAlign w:val="superscript"/>
        </w:rPr>
        <w:t>12</w:t>
      </w:r>
      <w:r w:rsidRPr="00EA6920">
        <w:rPr>
          <w:rFonts w:cs="Arial"/>
          <w:color w:val="000000" w:themeColor="text1"/>
          <w:szCs w:val="18"/>
        </w:rPr>
        <w:t xml:space="preserve">)  for DMTS, and (k` = </w:t>
      </w:r>
      <w:r w:rsidR="008A6FBF" w:rsidRPr="00EA6920">
        <w:rPr>
          <w:rFonts w:cs="Arial"/>
          <w:color w:val="000000" w:themeColor="text1"/>
          <w:szCs w:val="18"/>
        </w:rPr>
        <w:t>3.78</w:t>
      </w:r>
      <w:r w:rsidRPr="00EA6920">
        <w:rPr>
          <w:rFonts w:cs="Arial"/>
          <w:color w:val="000000" w:themeColor="text1"/>
          <w:szCs w:val="18"/>
        </w:rPr>
        <w:t>x10</w:t>
      </w:r>
      <w:r w:rsidRPr="00EA6920">
        <w:rPr>
          <w:rFonts w:cs="Arial"/>
          <w:color w:val="000000" w:themeColor="text1"/>
          <w:szCs w:val="18"/>
          <w:vertAlign w:val="superscript"/>
        </w:rPr>
        <w:t>-</w:t>
      </w:r>
      <w:r w:rsidR="009B28CB" w:rsidRPr="00EA6920">
        <w:rPr>
          <w:rFonts w:cs="Arial"/>
          <w:color w:val="000000" w:themeColor="text1"/>
          <w:szCs w:val="18"/>
          <w:vertAlign w:val="superscript"/>
        </w:rPr>
        <w:t>12</w:t>
      </w:r>
      <w:r w:rsidRPr="00EA6920">
        <w:rPr>
          <w:rFonts w:cs="Arial"/>
          <w:color w:val="000000" w:themeColor="text1"/>
          <w:szCs w:val="18"/>
        </w:rPr>
        <w:t>) for</w:t>
      </w:r>
      <w:r w:rsidRPr="00B11C77">
        <w:rPr>
          <w:rFonts w:cs="Arial"/>
          <w:color w:val="000000" w:themeColor="text1"/>
          <w:szCs w:val="18"/>
        </w:rPr>
        <w:t xml:space="preserve"> IPMP</w:t>
      </w:r>
      <w:r w:rsidR="00FB429B">
        <w:rPr>
          <w:rFonts w:cs="Arial"/>
          <w:color w:val="000000" w:themeColor="text1"/>
          <w:szCs w:val="18"/>
        </w:rPr>
        <w:t xml:space="preserve"> (units: </w:t>
      </w:r>
      <w:r w:rsidR="00FB429B" w:rsidRPr="00B11C77">
        <w:rPr>
          <w:rFonts w:cs="Arial"/>
          <w:color w:val="000000" w:themeColor="text1"/>
          <w:szCs w:val="18"/>
        </w:rPr>
        <w:t>cm</w:t>
      </w:r>
      <w:r w:rsidR="00FB429B" w:rsidRPr="00B11C77">
        <w:rPr>
          <w:rFonts w:cs="Arial"/>
          <w:color w:val="000000" w:themeColor="text1"/>
          <w:szCs w:val="18"/>
          <w:vertAlign w:val="superscript"/>
        </w:rPr>
        <w:t>3</w:t>
      </w:r>
      <w:r w:rsidR="00FB429B" w:rsidRPr="00B11C77">
        <w:rPr>
          <w:rFonts w:cs="Arial"/>
          <w:color w:val="000000" w:themeColor="text1"/>
          <w:szCs w:val="18"/>
        </w:rPr>
        <w:t xml:space="preserve"> mo</w:t>
      </w:r>
      <w:r w:rsidR="00FB429B" w:rsidRPr="00C11A10">
        <w:rPr>
          <w:rFonts w:cs="Arial"/>
          <w:color w:val="000000" w:themeColor="text1"/>
          <w:szCs w:val="18"/>
        </w:rPr>
        <w:t>lecule</w:t>
      </w:r>
      <w:r w:rsidR="00FB429B" w:rsidRPr="00C11A10">
        <w:rPr>
          <w:rFonts w:cs="Arial"/>
          <w:color w:val="000000" w:themeColor="text1"/>
          <w:szCs w:val="18"/>
          <w:vertAlign w:val="superscript"/>
        </w:rPr>
        <w:t>-1</w:t>
      </w:r>
      <w:r w:rsidR="00FB429B" w:rsidRPr="00C11A10">
        <w:rPr>
          <w:rFonts w:cs="Arial"/>
          <w:color w:val="000000" w:themeColor="text1"/>
          <w:szCs w:val="18"/>
        </w:rPr>
        <w:t xml:space="preserve"> s</w:t>
      </w:r>
      <w:r w:rsidR="00FB429B" w:rsidRPr="00C11A10">
        <w:rPr>
          <w:rFonts w:cs="Arial"/>
          <w:color w:val="000000" w:themeColor="text1"/>
          <w:szCs w:val="18"/>
          <w:vertAlign w:val="superscript"/>
        </w:rPr>
        <w:t>-1</w:t>
      </w:r>
      <w:r w:rsidR="00FB429B">
        <w:rPr>
          <w:rFonts w:cs="Arial"/>
          <w:color w:val="000000" w:themeColor="text1"/>
          <w:szCs w:val="18"/>
        </w:rPr>
        <w:t>).</w:t>
      </w:r>
      <w:r w:rsidRPr="00B11C77">
        <w:rPr>
          <w:rFonts w:cs="Arial"/>
          <w:color w:val="000000" w:themeColor="text1"/>
          <w:szCs w:val="18"/>
        </w:rPr>
        <w:t xml:space="preserve"> Under a standard atmospheric concentration of [•OH] = 1x10</w:t>
      </w:r>
      <w:r w:rsidRPr="00B11C77">
        <w:rPr>
          <w:rFonts w:cs="Arial"/>
          <w:color w:val="000000" w:themeColor="text1"/>
          <w:szCs w:val="18"/>
          <w:vertAlign w:val="superscript"/>
        </w:rPr>
        <w:t>6</w:t>
      </w:r>
      <w:r w:rsidRPr="00B11C77">
        <w:rPr>
          <w:rFonts w:cs="Arial"/>
          <w:color w:val="000000" w:themeColor="text1"/>
          <w:szCs w:val="18"/>
        </w:rPr>
        <w:t xml:space="preserve"> molecules/cm</w:t>
      </w:r>
      <w:r w:rsidRPr="00B11C77">
        <w:rPr>
          <w:rFonts w:cs="Arial"/>
          <w:color w:val="000000" w:themeColor="text1"/>
          <w:szCs w:val="18"/>
          <w:vertAlign w:val="superscript"/>
        </w:rPr>
        <w:t>3</w:t>
      </w:r>
      <w:r w:rsidRPr="00B11C77">
        <w:rPr>
          <w:rFonts w:cs="Arial"/>
          <w:color w:val="000000" w:themeColor="text1"/>
          <w:szCs w:val="18"/>
        </w:rPr>
        <w:t>, the calculated atmospheric half-lives (T</w:t>
      </w:r>
      <w:r w:rsidRPr="00B11C77">
        <w:rPr>
          <w:rFonts w:cs="Arial"/>
          <w:color w:val="000000" w:themeColor="text1"/>
          <w:szCs w:val="18"/>
          <w:vertAlign w:val="subscript"/>
        </w:rPr>
        <w:t>1/2</w:t>
      </w:r>
      <w:r w:rsidRPr="00B11C77">
        <w:rPr>
          <w:rFonts w:cs="Arial"/>
          <w:color w:val="000000" w:themeColor="text1"/>
          <w:szCs w:val="18"/>
        </w:rPr>
        <w:t xml:space="preserve">) were </w:t>
      </w:r>
      <w:r w:rsidR="008A6FBF">
        <w:rPr>
          <w:rFonts w:cs="Arial"/>
          <w:color w:val="000000" w:themeColor="text1"/>
          <w:szCs w:val="18"/>
        </w:rPr>
        <w:t>27.1</w:t>
      </w:r>
      <w:r w:rsidRPr="00B11C77">
        <w:rPr>
          <w:rFonts w:cs="Arial"/>
          <w:color w:val="000000" w:themeColor="text1"/>
          <w:szCs w:val="18"/>
        </w:rPr>
        <w:t xml:space="preserve"> hours (</w:t>
      </w:r>
      <w:r w:rsidR="008A6FBF">
        <w:rPr>
          <w:rFonts w:cs="Arial"/>
          <w:color w:val="000000" w:themeColor="text1"/>
          <w:szCs w:val="18"/>
        </w:rPr>
        <w:t>TMB</w:t>
      </w:r>
      <w:r w:rsidRPr="00B11C77">
        <w:rPr>
          <w:rFonts w:cs="Arial"/>
          <w:color w:val="000000" w:themeColor="text1"/>
          <w:szCs w:val="18"/>
        </w:rPr>
        <w:t xml:space="preserve">), </w:t>
      </w:r>
      <w:r w:rsidR="008A6FBF">
        <w:rPr>
          <w:rFonts w:cs="Arial"/>
          <w:color w:val="000000" w:themeColor="text1"/>
          <w:szCs w:val="18"/>
        </w:rPr>
        <w:t>30.1</w:t>
      </w:r>
      <w:r w:rsidRPr="00C11A10">
        <w:rPr>
          <w:rFonts w:cs="Arial"/>
          <w:color w:val="000000" w:themeColor="text1"/>
          <w:szCs w:val="18"/>
        </w:rPr>
        <w:t xml:space="preserve"> hours</w:t>
      </w:r>
      <w:r w:rsidRPr="00B11C77">
        <w:rPr>
          <w:rFonts w:cs="Arial"/>
          <w:color w:val="000000" w:themeColor="text1"/>
          <w:szCs w:val="18"/>
        </w:rPr>
        <w:t xml:space="preserve"> (DMTS), and </w:t>
      </w:r>
      <w:r w:rsidR="008A6FBF">
        <w:rPr>
          <w:rFonts w:cs="Arial"/>
          <w:color w:val="000000" w:themeColor="text1"/>
          <w:szCs w:val="18"/>
        </w:rPr>
        <w:t>50.9</w:t>
      </w:r>
      <w:r w:rsidRPr="00B11C77">
        <w:rPr>
          <w:rFonts w:cs="Arial"/>
          <w:color w:val="000000" w:themeColor="text1"/>
          <w:szCs w:val="18"/>
        </w:rPr>
        <w:t xml:space="preserve"> hours (IPMP). These results indicate that IPMP exhibits the longest atmospheric lifetime among the studied compounds. The reported kinetic parameters contribute to a more accurate assessment of their atmospheric persistence. Overall, the determined kinetic parameters provide a quantitative basis for assessing the atmospheric degradation rates and persistence of the investigated odorants.</w:t>
      </w:r>
    </w:p>
    <w:bookmarkEnd w:id="0"/>
    <w:p w14:paraId="476B2F2E" w14:textId="77777777" w:rsidR="00600535" w:rsidRPr="00E33F8E" w:rsidRDefault="00600535" w:rsidP="00600535">
      <w:pPr>
        <w:pStyle w:val="CETHeading1"/>
        <w:rPr>
          <w:rFonts w:cs="Arial"/>
          <w:lang w:val="en-GB"/>
        </w:rPr>
      </w:pPr>
      <w:r w:rsidRPr="00E33F8E">
        <w:rPr>
          <w:rFonts w:cs="Arial"/>
          <w:lang w:val="en-GB"/>
        </w:rPr>
        <w:t>Introduction</w:t>
      </w:r>
    </w:p>
    <w:p w14:paraId="084C8DDA" w14:textId="1710C971" w:rsidR="0045730F" w:rsidRPr="00E33F8E" w:rsidRDefault="0060017A" w:rsidP="0045730F">
      <w:pPr>
        <w:pStyle w:val="CETBodytext"/>
        <w:rPr>
          <w:rFonts w:cs="Arial"/>
          <w:lang w:val="en-GB"/>
        </w:rPr>
      </w:pPr>
      <w:r w:rsidRPr="00E33F8E">
        <w:rPr>
          <w:rFonts w:cs="Arial"/>
          <w:lang w:val="en-GB"/>
        </w:rPr>
        <w:t xml:space="preserve">The nuisance caused by unpleasant </w:t>
      </w:r>
      <w:r w:rsidR="00C115AF" w:rsidRPr="00E33F8E">
        <w:rPr>
          <w:rFonts w:cs="Arial"/>
          <w:lang w:val="en-GB"/>
        </w:rPr>
        <w:t>odours</w:t>
      </w:r>
      <w:r w:rsidRPr="00E33F8E">
        <w:rPr>
          <w:rFonts w:cs="Arial"/>
          <w:lang w:val="en-GB"/>
        </w:rPr>
        <w:t xml:space="preserve"> is a significant concern from both a societal and industrial standpoint</w:t>
      </w:r>
      <w:r w:rsidR="00C115AF" w:rsidRPr="00E33F8E">
        <w:rPr>
          <w:rFonts w:cs="Arial"/>
          <w:lang w:val="en-GB"/>
        </w:rPr>
        <w:t xml:space="preserve"> </w:t>
      </w:r>
      <w:r w:rsidR="00C115AF" w:rsidRPr="00E33F8E">
        <w:rPr>
          <w:rFonts w:cs="Arial"/>
          <w:lang w:val="en-GB"/>
        </w:rPr>
        <w:fldChar w:fldCharType="begin"/>
      </w:r>
      <w:r w:rsidR="008E49E7" w:rsidRPr="00E33F8E">
        <w:rPr>
          <w:rFonts w:cs="Arial"/>
          <w:lang w:val="en-GB"/>
        </w:rPr>
        <w:instrText xml:space="preserve"> ADDIN EN.CITE &lt;EndNote&gt;&lt;Cite&gt;&lt;Author&gt;Chaignaud&lt;/Author&gt;&lt;Year&gt;2014&lt;/Year&gt;&lt;RecNum&gt;70&lt;/RecNum&gt;&lt;DisplayText&gt;(Chaignaud et al., 2014)&lt;/DisplayText&gt;&lt;record&gt;&lt;rec-number&gt;70&lt;/rec-number&gt;&lt;foreign-keys&gt;&lt;key app="EN" db-id="f9wsz2wrnesdfpetpstx9rvz0vws2ztzsd90" timestamp="1710247745"&gt;70&lt;/key&gt;&lt;/foreign-keys&gt;&lt;ref-type name="Journal Article"&gt;17&lt;/ref-type&gt;&lt;contributors&gt;&lt;authors&gt;&lt;author&gt;Chaignaud, M.&lt;/author&gt;&lt;author&gt;Cariou, S.&lt;/author&gt;&lt;author&gt;Poette, J.&lt;/author&gt;&lt;author&gt;Fages, M.&lt;/author&gt;&lt;author&gt;Despres, J.F.&lt;/author&gt;&lt;author&gt;Fanlo, J.L.&lt;/author&gt;&lt;/authors&gt;&lt;/contributors&gt;&lt;titles&gt;&lt;title&gt;A new method to evaluate odour annoyance potential&lt;/title&gt;&lt;secondary-title&gt;Chemical Engineering Transactions&lt;/secondary-title&gt;&lt;/titles&gt;&lt;periodical&gt;&lt;full-title&gt;Chemical Engineering Transactions&lt;/full-title&gt;&lt;/periodical&gt;&lt;volume&gt;40&lt;/volume&gt;&lt;number&gt;13-18&lt;/number&gt;&lt;dates&gt;&lt;year&gt;2014&lt;/year&gt;&lt;/dates&gt;&lt;urls&gt;&lt;/urls&gt;&lt;/record&gt;&lt;/Cite&gt;&lt;/EndNote&gt;</w:instrText>
      </w:r>
      <w:r w:rsidR="00C115AF" w:rsidRPr="00E33F8E">
        <w:rPr>
          <w:rFonts w:cs="Arial"/>
          <w:lang w:val="en-GB"/>
        </w:rPr>
        <w:fldChar w:fldCharType="separate"/>
      </w:r>
      <w:r w:rsidR="00C115AF" w:rsidRPr="00E33F8E">
        <w:rPr>
          <w:rFonts w:cs="Arial"/>
          <w:noProof/>
          <w:lang w:val="en-GB"/>
        </w:rPr>
        <w:t>(Chaignaud et al., 2014)</w:t>
      </w:r>
      <w:r w:rsidR="00C115AF" w:rsidRPr="00E33F8E">
        <w:rPr>
          <w:rFonts w:cs="Arial"/>
          <w:lang w:val="en-GB"/>
        </w:rPr>
        <w:fldChar w:fldCharType="end"/>
      </w:r>
      <w:r w:rsidR="0045730F" w:rsidRPr="00E33F8E">
        <w:rPr>
          <w:rFonts w:cs="Arial"/>
          <w:lang w:val="en-GB"/>
        </w:rPr>
        <w:t xml:space="preserve">. Nuisance due to </w:t>
      </w:r>
      <w:r w:rsidR="00781BB7" w:rsidRPr="00E33F8E">
        <w:rPr>
          <w:rFonts w:cs="Arial"/>
          <w:lang w:val="en-GB"/>
        </w:rPr>
        <w:t>odour</w:t>
      </w:r>
      <w:r w:rsidR="0045730F" w:rsidRPr="00E33F8E">
        <w:rPr>
          <w:rFonts w:cs="Arial"/>
          <w:lang w:val="en-GB"/>
        </w:rPr>
        <w:t xml:space="preserve"> generation by</w:t>
      </w:r>
      <w:r w:rsidR="003033D9">
        <w:rPr>
          <w:rFonts w:cs="Arial"/>
          <w:lang w:val="en-GB"/>
        </w:rPr>
        <w:t xml:space="preserve"> such as</w:t>
      </w:r>
      <w:r w:rsidR="00FC51BF">
        <w:rPr>
          <w:rFonts w:cs="Arial"/>
          <w:lang w:val="en-GB"/>
        </w:rPr>
        <w:t>;</w:t>
      </w:r>
      <w:r w:rsidR="0045730F" w:rsidRPr="00E33F8E">
        <w:rPr>
          <w:rFonts w:cs="Arial"/>
          <w:lang w:val="en-GB"/>
        </w:rPr>
        <w:t xml:space="preserve"> </w:t>
      </w:r>
      <w:r w:rsidR="003033D9">
        <w:rPr>
          <w:rFonts w:cs="Arial"/>
          <w:lang w:val="en-GB"/>
        </w:rPr>
        <w:t>wastewater treatment plants (</w:t>
      </w:r>
      <w:r w:rsidR="0045730F" w:rsidRPr="00E33F8E">
        <w:rPr>
          <w:rFonts w:cs="Arial"/>
          <w:lang w:val="en-GB"/>
        </w:rPr>
        <w:t>WWTP</w:t>
      </w:r>
      <w:r w:rsidR="00B36958" w:rsidRPr="00E33F8E">
        <w:rPr>
          <w:rFonts w:cs="Arial"/>
          <w:lang w:val="en-GB"/>
        </w:rPr>
        <w:t>s</w:t>
      </w:r>
      <w:r w:rsidR="003033D9">
        <w:rPr>
          <w:rFonts w:cs="Arial"/>
          <w:lang w:val="en-GB"/>
        </w:rPr>
        <w:t>)</w:t>
      </w:r>
      <w:r w:rsidR="003B2683">
        <w:rPr>
          <w:rFonts w:cs="Arial"/>
          <w:lang w:val="en-GB"/>
        </w:rPr>
        <w:t>, landfills</w:t>
      </w:r>
      <w:r w:rsidR="00441797">
        <w:rPr>
          <w:rFonts w:cs="Arial"/>
          <w:lang w:val="en-GB"/>
        </w:rPr>
        <w:t>,</w:t>
      </w:r>
      <w:r w:rsidR="003B2683">
        <w:rPr>
          <w:rFonts w:cs="Arial"/>
          <w:lang w:val="en-GB"/>
        </w:rPr>
        <w:t xml:space="preserve"> and</w:t>
      </w:r>
      <w:r w:rsidR="00FC51BF">
        <w:rPr>
          <w:rFonts w:cs="Arial"/>
          <w:lang w:val="en-GB"/>
        </w:rPr>
        <w:t xml:space="preserve"> </w:t>
      </w:r>
      <w:r w:rsidR="0045730F" w:rsidRPr="00E33F8E">
        <w:rPr>
          <w:rFonts w:cs="Arial"/>
          <w:lang w:val="en-GB"/>
        </w:rPr>
        <w:t>animal production operations</w:t>
      </w:r>
      <w:r w:rsidR="003B2683">
        <w:rPr>
          <w:rFonts w:cs="Arial"/>
          <w:lang w:val="en-GB"/>
        </w:rPr>
        <w:t>, among others,</w:t>
      </w:r>
      <w:r w:rsidR="0045730F" w:rsidRPr="00E33F8E">
        <w:rPr>
          <w:rFonts w:cs="Arial"/>
          <w:lang w:val="en-GB"/>
        </w:rPr>
        <w:t xml:space="preserve"> is one of the major sources of complaints of people living near these facilities</w:t>
      </w:r>
      <w:r w:rsidR="00FC51BF">
        <w:rPr>
          <w:rFonts w:cs="Arial"/>
          <w:lang w:val="en-GB"/>
        </w:rPr>
        <w:t xml:space="preserve"> </w:t>
      </w:r>
      <w:r w:rsidR="002E192E">
        <w:rPr>
          <w:rFonts w:cs="Arial"/>
          <w:lang w:val="en-GB"/>
        </w:rPr>
        <w:fldChar w:fldCharType="begin">
          <w:fldData xml:space="preserve">PEVuZE5vdGU+PENpdGU+PEF1dGhvcj5DYW88L0F1dGhvcj48WWVhcj4yMDIzPC9ZZWFyPjxSZWNO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bnVtPjEwLjEwMTYvai5lbnZyZXMuMjAyMy4xMTU1NDU8L2VsZWN0cm9uaWMtcmVzb3VyY2UtbnVt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==
</w:fldData>
        </w:fldChar>
      </w:r>
      <w:r w:rsidR="002E192E">
        <w:rPr>
          <w:rFonts w:cs="Arial"/>
          <w:lang w:val="en-GB"/>
        </w:rPr>
        <w:instrText xml:space="preserve"> ADDIN EN.CITE </w:instrText>
      </w:r>
      <w:r w:rsidR="002E192E">
        <w:rPr>
          <w:rFonts w:cs="Arial"/>
          <w:lang w:val="en-GB"/>
        </w:rPr>
        <w:fldChar w:fldCharType="begin">
          <w:fldData xml:space="preserve">PEVuZE5vdGU+PENpdGU+PEF1dGhvcj5DYW88L0F1dGhvcj48WWVhcj4yMDIzPC9ZZWFyPjxSZWNO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==
</w:fldData>
        </w:fldChar>
      </w:r>
      <w:r w:rsidR="002E192E">
        <w:rPr>
          <w:rFonts w:cs="Arial"/>
          <w:lang w:val="en-GB"/>
        </w:rPr>
        <w:instrText xml:space="preserve"> ADDIN EN.CITE.DATA </w:instrText>
      </w:r>
      <w:r w:rsidR="002E192E">
        <w:rPr>
          <w:rFonts w:cs="Arial"/>
          <w:lang w:val="en-GB"/>
        </w:rPr>
      </w:r>
      <w:r w:rsidR="002E192E">
        <w:rPr>
          <w:rFonts w:cs="Arial"/>
          <w:lang w:val="en-GB"/>
        </w:rPr>
        <w:fldChar w:fldCharType="end"/>
      </w:r>
      <w:r w:rsidR="002E192E">
        <w:rPr>
          <w:rFonts w:cs="Arial"/>
          <w:lang w:val="en-GB"/>
        </w:rPr>
      </w:r>
      <w:r w:rsidR="002E192E">
        <w:rPr>
          <w:rFonts w:cs="Arial"/>
          <w:lang w:val="en-GB"/>
        </w:rPr>
        <w:fldChar w:fldCharType="separate"/>
      </w:r>
      <w:r w:rsidR="002E192E">
        <w:rPr>
          <w:rFonts w:cs="Arial"/>
          <w:noProof/>
          <w:lang w:val="en-GB"/>
        </w:rPr>
        <w:t>(Cao et al., 2023; Czarnota et al., 2023)</w:t>
      </w:r>
      <w:r w:rsidR="002E192E">
        <w:rPr>
          <w:rFonts w:cs="Arial"/>
          <w:lang w:val="en-GB"/>
        </w:rPr>
        <w:fldChar w:fldCharType="end"/>
      </w:r>
      <w:r w:rsidR="00B36958" w:rsidRPr="00E33F8E">
        <w:rPr>
          <w:rFonts w:cs="Arial"/>
          <w:lang w:val="en-GB"/>
        </w:rPr>
        <w:t xml:space="preserve">. It </w:t>
      </w:r>
      <w:r w:rsidR="003B2683">
        <w:rPr>
          <w:rFonts w:cs="Arial"/>
          <w:lang w:val="en-GB"/>
        </w:rPr>
        <w:t>has also</w:t>
      </w:r>
      <w:r w:rsidR="0045730F" w:rsidRPr="00E33F8E">
        <w:rPr>
          <w:rFonts w:cs="Arial"/>
          <w:lang w:val="en-GB"/>
        </w:rPr>
        <w:t xml:space="preserve"> triggered increased emphasis on controlling the impact of atmospheric pollutants on </w:t>
      </w:r>
      <w:r w:rsidR="001234D6" w:rsidRPr="00E33F8E">
        <w:rPr>
          <w:rFonts w:cs="Arial"/>
          <w:lang w:val="en-GB"/>
        </w:rPr>
        <w:t>neighbouring</w:t>
      </w:r>
      <w:r w:rsidR="0045730F" w:rsidRPr="00E33F8E">
        <w:rPr>
          <w:rFonts w:cs="Arial"/>
          <w:lang w:val="en-GB"/>
        </w:rPr>
        <w:t xml:space="preserve"> areas</w:t>
      </w:r>
      <w:r w:rsidR="00B36958" w:rsidRPr="00E33F8E">
        <w:rPr>
          <w:rFonts w:cs="Arial"/>
          <w:lang w:val="en-GB"/>
        </w:rPr>
        <w:t xml:space="preserve"> </w:t>
      </w:r>
      <w:r w:rsidR="004B1387" w:rsidRPr="00E33F8E">
        <w:rPr>
          <w:rFonts w:cs="Arial"/>
          <w:lang w:val="en-GB"/>
        </w:rPr>
        <w:fldChar w:fldCharType="begin"/>
      </w:r>
      <w:r w:rsidR="00A66FD3">
        <w:rPr>
          <w:rFonts w:cs="Arial"/>
          <w:lang w:val="en-GB"/>
        </w:rPr>
        <w:instrText xml:space="preserve"> ADDIN EN.CITE &lt;EndNote&gt;&lt;Cite&gt;&lt;Author&gt;Rincón&lt;/Author&gt;&lt;Year&gt;2019&lt;/Year&gt;&lt;RecNum&gt;6114&lt;/RecNum&gt;&lt;DisplayText&gt;(Rincón et al., 2019)&lt;/DisplayText&gt;&lt;record&gt;&lt;rec-number&gt;6114&lt;/rec-number&gt;&lt;foreign-keys&gt;&lt;key app="EN" db-id="ww0z2asdbztevgezxelpaar0xfz2tsf5vasz" timestamp="1547101268"&gt;6114&lt;/key&gt;&lt;/foreign-keys&gt;&lt;ref-type name="Journal Article"&gt;17&lt;/ref-type&gt;&lt;contributors&gt;&lt;authors&gt;&lt;author&gt;Rincón, Carlos Andrés&lt;/author&gt;&lt;author&gt;De Guardia, Amaury&lt;/author&gt;&lt;author&gt;Couvert, Annabelle&lt;/author&gt;&lt;author&gt;Le Roux, Sophie&lt;/author&gt;&lt;author&gt;Soutrel, Isabelle&lt;/author&gt;&lt;author&gt;Daumoin, Mylène&lt;/author&gt;&lt;author&gt;Benoist, Jean Claude&lt;/author&gt;&lt;/authors&gt;&lt;/contributors&gt;&lt;titles&gt;&lt;title&gt;Chemical and odor characterization of gas emissions released during composting of solid wastes and digestates&lt;/title&gt;&lt;secondary-title&gt;Journal of Environmental Management&lt;/secondary-title&gt;&lt;/titles&gt;&lt;periodical&gt;&lt;full-title&gt;Journal of Environmental Management&lt;/full-title&gt;&lt;/periodical&gt;&lt;pages&gt;39-53&lt;/pages&gt;&lt;volume&gt;233&lt;/volume&gt;&lt;keywords&gt;&lt;keyword&gt;Forced aeration&lt;/keyword&gt;&lt;keyword&gt;Odor emission factors&lt;/keyword&gt;&lt;keyword&gt;Odor activity values&lt;/keyword&gt;&lt;keyword&gt;Volatile sulfur compounds&lt;/keyword&gt;&lt;keyword&gt;Methanethiol&lt;/keyword&gt;&lt;/keywords&gt;&lt;dates&gt;&lt;year&gt;2019&lt;/year&gt;&lt;pub-dates&gt;&lt;date&gt;2019/03/01/&lt;/date&gt;&lt;/pub-dates&gt;&lt;/dates&gt;&lt;isbn&gt;0301-4797&lt;/isbn&gt;&lt;urls&gt;&lt;related-urls&gt;&lt;url&gt;http://www.sciencedirect.com/science/article/pii/S030147971831418X&lt;/url&gt;&lt;/related-urls&gt;&lt;/urls&gt;&lt;electronic-resource-num&gt;https://doi.org/10.1016/j.jenvman.2018.12.009&lt;/electronic-resource-num&gt;&lt;/record&gt;&lt;/Cite&gt;&lt;/EndNote&gt;</w:instrText>
      </w:r>
      <w:r w:rsidR="004B1387" w:rsidRPr="00E33F8E">
        <w:rPr>
          <w:rFonts w:cs="Arial"/>
          <w:lang w:val="en-GB"/>
        </w:rPr>
        <w:fldChar w:fldCharType="separate"/>
      </w:r>
      <w:r w:rsidR="004B1387" w:rsidRPr="00E33F8E">
        <w:rPr>
          <w:rFonts w:cs="Arial"/>
          <w:noProof/>
          <w:lang w:val="en-GB"/>
        </w:rPr>
        <w:t>(Rincón et al., 2019)</w:t>
      </w:r>
      <w:r w:rsidR="004B1387" w:rsidRPr="00E33F8E">
        <w:rPr>
          <w:rFonts w:cs="Arial"/>
          <w:lang w:val="en-GB"/>
        </w:rPr>
        <w:fldChar w:fldCharType="end"/>
      </w:r>
      <w:r w:rsidR="004B1387" w:rsidRPr="00E33F8E">
        <w:rPr>
          <w:rFonts w:cs="Arial"/>
          <w:lang w:val="en-GB"/>
        </w:rPr>
        <w:t xml:space="preserve">. </w:t>
      </w:r>
      <w:r w:rsidR="0045730F" w:rsidRPr="00E33F8E">
        <w:rPr>
          <w:rFonts w:cs="Arial"/>
          <w:lang w:val="en-GB"/>
        </w:rPr>
        <w:t xml:space="preserve">Undesirable </w:t>
      </w:r>
      <w:r w:rsidR="00781BB7" w:rsidRPr="00E33F8E">
        <w:rPr>
          <w:rFonts w:cs="Arial"/>
          <w:lang w:val="en-GB"/>
        </w:rPr>
        <w:t>odours</w:t>
      </w:r>
      <w:r w:rsidR="0045730F" w:rsidRPr="00E33F8E">
        <w:rPr>
          <w:rFonts w:cs="Arial"/>
          <w:lang w:val="en-GB"/>
        </w:rPr>
        <w:t xml:space="preserve"> can elicit a range of emotional and adverse responses in individuals, spanning from irritation to documented health effects, ultimately resulting in a diminished quality of life </w:t>
      </w:r>
      <w:r w:rsidR="00B36958" w:rsidRPr="00E33F8E">
        <w:rPr>
          <w:rFonts w:cs="Arial"/>
          <w:lang w:val="en-GB"/>
        </w:rPr>
        <w:fldChar w:fldCharType="begin"/>
      </w:r>
      <w:r w:rsidR="008E49E7" w:rsidRPr="00E33F8E">
        <w:rPr>
          <w:rFonts w:cs="Arial"/>
          <w:lang w:val="en-GB"/>
        </w:rPr>
        <w:instrText xml:space="preserve"> ADDIN EN.CITE &lt;EndNote&gt;&lt;Cite&gt;&lt;Author&gt;Blanes-Vidal&lt;/Author&gt;&lt;Year&gt;2015&lt;/Year&gt;&lt;RecNum&gt;27&lt;/RecNum&gt;&lt;DisplayText&gt;(Blanes-Vidal, 2015)&lt;/DisplayText&gt;&lt;record&gt;&lt;rec-number&gt;27&lt;/rec-number&gt;&lt;foreign-keys&gt;&lt;key app="EN" db-id="f9wsz2wrnesdfpetpstx9rvz0vws2ztzsd90" timestamp="1707124355"&gt;27&lt;/key&gt;&lt;/foreign-keys&gt;&lt;ref-type name="Journal Article"&gt;17&lt;/ref-type&gt;&lt;contributors&gt;&lt;authors&gt;&lt;author&gt;Blanes-Vidal, Victoria&lt;/author&gt;&lt;/authors&gt;&lt;/contributors&gt;&lt;titles&gt;&lt;title&gt;Air pollution from biodegradable wastes and non-specific health symptoms among residents: Direct or annoyance-mediated associations?&lt;/title&gt;&lt;secondary-title&gt;Chemosphere&lt;/secondary-title&gt;&lt;/titles&gt;&lt;periodical&gt;&lt;full-title&gt;Chemosphere&lt;/full-title&gt;&lt;/periodical&gt;&lt;pages&gt;371-377&lt;/pages&gt;&lt;volume&gt;120&lt;/volume&gt;&lt;keywords&gt;&lt;keyword&gt;Air pollution&lt;/keyword&gt;&lt;keyword&gt;Modeling&lt;/keyword&gt;&lt;keyword&gt;Physical symptoms&lt;/keyword&gt;&lt;keyword&gt;Nuisance&lt;/keyword&gt;&lt;keyword&gt;Animal waste&lt;/keyword&gt;&lt;/keywords&gt;&lt;dates&gt;&lt;year&gt;2015&lt;/year&gt;&lt;pub-dates&gt;&lt;date&gt;2015/02/01/&lt;/date&gt;&lt;/pub-dates&gt;&lt;/dates&gt;&lt;isbn&gt;0045-6535&lt;/isbn&gt;&lt;urls&gt;&lt;related-urls&gt;&lt;url&gt;https://www.sciencedirect.com/science/article/pii/S0045653514009679&lt;/url&gt;&lt;/related-urls&gt;&lt;/urls&gt;&lt;/record&gt;&lt;/Cite&gt;&lt;/EndNote&gt;</w:instrText>
      </w:r>
      <w:r w:rsidR="00B36958" w:rsidRPr="00E33F8E">
        <w:rPr>
          <w:rFonts w:cs="Arial"/>
          <w:lang w:val="en-GB"/>
        </w:rPr>
        <w:fldChar w:fldCharType="separate"/>
      </w:r>
      <w:r w:rsidR="00B36958" w:rsidRPr="00E33F8E">
        <w:rPr>
          <w:rFonts w:cs="Arial"/>
          <w:noProof/>
          <w:lang w:val="en-GB"/>
        </w:rPr>
        <w:t>(Blanes-Vidal, 2015)</w:t>
      </w:r>
      <w:r w:rsidR="00B36958" w:rsidRPr="00E33F8E">
        <w:rPr>
          <w:rFonts w:cs="Arial"/>
          <w:lang w:val="en-GB"/>
        </w:rPr>
        <w:fldChar w:fldCharType="end"/>
      </w:r>
      <w:r w:rsidR="00B36958" w:rsidRPr="00E33F8E">
        <w:rPr>
          <w:rFonts w:cs="Arial"/>
          <w:lang w:val="en-GB"/>
        </w:rPr>
        <w:t xml:space="preserve">. </w:t>
      </w:r>
      <w:r w:rsidR="0045730F" w:rsidRPr="00E33F8E">
        <w:rPr>
          <w:rFonts w:cs="Arial"/>
          <w:lang w:val="en-GB"/>
        </w:rPr>
        <w:t xml:space="preserve">The </w:t>
      </w:r>
      <w:r w:rsidR="00781BB7" w:rsidRPr="00E33F8E">
        <w:rPr>
          <w:rFonts w:cs="Arial"/>
          <w:lang w:val="en-GB"/>
        </w:rPr>
        <w:t>odours</w:t>
      </w:r>
      <w:r w:rsidR="0045730F" w:rsidRPr="00E33F8E">
        <w:rPr>
          <w:rFonts w:cs="Arial"/>
          <w:lang w:val="en-GB"/>
        </w:rPr>
        <w:t xml:space="preserve"> from WWTPs emissions form a</w:t>
      </w:r>
      <w:r w:rsidR="005D7CE7" w:rsidRPr="00E33F8E">
        <w:rPr>
          <w:rFonts w:cs="Arial"/>
          <w:lang w:val="en-GB"/>
        </w:rPr>
        <w:t>n</w:t>
      </w:r>
      <w:r w:rsidR="0045730F" w:rsidRPr="00E33F8E">
        <w:rPr>
          <w:rFonts w:cs="Arial"/>
          <w:lang w:val="en-GB"/>
        </w:rPr>
        <w:t xml:space="preserve"> intricate mixture containing a diverse range of odorants derived from various chemical </w:t>
      </w:r>
      <w:r w:rsidR="00A2444B">
        <w:rPr>
          <w:rFonts w:cs="Arial"/>
          <w:lang w:val="en-GB"/>
        </w:rPr>
        <w:t>groups</w:t>
      </w:r>
      <w:r w:rsidR="0045730F" w:rsidRPr="00E33F8E">
        <w:rPr>
          <w:rFonts w:cs="Arial"/>
          <w:lang w:val="en-GB"/>
        </w:rPr>
        <w:t xml:space="preserve">, including </w:t>
      </w:r>
      <w:r w:rsidR="00865A10" w:rsidRPr="00E33F8E">
        <w:rPr>
          <w:rFonts w:cs="Arial"/>
          <w:lang w:val="en-GB"/>
        </w:rPr>
        <w:t>s</w:t>
      </w:r>
      <w:r w:rsidR="001234D6" w:rsidRPr="00E33F8E">
        <w:rPr>
          <w:rFonts w:cs="Arial"/>
          <w:lang w:val="en-GB"/>
        </w:rPr>
        <w:t>ulphur</w:t>
      </w:r>
      <w:r w:rsidR="0045730F" w:rsidRPr="00E33F8E">
        <w:rPr>
          <w:rFonts w:cs="Arial"/>
          <w:lang w:val="en-GB"/>
        </w:rPr>
        <w:t xml:space="preserve"> and nitrogen compounds, aldehydes, acids, alcohols, aromatics, ketones, terpenes, indole, and skatole</w:t>
      </w:r>
      <w:r w:rsidR="00BE274F">
        <w:rPr>
          <w:rFonts w:cs="Arial"/>
          <w:lang w:val="en-GB"/>
        </w:rPr>
        <w:t xml:space="preserve"> </w:t>
      </w:r>
      <w:r w:rsidR="00921E69">
        <w:rPr>
          <w:rFonts w:cs="Arial"/>
          <w:lang w:val="en-GB"/>
        </w:rPr>
        <w:fldChar w:fldCharType="begin"/>
      </w:r>
      <w:r w:rsidR="00A66FD3">
        <w:rPr>
          <w:rFonts w:cs="Arial"/>
          <w:lang w:val="en-GB"/>
        </w:rPr>
        <w:instrText xml:space="preserve"> ADDIN EN.CITE &lt;EndNote&gt;&lt;Cite&gt;&lt;Author&gt;Byliński&lt;/Author&gt;&lt;Year&gt;2019&lt;/Year&gt;&lt;RecNum&gt;6132&lt;/RecNum&gt;&lt;DisplayText&gt;(Byliński et al., 2019)&lt;/DisplayText&gt;&lt;record&gt;&lt;rec-number&gt;6132&lt;/rec-number&gt;&lt;foreign-keys&gt;&lt;key app="EN" db-id="ww0z2asdbztevgezxelpaar0xfz2tsf5vasz" timestamp="1551936101"&gt;6132&lt;/key&gt;&lt;/foreign-keys&gt;&lt;ref-type name="Journal Article"&gt;17&lt;/ref-type&gt;&lt;contributors&gt;&lt;authors&gt;&lt;author&gt;&lt;style face="normal" font="default" size="100%"&gt;Byli&lt;/style&gt;&lt;style face="normal" font="default" charset="238" size="100%"&gt;ński, Hubert&lt;/style&gt;&lt;/author&gt;&lt;author&gt;&lt;style face="normal" font="default" charset="238" size="100%"&gt;Barczak, Radosław J.&lt;/style&gt;&lt;/author&gt;&lt;author&gt;&lt;style face="normal" font="default" charset="238" size="100%"&gt;Gębicki, Jacek&lt;/style&gt;&lt;/author&gt;&lt;author&gt;&lt;style face="normal" font="default" charset="238" size="100%"&gt;Namieśnik, Jacek&lt;/style&gt;&lt;/author&gt;&lt;/authors&gt;&lt;/contributors&gt;&lt;titles&gt;&lt;title&gt;Monitoring of odors emitted from stabilized dewatered sludge subjected to aging using proton transfer reaction–mass spectrometry&lt;/title&gt;&lt;secondary-title&gt;Environmental Science and Pollution Research&lt;/secondary-title&gt;&lt;/titles&gt;&lt;periodical&gt;&lt;full-title&gt;Environmental Science and Pollution Research&lt;/full-title&gt;&lt;/periodical&gt;&lt;pages&gt;5500-5513&lt;/pages&gt;&lt;volume&gt;26&lt;/volume&gt;&lt;number&gt;6&lt;/number&gt;&lt;dates&gt;&lt;year&gt;2019&lt;/year&gt;&lt;pub-dates&gt;&lt;date&gt;February 01&lt;/date&gt;&lt;/pub-dates&gt;&lt;/dates&gt;&lt;isbn&gt;1614-7499&lt;/isbn&gt;&lt;label&gt;&lt;style face="normal" font="default" size="100%"&gt;Byli&lt;/style&gt;&lt;style face="normal" font="default" charset="238" size="100%"&gt;ński2019&lt;/style&gt;&lt;/label&gt;&lt;work-type&gt;journal article&lt;/work-type&gt;&lt;urls&gt;&lt;related-urls&gt;&lt;url&gt;https://doi.org/10.1007/s11356-018-4041-4&lt;/url&gt;&lt;/related-urls&gt;&lt;/urls&gt;&lt;electronic-resource-num&gt;http://doi.org/10.1007/s11356-018-4041-4&lt;/electronic-resource-num&gt;&lt;/record&gt;&lt;/Cite&gt;&lt;/EndNote&gt;</w:instrText>
      </w:r>
      <w:r w:rsidR="00921E69">
        <w:rPr>
          <w:rFonts w:cs="Arial"/>
          <w:lang w:val="en-GB"/>
        </w:rPr>
        <w:fldChar w:fldCharType="separate"/>
      </w:r>
      <w:r w:rsidR="00921E69">
        <w:rPr>
          <w:rFonts w:cs="Arial"/>
          <w:noProof/>
          <w:lang w:val="en-GB"/>
        </w:rPr>
        <w:t>(Byliński et al., 2019)</w:t>
      </w:r>
      <w:r w:rsidR="00921E69">
        <w:rPr>
          <w:rFonts w:cs="Arial"/>
          <w:lang w:val="en-GB"/>
        </w:rPr>
        <w:fldChar w:fldCharType="end"/>
      </w:r>
      <w:r w:rsidR="00921E69">
        <w:rPr>
          <w:rFonts w:cs="Arial"/>
          <w:lang w:val="en-GB"/>
        </w:rPr>
        <w:t xml:space="preserve">. </w:t>
      </w:r>
      <w:r w:rsidR="0045730F" w:rsidRPr="00E33F8E">
        <w:rPr>
          <w:rFonts w:cs="Arial"/>
          <w:lang w:val="en-GB"/>
        </w:rPr>
        <w:t>Only certain malodorous compounds are detected in significant concentrations</w:t>
      </w:r>
      <w:r w:rsidR="001234D6" w:rsidRPr="00E33F8E">
        <w:rPr>
          <w:rFonts w:cs="Arial"/>
          <w:lang w:val="en-GB"/>
        </w:rPr>
        <w:t>.</w:t>
      </w:r>
    </w:p>
    <w:p w14:paraId="7E0840B8" w14:textId="5FE29D62" w:rsidR="00B11C77" w:rsidRPr="00B11C77" w:rsidRDefault="003940C1" w:rsidP="00B11C77">
      <w:pPr>
        <w:pStyle w:val="CETBodytext"/>
        <w:rPr>
          <w:rFonts w:cs="Arial"/>
          <w:lang w:val="en-CA"/>
        </w:rPr>
      </w:pPr>
      <w:r w:rsidRPr="00FC51BF">
        <w:rPr>
          <w:rFonts w:cs="Arial"/>
          <w:lang w:val="en-GB"/>
        </w:rPr>
        <w:t>The atmosphere can oxidize many pollutants</w:t>
      </w:r>
      <w:r w:rsidR="00A66FD3" w:rsidRPr="00FC51BF">
        <w:rPr>
          <w:rFonts w:cs="Arial"/>
          <w:lang w:val="en-GB"/>
        </w:rPr>
        <w:t>, including odorous species</w:t>
      </w:r>
      <w:r w:rsidRPr="00FC51BF">
        <w:rPr>
          <w:rFonts w:cs="Arial"/>
          <w:lang w:val="en-GB"/>
        </w:rPr>
        <w:t>, mainly through the hydroxyl radical (</w:t>
      </w:r>
      <w:r w:rsidRPr="00FC51BF">
        <w:rPr>
          <w:rFonts w:cs="Arial"/>
          <w:lang w:val="en-CA"/>
        </w:rPr>
        <w:t>•OH</w:t>
      </w:r>
      <w:r w:rsidRPr="00FC51BF">
        <w:rPr>
          <w:rFonts w:cs="Arial"/>
          <w:lang w:val="en-GB"/>
        </w:rPr>
        <w:t>) during the day. Other reactive species, such as nitrate radicals (NO</w:t>
      </w:r>
      <w:r w:rsidRPr="00FC51BF">
        <w:rPr>
          <w:rFonts w:ascii="Cambria Math" w:hAnsi="Cambria Math" w:cs="Cambria Math"/>
          <w:lang w:val="en-GB"/>
        </w:rPr>
        <w:t>₃</w:t>
      </w:r>
      <w:r w:rsidRPr="00FC51BF">
        <w:rPr>
          <w:rFonts w:cs="Arial"/>
          <w:lang w:val="en-GB"/>
        </w:rPr>
        <w:t>), ozone (O</w:t>
      </w:r>
      <w:r w:rsidRPr="00FC51BF">
        <w:rPr>
          <w:rFonts w:ascii="Cambria Math" w:hAnsi="Cambria Math" w:cs="Cambria Math"/>
          <w:lang w:val="en-GB"/>
        </w:rPr>
        <w:t>₃</w:t>
      </w:r>
      <w:r w:rsidRPr="00FC51BF">
        <w:rPr>
          <w:rFonts w:cs="Arial"/>
          <w:lang w:val="en-GB"/>
        </w:rPr>
        <w:t>), chlorine or bromine atoms (Cl or Br), and organic peroxyl radicals (RO</w:t>
      </w:r>
      <w:r w:rsidRPr="00FC51BF">
        <w:rPr>
          <w:rFonts w:ascii="Cambria Math" w:hAnsi="Cambria Math" w:cs="Cambria Math"/>
          <w:lang w:val="en-GB"/>
        </w:rPr>
        <w:t>₂</w:t>
      </w:r>
      <w:r w:rsidRPr="00FC51BF">
        <w:rPr>
          <w:rFonts w:cs="Arial"/>
          <w:lang w:val="en-GB"/>
        </w:rPr>
        <w:t>), also take part in this process</w:t>
      </w:r>
      <w:r w:rsidR="00FC51BF">
        <w:rPr>
          <w:rFonts w:cs="Arial"/>
          <w:lang w:val="en-GB"/>
        </w:rPr>
        <w:t xml:space="preserve"> </w:t>
      </w:r>
      <w:r>
        <w:rPr>
          <w:rFonts w:cs="Arial"/>
          <w:lang w:val="en-GB"/>
        </w:rPr>
        <w:fldChar w:fldCharType="begin"/>
      </w:r>
      <w:r>
        <w:rPr>
          <w:rFonts w:cs="Arial"/>
          <w:lang w:val="en-GB"/>
        </w:rPr>
        <w:instrText xml:space="preserve"> ADDIN EN.CITE &lt;EndNote&gt;&lt;Cite&gt;&lt;Author&gt;Chapleski&lt;/Author&gt;&lt;Year&gt;2016&lt;/Year&gt;&lt;RecNum&gt;77&lt;/RecNum&gt;&lt;DisplayText&gt;(Chapleski et al., 2016)&lt;/DisplayText&gt;&lt;record&gt;&lt;rec-number&gt;77&lt;/rec-number&gt;&lt;foreign-keys&gt;&lt;key app="EN" db-id="f9wsz2wrnesdfpetpstx9rvz0vws2ztzsd90" timestamp="1711500086"&gt;77&lt;/key&gt;&lt;/foreign-keys&gt;&lt;ref-type name="Journal Article"&gt;17&lt;/ref-type&gt;&lt;contributors&gt;&lt;authors&gt;&lt;author&gt;Chapleski, Robert C.&lt;/author&gt;&lt;author&gt;Zhang, Yafen&lt;/author&gt;&lt;author&gt;Troya, Diego&lt;/author&gt;&lt;author&gt;Morris, John R.&lt;/author&gt;&lt;/authors&gt;&lt;/contributors&gt;&lt;titles&gt;&lt;title&gt;Heterogeneous chemistry and reaction dynamics of the atmospheric oxidants, O3, NO3, and OH, on organic surfaces&lt;/title&gt;&lt;secondary-title&gt;Chemical Society Reviews&lt;/secondary-title&gt;&lt;/titles&gt;&lt;periodical&gt;&lt;full-title&gt;Chemical Society Reviews&lt;/full-title&gt;&lt;/periodical&gt;&lt;pages&gt;3731-3746&lt;/pages&gt;&lt;volume&gt;45&lt;/volume&gt;&lt;number&gt;13&lt;/number&gt;&lt;dates&gt;&lt;year&gt;2016&lt;/year&gt;&lt;/dates&gt;&lt;publisher&gt;The Royal Society of Chemistry&lt;/publisher&gt;&lt;isbn&gt;0306-0012&lt;/isbn&gt;&lt;work-type&gt;10.1039/C5CS00375J&lt;/work-type&gt;&lt;urls&gt;&lt;related-urls&gt;&lt;url&gt;http://dx.doi.org/10.1039/C5CS00375J&lt;/url&gt;&lt;/related-urls&gt;&lt;/urls&gt;&lt;electronic-resource-num&gt;10.1039/C5CS00375J&lt;/electronic-resource-num&gt;&lt;/record&gt;&lt;/Cite&gt;&lt;/EndNote&gt;</w:instrText>
      </w:r>
      <w:r>
        <w:rPr>
          <w:rFonts w:cs="Arial"/>
          <w:lang w:val="en-GB"/>
        </w:rPr>
        <w:fldChar w:fldCharType="separate"/>
      </w:r>
      <w:r>
        <w:rPr>
          <w:rFonts w:cs="Arial"/>
          <w:noProof/>
          <w:lang w:val="en-GB"/>
        </w:rPr>
        <w:t>(Chapleski et al., 2016)</w:t>
      </w:r>
      <w:r>
        <w:rPr>
          <w:rFonts w:cs="Arial"/>
          <w:lang w:val="en-GB"/>
        </w:rPr>
        <w:fldChar w:fldCharType="end"/>
      </w:r>
      <w:r>
        <w:rPr>
          <w:rFonts w:cs="Arial"/>
          <w:lang w:val="en-GB"/>
        </w:rPr>
        <w:t>.</w:t>
      </w:r>
      <w:r w:rsidR="00FC51BF">
        <w:rPr>
          <w:rFonts w:cs="Arial"/>
          <w:lang w:val="en-CA"/>
        </w:rPr>
        <w:t xml:space="preserve"> </w:t>
      </w:r>
      <w:r w:rsidR="00B11C77" w:rsidRPr="00B11C77">
        <w:rPr>
          <w:rFonts w:cs="Arial"/>
          <w:lang w:val="en-CA"/>
        </w:rPr>
        <w:t xml:space="preserve">Hydroxyl radicals (•OH) are very important in different parts of the atmosphere </w:t>
      </w:r>
      <w:r w:rsidR="00E846DD">
        <w:rPr>
          <w:rFonts w:cs="Arial"/>
          <w:lang w:val="en-CA"/>
        </w:rPr>
        <w:fldChar w:fldCharType="begin"/>
      </w:r>
      <w:r w:rsidR="00E846DD">
        <w:rPr>
          <w:rFonts w:cs="Arial"/>
          <w:lang w:val="en-CA"/>
        </w:rPr>
        <w:instrText xml:space="preserve"> ADDIN EN.CITE &lt;EndNote&gt;&lt;Cite&gt;&lt;Author&gt;Avallone&lt;/Author&gt;&lt;Year&gt;2003&lt;/Year&gt;&lt;RecNum&gt;78&lt;/RecNum&gt;&lt;DisplayText&gt;(Avallone, 2003)&lt;/DisplayText&gt;&lt;record&gt;&lt;rec-number&gt;78&lt;/rec-number&gt;&lt;foreign-keys&gt;&lt;key app="EN" db-id="f9wsz2wrnesdfpetpstx9rvz0vws2ztzsd90" timestamp="1711501453"&gt;78&lt;/key&gt;&lt;/foreign-keys&gt;&lt;ref-type name="Book Section"&gt;5&lt;/ref-type&gt;&lt;contributors&gt;&lt;authors&gt;&lt;author&gt;Avallone, L. M.&lt;/author&gt;&lt;/authors&gt;&lt;secondary-authors&gt;&lt;author&gt;Holton, James R.&lt;/author&gt;&lt;/secondary-authors&gt;&lt;/contributors&gt;&lt;titles&gt;&lt;title&gt;OBSERVATIONS FOR CHEMISTRY (IN SITU) | Resonance Fluorescence&lt;/title&gt;&lt;secondary-title&gt;Encyclopedia of Atmospheric Sciences&lt;/secondary-title&gt;&lt;/titles&gt;&lt;pages&gt;1484-1490&lt;/pages&gt;&lt;dates&gt;&lt;year&gt;2003&lt;/year&gt;&lt;pub-dates&gt;&lt;date&gt;2003/01/01/&lt;/date&gt;&lt;/pub-dates&gt;&lt;/dates&gt;&lt;pub-location&gt;Oxford&lt;/pub-location&gt;&lt;publisher&gt;Academic Press&lt;/publisher&gt;&lt;isbn&gt;978-0-12-227090-1&lt;/isbn&gt;&lt;urls&gt;&lt;related-urls&gt;&lt;url&gt;https://www.sciencedirect.com/science/article/pii/B0122270908002608&lt;/url&gt;&lt;/related-urls&gt;&lt;/urls&gt;&lt;electronic-resource-num&gt;https://doi.org/10.1016/B0-12-227090-8/00260-8&lt;/electronic-resource-num&gt;&lt;/record&gt;&lt;/Cite&gt;&lt;/EndNote&gt;</w:instrText>
      </w:r>
      <w:r w:rsidR="00E846DD">
        <w:rPr>
          <w:rFonts w:cs="Arial"/>
          <w:lang w:val="en-CA"/>
        </w:rPr>
        <w:fldChar w:fldCharType="separate"/>
      </w:r>
      <w:r w:rsidR="00E846DD">
        <w:rPr>
          <w:rFonts w:cs="Arial"/>
          <w:noProof/>
          <w:lang w:val="en-CA"/>
        </w:rPr>
        <w:t>(Avallone, 2003)</w:t>
      </w:r>
      <w:r w:rsidR="00E846DD">
        <w:rPr>
          <w:rFonts w:cs="Arial"/>
          <w:lang w:val="en-CA"/>
        </w:rPr>
        <w:fldChar w:fldCharType="end"/>
      </w:r>
      <w:r w:rsidR="00B11C77" w:rsidRPr="00B11C77">
        <w:rPr>
          <w:rFonts w:cs="Arial"/>
          <w:lang w:val="en-CA"/>
        </w:rPr>
        <w:t xml:space="preserve">. </w:t>
      </w:r>
      <w:r w:rsidR="00B11C77" w:rsidRPr="002E69DA">
        <w:rPr>
          <w:rFonts w:cs="Arial"/>
          <w:lang w:val="en-CA"/>
        </w:rPr>
        <w:t xml:space="preserve">In the troposphere, they are considered the main oxidizing </w:t>
      </w:r>
      <w:r w:rsidR="00441797">
        <w:rPr>
          <w:rFonts w:cs="Arial"/>
          <w:lang w:val="en-CA"/>
        </w:rPr>
        <w:t>agents</w:t>
      </w:r>
      <w:r w:rsidR="00441797" w:rsidRPr="002E69DA">
        <w:rPr>
          <w:rFonts w:cs="Arial"/>
          <w:lang w:val="en-CA"/>
        </w:rPr>
        <w:t xml:space="preserve"> </w:t>
      </w:r>
      <w:r w:rsidR="00B11C77" w:rsidRPr="002E69DA">
        <w:rPr>
          <w:rFonts w:cs="Arial"/>
          <w:lang w:val="en-CA"/>
        </w:rPr>
        <w:t xml:space="preserve">for both natural and human-made organic compounds, and they contribute to ozone formation. </w:t>
      </w:r>
      <w:r w:rsidR="00B11C77" w:rsidRPr="00B11C77">
        <w:rPr>
          <w:rFonts w:cs="Arial"/>
          <w:lang w:val="en-CA"/>
        </w:rPr>
        <w:t>Hydroxyl radicals are extremely reactive and can easily attack many types of organic compounds. Their strong oxidative ability is related to their high oxidation potential</w:t>
      </w:r>
      <w:r w:rsidR="00FC51BF">
        <w:rPr>
          <w:rFonts w:cs="Arial"/>
          <w:lang w:val="en-CA"/>
        </w:rPr>
        <w:t xml:space="preserve"> at around 2.8 V</w:t>
      </w:r>
      <w:r>
        <w:rPr>
          <w:rFonts w:cs="Arial"/>
          <w:lang w:val="en-CA"/>
        </w:rPr>
        <w:t xml:space="preserve"> </w:t>
      </w:r>
      <w:r w:rsidR="00E846DD">
        <w:rPr>
          <w:rFonts w:cs="Arial"/>
          <w:lang w:val="en-CA"/>
        </w:rPr>
        <w:fldChar w:fldCharType="begin"/>
      </w:r>
      <w:r w:rsidR="00E846DD">
        <w:rPr>
          <w:rFonts w:cs="Arial"/>
          <w:lang w:val="en-CA"/>
        </w:rPr>
        <w:instrText xml:space="preserve"> ADDIN EN.CITE &lt;EndNote&gt;&lt;Cite&gt;&lt;Author&gt;Munter&lt;/Author&gt;&lt;Year&gt;2001&lt;/Year&gt;&lt;RecNum&gt;83&lt;/RecNum&gt;&lt;DisplayText&gt;(Munter, 2001)&lt;/DisplayText&gt;&lt;record&gt;&lt;rec-number&gt;83&lt;/rec-number&gt;&lt;foreign-keys&gt;&lt;key app="EN" db-id="f9wsz2wrnesdfpetpstx9rvz0vws2ztzsd90" timestamp="1712536311"&gt;83&lt;/key&gt;&lt;/foreign-keys&gt;&lt;ref-type name="Journal Article"&gt;17&lt;/ref-type&gt;&lt;contributors&gt;&lt;authors&gt;&lt;author&gt;Munter, Rein&lt;/author&gt;&lt;/authors&gt;&lt;/contributors&gt;&lt;titles&gt;&lt;title&gt;ADVANCED OXIDATION PROCESSES – CURRENT STATUS AND PROSPECTS&lt;/title&gt;&lt;secondary-title&gt;Proceedings of the Estonian Academy of Sciences. Chemistry&lt;/secondary-title&gt;&lt;/titles&gt;&lt;periodical&gt;&lt;full-title&gt;Proceedings of the Estonian Academy of Sciences. Chemistry&lt;/full-title&gt;&lt;/periodical&gt;&lt;dates&gt;&lt;year&gt;2001&lt;/year&gt;&lt;/dates&gt;&lt;urls&gt;&lt;/urls&gt;&lt;/record&gt;&lt;/Cite&gt;&lt;/EndNote&gt;</w:instrText>
      </w:r>
      <w:r w:rsidR="00E846DD">
        <w:rPr>
          <w:rFonts w:cs="Arial"/>
          <w:lang w:val="en-CA"/>
        </w:rPr>
        <w:fldChar w:fldCharType="separate"/>
      </w:r>
      <w:r w:rsidR="00E846DD">
        <w:rPr>
          <w:rFonts w:cs="Arial"/>
          <w:noProof/>
          <w:lang w:val="en-CA"/>
        </w:rPr>
        <w:t>(Munter, 2001)</w:t>
      </w:r>
      <w:r w:rsidR="00E846DD">
        <w:rPr>
          <w:rFonts w:cs="Arial"/>
          <w:lang w:val="en-CA"/>
        </w:rPr>
        <w:fldChar w:fldCharType="end"/>
      </w:r>
      <w:r w:rsidR="00E846DD">
        <w:rPr>
          <w:rFonts w:cs="Arial"/>
          <w:lang w:val="en-CA"/>
        </w:rPr>
        <w:t xml:space="preserve">. </w:t>
      </w:r>
      <w:r w:rsidR="00B11C77" w:rsidRPr="00B11C77">
        <w:rPr>
          <w:rFonts w:cs="Arial"/>
          <w:lang w:val="en-CA"/>
        </w:rPr>
        <w:t xml:space="preserve">In addition, because they are non-selective, they can react with a wide range of organic molecules such as acids, alcohols, aldehydes, aromatic compounds, amines, ethers, and ketones </w:t>
      </w:r>
      <w:r w:rsidR="00E846DD">
        <w:rPr>
          <w:rFonts w:cs="Arial"/>
          <w:lang w:val="en-CA"/>
        </w:rPr>
        <w:fldChar w:fldCharType="begin"/>
      </w:r>
      <w:r w:rsidR="00E846DD">
        <w:rPr>
          <w:rFonts w:cs="Arial"/>
          <w:lang w:val="en-CA"/>
        </w:rPr>
        <w:instrText xml:space="preserve"> ADDIN EN.CITE &lt;EndNote&gt;&lt;Cite&gt;&lt;Author&gt;Huang&lt;/Author&gt;&lt;Year&gt;1993&lt;/Year&gt;&lt;RecNum&gt;84&lt;/RecNum&gt;&lt;DisplayText&gt;(Huang et al., 1993)&lt;/DisplayText&gt;&lt;record&gt;&lt;rec-number&gt;84&lt;/rec-number&gt;&lt;foreign-keys&gt;&lt;key app="EN" db-id="f9wsz2wrnesdfpetpstx9rvz0vws2ztzsd90" timestamp="1712536414"&gt;84&lt;/key&gt;&lt;/foreign-keys&gt;&lt;ref-type name="Journal Article"&gt;17&lt;/ref-type&gt;&lt;contributors&gt;&lt;authors&gt;&lt;author&gt;Huang, C. P.&lt;/author&gt;&lt;author&gt;Dong, Chengdi&lt;/author&gt;&lt;author&gt;Tang, Zhonghung&lt;/author&gt;&lt;/authors&gt;&lt;/contributors&gt;&lt;titles&gt;&lt;title&gt;Advanced chemical oxidation: Its present role and potential future in hazardous waste treatment&lt;/title&gt;&lt;secondary-title&gt;Waste Management&lt;/secondary-title&gt;&lt;/titles&gt;&lt;periodical&gt;&lt;full-title&gt;Waste Management&lt;/full-title&gt;&lt;/periodical&gt;&lt;pages&gt;361-377&lt;/pages&gt;&lt;volume&gt;13&lt;/volume&gt;&lt;number&gt;5&lt;/number&gt;&lt;dates&gt;&lt;year&gt;1993&lt;/year&gt;&lt;pub-dates&gt;&lt;date&gt;1993/01/01/&lt;/date&gt;&lt;/pub-dates&gt;&lt;/dates&gt;&lt;isbn&gt;0956-053X&lt;/isbn&gt;&lt;urls&gt;&lt;related-urls&gt;&lt;url&gt;https://www.sciencedirect.com/science/article/pii/0956053X9390070D&lt;/url&gt;&lt;/related-urls&gt;&lt;/urls&gt;&lt;electronic-resource-num&gt;https://doi.org/10.1016/0956-053X(93)90070-D&lt;/electronic-resource-num&gt;&lt;/record&gt;&lt;/Cite&gt;&lt;/EndNote&gt;</w:instrText>
      </w:r>
      <w:r w:rsidR="00E846DD">
        <w:rPr>
          <w:rFonts w:cs="Arial"/>
          <w:lang w:val="en-CA"/>
        </w:rPr>
        <w:fldChar w:fldCharType="separate"/>
      </w:r>
      <w:r w:rsidR="00E846DD">
        <w:rPr>
          <w:rFonts w:cs="Arial"/>
          <w:noProof/>
          <w:lang w:val="en-CA"/>
        </w:rPr>
        <w:t>(Huang et al., 1993)</w:t>
      </w:r>
      <w:r w:rsidR="00E846DD">
        <w:rPr>
          <w:rFonts w:cs="Arial"/>
          <w:lang w:val="en-CA"/>
        </w:rPr>
        <w:fldChar w:fldCharType="end"/>
      </w:r>
      <w:r w:rsidR="00E846DD">
        <w:rPr>
          <w:rFonts w:cs="Arial"/>
          <w:lang w:val="en-CA"/>
        </w:rPr>
        <w:t>.</w:t>
      </w:r>
      <w:r w:rsidR="00B11C77" w:rsidRPr="00B11C77">
        <w:rPr>
          <w:rFonts w:cs="Arial"/>
          <w:lang w:val="en-CA"/>
        </w:rPr>
        <w:t xml:space="preserve"> However, due to their very short lifetime, hydroxyl radicals must be produced directly in the atmosphere (in situ), </w:t>
      </w:r>
      <w:r w:rsidR="002E69DA" w:rsidRPr="00A66FD3">
        <w:rPr>
          <w:rFonts w:cs="Arial"/>
          <w:lang w:val="en-GB"/>
        </w:rPr>
        <w:t>mainly through the photolysis of ozone and the reaction of excited oxygen atoms with water vapor (H</w:t>
      </w:r>
      <w:r w:rsidR="002E69DA" w:rsidRPr="00A66FD3">
        <w:rPr>
          <w:rFonts w:ascii="Cambria Math" w:hAnsi="Cambria Math" w:cs="Cambria Math"/>
          <w:lang w:val="en-GB"/>
        </w:rPr>
        <w:t>₂</w:t>
      </w:r>
      <w:r w:rsidR="002E69DA" w:rsidRPr="00A66FD3">
        <w:rPr>
          <w:rFonts w:cs="Arial"/>
          <w:lang w:val="en-GB"/>
        </w:rPr>
        <w:t>O), or from the photolysis of nitrous acid (HONO) and hydrogen peroxide (H</w:t>
      </w:r>
      <w:r w:rsidR="002E69DA" w:rsidRPr="00A66FD3">
        <w:rPr>
          <w:rFonts w:ascii="Cambria Math" w:hAnsi="Cambria Math" w:cs="Cambria Math"/>
          <w:lang w:val="en-GB"/>
        </w:rPr>
        <w:t>₂</w:t>
      </w:r>
      <w:r w:rsidR="002E69DA" w:rsidRPr="00A66FD3">
        <w:rPr>
          <w:rFonts w:cs="Arial"/>
          <w:lang w:val="en-GB"/>
        </w:rPr>
        <w:t>O</w:t>
      </w:r>
      <w:r w:rsidR="002E69DA" w:rsidRPr="00A66FD3">
        <w:rPr>
          <w:rFonts w:ascii="Cambria Math" w:hAnsi="Cambria Math" w:cs="Cambria Math"/>
          <w:lang w:val="en-GB"/>
        </w:rPr>
        <w:t>₂</w:t>
      </w:r>
      <w:r w:rsidR="002E69DA" w:rsidRPr="00A66FD3">
        <w:rPr>
          <w:rFonts w:cs="Arial"/>
          <w:lang w:val="en-GB"/>
        </w:rPr>
        <w:t>)</w:t>
      </w:r>
      <w:r w:rsidR="002E69DA">
        <w:rPr>
          <w:rFonts w:cs="Arial"/>
          <w:lang w:val="en-CA"/>
        </w:rPr>
        <w:t xml:space="preserve"> </w:t>
      </w:r>
      <w:r w:rsidR="002E69DA">
        <w:rPr>
          <w:rFonts w:cs="Arial"/>
          <w:lang w:val="en-CA"/>
        </w:rPr>
        <w:fldChar w:fldCharType="begin"/>
      </w:r>
      <w:r w:rsidR="002E69DA">
        <w:rPr>
          <w:rFonts w:cs="Arial"/>
          <w:lang w:val="en-CA"/>
        </w:rPr>
        <w:instrText xml:space="preserve"> ADDIN EN.CITE &lt;EndNote&gt;&lt;Cite&gt;&lt;Author&gt;Price&lt;/Author&gt;&lt;Year&gt;2025&lt;/Year&gt;&lt;RecNum&gt;262&lt;/RecNum&gt;&lt;DisplayText&gt;(Price et al., 2025)&lt;/DisplayText&gt;&lt;record&gt;&lt;rec-number&gt;262&lt;/rec-number&gt;&lt;foreign-keys&gt;&lt;key app="EN" db-id="f9wsz2wrnesdfpetpstx9rvz0vws2ztzsd90" timestamp="1776786207"&gt;262&lt;/key&gt;&lt;/foreign-keys&gt;&lt;ref-type name="Journal Article"&gt;17&lt;/ref-type&gt;&lt;contributors&gt;&lt;authors&gt;&lt;author&gt;Price, Paige&lt;/author&gt;&lt;author&gt;Bottorff, Brandon&lt;/author&gt;&lt;author&gt;Jenkins, Jena&lt;/author&gt;&lt;author&gt;Brune, William H.&lt;/author&gt;&lt;author&gt;Stevens, Philip S.&lt;/author&gt;&lt;/authors&gt;&lt;/contributors&gt;&lt;titles&gt;&lt;title&gt;Re-assessing hydroxyl radical chemistry in the atmosphere: Instrument interferences may explain previous measurement discrepancies&lt;/title&gt;&lt;secondary-title&gt;Communications Earth &amp;amp; Environment&lt;/secondary-title&gt;&lt;/titles&gt;&lt;periodical&gt;&lt;full-title&gt;Communications Earth &amp;amp; Environment&lt;/full-title&gt;&lt;/periodical&gt;&lt;pages&gt;325&lt;/pages&gt;&lt;volume&gt;6&lt;/volume&gt;&lt;number&gt;1&lt;/number&gt;&lt;dates&gt;&lt;year&gt;2025&lt;/year&gt;&lt;pub-dates&gt;&lt;date&gt;2025/04/26&lt;/date&gt;&lt;/pub-dates&gt;&lt;/dates&gt;&lt;isbn&gt;2662-4435&lt;/isbn&gt;&lt;urls&gt;&lt;related-urls&gt;&lt;url&gt;https://doi.org/10.1038/s43247-025-02308-y&lt;/url&gt;&lt;/related-urls&gt;&lt;/urls&gt;&lt;electronic-resource-num&gt;10.1038/s43247-025-02308-y&lt;/electronic-resource-num&gt;&lt;/record&gt;&lt;/Cite&gt;&lt;/EndNote&gt;</w:instrText>
      </w:r>
      <w:r w:rsidR="002E69DA">
        <w:rPr>
          <w:rFonts w:cs="Arial"/>
          <w:lang w:val="en-CA"/>
        </w:rPr>
        <w:fldChar w:fldCharType="separate"/>
      </w:r>
      <w:r w:rsidR="002E69DA">
        <w:rPr>
          <w:rFonts w:cs="Arial"/>
          <w:noProof/>
          <w:lang w:val="en-CA"/>
        </w:rPr>
        <w:t>(Price et al., 2025)</w:t>
      </w:r>
      <w:r w:rsidR="002E69DA">
        <w:rPr>
          <w:rFonts w:cs="Arial"/>
          <w:lang w:val="en-CA"/>
        </w:rPr>
        <w:fldChar w:fldCharType="end"/>
      </w:r>
      <w:r w:rsidR="002E69DA">
        <w:rPr>
          <w:rFonts w:cs="Arial"/>
          <w:lang w:val="en-CA"/>
        </w:rPr>
        <w:t>.</w:t>
      </w:r>
    </w:p>
    <w:p w14:paraId="1DA7CC9B" w14:textId="646A0DB9" w:rsidR="00B11C77" w:rsidRPr="00B11C77" w:rsidRDefault="00B11C77" w:rsidP="00B11C77">
      <w:pPr>
        <w:pStyle w:val="CETBodytext"/>
        <w:rPr>
          <w:rFonts w:cs="Arial"/>
          <w:lang w:val="en-CA"/>
        </w:rPr>
      </w:pPr>
      <w:r w:rsidRPr="00B11C77">
        <w:rPr>
          <w:rFonts w:cs="Arial"/>
          <w:lang w:val="en-CA"/>
        </w:rPr>
        <w:lastRenderedPageBreak/>
        <w:t xml:space="preserve">In the troposphere, •OH </w:t>
      </w:r>
      <w:r w:rsidR="00441797">
        <w:rPr>
          <w:rFonts w:cs="Arial"/>
          <w:lang w:val="en-CA"/>
        </w:rPr>
        <w:t>is</w:t>
      </w:r>
      <w:r w:rsidR="00441797" w:rsidRPr="00B11C77">
        <w:rPr>
          <w:rFonts w:cs="Arial"/>
          <w:lang w:val="en-CA"/>
        </w:rPr>
        <w:t xml:space="preserve"> </w:t>
      </w:r>
      <w:r w:rsidRPr="00B11C77">
        <w:rPr>
          <w:rFonts w:cs="Arial"/>
          <w:lang w:val="en-CA"/>
        </w:rPr>
        <w:t xml:space="preserve">mainly formed when ozone is broken down by sunlight (photolysis at wavelengths below 282 nm). This process produces oxygen atoms, which then react with water vapor to generate hydroxyl radicals </w:t>
      </w:r>
      <w:r>
        <w:rPr>
          <w:rFonts w:cs="Arial"/>
          <w:lang w:val="en-CA"/>
        </w:rPr>
        <w:fldChar w:fldCharType="begin"/>
      </w:r>
      <w:r>
        <w:rPr>
          <w:rFonts w:cs="Arial"/>
          <w:lang w:val="en-CA"/>
        </w:rPr>
        <w:instrText xml:space="preserve"> ADDIN EN.CITE &lt;EndNote&gt;&lt;Cite&gt;&lt;Author&gt;Avallone&lt;/Author&gt;&lt;Year&gt;2003&lt;/Year&gt;&lt;RecNum&gt;85&lt;/RecNum&gt;&lt;DisplayText&gt;(Avallone, 2003)&lt;/DisplayText&gt;&lt;record&gt;&lt;rec-number&gt;85&lt;/rec-number&gt;&lt;foreign-keys&gt;&lt;key app="EN" db-id="f9wsz2wrnesdfpetpstx9rvz0vws2ztzsd90" timestamp="1712538061"&gt;85&lt;/key&gt;&lt;/foreign-keys&gt;&lt;ref-type name="Book Section"&gt;5&lt;/ref-type&gt;&lt;contributors&gt;&lt;authors&gt;&lt;author&gt;Avallone, L. M.&lt;/author&gt;&lt;/authors&gt;&lt;secondary-authors&gt;&lt;author&gt;Holton, James R.&lt;/author&gt;&lt;/secondary-authors&gt;&lt;/contributors&gt;&lt;titles&gt;&lt;title&gt;OBSERVATIONS FOR CHEMISTRY (IN SITU) | Resonance Fluorescence&lt;/title&gt;&lt;secondary-title&gt;Encyclopedia of Atmospheric Sciences&lt;/secondary-title&gt;&lt;/titles&gt;&lt;pages&gt;1484-1490&lt;/pages&gt;&lt;dates&gt;&lt;year&gt;2003&lt;/year&gt;&lt;pub-dates&gt;&lt;date&gt;2003/01/01/&lt;/date&gt;&lt;/pub-dates&gt;&lt;/dates&gt;&lt;pub-location&gt;Oxford&lt;/pub-location&gt;&lt;publisher&gt;Academic Press&lt;/publisher&gt;&lt;isbn&gt;978-0-12-227090-1&lt;/isbn&gt;&lt;urls&gt;&lt;related-urls&gt;&lt;url&gt;https://www.sciencedirect.com/science/article/pii/B0122270908002608&lt;/url&gt;&lt;/related-urls&gt;&lt;/urls&gt;&lt;electronic-resource-num&gt;https://doi.org/10.1016/B0-12-227090-8/00260-8&lt;/electronic-resource-num&gt;&lt;/record&gt;&lt;/Cite&gt;&lt;/EndNote&gt;</w:instrText>
      </w:r>
      <w:r>
        <w:rPr>
          <w:rFonts w:cs="Arial"/>
          <w:lang w:val="en-CA"/>
        </w:rPr>
        <w:fldChar w:fldCharType="separate"/>
      </w:r>
      <w:r>
        <w:rPr>
          <w:rFonts w:cs="Arial"/>
          <w:noProof/>
          <w:lang w:val="en-CA"/>
        </w:rPr>
        <w:t>(Avallone, 2003)</w:t>
      </w:r>
      <w:r>
        <w:rPr>
          <w:rFonts w:cs="Arial"/>
          <w:lang w:val="en-CA"/>
        </w:rPr>
        <w:fldChar w:fldCharType="end"/>
      </w:r>
      <w:r w:rsidRPr="00B11C77">
        <w:rPr>
          <w:rFonts w:cs="Arial"/>
          <w:lang w:val="en-CA"/>
        </w:rPr>
        <w:t xml:space="preserve">. As a result, •OH </w:t>
      </w:r>
      <w:r w:rsidR="00441797">
        <w:rPr>
          <w:rFonts w:cs="Arial"/>
          <w:lang w:val="en-CA"/>
        </w:rPr>
        <w:t>is</w:t>
      </w:r>
      <w:r w:rsidR="00441797" w:rsidRPr="00B11C77">
        <w:rPr>
          <w:rFonts w:cs="Arial"/>
          <w:lang w:val="en-CA"/>
        </w:rPr>
        <w:t xml:space="preserve"> </w:t>
      </w:r>
      <w:r w:rsidRPr="00B11C77">
        <w:rPr>
          <w:rFonts w:cs="Arial"/>
          <w:lang w:val="en-CA"/>
        </w:rPr>
        <w:t>mainly present during the daytime, when sunlight is available.</w:t>
      </w:r>
    </w:p>
    <w:p w14:paraId="198E17A5" w14:textId="56DEB751" w:rsidR="00B11C77" w:rsidRPr="00B11C77" w:rsidRDefault="00D36E33" w:rsidP="00B11C77">
      <w:pPr>
        <w:pStyle w:val="CETBodytext"/>
        <w:keepNext/>
        <w:rPr>
          <w:rFonts w:cs="Arial"/>
          <w:lang w:val="en-CA"/>
        </w:rPr>
      </w:pPr>
      <w:r>
        <w:rPr>
          <w:rFonts w:cs="Arial"/>
          <w:lang w:val="en-CA"/>
        </w:rPr>
        <w:t>T</w:t>
      </w:r>
      <w:r w:rsidR="00B11C77" w:rsidRPr="00B11C77">
        <w:rPr>
          <w:rFonts w:cs="Arial"/>
          <w:lang w:val="en-CA"/>
        </w:rPr>
        <w:t>here is still a lack of knowledge about the reaction kinetics of some odorant compounds with atmospheric oxidants</w:t>
      </w:r>
      <w:r>
        <w:rPr>
          <w:rFonts w:cs="Arial"/>
          <w:lang w:val="en-CA"/>
        </w:rPr>
        <w:t xml:space="preserve">, </w:t>
      </w:r>
      <w:r w:rsidR="00FC51BF">
        <w:rPr>
          <w:rFonts w:cs="Arial"/>
          <w:lang w:val="en-CA"/>
        </w:rPr>
        <w:t>e.g.</w:t>
      </w:r>
      <w:r>
        <w:rPr>
          <w:rFonts w:cs="Arial"/>
          <w:lang w:val="en-CA"/>
        </w:rPr>
        <w:t xml:space="preserve"> </w:t>
      </w:r>
      <w:r w:rsidR="00FC51BF" w:rsidRPr="00B11C77">
        <w:rPr>
          <w:rFonts w:cs="Arial"/>
          <w:lang w:val="en-CA"/>
        </w:rPr>
        <w:t>•</w:t>
      </w:r>
      <w:r>
        <w:rPr>
          <w:rFonts w:cs="Arial"/>
          <w:lang w:val="en-CA"/>
        </w:rPr>
        <w:t>OH, so</w:t>
      </w:r>
      <w:r w:rsidR="002E69DA" w:rsidRPr="002E69DA">
        <w:rPr>
          <w:rFonts w:cs="Arial"/>
          <w:lang w:val="en-GB"/>
        </w:rPr>
        <w:t xml:space="preserve">, limited information about </w:t>
      </w:r>
      <w:r>
        <w:rPr>
          <w:rFonts w:cs="Arial"/>
          <w:lang w:val="en-GB"/>
        </w:rPr>
        <w:t xml:space="preserve">the degradation pace of these odorants. </w:t>
      </w:r>
      <w:r w:rsidR="00B11C77" w:rsidRPr="00B11C77">
        <w:rPr>
          <w:rFonts w:cs="Arial"/>
          <w:lang w:val="en-CA"/>
        </w:rPr>
        <w:t xml:space="preserve">This study focuses on the degradation kinetics of </w:t>
      </w:r>
      <w:r w:rsidR="00FC51BF" w:rsidRPr="00B11C77">
        <w:rPr>
          <w:rFonts w:cs="Arial"/>
          <w:lang w:val="en-CA"/>
        </w:rPr>
        <w:t>three odorants</w:t>
      </w:r>
      <w:r w:rsidR="00B11C77" w:rsidRPr="00B11C77">
        <w:rPr>
          <w:rFonts w:cs="Arial"/>
          <w:lang w:val="en-CA"/>
        </w:rPr>
        <w:t xml:space="preserve">: </w:t>
      </w:r>
      <w:r w:rsidR="00EE52CC" w:rsidRPr="00EE52CC">
        <w:rPr>
          <w:rFonts w:cs="Arial"/>
          <w:lang w:val="en-CA"/>
        </w:rPr>
        <w:t>1,3,5-trimethylbenzene</w:t>
      </w:r>
      <w:r w:rsidR="00B11C77" w:rsidRPr="00B11C77">
        <w:rPr>
          <w:rFonts w:cs="Arial"/>
          <w:lang w:val="en-CA"/>
        </w:rPr>
        <w:t xml:space="preserve"> (</w:t>
      </w:r>
      <w:r w:rsidR="00EE52CC">
        <w:rPr>
          <w:rFonts w:cs="Arial"/>
          <w:lang w:val="en-CA"/>
        </w:rPr>
        <w:t>TMB</w:t>
      </w:r>
      <w:r w:rsidR="00B11C77" w:rsidRPr="00B11C77">
        <w:rPr>
          <w:rFonts w:cs="Arial"/>
          <w:lang w:val="en-CA"/>
        </w:rPr>
        <w:t xml:space="preserve">), Dimethyl Trisulfide (DMTS), and 2-Isopropyl-3-methoxypyrazine (IPMP). </w:t>
      </w:r>
      <w:r w:rsidR="002E69DA" w:rsidRPr="002E69DA">
        <w:rPr>
          <w:rFonts w:cs="Arial"/>
          <w:lang w:val="en-GB"/>
        </w:rPr>
        <w:t>These compounds are considered important because they are commonly found in emissions</w:t>
      </w:r>
      <w:r w:rsidR="002E69DA">
        <w:rPr>
          <w:rFonts w:cs="Arial"/>
          <w:lang w:val="en-GB"/>
        </w:rPr>
        <w:t xml:space="preserve"> from WWTPs, </w:t>
      </w:r>
      <w:r w:rsidR="002E69DA" w:rsidRPr="002E69DA">
        <w:rPr>
          <w:rFonts w:cs="Arial"/>
          <w:lang w:val="en-GB"/>
        </w:rPr>
        <w:t xml:space="preserve">where they contribute significantly to local </w:t>
      </w:r>
      <w:r w:rsidR="00711554" w:rsidRPr="002E69DA">
        <w:rPr>
          <w:rFonts w:cs="Arial"/>
          <w:lang w:val="en-GB"/>
        </w:rPr>
        <w:t>odour</w:t>
      </w:r>
      <w:r w:rsidR="002E69DA" w:rsidRPr="002E69DA">
        <w:rPr>
          <w:rFonts w:cs="Arial"/>
          <w:lang w:val="en-GB"/>
        </w:rPr>
        <w:t xml:space="preserve"> nuisance</w:t>
      </w:r>
      <w:r w:rsidR="002E69DA">
        <w:rPr>
          <w:rFonts w:cs="Arial"/>
          <w:lang w:val="en-GB"/>
        </w:rPr>
        <w:t>.</w:t>
      </w:r>
      <w:r w:rsidR="002E69DA" w:rsidRPr="00B11C77">
        <w:rPr>
          <w:rFonts w:cs="Arial"/>
          <w:lang w:val="en-CA"/>
        </w:rPr>
        <w:t xml:space="preserve"> To</w:t>
      </w:r>
      <w:r w:rsidR="00B11C77" w:rsidRPr="00B11C77">
        <w:rPr>
          <w:rFonts w:cs="Arial"/>
          <w:lang w:val="en-CA"/>
        </w:rPr>
        <w:t xml:space="preserve"> measure their reaction rates with •OH, experiments were carried out using the relative rate method. </w:t>
      </w:r>
      <w:r w:rsidR="004B538D" w:rsidRPr="004B538D">
        <w:rPr>
          <w:rFonts w:cs="Arial"/>
          <w:lang w:val="en-CA"/>
        </w:rPr>
        <w:t>Since</w:t>
      </w:r>
      <w:r w:rsidR="004B538D">
        <w:rPr>
          <w:rFonts w:cs="Arial"/>
          <w:lang w:val="en-CA"/>
        </w:rPr>
        <w:t xml:space="preserve"> </w:t>
      </w:r>
      <w:r w:rsidR="004B538D" w:rsidRPr="004B538D">
        <w:rPr>
          <w:rFonts w:cs="Arial"/>
          <w:lang w:val="en-CA"/>
        </w:rPr>
        <w:t>the study was conducted in a controlled lab-scale reactor system specifically designed for •OH generation, the experiments were limited to this single oxidant, as the use of additional atmospheric oxidants such as ozone or nitrate is technically challenging in the current setup.</w:t>
      </w:r>
      <w:r w:rsidR="004B538D">
        <w:rPr>
          <w:rFonts w:cs="Arial"/>
          <w:lang w:val="en-CA"/>
        </w:rPr>
        <w:t xml:space="preserve"> </w:t>
      </w:r>
      <w:r w:rsidR="004B538D" w:rsidRPr="004B538D">
        <w:rPr>
          <w:rFonts w:cs="Arial"/>
          <w:lang w:val="en-GB"/>
        </w:rPr>
        <w:t>Moreover, the identification of specific degradation products and the elucidation of reaction pathways were beyond the scope of this study, which is primarily focused on determining kinetic parameters.</w:t>
      </w:r>
    </w:p>
    <w:p w14:paraId="0A9F375F" w14:textId="6D0944AE" w:rsidR="00A21864" w:rsidRPr="00A21864" w:rsidRDefault="00A21864" w:rsidP="00A21864">
      <w:pPr>
        <w:pStyle w:val="CETHeading1"/>
        <w:rPr>
          <w:rFonts w:cs="Arial"/>
        </w:rPr>
      </w:pPr>
      <w:r w:rsidRPr="00A21864">
        <w:rPr>
          <w:rFonts w:cs="Arial"/>
        </w:rPr>
        <w:t>Materials and methods</w:t>
      </w:r>
    </w:p>
    <w:p w14:paraId="0636B784" w14:textId="7E0E15B0" w:rsidR="00453E24" w:rsidRPr="00B90593" w:rsidRDefault="003D372D" w:rsidP="00B90593">
      <w:pPr>
        <w:pStyle w:val="CETheadingx"/>
        <w:rPr>
          <w:b/>
          <w:bCs w:val="0"/>
        </w:rPr>
      </w:pPr>
      <w:r w:rsidRPr="00F445E1">
        <w:rPr>
          <w:b/>
          <w:bCs w:val="0"/>
          <w:sz w:val="20"/>
          <w:szCs w:val="20"/>
        </w:rPr>
        <w:t>2.1</w:t>
      </w:r>
      <w:r w:rsidRPr="00B90593">
        <w:rPr>
          <w:b/>
          <w:bCs w:val="0"/>
        </w:rPr>
        <w:t xml:space="preserve"> </w:t>
      </w:r>
      <w:r w:rsidR="00A21864" w:rsidRPr="00F445E1">
        <w:rPr>
          <w:b/>
          <w:bCs w:val="0"/>
          <w:sz w:val="20"/>
          <w:szCs w:val="20"/>
        </w:rPr>
        <w:t>Chemicals and reagents</w:t>
      </w:r>
    </w:p>
    <w:p w14:paraId="79ECFC4B" w14:textId="539D6419" w:rsidR="00A21864" w:rsidRPr="00A21864" w:rsidRDefault="003D372D" w:rsidP="00A21864">
      <w:pPr>
        <w:pStyle w:val="CETBodytext"/>
      </w:pPr>
      <w:r w:rsidRPr="003D372D">
        <w:rPr>
          <w:lang w:val="en-GB"/>
        </w:rPr>
        <w:t xml:space="preserve">All chemicals and reagents used in this study were of analytical </w:t>
      </w:r>
      <w:r w:rsidR="00D76F3E">
        <w:rPr>
          <w:lang w:val="en-GB"/>
        </w:rPr>
        <w:t xml:space="preserve">purity </w:t>
      </w:r>
      <w:r w:rsidRPr="003D372D">
        <w:rPr>
          <w:lang w:val="en-GB"/>
        </w:rPr>
        <w:t>and were used without further purification. Sodium hydroxide (</w:t>
      </w:r>
      <w:proofErr w:type="spellStart"/>
      <w:r w:rsidRPr="003D372D">
        <w:rPr>
          <w:lang w:val="en-GB"/>
        </w:rPr>
        <w:t>Ascarite</w:t>
      </w:r>
      <w:proofErr w:type="spellEnd"/>
      <w:r w:rsidRPr="003D372D">
        <w:rPr>
          <w:lang w:val="en-GB"/>
        </w:rPr>
        <w:t xml:space="preserve">) and </w:t>
      </w:r>
      <w:r w:rsidR="00EE52CC" w:rsidRPr="00EE52CC">
        <w:rPr>
          <w:lang w:val="en-GB"/>
        </w:rPr>
        <w:t>1,3,5-trimethylbenzene</w:t>
      </w:r>
      <w:r w:rsidR="00EE52CC" w:rsidRPr="00EE52CC" w:rsidDel="00EE52CC">
        <w:rPr>
          <w:lang w:val="en-GB"/>
        </w:rPr>
        <w:t xml:space="preserve"> </w:t>
      </w:r>
      <w:r w:rsidRPr="003D372D">
        <w:rPr>
          <w:lang w:val="en-GB"/>
        </w:rPr>
        <w:t>(</w:t>
      </w:r>
      <w:r w:rsidR="00EE52CC">
        <w:rPr>
          <w:lang w:val="en-GB"/>
        </w:rPr>
        <w:t xml:space="preserve">TMB, </w:t>
      </w:r>
      <w:r w:rsidRPr="003D372D">
        <w:rPr>
          <w:lang w:val="en-GB"/>
        </w:rPr>
        <w:t xml:space="preserve">≥98%) were purchased from </w:t>
      </w:r>
      <w:proofErr w:type="spellStart"/>
      <w:r w:rsidRPr="003D372D">
        <w:rPr>
          <w:lang w:val="en-GB"/>
        </w:rPr>
        <w:t>Thermo</w:t>
      </w:r>
      <w:proofErr w:type="spellEnd"/>
      <w:r w:rsidRPr="003D372D">
        <w:rPr>
          <w:lang w:val="en-GB"/>
        </w:rPr>
        <w:t xml:space="preserve"> Fisher Scientific (USA). 2-Isopropyl-3-methoxypyrazine (IPMP, 99%, food grade) and dimethyl trisulfide (DMTS, ≥98%, food grade) were obtained from Sigma-Aldrich (Germany). Sodium nitrite and anhydrous calcium chloride were supplied by </w:t>
      </w:r>
      <w:proofErr w:type="spellStart"/>
      <w:r w:rsidRPr="003D372D">
        <w:rPr>
          <w:lang w:val="en-GB"/>
        </w:rPr>
        <w:t>Firma</w:t>
      </w:r>
      <w:proofErr w:type="spellEnd"/>
      <w:r w:rsidRPr="003D372D">
        <w:rPr>
          <w:lang w:val="en-GB"/>
        </w:rPr>
        <w:t xml:space="preserve"> </w:t>
      </w:r>
      <w:proofErr w:type="spellStart"/>
      <w:r w:rsidRPr="003D372D">
        <w:rPr>
          <w:lang w:val="en-GB"/>
        </w:rPr>
        <w:t>Chempur</w:t>
      </w:r>
      <w:proofErr w:type="spellEnd"/>
      <w:r w:rsidRPr="003D372D">
        <w:rPr>
          <w:lang w:val="en-GB"/>
        </w:rPr>
        <w:t xml:space="preserve"> (Poland). Sulfuric acid (≥95%) was purchased from POCH (Poland). Toluene (GC/MS grade) was obtained from </w:t>
      </w:r>
      <w:proofErr w:type="spellStart"/>
      <w:r w:rsidRPr="003D372D">
        <w:rPr>
          <w:lang w:val="en-GB"/>
        </w:rPr>
        <w:t>Supelco</w:t>
      </w:r>
      <w:proofErr w:type="spellEnd"/>
      <w:r w:rsidRPr="003D372D">
        <w:rPr>
          <w:lang w:val="en-GB"/>
        </w:rPr>
        <w:t xml:space="preserve"> (Germany). Methanol (LC/MS grade) was purchased from Merck (Germany). </w:t>
      </w:r>
    </w:p>
    <w:p w14:paraId="1D721119" w14:textId="1397C4F5" w:rsidR="00A21864" w:rsidRPr="00A21864" w:rsidRDefault="00A21864" w:rsidP="00B90593">
      <w:pPr>
        <w:pStyle w:val="CETheadingx"/>
      </w:pPr>
      <w:r w:rsidRPr="00F445E1">
        <w:rPr>
          <w:b/>
          <w:bCs w:val="0"/>
          <w:sz w:val="20"/>
          <w:szCs w:val="20"/>
        </w:rPr>
        <w:t>2.2</w:t>
      </w:r>
      <w:r>
        <w:t xml:space="preserve"> </w:t>
      </w:r>
      <w:r w:rsidRPr="00F445E1">
        <w:rPr>
          <w:b/>
          <w:bCs w:val="0"/>
          <w:sz w:val="20"/>
          <w:szCs w:val="20"/>
        </w:rPr>
        <w:t>Methyl Nitrite Synthesis</w:t>
      </w:r>
    </w:p>
    <w:p w14:paraId="40F8BB3E" w14:textId="17C362DB" w:rsidR="000F158B" w:rsidRDefault="000F158B" w:rsidP="000F158B">
      <w:pPr>
        <w:rPr>
          <w:rFonts w:cs="Arial"/>
          <w:szCs w:val="18"/>
        </w:rPr>
      </w:pPr>
      <w:r w:rsidRPr="000F158B">
        <w:rPr>
          <w:rFonts w:cs="Arial"/>
          <w:szCs w:val="18"/>
        </w:rPr>
        <w:t>The methyl nitrite (CH</w:t>
      </w:r>
      <w:r w:rsidRPr="000F158B">
        <w:rPr>
          <w:rFonts w:cs="Arial"/>
          <w:szCs w:val="18"/>
          <w:vertAlign w:val="subscript"/>
        </w:rPr>
        <w:t>3</w:t>
      </w:r>
      <w:r w:rsidRPr="000F158B">
        <w:rPr>
          <w:rFonts w:cs="Arial"/>
          <w:szCs w:val="18"/>
        </w:rPr>
        <w:t>ONO) was synthesized in situ</w:t>
      </w:r>
      <w:r w:rsidR="00441797">
        <w:rPr>
          <w:rFonts w:cs="Arial"/>
          <w:szCs w:val="18"/>
        </w:rPr>
        <w:t>,</w:t>
      </w:r>
      <w:r w:rsidRPr="000F158B">
        <w:rPr>
          <w:rFonts w:cs="Arial"/>
          <w:szCs w:val="18"/>
        </w:rPr>
        <w:t xml:space="preserve"> as </w:t>
      </w:r>
      <w:r w:rsidRPr="000F158B">
        <w:rPr>
          <w:rFonts w:cs="Arial"/>
          <w:szCs w:val="18"/>
        </w:rPr>
        <w:fldChar w:fldCharType="begin"/>
      </w:r>
      <w:r w:rsidRPr="000F158B">
        <w:rPr>
          <w:rFonts w:cs="Arial"/>
          <w:szCs w:val="18"/>
        </w:rPr>
        <w:instrText xml:space="preserve"> ADDIN EN.CITE &lt;EndNote&gt;&lt;Cite AuthorYear="1"&gt;&lt;Author&gt;Atkinson&lt;/Author&gt;&lt;Year&gt;1981&lt;/Year&gt;&lt;RecNum&gt;99&lt;/RecNum&gt;&lt;DisplayText&gt;Atkinson et al. (1981)&lt;/DisplayText&gt;&lt;record&gt;&lt;rec-number&gt;99&lt;/rec-number&gt;&lt;foreign-keys&gt;&lt;key app="EN" db-id="f9wsz2wrnesdfpetpstx9rvz0vws2ztzsd90" timestamp="1717761462"&gt;99&lt;/key&gt;&lt;/foreign-keys&gt;&lt;ref-type name="Journal Article"&gt;17&lt;/ref-type&gt;&lt;contributors&gt;&lt;authors&gt;&lt;author&gt;Atkinson, Roger&lt;/author&gt;&lt;author&gt;Carter, William P. L.&lt;/author&gt;&lt;author&gt;Winer, Arthur M.&lt;/author&gt;&lt;author&gt;Pitts, James N.&lt;/author&gt;&lt;/authors&gt;&lt;/contributors&gt;&lt;titles&gt;&lt;title&gt;An Experimental Protocol for the Determination of OH Radical Rate Constants with Organics Using Methyl Nitrite Photolysis as an OH Radical Source&lt;/title&gt;&lt;secondary-title&gt;Journal of the Air Pollution Control Association&lt;/secondary-title&gt;&lt;/titles&gt;&lt;periodical&gt;&lt;full-title&gt;Journal of the Air Pollution Control Association&lt;/full-title&gt;&lt;/periodical&gt;&lt;pages&gt;1090-1092&lt;/pages&gt;&lt;volume&gt;31&lt;/volume&gt;&lt;number&gt;10&lt;/number&gt;&lt;section&gt;1090&lt;/section&gt;&lt;dates&gt;&lt;year&gt;1981&lt;/year&gt;&lt;/dates&gt;&lt;isbn&gt;0002-2470&lt;/isbn&gt;&lt;urls&gt;&lt;/urls&gt;&lt;electronic-resource-num&gt;10.1080/00022470.1981.10465331&lt;/electronic-resource-num&gt;&lt;/record&gt;&lt;/Cite&gt;&lt;/EndNote&gt;</w:instrText>
      </w:r>
      <w:r w:rsidRPr="000F158B">
        <w:rPr>
          <w:rFonts w:cs="Arial"/>
          <w:szCs w:val="18"/>
        </w:rPr>
        <w:fldChar w:fldCharType="separate"/>
      </w:r>
      <w:r w:rsidRPr="000F158B">
        <w:rPr>
          <w:rFonts w:cs="Arial"/>
          <w:noProof/>
          <w:szCs w:val="18"/>
        </w:rPr>
        <w:t>Atkinson et al. (1981)</w:t>
      </w:r>
      <w:r w:rsidRPr="000F158B">
        <w:rPr>
          <w:rFonts w:cs="Arial"/>
          <w:szCs w:val="18"/>
        </w:rPr>
        <w:fldChar w:fldCharType="end"/>
      </w:r>
      <w:r w:rsidRPr="000F158B">
        <w:rPr>
          <w:rFonts w:cs="Arial"/>
          <w:szCs w:val="18"/>
        </w:rPr>
        <w:t xml:space="preserve">. </w:t>
      </w:r>
      <w:r w:rsidR="00801B1F">
        <w:rPr>
          <w:rFonts w:cs="Arial"/>
          <w:szCs w:val="18"/>
        </w:rPr>
        <w:t>T</w:t>
      </w:r>
      <w:r w:rsidRPr="000F158B">
        <w:rPr>
          <w:rFonts w:cs="Arial"/>
          <w:szCs w:val="18"/>
        </w:rPr>
        <w:t>he dropwise addition of 50% sulfuric acid (H</w:t>
      </w:r>
      <w:r w:rsidRPr="000F158B">
        <w:rPr>
          <w:rFonts w:ascii="Cambria Math" w:hAnsi="Cambria Math" w:cs="Cambria Math"/>
          <w:szCs w:val="18"/>
        </w:rPr>
        <w:t>₂</w:t>
      </w:r>
      <w:r w:rsidRPr="000F158B">
        <w:rPr>
          <w:rFonts w:cs="Arial"/>
          <w:szCs w:val="18"/>
        </w:rPr>
        <w:t>SO</w:t>
      </w:r>
      <w:r w:rsidRPr="000F158B">
        <w:rPr>
          <w:rFonts w:ascii="Cambria Math" w:hAnsi="Cambria Math" w:cs="Cambria Math"/>
          <w:szCs w:val="18"/>
        </w:rPr>
        <w:t>₄</w:t>
      </w:r>
      <w:r w:rsidRPr="000F158B">
        <w:rPr>
          <w:rFonts w:cs="Arial"/>
          <w:szCs w:val="18"/>
        </w:rPr>
        <w:t>) to methanol (CH</w:t>
      </w:r>
      <w:r w:rsidRPr="000F158B">
        <w:rPr>
          <w:rFonts w:ascii="Cambria Math" w:hAnsi="Cambria Math" w:cs="Cambria Math"/>
          <w:szCs w:val="18"/>
        </w:rPr>
        <w:t>₃</w:t>
      </w:r>
      <w:r w:rsidRPr="000F158B">
        <w:rPr>
          <w:rFonts w:cs="Arial"/>
          <w:szCs w:val="18"/>
        </w:rPr>
        <w:t>OH) saturated with sodium nitrite (</w:t>
      </w:r>
      <w:proofErr w:type="spellStart"/>
      <w:r w:rsidRPr="000F158B">
        <w:rPr>
          <w:rFonts w:cs="Arial"/>
          <w:szCs w:val="18"/>
        </w:rPr>
        <w:t>NaNO</w:t>
      </w:r>
      <w:proofErr w:type="spellEnd"/>
      <w:r w:rsidRPr="000F158B">
        <w:rPr>
          <w:rFonts w:ascii="Cambria Math" w:hAnsi="Cambria Math" w:cs="Cambria Math"/>
          <w:szCs w:val="18"/>
        </w:rPr>
        <w:t>₂</w:t>
      </w:r>
      <w:r w:rsidRPr="000F158B">
        <w:rPr>
          <w:rFonts w:cs="Arial"/>
          <w:szCs w:val="18"/>
        </w:rPr>
        <w:t xml:space="preserve">) </w:t>
      </w:r>
      <w:r w:rsidRPr="00C10286">
        <w:rPr>
          <w:rFonts w:cs="Arial"/>
          <w:szCs w:val="18"/>
        </w:rPr>
        <w:t>was carried out at −10 °C</w:t>
      </w:r>
      <w:r w:rsidRPr="000F158B">
        <w:rPr>
          <w:rFonts w:cs="Arial"/>
          <w:szCs w:val="18"/>
        </w:rPr>
        <w:t xml:space="preserve"> under continuous stirring. The generated CH</w:t>
      </w:r>
      <w:r w:rsidRPr="000F158B">
        <w:rPr>
          <w:rFonts w:ascii="Cambria Math" w:hAnsi="Cambria Math" w:cs="Cambria Math"/>
          <w:szCs w:val="18"/>
        </w:rPr>
        <w:t>₃</w:t>
      </w:r>
      <w:r w:rsidRPr="000F158B">
        <w:rPr>
          <w:rFonts w:cs="Arial"/>
          <w:szCs w:val="18"/>
        </w:rPr>
        <w:t xml:space="preserve">ONO was swept from the reaction vessel by a stream of dry, ultra-high purity nitrogen. The gas stream was first passed through a trap containing </w:t>
      </w:r>
      <w:r w:rsidRPr="000F158B">
        <w:rPr>
          <w:rFonts w:cs="Arial"/>
          <w:color w:val="000000" w:themeColor="text1"/>
        </w:rPr>
        <w:t>saturated</w:t>
      </w:r>
      <w:r w:rsidRPr="000F158B">
        <w:rPr>
          <w:rFonts w:cs="Arial"/>
          <w:b/>
          <w:bCs/>
          <w:color w:val="000000" w:themeColor="text1"/>
        </w:rPr>
        <w:t xml:space="preserve"> </w:t>
      </w:r>
      <w:r w:rsidRPr="000F158B">
        <w:rPr>
          <w:rFonts w:cs="Arial"/>
          <w:szCs w:val="18"/>
        </w:rPr>
        <w:t>sodium hydroxide</w:t>
      </w:r>
      <w:r>
        <w:rPr>
          <w:rFonts w:cs="Arial"/>
          <w:szCs w:val="18"/>
        </w:rPr>
        <w:t xml:space="preserve"> (NaOH)</w:t>
      </w:r>
      <w:r w:rsidRPr="000F158B">
        <w:rPr>
          <w:rFonts w:cs="Arial"/>
          <w:szCs w:val="18"/>
        </w:rPr>
        <w:t xml:space="preserve"> to remove acidic impurities, then dried by passage through a trap filled with anhydrous calcium chloride (</w:t>
      </w:r>
      <w:proofErr w:type="spellStart"/>
      <w:r w:rsidRPr="000F158B">
        <w:rPr>
          <w:rFonts w:cs="Arial"/>
          <w:szCs w:val="18"/>
        </w:rPr>
        <w:t>CaCl</w:t>
      </w:r>
      <w:proofErr w:type="spellEnd"/>
      <w:r w:rsidRPr="000F158B">
        <w:rPr>
          <w:rFonts w:ascii="Cambria Math" w:hAnsi="Cambria Math" w:cs="Cambria Math"/>
          <w:szCs w:val="18"/>
        </w:rPr>
        <w:t>₂</w:t>
      </w:r>
      <w:r w:rsidRPr="000F158B">
        <w:rPr>
          <w:rFonts w:cs="Arial"/>
          <w:szCs w:val="18"/>
        </w:rPr>
        <w:t>). Finally, the CH</w:t>
      </w:r>
      <w:r w:rsidRPr="000F158B">
        <w:rPr>
          <w:rFonts w:cs="Arial"/>
          <w:szCs w:val="18"/>
          <w:vertAlign w:val="subscript"/>
        </w:rPr>
        <w:t>3</w:t>
      </w:r>
      <w:r w:rsidRPr="000F158B">
        <w:rPr>
          <w:rFonts w:cs="Arial"/>
          <w:szCs w:val="18"/>
        </w:rPr>
        <w:t xml:space="preserve">ONO </w:t>
      </w:r>
      <w:r w:rsidR="00801B1F">
        <w:rPr>
          <w:rFonts w:cs="Arial"/>
          <w:szCs w:val="18"/>
        </w:rPr>
        <w:t>was</w:t>
      </w:r>
      <w:r w:rsidR="00801B1F" w:rsidRPr="000F158B">
        <w:rPr>
          <w:rFonts w:cs="Arial"/>
          <w:szCs w:val="18"/>
        </w:rPr>
        <w:t xml:space="preserve"> </w:t>
      </w:r>
      <w:r w:rsidRPr="000F158B">
        <w:rPr>
          <w:rFonts w:cs="Arial"/>
          <w:szCs w:val="18"/>
        </w:rPr>
        <w:t>collected in a trap cooled to 196 K using a dry ice/acetone bath. Figure 1 shows the reaction setup.</w:t>
      </w:r>
    </w:p>
    <w:p w14:paraId="03B408BF" w14:textId="77777777" w:rsidR="000F158B" w:rsidRDefault="000F158B" w:rsidP="000F158B">
      <w:pPr>
        <w:rPr>
          <w:rFonts w:cs="Arial"/>
          <w:szCs w:val="18"/>
        </w:rPr>
      </w:pPr>
    </w:p>
    <w:p w14:paraId="5E8EF09C" w14:textId="77777777" w:rsidR="000F158B" w:rsidRDefault="000F158B" w:rsidP="000F158B">
      <w:pPr>
        <w:keepNext/>
        <w:jc w:val="center"/>
      </w:pPr>
      <w:r w:rsidRPr="007D3EE4">
        <w:rPr>
          <w:rFonts w:ascii="Calibri" w:hAnsi="Calibri" w:cs="Calibri"/>
          <w:noProof/>
          <w:sz w:val="24"/>
          <w:szCs w:val="24"/>
          <w:lang w:val="pl-PL" w:eastAsia="pl-PL"/>
        </w:rPr>
        <w:drawing>
          <wp:inline distT="0" distB="0" distL="0" distR="0" wp14:anchorId="22BD7F8C" wp14:editId="1766E2B7">
            <wp:extent cx="2797200" cy="1497430"/>
            <wp:effectExtent l="0" t="0" r="3175" b="7620"/>
            <wp:docPr id="324299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99688" name=""/>
                    <pic:cNvPicPr/>
                  </pic:nvPicPr>
                  <pic:blipFill>
                    <a:blip r:embed="rId10"/>
                    <a:stretch>
                      <a:fillRect/>
                    </a:stretch>
                  </pic:blipFill>
                  <pic:spPr>
                    <a:xfrm>
                      <a:off x="0" y="0"/>
                      <a:ext cx="2797200" cy="1497430"/>
                    </a:xfrm>
                    <a:prstGeom prst="rect">
                      <a:avLst/>
                    </a:prstGeom>
                  </pic:spPr>
                </pic:pic>
              </a:graphicData>
            </a:graphic>
          </wp:inline>
        </w:drawing>
      </w:r>
    </w:p>
    <w:p w14:paraId="1AF9DABD" w14:textId="728CFB1A" w:rsidR="000F158B" w:rsidRPr="000F158B" w:rsidRDefault="000F158B" w:rsidP="00F445E1">
      <w:pPr>
        <w:pStyle w:val="Caption"/>
        <w:rPr>
          <w:rFonts w:cs="Arial"/>
          <w:b w:val="0"/>
          <w:bCs w:val="0"/>
          <w:color w:val="000000" w:themeColor="text1"/>
          <w:sz w:val="24"/>
          <w:szCs w:val="24"/>
        </w:rPr>
      </w:pPr>
      <w:r w:rsidRPr="00431200">
        <w:rPr>
          <w:rFonts w:cs="Arial"/>
          <w:b w:val="0"/>
          <w:bCs w:val="0"/>
          <w:i/>
          <w:iCs/>
          <w:color w:val="000000" w:themeColor="text1"/>
        </w:rPr>
        <w:t>Figure</w:t>
      </w:r>
      <w:r w:rsidR="00431200" w:rsidRPr="00431200">
        <w:rPr>
          <w:rFonts w:cs="Arial"/>
          <w:b w:val="0"/>
          <w:bCs w:val="0"/>
          <w:i/>
          <w:iCs/>
          <w:color w:val="000000" w:themeColor="text1"/>
        </w:rPr>
        <w:t xml:space="preserve"> 1</w:t>
      </w:r>
      <w:r w:rsidR="00431200">
        <w:rPr>
          <w:rFonts w:cs="Arial"/>
          <w:b w:val="0"/>
          <w:bCs w:val="0"/>
          <w:color w:val="000000" w:themeColor="text1"/>
        </w:rPr>
        <w:t>:</w:t>
      </w:r>
      <w:r w:rsidRPr="000F158B">
        <w:rPr>
          <w:rFonts w:cs="Arial"/>
          <w:b w:val="0"/>
          <w:bCs w:val="0"/>
          <w:color w:val="000000" w:themeColor="text1"/>
        </w:rPr>
        <w:t xml:space="preserve"> Methyl Nitrite Synthesis setup: (A) Pure nitrogen cylinder, (B) Ice bath, (C) dropping funnel, (D) Trap 1 (containing</w:t>
      </w:r>
      <w:r w:rsidRPr="000F158B">
        <w:rPr>
          <w:rFonts w:cs="Arial"/>
          <w:color w:val="000000" w:themeColor="text1"/>
        </w:rPr>
        <w:t xml:space="preserve"> </w:t>
      </w:r>
      <w:r w:rsidRPr="000F158B">
        <w:rPr>
          <w:rFonts w:cs="Arial"/>
          <w:b w:val="0"/>
          <w:bCs w:val="0"/>
          <w:color w:val="000000" w:themeColor="text1"/>
        </w:rPr>
        <w:t>saturated NaOH), (E) trap 2 (containing</w:t>
      </w:r>
      <w:r w:rsidRPr="000F158B">
        <w:rPr>
          <w:rFonts w:cs="Arial"/>
          <w:color w:val="000000" w:themeColor="text1"/>
        </w:rPr>
        <w:t xml:space="preserve"> </w:t>
      </w:r>
      <w:r w:rsidRPr="000F158B">
        <w:rPr>
          <w:rFonts w:cs="Arial"/>
          <w:b w:val="0"/>
          <w:bCs w:val="0"/>
          <w:color w:val="000000" w:themeColor="text1"/>
        </w:rPr>
        <w:t>anhydrous CaCl2), (F) collecting trap, (G) Nitrogen</w:t>
      </w:r>
      <w:r>
        <w:rPr>
          <w:rFonts w:cs="Arial"/>
          <w:b w:val="0"/>
          <w:bCs w:val="0"/>
          <w:color w:val="000000" w:themeColor="text1"/>
        </w:rPr>
        <w:t xml:space="preserve"> gas out.</w:t>
      </w:r>
    </w:p>
    <w:p w14:paraId="60908888" w14:textId="77777777" w:rsidR="00BB56D6" w:rsidRPr="00E33F8E" w:rsidRDefault="00BB56D6" w:rsidP="00BB56D6">
      <w:pPr>
        <w:pStyle w:val="CETBodytext"/>
        <w:rPr>
          <w:rFonts w:cs="Arial"/>
        </w:rPr>
      </w:pPr>
    </w:p>
    <w:p w14:paraId="657D3F13" w14:textId="77777777" w:rsidR="00B90593" w:rsidRPr="00F445E1" w:rsidRDefault="00A21864" w:rsidP="00B90593">
      <w:pPr>
        <w:pStyle w:val="CETheadingx"/>
        <w:rPr>
          <w:sz w:val="20"/>
          <w:szCs w:val="20"/>
        </w:rPr>
      </w:pPr>
      <w:r w:rsidRPr="00F445E1">
        <w:rPr>
          <w:b/>
          <w:bCs w:val="0"/>
          <w:sz w:val="20"/>
          <w:szCs w:val="20"/>
        </w:rPr>
        <w:t>2.3</w:t>
      </w:r>
      <w:r w:rsidRPr="00F445E1">
        <w:rPr>
          <w:sz w:val="20"/>
          <w:szCs w:val="20"/>
        </w:rPr>
        <w:t xml:space="preserve"> </w:t>
      </w:r>
      <w:r w:rsidR="00E66368" w:rsidRPr="00F445E1">
        <w:rPr>
          <w:b/>
          <w:bCs w:val="0"/>
          <w:sz w:val="20"/>
          <w:szCs w:val="20"/>
        </w:rPr>
        <w:t>Experimental Setup and Mechanism of •OH Generation</w:t>
      </w:r>
      <w:r w:rsidR="00B90593" w:rsidRPr="00F445E1">
        <w:rPr>
          <w:sz w:val="20"/>
          <w:szCs w:val="20"/>
        </w:rPr>
        <w:t xml:space="preserve"> </w:t>
      </w:r>
    </w:p>
    <w:p w14:paraId="117B6F6F" w14:textId="380651CF" w:rsidR="00C636E3" w:rsidRPr="00B90593" w:rsidRDefault="009C10B3" w:rsidP="00B90593">
      <w:pPr>
        <w:pStyle w:val="CETheadingx"/>
      </w:pPr>
      <w:r w:rsidRPr="00B90593">
        <w:t xml:space="preserve">The experiments </w:t>
      </w:r>
      <w:proofErr w:type="gramStart"/>
      <w:r w:rsidRPr="00B90593">
        <w:t>were performed</w:t>
      </w:r>
      <w:proofErr w:type="gramEnd"/>
      <w:r w:rsidRPr="00B90593">
        <w:t xml:space="preserve"> in a controlled </w:t>
      </w:r>
      <w:r w:rsidR="00902ACC" w:rsidRPr="00B90593">
        <w:t>laboratory-scale</w:t>
      </w:r>
      <w:r w:rsidRPr="00B90593">
        <w:t xml:space="preserve"> photochemical reactor. The temperature </w:t>
      </w:r>
      <w:proofErr w:type="gramStart"/>
      <w:r w:rsidRPr="00B90593">
        <w:t>was maintained</w:t>
      </w:r>
      <w:proofErr w:type="gramEnd"/>
      <w:r w:rsidRPr="00B90593">
        <w:t xml:space="preserve"> constant at 298 K using a water bath circulation system</w:t>
      </w:r>
      <w:r w:rsidR="00452326" w:rsidRPr="00B90593">
        <w:t xml:space="preserve"> (</w:t>
      </w:r>
      <w:proofErr w:type="spellStart"/>
      <w:r w:rsidR="00452326" w:rsidRPr="00B90593">
        <w:t>Thermo</w:t>
      </w:r>
      <w:proofErr w:type="spellEnd"/>
      <w:r w:rsidR="00452326" w:rsidRPr="00B90593">
        <w:t xml:space="preserve"> Scientific SC100</w:t>
      </w:r>
      <w:r w:rsidR="00452326" w:rsidRPr="00B90593">
        <w:noBreakHyphen/>
        <w:t>25A)</w:t>
      </w:r>
      <w:r w:rsidRPr="00B90593">
        <w:t xml:space="preserve">. •OH, </w:t>
      </w:r>
      <w:proofErr w:type="gramStart"/>
      <w:r w:rsidRPr="00B90593">
        <w:t>were produced</w:t>
      </w:r>
      <w:proofErr w:type="gramEnd"/>
      <w:r w:rsidRPr="00B90593">
        <w:t xml:space="preserve"> in situ through the photolysis of previously synthesized CH</w:t>
      </w:r>
      <w:r w:rsidRPr="00B90593">
        <w:rPr>
          <w:vertAlign w:val="subscript"/>
        </w:rPr>
        <w:t>3</w:t>
      </w:r>
      <w:r w:rsidRPr="00B90593">
        <w:t xml:space="preserve">ONO. The process </w:t>
      </w:r>
      <w:proofErr w:type="gramStart"/>
      <w:r w:rsidRPr="00B90593">
        <w:t>was initiated</w:t>
      </w:r>
      <w:proofErr w:type="gramEnd"/>
      <w:r w:rsidRPr="00B90593">
        <w:t xml:space="preserve"> under UV irradiation at λ &gt; 355 nm using a short-arc lamp (Osram XBO 150W/1) equipped with a dichroic bandpass filter (Knight Optical, 50 × 50 mm, transmission range 305-396 nm) to control and monitor the UV irradiation wavelength</w:t>
      </w:r>
      <w:r w:rsidR="004F4BAB" w:rsidRPr="00B90593">
        <w:t xml:space="preserve">. Before each experiment, the photolysis reactor was carefully prepared to ensure a clean and stable internal environment. The reactor </w:t>
      </w:r>
      <w:proofErr w:type="gramStart"/>
      <w:r w:rsidR="004F4BAB" w:rsidRPr="00B90593">
        <w:t>was first filled</w:t>
      </w:r>
      <w:proofErr w:type="gramEnd"/>
      <w:r w:rsidR="004F4BAB" w:rsidRPr="00B90593">
        <w:t xml:space="preserve"> with pure air and evacuated three times to remove any remaining impurities. During this step, the temperature </w:t>
      </w:r>
      <w:proofErr w:type="gramStart"/>
      <w:r w:rsidR="004F4BAB" w:rsidRPr="00B90593">
        <w:t>was kept</w:t>
      </w:r>
      <w:proofErr w:type="gramEnd"/>
      <w:r w:rsidR="004F4BAB" w:rsidRPr="00B90593">
        <w:t xml:space="preserve"> constant at 298 K using a circulating water </w:t>
      </w:r>
      <w:r w:rsidR="004F4BAB" w:rsidRPr="00B90593">
        <w:lastRenderedPageBreak/>
        <w:t xml:space="preserve">bath. After cleaning, the tightness of the </w:t>
      </w:r>
      <w:r w:rsidR="00EE52CC" w:rsidRPr="00B90593">
        <w:t xml:space="preserve">reactor </w:t>
      </w:r>
      <w:proofErr w:type="gramStart"/>
      <w:r w:rsidR="004F4BAB" w:rsidRPr="00B90593">
        <w:t>was checked</w:t>
      </w:r>
      <w:proofErr w:type="gramEnd"/>
      <w:r w:rsidR="004F4BAB" w:rsidRPr="00B90593">
        <w:t xml:space="preserve"> by confirming that a pressure of 50 Torr could </w:t>
      </w:r>
      <w:proofErr w:type="gramStart"/>
      <w:r w:rsidR="004F4BAB" w:rsidRPr="00B90593">
        <w:t>be reached</w:t>
      </w:r>
      <w:proofErr w:type="gramEnd"/>
      <w:r w:rsidR="004F4BAB" w:rsidRPr="00B90593">
        <w:t xml:space="preserve">. The reactor </w:t>
      </w:r>
      <w:proofErr w:type="gramStart"/>
      <w:r w:rsidR="004F4BAB" w:rsidRPr="00B90593">
        <w:t>was then filled</w:t>
      </w:r>
      <w:proofErr w:type="gramEnd"/>
      <w:r w:rsidR="004F4BAB" w:rsidRPr="00B90593">
        <w:t xml:space="preserve"> with pure air up to 760 Torr (1 atm) before introducing any reactants. </w:t>
      </w:r>
      <w:r w:rsidR="003D372D" w:rsidRPr="00B90593">
        <w:t xml:space="preserve">Next, </w:t>
      </w:r>
      <w:r w:rsidR="00C10286" w:rsidRPr="00B90593">
        <w:t>to suppress O</w:t>
      </w:r>
      <w:r w:rsidR="00C10286" w:rsidRPr="00B90593">
        <w:rPr>
          <w:rFonts w:ascii="Cambria Math" w:hAnsi="Cambria Math" w:cs="Cambria Math"/>
        </w:rPr>
        <w:t>₃</w:t>
      </w:r>
      <w:r w:rsidR="00C10286" w:rsidRPr="00B90593">
        <w:t xml:space="preserve"> formation, NO </w:t>
      </w:r>
      <w:proofErr w:type="gramStart"/>
      <w:r w:rsidR="00C10286" w:rsidRPr="00B90593">
        <w:t>is added</w:t>
      </w:r>
      <w:proofErr w:type="gramEnd"/>
      <w:r w:rsidR="00C10286" w:rsidRPr="00B90593">
        <w:t xml:space="preserve"> to the reaction mixture, which typically consists of approximately 10 ppm of CH</w:t>
      </w:r>
      <w:r w:rsidR="00C10286" w:rsidRPr="00B90593">
        <w:rPr>
          <w:rFonts w:ascii="Cambria Math" w:hAnsi="Cambria Math" w:cs="Cambria Math"/>
        </w:rPr>
        <w:t>₃</w:t>
      </w:r>
      <w:r w:rsidR="00C10286" w:rsidRPr="00B90593">
        <w:t>ONO, 5 ppm of NO, and about 1 ppm each of the target odorant and the reference organic compound</w:t>
      </w:r>
      <w:r w:rsidR="004F4BAB" w:rsidRPr="00B90593">
        <w:t xml:space="preserve">. The circulation pump </w:t>
      </w:r>
      <w:proofErr w:type="gramStart"/>
      <w:r w:rsidR="004F4BAB" w:rsidRPr="00B90593">
        <w:t>was switched</w:t>
      </w:r>
      <w:proofErr w:type="gramEnd"/>
      <w:r w:rsidR="004F4BAB" w:rsidRPr="00B90593">
        <w:t xml:space="preserve"> on, and the mixture </w:t>
      </w:r>
      <w:proofErr w:type="gramStart"/>
      <w:r w:rsidR="004F4BAB" w:rsidRPr="00B90593">
        <w:t>was left</w:t>
      </w:r>
      <w:proofErr w:type="gramEnd"/>
      <w:r w:rsidR="004F4BAB" w:rsidRPr="00B90593">
        <w:t xml:space="preserve"> to homogenize for 10 minutes to ensure uniform distribution of all compounds</w:t>
      </w:r>
      <w:r w:rsidR="00C10286" w:rsidRPr="00B90593">
        <w:t xml:space="preserve">. </w:t>
      </w:r>
      <w:r w:rsidR="00C636E3" w:rsidRPr="00B90593">
        <w:t xml:space="preserve">Finally, the UV lamp </w:t>
      </w:r>
      <w:proofErr w:type="gramStart"/>
      <w:r w:rsidR="00C636E3" w:rsidRPr="00B90593">
        <w:t>was turned</w:t>
      </w:r>
      <w:proofErr w:type="gramEnd"/>
      <w:r w:rsidR="00C636E3" w:rsidRPr="00B90593">
        <w:t xml:space="preserve"> on, and the measurements started immediately. The reaction mixture </w:t>
      </w:r>
      <w:proofErr w:type="gramStart"/>
      <w:r w:rsidR="00C636E3" w:rsidRPr="00B90593">
        <w:t>was sampled</w:t>
      </w:r>
      <w:proofErr w:type="gramEnd"/>
      <w:r w:rsidR="00C636E3" w:rsidRPr="00B90593">
        <w:t xml:space="preserve"> and injected into </w:t>
      </w:r>
      <w:r w:rsidR="00C10286" w:rsidRPr="00B90593">
        <w:t>the gas chromatography</w:t>
      </w:r>
      <w:r w:rsidR="00B0709C" w:rsidRPr="00B90593">
        <w:t xml:space="preserve"> (GC)</w:t>
      </w:r>
      <w:r w:rsidR="00C10286" w:rsidRPr="00B90593">
        <w:t xml:space="preserve"> combined with flame ionization </w:t>
      </w:r>
      <w:r w:rsidR="00902ACC" w:rsidRPr="00B90593">
        <w:t xml:space="preserve">detection </w:t>
      </w:r>
      <w:r w:rsidR="00C10286" w:rsidRPr="00B90593">
        <w:t xml:space="preserve">(FID) </w:t>
      </w:r>
      <w:r w:rsidR="00C636E3" w:rsidRPr="00B90593">
        <w:t>every 10 minutes for a total duration of one hour to monitor the odorant degradation rate under continuous generation of •OH.</w:t>
      </w:r>
      <w:r w:rsidR="00EE52CC" w:rsidRPr="00B90593">
        <w:rPr>
          <w:rFonts w:ascii="Georgia" w:hAnsi="Georgia"/>
          <w:color w:val="27251E"/>
        </w:rPr>
        <w:t xml:space="preserve"> </w:t>
      </w:r>
      <w:r w:rsidR="00EE52CC" w:rsidRPr="00B90593">
        <w:t xml:space="preserve">A total of five replicates </w:t>
      </w:r>
      <w:proofErr w:type="gramStart"/>
      <w:r w:rsidR="00EE52CC" w:rsidRPr="00B90593">
        <w:t>were performed</w:t>
      </w:r>
      <w:proofErr w:type="gramEnd"/>
      <w:r w:rsidR="00EE52CC" w:rsidRPr="00B90593">
        <w:t>.</w:t>
      </w:r>
      <w:r w:rsidR="00C636E3" w:rsidRPr="00B90593">
        <w:t xml:space="preserve"> </w:t>
      </w:r>
    </w:p>
    <w:p w14:paraId="2F89F80B" w14:textId="3DDCC9C3" w:rsidR="009C10B3" w:rsidRPr="00C636E3" w:rsidRDefault="009C10B3" w:rsidP="00C636E3">
      <w:pPr>
        <w:tabs>
          <w:tab w:val="clear" w:pos="7100"/>
        </w:tabs>
        <w:spacing w:before="100" w:beforeAutospacing="1" w:after="100" w:afterAutospacing="1" w:line="240" w:lineRule="auto"/>
        <w:rPr>
          <w:rFonts w:cs="Arial"/>
          <w:szCs w:val="18"/>
          <w:lang w:eastAsia="en-CA"/>
        </w:rPr>
      </w:pPr>
      <w:r w:rsidRPr="009C10B3">
        <w:rPr>
          <w:rFonts w:cs="Arial"/>
          <w:szCs w:val="18"/>
          <w:lang w:val="en-CA" w:eastAsia="en-CA"/>
        </w:rPr>
        <w:t>Upon photolysis of CH</w:t>
      </w:r>
      <w:r w:rsidRPr="009C10B3">
        <w:rPr>
          <w:rFonts w:ascii="Cambria Math" w:hAnsi="Cambria Math" w:cs="Cambria Math"/>
          <w:szCs w:val="18"/>
          <w:lang w:val="en-CA" w:eastAsia="en-CA"/>
        </w:rPr>
        <w:t>₃</w:t>
      </w:r>
      <w:r w:rsidRPr="009C10B3">
        <w:rPr>
          <w:rFonts w:cs="Arial"/>
          <w:szCs w:val="18"/>
          <w:lang w:val="en-CA" w:eastAsia="en-CA"/>
        </w:rPr>
        <w:t xml:space="preserve">ONO at known concentrations in </w:t>
      </w:r>
      <w:r w:rsidR="004F4BAB">
        <w:rPr>
          <w:rFonts w:cs="Arial"/>
          <w:szCs w:val="18"/>
          <w:lang w:val="en-CA" w:eastAsia="en-CA"/>
        </w:rPr>
        <w:t xml:space="preserve">pure </w:t>
      </w:r>
      <w:r w:rsidRPr="009C10B3">
        <w:rPr>
          <w:rFonts w:cs="Arial"/>
          <w:szCs w:val="18"/>
          <w:lang w:val="en-CA" w:eastAsia="en-CA"/>
        </w:rPr>
        <w:t>air, the following reaction sequence occurs (R1</w:t>
      </w:r>
      <w:r w:rsidR="00ED75A6">
        <w:rPr>
          <w:rFonts w:cs="Arial"/>
          <w:szCs w:val="18"/>
          <w:lang w:val="en-CA" w:eastAsia="en-CA"/>
        </w:rPr>
        <w:t>-</w:t>
      </w:r>
      <w:r w:rsidRPr="009C10B3">
        <w:rPr>
          <w:rFonts w:cs="Arial"/>
          <w:szCs w:val="18"/>
          <w:lang w:val="en-CA" w:eastAsia="en-CA"/>
        </w:rPr>
        <w:t xml:space="preserve">R3). In the presence of added odorants, the generated </w:t>
      </w:r>
      <w:r w:rsidR="00FC51BF" w:rsidRPr="00B11C77">
        <w:rPr>
          <w:rFonts w:cs="Arial"/>
          <w:lang w:val="en-CA"/>
        </w:rPr>
        <w:t>•</w:t>
      </w:r>
      <w:r w:rsidRPr="009C10B3">
        <w:rPr>
          <w:rFonts w:cs="Arial"/>
          <w:szCs w:val="18"/>
          <w:lang w:val="en-CA" w:eastAsia="en-CA"/>
        </w:rPr>
        <w:t xml:space="preserve">OH subsequently </w:t>
      </w:r>
      <w:r w:rsidR="00902ACC">
        <w:rPr>
          <w:rFonts w:cs="Arial"/>
          <w:szCs w:val="18"/>
          <w:lang w:val="en-CA" w:eastAsia="en-CA"/>
        </w:rPr>
        <w:t>reacts</w:t>
      </w:r>
      <w:r w:rsidR="00902ACC" w:rsidRPr="009C10B3">
        <w:rPr>
          <w:rFonts w:cs="Arial"/>
          <w:szCs w:val="18"/>
          <w:lang w:val="en-CA" w:eastAsia="en-CA"/>
        </w:rPr>
        <w:t xml:space="preserve"> </w:t>
      </w:r>
      <w:r w:rsidRPr="009C10B3">
        <w:rPr>
          <w:rFonts w:cs="Arial"/>
          <w:szCs w:val="18"/>
          <w:lang w:val="en-CA" w:eastAsia="en-CA"/>
        </w:rPr>
        <w:t>with these organic compounds (R4).</w:t>
      </w:r>
      <w:r w:rsidR="004F4BAB">
        <w:rPr>
          <w:rFonts w:cs="Arial"/>
          <w:szCs w:val="18"/>
          <w:lang w:val="en-CA" w:eastAsia="en-CA"/>
        </w:rPr>
        <w:t xml:space="preserve"> </w:t>
      </w:r>
      <w:r w:rsidR="00C636E3" w:rsidRPr="004F4BAB">
        <w:rPr>
          <w:rFonts w:cs="Arial"/>
          <w:szCs w:val="18"/>
          <w:lang w:val="en-CA" w:eastAsia="en-CA"/>
        </w:rPr>
        <w:t xml:space="preserve">Figure 2 shows the </w:t>
      </w:r>
      <w:r w:rsidR="00902ACC">
        <w:rPr>
          <w:rFonts w:cs="Arial"/>
          <w:szCs w:val="18"/>
          <w:lang w:val="en-CA" w:eastAsia="en-CA"/>
        </w:rPr>
        <w:t>laboratory-scale</w:t>
      </w:r>
      <w:r w:rsidR="00C636E3" w:rsidRPr="004F4BAB">
        <w:rPr>
          <w:rFonts w:cs="Arial"/>
          <w:szCs w:val="18"/>
          <w:lang w:val="en-CA" w:eastAsia="en-CA"/>
        </w:rPr>
        <w:t xml:space="preserve"> photochemical reactor</w:t>
      </w:r>
      <w:r w:rsidR="00C636E3">
        <w:rPr>
          <w:rFonts w:cs="Arial"/>
          <w:szCs w:val="18"/>
          <w:lang w:val="en-CA" w:eastAsia="en-CA"/>
        </w:rPr>
        <w:t>.</w:t>
      </w:r>
    </w:p>
    <w:tbl>
      <w:tblPr>
        <w:tblW w:w="4835" w:type="pct"/>
        <w:jc w:val="center"/>
        <w:tblLook w:val="04A0" w:firstRow="1" w:lastRow="0" w:firstColumn="1" w:lastColumn="0" w:noHBand="0" w:noVBand="1"/>
      </w:tblPr>
      <w:tblGrid>
        <w:gridCol w:w="7666"/>
        <w:gridCol w:w="831"/>
      </w:tblGrid>
      <w:tr w:rsidR="004F4BAB" w:rsidRPr="008852E4" w14:paraId="519C1BDB" w14:textId="77777777" w:rsidTr="00C636E3">
        <w:trPr>
          <w:trHeight w:val="455"/>
          <w:jc w:val="center"/>
        </w:trPr>
        <w:tc>
          <w:tcPr>
            <w:tcW w:w="7666" w:type="dxa"/>
            <w:vAlign w:val="center"/>
          </w:tcPr>
          <w:p w14:paraId="04BBDB78" w14:textId="77777777" w:rsidR="004F4BAB" w:rsidRPr="004F4BAB" w:rsidRDefault="004F4BAB">
            <w:pPr>
              <w:spacing w:line="240" w:lineRule="auto"/>
              <w:ind w:firstLine="720"/>
              <w:jc w:val="center"/>
              <w:textAlignment w:val="baseline"/>
              <w:rPr>
                <w:rFonts w:cs="Arial"/>
                <w:color w:val="000000"/>
                <w:szCs w:val="18"/>
                <w:lang w:eastAsia="en-GB"/>
              </w:rPr>
            </w:pPr>
            <w:r w:rsidRPr="004F4BAB">
              <w:rPr>
                <w:rFonts w:cs="Arial"/>
                <w:color w:val="000000"/>
                <w:szCs w:val="18"/>
                <w:lang w:eastAsia="en-GB"/>
              </w:rPr>
              <w:t>CH</w:t>
            </w:r>
            <w:r w:rsidRPr="004F4BAB">
              <w:rPr>
                <w:rFonts w:cs="Arial"/>
                <w:color w:val="000000"/>
                <w:szCs w:val="18"/>
                <w:vertAlign w:val="subscript"/>
                <w:lang w:eastAsia="en-GB"/>
              </w:rPr>
              <w:t>3</w:t>
            </w:r>
            <w:r w:rsidRPr="004F4BAB">
              <w:rPr>
                <w:rFonts w:cs="Arial"/>
                <w:color w:val="000000"/>
                <w:szCs w:val="18"/>
                <w:lang w:eastAsia="en-GB"/>
              </w:rPr>
              <w:t xml:space="preserve">ONO + </w:t>
            </w:r>
            <w:r w:rsidRPr="004F4BAB">
              <w:rPr>
                <w:rFonts w:cs="Arial"/>
                <w:i/>
                <w:iCs/>
                <w:color w:val="000000"/>
                <w:szCs w:val="18"/>
                <w:lang w:eastAsia="en-GB"/>
              </w:rPr>
              <w:t>hv</w:t>
            </w:r>
            <w:r w:rsidRPr="004F4BAB">
              <w:rPr>
                <w:rFonts w:cs="Arial"/>
                <w:color w:val="000000"/>
                <w:szCs w:val="18"/>
                <w:lang w:eastAsia="en-GB"/>
              </w:rPr>
              <w:t xml:space="preserve"> </w:t>
            </w:r>
            <w:r w:rsidRPr="004F4BAB">
              <w:rPr>
                <w:rFonts w:cs="Arial"/>
                <w:szCs w:val="18"/>
              </w:rPr>
              <w:t>→</w:t>
            </w:r>
            <w:r w:rsidRPr="004F4BAB">
              <w:rPr>
                <w:rFonts w:cs="Arial"/>
                <w:color w:val="000000"/>
                <w:szCs w:val="18"/>
                <w:lang w:eastAsia="en-GB"/>
              </w:rPr>
              <w:t xml:space="preserve"> CH</w:t>
            </w:r>
            <w:r w:rsidRPr="004F4BAB">
              <w:rPr>
                <w:rFonts w:cs="Arial"/>
                <w:color w:val="000000"/>
                <w:szCs w:val="18"/>
                <w:vertAlign w:val="subscript"/>
                <w:lang w:eastAsia="en-GB"/>
              </w:rPr>
              <w:t>3</w:t>
            </w:r>
            <w:r w:rsidRPr="004F4BAB">
              <w:rPr>
                <w:rFonts w:cs="Arial"/>
                <w:color w:val="000000"/>
                <w:szCs w:val="18"/>
                <w:lang w:eastAsia="en-GB"/>
              </w:rPr>
              <w:t>O</w:t>
            </w:r>
            <w:r w:rsidRPr="004F4BAB">
              <w:rPr>
                <w:rFonts w:cs="Arial"/>
                <w:szCs w:val="18"/>
              </w:rPr>
              <w:t>•</w:t>
            </w:r>
            <w:r w:rsidRPr="004F4BAB">
              <w:rPr>
                <w:rFonts w:cs="Arial"/>
                <w:color w:val="000000"/>
                <w:szCs w:val="18"/>
                <w:lang w:eastAsia="en-GB"/>
              </w:rPr>
              <w:t xml:space="preserve"> + NO</w:t>
            </w:r>
          </w:p>
        </w:tc>
        <w:tc>
          <w:tcPr>
            <w:tcW w:w="831" w:type="dxa"/>
            <w:vAlign w:val="center"/>
          </w:tcPr>
          <w:p w14:paraId="35DF4663" w14:textId="77777777" w:rsidR="004F4BAB" w:rsidRPr="004F4BAB" w:rsidRDefault="004F4BAB">
            <w:pPr>
              <w:pStyle w:val="CETEquation"/>
              <w:jc w:val="center"/>
              <w:rPr>
                <w:rFonts w:cs="Arial"/>
                <w:szCs w:val="18"/>
                <w:highlight w:val="yellow"/>
              </w:rPr>
            </w:pPr>
            <w:r w:rsidRPr="004F4BAB">
              <w:rPr>
                <w:rFonts w:cs="Arial"/>
                <w:szCs w:val="18"/>
              </w:rPr>
              <w:t>(R1)</w:t>
            </w:r>
          </w:p>
        </w:tc>
      </w:tr>
      <w:tr w:rsidR="004F4BAB" w:rsidRPr="008852E4" w14:paraId="488C9B6D" w14:textId="77777777" w:rsidTr="00C636E3">
        <w:trPr>
          <w:trHeight w:val="455"/>
          <w:jc w:val="center"/>
        </w:trPr>
        <w:tc>
          <w:tcPr>
            <w:tcW w:w="7666" w:type="dxa"/>
            <w:vAlign w:val="center"/>
          </w:tcPr>
          <w:p w14:paraId="6CE57CDE" w14:textId="77777777" w:rsidR="004F4BAB" w:rsidRPr="004F4BAB" w:rsidRDefault="004F4BAB">
            <w:pPr>
              <w:spacing w:line="240" w:lineRule="auto"/>
              <w:ind w:firstLine="720"/>
              <w:jc w:val="center"/>
              <w:textAlignment w:val="baseline"/>
              <w:rPr>
                <w:rFonts w:cs="Arial"/>
                <w:color w:val="000000"/>
                <w:szCs w:val="18"/>
                <w:lang w:eastAsia="en-GB"/>
              </w:rPr>
            </w:pPr>
            <w:r w:rsidRPr="004F4BAB">
              <w:rPr>
                <w:rFonts w:cs="Arial"/>
                <w:color w:val="000000"/>
                <w:szCs w:val="18"/>
                <w:lang w:eastAsia="en-GB"/>
              </w:rPr>
              <w:t>CH</w:t>
            </w:r>
            <w:r w:rsidRPr="004F4BAB">
              <w:rPr>
                <w:rFonts w:cs="Arial"/>
                <w:color w:val="000000"/>
                <w:szCs w:val="18"/>
                <w:vertAlign w:val="subscript"/>
                <w:lang w:eastAsia="en-GB"/>
              </w:rPr>
              <w:t>3</w:t>
            </w:r>
            <w:r w:rsidRPr="004F4BAB">
              <w:rPr>
                <w:rFonts w:cs="Arial"/>
                <w:color w:val="000000"/>
                <w:szCs w:val="18"/>
                <w:lang w:eastAsia="en-GB"/>
              </w:rPr>
              <w:t xml:space="preserve">O + </w:t>
            </w:r>
            <w:r w:rsidRPr="004F4BAB">
              <w:rPr>
                <w:rFonts w:cs="Arial"/>
                <w:i/>
                <w:iCs/>
                <w:color w:val="000000"/>
                <w:szCs w:val="18"/>
                <w:lang w:eastAsia="en-GB"/>
              </w:rPr>
              <w:t>O</w:t>
            </w:r>
            <w:r w:rsidRPr="004F4BAB">
              <w:rPr>
                <w:rFonts w:cs="Arial"/>
                <w:i/>
                <w:iCs/>
                <w:color w:val="000000"/>
                <w:szCs w:val="18"/>
                <w:vertAlign w:val="subscript"/>
                <w:lang w:eastAsia="en-GB"/>
              </w:rPr>
              <w:t>2</w:t>
            </w:r>
            <w:r w:rsidRPr="004F4BAB">
              <w:rPr>
                <w:rFonts w:cs="Arial"/>
                <w:i/>
                <w:iCs/>
                <w:color w:val="000000"/>
                <w:szCs w:val="18"/>
                <w:lang w:eastAsia="en-GB"/>
              </w:rPr>
              <w:t xml:space="preserve"> </w:t>
            </w:r>
            <w:r w:rsidRPr="004F4BAB">
              <w:rPr>
                <w:rFonts w:cs="Arial"/>
                <w:szCs w:val="18"/>
              </w:rPr>
              <w:t>→</w:t>
            </w:r>
            <w:r w:rsidRPr="004F4BAB">
              <w:rPr>
                <w:rFonts w:cs="Arial"/>
                <w:color w:val="000000"/>
                <w:szCs w:val="18"/>
                <w:lang w:eastAsia="en-GB"/>
              </w:rPr>
              <w:t xml:space="preserve"> HCHO + HO</w:t>
            </w:r>
            <w:r w:rsidRPr="004F4BAB">
              <w:rPr>
                <w:rFonts w:cs="Arial"/>
                <w:color w:val="000000"/>
                <w:szCs w:val="18"/>
                <w:vertAlign w:val="subscript"/>
                <w:lang w:eastAsia="en-GB"/>
              </w:rPr>
              <w:t>2</w:t>
            </w:r>
            <w:r w:rsidRPr="004F4BAB">
              <w:rPr>
                <w:rFonts w:cs="Arial"/>
                <w:szCs w:val="18"/>
              </w:rPr>
              <w:t>•</w:t>
            </w:r>
          </w:p>
        </w:tc>
        <w:tc>
          <w:tcPr>
            <w:tcW w:w="831" w:type="dxa"/>
            <w:vAlign w:val="center"/>
          </w:tcPr>
          <w:p w14:paraId="3AF44876" w14:textId="77777777" w:rsidR="004F4BAB" w:rsidRPr="004F4BAB" w:rsidRDefault="004F4BAB">
            <w:pPr>
              <w:pStyle w:val="CETEquation"/>
              <w:jc w:val="center"/>
              <w:rPr>
                <w:rFonts w:cs="Arial"/>
                <w:szCs w:val="18"/>
              </w:rPr>
            </w:pPr>
            <w:r w:rsidRPr="004F4BAB">
              <w:rPr>
                <w:rFonts w:cs="Arial"/>
                <w:szCs w:val="18"/>
              </w:rPr>
              <w:t>(R2)</w:t>
            </w:r>
          </w:p>
        </w:tc>
      </w:tr>
      <w:tr w:rsidR="004F4BAB" w:rsidRPr="008852E4" w14:paraId="23801D8D" w14:textId="77777777" w:rsidTr="00C636E3">
        <w:trPr>
          <w:trHeight w:val="455"/>
          <w:jc w:val="center"/>
        </w:trPr>
        <w:tc>
          <w:tcPr>
            <w:tcW w:w="7666" w:type="dxa"/>
            <w:vAlign w:val="center"/>
          </w:tcPr>
          <w:p w14:paraId="55338627" w14:textId="77777777" w:rsidR="004F4BAB" w:rsidRPr="004F4BAB" w:rsidRDefault="004F4BAB">
            <w:pPr>
              <w:spacing w:line="240" w:lineRule="auto"/>
              <w:ind w:firstLine="720"/>
              <w:jc w:val="center"/>
              <w:textAlignment w:val="baseline"/>
              <w:rPr>
                <w:rFonts w:cs="Arial"/>
                <w:color w:val="000000"/>
                <w:szCs w:val="18"/>
                <w:lang w:eastAsia="en-GB"/>
              </w:rPr>
            </w:pPr>
            <w:r w:rsidRPr="004F4BAB">
              <w:rPr>
                <w:rFonts w:cs="Arial"/>
                <w:color w:val="000000"/>
                <w:szCs w:val="18"/>
                <w:lang w:eastAsia="en-GB"/>
              </w:rPr>
              <w:t>HO</w:t>
            </w:r>
            <w:r w:rsidRPr="004F4BAB">
              <w:rPr>
                <w:rFonts w:cs="Arial"/>
                <w:color w:val="000000"/>
                <w:szCs w:val="18"/>
                <w:vertAlign w:val="subscript"/>
                <w:lang w:eastAsia="en-GB"/>
              </w:rPr>
              <w:t>2</w:t>
            </w:r>
            <w:r w:rsidRPr="004F4BAB">
              <w:rPr>
                <w:rFonts w:cs="Arial"/>
                <w:color w:val="000000"/>
                <w:szCs w:val="18"/>
                <w:lang w:eastAsia="en-GB"/>
              </w:rPr>
              <w:t xml:space="preserve"> + NO</w:t>
            </w:r>
            <w:r w:rsidRPr="004F4BAB">
              <w:rPr>
                <w:rFonts w:cs="Arial"/>
                <w:i/>
                <w:iCs/>
                <w:color w:val="000000"/>
                <w:szCs w:val="18"/>
                <w:lang w:eastAsia="en-GB"/>
              </w:rPr>
              <w:t xml:space="preserve"> </w:t>
            </w:r>
            <w:r w:rsidRPr="004F4BAB">
              <w:rPr>
                <w:rFonts w:cs="Arial"/>
                <w:szCs w:val="18"/>
              </w:rPr>
              <w:t>→</w:t>
            </w:r>
            <w:r w:rsidRPr="004F4BAB">
              <w:rPr>
                <w:rFonts w:cs="Arial"/>
                <w:color w:val="000000"/>
                <w:szCs w:val="18"/>
                <w:lang w:eastAsia="en-GB"/>
              </w:rPr>
              <w:t xml:space="preserve"> </w:t>
            </w:r>
            <w:r w:rsidRPr="004F4BAB">
              <w:rPr>
                <w:rFonts w:cs="Arial"/>
                <w:szCs w:val="18"/>
              </w:rPr>
              <w:t>•</w:t>
            </w:r>
            <w:r w:rsidRPr="004F4BAB">
              <w:rPr>
                <w:rFonts w:cs="Arial"/>
                <w:color w:val="000000"/>
                <w:szCs w:val="18"/>
                <w:lang w:eastAsia="en-GB"/>
              </w:rPr>
              <w:t>OH + NO</w:t>
            </w:r>
            <w:r w:rsidRPr="004F4BAB">
              <w:rPr>
                <w:rFonts w:cs="Arial"/>
                <w:color w:val="000000"/>
                <w:szCs w:val="18"/>
                <w:vertAlign w:val="subscript"/>
                <w:lang w:eastAsia="en-GB"/>
              </w:rPr>
              <w:t>2</w:t>
            </w:r>
          </w:p>
        </w:tc>
        <w:tc>
          <w:tcPr>
            <w:tcW w:w="831" w:type="dxa"/>
            <w:vAlign w:val="center"/>
          </w:tcPr>
          <w:p w14:paraId="34AE730A" w14:textId="77777777" w:rsidR="004F4BAB" w:rsidRPr="004F4BAB" w:rsidRDefault="004F4BAB">
            <w:pPr>
              <w:pStyle w:val="CETEquation"/>
              <w:jc w:val="center"/>
              <w:rPr>
                <w:rFonts w:cs="Arial"/>
                <w:szCs w:val="18"/>
              </w:rPr>
            </w:pPr>
            <w:r w:rsidRPr="004F4BAB">
              <w:rPr>
                <w:rFonts w:cs="Arial"/>
                <w:szCs w:val="18"/>
              </w:rPr>
              <w:t>(R3)</w:t>
            </w:r>
          </w:p>
        </w:tc>
      </w:tr>
      <w:tr w:rsidR="004F4BAB" w:rsidRPr="008852E4" w14:paraId="10272E0F" w14:textId="77777777" w:rsidTr="00C636E3">
        <w:trPr>
          <w:trHeight w:val="455"/>
          <w:jc w:val="center"/>
        </w:trPr>
        <w:tc>
          <w:tcPr>
            <w:tcW w:w="7666" w:type="dxa"/>
            <w:vAlign w:val="center"/>
          </w:tcPr>
          <w:p w14:paraId="04FA78AD" w14:textId="77777777" w:rsidR="004F4BAB" w:rsidRPr="004F4BAB" w:rsidRDefault="004F4BAB">
            <w:pPr>
              <w:spacing w:line="240" w:lineRule="auto"/>
              <w:ind w:firstLine="720"/>
              <w:jc w:val="center"/>
              <w:textAlignment w:val="baseline"/>
              <w:rPr>
                <w:rFonts w:cs="Arial"/>
                <w:color w:val="000000"/>
                <w:szCs w:val="18"/>
                <w:lang w:eastAsia="en-GB"/>
              </w:rPr>
            </w:pPr>
            <w:r w:rsidRPr="004F4BAB">
              <w:rPr>
                <w:rFonts w:cs="Arial"/>
                <w:szCs w:val="18"/>
              </w:rPr>
              <w:t>•</w:t>
            </w:r>
            <w:r w:rsidRPr="004F4BAB">
              <w:rPr>
                <w:rFonts w:cs="Arial"/>
                <w:color w:val="000000"/>
                <w:szCs w:val="18"/>
                <w:lang w:eastAsia="en-GB"/>
              </w:rPr>
              <w:t xml:space="preserve">OH + odor </w:t>
            </w:r>
            <w:r w:rsidRPr="004F4BAB">
              <w:rPr>
                <w:rFonts w:cs="Arial"/>
                <w:szCs w:val="18"/>
              </w:rPr>
              <w:t>→ products</w:t>
            </w:r>
          </w:p>
        </w:tc>
        <w:tc>
          <w:tcPr>
            <w:tcW w:w="831" w:type="dxa"/>
            <w:vAlign w:val="center"/>
          </w:tcPr>
          <w:p w14:paraId="17F43F25" w14:textId="77777777" w:rsidR="004F4BAB" w:rsidRPr="004F4BAB" w:rsidRDefault="004F4BAB">
            <w:pPr>
              <w:pStyle w:val="CETEquation"/>
              <w:jc w:val="center"/>
              <w:rPr>
                <w:rFonts w:cs="Arial"/>
                <w:szCs w:val="18"/>
              </w:rPr>
            </w:pPr>
            <w:r w:rsidRPr="004F4BAB">
              <w:rPr>
                <w:rFonts w:cs="Arial"/>
                <w:szCs w:val="18"/>
              </w:rPr>
              <w:t>(R4)</w:t>
            </w:r>
          </w:p>
        </w:tc>
      </w:tr>
    </w:tbl>
    <w:p w14:paraId="7532345E" w14:textId="0B512AB8" w:rsidR="00C636E3" w:rsidRDefault="00C636E3" w:rsidP="00C636E3">
      <w:pPr>
        <w:pStyle w:val="ListParagraph"/>
        <w:keepNext/>
        <w:tabs>
          <w:tab w:val="clear" w:pos="7100"/>
        </w:tabs>
        <w:spacing w:before="100" w:beforeAutospacing="1" w:after="100" w:afterAutospacing="1" w:line="240" w:lineRule="auto"/>
        <w:ind w:left="0"/>
        <w:jc w:val="center"/>
      </w:pPr>
      <w:r>
        <w:rPr>
          <w:rFonts w:ascii="Calibri" w:hAnsi="Calibri" w:cs="Calibri"/>
          <w:noProof/>
          <w:sz w:val="24"/>
          <w:szCs w:val="24"/>
          <w:lang w:val="pl-PL" w:eastAsia="pl-PL"/>
        </w:rPr>
        <w:drawing>
          <wp:inline distT="0" distB="0" distL="0" distR="0" wp14:anchorId="25DBA1BC" wp14:editId="43E098F4">
            <wp:extent cx="2797200" cy="1372011"/>
            <wp:effectExtent l="0" t="0" r="3175" b="0"/>
            <wp:docPr id="1462022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22336" name="Picture 1462022336"/>
                    <pic:cNvPicPr/>
                  </pic:nvPicPr>
                  <pic:blipFill>
                    <a:blip r:embed="rId11">
                      <a:extLst>
                        <a:ext uri="{28A0092B-C50C-407E-A947-70E740481C1C}">
                          <a14:useLocalDpi xmlns:a14="http://schemas.microsoft.com/office/drawing/2010/main" val="0"/>
                        </a:ext>
                      </a:extLst>
                    </a:blip>
                    <a:stretch>
                      <a:fillRect/>
                    </a:stretch>
                  </pic:blipFill>
                  <pic:spPr>
                    <a:xfrm>
                      <a:off x="0" y="0"/>
                      <a:ext cx="2797200" cy="1372011"/>
                    </a:xfrm>
                    <a:prstGeom prst="rect">
                      <a:avLst/>
                    </a:prstGeom>
                  </pic:spPr>
                </pic:pic>
              </a:graphicData>
            </a:graphic>
          </wp:inline>
        </w:drawing>
      </w:r>
    </w:p>
    <w:p w14:paraId="37DF3FC9" w14:textId="20025266" w:rsidR="00C30D02" w:rsidRDefault="00C636E3" w:rsidP="00C30D02">
      <w:pPr>
        <w:pStyle w:val="Caption"/>
        <w:rPr>
          <w:b w:val="0"/>
          <w:bCs w:val="0"/>
          <w:color w:val="000000" w:themeColor="text1"/>
        </w:rPr>
      </w:pPr>
      <w:r w:rsidRPr="00431200">
        <w:rPr>
          <w:b w:val="0"/>
          <w:bCs w:val="0"/>
          <w:i/>
          <w:iCs/>
          <w:color w:val="000000" w:themeColor="text1"/>
        </w:rPr>
        <w:t xml:space="preserve">Figure </w:t>
      </w:r>
      <w:r w:rsidR="00431200">
        <w:rPr>
          <w:b w:val="0"/>
          <w:bCs w:val="0"/>
          <w:i/>
          <w:iCs/>
          <w:color w:val="000000" w:themeColor="text1"/>
        </w:rPr>
        <w:t>2</w:t>
      </w:r>
      <w:r w:rsidR="00431200">
        <w:rPr>
          <w:b w:val="0"/>
          <w:bCs w:val="0"/>
          <w:color w:val="000000" w:themeColor="text1"/>
        </w:rPr>
        <w:t>:</w:t>
      </w:r>
      <w:r w:rsidRPr="00C636E3">
        <w:rPr>
          <w:b w:val="0"/>
          <w:bCs w:val="0"/>
          <w:color w:val="000000" w:themeColor="text1"/>
        </w:rPr>
        <w:t xml:space="preserve"> Constructed Lab-scale reactor: (A) Photolysis chamber, (B) Circulation water bath, (C) Circulation pump, (D) Light source, (E) Pure air valve, (F) Sucking pump, (G) Pressure measuring device, (H) Injection port.</w:t>
      </w:r>
    </w:p>
    <w:p w14:paraId="47BB4FFE" w14:textId="77777777" w:rsidR="00C30D02" w:rsidRPr="00C30D02" w:rsidRDefault="00C30D02" w:rsidP="00C30D02"/>
    <w:p w14:paraId="66334CF3" w14:textId="445DFDFD" w:rsidR="00E00546" w:rsidRPr="00E33F8E" w:rsidRDefault="00E00546" w:rsidP="00B90593">
      <w:pPr>
        <w:pStyle w:val="CETheadingx"/>
      </w:pPr>
      <w:r w:rsidRPr="00F445E1">
        <w:rPr>
          <w:b/>
          <w:bCs w:val="0"/>
          <w:sz w:val="20"/>
          <w:szCs w:val="20"/>
        </w:rPr>
        <w:t>2.</w:t>
      </w:r>
      <w:r w:rsidR="00A21864" w:rsidRPr="00F445E1">
        <w:rPr>
          <w:b/>
          <w:bCs w:val="0"/>
          <w:sz w:val="20"/>
          <w:szCs w:val="20"/>
        </w:rPr>
        <w:t>4</w:t>
      </w:r>
      <w:r w:rsidRPr="00E33F8E">
        <w:t xml:space="preserve"> </w:t>
      </w:r>
      <w:r w:rsidR="00C636E3" w:rsidRPr="00F445E1">
        <w:rPr>
          <w:b/>
          <w:bCs w:val="0"/>
          <w:sz w:val="20"/>
          <w:szCs w:val="20"/>
        </w:rPr>
        <w:t>Gas Chromatography Measurements</w:t>
      </w:r>
    </w:p>
    <w:p w14:paraId="68E2D243" w14:textId="19C5EFDA" w:rsidR="00E00546" w:rsidRDefault="00E04797" w:rsidP="00E00546">
      <w:pPr>
        <w:pStyle w:val="CETBodytext"/>
        <w:rPr>
          <w:rFonts w:cs="Arial"/>
        </w:rPr>
      </w:pPr>
      <w:r w:rsidRPr="00E04797">
        <w:rPr>
          <w:rFonts w:cs="Arial"/>
        </w:rPr>
        <w:t xml:space="preserve">Gas chromatography measurements </w:t>
      </w:r>
      <w:proofErr w:type="gramStart"/>
      <w:r w:rsidRPr="00E04797">
        <w:rPr>
          <w:rFonts w:cs="Arial"/>
        </w:rPr>
        <w:t>were performed</w:t>
      </w:r>
      <w:proofErr w:type="gramEnd"/>
      <w:r w:rsidRPr="00E04797">
        <w:rPr>
          <w:rFonts w:cs="Arial"/>
        </w:rPr>
        <w:t xml:space="preserve"> using a Shimadzu GC-17A equipped with a Flame Ionization Detector (FID) and a </w:t>
      </w:r>
      <w:proofErr w:type="spellStart"/>
      <w:r w:rsidRPr="00E04797">
        <w:rPr>
          <w:rFonts w:cs="Arial"/>
        </w:rPr>
        <w:t>Supelco</w:t>
      </w:r>
      <w:proofErr w:type="spellEnd"/>
      <w:r w:rsidRPr="00E04797">
        <w:rPr>
          <w:rFonts w:cs="Arial"/>
        </w:rPr>
        <w:t xml:space="preserve"> SPB-1 capillary column (60 m × 0.32 mm × 1.0 µm). A </w:t>
      </w:r>
      <w:proofErr w:type="gramStart"/>
      <w:r w:rsidRPr="00E04797">
        <w:rPr>
          <w:rFonts w:cs="Arial"/>
        </w:rPr>
        <w:t>500</w:t>
      </w:r>
      <w:proofErr w:type="gramEnd"/>
      <w:r w:rsidRPr="00E04797">
        <w:rPr>
          <w:rFonts w:cs="Arial"/>
        </w:rPr>
        <w:t xml:space="preserve"> µL gas-tight syringe </w:t>
      </w:r>
      <w:r>
        <w:rPr>
          <w:rFonts w:cs="Arial"/>
        </w:rPr>
        <w:t xml:space="preserve">by </w:t>
      </w:r>
      <w:r w:rsidRPr="00E04797">
        <w:rPr>
          <w:rFonts w:cs="Arial"/>
        </w:rPr>
        <w:t xml:space="preserve">Hamilton </w:t>
      </w:r>
      <w:proofErr w:type="gramStart"/>
      <w:r w:rsidRPr="00E04797">
        <w:rPr>
          <w:rFonts w:cs="Arial"/>
        </w:rPr>
        <w:t>was used</w:t>
      </w:r>
      <w:proofErr w:type="gramEnd"/>
      <w:r w:rsidRPr="00E04797">
        <w:rPr>
          <w:rFonts w:cs="Arial"/>
        </w:rPr>
        <w:t xml:space="preserve"> for manual injections. The injector and detector temperatures </w:t>
      </w:r>
      <w:proofErr w:type="gramStart"/>
      <w:r w:rsidRPr="00E04797">
        <w:rPr>
          <w:rFonts w:cs="Arial"/>
        </w:rPr>
        <w:t>were maintained</w:t>
      </w:r>
      <w:proofErr w:type="gramEnd"/>
      <w:r w:rsidRPr="00E04797">
        <w:rPr>
          <w:rFonts w:cs="Arial"/>
        </w:rPr>
        <w:t xml:space="preserve"> at 220 °C and 250 °C, respectively, while the oven temperature </w:t>
      </w:r>
      <w:proofErr w:type="gramStart"/>
      <w:r w:rsidRPr="00E04797">
        <w:rPr>
          <w:rFonts w:cs="Arial"/>
        </w:rPr>
        <w:t>was held</w:t>
      </w:r>
      <w:proofErr w:type="gramEnd"/>
      <w:r w:rsidRPr="00E04797">
        <w:rPr>
          <w:rFonts w:cs="Arial"/>
        </w:rPr>
        <w:t xml:space="preserve"> constant at 175 °C under isothermal conditions. Headspace samples </w:t>
      </w:r>
      <w:proofErr w:type="gramStart"/>
      <w:r w:rsidRPr="00E04797">
        <w:rPr>
          <w:rFonts w:cs="Arial"/>
        </w:rPr>
        <w:t>were withdrawn</w:t>
      </w:r>
      <w:proofErr w:type="gramEnd"/>
      <w:r w:rsidRPr="00E04797">
        <w:rPr>
          <w:rFonts w:cs="Arial"/>
        </w:rPr>
        <w:t xml:space="preserve"> from the injection port of the laboratory-scale reactor (Figure 2) every 10 minutes and injected manually into the GC system. The degradation of </w:t>
      </w:r>
      <w:r w:rsidR="00EE52CC">
        <w:rPr>
          <w:rFonts w:cs="Arial"/>
        </w:rPr>
        <w:t>TMB</w:t>
      </w:r>
      <w:r w:rsidRPr="00E04797">
        <w:rPr>
          <w:rFonts w:cs="Arial"/>
        </w:rPr>
        <w:t xml:space="preserve">, DMTS, and IPMP </w:t>
      </w:r>
      <w:proofErr w:type="gramStart"/>
      <w:r w:rsidRPr="00E04797">
        <w:rPr>
          <w:rFonts w:cs="Arial"/>
        </w:rPr>
        <w:t>was monitored</w:t>
      </w:r>
      <w:proofErr w:type="gramEnd"/>
      <w:r w:rsidRPr="00E04797">
        <w:rPr>
          <w:rFonts w:cs="Arial"/>
        </w:rPr>
        <w:t xml:space="preserve"> by tracking the decrease in their peak areas, with toluene used as the reference compound.</w:t>
      </w:r>
    </w:p>
    <w:p w14:paraId="0EA19EE5" w14:textId="68904231" w:rsidR="00E04797" w:rsidRPr="00F445E1" w:rsidRDefault="00E04797" w:rsidP="00801B1F">
      <w:pPr>
        <w:pStyle w:val="CETHeading1"/>
        <w:numPr>
          <w:ilvl w:val="2"/>
          <w:numId w:val="28"/>
        </w:numPr>
      </w:pPr>
      <w:r w:rsidRPr="00F445E1">
        <w:t>Estimating Atmospheric Lifetimes</w:t>
      </w:r>
    </w:p>
    <w:p w14:paraId="1B5189A4" w14:textId="101E606B" w:rsidR="00431200" w:rsidRPr="00431200" w:rsidRDefault="00431200" w:rsidP="00431200">
      <w:pPr>
        <w:pStyle w:val="CETBodytext"/>
      </w:pPr>
      <w:r w:rsidRPr="00E04797">
        <w:rPr>
          <w:rFonts w:cs="Arial"/>
          <w:szCs w:val="18"/>
          <w:lang w:val="en-CA" w:eastAsia="en-CA"/>
        </w:rPr>
        <w:t>The lifetime is calculated using pseudo</w:t>
      </w:r>
      <w:r w:rsidR="00B90593">
        <w:rPr>
          <w:rFonts w:cs="Arial"/>
          <w:szCs w:val="18"/>
          <w:lang w:val="en-CA" w:eastAsia="en-CA"/>
        </w:rPr>
        <w:t>-</w:t>
      </w:r>
      <w:r w:rsidRPr="00E04797">
        <w:rPr>
          <w:rFonts w:cs="Arial"/>
          <w:szCs w:val="18"/>
          <w:lang w:val="en-CA" w:eastAsia="en-CA"/>
        </w:rPr>
        <w:t>first</w:t>
      </w:r>
      <w:r w:rsidR="00B90593">
        <w:rPr>
          <w:rFonts w:cs="Arial"/>
          <w:szCs w:val="18"/>
          <w:lang w:val="en-CA" w:eastAsia="en-CA"/>
        </w:rPr>
        <w:t>-</w:t>
      </w:r>
      <w:r w:rsidRPr="00E04797">
        <w:rPr>
          <w:rFonts w:cs="Arial"/>
          <w:szCs w:val="18"/>
          <w:lang w:val="en-CA" w:eastAsia="en-CA"/>
        </w:rPr>
        <w:t>order kinetics, where it is assumed that the oxidant concentration stays nearly constant over the reaction time (a total of 70 minutes, including 10 minutes in the dark and 60 minutes under UV irradiation).</w:t>
      </w:r>
      <w:r>
        <w:rPr>
          <w:rFonts w:cs="Arial"/>
          <w:szCs w:val="18"/>
          <w:lang w:val="en-CA" w:eastAsia="en-CA"/>
        </w:rPr>
        <w:t xml:space="preserve"> </w:t>
      </w:r>
    </w:p>
    <w:p w14:paraId="1F66885A" w14:textId="2BEBE870" w:rsidR="00E04797" w:rsidRPr="00E04797" w:rsidRDefault="00E04797" w:rsidP="00431200">
      <w:pPr>
        <w:pStyle w:val="CETBodytext"/>
        <w:rPr>
          <w:lang w:eastAsia="en-CA"/>
        </w:rPr>
      </w:pPr>
      <w:r w:rsidRPr="00E04797">
        <w:rPr>
          <w:lang w:eastAsia="en-CA"/>
        </w:rPr>
        <w:t>The general equation used to determine the lifetime of an odorant compound [B] with respect to a given oxidant [A] is shown in Eq. 2</w:t>
      </w:r>
      <w:r>
        <w:rPr>
          <w:lang w:eastAsia="en-CA"/>
        </w:rPr>
        <w:t xml:space="preserve"> </w:t>
      </w:r>
      <w:r>
        <w:rPr>
          <w:lang w:eastAsia="en-CA"/>
        </w:rPr>
        <w:fldChar w:fldCharType="begin"/>
      </w:r>
      <w:r>
        <w:rPr>
          <w:lang w:eastAsia="en-CA"/>
        </w:rPr>
        <w:instrText xml:space="preserve"> ADDIN EN.CITE &lt;EndNote&gt;&lt;Cite&gt;&lt;Author&gt;Wang&lt;/Author&gt;&lt;Year&gt;2022&lt;/Year&gt;&lt;RecNum&gt;147&lt;/RecNum&gt;&lt;DisplayText&gt;(Wang et al., 2022)&lt;/DisplayText&gt;&lt;record&gt;&lt;rec-number&gt;147&lt;/rec-number&gt;&lt;foreign-keys&gt;&lt;key app="EN" db-id="f9wsz2wrnesdfpetpstx9rvz0vws2ztzsd90" timestamp="1752151579"&gt;147&lt;/key&gt;&lt;/foreign-keys&gt;&lt;ref-type name="Journal Article"&gt;17&lt;/ref-type&gt;&lt;contributors&gt;&lt;authors&gt;&lt;author&gt;Wang, W.&lt;/author&gt;&lt;author&gt;Yuan, B.&lt;/author&gt;&lt;author&gt;Peng, Y.&lt;/author&gt;&lt;author&gt;Su, H.&lt;/author&gt;&lt;author&gt;Cheng, Y.&lt;/author&gt;&lt;author&gt;Yang, S.&lt;/author&gt;&lt;author&gt;Wu, C.&lt;/author&gt;&lt;author&gt;Qi, J.&lt;/author&gt;&lt;author&gt;Bao, F.&lt;/author&gt;&lt;author&gt;Huangfu, Y.&lt;/author&gt;&lt;author&gt;Wang, C.&lt;/author&gt;&lt;author&gt;Ye, C.&lt;/author&gt;&lt;author&gt;Wang, Z.&lt;/author&gt;&lt;author&gt;Wang, B.&lt;/author&gt;&lt;author&gt;Wang, X.&lt;/author&gt;&lt;author&gt;Song, W.&lt;/author&gt;&lt;author&gt;Hu, W.&lt;/author&gt;&lt;author&gt;Cheng, P.&lt;/author&gt;&lt;author&gt;Zhu, M.&lt;/author&gt;&lt;author&gt;Zheng, J.&lt;/author&gt;&lt;author&gt;Shao, M.&lt;/author&gt;&lt;/authors&gt;&lt;/contributors&gt;&lt;titles&gt;&lt;title&gt;Direct observations indicate photodegradable oxygenated volatile organic compounds (OVOCs) as larger contributors to radicals and ozone production in the atmosphere&lt;/title&gt;&lt;secondary-title&gt;Atmos. Chem. Phys.&lt;/secondary-title&gt;&lt;/titles&gt;&lt;periodical&gt;&lt;full-title&gt;Atmos. Chem. Phys.&lt;/full-title&gt;&lt;/periodical&gt;&lt;pages&gt;4117-4128&lt;/pages&gt;&lt;volume&gt;22&lt;/volume&gt;&lt;number&gt;6&lt;/number&gt;&lt;dates&gt;&lt;year&gt;2022&lt;/year&gt;&lt;/dates&gt;&lt;publisher&gt;Copernicus Publications&lt;/publisher&gt;&lt;isbn&gt;1680-7324&lt;/isbn&gt;&lt;urls&gt;&lt;related-urls&gt;&lt;url&gt;https://acp.copernicus.org/articles/22/4117/2022/&lt;/url&gt;&lt;/related-urls&gt;&lt;/urls&gt;&lt;electronic-resource-num&gt;10.5194/acp-22-4117-2022&lt;/electronic-resource-num&gt;&lt;/record&gt;&lt;/Cite&gt;&lt;/EndNote&gt;</w:instrText>
      </w:r>
      <w:r>
        <w:rPr>
          <w:lang w:eastAsia="en-CA"/>
        </w:rPr>
        <w:fldChar w:fldCharType="separate"/>
      </w:r>
      <w:r>
        <w:rPr>
          <w:noProof/>
          <w:lang w:eastAsia="en-CA"/>
        </w:rPr>
        <w:t>(Wang et al., 2022)</w:t>
      </w:r>
      <w:r>
        <w:rPr>
          <w:lang w:eastAsia="en-CA"/>
        </w:rPr>
        <w:fldChar w:fldCharType="end"/>
      </w:r>
      <w:r>
        <w:rPr>
          <w:lang w:eastAsia="en-CA"/>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76"/>
        <w:gridCol w:w="811"/>
      </w:tblGrid>
      <w:tr w:rsidR="00E04797" w:rsidRPr="00E04797" w14:paraId="661AEFFB" w14:textId="77777777">
        <w:trPr>
          <w:trHeight w:val="132"/>
          <w:jc w:val="center"/>
        </w:trPr>
        <w:tc>
          <w:tcPr>
            <w:tcW w:w="8505" w:type="dxa"/>
          </w:tcPr>
          <w:p w14:paraId="7F743656" w14:textId="77777777" w:rsidR="00E04797" w:rsidRPr="00E04797" w:rsidRDefault="00E04797">
            <w:pPr>
              <w:rPr>
                <w:rFonts w:cs="Arial"/>
                <w:szCs w:val="18"/>
              </w:rPr>
            </w:pPr>
          </w:p>
          <w:p w14:paraId="285589D7" w14:textId="514C50B3" w:rsidR="00E04797" w:rsidRPr="00E04797" w:rsidRDefault="005539AF">
            <w:pPr>
              <w:rPr>
                <w:rFonts w:eastAsiaTheme="minorEastAsia" w:cs="Arial"/>
                <w:iCs/>
                <w:color w:val="000000"/>
                <w:szCs w:val="18"/>
                <w:lang w:eastAsia="en-CA"/>
              </w:rPr>
            </w:pPr>
            <m:oMathPara>
              <m:oMath>
                <m:r>
                  <w:rPr>
                    <w:rFonts w:ascii="Cambria Math" w:hAnsi="Cambria Math" w:cs="Arial"/>
                    <w:szCs w:val="18"/>
                    <w:lang w:eastAsia="en-CA"/>
                  </w:rPr>
                  <m:t>ln</m:t>
                </m:r>
                <m:d>
                  <m:dPr>
                    <m:ctrlPr>
                      <w:rPr>
                        <w:rFonts w:ascii="Cambria Math" w:hAnsi="Cambria Math" w:cs="Arial"/>
                        <w:iCs/>
                        <w:color w:val="000000"/>
                        <w:szCs w:val="18"/>
                        <w:lang w:eastAsia="en-CA"/>
                      </w:rPr>
                    </m:ctrlPr>
                  </m:dPr>
                  <m:e>
                    <m:f>
                      <m:fPr>
                        <m:ctrlPr>
                          <w:rPr>
                            <w:rFonts w:ascii="Cambria Math" w:hAnsi="Cambria Math" w:cs="Arial"/>
                            <w:iCs/>
                            <w:color w:val="000000"/>
                            <w:szCs w:val="18"/>
                            <w:lang w:eastAsia="en-CA"/>
                          </w:rPr>
                        </m:ctrlPr>
                      </m:fPr>
                      <m:num>
                        <m:sSub>
                          <m:sSubPr>
                            <m:ctrlPr>
                              <w:rPr>
                                <w:rFonts w:ascii="Cambria Math" w:hAnsi="Cambria Math" w:cs="Arial"/>
                                <w:iCs/>
                                <w:color w:val="000000"/>
                                <w:szCs w:val="18"/>
                                <w:lang w:eastAsia="en-CA"/>
                              </w:rPr>
                            </m:ctrlPr>
                          </m:sSubPr>
                          <m:e>
                            <m:d>
                              <m:dPr>
                                <m:begChr m:val="["/>
                                <m:endChr m:val="]"/>
                                <m:ctrlPr>
                                  <w:rPr>
                                    <w:rFonts w:ascii="Cambria Math" w:hAnsi="Cambria Math" w:cs="Arial"/>
                                    <w:iCs/>
                                    <w:color w:val="000000"/>
                                    <w:szCs w:val="18"/>
                                    <w:lang w:eastAsia="en-CA"/>
                                  </w:rPr>
                                </m:ctrlPr>
                              </m:dPr>
                              <m:e>
                                <m:r>
                                  <m:rPr>
                                    <m:sty m:val="p"/>
                                  </m:rPr>
                                  <w:rPr>
                                    <w:rFonts w:ascii="Cambria Math" w:hAnsi="Cambria Math" w:cs="Arial"/>
                                    <w:color w:val="000000"/>
                                    <w:szCs w:val="18"/>
                                    <w:lang w:eastAsia="en-CA"/>
                                  </w:rPr>
                                  <m:t>B</m:t>
                                </m:r>
                              </m:e>
                            </m:d>
                          </m:e>
                          <m:sub>
                            <m:r>
                              <m:rPr>
                                <m:sty m:val="p"/>
                              </m:rPr>
                              <w:rPr>
                                <w:rFonts w:ascii="Cambria Math" w:hAnsi="Cambria Math" w:cs="Arial"/>
                                <w:color w:val="000000"/>
                                <w:szCs w:val="18"/>
                                <w:lang w:eastAsia="en-CA"/>
                              </w:rPr>
                              <m:t>0</m:t>
                            </m:r>
                          </m:sub>
                        </m:sSub>
                        <m:sSub>
                          <m:sSubPr>
                            <m:ctrlPr>
                              <w:rPr>
                                <w:rFonts w:ascii="Cambria Math" w:hAnsi="Cambria Math" w:cs="Arial"/>
                                <w:iCs/>
                                <w:color w:val="000000"/>
                                <w:szCs w:val="18"/>
                                <w:lang w:eastAsia="en-CA"/>
                              </w:rPr>
                            </m:ctrlPr>
                          </m:sSubPr>
                          <m:e>
                            <m:d>
                              <m:dPr>
                                <m:begChr m:val="["/>
                                <m:endChr m:val="]"/>
                                <m:ctrlPr>
                                  <w:rPr>
                                    <w:rFonts w:ascii="Cambria Math" w:hAnsi="Cambria Math" w:cs="Arial"/>
                                    <w:iCs/>
                                    <w:color w:val="000000"/>
                                    <w:szCs w:val="18"/>
                                    <w:lang w:eastAsia="en-CA"/>
                                  </w:rPr>
                                </m:ctrlPr>
                              </m:dPr>
                              <m:e>
                                <m:r>
                                  <m:rPr>
                                    <m:sty m:val="p"/>
                                  </m:rPr>
                                  <w:rPr>
                                    <w:rFonts w:ascii="Cambria Math" w:hAnsi="Cambria Math" w:cs="Arial"/>
                                    <w:color w:val="000000"/>
                                    <w:szCs w:val="18"/>
                                    <w:lang w:eastAsia="en-CA"/>
                                  </w:rPr>
                                  <m:t>A</m:t>
                                </m:r>
                              </m:e>
                            </m:d>
                          </m:e>
                          <m:sub>
                            <m:r>
                              <m:rPr>
                                <m:sty m:val="p"/>
                              </m:rPr>
                              <w:rPr>
                                <w:rFonts w:ascii="Cambria Math" w:hAnsi="Cambria Math" w:cs="Arial"/>
                                <w:color w:val="000000"/>
                                <w:szCs w:val="18"/>
                                <w:lang w:eastAsia="en-CA"/>
                              </w:rPr>
                              <m:t>t</m:t>
                            </m:r>
                          </m:sub>
                        </m:sSub>
                      </m:num>
                      <m:den>
                        <m:sSub>
                          <m:sSubPr>
                            <m:ctrlPr>
                              <w:rPr>
                                <w:rFonts w:ascii="Cambria Math" w:hAnsi="Cambria Math" w:cs="Arial"/>
                                <w:iCs/>
                                <w:color w:val="000000"/>
                                <w:szCs w:val="18"/>
                                <w:lang w:eastAsia="en-CA"/>
                              </w:rPr>
                            </m:ctrlPr>
                          </m:sSubPr>
                          <m:e>
                            <m:d>
                              <m:dPr>
                                <m:begChr m:val="["/>
                                <m:endChr m:val="]"/>
                                <m:ctrlPr>
                                  <w:rPr>
                                    <w:rFonts w:ascii="Cambria Math" w:hAnsi="Cambria Math" w:cs="Arial"/>
                                    <w:iCs/>
                                    <w:color w:val="000000"/>
                                    <w:szCs w:val="18"/>
                                    <w:lang w:eastAsia="en-CA"/>
                                  </w:rPr>
                                </m:ctrlPr>
                              </m:dPr>
                              <m:e>
                                <m:r>
                                  <m:rPr>
                                    <m:sty m:val="p"/>
                                  </m:rPr>
                                  <w:rPr>
                                    <w:rFonts w:ascii="Cambria Math" w:hAnsi="Cambria Math" w:cs="Arial"/>
                                    <w:color w:val="000000"/>
                                    <w:szCs w:val="18"/>
                                    <w:lang w:eastAsia="en-CA"/>
                                  </w:rPr>
                                  <m:t>B</m:t>
                                </m:r>
                              </m:e>
                            </m:d>
                          </m:e>
                          <m:sub>
                            <m:r>
                              <m:rPr>
                                <m:sty m:val="p"/>
                              </m:rPr>
                              <w:rPr>
                                <w:rFonts w:ascii="Cambria Math" w:hAnsi="Cambria Math" w:cs="Arial"/>
                                <w:color w:val="000000"/>
                                <w:szCs w:val="18"/>
                                <w:lang w:eastAsia="en-CA"/>
                              </w:rPr>
                              <m:t>t</m:t>
                            </m:r>
                          </m:sub>
                        </m:sSub>
                        <m:sSub>
                          <m:sSubPr>
                            <m:ctrlPr>
                              <w:rPr>
                                <w:rFonts w:ascii="Cambria Math" w:hAnsi="Cambria Math" w:cs="Arial"/>
                                <w:iCs/>
                                <w:color w:val="000000"/>
                                <w:szCs w:val="18"/>
                                <w:lang w:eastAsia="en-CA"/>
                              </w:rPr>
                            </m:ctrlPr>
                          </m:sSubPr>
                          <m:e>
                            <m:d>
                              <m:dPr>
                                <m:begChr m:val="["/>
                                <m:endChr m:val="]"/>
                                <m:ctrlPr>
                                  <w:rPr>
                                    <w:rFonts w:ascii="Cambria Math" w:hAnsi="Cambria Math" w:cs="Arial"/>
                                    <w:iCs/>
                                    <w:color w:val="000000"/>
                                    <w:szCs w:val="18"/>
                                    <w:lang w:eastAsia="en-CA"/>
                                  </w:rPr>
                                </m:ctrlPr>
                              </m:dPr>
                              <m:e>
                                <m:r>
                                  <m:rPr>
                                    <m:sty m:val="p"/>
                                  </m:rPr>
                                  <w:rPr>
                                    <w:rFonts w:ascii="Cambria Math" w:hAnsi="Cambria Math" w:cs="Arial"/>
                                    <w:color w:val="000000"/>
                                    <w:szCs w:val="18"/>
                                    <w:lang w:eastAsia="en-CA"/>
                                  </w:rPr>
                                  <m:t>A</m:t>
                                </m:r>
                              </m:e>
                            </m:d>
                          </m:e>
                          <m:sub>
                            <m:r>
                              <m:rPr>
                                <m:sty m:val="p"/>
                              </m:rPr>
                              <w:rPr>
                                <w:rFonts w:ascii="Cambria Math" w:hAnsi="Cambria Math" w:cs="Arial"/>
                                <w:color w:val="000000"/>
                                <w:szCs w:val="18"/>
                                <w:lang w:eastAsia="en-CA"/>
                              </w:rPr>
                              <m:t>0</m:t>
                            </m:r>
                          </m:sub>
                        </m:sSub>
                      </m:den>
                    </m:f>
                  </m:e>
                </m:d>
                <m:r>
                  <m:rPr>
                    <m:sty m:val="p"/>
                  </m:rPr>
                  <w:rPr>
                    <w:rFonts w:ascii="Cambria Math" w:hAnsi="Cambria Math" w:cs="Arial"/>
                    <w:color w:val="000000"/>
                    <w:szCs w:val="18"/>
                    <w:lang w:eastAsia="en-CA"/>
                  </w:rPr>
                  <m:t>=kt</m:t>
                </m:r>
                <m:d>
                  <m:dPr>
                    <m:ctrlPr>
                      <w:rPr>
                        <w:rFonts w:ascii="Cambria Math" w:hAnsi="Cambria Math" w:cs="Arial"/>
                        <w:iCs/>
                        <w:color w:val="000000"/>
                        <w:szCs w:val="18"/>
                        <w:lang w:eastAsia="en-CA"/>
                      </w:rPr>
                    </m:ctrlPr>
                  </m:dPr>
                  <m:e>
                    <m:sSub>
                      <m:sSubPr>
                        <m:ctrlPr>
                          <w:rPr>
                            <w:rFonts w:ascii="Cambria Math" w:hAnsi="Cambria Math" w:cs="Arial"/>
                            <w:iCs/>
                            <w:color w:val="000000"/>
                            <w:szCs w:val="18"/>
                            <w:lang w:eastAsia="en-CA"/>
                          </w:rPr>
                        </m:ctrlPr>
                      </m:sSubPr>
                      <m:e>
                        <m:d>
                          <m:dPr>
                            <m:begChr m:val="["/>
                            <m:endChr m:val="]"/>
                            <m:ctrlPr>
                              <w:rPr>
                                <w:rFonts w:ascii="Cambria Math" w:hAnsi="Cambria Math" w:cs="Arial"/>
                                <w:iCs/>
                                <w:color w:val="000000"/>
                                <w:szCs w:val="18"/>
                                <w:lang w:eastAsia="en-CA"/>
                              </w:rPr>
                            </m:ctrlPr>
                          </m:dPr>
                          <m:e>
                            <m:r>
                              <m:rPr>
                                <m:sty m:val="p"/>
                              </m:rPr>
                              <w:rPr>
                                <w:rFonts w:ascii="Cambria Math" w:hAnsi="Cambria Math" w:cs="Arial"/>
                                <w:color w:val="000000"/>
                                <w:szCs w:val="18"/>
                                <w:lang w:eastAsia="en-CA"/>
                              </w:rPr>
                              <m:t>A</m:t>
                            </m:r>
                          </m:e>
                        </m:d>
                      </m:e>
                      <m:sub>
                        <m:r>
                          <m:rPr>
                            <m:sty m:val="p"/>
                          </m:rPr>
                          <w:rPr>
                            <w:rFonts w:ascii="Cambria Math" w:hAnsi="Cambria Math" w:cs="Arial"/>
                            <w:color w:val="000000"/>
                            <w:szCs w:val="18"/>
                            <w:lang w:eastAsia="en-CA"/>
                          </w:rPr>
                          <m:t>0</m:t>
                        </m:r>
                      </m:sub>
                    </m:sSub>
                    <m:r>
                      <m:rPr>
                        <m:sty m:val="p"/>
                      </m:rPr>
                      <w:rPr>
                        <w:rFonts w:ascii="Cambria Math" w:hAnsi="Cambria Math" w:cs="Arial"/>
                        <w:color w:val="000000"/>
                        <w:szCs w:val="18"/>
                        <w:lang w:eastAsia="en-CA"/>
                      </w:rPr>
                      <m:t>-</m:t>
                    </m:r>
                    <m:sSub>
                      <m:sSubPr>
                        <m:ctrlPr>
                          <w:rPr>
                            <w:rFonts w:ascii="Cambria Math" w:hAnsi="Cambria Math" w:cs="Arial"/>
                            <w:iCs/>
                            <w:color w:val="000000"/>
                            <w:szCs w:val="18"/>
                            <w:lang w:eastAsia="en-CA"/>
                          </w:rPr>
                        </m:ctrlPr>
                      </m:sSubPr>
                      <m:e>
                        <m:d>
                          <m:dPr>
                            <m:begChr m:val="["/>
                            <m:endChr m:val="]"/>
                            <m:ctrlPr>
                              <w:rPr>
                                <w:rFonts w:ascii="Cambria Math" w:hAnsi="Cambria Math" w:cs="Arial"/>
                                <w:iCs/>
                                <w:color w:val="000000"/>
                                <w:szCs w:val="18"/>
                                <w:lang w:eastAsia="en-CA"/>
                              </w:rPr>
                            </m:ctrlPr>
                          </m:dPr>
                          <m:e>
                            <m:r>
                              <m:rPr>
                                <m:sty m:val="p"/>
                              </m:rPr>
                              <w:rPr>
                                <w:rFonts w:ascii="Cambria Math" w:hAnsi="Cambria Math" w:cs="Arial"/>
                                <w:color w:val="000000"/>
                                <w:szCs w:val="18"/>
                                <w:lang w:eastAsia="en-CA"/>
                              </w:rPr>
                              <m:t>B</m:t>
                            </m:r>
                          </m:e>
                        </m:d>
                      </m:e>
                      <m:sub>
                        <m:r>
                          <m:rPr>
                            <m:sty m:val="p"/>
                          </m:rPr>
                          <w:rPr>
                            <w:rFonts w:ascii="Cambria Math" w:hAnsi="Cambria Math" w:cs="Arial"/>
                            <w:color w:val="000000"/>
                            <w:szCs w:val="18"/>
                            <w:lang w:eastAsia="en-CA"/>
                          </w:rPr>
                          <m:t>0</m:t>
                        </m:r>
                      </m:sub>
                    </m:sSub>
                  </m:e>
                </m:d>
              </m:oMath>
            </m:oMathPara>
          </w:p>
          <w:p w14:paraId="7495B5AC" w14:textId="77777777" w:rsidR="00E04797" w:rsidRPr="00E04797" w:rsidRDefault="00E04797">
            <w:pPr>
              <w:rPr>
                <w:rFonts w:eastAsiaTheme="minorEastAsia" w:cs="Arial"/>
                <w:iCs/>
                <w:color w:val="000000"/>
                <w:szCs w:val="18"/>
                <w:lang w:eastAsia="en-CA"/>
              </w:rPr>
            </w:pPr>
          </w:p>
          <w:p w14:paraId="2E678D02" w14:textId="77777777" w:rsidR="00E04797" w:rsidRPr="00E04797" w:rsidRDefault="00E04797">
            <w:pPr>
              <w:rPr>
                <w:rFonts w:eastAsiaTheme="minorEastAsia" w:cs="Arial"/>
                <w:iCs/>
                <w:color w:val="000000"/>
                <w:szCs w:val="18"/>
                <w:lang w:eastAsia="en-CA"/>
              </w:rPr>
            </w:pPr>
            <w:r w:rsidRPr="00E04797">
              <w:rPr>
                <w:rFonts w:eastAsiaTheme="minorEastAsia" w:cs="Arial"/>
                <w:iCs/>
                <w:color w:val="000000"/>
                <w:szCs w:val="18"/>
                <w:lang w:eastAsia="en-CA"/>
              </w:rPr>
              <w:t>Substituting this into the equation, we get:</w:t>
            </w:r>
          </w:p>
        </w:tc>
        <w:tc>
          <w:tcPr>
            <w:tcW w:w="845" w:type="dxa"/>
          </w:tcPr>
          <w:p w14:paraId="55995393" w14:textId="77777777" w:rsidR="00E04797" w:rsidRPr="00E04797" w:rsidRDefault="00E04797">
            <w:pPr>
              <w:jc w:val="center"/>
              <w:rPr>
                <w:rFonts w:cs="Arial"/>
                <w:szCs w:val="18"/>
              </w:rPr>
            </w:pPr>
          </w:p>
          <w:p w14:paraId="76282409" w14:textId="77777777" w:rsidR="00E04797" w:rsidRPr="00E04797" w:rsidRDefault="00E04797">
            <w:pPr>
              <w:jc w:val="center"/>
              <w:rPr>
                <w:rFonts w:cs="Arial"/>
                <w:szCs w:val="18"/>
              </w:rPr>
            </w:pPr>
          </w:p>
          <w:p w14:paraId="7CFB7436" w14:textId="77777777" w:rsidR="00E04797" w:rsidRPr="00E04797" w:rsidRDefault="00E04797">
            <w:pPr>
              <w:jc w:val="center"/>
              <w:rPr>
                <w:rFonts w:cs="Arial"/>
                <w:szCs w:val="18"/>
              </w:rPr>
            </w:pPr>
            <w:r w:rsidRPr="00E04797">
              <w:rPr>
                <w:rFonts w:cs="Arial"/>
                <w:szCs w:val="18"/>
              </w:rPr>
              <w:t>eq. 1</w:t>
            </w:r>
          </w:p>
          <w:p w14:paraId="55A64110" w14:textId="77777777" w:rsidR="00E04797" w:rsidRPr="00E04797" w:rsidRDefault="00E04797">
            <w:pPr>
              <w:jc w:val="center"/>
              <w:rPr>
                <w:rFonts w:cs="Arial"/>
                <w:szCs w:val="18"/>
              </w:rPr>
            </w:pPr>
          </w:p>
        </w:tc>
      </w:tr>
      <w:tr w:rsidR="00E04797" w:rsidRPr="00E04797" w14:paraId="57ADFC49" w14:textId="77777777">
        <w:trPr>
          <w:trHeight w:val="132"/>
          <w:jc w:val="center"/>
        </w:trPr>
        <w:tc>
          <w:tcPr>
            <w:tcW w:w="8505" w:type="dxa"/>
          </w:tcPr>
          <w:p w14:paraId="327562FA" w14:textId="77777777" w:rsidR="00E04797" w:rsidRPr="00E04797" w:rsidRDefault="00E04797">
            <w:pPr>
              <w:jc w:val="center"/>
              <w:rPr>
                <w:rFonts w:eastAsiaTheme="minorEastAsia" w:cs="Arial"/>
                <w:szCs w:val="18"/>
                <w:lang w:val="en-CA"/>
              </w:rPr>
            </w:pPr>
          </w:p>
          <w:p w14:paraId="5C62CEC9" w14:textId="77777777" w:rsidR="00E04797" w:rsidRPr="00E04797" w:rsidRDefault="00E04797">
            <w:pPr>
              <w:jc w:val="center"/>
              <w:rPr>
                <w:rFonts w:eastAsiaTheme="minorEastAsia" w:cs="Arial"/>
                <w:szCs w:val="18"/>
                <w:lang w:eastAsia="en-CA"/>
              </w:rPr>
            </w:pPr>
            <w:r w:rsidRPr="00E04797">
              <w:rPr>
                <w:rFonts w:cs="Arial"/>
                <w:szCs w:val="18"/>
                <w:lang w:eastAsia="en-CA"/>
              </w:rPr>
              <w:t xml:space="preserve">T </w:t>
            </w:r>
            <m:oMath>
              <m:f>
                <m:fPr>
                  <m:ctrlPr>
                    <w:rPr>
                      <w:rFonts w:ascii="Cambria Math" w:hAnsi="Cambria Math" w:cs="Arial"/>
                      <w:szCs w:val="18"/>
                    </w:rPr>
                  </m:ctrlPr>
                </m:fPr>
                <m:num>
                  <m:r>
                    <m:rPr>
                      <m:sty m:val="p"/>
                    </m:rPr>
                    <w:rPr>
                      <w:rFonts w:ascii="Cambria Math" w:hAnsi="Cambria Math" w:cs="Arial"/>
                      <w:szCs w:val="18"/>
                    </w:rPr>
                    <m:t>1</m:t>
                  </m:r>
                </m:num>
                <m:den>
                  <m:r>
                    <m:rPr>
                      <m:sty m:val="p"/>
                    </m:rPr>
                    <w:rPr>
                      <w:rFonts w:ascii="Cambria Math" w:hAnsi="Cambria Math" w:cs="Arial"/>
                      <w:szCs w:val="18"/>
                    </w:rPr>
                    <m:t>2</m:t>
                  </m:r>
                </m:den>
              </m:f>
              <m:r>
                <m:rPr>
                  <m:sty m:val="p"/>
                </m:rPr>
                <w:rPr>
                  <w:rFonts w:ascii="Cambria Math" w:hAnsi="Cambria Math" w:cs="Arial"/>
                  <w:szCs w:val="18"/>
                  <w:lang w:eastAsia="en-CA"/>
                </w:rPr>
                <m:t>=</m:t>
              </m:r>
              <m:f>
                <m:fPr>
                  <m:ctrlPr>
                    <w:rPr>
                      <w:rFonts w:ascii="Cambria Math" w:hAnsi="Cambria Math" w:cs="Arial"/>
                      <w:szCs w:val="18"/>
                      <w:lang w:eastAsia="en-CA"/>
                    </w:rPr>
                  </m:ctrlPr>
                </m:fPr>
                <m:num>
                  <m:r>
                    <m:rPr>
                      <m:sty m:val="p"/>
                    </m:rPr>
                    <w:rPr>
                      <w:rFonts w:ascii="Cambria Math" w:hAnsi="Cambria Math" w:cs="Arial"/>
                      <w:szCs w:val="18"/>
                      <w:lang w:eastAsia="en-CA"/>
                    </w:rPr>
                    <m:t>1</m:t>
                  </m:r>
                </m:num>
                <m:den>
                  <m:r>
                    <m:rPr>
                      <m:sty m:val="p"/>
                    </m:rPr>
                    <w:rPr>
                      <w:rFonts w:ascii="Cambria Math" w:hAnsi="Cambria Math" w:cs="Arial"/>
                      <w:szCs w:val="18"/>
                      <w:lang w:eastAsia="en-CA"/>
                    </w:rPr>
                    <m:t>k</m:t>
                  </m:r>
                  <m:d>
                    <m:dPr>
                      <m:ctrlPr>
                        <w:rPr>
                          <w:rFonts w:ascii="Cambria Math" w:hAnsi="Cambria Math" w:cs="Arial"/>
                          <w:szCs w:val="18"/>
                          <w:lang w:eastAsia="en-CA"/>
                        </w:rPr>
                      </m:ctrlPr>
                    </m:dPr>
                    <m:e>
                      <m:sSub>
                        <m:sSubPr>
                          <m:ctrlPr>
                            <w:rPr>
                              <w:rFonts w:ascii="Cambria Math" w:hAnsi="Cambria Math" w:cs="Arial"/>
                              <w:szCs w:val="18"/>
                              <w:lang w:eastAsia="en-CA"/>
                            </w:rPr>
                          </m:ctrlPr>
                        </m:sSubPr>
                        <m:e>
                          <m:d>
                            <m:dPr>
                              <m:begChr m:val="["/>
                              <m:endChr m:val="]"/>
                              <m:ctrlPr>
                                <w:rPr>
                                  <w:rFonts w:ascii="Cambria Math" w:hAnsi="Cambria Math" w:cs="Arial"/>
                                  <w:szCs w:val="18"/>
                                  <w:lang w:eastAsia="en-CA"/>
                                </w:rPr>
                              </m:ctrlPr>
                            </m:dPr>
                            <m:e>
                              <m:r>
                                <m:rPr>
                                  <m:sty m:val="p"/>
                                </m:rPr>
                                <w:rPr>
                                  <w:rFonts w:ascii="Cambria Math" w:hAnsi="Cambria Math" w:cs="Arial"/>
                                  <w:szCs w:val="18"/>
                                  <w:lang w:eastAsia="en-CA"/>
                                </w:rPr>
                                <m:t>A</m:t>
                              </m:r>
                            </m:e>
                          </m:d>
                        </m:e>
                        <m:sub>
                          <m:r>
                            <m:rPr>
                              <m:sty m:val="p"/>
                            </m:rPr>
                            <w:rPr>
                              <w:rFonts w:ascii="Cambria Math" w:hAnsi="Cambria Math" w:cs="Arial"/>
                              <w:szCs w:val="18"/>
                              <w:lang w:eastAsia="en-CA"/>
                            </w:rPr>
                            <m:t>0</m:t>
                          </m:r>
                        </m:sub>
                      </m:sSub>
                      <m:r>
                        <m:rPr>
                          <m:sty m:val="p"/>
                        </m:rPr>
                        <w:rPr>
                          <w:rFonts w:ascii="Cambria Math" w:hAnsi="Cambria Math" w:cs="Arial"/>
                          <w:szCs w:val="18"/>
                          <w:lang w:eastAsia="en-CA"/>
                        </w:rPr>
                        <m:t>-</m:t>
                      </m:r>
                      <m:sSub>
                        <m:sSubPr>
                          <m:ctrlPr>
                            <w:rPr>
                              <w:rFonts w:ascii="Cambria Math" w:hAnsi="Cambria Math" w:cs="Arial"/>
                              <w:szCs w:val="18"/>
                              <w:lang w:eastAsia="en-CA"/>
                            </w:rPr>
                          </m:ctrlPr>
                        </m:sSubPr>
                        <m:e>
                          <m:d>
                            <m:dPr>
                              <m:begChr m:val="["/>
                              <m:endChr m:val="]"/>
                              <m:ctrlPr>
                                <w:rPr>
                                  <w:rFonts w:ascii="Cambria Math" w:hAnsi="Cambria Math" w:cs="Arial"/>
                                  <w:szCs w:val="18"/>
                                  <w:lang w:eastAsia="en-CA"/>
                                </w:rPr>
                              </m:ctrlPr>
                            </m:dPr>
                            <m:e>
                              <m:r>
                                <m:rPr>
                                  <m:sty m:val="p"/>
                                </m:rPr>
                                <w:rPr>
                                  <w:rFonts w:ascii="Cambria Math" w:hAnsi="Cambria Math" w:cs="Arial"/>
                                  <w:szCs w:val="18"/>
                                  <w:lang w:eastAsia="en-CA"/>
                                </w:rPr>
                                <m:t>B</m:t>
                              </m:r>
                            </m:e>
                          </m:d>
                        </m:e>
                        <m:sub>
                          <m:r>
                            <m:rPr>
                              <m:sty m:val="p"/>
                            </m:rPr>
                            <w:rPr>
                              <w:rFonts w:ascii="Cambria Math" w:hAnsi="Cambria Math" w:cs="Arial"/>
                              <w:szCs w:val="18"/>
                              <w:lang w:eastAsia="en-CA"/>
                            </w:rPr>
                            <m:t>0</m:t>
                          </m:r>
                        </m:sub>
                      </m:sSub>
                    </m:e>
                  </m:d>
                </m:den>
              </m:f>
              <m:func>
                <m:funcPr>
                  <m:ctrlPr>
                    <w:rPr>
                      <w:rFonts w:ascii="Cambria Math" w:hAnsi="Cambria Math" w:cs="Arial"/>
                      <w:szCs w:val="18"/>
                      <w:lang w:eastAsia="en-CA"/>
                    </w:rPr>
                  </m:ctrlPr>
                </m:funcPr>
                <m:fName>
                  <m:r>
                    <m:rPr>
                      <m:sty m:val="p"/>
                    </m:rPr>
                    <w:rPr>
                      <w:rFonts w:ascii="Cambria Math" w:hAnsi="Cambria Math" w:cs="Arial"/>
                      <w:szCs w:val="18"/>
                      <w:lang w:eastAsia="en-CA"/>
                    </w:rPr>
                    <m:t>ln</m:t>
                  </m:r>
                </m:fName>
                <m:e>
                  <m:d>
                    <m:dPr>
                      <m:ctrlPr>
                        <w:rPr>
                          <w:rFonts w:ascii="Cambria Math" w:hAnsi="Cambria Math" w:cs="Arial"/>
                          <w:szCs w:val="18"/>
                          <w:lang w:eastAsia="en-CA"/>
                        </w:rPr>
                      </m:ctrlPr>
                    </m:dPr>
                    <m:e>
                      <m:r>
                        <w:rPr>
                          <w:rFonts w:ascii="Cambria Math" w:hAnsi="Cambria Math" w:cs="Arial"/>
                          <w:szCs w:val="18"/>
                          <w:lang w:eastAsia="en-CA"/>
                        </w:rPr>
                        <m:t>2</m:t>
                      </m:r>
                      <m:f>
                        <m:fPr>
                          <m:ctrlPr>
                            <w:rPr>
                              <w:rFonts w:ascii="Cambria Math" w:hAnsi="Cambria Math" w:cs="Arial"/>
                              <w:szCs w:val="18"/>
                              <w:lang w:eastAsia="en-CA"/>
                            </w:rPr>
                          </m:ctrlPr>
                        </m:fPr>
                        <m:num>
                          <m:sSub>
                            <m:sSubPr>
                              <m:ctrlPr>
                                <w:rPr>
                                  <w:rFonts w:ascii="Cambria Math" w:hAnsi="Cambria Math" w:cs="Arial"/>
                                  <w:szCs w:val="18"/>
                                  <w:lang w:eastAsia="en-CA"/>
                                </w:rPr>
                              </m:ctrlPr>
                            </m:sSubPr>
                            <m:e>
                              <m:d>
                                <m:dPr>
                                  <m:begChr m:val="["/>
                                  <m:endChr m:val="]"/>
                                  <m:ctrlPr>
                                    <w:rPr>
                                      <w:rFonts w:ascii="Cambria Math" w:hAnsi="Cambria Math" w:cs="Arial"/>
                                      <w:szCs w:val="18"/>
                                      <w:lang w:eastAsia="en-CA"/>
                                    </w:rPr>
                                  </m:ctrlPr>
                                </m:dPr>
                                <m:e>
                                  <m:r>
                                    <m:rPr>
                                      <m:sty m:val="p"/>
                                    </m:rPr>
                                    <w:rPr>
                                      <w:rFonts w:ascii="Cambria Math" w:hAnsi="Cambria Math" w:cs="Arial"/>
                                      <w:szCs w:val="18"/>
                                      <w:lang w:eastAsia="en-CA"/>
                                    </w:rPr>
                                    <m:t>A</m:t>
                                  </m:r>
                                </m:e>
                              </m:d>
                            </m:e>
                            <m:sub>
                              <m:r>
                                <m:rPr>
                                  <m:sty m:val="p"/>
                                </m:rPr>
                                <w:rPr>
                                  <w:rFonts w:ascii="Cambria Math" w:hAnsi="Cambria Math" w:cs="Arial"/>
                                  <w:szCs w:val="18"/>
                                  <w:lang w:eastAsia="en-CA"/>
                                </w:rPr>
                                <m:t>0</m:t>
                              </m:r>
                            </m:sub>
                          </m:sSub>
                        </m:num>
                        <m:den>
                          <m:sSub>
                            <m:sSubPr>
                              <m:ctrlPr>
                                <w:rPr>
                                  <w:rFonts w:ascii="Cambria Math" w:hAnsi="Cambria Math" w:cs="Arial"/>
                                  <w:szCs w:val="18"/>
                                  <w:lang w:eastAsia="en-CA"/>
                                </w:rPr>
                              </m:ctrlPr>
                            </m:sSubPr>
                            <m:e>
                              <m:d>
                                <m:dPr>
                                  <m:begChr m:val="["/>
                                  <m:endChr m:val="]"/>
                                  <m:ctrlPr>
                                    <w:rPr>
                                      <w:rFonts w:ascii="Cambria Math" w:hAnsi="Cambria Math" w:cs="Arial"/>
                                      <w:szCs w:val="18"/>
                                      <w:lang w:eastAsia="en-CA"/>
                                    </w:rPr>
                                  </m:ctrlPr>
                                </m:dPr>
                                <m:e>
                                  <m:r>
                                    <m:rPr>
                                      <m:sty m:val="p"/>
                                    </m:rPr>
                                    <w:rPr>
                                      <w:rFonts w:ascii="Cambria Math" w:hAnsi="Cambria Math" w:cs="Arial"/>
                                      <w:szCs w:val="18"/>
                                      <w:lang w:eastAsia="en-CA"/>
                                    </w:rPr>
                                    <m:t>A</m:t>
                                  </m:r>
                                </m:e>
                              </m:d>
                            </m:e>
                            <m:sub>
                              <m:r>
                                <m:rPr>
                                  <m:sty m:val="p"/>
                                </m:rPr>
                                <w:rPr>
                                  <w:rFonts w:ascii="Cambria Math" w:hAnsi="Cambria Math" w:cs="Arial"/>
                                  <w:szCs w:val="18"/>
                                  <w:lang w:eastAsia="en-CA"/>
                                </w:rPr>
                                <m:t>t</m:t>
                              </m:r>
                            </m:sub>
                          </m:sSub>
                        </m:den>
                      </m:f>
                    </m:e>
                  </m:d>
                </m:e>
              </m:func>
            </m:oMath>
          </w:p>
          <w:p w14:paraId="55A3D72D" w14:textId="77777777" w:rsidR="00E04797" w:rsidRPr="00E04797" w:rsidRDefault="00E04797">
            <w:pPr>
              <w:rPr>
                <w:rFonts w:eastAsiaTheme="minorEastAsia" w:cs="Arial"/>
                <w:szCs w:val="18"/>
                <w:lang w:val="en-CA" w:eastAsia="en-CA"/>
              </w:rPr>
            </w:pPr>
            <w:r w:rsidRPr="00E04797">
              <w:rPr>
                <w:rFonts w:eastAsiaTheme="minorEastAsia" w:cs="Arial"/>
                <w:szCs w:val="18"/>
                <w:lang w:val="en-CA" w:eastAsia="en-CA"/>
              </w:rPr>
              <w:t>Where are:</w:t>
            </w:r>
          </w:p>
          <w:p w14:paraId="0982B13E" w14:textId="77777777" w:rsidR="00E04797" w:rsidRPr="00E04797" w:rsidRDefault="00E04797" w:rsidP="00E04797">
            <w:pPr>
              <w:pStyle w:val="ListParagraph"/>
              <w:numPr>
                <w:ilvl w:val="0"/>
                <w:numId w:val="25"/>
              </w:numPr>
              <w:tabs>
                <w:tab w:val="clear" w:pos="7100"/>
              </w:tabs>
              <w:spacing w:line="240" w:lineRule="auto"/>
              <w:rPr>
                <w:rFonts w:cs="Arial"/>
                <w:iCs/>
                <w:szCs w:val="18"/>
              </w:rPr>
            </w:pPr>
            <w:r w:rsidRPr="00E04797">
              <w:rPr>
                <w:rFonts w:cs="Arial"/>
                <w:iCs/>
                <w:szCs w:val="18"/>
              </w:rPr>
              <w:t>[A]</w:t>
            </w:r>
            <w:r w:rsidRPr="00E04797">
              <w:rPr>
                <w:rFonts w:cs="Arial"/>
                <w:iCs/>
                <w:szCs w:val="18"/>
                <w:vertAlign w:val="subscript"/>
              </w:rPr>
              <w:t>0</w:t>
            </w:r>
            <w:r w:rsidRPr="00E04797">
              <w:rPr>
                <w:rFonts w:cs="Arial"/>
                <w:iCs/>
                <w:szCs w:val="18"/>
              </w:rPr>
              <w:t>: Initial concentration of an oxidant at time; t=0</w:t>
            </w:r>
          </w:p>
          <w:p w14:paraId="75D64D78" w14:textId="598F351E" w:rsidR="00E04797" w:rsidRPr="00E04797" w:rsidRDefault="00E04797" w:rsidP="00E04797">
            <w:pPr>
              <w:pStyle w:val="ListParagraph"/>
              <w:numPr>
                <w:ilvl w:val="0"/>
                <w:numId w:val="25"/>
              </w:numPr>
              <w:tabs>
                <w:tab w:val="clear" w:pos="7100"/>
              </w:tabs>
              <w:spacing w:line="240" w:lineRule="auto"/>
              <w:rPr>
                <w:rFonts w:cs="Arial"/>
                <w:iCs/>
                <w:szCs w:val="18"/>
              </w:rPr>
            </w:pPr>
            <w:r w:rsidRPr="00E04797">
              <w:rPr>
                <w:rFonts w:cs="Arial"/>
                <w:iCs/>
                <w:szCs w:val="18"/>
              </w:rPr>
              <w:t>[B]</w:t>
            </w:r>
            <w:r w:rsidRPr="00E04797">
              <w:rPr>
                <w:rFonts w:cs="Arial"/>
                <w:iCs/>
                <w:szCs w:val="18"/>
                <w:vertAlign w:val="subscript"/>
              </w:rPr>
              <w:t>0</w:t>
            </w:r>
            <w:r w:rsidRPr="00E04797">
              <w:rPr>
                <w:rFonts w:cs="Arial"/>
                <w:iCs/>
                <w:szCs w:val="18"/>
              </w:rPr>
              <w:t>: Initial concentration of an odorant at time</w:t>
            </w:r>
            <w:r w:rsidR="00902ACC">
              <w:rPr>
                <w:rFonts w:cs="Arial"/>
                <w:iCs/>
                <w:szCs w:val="18"/>
              </w:rPr>
              <w:t>,</w:t>
            </w:r>
            <w:r w:rsidR="00902ACC" w:rsidRPr="00E04797">
              <w:rPr>
                <w:rFonts w:cs="Arial"/>
                <w:iCs/>
                <w:szCs w:val="18"/>
              </w:rPr>
              <w:t> </w:t>
            </w:r>
            <w:r w:rsidRPr="00E04797">
              <w:rPr>
                <w:rFonts w:cs="Arial"/>
                <w:iCs/>
                <w:szCs w:val="18"/>
              </w:rPr>
              <w:t>t=0</w:t>
            </w:r>
          </w:p>
          <w:p w14:paraId="3966EC68" w14:textId="05F544BB" w:rsidR="00E04797" w:rsidRPr="00E04797" w:rsidRDefault="00E04797" w:rsidP="00E04797">
            <w:pPr>
              <w:pStyle w:val="ListParagraph"/>
              <w:numPr>
                <w:ilvl w:val="0"/>
                <w:numId w:val="25"/>
              </w:numPr>
              <w:tabs>
                <w:tab w:val="clear" w:pos="7100"/>
              </w:tabs>
              <w:spacing w:line="240" w:lineRule="auto"/>
              <w:rPr>
                <w:rFonts w:cs="Arial"/>
                <w:iCs/>
                <w:szCs w:val="18"/>
              </w:rPr>
            </w:pPr>
            <w:r w:rsidRPr="00E04797">
              <w:rPr>
                <w:rFonts w:cs="Arial"/>
                <w:iCs/>
                <w:szCs w:val="18"/>
              </w:rPr>
              <w:t>[A]</w:t>
            </w:r>
            <w:r w:rsidRPr="00E04797">
              <w:rPr>
                <w:rFonts w:cs="Arial"/>
                <w:iCs/>
                <w:szCs w:val="18"/>
                <w:vertAlign w:val="subscript"/>
              </w:rPr>
              <w:t>t</w:t>
            </w:r>
            <w:r w:rsidRPr="00E04797">
              <w:rPr>
                <w:rFonts w:cs="Arial"/>
                <w:iCs/>
                <w:szCs w:val="18"/>
              </w:rPr>
              <w:t xml:space="preserve">: Concentration of an oxidant </w:t>
            </w:r>
            <w:r w:rsidR="002045B6" w:rsidRPr="00E04797">
              <w:rPr>
                <w:rFonts w:cs="Arial"/>
                <w:iCs/>
                <w:szCs w:val="18"/>
              </w:rPr>
              <w:t>later</w:t>
            </w:r>
            <w:r w:rsidRPr="00E04797">
              <w:rPr>
                <w:rFonts w:cs="Arial"/>
                <w:iCs/>
                <w:szCs w:val="18"/>
              </w:rPr>
              <w:t xml:space="preserve"> </w:t>
            </w:r>
          </w:p>
          <w:p w14:paraId="3C881657" w14:textId="0C4218EF" w:rsidR="00E04797" w:rsidRPr="00E04797" w:rsidRDefault="00E04797" w:rsidP="00E04797">
            <w:pPr>
              <w:pStyle w:val="ListParagraph"/>
              <w:numPr>
                <w:ilvl w:val="0"/>
                <w:numId w:val="25"/>
              </w:numPr>
              <w:tabs>
                <w:tab w:val="clear" w:pos="7100"/>
              </w:tabs>
              <w:spacing w:line="240" w:lineRule="auto"/>
              <w:rPr>
                <w:rFonts w:cs="Arial"/>
                <w:iCs/>
                <w:szCs w:val="18"/>
              </w:rPr>
            </w:pPr>
            <w:r w:rsidRPr="00E04797">
              <w:rPr>
                <w:rFonts w:cs="Arial"/>
                <w:iCs/>
                <w:szCs w:val="18"/>
              </w:rPr>
              <w:t>[B]</w:t>
            </w:r>
            <w:r w:rsidRPr="00E04797">
              <w:rPr>
                <w:rFonts w:cs="Arial"/>
                <w:iCs/>
                <w:szCs w:val="18"/>
                <w:vertAlign w:val="subscript"/>
              </w:rPr>
              <w:t>t</w:t>
            </w:r>
            <w:r w:rsidRPr="00E04797">
              <w:rPr>
                <w:rFonts w:cs="Arial"/>
                <w:iCs/>
                <w:szCs w:val="18"/>
              </w:rPr>
              <w:t xml:space="preserve">: Concentration of an odorant </w:t>
            </w:r>
            <w:r w:rsidR="002045B6" w:rsidRPr="00E04797">
              <w:rPr>
                <w:rFonts w:cs="Arial"/>
                <w:iCs/>
                <w:szCs w:val="18"/>
              </w:rPr>
              <w:t>later</w:t>
            </w:r>
            <w:r w:rsidRPr="00E04797">
              <w:rPr>
                <w:rFonts w:cs="Arial"/>
                <w:iCs/>
                <w:szCs w:val="18"/>
              </w:rPr>
              <w:t xml:space="preserve"> </w:t>
            </w:r>
          </w:p>
          <w:p w14:paraId="4BCDE929" w14:textId="77777777" w:rsidR="00E04797" w:rsidRPr="00E04797" w:rsidRDefault="00E04797" w:rsidP="00E04797">
            <w:pPr>
              <w:pStyle w:val="ListParagraph"/>
              <w:numPr>
                <w:ilvl w:val="0"/>
                <w:numId w:val="25"/>
              </w:numPr>
              <w:tabs>
                <w:tab w:val="clear" w:pos="7100"/>
              </w:tabs>
              <w:spacing w:line="240" w:lineRule="auto"/>
              <w:rPr>
                <w:rFonts w:cs="Arial"/>
                <w:iCs/>
                <w:szCs w:val="18"/>
              </w:rPr>
            </w:pPr>
            <w:r w:rsidRPr="00E04797">
              <w:rPr>
                <w:rFonts w:cs="Arial"/>
                <w:iCs/>
                <w:szCs w:val="18"/>
              </w:rPr>
              <w:t>k:     Rate coefficient for the reaction between A and B</w:t>
            </w:r>
          </w:p>
          <w:p w14:paraId="3576B6C4" w14:textId="77777777" w:rsidR="00E04797" w:rsidRPr="00E04797" w:rsidRDefault="00E04797" w:rsidP="00E04797">
            <w:pPr>
              <w:pStyle w:val="ListParagraph"/>
              <w:numPr>
                <w:ilvl w:val="0"/>
                <w:numId w:val="25"/>
              </w:numPr>
              <w:tabs>
                <w:tab w:val="clear" w:pos="7100"/>
              </w:tabs>
              <w:spacing w:line="240" w:lineRule="auto"/>
              <w:rPr>
                <w:rFonts w:cs="Arial"/>
                <w:iCs/>
                <w:szCs w:val="18"/>
              </w:rPr>
            </w:pPr>
            <w:r w:rsidRPr="00E04797">
              <w:rPr>
                <w:rFonts w:cs="Arial"/>
                <w:iCs/>
                <w:szCs w:val="18"/>
              </w:rPr>
              <w:t>T</w:t>
            </w:r>
            <w:r w:rsidRPr="00E04797">
              <w:rPr>
                <w:rFonts w:cs="Arial"/>
                <w:iCs/>
                <w:szCs w:val="18"/>
                <w:vertAlign w:val="subscript"/>
              </w:rPr>
              <w:t>1/2</w:t>
            </w:r>
            <w:r w:rsidRPr="00E04797">
              <w:rPr>
                <w:rFonts w:eastAsiaTheme="minorEastAsia" w:cs="Arial"/>
                <w:szCs w:val="18"/>
              </w:rPr>
              <w:t>: Half</w:t>
            </w:r>
            <w:r w:rsidRPr="00E04797">
              <w:rPr>
                <w:rFonts w:eastAsiaTheme="minorEastAsia" w:cs="Arial"/>
                <w:szCs w:val="18"/>
              </w:rPr>
              <w:noBreakHyphen/>
              <w:t>life of B</w:t>
            </w:r>
          </w:p>
          <w:p w14:paraId="264E541F" w14:textId="77777777" w:rsidR="00E04797" w:rsidRPr="00E04797" w:rsidRDefault="00E04797">
            <w:pPr>
              <w:rPr>
                <w:rFonts w:eastAsiaTheme="minorEastAsia" w:cs="Arial"/>
                <w:szCs w:val="18"/>
                <w:lang w:eastAsia="en-CA"/>
              </w:rPr>
            </w:pPr>
          </w:p>
          <w:p w14:paraId="25FDF7B7" w14:textId="3E1ECB36" w:rsidR="00E04797" w:rsidRPr="00E04797" w:rsidRDefault="00E04797">
            <w:pPr>
              <w:rPr>
                <w:rFonts w:cs="Arial"/>
                <w:szCs w:val="18"/>
              </w:rPr>
            </w:pPr>
            <w:r w:rsidRPr="00E04797">
              <w:rPr>
                <w:rFonts w:cs="Arial"/>
                <w:szCs w:val="18"/>
              </w:rPr>
              <w:t xml:space="preserve">Introducing </w:t>
            </w:r>
            <w:r w:rsidR="00902ACC">
              <w:rPr>
                <w:rFonts w:cs="Arial"/>
                <w:szCs w:val="18"/>
              </w:rPr>
              <w:t xml:space="preserve">the </w:t>
            </w:r>
            <w:r w:rsidRPr="00E04797">
              <w:rPr>
                <w:rFonts w:cs="Arial"/>
                <w:szCs w:val="18"/>
              </w:rPr>
              <w:t>relative rate method, we get:</w:t>
            </w:r>
          </w:p>
        </w:tc>
        <w:tc>
          <w:tcPr>
            <w:tcW w:w="845" w:type="dxa"/>
          </w:tcPr>
          <w:p w14:paraId="1B14E1C7" w14:textId="77777777" w:rsidR="00E04797" w:rsidRPr="00E04797" w:rsidRDefault="00E04797">
            <w:pPr>
              <w:jc w:val="center"/>
              <w:rPr>
                <w:rFonts w:cs="Arial"/>
                <w:szCs w:val="18"/>
              </w:rPr>
            </w:pPr>
          </w:p>
          <w:p w14:paraId="0B264EE9" w14:textId="77777777" w:rsidR="00E04797" w:rsidRPr="00E04797" w:rsidRDefault="00E04797">
            <w:pPr>
              <w:jc w:val="center"/>
              <w:rPr>
                <w:rFonts w:cs="Arial"/>
                <w:szCs w:val="18"/>
              </w:rPr>
            </w:pPr>
            <w:r w:rsidRPr="00E04797">
              <w:rPr>
                <w:rFonts w:cs="Arial"/>
                <w:szCs w:val="18"/>
              </w:rPr>
              <w:t>eq. 2</w:t>
            </w:r>
          </w:p>
        </w:tc>
      </w:tr>
      <w:tr w:rsidR="00E04797" w:rsidRPr="00E04797" w14:paraId="6B077CEB" w14:textId="77777777">
        <w:trPr>
          <w:trHeight w:val="132"/>
          <w:jc w:val="center"/>
        </w:trPr>
        <w:tc>
          <w:tcPr>
            <w:tcW w:w="8505" w:type="dxa"/>
          </w:tcPr>
          <w:p w14:paraId="48B46CD6" w14:textId="77777777" w:rsidR="00E04797" w:rsidRPr="00E04797" w:rsidRDefault="00E04797">
            <w:pPr>
              <w:jc w:val="center"/>
              <w:rPr>
                <w:rFonts w:eastAsiaTheme="minorEastAsia" w:cs="Arial"/>
                <w:szCs w:val="18"/>
                <w:lang w:val="pl-PL"/>
              </w:rPr>
            </w:pPr>
          </w:p>
          <w:p w14:paraId="4CC0324C" w14:textId="2DEE1C24" w:rsidR="00E04797" w:rsidRPr="00E04797" w:rsidRDefault="00E04797">
            <w:pPr>
              <w:jc w:val="center"/>
              <w:rPr>
                <w:rFonts w:cs="Arial"/>
                <w:szCs w:val="18"/>
                <w:vertAlign w:val="subscript"/>
                <w:lang w:val="pl-PL" w:eastAsia="en-CA"/>
              </w:rPr>
            </w:pPr>
            <w:r w:rsidRPr="00E04797">
              <w:rPr>
                <w:rFonts w:cs="Arial"/>
                <w:szCs w:val="18"/>
                <w:lang w:val="pl-PL" w:eastAsia="en-CA"/>
              </w:rPr>
              <w:t>K</w:t>
            </w:r>
            <w:r w:rsidRPr="00E04797">
              <w:rPr>
                <w:rFonts w:cs="Arial"/>
                <w:szCs w:val="18"/>
                <w:vertAlign w:val="subscript"/>
                <w:lang w:val="pl-PL" w:eastAsia="en-CA"/>
              </w:rPr>
              <w:t xml:space="preserve">B </w:t>
            </w:r>
            <w:r w:rsidRPr="00E04797">
              <w:rPr>
                <w:rFonts w:cs="Arial"/>
                <w:szCs w:val="18"/>
                <w:lang w:val="pl-PL" w:eastAsia="en-CA"/>
              </w:rPr>
              <w:t>= R K</w:t>
            </w:r>
            <w:r w:rsidRPr="00E04797">
              <w:rPr>
                <w:rFonts w:cs="Arial"/>
                <w:szCs w:val="18"/>
                <w:vertAlign w:val="subscript"/>
                <w:lang w:val="pl-PL" w:eastAsia="en-CA"/>
              </w:rPr>
              <w:t>ref</w:t>
            </w:r>
          </w:p>
          <w:p w14:paraId="04565E50" w14:textId="603DBDBD" w:rsidR="00E04797" w:rsidRPr="00E04797" w:rsidRDefault="00E04797">
            <w:pPr>
              <w:jc w:val="center"/>
              <w:rPr>
                <w:rFonts w:eastAsiaTheme="minorEastAsia" w:cs="Arial"/>
                <w:szCs w:val="18"/>
                <w:lang w:val="pl-PL" w:eastAsia="en-CA"/>
              </w:rPr>
            </w:pPr>
            <w:r w:rsidRPr="00E04797">
              <w:rPr>
                <w:rFonts w:eastAsiaTheme="minorEastAsia" w:cs="Arial"/>
                <w:szCs w:val="18"/>
                <w:lang w:val="pl-PL" w:eastAsia="en-CA"/>
              </w:rPr>
              <w:t>K` = K</w:t>
            </w:r>
            <w:r w:rsidRPr="00E04797">
              <w:rPr>
                <w:rFonts w:eastAsiaTheme="minorEastAsia" w:cs="Arial"/>
                <w:szCs w:val="18"/>
                <w:vertAlign w:val="subscript"/>
                <w:lang w:val="pl-PL" w:eastAsia="en-CA"/>
              </w:rPr>
              <w:t xml:space="preserve">B </w:t>
            </w:r>
            <w:r w:rsidRPr="00E04797">
              <w:rPr>
                <w:rFonts w:eastAsiaTheme="minorEastAsia" w:cs="Arial"/>
                <w:szCs w:val="18"/>
                <w:lang w:val="pl-PL" w:eastAsia="en-CA"/>
              </w:rPr>
              <w:t>[OH]</w:t>
            </w:r>
            <w:r w:rsidRPr="00E04797">
              <w:rPr>
                <w:rFonts w:eastAsiaTheme="minorEastAsia" w:cs="Arial"/>
                <w:szCs w:val="18"/>
                <w:vertAlign w:val="subscript"/>
                <w:lang w:val="pl-PL" w:eastAsia="en-CA"/>
              </w:rPr>
              <w:t>standard</w:t>
            </w:r>
            <w:r w:rsidRPr="00E04797">
              <w:rPr>
                <w:rFonts w:eastAsiaTheme="minorEastAsia" w:cs="Arial"/>
                <w:szCs w:val="18"/>
                <w:lang w:val="pl-PL" w:eastAsia="en-CA"/>
              </w:rPr>
              <w:t xml:space="preserve"> </w:t>
            </w:r>
          </w:p>
          <w:p w14:paraId="006CC83B" w14:textId="77777777" w:rsidR="00E04797" w:rsidRPr="00E04797" w:rsidRDefault="00E04797">
            <w:pPr>
              <w:rPr>
                <w:rFonts w:eastAsiaTheme="minorEastAsia" w:cs="Arial"/>
                <w:szCs w:val="18"/>
                <w:lang w:val="en-CA" w:eastAsia="en-CA"/>
              </w:rPr>
            </w:pPr>
            <w:r w:rsidRPr="00E04797">
              <w:rPr>
                <w:rFonts w:eastAsiaTheme="minorEastAsia" w:cs="Arial"/>
                <w:szCs w:val="18"/>
                <w:lang w:val="en-CA" w:eastAsia="en-CA"/>
              </w:rPr>
              <w:t xml:space="preserve">Where are: </w:t>
            </w:r>
          </w:p>
          <w:p w14:paraId="684A3681" w14:textId="77777777" w:rsidR="00E04797" w:rsidRPr="00E04797" w:rsidRDefault="00E04797">
            <w:pPr>
              <w:rPr>
                <w:rFonts w:eastAsiaTheme="minorEastAsia" w:cs="Arial"/>
                <w:szCs w:val="18"/>
                <w:lang w:val="en-CA" w:eastAsia="en-CA"/>
              </w:rPr>
            </w:pPr>
          </w:p>
          <w:p w14:paraId="0219E01D" w14:textId="77777777" w:rsidR="00E04797" w:rsidRPr="00E04797" w:rsidRDefault="00E04797" w:rsidP="00E04797">
            <w:pPr>
              <w:pStyle w:val="ListParagraph"/>
              <w:numPr>
                <w:ilvl w:val="0"/>
                <w:numId w:val="26"/>
              </w:numPr>
              <w:tabs>
                <w:tab w:val="clear" w:pos="7100"/>
              </w:tabs>
              <w:spacing w:line="240" w:lineRule="auto"/>
              <w:jc w:val="left"/>
              <w:rPr>
                <w:rFonts w:eastAsiaTheme="minorEastAsia" w:cs="Arial"/>
                <w:szCs w:val="18"/>
                <w:lang w:val="en-CA" w:eastAsia="en-CA"/>
              </w:rPr>
            </w:pPr>
            <w:r w:rsidRPr="00E04797">
              <w:rPr>
                <w:rFonts w:eastAsiaTheme="minorEastAsia" w:cs="Arial"/>
                <w:szCs w:val="18"/>
                <w:lang w:val="en-CA" w:eastAsia="en-CA"/>
              </w:rPr>
              <w:t>K</w:t>
            </w:r>
            <w:r w:rsidRPr="00E04797">
              <w:rPr>
                <w:rFonts w:eastAsiaTheme="minorEastAsia" w:cs="Arial"/>
                <w:szCs w:val="18"/>
                <w:vertAlign w:val="subscript"/>
                <w:lang w:val="en-CA" w:eastAsia="en-CA"/>
              </w:rPr>
              <w:t>B</w:t>
            </w:r>
            <w:r w:rsidRPr="00E04797">
              <w:rPr>
                <w:rFonts w:eastAsiaTheme="minorEastAsia" w:cs="Arial"/>
                <w:szCs w:val="18"/>
                <w:lang w:val="en-CA" w:eastAsia="en-CA"/>
              </w:rPr>
              <w:t>: Rate coefficient for odorant</w:t>
            </w:r>
          </w:p>
          <w:p w14:paraId="35B77108" w14:textId="0B51D0E6" w:rsidR="00E04797" w:rsidRPr="00E04797" w:rsidRDefault="00E04797" w:rsidP="00E04797">
            <w:pPr>
              <w:pStyle w:val="ListParagraph"/>
              <w:numPr>
                <w:ilvl w:val="0"/>
                <w:numId w:val="26"/>
              </w:numPr>
              <w:tabs>
                <w:tab w:val="clear" w:pos="7100"/>
              </w:tabs>
              <w:spacing w:line="240" w:lineRule="auto"/>
              <w:jc w:val="left"/>
              <w:rPr>
                <w:rFonts w:eastAsiaTheme="minorEastAsia" w:cs="Arial"/>
                <w:szCs w:val="18"/>
                <w:lang w:val="en-CA" w:eastAsia="en-CA"/>
              </w:rPr>
            </w:pPr>
            <w:proofErr w:type="spellStart"/>
            <w:r w:rsidRPr="00E04797">
              <w:rPr>
                <w:rFonts w:eastAsiaTheme="minorEastAsia" w:cs="Arial"/>
                <w:szCs w:val="18"/>
                <w:lang w:val="en-CA" w:eastAsia="en-CA"/>
              </w:rPr>
              <w:t>K</w:t>
            </w:r>
            <w:r w:rsidRPr="00E04797">
              <w:rPr>
                <w:rFonts w:eastAsiaTheme="minorEastAsia" w:cs="Arial"/>
                <w:szCs w:val="18"/>
                <w:vertAlign w:val="subscript"/>
                <w:lang w:val="en-CA" w:eastAsia="en-CA"/>
              </w:rPr>
              <w:t>ref</w:t>
            </w:r>
            <w:proofErr w:type="spellEnd"/>
            <w:r w:rsidRPr="00E04797">
              <w:rPr>
                <w:rFonts w:eastAsiaTheme="minorEastAsia" w:cs="Arial"/>
                <w:szCs w:val="18"/>
                <w:lang w:val="en-CA" w:eastAsia="en-CA"/>
              </w:rPr>
              <w:t xml:space="preserve">: Rate coefficient for reference (from </w:t>
            </w:r>
            <w:r w:rsidR="00E91614">
              <w:rPr>
                <w:rFonts w:eastAsiaTheme="minorEastAsia" w:cs="Arial"/>
                <w:szCs w:val="18"/>
                <w:lang w:val="en-CA" w:eastAsia="en-CA"/>
              </w:rPr>
              <w:t>literature</w:t>
            </w:r>
            <w:r w:rsidRPr="00E04797">
              <w:rPr>
                <w:rFonts w:eastAsiaTheme="minorEastAsia" w:cs="Arial"/>
                <w:szCs w:val="18"/>
                <w:lang w:val="en-CA" w:eastAsia="en-CA"/>
              </w:rPr>
              <w:t>)</w:t>
            </w:r>
          </w:p>
          <w:p w14:paraId="59781819" w14:textId="77777777" w:rsidR="00E04797" w:rsidRPr="00E04797" w:rsidRDefault="00E04797" w:rsidP="00E04797">
            <w:pPr>
              <w:pStyle w:val="ListParagraph"/>
              <w:numPr>
                <w:ilvl w:val="0"/>
                <w:numId w:val="26"/>
              </w:numPr>
              <w:tabs>
                <w:tab w:val="clear" w:pos="7100"/>
              </w:tabs>
              <w:spacing w:line="240" w:lineRule="auto"/>
              <w:jc w:val="left"/>
              <w:rPr>
                <w:rFonts w:eastAsiaTheme="minorEastAsia" w:cs="Arial"/>
                <w:szCs w:val="18"/>
                <w:lang w:eastAsia="en-CA"/>
              </w:rPr>
            </w:pPr>
            <w:r w:rsidRPr="00E04797">
              <w:rPr>
                <w:rFonts w:eastAsiaTheme="minorEastAsia" w:cs="Arial"/>
                <w:szCs w:val="18"/>
                <w:lang w:val="en-CA" w:eastAsia="en-CA"/>
              </w:rPr>
              <w:t xml:space="preserve">R: </w:t>
            </w:r>
            <w:r w:rsidRPr="00E04797">
              <w:rPr>
                <w:rFonts w:eastAsiaTheme="minorEastAsia" w:cs="Arial"/>
                <w:szCs w:val="18"/>
                <w:lang w:eastAsia="en-CA"/>
              </w:rPr>
              <w:t>Is the slope extracted from plotting Ln(odorant</w:t>
            </w:r>
            <w:r w:rsidRPr="00E04797">
              <w:rPr>
                <w:rFonts w:eastAsiaTheme="minorEastAsia" w:cs="Arial"/>
                <w:szCs w:val="18"/>
                <w:vertAlign w:val="subscript"/>
                <w:lang w:eastAsia="en-CA"/>
              </w:rPr>
              <w:t>0</w:t>
            </w:r>
            <w:r w:rsidRPr="00E04797">
              <w:rPr>
                <w:rFonts w:eastAsiaTheme="minorEastAsia" w:cs="Arial"/>
                <w:szCs w:val="18"/>
                <w:lang w:eastAsia="en-CA"/>
              </w:rPr>
              <w:t>/</w:t>
            </w:r>
            <w:proofErr w:type="spellStart"/>
            <w:r w:rsidRPr="00E04797">
              <w:rPr>
                <w:rFonts w:eastAsiaTheme="minorEastAsia" w:cs="Arial"/>
                <w:szCs w:val="18"/>
                <w:lang w:eastAsia="en-CA"/>
              </w:rPr>
              <w:t>odorant</w:t>
            </w:r>
            <w:r w:rsidRPr="00E04797">
              <w:rPr>
                <w:rFonts w:eastAsiaTheme="minorEastAsia" w:cs="Arial"/>
                <w:szCs w:val="18"/>
                <w:vertAlign w:val="subscript"/>
                <w:lang w:eastAsia="en-CA"/>
              </w:rPr>
              <w:t>t</w:t>
            </w:r>
            <w:proofErr w:type="spellEnd"/>
            <w:r w:rsidRPr="00E04797">
              <w:rPr>
                <w:rFonts w:eastAsiaTheme="minorEastAsia" w:cs="Arial"/>
                <w:szCs w:val="18"/>
                <w:lang w:eastAsia="en-CA"/>
              </w:rPr>
              <w:t>) Vs Ln(ref</w:t>
            </w:r>
            <w:r w:rsidRPr="00E04797">
              <w:rPr>
                <w:rFonts w:eastAsiaTheme="minorEastAsia" w:cs="Arial"/>
                <w:szCs w:val="18"/>
                <w:vertAlign w:val="subscript"/>
                <w:lang w:eastAsia="en-CA"/>
              </w:rPr>
              <w:t>0</w:t>
            </w:r>
            <w:r w:rsidRPr="00E04797">
              <w:rPr>
                <w:rFonts w:eastAsiaTheme="minorEastAsia" w:cs="Arial"/>
                <w:szCs w:val="18"/>
                <w:lang w:eastAsia="en-CA"/>
              </w:rPr>
              <w:t>/</w:t>
            </w:r>
            <w:proofErr w:type="spellStart"/>
            <w:r w:rsidRPr="00E04797">
              <w:rPr>
                <w:rFonts w:eastAsiaTheme="minorEastAsia" w:cs="Arial"/>
                <w:szCs w:val="18"/>
                <w:lang w:eastAsia="en-CA"/>
              </w:rPr>
              <w:t>ref</w:t>
            </w:r>
            <w:r w:rsidRPr="00E04797">
              <w:rPr>
                <w:rFonts w:eastAsiaTheme="minorEastAsia" w:cs="Arial"/>
                <w:szCs w:val="18"/>
                <w:vertAlign w:val="subscript"/>
                <w:lang w:eastAsia="en-CA"/>
              </w:rPr>
              <w:t>t</w:t>
            </w:r>
            <w:proofErr w:type="spellEnd"/>
            <w:r w:rsidRPr="00E04797">
              <w:rPr>
                <w:rFonts w:eastAsiaTheme="minorEastAsia" w:cs="Arial"/>
                <w:szCs w:val="18"/>
                <w:lang w:eastAsia="en-CA"/>
              </w:rPr>
              <w:t>)</w:t>
            </w:r>
          </w:p>
          <w:p w14:paraId="6F415FE7" w14:textId="77777777" w:rsidR="00E04797" w:rsidRPr="00E04797" w:rsidRDefault="00E04797" w:rsidP="00E04797">
            <w:pPr>
              <w:pStyle w:val="ListParagraph"/>
              <w:numPr>
                <w:ilvl w:val="0"/>
                <w:numId w:val="26"/>
              </w:numPr>
              <w:tabs>
                <w:tab w:val="clear" w:pos="7100"/>
              </w:tabs>
              <w:spacing w:line="240" w:lineRule="auto"/>
              <w:jc w:val="left"/>
              <w:rPr>
                <w:rFonts w:eastAsiaTheme="minorEastAsia" w:cs="Arial"/>
                <w:szCs w:val="18"/>
                <w:lang w:eastAsia="en-CA"/>
              </w:rPr>
            </w:pPr>
            <w:r w:rsidRPr="00E04797">
              <w:rPr>
                <w:rFonts w:eastAsiaTheme="minorEastAsia" w:cs="Arial"/>
                <w:szCs w:val="18"/>
                <w:lang w:eastAsia="en-CA"/>
              </w:rPr>
              <w:t xml:space="preserve">K`: </w:t>
            </w:r>
            <w:r w:rsidRPr="00E04797">
              <w:rPr>
                <w:rFonts w:eastAsiaTheme="minorEastAsia" w:cs="Arial"/>
                <w:szCs w:val="18"/>
                <w:lang w:val="en-CA" w:eastAsia="en-CA"/>
              </w:rPr>
              <w:t>Pseudo-First-Order Reaction Rate</w:t>
            </w:r>
          </w:p>
          <w:p w14:paraId="3A09258B" w14:textId="77777777" w:rsidR="00E04797" w:rsidRPr="00E04797" w:rsidRDefault="00E04797">
            <w:pPr>
              <w:rPr>
                <w:rFonts w:eastAsiaTheme="minorEastAsia" w:cs="Arial"/>
                <w:iCs/>
                <w:color w:val="000000"/>
                <w:szCs w:val="18"/>
                <w:lang w:eastAsia="en-CA"/>
              </w:rPr>
            </w:pPr>
          </w:p>
          <w:p w14:paraId="0BF20C75" w14:textId="77777777" w:rsidR="00E04797" w:rsidRPr="00E04797" w:rsidRDefault="00E04797">
            <w:pPr>
              <w:rPr>
                <w:rFonts w:eastAsiaTheme="minorEastAsia" w:cs="Arial"/>
                <w:szCs w:val="18"/>
              </w:rPr>
            </w:pPr>
            <w:r w:rsidRPr="00E04797">
              <w:rPr>
                <w:rFonts w:eastAsiaTheme="minorEastAsia" w:cs="Arial"/>
                <w:iCs/>
                <w:color w:val="000000"/>
                <w:szCs w:val="18"/>
                <w:lang w:eastAsia="en-CA"/>
              </w:rPr>
              <w:t>Substituting this into the equation, we get:</w:t>
            </w:r>
          </w:p>
        </w:tc>
        <w:tc>
          <w:tcPr>
            <w:tcW w:w="845" w:type="dxa"/>
          </w:tcPr>
          <w:p w14:paraId="5FD49881" w14:textId="77777777" w:rsidR="00E04797" w:rsidRPr="00E04797" w:rsidRDefault="00E04797">
            <w:pPr>
              <w:jc w:val="center"/>
              <w:rPr>
                <w:rFonts w:cs="Arial"/>
                <w:szCs w:val="18"/>
                <w:lang w:val="en-CA"/>
              </w:rPr>
            </w:pPr>
          </w:p>
          <w:p w14:paraId="79EB68F2" w14:textId="77777777" w:rsidR="00E04797" w:rsidRPr="00E04797" w:rsidRDefault="00E04797">
            <w:pPr>
              <w:jc w:val="center"/>
              <w:rPr>
                <w:rFonts w:cs="Arial"/>
                <w:szCs w:val="18"/>
              </w:rPr>
            </w:pPr>
            <w:r w:rsidRPr="00E04797">
              <w:rPr>
                <w:rFonts w:cs="Arial"/>
                <w:szCs w:val="18"/>
              </w:rPr>
              <w:t>eq. 3</w:t>
            </w:r>
          </w:p>
          <w:p w14:paraId="5726152E" w14:textId="77777777" w:rsidR="00E04797" w:rsidRPr="00E04797" w:rsidRDefault="00E04797">
            <w:pPr>
              <w:jc w:val="center"/>
              <w:rPr>
                <w:rFonts w:cs="Arial"/>
                <w:szCs w:val="18"/>
              </w:rPr>
            </w:pPr>
            <w:r w:rsidRPr="00E04797">
              <w:rPr>
                <w:rFonts w:cs="Arial"/>
                <w:szCs w:val="18"/>
              </w:rPr>
              <w:t>eq. 4</w:t>
            </w:r>
          </w:p>
        </w:tc>
      </w:tr>
      <w:tr w:rsidR="00E04797" w:rsidRPr="00E04797" w14:paraId="2276D84D" w14:textId="77777777">
        <w:trPr>
          <w:jc w:val="center"/>
        </w:trPr>
        <w:tc>
          <w:tcPr>
            <w:tcW w:w="8505" w:type="dxa"/>
          </w:tcPr>
          <w:p w14:paraId="19504334" w14:textId="77777777" w:rsidR="00E04797" w:rsidRPr="00E04797" w:rsidRDefault="00E04797">
            <w:pPr>
              <w:jc w:val="center"/>
              <w:rPr>
                <w:rFonts w:eastAsiaTheme="minorEastAsia" w:cs="Arial"/>
                <w:szCs w:val="18"/>
                <w:lang w:val="pl-PL"/>
              </w:rPr>
            </w:pPr>
          </w:p>
          <w:p w14:paraId="372ED0DF" w14:textId="77777777" w:rsidR="00E04797" w:rsidRPr="00E04797" w:rsidRDefault="00E04797">
            <w:pPr>
              <w:jc w:val="center"/>
              <w:rPr>
                <w:rFonts w:eastAsiaTheme="minorEastAsia" w:cs="Arial"/>
                <w:szCs w:val="18"/>
                <w:lang w:val="en-CA" w:eastAsia="en-CA"/>
              </w:rPr>
            </w:pPr>
            <w:r w:rsidRPr="00E04797">
              <w:rPr>
                <w:rFonts w:cs="Arial"/>
                <w:szCs w:val="18"/>
                <w:lang w:eastAsia="en-CA"/>
              </w:rPr>
              <w:t xml:space="preserve">T </w:t>
            </w:r>
            <m:oMath>
              <m:f>
                <m:fPr>
                  <m:ctrlPr>
                    <w:rPr>
                      <w:rFonts w:ascii="Cambria Math" w:hAnsi="Cambria Math" w:cs="Arial"/>
                      <w:szCs w:val="18"/>
                    </w:rPr>
                  </m:ctrlPr>
                </m:fPr>
                <m:num>
                  <m:r>
                    <m:rPr>
                      <m:sty m:val="p"/>
                    </m:rPr>
                    <w:rPr>
                      <w:rFonts w:ascii="Cambria Math" w:hAnsi="Cambria Math" w:cs="Arial"/>
                      <w:szCs w:val="18"/>
                    </w:rPr>
                    <m:t>1</m:t>
                  </m:r>
                </m:num>
                <m:den>
                  <m:r>
                    <m:rPr>
                      <m:sty m:val="p"/>
                    </m:rPr>
                    <w:rPr>
                      <w:rFonts w:ascii="Cambria Math" w:hAnsi="Cambria Math" w:cs="Arial"/>
                      <w:szCs w:val="18"/>
                    </w:rPr>
                    <m:t>2</m:t>
                  </m:r>
                </m:den>
              </m:f>
              <m:r>
                <m:rPr>
                  <m:sty m:val="p"/>
                </m:rPr>
                <w:rPr>
                  <w:rFonts w:ascii="Cambria Math" w:hAnsi="Cambria Math" w:cs="Arial"/>
                  <w:szCs w:val="18"/>
                  <w:lang w:eastAsia="en-CA"/>
                </w:rPr>
                <m:t>=</m:t>
              </m:r>
              <m:f>
                <m:fPr>
                  <m:ctrlPr>
                    <w:rPr>
                      <w:rFonts w:ascii="Cambria Math" w:hAnsi="Cambria Math" w:cs="Arial"/>
                      <w:szCs w:val="18"/>
                      <w:lang w:eastAsia="en-CA"/>
                    </w:rPr>
                  </m:ctrlPr>
                </m:fPr>
                <m:num>
                  <m:r>
                    <m:rPr>
                      <m:sty m:val="p"/>
                    </m:rPr>
                    <w:rPr>
                      <w:rFonts w:ascii="Cambria Math" w:hAnsi="Cambria Math" w:cs="Arial"/>
                      <w:szCs w:val="18"/>
                      <w:lang w:eastAsia="en-CA"/>
                    </w:rPr>
                    <m:t>ln⁡</m:t>
                  </m:r>
                  <m:r>
                    <w:rPr>
                      <w:rFonts w:ascii="Cambria Math" w:hAnsi="Cambria Math" w:cs="Arial"/>
                      <w:szCs w:val="18"/>
                      <w:lang w:eastAsia="en-CA"/>
                    </w:rPr>
                    <m:t>(2)</m:t>
                  </m:r>
                </m:num>
                <m:den>
                  <m:r>
                    <w:rPr>
                      <w:rFonts w:ascii="Cambria Math" w:hAnsi="Cambria Math" w:cs="Arial"/>
                      <w:szCs w:val="18"/>
                      <w:lang w:eastAsia="en-CA"/>
                    </w:rPr>
                    <m:t>K`</m:t>
                  </m:r>
                </m:den>
              </m:f>
            </m:oMath>
          </w:p>
        </w:tc>
        <w:tc>
          <w:tcPr>
            <w:tcW w:w="845" w:type="dxa"/>
          </w:tcPr>
          <w:p w14:paraId="1A0FD095" w14:textId="77777777" w:rsidR="00E04797" w:rsidRPr="00E04797" w:rsidRDefault="00E04797">
            <w:pPr>
              <w:jc w:val="center"/>
              <w:rPr>
                <w:rFonts w:cs="Arial"/>
                <w:szCs w:val="18"/>
                <w:lang w:val="en-CA"/>
              </w:rPr>
            </w:pPr>
          </w:p>
          <w:p w14:paraId="6BC1A83D" w14:textId="77777777" w:rsidR="00E04797" w:rsidRPr="00E04797" w:rsidRDefault="00E04797">
            <w:pPr>
              <w:jc w:val="center"/>
              <w:rPr>
                <w:rFonts w:cs="Arial"/>
                <w:szCs w:val="18"/>
              </w:rPr>
            </w:pPr>
            <w:r w:rsidRPr="00E04797">
              <w:rPr>
                <w:rFonts w:cs="Arial"/>
                <w:szCs w:val="18"/>
              </w:rPr>
              <w:t>eq. 5</w:t>
            </w:r>
          </w:p>
          <w:p w14:paraId="7F600A44" w14:textId="77777777" w:rsidR="00E04797" w:rsidRPr="00E04797" w:rsidRDefault="00E04797">
            <w:pPr>
              <w:jc w:val="center"/>
              <w:rPr>
                <w:rFonts w:cs="Arial"/>
                <w:szCs w:val="18"/>
              </w:rPr>
            </w:pPr>
          </w:p>
        </w:tc>
      </w:tr>
    </w:tbl>
    <w:p w14:paraId="22D0EB3C" w14:textId="17BC559B" w:rsidR="001F4CA8" w:rsidRPr="00757E63" w:rsidRDefault="00152A38" w:rsidP="00F06E7E">
      <w:pPr>
        <w:pStyle w:val="CETHeading1"/>
        <w:rPr>
          <w:rFonts w:cs="Arial"/>
        </w:rPr>
      </w:pPr>
      <w:r w:rsidRPr="00757E63">
        <w:rPr>
          <w:rFonts w:cs="Arial"/>
        </w:rPr>
        <w:t>Results and discussion</w:t>
      </w:r>
    </w:p>
    <w:p w14:paraId="4289A1BB" w14:textId="2355593F" w:rsidR="007A7FBA" w:rsidRDefault="00757E63" w:rsidP="005748FA">
      <w:pPr>
        <w:pStyle w:val="CETBodytext"/>
        <w:ind w:right="-1"/>
        <w:rPr>
          <w:rFonts w:cs="Arial"/>
          <w:lang w:val="en-GB"/>
        </w:rPr>
      </w:pPr>
      <w:r w:rsidRPr="00757E63">
        <w:rPr>
          <w:rFonts w:cs="Arial"/>
          <w:lang w:val="en-GB"/>
        </w:rPr>
        <w:t>The relative rate method is a commonly applied approach in atmospheric chemistry for determining the reaction rate constant of a target compound by comparing its degradation rate with that of a reference compound whose rate constant toward the same oxidant (•OH) is already known</w:t>
      </w:r>
      <w:r>
        <w:rPr>
          <w:rFonts w:cs="Arial"/>
          <w:lang w:val="en-GB"/>
        </w:rPr>
        <w:t xml:space="preserve"> </w:t>
      </w:r>
      <w:r>
        <w:rPr>
          <w:rFonts w:cs="Arial"/>
          <w:lang w:val="en-GB"/>
        </w:rPr>
        <w:fldChar w:fldCharType="begin"/>
      </w:r>
      <w:r>
        <w:rPr>
          <w:rFonts w:cs="Arial"/>
          <w:lang w:val="en-GB"/>
        </w:rPr>
        <w:instrText xml:space="preserve"> ADDIN EN.CITE &lt;EndNote&gt;&lt;Cite&gt;&lt;Author&gt;Xin&lt;/Author&gt;&lt;Year&gt;2024&lt;/Year&gt;&lt;RecNum&gt;255&lt;/RecNum&gt;&lt;DisplayText&gt;(Xin et al., 2024)&lt;/DisplayText&gt;&lt;record&gt;&lt;rec-number&gt;255&lt;/rec-number&gt;&lt;foreign-keys&gt;&lt;key app="EN" db-id="f9wsz2wrnesdfpetpstx9rvz0vws2ztzsd90" timestamp="1776066944"&gt;255&lt;/key&gt;&lt;/foreign-keys&gt;&lt;ref-type name="Journal Article"&gt;17&lt;/ref-type&gt;&lt;contributors&gt;&lt;authors&gt;&lt;author&gt;Xin, Y.&lt;/author&gt;&lt;author&gt;Liu, C.&lt;/author&gt;&lt;author&gt;Lun, X.&lt;/author&gt;&lt;author&gt;Xie, S.&lt;/author&gt;&lt;author&gt;Liu, J.&lt;/author&gt;&lt;author&gt;Mu, Y.&lt;/author&gt;&lt;/authors&gt;&lt;/contributors&gt;&lt;titles&gt;&lt;title&gt;Rate coefficients for the reactions of OH radicals with C3–C11 alkanes determined by the relative-rate technique&lt;/title&gt;&lt;secondary-title&gt;Atmos. Chem. Phys.&lt;/secondary-title&gt;&lt;/titles&gt;&lt;periodical&gt;&lt;full-title&gt;Atmos. Chem. Phys.&lt;/full-title&gt;&lt;/periodical&gt;&lt;pages&gt;11409-11429&lt;/pages&gt;&lt;volume&gt;24&lt;/volume&gt;&lt;number&gt;19&lt;/number&gt;&lt;dates&gt;&lt;year&gt;2024&lt;/year&gt;&lt;/dates&gt;&lt;publisher&gt;Copernicus Publications&lt;/publisher&gt;&lt;isbn&gt;1680-7324&lt;/isbn&gt;&lt;urls&gt;&lt;related-urls&gt;&lt;url&gt;https://acp.copernicus.org/articles/24/11409/2024/&lt;/url&gt;&lt;/related-urls&gt;&lt;/urls&gt;&lt;electronic-resource-num&gt;10.5194/acp-24-11409-2024&lt;/electronic-resource-num&gt;&lt;/record&gt;&lt;/Cite&gt;&lt;/EndNote&gt;</w:instrText>
      </w:r>
      <w:r>
        <w:rPr>
          <w:rFonts w:cs="Arial"/>
          <w:lang w:val="en-GB"/>
        </w:rPr>
        <w:fldChar w:fldCharType="separate"/>
      </w:r>
      <w:r>
        <w:rPr>
          <w:rFonts w:cs="Arial"/>
          <w:noProof/>
          <w:lang w:val="en-GB"/>
        </w:rPr>
        <w:t>(Xin et al., 2024)</w:t>
      </w:r>
      <w:r>
        <w:rPr>
          <w:rFonts w:cs="Arial"/>
          <w:lang w:val="en-GB"/>
        </w:rPr>
        <w:fldChar w:fldCharType="end"/>
      </w:r>
      <w:r w:rsidRPr="00757E63">
        <w:rPr>
          <w:rFonts w:cs="Arial"/>
          <w:lang w:val="en-GB"/>
        </w:rPr>
        <w:t>. This method was chosen because it minimizes the influence of experimental fluctuations, such as variations in injection volume or pressure. Rather than depending on the absolute concentration of •OH</w:t>
      </w:r>
      <w:r w:rsidR="00902ACC">
        <w:rPr>
          <w:rFonts w:cs="Arial"/>
          <w:lang w:val="en-GB"/>
        </w:rPr>
        <w:t>,</w:t>
      </w:r>
      <w:r>
        <w:rPr>
          <w:rFonts w:cs="Arial"/>
          <w:lang w:val="en-GB"/>
        </w:rPr>
        <w:t xml:space="preserve"> </w:t>
      </w:r>
      <w:r w:rsidRPr="00757E63">
        <w:rPr>
          <w:rFonts w:cs="Arial"/>
          <w:lang w:val="en-GB"/>
        </w:rPr>
        <w:t>which may vary during the experiment</w:t>
      </w:r>
      <w:r w:rsidR="00902ACC">
        <w:rPr>
          <w:rFonts w:cs="Arial"/>
          <w:lang w:val="en-GB"/>
        </w:rPr>
        <w:t>,</w:t>
      </w:r>
      <w:r>
        <w:rPr>
          <w:rFonts w:cs="Arial"/>
          <w:lang w:val="en-GB"/>
        </w:rPr>
        <w:t xml:space="preserve"> </w:t>
      </w:r>
      <w:r w:rsidRPr="00757E63">
        <w:rPr>
          <w:rFonts w:cs="Arial"/>
          <w:lang w:val="en-GB"/>
        </w:rPr>
        <w:t>the technique is based on monitoring the relative decay of both the target and reference compounds as a function of time. The method assumes that both compounds react only with the same oxidant and are subjected to identical experimental conditions. Figure 3 shows the time-dependent degradation profiles of MST, DMTS, and IPMP, along with the corresponding relative rate plots obtained.</w:t>
      </w:r>
    </w:p>
    <w:p w14:paraId="4037EEA6" w14:textId="1515C980" w:rsidR="00757E63" w:rsidRDefault="00757E63" w:rsidP="00FC51BF">
      <w:pPr>
        <w:pStyle w:val="CETBodytext"/>
        <w:ind w:right="-1"/>
        <w:rPr>
          <w:rFonts w:cs="Arial"/>
        </w:rPr>
      </w:pPr>
      <w:r w:rsidRPr="00757E63">
        <w:rPr>
          <w:rFonts w:cs="Arial"/>
          <w:lang w:val="en-GB"/>
        </w:rPr>
        <w:t xml:space="preserve">Based on the equations used to estimate atmospheric lifetimes, the half-lives of the investigated odorants were calculated accordingly. Table 1 presents a comprehensive summary of the kinetic </w:t>
      </w:r>
      <w:r w:rsidR="00767422">
        <w:rPr>
          <w:rFonts w:cs="Arial"/>
          <w:lang w:val="en-GB"/>
        </w:rPr>
        <w:t xml:space="preserve">and </w:t>
      </w:r>
      <w:r w:rsidR="00902ACC">
        <w:rPr>
          <w:rFonts w:cs="Arial"/>
          <w:lang w:val="en-GB"/>
        </w:rPr>
        <w:t xml:space="preserve">statistical </w:t>
      </w:r>
      <w:r w:rsidRPr="00757E63">
        <w:rPr>
          <w:rFonts w:cs="Arial"/>
          <w:lang w:val="en-GB"/>
        </w:rPr>
        <w:t>parameters and results obtained in this study. It combines the experimentally determined relative rate constants and their corresponding R² values</w:t>
      </w:r>
      <w:r>
        <w:rPr>
          <w:rFonts w:cs="Arial"/>
          <w:lang w:val="en-GB"/>
        </w:rPr>
        <w:t xml:space="preserve"> </w:t>
      </w:r>
      <w:r w:rsidRPr="00757E63">
        <w:rPr>
          <w:rFonts w:cs="Arial"/>
          <w:lang w:val="en-GB"/>
        </w:rPr>
        <w:t>derived from linear regression constrained to pass through the origin</w:t>
      </w:r>
      <w:r>
        <w:rPr>
          <w:rFonts w:cs="Arial"/>
          <w:lang w:val="en-GB"/>
        </w:rPr>
        <w:t xml:space="preserve"> </w:t>
      </w:r>
      <w:r w:rsidRPr="00757E63">
        <w:rPr>
          <w:rFonts w:cs="Arial"/>
          <w:lang w:val="en-GB"/>
        </w:rPr>
        <w:t>with the literature rate constant of the reference compound, toluene</w:t>
      </w:r>
      <w:r w:rsidR="00902ACC">
        <w:rPr>
          <w:rFonts w:cs="Arial"/>
          <w:lang w:val="en-GB"/>
        </w:rPr>
        <w:t>,</w:t>
      </w:r>
      <w:r w:rsidR="00126CD6">
        <w:rPr>
          <w:rFonts w:cs="Arial"/>
          <w:lang w:val="en-GB"/>
        </w:rPr>
        <w:t xml:space="preserve"> </w:t>
      </w:r>
      <w:r w:rsidR="00801B1F">
        <w:rPr>
          <w:rFonts w:cs="Arial"/>
          <w:lang w:val="en-GB"/>
        </w:rPr>
        <w:t xml:space="preserve">equal to </w:t>
      </w:r>
      <w:r w:rsidR="00126CD6">
        <w:rPr>
          <w:rFonts w:cs="Arial"/>
          <w:lang w:val="en-GB"/>
        </w:rPr>
        <w:t>5.63x10</w:t>
      </w:r>
      <w:r w:rsidR="00126CD6" w:rsidRPr="00126CD6">
        <w:rPr>
          <w:rFonts w:cs="Arial"/>
          <w:vertAlign w:val="superscript"/>
          <w:lang w:val="en-GB"/>
        </w:rPr>
        <w:t>-12</w:t>
      </w:r>
      <w:r w:rsidR="00126CD6">
        <w:rPr>
          <w:rFonts w:cs="Arial"/>
          <w:lang w:val="en-GB"/>
        </w:rPr>
        <w:t xml:space="preserve"> </w:t>
      </w:r>
      <w:r w:rsidR="00126CD6" w:rsidRPr="00B11C77">
        <w:rPr>
          <w:rFonts w:cs="Arial"/>
          <w:color w:val="000000" w:themeColor="text1"/>
          <w:szCs w:val="18"/>
        </w:rPr>
        <w:t>cm</w:t>
      </w:r>
      <w:r w:rsidR="00126CD6" w:rsidRPr="00B11C77">
        <w:rPr>
          <w:rFonts w:cs="Arial"/>
          <w:color w:val="000000" w:themeColor="text1"/>
          <w:szCs w:val="18"/>
          <w:vertAlign w:val="superscript"/>
        </w:rPr>
        <w:t>3</w:t>
      </w:r>
      <w:r w:rsidR="00126CD6" w:rsidRPr="00B11C77">
        <w:rPr>
          <w:rFonts w:cs="Arial"/>
          <w:color w:val="000000" w:themeColor="text1"/>
          <w:szCs w:val="18"/>
        </w:rPr>
        <w:t xml:space="preserve"> mo</w:t>
      </w:r>
      <w:r w:rsidR="00126CD6" w:rsidRPr="00C11A10">
        <w:rPr>
          <w:rFonts w:cs="Arial"/>
          <w:color w:val="000000" w:themeColor="text1"/>
          <w:szCs w:val="18"/>
        </w:rPr>
        <w:t>lecule</w:t>
      </w:r>
      <w:r w:rsidR="00126CD6" w:rsidRPr="00C11A10">
        <w:rPr>
          <w:rFonts w:cs="Arial"/>
          <w:color w:val="000000" w:themeColor="text1"/>
          <w:szCs w:val="18"/>
          <w:vertAlign w:val="superscript"/>
        </w:rPr>
        <w:t>-1</w:t>
      </w:r>
      <w:r w:rsidR="00126CD6" w:rsidRPr="00C11A10">
        <w:rPr>
          <w:rFonts w:cs="Arial"/>
          <w:color w:val="000000" w:themeColor="text1"/>
          <w:szCs w:val="18"/>
        </w:rPr>
        <w:t xml:space="preserve"> s</w:t>
      </w:r>
      <w:r w:rsidR="00126CD6" w:rsidRPr="00C11A10">
        <w:rPr>
          <w:rFonts w:cs="Arial"/>
          <w:color w:val="000000" w:themeColor="text1"/>
          <w:szCs w:val="18"/>
          <w:vertAlign w:val="superscript"/>
        </w:rPr>
        <w:t>-1</w:t>
      </w:r>
      <w:r w:rsidR="00126CD6">
        <w:rPr>
          <w:rFonts w:cs="Arial"/>
          <w:color w:val="000000" w:themeColor="text1"/>
          <w:szCs w:val="18"/>
          <w:vertAlign w:val="superscript"/>
        </w:rPr>
        <w:t xml:space="preserve"> </w:t>
      </w:r>
      <w:r w:rsidR="00126CD6">
        <w:rPr>
          <w:rFonts w:cs="Arial"/>
          <w:color w:val="000000" w:themeColor="text1"/>
          <w:szCs w:val="18"/>
        </w:rPr>
        <w:t xml:space="preserve">as </w:t>
      </w:r>
      <w:r w:rsidR="00126CD6">
        <w:rPr>
          <w:rFonts w:cs="Arial"/>
          <w:color w:val="000000" w:themeColor="text1"/>
          <w:szCs w:val="18"/>
        </w:rPr>
        <w:fldChar w:fldCharType="begin"/>
      </w:r>
      <w:r w:rsidR="00126CD6">
        <w:rPr>
          <w:rFonts w:cs="Arial"/>
          <w:color w:val="000000" w:themeColor="text1"/>
          <w:szCs w:val="18"/>
        </w:rPr>
        <w:instrText xml:space="preserve"> ADDIN EN.CITE &lt;EndNote&gt;&lt;Cite&gt;&lt;Author&gt;Bohn&lt;/Author&gt;&lt;Year&gt;2001&lt;/Year&gt;&lt;RecNum&gt;256&lt;/RecNum&gt;&lt;DisplayText&gt;(Bohn, 2001)&lt;/DisplayText&gt;&lt;record&gt;&lt;rec-number&gt;256&lt;/rec-number&gt;&lt;foreign-keys&gt;&lt;key app="EN" db-id="f9wsz2wrnesdfpetpstx9rvz0vws2ztzsd90" timestamp="1776067511"&gt;256&lt;/key&gt;&lt;/foreign-keys&gt;&lt;ref-type name="Journal Article"&gt;17&lt;/ref-type&gt;&lt;contributors&gt;&lt;authors&gt;&lt;author&gt;Bohn, Birger&lt;/author&gt;&lt;/authors&gt;&lt;/contributors&gt;&lt;titles&gt;&lt;title&gt;Formation of Peroxy Radicals from OH−Toluene Adducts and O2&lt;/title&gt;&lt;secondary-title&gt;The Journal of Physical Chemistry A&lt;/secondary-title&gt;&lt;/titles&gt;&lt;periodical&gt;&lt;full-title&gt;The Journal of Physical Chemistry A&lt;/full-title&gt;&lt;/periodical&gt;&lt;pages&gt;6092-6101&lt;/pages&gt;&lt;volume&gt;105&lt;/volume&gt;&lt;number&gt;25&lt;/number&gt;&lt;dates&gt;&lt;year&gt;2001&lt;/year&gt;&lt;pub-dates&gt;&lt;date&gt;2001/06/01&lt;/date&gt;&lt;/pub-dates&gt;&lt;/dates&gt;&lt;publisher&gt;American Chemical Society&lt;/publisher&gt;&lt;isbn&gt;1089-5639&lt;/isbn&gt;&lt;urls&gt;&lt;related-urls&gt;&lt;url&gt;https://doi.org/10.1021/jp0033972&lt;/url&gt;&lt;/related-urls&gt;&lt;/urls&gt;&lt;electronic-resource-num&gt;10.1021/jp0033972&lt;/electronic-resource-num&gt;&lt;/record&gt;&lt;/Cite&gt;&lt;/EndNote&gt;</w:instrText>
      </w:r>
      <w:r w:rsidR="00126CD6">
        <w:rPr>
          <w:rFonts w:cs="Arial"/>
          <w:color w:val="000000" w:themeColor="text1"/>
          <w:szCs w:val="18"/>
        </w:rPr>
        <w:fldChar w:fldCharType="separate"/>
      </w:r>
      <w:r w:rsidR="00126CD6">
        <w:rPr>
          <w:rFonts w:cs="Arial"/>
          <w:noProof/>
          <w:color w:val="000000" w:themeColor="text1"/>
          <w:szCs w:val="18"/>
        </w:rPr>
        <w:t>(Bohn, 2001)</w:t>
      </w:r>
      <w:r w:rsidR="00126CD6">
        <w:rPr>
          <w:rFonts w:cs="Arial"/>
          <w:color w:val="000000" w:themeColor="text1"/>
          <w:szCs w:val="18"/>
        </w:rPr>
        <w:fldChar w:fldCharType="end"/>
      </w:r>
      <w:r w:rsidRPr="00757E63">
        <w:rPr>
          <w:rFonts w:cs="Arial"/>
          <w:lang w:val="en-GB"/>
        </w:rPr>
        <w:t xml:space="preserve">. Using </w:t>
      </w:r>
      <w:r w:rsidR="00767422">
        <w:rPr>
          <w:rFonts w:cs="Arial"/>
          <w:lang w:val="en-GB"/>
        </w:rPr>
        <w:t xml:space="preserve">an average </w:t>
      </w:r>
      <w:r w:rsidRPr="00757E63">
        <w:rPr>
          <w:rFonts w:cs="Arial"/>
          <w:lang w:val="en-GB"/>
        </w:rPr>
        <w:t>atmospheric •OH concentration</w:t>
      </w:r>
      <w:r w:rsidR="00126CD6">
        <w:rPr>
          <w:rFonts w:cs="Arial"/>
          <w:lang w:val="en-GB"/>
        </w:rPr>
        <w:t xml:space="preserve"> at </w:t>
      </w:r>
      <w:r w:rsidR="00126CD6" w:rsidRPr="00B11C77">
        <w:rPr>
          <w:rFonts w:cs="Arial"/>
          <w:color w:val="000000" w:themeColor="text1"/>
          <w:szCs w:val="18"/>
        </w:rPr>
        <w:t>1x10</w:t>
      </w:r>
      <w:r w:rsidR="00126CD6" w:rsidRPr="00B11C77">
        <w:rPr>
          <w:rFonts w:cs="Arial"/>
          <w:color w:val="000000" w:themeColor="text1"/>
          <w:szCs w:val="18"/>
          <w:vertAlign w:val="superscript"/>
        </w:rPr>
        <w:t>6</w:t>
      </w:r>
      <w:r w:rsidR="00126CD6" w:rsidRPr="00B11C77">
        <w:rPr>
          <w:rFonts w:cs="Arial"/>
          <w:color w:val="000000" w:themeColor="text1"/>
          <w:szCs w:val="18"/>
        </w:rPr>
        <w:t xml:space="preserve"> molecules/cm</w:t>
      </w:r>
      <w:r w:rsidR="00126CD6" w:rsidRPr="00B11C77">
        <w:rPr>
          <w:rFonts w:cs="Arial"/>
          <w:color w:val="000000" w:themeColor="text1"/>
          <w:szCs w:val="18"/>
          <w:vertAlign w:val="superscript"/>
        </w:rPr>
        <w:t>3</w:t>
      </w:r>
      <w:r w:rsidR="00126CD6">
        <w:rPr>
          <w:rFonts w:cs="Arial"/>
          <w:color w:val="000000" w:themeColor="text1"/>
          <w:szCs w:val="18"/>
        </w:rPr>
        <w:t xml:space="preserve"> as studied by </w:t>
      </w:r>
      <w:r w:rsidR="00126CD6">
        <w:rPr>
          <w:rFonts w:cs="Arial"/>
          <w:color w:val="000000" w:themeColor="text1"/>
          <w:szCs w:val="18"/>
        </w:rPr>
        <w:fldChar w:fldCharType="begin"/>
      </w:r>
      <w:r w:rsidR="00A66FD3">
        <w:rPr>
          <w:rFonts w:cs="Arial"/>
          <w:color w:val="000000" w:themeColor="text1"/>
          <w:szCs w:val="18"/>
        </w:rPr>
        <w:instrText xml:space="preserve"> ADDIN EN.CITE &lt;EndNote&gt;&lt;Cite AuthorYear="1"&gt;&lt;Author&gt;Atkinson&lt;/Author&gt;&lt;Year&gt;2000&lt;/Year&gt;&lt;RecNum&gt;6219&lt;/RecNum&gt;&lt;DisplayText&gt;Atkinson (2000)&lt;/DisplayText&gt;&lt;record&gt;&lt;rec-number&gt;6219&lt;/rec-number&gt;&lt;foreign-keys&gt;&lt;key app="EN" db-id="ww0z2asdbztevgezxelpaar0xfz2tsf5vasz" timestamp="1567776485"&gt;6219&lt;/key&gt;&lt;/foreign-keys&gt;&lt;ref-type name="Journal Article"&gt;17&lt;/ref-type&gt;&lt;contributors&gt;&lt;authors&gt;&lt;author&gt;Atkinson, Roger&lt;/author&gt;&lt;/authors&gt;&lt;/contributors&gt;&lt;titles&gt;&lt;title&gt;Atmospheric chemistry of VOCs and NOx&lt;/title&gt;&lt;secondary-title&gt;Atmospheric Environment&lt;/secondary-title&gt;&lt;/titles&gt;&lt;periodical&gt;&lt;full-title&gt;Atmospheric Environment&lt;/full-title&gt;&lt;/periodical&gt;&lt;pages&gt;2063-2101&lt;/pages&gt;&lt;volume&gt;34&lt;/volume&gt;&lt;number&gt;12&lt;/number&gt;&lt;keywords&gt;&lt;keyword&gt;Tropospheric chemistry&lt;/keyword&gt;&lt;keyword&gt;Oxides of nitrogen&lt;/keyword&gt;&lt;keyword&gt;Volatile organic compounds&lt;/keyword&gt;&lt;keyword&gt;Reaction kinetics&lt;/keyword&gt;&lt;keyword&gt;Reaction mechanisms&lt;/keyword&gt;&lt;keyword&gt;Hydroxyl radical&lt;/keyword&gt;&lt;keyword&gt;Nitrate radical&lt;/keyword&gt;&lt;keyword&gt;Ozone&lt;/keyword&gt;&lt;/keywords&gt;&lt;dates&gt;&lt;year&gt;2000&lt;/year&gt;&lt;pub-dates&gt;&lt;date&gt;2000/01/01/&lt;/date&gt;&lt;/pub-dates&gt;&lt;/dates&gt;&lt;isbn&gt;1352-2310&lt;/isbn&gt;&lt;urls&gt;&lt;related-urls&gt;&lt;url&gt;http://www.sciencedirect.com/science/article/pii/S1352231099004604&lt;/url&gt;&lt;/related-urls&gt;&lt;/urls&gt;&lt;electronic-resource-num&gt;https://doi.org/10.1016/S1352-2310(99)00460-4&lt;/electronic-resource-num&gt;&lt;/record&gt;&lt;/Cite&gt;&lt;/EndNote&gt;</w:instrText>
      </w:r>
      <w:r w:rsidR="00126CD6">
        <w:rPr>
          <w:rFonts w:cs="Arial"/>
          <w:color w:val="000000" w:themeColor="text1"/>
          <w:szCs w:val="18"/>
        </w:rPr>
        <w:fldChar w:fldCharType="separate"/>
      </w:r>
      <w:r w:rsidR="00126CD6">
        <w:rPr>
          <w:rFonts w:cs="Arial"/>
          <w:noProof/>
          <w:color w:val="000000" w:themeColor="text1"/>
          <w:szCs w:val="18"/>
        </w:rPr>
        <w:t>Atkinson (2000)</w:t>
      </w:r>
      <w:r w:rsidR="00126CD6">
        <w:rPr>
          <w:rFonts w:cs="Arial"/>
          <w:color w:val="000000" w:themeColor="text1"/>
          <w:szCs w:val="18"/>
        </w:rPr>
        <w:fldChar w:fldCharType="end"/>
      </w:r>
      <w:r w:rsidRPr="00757E63">
        <w:rPr>
          <w:rFonts w:cs="Arial"/>
          <w:lang w:val="en-GB"/>
        </w:rPr>
        <w:t>, the relative rate data were then used to determine the rate constants (k) and to estimate the atmospheric half-lives (T</w:t>
      </w:r>
      <w:r w:rsidRPr="00757E63">
        <w:rPr>
          <w:rFonts w:ascii="Cambria Math" w:hAnsi="Cambria Math" w:cs="Cambria Math"/>
          <w:lang w:val="en-GB"/>
        </w:rPr>
        <w:t>₁</w:t>
      </w:r>
      <w:r w:rsidRPr="00757E63">
        <w:rPr>
          <w:rFonts w:cs="Arial"/>
          <w:lang w:val="en-GB"/>
        </w:rPr>
        <w:t>/</w:t>
      </w:r>
      <w:r w:rsidRPr="00757E63">
        <w:rPr>
          <w:rFonts w:ascii="Cambria Math" w:hAnsi="Cambria Math" w:cs="Cambria Math"/>
          <w:lang w:val="en-GB"/>
        </w:rPr>
        <w:t>₂</w:t>
      </w:r>
      <w:r w:rsidRPr="00757E63">
        <w:rPr>
          <w:rFonts w:cs="Arial"/>
          <w:lang w:val="en-GB"/>
        </w:rPr>
        <w:t>) of each odorant.</w:t>
      </w:r>
    </w:p>
    <w:p w14:paraId="76EEBC0C" w14:textId="77777777" w:rsidR="00FC51BF" w:rsidRPr="00E33F8E" w:rsidRDefault="00FC51BF" w:rsidP="00FC51BF">
      <w:pPr>
        <w:pStyle w:val="CETBodytext"/>
        <w:rPr>
          <w:rFonts w:cs="Arial"/>
        </w:rPr>
      </w:pPr>
      <w:r w:rsidRPr="000E5FC4">
        <w:rPr>
          <w:rFonts w:cs="Arial"/>
          <w:lang w:val="en-GB"/>
        </w:rPr>
        <w:t xml:space="preserve">The </w:t>
      </w:r>
      <w:r>
        <w:rPr>
          <w:rFonts w:cs="Arial"/>
          <w:lang w:val="en-GB"/>
        </w:rPr>
        <w:t xml:space="preserve">calculated </w:t>
      </w:r>
      <w:r w:rsidRPr="000E5FC4">
        <w:rPr>
          <w:rFonts w:cs="Arial"/>
          <w:lang w:val="en-GB"/>
        </w:rPr>
        <w:t>atmospheric half-lives (T</w:t>
      </w:r>
      <w:r w:rsidRPr="000E5FC4">
        <w:rPr>
          <w:rFonts w:ascii="Cambria Math" w:hAnsi="Cambria Math" w:cs="Cambria Math"/>
          <w:lang w:val="en-GB"/>
        </w:rPr>
        <w:t>₁</w:t>
      </w:r>
      <w:r w:rsidRPr="000E5FC4">
        <w:rPr>
          <w:rFonts w:cs="Arial"/>
          <w:lang w:val="en-GB"/>
        </w:rPr>
        <w:t>/</w:t>
      </w:r>
      <w:r w:rsidRPr="000E5FC4">
        <w:rPr>
          <w:rFonts w:ascii="Cambria Math" w:hAnsi="Cambria Math" w:cs="Cambria Math"/>
          <w:lang w:val="en-GB"/>
        </w:rPr>
        <w:t>₂</w:t>
      </w:r>
      <w:r w:rsidRPr="000E5FC4">
        <w:rPr>
          <w:rFonts w:cs="Arial"/>
          <w:lang w:val="en-GB"/>
        </w:rPr>
        <w:t xml:space="preserve">) were </w:t>
      </w:r>
      <w:r>
        <w:rPr>
          <w:rFonts w:cs="Arial"/>
          <w:lang w:val="en-GB"/>
        </w:rPr>
        <w:t>27.6</w:t>
      </w:r>
      <w:r w:rsidRPr="000E5FC4">
        <w:rPr>
          <w:rFonts w:cs="Arial"/>
          <w:lang w:val="en-GB"/>
        </w:rPr>
        <w:t xml:space="preserve"> hours for </w:t>
      </w:r>
      <w:r>
        <w:rPr>
          <w:rFonts w:cs="Arial"/>
          <w:lang w:val="en-GB"/>
        </w:rPr>
        <w:t>TMB</w:t>
      </w:r>
      <w:r w:rsidRPr="000E5FC4">
        <w:rPr>
          <w:rFonts w:cs="Arial"/>
          <w:lang w:val="en-GB"/>
        </w:rPr>
        <w:t xml:space="preserve">, </w:t>
      </w:r>
      <w:r>
        <w:rPr>
          <w:rFonts w:cs="Arial"/>
          <w:lang w:val="en-GB"/>
        </w:rPr>
        <w:t>30.1</w:t>
      </w:r>
      <w:r w:rsidRPr="000E5FC4">
        <w:rPr>
          <w:rFonts w:cs="Arial"/>
          <w:lang w:val="en-GB"/>
        </w:rPr>
        <w:t xml:space="preserve"> hours for DMTS, and </w:t>
      </w:r>
      <w:r>
        <w:rPr>
          <w:rFonts w:cs="Arial"/>
          <w:lang w:val="en-GB"/>
        </w:rPr>
        <w:t>50.9</w:t>
      </w:r>
      <w:r w:rsidRPr="000E5FC4">
        <w:rPr>
          <w:rFonts w:cs="Arial"/>
          <w:lang w:val="en-GB"/>
        </w:rPr>
        <w:t xml:space="preserve"> hours for IPMP, highlighting differences in their reactivity toward •OH</w:t>
      </w:r>
      <w:r>
        <w:rPr>
          <w:rFonts w:cs="Arial"/>
          <w:lang w:val="en-GB"/>
        </w:rPr>
        <w:t xml:space="preserve">. </w:t>
      </w:r>
      <w:r w:rsidRPr="00EE52CC">
        <w:rPr>
          <w:rFonts w:cs="Arial"/>
          <w:lang w:val="en-GB"/>
        </w:rPr>
        <w:t xml:space="preserve">These values were calculated assuming a fixed </w:t>
      </w:r>
      <w:r w:rsidRPr="000E5FC4">
        <w:rPr>
          <w:rFonts w:cs="Arial"/>
          <w:lang w:val="en-GB"/>
        </w:rPr>
        <w:t>•OH</w:t>
      </w:r>
      <w:r w:rsidRPr="00EE52CC">
        <w:rPr>
          <w:rFonts w:cs="Arial"/>
          <w:lang w:val="en-GB"/>
        </w:rPr>
        <w:t xml:space="preserve"> concentration </w:t>
      </w:r>
      <w:proofErr w:type="gramStart"/>
      <w:r w:rsidRPr="00EE52CC">
        <w:rPr>
          <w:rFonts w:cs="Arial"/>
          <w:lang w:val="en-GB"/>
        </w:rPr>
        <w:t>similar to</w:t>
      </w:r>
      <w:proofErr w:type="gramEnd"/>
      <w:r w:rsidRPr="00EE52CC">
        <w:rPr>
          <w:rFonts w:cs="Arial"/>
          <w:lang w:val="en-GB"/>
        </w:rPr>
        <w:t xml:space="preserve"> a typical daytime average. In different environments, where the </w:t>
      </w:r>
      <w:r w:rsidRPr="000E5FC4">
        <w:rPr>
          <w:rFonts w:cs="Arial"/>
          <w:lang w:val="en-GB"/>
        </w:rPr>
        <w:t>•OH</w:t>
      </w:r>
      <w:r w:rsidRPr="00EE52CC">
        <w:rPr>
          <w:rFonts w:cs="Arial"/>
          <w:lang w:val="en-GB"/>
        </w:rPr>
        <w:t xml:space="preserve"> concentration is higher or lower than this average, the half</w:t>
      </w:r>
      <w:r w:rsidRPr="00EE52CC">
        <w:rPr>
          <w:rFonts w:cs="Arial"/>
          <w:lang w:val="en-GB"/>
        </w:rPr>
        <w:noBreakHyphen/>
        <w:t>lives will change. In particular, the half</w:t>
      </w:r>
      <w:r w:rsidRPr="00EE52CC">
        <w:rPr>
          <w:rFonts w:cs="Arial"/>
          <w:lang w:val="en-GB"/>
        </w:rPr>
        <w:noBreakHyphen/>
        <w:t xml:space="preserve">life of each odorant decreases when </w:t>
      </w:r>
      <w:r w:rsidRPr="000E5FC4">
        <w:rPr>
          <w:rFonts w:cs="Arial"/>
          <w:lang w:val="en-GB"/>
        </w:rPr>
        <w:t>•OH</w:t>
      </w:r>
      <w:r w:rsidRPr="00EE52CC">
        <w:rPr>
          <w:rFonts w:cs="Arial"/>
          <w:lang w:val="en-GB"/>
        </w:rPr>
        <w:t xml:space="preserve"> is more abundant (faster reactions) and increases when </w:t>
      </w:r>
      <w:r w:rsidRPr="00B11C77">
        <w:rPr>
          <w:rFonts w:cs="Arial"/>
          <w:lang w:val="en-CA"/>
        </w:rPr>
        <w:t>•</w:t>
      </w:r>
      <w:r w:rsidRPr="00EE52CC">
        <w:rPr>
          <w:rFonts w:cs="Arial"/>
          <w:lang w:val="en-GB"/>
        </w:rPr>
        <w:t>OH is less abundant (slower reactions). In addition, the half</w:t>
      </w:r>
      <w:r w:rsidRPr="00EE52CC">
        <w:rPr>
          <w:rFonts w:cs="Arial"/>
          <w:lang w:val="en-GB"/>
        </w:rPr>
        <w:noBreakHyphen/>
        <w:t>life is also affected by the initial concentration of the odorant itself, although the relative trends in reactivity (</w:t>
      </w:r>
      <w:r>
        <w:rPr>
          <w:rFonts w:cs="Arial"/>
          <w:lang w:val="en-GB"/>
        </w:rPr>
        <w:t>TMB</w:t>
      </w:r>
      <w:r w:rsidRPr="00EE52CC">
        <w:rPr>
          <w:rFonts w:cs="Arial"/>
          <w:lang w:val="en-GB"/>
        </w:rPr>
        <w:t xml:space="preserve"> most reactive, IPMP most persistent) remain consistent under similar reaction conditions.</w:t>
      </w:r>
    </w:p>
    <w:p w14:paraId="04F856FF" w14:textId="36A93790" w:rsidR="00757E63" w:rsidRDefault="00757E63" w:rsidP="00757E63">
      <w:pPr>
        <w:pStyle w:val="CETBodytext"/>
        <w:ind w:right="-1"/>
        <w:jc w:val="center"/>
        <w:rPr>
          <w:rFonts w:cs="Arial"/>
        </w:rPr>
      </w:pPr>
    </w:p>
    <w:p w14:paraId="079566AD" w14:textId="741C76E0" w:rsidR="00126CD6" w:rsidRDefault="00292078" w:rsidP="00126CD6">
      <w:pPr>
        <w:pStyle w:val="CETBodytext"/>
        <w:keepNext/>
        <w:ind w:right="-1"/>
        <w:jc w:val="center"/>
        <w:rPr>
          <w:noProof/>
        </w:rPr>
      </w:pPr>
      <w:r>
        <w:rPr>
          <w:noProof/>
          <w:lang w:val="pl-PL" w:eastAsia="pl-PL"/>
        </w:rPr>
        <w:lastRenderedPageBreak/>
        <mc:AlternateContent>
          <mc:Choice Requires="wps">
            <w:drawing>
              <wp:anchor distT="0" distB="0" distL="114300" distR="114300" simplePos="0" relativeHeight="251659264" behindDoc="0" locked="0" layoutInCell="1" allowOverlap="1" wp14:anchorId="5F29FDCD" wp14:editId="71CA133F">
                <wp:simplePos x="0" y="0"/>
                <wp:positionH relativeFrom="column">
                  <wp:posOffset>-41503</wp:posOffset>
                </wp:positionH>
                <wp:positionV relativeFrom="paragraph">
                  <wp:posOffset>-889000</wp:posOffset>
                </wp:positionV>
                <wp:extent cx="2917190" cy="2583180"/>
                <wp:effectExtent l="0" t="0" r="0" b="0"/>
                <wp:wrapNone/>
                <wp:docPr id="778600628" name="Rectangle 1"/>
                <wp:cNvGraphicFramePr/>
                <a:graphic xmlns:a="http://schemas.openxmlformats.org/drawingml/2006/main">
                  <a:graphicData uri="http://schemas.microsoft.com/office/word/2010/wordprocessingShape">
                    <wps:wsp>
                      <wps:cNvSpPr/>
                      <wps:spPr>
                        <a:xfrm>
                          <a:off x="0" y="0"/>
                          <a:ext cx="2917190" cy="258318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915721" w14:textId="10B84E35" w:rsidR="00FD3C9F" w:rsidRDefault="000F04EE" w:rsidP="00FD3C9F">
                            <w:pPr>
                              <w:jc w:val="center"/>
                            </w:pPr>
                            <w:r w:rsidRPr="000F04EE">
                              <w:rPr>
                                <w:noProof/>
                              </w:rPr>
                              <w:t xml:space="preserve"> </w:t>
                            </w:r>
                            <w:r>
                              <w:rPr>
                                <w:noProof/>
                              </w:rPr>
                              <w:drawing>
                                <wp:inline distT="0" distB="0" distL="0" distR="0" wp14:anchorId="1FBEE882" wp14:editId="7DB1E5C4">
                                  <wp:extent cx="2563200" cy="1475673"/>
                                  <wp:effectExtent l="19050" t="19050" r="8890" b="10795"/>
                                  <wp:docPr id="451628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002383" name=""/>
                                          <pic:cNvPicPr/>
                                        </pic:nvPicPr>
                                        <pic:blipFill>
                                          <a:blip r:embed="rId12"/>
                                          <a:stretch>
                                            <a:fillRect/>
                                          </a:stretch>
                                        </pic:blipFill>
                                        <pic:spPr>
                                          <a:xfrm>
                                            <a:off x="0" y="0"/>
                                            <a:ext cx="2563200" cy="1475673"/>
                                          </a:xfrm>
                                          <a:prstGeom prst="rect">
                                            <a:avLst/>
                                          </a:prstGeom>
                                          <a:ln>
                                            <a:solidFill>
                                              <a:schemeClr val="tx1"/>
                                            </a:solid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29FDCD" id="Rectangle 1" o:spid="_x0000_s1026" style="position:absolute;left:0;text-align:left;margin-left:-3.25pt;margin-top:-70pt;width:229.7pt;height:20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" filled="f" stroked="f" strokeweight="2pt">
                <v:textbox>
                  <w:txbxContent>
                    <w:p w14:paraId="5C915721" w14:textId="10B84E35" w:rsidR="00FD3C9F" w:rsidRDefault="000F04EE" w:rsidP="00FD3C9F">
                      <w:pPr>
                        <w:jc w:val="center"/>
                      </w:pPr>
                      <w:r w:rsidRPr="000F04EE">
                        <w:rPr>
                          <w:noProof/>
                        </w:rPr>
                        <w:t xml:space="preserve"> </w:t>
                      </w:r>
                      <w:r>
                        <w:rPr>
                          <w:noProof/>
                        </w:rPr>
                        <w:drawing>
                          <wp:inline distT="0" distB="0" distL="0" distR="0" wp14:anchorId="1FBEE882" wp14:editId="7DB1E5C4">
                            <wp:extent cx="2563200" cy="1475673"/>
                            <wp:effectExtent l="19050" t="19050" r="8890" b="10795"/>
                            <wp:docPr id="451628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002383" name=""/>
                                    <pic:cNvPicPr/>
                                  </pic:nvPicPr>
                                  <pic:blipFill>
                                    <a:blip r:embed="rId12"/>
                                    <a:stretch>
                                      <a:fillRect/>
                                    </a:stretch>
                                  </pic:blipFill>
                                  <pic:spPr>
                                    <a:xfrm>
                                      <a:off x="0" y="0"/>
                                      <a:ext cx="2563200" cy="1475673"/>
                                    </a:xfrm>
                                    <a:prstGeom prst="rect">
                                      <a:avLst/>
                                    </a:prstGeom>
                                    <a:ln>
                                      <a:solidFill>
                                        <a:schemeClr val="tx1"/>
                                      </a:solidFill>
                                    </a:ln>
                                  </pic:spPr>
                                </pic:pic>
                              </a:graphicData>
                            </a:graphic>
                          </wp:inline>
                        </w:drawing>
                      </w:r>
                    </w:p>
                  </w:txbxContent>
                </v:textbox>
              </v:rect>
            </w:pict>
          </mc:Fallback>
        </mc:AlternateContent>
      </w:r>
      <w:r>
        <w:rPr>
          <w:noProof/>
          <w:lang w:val="pl-PL" w:eastAsia="pl-PL"/>
        </w:rPr>
        <mc:AlternateContent>
          <mc:Choice Requires="wps">
            <w:drawing>
              <wp:anchor distT="0" distB="0" distL="114300" distR="114300" simplePos="0" relativeHeight="251661312" behindDoc="0" locked="0" layoutInCell="1" allowOverlap="1" wp14:anchorId="73191483" wp14:editId="030965EA">
                <wp:simplePos x="0" y="0"/>
                <wp:positionH relativeFrom="margin">
                  <wp:posOffset>2662148</wp:posOffset>
                </wp:positionH>
                <wp:positionV relativeFrom="paragraph">
                  <wp:posOffset>-855980</wp:posOffset>
                </wp:positionV>
                <wp:extent cx="2811780" cy="2374265"/>
                <wp:effectExtent l="0" t="0" r="0" b="0"/>
                <wp:wrapNone/>
                <wp:docPr id="2138623530" name="Rectangle 1"/>
                <wp:cNvGraphicFramePr/>
                <a:graphic xmlns:a="http://schemas.openxmlformats.org/drawingml/2006/main">
                  <a:graphicData uri="http://schemas.microsoft.com/office/word/2010/wordprocessingShape">
                    <wps:wsp>
                      <wps:cNvSpPr/>
                      <wps:spPr>
                        <a:xfrm>
                          <a:off x="0" y="0"/>
                          <a:ext cx="2811780" cy="237426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E3DD36C" w14:textId="0F609F0F" w:rsidR="00FD3C9F" w:rsidRDefault="000F04EE" w:rsidP="00FD3C9F">
                            <w:pPr>
                              <w:jc w:val="center"/>
                            </w:pPr>
                            <w:r w:rsidRPr="000F04EE">
                              <w:rPr>
                                <w:noProof/>
                              </w:rPr>
                              <w:t xml:space="preserve"> </w:t>
                            </w:r>
                            <w:r>
                              <w:rPr>
                                <w:noProof/>
                              </w:rPr>
                              <w:drawing>
                                <wp:inline distT="0" distB="0" distL="0" distR="0" wp14:anchorId="7EEC950B" wp14:editId="646F8439">
                                  <wp:extent cx="2562140" cy="1468577"/>
                                  <wp:effectExtent l="19050" t="19050" r="10160" b="17780"/>
                                  <wp:docPr id="2074517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17312" name=""/>
                                          <pic:cNvPicPr/>
                                        </pic:nvPicPr>
                                        <pic:blipFill>
                                          <a:blip r:embed="rId13"/>
                                          <a:stretch>
                                            <a:fillRect/>
                                          </a:stretch>
                                        </pic:blipFill>
                                        <pic:spPr>
                                          <a:xfrm>
                                            <a:off x="0" y="0"/>
                                            <a:ext cx="2564794" cy="1470098"/>
                                          </a:xfrm>
                                          <a:prstGeom prst="rect">
                                            <a:avLst/>
                                          </a:prstGeom>
                                          <a:ln>
                                            <a:solidFill>
                                              <a:schemeClr val="tx1"/>
                                            </a:solid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91483" id="_x0000_s1027" style="position:absolute;left:0;text-align:left;margin-left:209.6pt;margin-top:-67.4pt;width:221.4pt;height:186.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" filled="f" stroked="f" strokeweight="2pt">
                <v:textbox>
                  <w:txbxContent>
                    <w:p w14:paraId="4E3DD36C" w14:textId="0F609F0F" w:rsidR="00FD3C9F" w:rsidRDefault="000F04EE" w:rsidP="00FD3C9F">
                      <w:pPr>
                        <w:jc w:val="center"/>
                      </w:pPr>
                      <w:r w:rsidRPr="000F04EE">
                        <w:rPr>
                          <w:noProof/>
                        </w:rPr>
                        <w:t xml:space="preserve"> </w:t>
                      </w:r>
                      <w:r>
                        <w:rPr>
                          <w:noProof/>
                        </w:rPr>
                        <w:drawing>
                          <wp:inline distT="0" distB="0" distL="0" distR="0" wp14:anchorId="7EEC950B" wp14:editId="646F8439">
                            <wp:extent cx="2562140" cy="1468577"/>
                            <wp:effectExtent l="19050" t="19050" r="10160" b="17780"/>
                            <wp:docPr id="2074517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517312" name=""/>
                                    <pic:cNvPicPr/>
                                  </pic:nvPicPr>
                                  <pic:blipFill>
                                    <a:blip r:embed="rId13"/>
                                    <a:stretch>
                                      <a:fillRect/>
                                    </a:stretch>
                                  </pic:blipFill>
                                  <pic:spPr>
                                    <a:xfrm>
                                      <a:off x="0" y="0"/>
                                      <a:ext cx="2564794" cy="1470098"/>
                                    </a:xfrm>
                                    <a:prstGeom prst="rect">
                                      <a:avLst/>
                                    </a:prstGeom>
                                    <a:ln>
                                      <a:solidFill>
                                        <a:schemeClr val="tx1"/>
                                      </a:solidFill>
                                    </a:ln>
                                  </pic:spPr>
                                </pic:pic>
                              </a:graphicData>
                            </a:graphic>
                          </wp:inline>
                        </w:drawing>
                      </w:r>
                    </w:p>
                  </w:txbxContent>
                </v:textbox>
                <w10:wrap anchorx="margin"/>
              </v:rect>
            </w:pict>
          </mc:Fallback>
        </mc:AlternateContent>
      </w:r>
    </w:p>
    <w:p w14:paraId="37B8561E" w14:textId="77777777" w:rsidR="00FD3C9F" w:rsidRDefault="00FD3C9F" w:rsidP="00126CD6">
      <w:pPr>
        <w:pStyle w:val="CETBodytext"/>
        <w:keepNext/>
        <w:ind w:right="-1"/>
        <w:jc w:val="center"/>
        <w:rPr>
          <w:noProof/>
        </w:rPr>
      </w:pPr>
    </w:p>
    <w:p w14:paraId="687A5517" w14:textId="77777777" w:rsidR="00FD3C9F" w:rsidRDefault="00FD3C9F" w:rsidP="00126CD6">
      <w:pPr>
        <w:pStyle w:val="CETBodytext"/>
        <w:keepNext/>
        <w:ind w:right="-1"/>
        <w:jc w:val="center"/>
        <w:rPr>
          <w:noProof/>
        </w:rPr>
      </w:pPr>
    </w:p>
    <w:p w14:paraId="217FAD08" w14:textId="77777777" w:rsidR="00FD3C9F" w:rsidRDefault="00FD3C9F" w:rsidP="00126CD6">
      <w:pPr>
        <w:pStyle w:val="CETBodytext"/>
        <w:keepNext/>
        <w:ind w:right="-1"/>
        <w:jc w:val="center"/>
        <w:rPr>
          <w:noProof/>
        </w:rPr>
      </w:pPr>
    </w:p>
    <w:p w14:paraId="2765892C" w14:textId="77777777" w:rsidR="00FD3C9F" w:rsidRDefault="00FD3C9F" w:rsidP="00126CD6">
      <w:pPr>
        <w:pStyle w:val="CETBodytext"/>
        <w:keepNext/>
        <w:ind w:right="-1"/>
        <w:jc w:val="center"/>
        <w:rPr>
          <w:noProof/>
        </w:rPr>
      </w:pPr>
    </w:p>
    <w:p w14:paraId="6F47B52D" w14:textId="77777777" w:rsidR="00FD3C9F" w:rsidRDefault="00FD3C9F" w:rsidP="00126CD6">
      <w:pPr>
        <w:pStyle w:val="CETBodytext"/>
        <w:keepNext/>
        <w:ind w:right="-1"/>
        <w:jc w:val="center"/>
        <w:rPr>
          <w:noProof/>
        </w:rPr>
      </w:pPr>
    </w:p>
    <w:p w14:paraId="389E6AEC" w14:textId="4EBB6C13" w:rsidR="00FD3C9F" w:rsidRDefault="00532FF6" w:rsidP="00126CD6">
      <w:pPr>
        <w:pStyle w:val="CETBodytext"/>
        <w:keepNext/>
        <w:ind w:right="-1"/>
        <w:jc w:val="center"/>
        <w:rPr>
          <w:noProof/>
        </w:rPr>
      </w:pPr>
      <w:r>
        <w:rPr>
          <w:noProof/>
          <w:lang w:val="pl-PL" w:eastAsia="pl-PL"/>
        </w:rPr>
        <mc:AlternateContent>
          <mc:Choice Requires="wps">
            <w:drawing>
              <wp:anchor distT="0" distB="0" distL="114300" distR="114300" simplePos="0" relativeHeight="251663360" behindDoc="0" locked="0" layoutInCell="1" allowOverlap="1" wp14:anchorId="45078184" wp14:editId="072DE528">
                <wp:simplePos x="0" y="0"/>
                <wp:positionH relativeFrom="margin">
                  <wp:align>center</wp:align>
                </wp:positionH>
                <wp:positionV relativeFrom="paragraph">
                  <wp:posOffset>3230</wp:posOffset>
                </wp:positionV>
                <wp:extent cx="3078480" cy="2286000"/>
                <wp:effectExtent l="0" t="0" r="0" b="0"/>
                <wp:wrapNone/>
                <wp:docPr id="1390252914" name="Rectangle 1"/>
                <wp:cNvGraphicFramePr/>
                <a:graphic xmlns:a="http://schemas.openxmlformats.org/drawingml/2006/main">
                  <a:graphicData uri="http://schemas.microsoft.com/office/word/2010/wordprocessingShape">
                    <wps:wsp>
                      <wps:cNvSpPr/>
                      <wps:spPr>
                        <a:xfrm>
                          <a:off x="0" y="0"/>
                          <a:ext cx="3078480" cy="22860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2B568FA" w14:textId="342D830A" w:rsidR="00FD3C9F" w:rsidRDefault="000F04EE" w:rsidP="00FD3C9F">
                            <w:pPr>
                              <w:jc w:val="center"/>
                            </w:pPr>
                            <w:r w:rsidRPr="000F04EE">
                              <w:rPr>
                                <w:noProof/>
                              </w:rPr>
                              <w:t xml:space="preserve"> </w:t>
                            </w:r>
                            <w:r>
                              <w:rPr>
                                <w:noProof/>
                              </w:rPr>
                              <w:drawing>
                                <wp:inline distT="0" distB="0" distL="0" distR="0" wp14:anchorId="74831A7B" wp14:editId="3A7B769C">
                                  <wp:extent cx="2588871" cy="1476000"/>
                                  <wp:effectExtent l="19050" t="19050" r="21590" b="10160"/>
                                  <wp:docPr id="726901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901532" name=""/>
                                          <pic:cNvPicPr/>
                                        </pic:nvPicPr>
                                        <pic:blipFill>
                                          <a:blip r:embed="rId14"/>
                                          <a:stretch>
                                            <a:fillRect/>
                                          </a:stretch>
                                        </pic:blipFill>
                                        <pic:spPr>
                                          <a:xfrm>
                                            <a:off x="0" y="0"/>
                                            <a:ext cx="2588871" cy="1476000"/>
                                          </a:xfrm>
                                          <a:prstGeom prst="rect">
                                            <a:avLst/>
                                          </a:prstGeom>
                                          <a:ln>
                                            <a:solidFill>
                                              <a:schemeClr val="tx1"/>
                                            </a:solid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5078184" id="_x0000_s1028" style="position:absolute;left:0;text-align:left;margin-left:0;margin-top:.25pt;width:242.4pt;height:180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" filled="f" stroked="f" strokeweight="2pt">
                <v:textbox>
                  <w:txbxContent>
                    <w:p w14:paraId="12B568FA" w14:textId="342D830A" w:rsidR="00FD3C9F" w:rsidRDefault="000F04EE" w:rsidP="00FD3C9F">
                      <w:pPr>
                        <w:jc w:val="center"/>
                      </w:pPr>
                      <w:r w:rsidRPr="000F04EE">
                        <w:rPr>
                          <w:noProof/>
                        </w:rPr>
                        <w:t xml:space="preserve"> </w:t>
                      </w:r>
                      <w:r>
                        <w:rPr>
                          <w:noProof/>
                        </w:rPr>
                        <w:drawing>
                          <wp:inline distT="0" distB="0" distL="0" distR="0" wp14:anchorId="74831A7B" wp14:editId="3A7B769C">
                            <wp:extent cx="2588871" cy="1476000"/>
                            <wp:effectExtent l="19050" t="19050" r="21590" b="10160"/>
                            <wp:docPr id="7269015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901532" name=""/>
                                    <pic:cNvPicPr/>
                                  </pic:nvPicPr>
                                  <pic:blipFill>
                                    <a:blip r:embed="rId14"/>
                                    <a:stretch>
                                      <a:fillRect/>
                                    </a:stretch>
                                  </pic:blipFill>
                                  <pic:spPr>
                                    <a:xfrm>
                                      <a:off x="0" y="0"/>
                                      <a:ext cx="2588871" cy="1476000"/>
                                    </a:xfrm>
                                    <a:prstGeom prst="rect">
                                      <a:avLst/>
                                    </a:prstGeom>
                                    <a:ln>
                                      <a:solidFill>
                                        <a:schemeClr val="tx1"/>
                                      </a:solidFill>
                                    </a:ln>
                                  </pic:spPr>
                                </pic:pic>
                              </a:graphicData>
                            </a:graphic>
                          </wp:inline>
                        </w:drawing>
                      </w:r>
                    </w:p>
                  </w:txbxContent>
                </v:textbox>
                <w10:wrap anchorx="margin"/>
              </v:rect>
            </w:pict>
          </mc:Fallback>
        </mc:AlternateContent>
      </w:r>
    </w:p>
    <w:p w14:paraId="1FFE8A66" w14:textId="08EEDDB0" w:rsidR="00FD3C9F" w:rsidRDefault="00FD3C9F" w:rsidP="00126CD6">
      <w:pPr>
        <w:pStyle w:val="CETBodytext"/>
        <w:keepNext/>
        <w:ind w:right="-1"/>
        <w:jc w:val="center"/>
        <w:rPr>
          <w:noProof/>
        </w:rPr>
      </w:pPr>
    </w:p>
    <w:p w14:paraId="1F641711" w14:textId="18641C84" w:rsidR="00FD3C9F" w:rsidRDefault="00FD3C9F" w:rsidP="00126CD6">
      <w:pPr>
        <w:pStyle w:val="CETBodytext"/>
        <w:keepNext/>
        <w:ind w:right="-1"/>
        <w:jc w:val="center"/>
        <w:rPr>
          <w:noProof/>
        </w:rPr>
      </w:pPr>
    </w:p>
    <w:p w14:paraId="6AD69096" w14:textId="1C90C4B2" w:rsidR="00FD3C9F" w:rsidRDefault="00FD3C9F" w:rsidP="00126CD6">
      <w:pPr>
        <w:pStyle w:val="CETBodytext"/>
        <w:keepNext/>
        <w:ind w:right="-1"/>
        <w:jc w:val="center"/>
        <w:rPr>
          <w:noProof/>
        </w:rPr>
      </w:pPr>
    </w:p>
    <w:p w14:paraId="71A3D1D0" w14:textId="77777777" w:rsidR="00FD3C9F" w:rsidRDefault="00FD3C9F" w:rsidP="00126CD6">
      <w:pPr>
        <w:pStyle w:val="CETBodytext"/>
        <w:keepNext/>
        <w:ind w:right="-1"/>
        <w:jc w:val="center"/>
        <w:rPr>
          <w:noProof/>
        </w:rPr>
      </w:pPr>
    </w:p>
    <w:p w14:paraId="097E0C6C" w14:textId="1D1AFF2B" w:rsidR="00FD3C9F" w:rsidRDefault="00FD3C9F" w:rsidP="00126CD6">
      <w:pPr>
        <w:pStyle w:val="CETBodytext"/>
        <w:keepNext/>
        <w:ind w:right="-1"/>
        <w:jc w:val="center"/>
        <w:rPr>
          <w:noProof/>
        </w:rPr>
      </w:pPr>
    </w:p>
    <w:p w14:paraId="23EE2FF1" w14:textId="77777777" w:rsidR="00FD3C9F" w:rsidRDefault="00FD3C9F" w:rsidP="00126CD6">
      <w:pPr>
        <w:pStyle w:val="CETBodytext"/>
        <w:keepNext/>
        <w:ind w:right="-1"/>
        <w:jc w:val="center"/>
        <w:rPr>
          <w:noProof/>
        </w:rPr>
      </w:pPr>
    </w:p>
    <w:p w14:paraId="5B9F658A" w14:textId="1DB50D48" w:rsidR="00FD3C9F" w:rsidRDefault="00FD3C9F" w:rsidP="00126CD6">
      <w:pPr>
        <w:pStyle w:val="CETBodytext"/>
        <w:keepNext/>
        <w:ind w:right="-1"/>
        <w:jc w:val="center"/>
        <w:rPr>
          <w:noProof/>
        </w:rPr>
      </w:pPr>
    </w:p>
    <w:p w14:paraId="6BC7DB9B" w14:textId="77777777" w:rsidR="00FD3C9F" w:rsidRDefault="00FD3C9F" w:rsidP="00126CD6">
      <w:pPr>
        <w:pStyle w:val="CETBodytext"/>
        <w:keepNext/>
        <w:ind w:right="-1"/>
        <w:jc w:val="center"/>
        <w:rPr>
          <w:noProof/>
        </w:rPr>
      </w:pPr>
    </w:p>
    <w:p w14:paraId="6768D064" w14:textId="7831B19E" w:rsidR="00FD3C9F" w:rsidRDefault="00FD3C9F" w:rsidP="00126CD6">
      <w:pPr>
        <w:pStyle w:val="CETBodytext"/>
        <w:keepNext/>
        <w:ind w:right="-1"/>
        <w:jc w:val="center"/>
        <w:rPr>
          <w:noProof/>
        </w:rPr>
      </w:pPr>
    </w:p>
    <w:p w14:paraId="59AF8734" w14:textId="77777777" w:rsidR="00FD3C9F" w:rsidRDefault="00FD3C9F" w:rsidP="00126CD6">
      <w:pPr>
        <w:pStyle w:val="CETBodytext"/>
        <w:keepNext/>
        <w:ind w:right="-1"/>
        <w:jc w:val="center"/>
        <w:rPr>
          <w:noProof/>
        </w:rPr>
      </w:pPr>
    </w:p>
    <w:p w14:paraId="3FFD4242" w14:textId="600FD01F" w:rsidR="00FD3C9F" w:rsidRDefault="00FD3C9F" w:rsidP="00126CD6">
      <w:pPr>
        <w:pStyle w:val="CETBodytext"/>
        <w:keepNext/>
        <w:ind w:right="-1"/>
        <w:jc w:val="center"/>
        <w:rPr>
          <w:noProof/>
        </w:rPr>
      </w:pPr>
    </w:p>
    <w:p w14:paraId="1DF1FD83" w14:textId="77777777" w:rsidR="00FD3C9F" w:rsidRDefault="00FD3C9F" w:rsidP="00126CD6">
      <w:pPr>
        <w:pStyle w:val="CETBodytext"/>
        <w:keepNext/>
        <w:ind w:right="-1"/>
        <w:jc w:val="center"/>
        <w:rPr>
          <w:noProof/>
        </w:rPr>
      </w:pPr>
    </w:p>
    <w:p w14:paraId="344854E7" w14:textId="77777777" w:rsidR="00FD3C9F" w:rsidRDefault="00FD3C9F" w:rsidP="00126CD6">
      <w:pPr>
        <w:pStyle w:val="CETBodytext"/>
        <w:keepNext/>
        <w:ind w:right="-1"/>
        <w:jc w:val="center"/>
        <w:rPr>
          <w:noProof/>
        </w:rPr>
      </w:pPr>
    </w:p>
    <w:p w14:paraId="7B472096" w14:textId="77777777" w:rsidR="00FD3C9F" w:rsidRDefault="00FD3C9F" w:rsidP="00126CD6">
      <w:pPr>
        <w:pStyle w:val="CETBodytext"/>
        <w:keepNext/>
        <w:ind w:right="-1"/>
        <w:jc w:val="center"/>
        <w:rPr>
          <w:noProof/>
        </w:rPr>
      </w:pPr>
    </w:p>
    <w:p w14:paraId="329C5828" w14:textId="77777777" w:rsidR="00FD3C9F" w:rsidRDefault="00FD3C9F" w:rsidP="00126CD6">
      <w:pPr>
        <w:pStyle w:val="CETBodytext"/>
        <w:keepNext/>
        <w:ind w:right="-1"/>
        <w:jc w:val="center"/>
        <w:rPr>
          <w:noProof/>
        </w:rPr>
      </w:pPr>
    </w:p>
    <w:p w14:paraId="5C763EA3" w14:textId="77777777" w:rsidR="00FD3C9F" w:rsidRDefault="00FD3C9F" w:rsidP="00126CD6">
      <w:pPr>
        <w:pStyle w:val="CETBodytext"/>
        <w:keepNext/>
        <w:ind w:right="-1"/>
        <w:jc w:val="center"/>
        <w:rPr>
          <w:noProof/>
        </w:rPr>
      </w:pPr>
    </w:p>
    <w:p w14:paraId="69C9E2F5" w14:textId="5B907B50" w:rsidR="00FD3C9F" w:rsidRPr="00FD3C9F" w:rsidRDefault="00FD3C9F" w:rsidP="00FD3C9F">
      <w:pPr>
        <w:pStyle w:val="CETBodytext"/>
        <w:keepNext/>
        <w:ind w:right="-1"/>
        <w:rPr>
          <w:noProof/>
        </w:rPr>
      </w:pPr>
      <w:r w:rsidRPr="00431200">
        <w:rPr>
          <w:i/>
          <w:iCs/>
          <w:color w:val="000000" w:themeColor="text1"/>
        </w:rPr>
        <w:t>Figure 3</w:t>
      </w:r>
      <w:r w:rsidR="00C30D02" w:rsidRPr="00431200">
        <w:rPr>
          <w:i/>
          <w:iCs/>
          <w:color w:val="000000" w:themeColor="text1"/>
        </w:rPr>
        <w:t>:</w:t>
      </w:r>
      <w:r w:rsidR="00C30D02" w:rsidRPr="00FD3C9F">
        <w:rPr>
          <w:color w:val="000000" w:themeColor="text1"/>
        </w:rPr>
        <w:t xml:space="preserve"> The</w:t>
      </w:r>
      <w:r w:rsidR="008A6FBF" w:rsidRPr="00801B1F">
        <w:rPr>
          <w:color w:val="000000" w:themeColor="text1"/>
          <w:lang w:val="en-GB"/>
        </w:rPr>
        <w:t xml:space="preserve"> relative rate plots of </w:t>
      </w:r>
      <w:r w:rsidR="008A6FBF">
        <w:rPr>
          <w:color w:val="000000" w:themeColor="text1"/>
          <w:lang w:val="en-GB"/>
        </w:rPr>
        <w:t>TMB</w:t>
      </w:r>
      <w:r w:rsidR="008A6FBF" w:rsidRPr="00B22A3A">
        <w:rPr>
          <w:color w:val="000000" w:themeColor="text1"/>
          <w:lang w:val="en-GB"/>
        </w:rPr>
        <w:t>, DMTS, and IPMP obtained using toluene as the reference compound</w:t>
      </w:r>
      <w:r w:rsidR="008A6FBF">
        <w:rPr>
          <w:color w:val="000000" w:themeColor="text1"/>
        </w:rPr>
        <w:t>.</w:t>
      </w:r>
    </w:p>
    <w:p w14:paraId="16AAAFEE" w14:textId="77777777" w:rsidR="00FD3C9F" w:rsidRPr="00B22A3A" w:rsidRDefault="00FD3C9F" w:rsidP="00126CD6">
      <w:pPr>
        <w:pStyle w:val="CETBodytext"/>
        <w:keepNext/>
        <w:ind w:right="-1"/>
        <w:jc w:val="center"/>
        <w:rPr>
          <w:strike/>
          <w:noProof/>
        </w:rPr>
      </w:pPr>
    </w:p>
    <w:p w14:paraId="0B60D318" w14:textId="77777777" w:rsidR="00126CD6" w:rsidRPr="006C68CB" w:rsidRDefault="00126CD6" w:rsidP="00126CD6">
      <w:pPr>
        <w:rPr>
          <w:lang w:val="en-US"/>
        </w:rPr>
      </w:pPr>
    </w:p>
    <w:p w14:paraId="7DE478D7" w14:textId="4B78ECC8" w:rsidR="007A7FBA" w:rsidRDefault="007A7FBA" w:rsidP="00FD3C9F">
      <w:pPr>
        <w:pStyle w:val="CETBodytext"/>
        <w:rPr>
          <w:rFonts w:cs="Arial"/>
        </w:rPr>
      </w:pPr>
      <w:r w:rsidRPr="00E33F8E">
        <w:rPr>
          <w:rFonts w:cs="Arial"/>
          <w:i/>
          <w:iCs/>
        </w:rPr>
        <w:t xml:space="preserve">Table </w:t>
      </w:r>
      <w:r w:rsidR="00FD3C9F">
        <w:rPr>
          <w:rFonts w:cs="Arial"/>
          <w:i/>
          <w:iCs/>
        </w:rPr>
        <w:t>1</w:t>
      </w:r>
      <w:r w:rsidR="00FD3C9F">
        <w:rPr>
          <w:rFonts w:cs="Arial"/>
        </w:rPr>
        <w:t xml:space="preserve"> </w:t>
      </w:r>
      <w:r w:rsidR="00EA0F33">
        <w:rPr>
          <w:rFonts w:cs="Arial"/>
          <w:lang w:val="en-CA"/>
        </w:rPr>
        <w:t>T</w:t>
      </w:r>
      <w:r w:rsidR="00FD3C9F">
        <w:rPr>
          <w:rFonts w:cs="Arial"/>
          <w:lang w:val="en-CA"/>
        </w:rPr>
        <w:t>he</w:t>
      </w:r>
      <w:r w:rsidR="00FD3C9F" w:rsidRPr="00FD3C9F">
        <w:rPr>
          <w:rFonts w:cs="Arial"/>
          <w:lang w:val="en-CA"/>
        </w:rPr>
        <w:t xml:space="preserve"> </w:t>
      </w:r>
      <w:r w:rsidR="00F46199">
        <w:rPr>
          <w:rFonts w:cs="Arial"/>
          <w:lang w:val="en-CA"/>
        </w:rPr>
        <w:t>k</w:t>
      </w:r>
      <w:r w:rsidR="00FD3C9F" w:rsidRPr="00FD3C9F">
        <w:rPr>
          <w:rFonts w:cs="Arial"/>
          <w:lang w:val="en-CA"/>
        </w:rPr>
        <w:t>inetic</w:t>
      </w:r>
      <w:r w:rsidR="00F46199">
        <w:rPr>
          <w:rFonts w:cs="Arial"/>
          <w:lang w:val="en-CA"/>
        </w:rPr>
        <w:t>s and statistical p</w:t>
      </w:r>
      <w:r w:rsidR="00FD3C9F" w:rsidRPr="00FD3C9F">
        <w:rPr>
          <w:rFonts w:cs="Arial"/>
          <w:lang w:val="en-CA"/>
        </w:rPr>
        <w:t xml:space="preserve">arameters </w:t>
      </w:r>
      <w:r w:rsidR="009B28CB">
        <w:rPr>
          <w:rFonts w:cs="Arial"/>
          <w:lang w:val="en-CA"/>
        </w:rPr>
        <w:t xml:space="preserve">were </w:t>
      </w:r>
      <w:r w:rsidR="00F46199">
        <w:rPr>
          <w:rFonts w:cs="Arial"/>
          <w:lang w:val="en-CA"/>
        </w:rPr>
        <w:t>d</w:t>
      </w:r>
      <w:r w:rsidR="00FD3C9F" w:rsidRPr="00FD3C9F">
        <w:rPr>
          <w:rFonts w:cs="Arial"/>
          <w:lang w:val="en-CA"/>
        </w:rPr>
        <w:t xml:space="preserve">erived from the </w:t>
      </w:r>
      <w:r w:rsidR="00F46199">
        <w:rPr>
          <w:rFonts w:cs="Arial"/>
          <w:lang w:val="en-CA"/>
        </w:rPr>
        <w:t>r</w:t>
      </w:r>
      <w:r w:rsidR="00FD3C9F" w:rsidRPr="00FD3C9F">
        <w:rPr>
          <w:rFonts w:cs="Arial"/>
          <w:lang w:val="en-CA"/>
        </w:rPr>
        <w:t xml:space="preserve">elative </w:t>
      </w:r>
      <w:r w:rsidR="00F46199">
        <w:rPr>
          <w:rFonts w:cs="Arial"/>
          <w:lang w:val="en-CA"/>
        </w:rPr>
        <w:t>r</w:t>
      </w:r>
      <w:r w:rsidR="00FD3C9F" w:rsidRPr="00FD3C9F">
        <w:rPr>
          <w:rFonts w:cs="Arial"/>
          <w:lang w:val="en-CA"/>
        </w:rPr>
        <w:t xml:space="preserve">ate </w:t>
      </w:r>
      <w:r w:rsidR="00F46199">
        <w:rPr>
          <w:rFonts w:cs="Arial"/>
          <w:lang w:val="en-CA"/>
        </w:rPr>
        <w:t>m</w:t>
      </w:r>
      <w:r w:rsidR="00FD3C9F" w:rsidRPr="00FD3C9F">
        <w:rPr>
          <w:rFonts w:cs="Arial"/>
          <w:lang w:val="en-CA"/>
        </w:rPr>
        <w:t>ethod</w:t>
      </w:r>
      <w:r w:rsidRPr="00E33F8E">
        <w:rPr>
          <w:rFonts w:cs="Arial"/>
        </w:rPr>
        <w:t>.</w:t>
      </w:r>
    </w:p>
    <w:tbl>
      <w:tblPr>
        <w:tblStyle w:val="TableGrid"/>
        <w:tblW w:w="9067" w:type="dxa"/>
        <w:tblLook w:val="04A0" w:firstRow="1" w:lastRow="0" w:firstColumn="1" w:lastColumn="0" w:noHBand="0" w:noVBand="1"/>
      </w:tblPr>
      <w:tblGrid>
        <w:gridCol w:w="1838"/>
        <w:gridCol w:w="2410"/>
        <w:gridCol w:w="2268"/>
        <w:gridCol w:w="2551"/>
      </w:tblGrid>
      <w:tr w:rsidR="00B90593" w:rsidRPr="001F6B36" w14:paraId="5E5685A7" w14:textId="77777777" w:rsidTr="000D36D4">
        <w:trPr>
          <w:trHeight w:val="467"/>
        </w:trPr>
        <w:tc>
          <w:tcPr>
            <w:tcW w:w="1838" w:type="dxa"/>
            <w:tcBorders>
              <w:top w:val="single" w:sz="12" w:space="0" w:color="0AA65C"/>
              <w:left w:val="nil"/>
              <w:bottom w:val="single" w:sz="12" w:space="0" w:color="0AA65C"/>
              <w:right w:val="nil"/>
            </w:tcBorders>
          </w:tcPr>
          <w:p w14:paraId="0C806BBF" w14:textId="384BC20C" w:rsidR="00B90593" w:rsidRPr="00B90593" w:rsidRDefault="00B90593" w:rsidP="00B90593">
            <w:pPr>
              <w:pStyle w:val="CETHeading1"/>
              <w:numPr>
                <w:ilvl w:val="0"/>
                <w:numId w:val="0"/>
              </w:numPr>
              <w:jc w:val="center"/>
              <w:rPr>
                <w:rFonts w:cs="Arial"/>
                <w:b w:val="0"/>
                <w:bCs/>
                <w:sz w:val="18"/>
                <w:szCs w:val="18"/>
                <w:lang w:val="en-GB"/>
              </w:rPr>
            </w:pPr>
            <w:r w:rsidRPr="00B90593">
              <w:rPr>
                <w:rFonts w:cs="Arial"/>
                <w:b w:val="0"/>
                <w:bCs/>
                <w:sz w:val="18"/>
                <w:szCs w:val="18"/>
              </w:rPr>
              <w:t>Parameters</w:t>
            </w:r>
          </w:p>
        </w:tc>
        <w:tc>
          <w:tcPr>
            <w:tcW w:w="2410" w:type="dxa"/>
            <w:tcBorders>
              <w:top w:val="single" w:sz="12" w:space="0" w:color="0AA65C"/>
              <w:left w:val="nil"/>
              <w:bottom w:val="single" w:sz="12" w:space="0" w:color="0AA65C"/>
              <w:right w:val="nil"/>
            </w:tcBorders>
          </w:tcPr>
          <w:p w14:paraId="70D971E0" w14:textId="77777777" w:rsidR="00B90593" w:rsidRDefault="00B90593" w:rsidP="00B90593">
            <w:pPr>
              <w:pStyle w:val="CETBodytext"/>
              <w:jc w:val="center"/>
              <w:rPr>
                <w:rFonts w:cs="Arial"/>
                <w:bCs/>
                <w:szCs w:val="18"/>
                <w:lang w:val="en-GB"/>
              </w:rPr>
            </w:pPr>
          </w:p>
          <w:p w14:paraId="1143B08B" w14:textId="79208D4B" w:rsidR="00B90593" w:rsidRPr="00B90593" w:rsidRDefault="00B90593" w:rsidP="00B90593">
            <w:pPr>
              <w:pStyle w:val="CETBodytext"/>
              <w:jc w:val="center"/>
              <w:rPr>
                <w:rFonts w:cs="Arial"/>
                <w:bCs/>
                <w:szCs w:val="18"/>
              </w:rPr>
            </w:pPr>
            <w:r w:rsidRPr="00B90593">
              <w:rPr>
                <w:rFonts w:cs="Arial"/>
                <w:bCs/>
                <w:szCs w:val="18"/>
                <w:lang w:val="en-GB"/>
              </w:rPr>
              <w:t>TMB</w:t>
            </w:r>
          </w:p>
        </w:tc>
        <w:tc>
          <w:tcPr>
            <w:tcW w:w="2268" w:type="dxa"/>
            <w:tcBorders>
              <w:top w:val="single" w:sz="12" w:space="0" w:color="0AA65C"/>
              <w:left w:val="nil"/>
              <w:bottom w:val="single" w:sz="12" w:space="0" w:color="0AA65C"/>
              <w:right w:val="nil"/>
            </w:tcBorders>
          </w:tcPr>
          <w:p w14:paraId="5510F8A7" w14:textId="77777777" w:rsidR="00B90593" w:rsidRDefault="00B90593" w:rsidP="00B90593">
            <w:pPr>
              <w:pStyle w:val="CETBodytext"/>
              <w:jc w:val="center"/>
              <w:rPr>
                <w:rFonts w:cs="Arial"/>
                <w:bCs/>
                <w:szCs w:val="18"/>
              </w:rPr>
            </w:pPr>
          </w:p>
          <w:p w14:paraId="4B61F062" w14:textId="60F2937C" w:rsidR="00B90593" w:rsidRPr="00B90593" w:rsidRDefault="00B90593" w:rsidP="00B90593">
            <w:pPr>
              <w:pStyle w:val="CETBodytext"/>
              <w:jc w:val="center"/>
              <w:rPr>
                <w:rFonts w:cs="Arial"/>
                <w:bCs/>
                <w:szCs w:val="18"/>
              </w:rPr>
            </w:pPr>
            <w:r w:rsidRPr="00B90593">
              <w:rPr>
                <w:rFonts w:cs="Arial"/>
                <w:bCs/>
                <w:szCs w:val="18"/>
              </w:rPr>
              <w:t>DMTS</w:t>
            </w:r>
          </w:p>
        </w:tc>
        <w:tc>
          <w:tcPr>
            <w:tcW w:w="2551" w:type="dxa"/>
            <w:tcBorders>
              <w:top w:val="single" w:sz="12" w:space="0" w:color="0AA65C"/>
              <w:left w:val="nil"/>
              <w:bottom w:val="single" w:sz="12" w:space="0" w:color="0AA65C"/>
              <w:right w:val="nil"/>
            </w:tcBorders>
          </w:tcPr>
          <w:p w14:paraId="70F2005F" w14:textId="77777777" w:rsidR="00B90593" w:rsidRDefault="00B90593" w:rsidP="00B90593">
            <w:pPr>
              <w:pStyle w:val="CETBodytext"/>
              <w:jc w:val="center"/>
              <w:rPr>
                <w:rFonts w:cs="Arial"/>
                <w:bCs/>
                <w:szCs w:val="18"/>
              </w:rPr>
            </w:pPr>
          </w:p>
          <w:p w14:paraId="178181A0" w14:textId="071FFB22" w:rsidR="00B90593" w:rsidRPr="00B90593" w:rsidRDefault="00B90593" w:rsidP="00B90593">
            <w:pPr>
              <w:pStyle w:val="CETBodytext"/>
              <w:jc w:val="center"/>
              <w:rPr>
                <w:rFonts w:cs="Arial"/>
                <w:bCs/>
                <w:szCs w:val="18"/>
              </w:rPr>
            </w:pPr>
            <w:r w:rsidRPr="00B90593">
              <w:rPr>
                <w:rFonts w:cs="Arial"/>
                <w:bCs/>
                <w:szCs w:val="18"/>
              </w:rPr>
              <w:t>IPMP</w:t>
            </w:r>
          </w:p>
        </w:tc>
      </w:tr>
      <w:tr w:rsidR="00B90593" w:rsidRPr="001F6B36" w14:paraId="65921DBF" w14:textId="77777777" w:rsidTr="000D36D4">
        <w:tc>
          <w:tcPr>
            <w:tcW w:w="1838" w:type="dxa"/>
            <w:tcBorders>
              <w:top w:val="single" w:sz="12" w:space="0" w:color="0AA65C"/>
              <w:left w:val="nil"/>
              <w:bottom w:val="nil"/>
              <w:right w:val="nil"/>
            </w:tcBorders>
          </w:tcPr>
          <w:p w14:paraId="38525027" w14:textId="222097B1" w:rsidR="00B90593" w:rsidRPr="00B90593" w:rsidRDefault="00B90593" w:rsidP="00B90593">
            <w:pPr>
              <w:pStyle w:val="CETHeading1"/>
              <w:numPr>
                <w:ilvl w:val="0"/>
                <w:numId w:val="0"/>
              </w:numPr>
              <w:jc w:val="center"/>
              <w:rPr>
                <w:rFonts w:cs="Arial"/>
                <w:b w:val="0"/>
                <w:bCs/>
                <w:sz w:val="18"/>
                <w:szCs w:val="18"/>
                <w:lang w:val="en-GB"/>
              </w:rPr>
            </w:pPr>
            <w:r w:rsidRPr="00B90593">
              <w:rPr>
                <w:rFonts w:cs="Arial"/>
                <w:b w:val="0"/>
                <w:bCs/>
                <w:sz w:val="18"/>
                <w:szCs w:val="18"/>
              </w:rPr>
              <w:t>Relative Rate (R±SE)</w:t>
            </w:r>
          </w:p>
        </w:tc>
        <w:tc>
          <w:tcPr>
            <w:tcW w:w="2410" w:type="dxa"/>
            <w:tcBorders>
              <w:top w:val="single" w:sz="12" w:space="0" w:color="0AA65C"/>
              <w:left w:val="nil"/>
              <w:bottom w:val="nil"/>
              <w:right w:val="nil"/>
            </w:tcBorders>
          </w:tcPr>
          <w:p w14:paraId="71601BE1" w14:textId="77777777" w:rsidR="00B90593" w:rsidRDefault="00B90593" w:rsidP="00B90593">
            <w:pPr>
              <w:tabs>
                <w:tab w:val="clear" w:pos="7100"/>
              </w:tabs>
              <w:spacing w:line="240" w:lineRule="auto"/>
              <w:jc w:val="center"/>
              <w:rPr>
                <w:rFonts w:cs="Arial"/>
                <w:bCs/>
                <w:szCs w:val="18"/>
              </w:rPr>
            </w:pPr>
          </w:p>
          <w:p w14:paraId="48D9C501" w14:textId="054CE0FE" w:rsidR="00B90593" w:rsidRPr="00B90593" w:rsidRDefault="00B90593" w:rsidP="00B90593">
            <w:pPr>
              <w:tabs>
                <w:tab w:val="clear" w:pos="7100"/>
              </w:tabs>
              <w:spacing w:line="240" w:lineRule="auto"/>
              <w:jc w:val="center"/>
              <w:rPr>
                <w:rFonts w:cs="Arial"/>
                <w:bCs/>
                <w:color w:val="000000"/>
                <w:szCs w:val="18"/>
                <w:lang w:val="en-CA"/>
              </w:rPr>
            </w:pPr>
            <w:r w:rsidRPr="00B90593">
              <w:rPr>
                <w:rFonts w:cs="Arial"/>
                <w:bCs/>
                <w:szCs w:val="18"/>
              </w:rPr>
              <w:t>1.24±</w:t>
            </w:r>
            <w:r w:rsidRPr="00B90593">
              <w:rPr>
                <w:rFonts w:cs="Arial"/>
                <w:bCs/>
                <w:szCs w:val="18"/>
                <w:lang w:val="en-CA"/>
              </w:rPr>
              <w:t>0.07</w:t>
            </w:r>
          </w:p>
        </w:tc>
        <w:tc>
          <w:tcPr>
            <w:tcW w:w="2268" w:type="dxa"/>
            <w:tcBorders>
              <w:top w:val="single" w:sz="12" w:space="0" w:color="0AA65C"/>
              <w:left w:val="nil"/>
              <w:bottom w:val="nil"/>
              <w:right w:val="nil"/>
            </w:tcBorders>
          </w:tcPr>
          <w:p w14:paraId="0613F02F" w14:textId="77777777" w:rsidR="00B90593" w:rsidRDefault="00B90593" w:rsidP="00B90593">
            <w:pPr>
              <w:tabs>
                <w:tab w:val="clear" w:pos="7100"/>
              </w:tabs>
              <w:spacing w:line="240" w:lineRule="auto"/>
              <w:jc w:val="center"/>
              <w:rPr>
                <w:rFonts w:cs="Arial"/>
                <w:bCs/>
                <w:szCs w:val="18"/>
              </w:rPr>
            </w:pPr>
          </w:p>
          <w:p w14:paraId="65679339" w14:textId="0F1A7C01" w:rsidR="00B90593" w:rsidRPr="00B90593" w:rsidRDefault="00B90593" w:rsidP="00B90593">
            <w:pPr>
              <w:tabs>
                <w:tab w:val="clear" w:pos="7100"/>
              </w:tabs>
              <w:spacing w:line="240" w:lineRule="auto"/>
              <w:jc w:val="center"/>
              <w:rPr>
                <w:rFonts w:cs="Arial"/>
                <w:bCs/>
                <w:color w:val="000000"/>
                <w:szCs w:val="18"/>
                <w:lang w:val="en-CA"/>
              </w:rPr>
            </w:pPr>
            <w:r w:rsidRPr="00B90593">
              <w:rPr>
                <w:rFonts w:cs="Arial"/>
                <w:bCs/>
                <w:szCs w:val="18"/>
              </w:rPr>
              <w:t>1.14±0.09</w:t>
            </w:r>
          </w:p>
        </w:tc>
        <w:tc>
          <w:tcPr>
            <w:tcW w:w="2551" w:type="dxa"/>
            <w:tcBorders>
              <w:top w:val="single" w:sz="12" w:space="0" w:color="0AA65C"/>
              <w:left w:val="nil"/>
              <w:bottom w:val="nil"/>
              <w:right w:val="nil"/>
            </w:tcBorders>
          </w:tcPr>
          <w:p w14:paraId="6C81D297" w14:textId="77777777" w:rsidR="00B90593" w:rsidRDefault="00B90593" w:rsidP="00B90593">
            <w:pPr>
              <w:tabs>
                <w:tab w:val="clear" w:pos="7100"/>
              </w:tabs>
              <w:spacing w:line="240" w:lineRule="auto"/>
              <w:jc w:val="center"/>
              <w:rPr>
                <w:rFonts w:cs="Arial"/>
                <w:bCs/>
                <w:szCs w:val="18"/>
              </w:rPr>
            </w:pPr>
          </w:p>
          <w:p w14:paraId="5187E612" w14:textId="45F1E8EE" w:rsidR="00B90593" w:rsidRPr="00B90593" w:rsidRDefault="00B90593" w:rsidP="00B90593">
            <w:pPr>
              <w:tabs>
                <w:tab w:val="clear" w:pos="7100"/>
              </w:tabs>
              <w:spacing w:line="240" w:lineRule="auto"/>
              <w:jc w:val="center"/>
              <w:rPr>
                <w:rFonts w:cs="Arial"/>
                <w:bCs/>
                <w:color w:val="000000"/>
                <w:szCs w:val="18"/>
                <w:lang w:val="en-CA"/>
              </w:rPr>
            </w:pPr>
            <w:r w:rsidRPr="00B90593">
              <w:rPr>
                <w:rFonts w:cs="Arial"/>
                <w:bCs/>
                <w:szCs w:val="18"/>
              </w:rPr>
              <w:t>0.67±0.03</w:t>
            </w:r>
          </w:p>
        </w:tc>
      </w:tr>
      <w:tr w:rsidR="00B90593" w:rsidRPr="001F6B36" w14:paraId="79E55F98" w14:textId="77777777" w:rsidTr="000D36D4">
        <w:tc>
          <w:tcPr>
            <w:tcW w:w="1838" w:type="dxa"/>
            <w:tcBorders>
              <w:top w:val="nil"/>
              <w:left w:val="nil"/>
              <w:bottom w:val="nil"/>
              <w:right w:val="nil"/>
            </w:tcBorders>
          </w:tcPr>
          <w:p w14:paraId="318C2717" w14:textId="1C80691B" w:rsidR="00B90593" w:rsidRPr="00B90593" w:rsidRDefault="00B90593" w:rsidP="00B90593">
            <w:pPr>
              <w:jc w:val="center"/>
              <w:rPr>
                <w:rFonts w:cs="Arial"/>
                <w:bCs/>
                <w:szCs w:val="18"/>
              </w:rPr>
            </w:pPr>
            <w:r w:rsidRPr="00B90593">
              <w:rPr>
                <w:rFonts w:cs="Arial"/>
                <w:bCs/>
                <w:szCs w:val="18"/>
              </w:rPr>
              <w:t>Reliability (R</w:t>
            </w:r>
            <w:r w:rsidRPr="00B90593">
              <w:rPr>
                <w:rFonts w:cs="Arial"/>
                <w:bCs/>
                <w:szCs w:val="18"/>
                <w:vertAlign w:val="superscript"/>
              </w:rPr>
              <w:t>2</w:t>
            </w:r>
            <w:r w:rsidRPr="00B90593">
              <w:rPr>
                <w:rFonts w:cs="Arial"/>
                <w:bCs/>
                <w:szCs w:val="18"/>
              </w:rPr>
              <w:t>)</w:t>
            </w:r>
          </w:p>
        </w:tc>
        <w:tc>
          <w:tcPr>
            <w:tcW w:w="2410" w:type="dxa"/>
            <w:tcBorders>
              <w:top w:val="nil"/>
              <w:left w:val="nil"/>
              <w:bottom w:val="nil"/>
              <w:right w:val="nil"/>
            </w:tcBorders>
          </w:tcPr>
          <w:p w14:paraId="68C47D1D" w14:textId="2A8048BE" w:rsidR="00B90593" w:rsidRPr="00B90593" w:rsidRDefault="00B90593" w:rsidP="00B90593">
            <w:pPr>
              <w:tabs>
                <w:tab w:val="clear" w:pos="7100"/>
              </w:tabs>
              <w:spacing w:line="240" w:lineRule="auto"/>
              <w:jc w:val="center"/>
              <w:rPr>
                <w:rFonts w:cs="Arial"/>
                <w:bCs/>
                <w:color w:val="000000"/>
                <w:szCs w:val="18"/>
                <w:lang w:val="en-CA"/>
              </w:rPr>
            </w:pPr>
            <w:r w:rsidRPr="00B90593">
              <w:rPr>
                <w:rFonts w:cs="Arial"/>
                <w:bCs/>
                <w:szCs w:val="18"/>
              </w:rPr>
              <w:t>0.961</w:t>
            </w:r>
          </w:p>
        </w:tc>
        <w:tc>
          <w:tcPr>
            <w:tcW w:w="2268" w:type="dxa"/>
            <w:tcBorders>
              <w:top w:val="nil"/>
              <w:left w:val="nil"/>
              <w:bottom w:val="nil"/>
              <w:right w:val="nil"/>
            </w:tcBorders>
          </w:tcPr>
          <w:p w14:paraId="5500A09E" w14:textId="659F5494" w:rsidR="00B90593" w:rsidRPr="00B90593" w:rsidRDefault="00B90593" w:rsidP="00B90593">
            <w:pPr>
              <w:tabs>
                <w:tab w:val="clear" w:pos="7100"/>
              </w:tabs>
              <w:spacing w:line="240" w:lineRule="auto"/>
              <w:jc w:val="center"/>
              <w:rPr>
                <w:rFonts w:cs="Arial"/>
                <w:bCs/>
                <w:color w:val="000000"/>
                <w:szCs w:val="18"/>
                <w:lang w:val="en-CA"/>
              </w:rPr>
            </w:pPr>
            <w:r w:rsidRPr="00B90593">
              <w:rPr>
                <w:rFonts w:cs="Arial"/>
                <w:bCs/>
                <w:szCs w:val="18"/>
              </w:rPr>
              <w:t>0.9638</w:t>
            </w:r>
          </w:p>
        </w:tc>
        <w:tc>
          <w:tcPr>
            <w:tcW w:w="2551" w:type="dxa"/>
            <w:tcBorders>
              <w:top w:val="nil"/>
              <w:left w:val="nil"/>
              <w:bottom w:val="nil"/>
              <w:right w:val="nil"/>
            </w:tcBorders>
          </w:tcPr>
          <w:p w14:paraId="141EBA7F" w14:textId="43A52CB8" w:rsidR="00B90593" w:rsidRPr="00B90593" w:rsidRDefault="00B90593" w:rsidP="00B90593">
            <w:pPr>
              <w:tabs>
                <w:tab w:val="clear" w:pos="7100"/>
              </w:tabs>
              <w:spacing w:line="240" w:lineRule="auto"/>
              <w:jc w:val="center"/>
              <w:rPr>
                <w:rFonts w:cs="Arial"/>
                <w:bCs/>
                <w:color w:val="000000"/>
                <w:szCs w:val="18"/>
                <w:lang w:val="en-CA"/>
              </w:rPr>
            </w:pPr>
            <w:r w:rsidRPr="00B90593">
              <w:rPr>
                <w:rFonts w:cs="Arial"/>
                <w:bCs/>
                <w:szCs w:val="18"/>
              </w:rPr>
              <w:t>0.9864</w:t>
            </w:r>
          </w:p>
        </w:tc>
      </w:tr>
      <w:tr w:rsidR="00B90593" w:rsidRPr="001F6B36" w14:paraId="44DA5097" w14:textId="77777777" w:rsidTr="00B90593">
        <w:trPr>
          <w:trHeight w:val="732"/>
        </w:trPr>
        <w:tc>
          <w:tcPr>
            <w:tcW w:w="1838" w:type="dxa"/>
            <w:tcBorders>
              <w:top w:val="nil"/>
              <w:left w:val="nil"/>
              <w:bottom w:val="single" w:sz="12" w:space="0" w:color="0AA65C"/>
              <w:right w:val="nil"/>
            </w:tcBorders>
          </w:tcPr>
          <w:p w14:paraId="35E6D3F8" w14:textId="77777777" w:rsidR="00B90593" w:rsidRDefault="00B90593" w:rsidP="00B90593">
            <w:pPr>
              <w:jc w:val="center"/>
              <w:rPr>
                <w:rFonts w:cs="Arial"/>
                <w:bCs/>
                <w:szCs w:val="18"/>
              </w:rPr>
            </w:pPr>
          </w:p>
          <w:p w14:paraId="099A89FC" w14:textId="77777777" w:rsidR="00B90593" w:rsidRDefault="00B90593" w:rsidP="00B90593">
            <w:pPr>
              <w:jc w:val="center"/>
              <w:rPr>
                <w:rFonts w:cs="Arial"/>
                <w:bCs/>
                <w:szCs w:val="18"/>
              </w:rPr>
            </w:pPr>
            <w:r w:rsidRPr="00B90593">
              <w:rPr>
                <w:rFonts w:cs="Arial"/>
                <w:bCs/>
                <w:szCs w:val="18"/>
              </w:rPr>
              <w:t>K (Rate Constant) (cm</w:t>
            </w:r>
            <w:r w:rsidRPr="00B90593">
              <w:rPr>
                <w:rFonts w:cs="Arial"/>
                <w:bCs/>
                <w:szCs w:val="18"/>
                <w:vertAlign w:val="superscript"/>
              </w:rPr>
              <w:t>3</w:t>
            </w:r>
            <w:r w:rsidRPr="00B90593">
              <w:rPr>
                <w:rFonts w:cs="Arial"/>
                <w:bCs/>
                <w:szCs w:val="18"/>
              </w:rPr>
              <w:t xml:space="preserve">/molecule </w:t>
            </w:r>
            <w:r w:rsidRPr="00B90593">
              <w:rPr>
                <w:rFonts w:cs="Arial"/>
                <w:bCs/>
                <w:color w:val="000000" w:themeColor="text1"/>
                <w:szCs w:val="18"/>
              </w:rPr>
              <w:t>x</w:t>
            </w:r>
            <w:r w:rsidRPr="00B90593">
              <w:rPr>
                <w:rFonts w:cs="Arial"/>
                <w:bCs/>
                <w:szCs w:val="18"/>
              </w:rPr>
              <w:t xml:space="preserve"> s)</w:t>
            </w:r>
          </w:p>
          <w:p w14:paraId="6F9132AB" w14:textId="707A3CEE" w:rsidR="00B21559" w:rsidRPr="00B90593" w:rsidRDefault="00B21559" w:rsidP="00B90593">
            <w:pPr>
              <w:jc w:val="center"/>
              <w:rPr>
                <w:rFonts w:cs="Arial"/>
                <w:bCs/>
                <w:szCs w:val="18"/>
              </w:rPr>
            </w:pPr>
          </w:p>
        </w:tc>
        <w:tc>
          <w:tcPr>
            <w:tcW w:w="2410" w:type="dxa"/>
            <w:tcBorders>
              <w:top w:val="nil"/>
              <w:left w:val="nil"/>
              <w:bottom w:val="single" w:sz="12" w:space="0" w:color="0AA65C"/>
              <w:right w:val="nil"/>
            </w:tcBorders>
          </w:tcPr>
          <w:p w14:paraId="0E46ED3D" w14:textId="77777777" w:rsidR="00B90593" w:rsidRDefault="00B90593" w:rsidP="00B90593">
            <w:pPr>
              <w:pStyle w:val="CETBodytext"/>
              <w:jc w:val="center"/>
              <w:rPr>
                <w:rFonts w:cs="Arial"/>
                <w:bCs/>
                <w:szCs w:val="18"/>
                <w:lang w:val="en-GB"/>
              </w:rPr>
            </w:pPr>
          </w:p>
          <w:p w14:paraId="48425826" w14:textId="735E9354" w:rsidR="00B90593" w:rsidRPr="00B90593" w:rsidRDefault="00B90593" w:rsidP="00B90593">
            <w:pPr>
              <w:pStyle w:val="CETBodytext"/>
              <w:jc w:val="center"/>
              <w:rPr>
                <w:rFonts w:cs="Arial"/>
                <w:bCs/>
                <w:szCs w:val="18"/>
                <w:lang w:val="en-GB"/>
              </w:rPr>
            </w:pPr>
            <w:r w:rsidRPr="00B90593">
              <w:rPr>
                <w:rFonts w:cs="Arial"/>
                <w:bCs/>
                <w:szCs w:val="18"/>
              </w:rPr>
              <w:t>6.97 x 10</w:t>
            </w:r>
            <w:r w:rsidRPr="00B90593">
              <w:rPr>
                <w:rFonts w:cs="Arial"/>
                <w:bCs/>
                <w:szCs w:val="18"/>
                <w:vertAlign w:val="superscript"/>
              </w:rPr>
              <w:t>-12</w:t>
            </w:r>
          </w:p>
        </w:tc>
        <w:tc>
          <w:tcPr>
            <w:tcW w:w="2268" w:type="dxa"/>
            <w:tcBorders>
              <w:top w:val="nil"/>
              <w:left w:val="nil"/>
              <w:bottom w:val="single" w:sz="12" w:space="0" w:color="0AA65C"/>
              <w:right w:val="nil"/>
            </w:tcBorders>
          </w:tcPr>
          <w:p w14:paraId="14AA7A45" w14:textId="77777777" w:rsidR="00B90593" w:rsidRDefault="00B90593" w:rsidP="00B90593">
            <w:pPr>
              <w:tabs>
                <w:tab w:val="clear" w:pos="7100"/>
              </w:tabs>
              <w:spacing w:line="240" w:lineRule="auto"/>
              <w:jc w:val="center"/>
              <w:rPr>
                <w:rFonts w:cs="Arial"/>
                <w:bCs/>
                <w:szCs w:val="18"/>
              </w:rPr>
            </w:pPr>
          </w:p>
          <w:p w14:paraId="343C7316" w14:textId="5207EA0B" w:rsidR="00B90593" w:rsidRPr="00B90593" w:rsidRDefault="00B90593" w:rsidP="00B90593">
            <w:pPr>
              <w:tabs>
                <w:tab w:val="clear" w:pos="7100"/>
              </w:tabs>
              <w:spacing w:line="240" w:lineRule="auto"/>
              <w:jc w:val="center"/>
              <w:rPr>
                <w:rFonts w:cs="Arial"/>
                <w:bCs/>
                <w:color w:val="000000"/>
                <w:szCs w:val="18"/>
                <w:lang w:val="en-CA"/>
              </w:rPr>
            </w:pPr>
            <w:r w:rsidRPr="00B90593">
              <w:rPr>
                <w:rFonts w:cs="Arial"/>
                <w:bCs/>
                <w:szCs w:val="18"/>
              </w:rPr>
              <w:t>6.39 x 10</w:t>
            </w:r>
            <w:r w:rsidRPr="00B90593">
              <w:rPr>
                <w:rFonts w:cs="Arial"/>
                <w:bCs/>
                <w:szCs w:val="18"/>
                <w:vertAlign w:val="superscript"/>
              </w:rPr>
              <w:t>-12</w:t>
            </w:r>
          </w:p>
        </w:tc>
        <w:tc>
          <w:tcPr>
            <w:tcW w:w="2551" w:type="dxa"/>
            <w:tcBorders>
              <w:top w:val="nil"/>
              <w:left w:val="nil"/>
              <w:bottom w:val="single" w:sz="12" w:space="0" w:color="0AA65C"/>
              <w:right w:val="nil"/>
            </w:tcBorders>
          </w:tcPr>
          <w:p w14:paraId="0E17DF33" w14:textId="45EAD87F" w:rsidR="00B90593" w:rsidRPr="00B90593" w:rsidRDefault="00B90593" w:rsidP="00B90593">
            <w:pPr>
              <w:pStyle w:val="CETHeading1"/>
              <w:numPr>
                <w:ilvl w:val="0"/>
                <w:numId w:val="0"/>
              </w:numPr>
              <w:jc w:val="center"/>
              <w:rPr>
                <w:rFonts w:cs="Arial"/>
                <w:b w:val="0"/>
                <w:bCs/>
                <w:sz w:val="18"/>
                <w:szCs w:val="18"/>
                <w:lang w:val="en-GB"/>
              </w:rPr>
            </w:pPr>
            <w:r w:rsidRPr="00B90593">
              <w:rPr>
                <w:rFonts w:cs="Arial"/>
                <w:b w:val="0"/>
                <w:bCs/>
                <w:sz w:val="18"/>
                <w:szCs w:val="18"/>
              </w:rPr>
              <w:t>3.78 x 10</w:t>
            </w:r>
            <w:r w:rsidRPr="00B90593">
              <w:rPr>
                <w:rFonts w:cs="Arial"/>
                <w:b w:val="0"/>
                <w:bCs/>
                <w:sz w:val="18"/>
                <w:szCs w:val="18"/>
                <w:vertAlign w:val="superscript"/>
              </w:rPr>
              <w:t>-12</w:t>
            </w:r>
          </w:p>
        </w:tc>
      </w:tr>
    </w:tbl>
    <w:p w14:paraId="751E310E" w14:textId="77777777" w:rsidR="000E5FC4" w:rsidRDefault="000E5FC4" w:rsidP="00986C36">
      <w:pPr>
        <w:pStyle w:val="CETBodytext"/>
        <w:rPr>
          <w:rFonts w:cs="Arial"/>
          <w:lang w:val="en-GB"/>
        </w:rPr>
      </w:pPr>
    </w:p>
    <w:p w14:paraId="48C86EC9" w14:textId="3F5C682D" w:rsidR="00FE6AF3" w:rsidRPr="00E33F8E" w:rsidRDefault="00FE6AF3" w:rsidP="00FE6AF3">
      <w:pPr>
        <w:pStyle w:val="CETHeading1"/>
        <w:rPr>
          <w:rFonts w:cs="Arial"/>
        </w:rPr>
      </w:pPr>
      <w:r w:rsidRPr="00E33F8E">
        <w:rPr>
          <w:rFonts w:cs="Arial"/>
        </w:rPr>
        <w:t>Conclusion</w:t>
      </w:r>
    </w:p>
    <w:p w14:paraId="5EB1E690" w14:textId="7A29DCDE" w:rsidR="00431200" w:rsidRDefault="000E5FC4" w:rsidP="00986C36">
      <w:pPr>
        <w:pStyle w:val="CETBodytext"/>
        <w:rPr>
          <w:rFonts w:cs="Arial"/>
          <w:lang w:val="en-GB"/>
        </w:rPr>
      </w:pPr>
      <w:r w:rsidRPr="000E5FC4">
        <w:rPr>
          <w:rFonts w:cs="Arial"/>
          <w:lang w:val="en-CA"/>
        </w:rPr>
        <w:t>In this work, •OH radicals were successfully generated via CH</w:t>
      </w:r>
      <w:r w:rsidRPr="000E5FC4">
        <w:rPr>
          <w:rFonts w:ascii="Cambria Math" w:hAnsi="Cambria Math" w:cs="Cambria Math"/>
          <w:lang w:val="en-CA"/>
        </w:rPr>
        <w:t>₃</w:t>
      </w:r>
      <w:r w:rsidRPr="000E5FC4">
        <w:rPr>
          <w:rFonts w:cs="Arial"/>
          <w:lang w:val="en-CA"/>
        </w:rPr>
        <w:t>ONO photolysis, and the degradation of key odorants (</w:t>
      </w:r>
      <w:r w:rsidR="00767422">
        <w:rPr>
          <w:rFonts w:cs="Arial"/>
          <w:lang w:val="en-CA"/>
        </w:rPr>
        <w:t>TMB</w:t>
      </w:r>
      <w:r w:rsidRPr="000E5FC4">
        <w:rPr>
          <w:rFonts w:cs="Arial"/>
          <w:lang w:val="en-CA"/>
        </w:rPr>
        <w:t xml:space="preserve">, DMTS, and IPMP) was systematically monitored within the reactor. </w:t>
      </w:r>
      <w:r w:rsidR="00767422" w:rsidRPr="00767422">
        <w:rPr>
          <w:rFonts w:cs="Arial"/>
          <w:lang w:val="en-GB"/>
        </w:rPr>
        <w:t>By applying the relative rate method, reaction rate constants and atmospheric half</w:t>
      </w:r>
      <w:r w:rsidR="00767422" w:rsidRPr="00767422">
        <w:rPr>
          <w:rFonts w:cs="Arial"/>
          <w:lang w:val="en-GB"/>
        </w:rPr>
        <w:noBreakHyphen/>
        <w:t xml:space="preserve">lives were </w:t>
      </w:r>
      <w:r w:rsidR="00B22A3A">
        <w:rPr>
          <w:rFonts w:cs="Arial"/>
          <w:lang w:val="en-GB"/>
        </w:rPr>
        <w:t>calculated</w:t>
      </w:r>
      <w:r w:rsidR="00767422" w:rsidRPr="00767422">
        <w:rPr>
          <w:rFonts w:cs="Arial"/>
          <w:lang w:val="en-GB"/>
        </w:rPr>
        <w:t>, which are both kinetic parameters that describe the atmospheric fate of these compounds</w:t>
      </w:r>
      <w:r w:rsidR="00767422">
        <w:rPr>
          <w:rFonts w:cs="Arial"/>
          <w:lang w:val="en-GB"/>
        </w:rPr>
        <w:t xml:space="preserve">. </w:t>
      </w:r>
      <w:r w:rsidRPr="000E5FC4">
        <w:rPr>
          <w:rFonts w:cs="Arial"/>
          <w:lang w:val="en-CA"/>
        </w:rPr>
        <w:t xml:space="preserve">Based on the derived relative rates, IPMP was identified as the most persistent compound, whereas </w:t>
      </w:r>
      <w:r w:rsidR="00F46199" w:rsidRPr="00F46199">
        <w:rPr>
          <w:rFonts w:cs="Arial"/>
          <w:lang w:val="en-GB"/>
        </w:rPr>
        <w:t>TMB exhibited the highest reactivity, indicating a shorter atmospheric half</w:t>
      </w:r>
      <w:r w:rsidR="00F46199" w:rsidRPr="00F46199">
        <w:rPr>
          <w:rFonts w:cs="Arial"/>
          <w:lang w:val="en-GB"/>
        </w:rPr>
        <w:noBreakHyphen/>
        <w:t>life and a faster decline in concentration due to its reaction with hydroxyl radicals</w:t>
      </w:r>
      <w:r w:rsidRPr="000E5FC4">
        <w:rPr>
          <w:rFonts w:cs="Arial"/>
          <w:lang w:val="en-CA"/>
        </w:rPr>
        <w:t xml:space="preserve">. </w:t>
      </w:r>
      <w:r w:rsidR="00767422" w:rsidRPr="00767422">
        <w:rPr>
          <w:rFonts w:cs="Arial"/>
          <w:lang w:val="en-GB"/>
        </w:rPr>
        <w:t xml:space="preserve">These results suggest that IPMP may remain in the atmosphere longer than </w:t>
      </w:r>
      <w:r w:rsidR="00767422">
        <w:rPr>
          <w:rFonts w:cs="Arial"/>
          <w:lang w:val="en-GB"/>
        </w:rPr>
        <w:t>TMB</w:t>
      </w:r>
      <w:r w:rsidR="00767422" w:rsidRPr="00767422">
        <w:rPr>
          <w:rFonts w:cs="Arial"/>
          <w:lang w:val="en-GB"/>
        </w:rPr>
        <w:t xml:space="preserve"> and DMTS under similar </w:t>
      </w:r>
      <w:r w:rsidR="00767422" w:rsidRPr="00757E63">
        <w:rPr>
          <w:rFonts w:cs="Arial"/>
          <w:lang w:val="en-GB"/>
        </w:rPr>
        <w:t>•OH</w:t>
      </w:r>
      <w:r w:rsidR="00767422">
        <w:rPr>
          <w:rFonts w:cs="Arial"/>
          <w:lang w:val="en-GB"/>
        </w:rPr>
        <w:t xml:space="preserve"> </w:t>
      </w:r>
      <w:r w:rsidR="00767422" w:rsidRPr="00767422">
        <w:rPr>
          <w:rFonts w:cs="Arial"/>
          <w:lang w:val="en-GB"/>
        </w:rPr>
        <w:t>exposure conditions, which could extend its potential for odor perception at greater distances from the emission source. Although some R² values were slightly lower for MST and DMTS, the overall dataset still provides a meaningful indication of their degradation behaviour in the reactor and supports the extrapolation to atmospheric kinetic behaviour for odorants.</w:t>
      </w:r>
    </w:p>
    <w:p w14:paraId="277F67A9" w14:textId="345403C8" w:rsidR="00761DA4" w:rsidRDefault="00E4549B" w:rsidP="00986C36">
      <w:pPr>
        <w:pStyle w:val="CETBodytext"/>
        <w:rPr>
          <w:rFonts w:cs="Arial"/>
          <w:lang w:val="en-GB"/>
        </w:rPr>
      </w:pPr>
      <w:r w:rsidRPr="00E4549B">
        <w:rPr>
          <w:rFonts w:cs="Arial"/>
          <w:lang w:val="en-GB"/>
        </w:rPr>
        <w:t>Hence, this work should be regarded as a preliminary investigation. Future research will explore a broader range of temperatures and environmental conditions to better represent atmospheric variability.</w:t>
      </w:r>
    </w:p>
    <w:p w14:paraId="2D1329CE" w14:textId="77777777" w:rsidR="00E4549B" w:rsidRDefault="00E4549B" w:rsidP="00986C36">
      <w:pPr>
        <w:pStyle w:val="CETBodytext"/>
        <w:rPr>
          <w:rFonts w:cs="Arial"/>
        </w:rPr>
      </w:pPr>
    </w:p>
    <w:p w14:paraId="21A4B67C" w14:textId="627CD7B0" w:rsidR="00136C1E" w:rsidRDefault="00136C1E" w:rsidP="00986C36">
      <w:pPr>
        <w:pStyle w:val="CETBodytext"/>
        <w:rPr>
          <w:b/>
          <w:bCs/>
          <w:sz w:val="20"/>
        </w:rPr>
      </w:pPr>
      <w:r w:rsidRPr="00136C1E">
        <w:rPr>
          <w:b/>
          <w:bCs/>
          <w:sz w:val="20"/>
        </w:rPr>
        <w:t>Acknowledgment</w:t>
      </w:r>
    </w:p>
    <w:p w14:paraId="4414A3AF" w14:textId="540CE23C" w:rsidR="00136C1E" w:rsidRDefault="00136C1E" w:rsidP="00136C1E">
      <w:pPr>
        <w:spacing w:line="240" w:lineRule="auto"/>
        <w:textAlignment w:val="baseline"/>
        <w:rPr>
          <w:rFonts w:cs="Arial"/>
          <w:color w:val="000000"/>
          <w:szCs w:val="18"/>
          <w:lang w:eastAsia="en-GB"/>
        </w:rPr>
      </w:pPr>
      <w:r w:rsidRPr="00136C1E">
        <w:rPr>
          <w:rFonts w:cs="Arial"/>
          <w:color w:val="000000"/>
          <w:szCs w:val="18"/>
          <w:lang w:eastAsia="en-GB"/>
        </w:rPr>
        <w:lastRenderedPageBreak/>
        <w:t>This work was supported by an OPUS-21 no UMO-2021/41/B/ST8/03440 from National Science Centre, Poland.</w:t>
      </w:r>
      <w:r w:rsidR="00521245">
        <w:rPr>
          <w:rFonts w:cs="Arial"/>
          <w:color w:val="000000"/>
          <w:szCs w:val="18"/>
          <w:lang w:eastAsia="en-GB"/>
        </w:rPr>
        <w:t xml:space="preserve"> </w:t>
      </w:r>
      <w:r w:rsidR="00521245" w:rsidRPr="00521245">
        <w:rPr>
          <w:rFonts w:cs="Arial"/>
          <w:color w:val="000000"/>
          <w:szCs w:val="18"/>
          <w:lang w:eastAsia="en-GB"/>
        </w:rPr>
        <w:t xml:space="preserve">The authors would like to express their sincere gratitude to Dr hab. Bartłomiej Witkowski for </w:t>
      </w:r>
      <w:r w:rsidR="001E3C3C">
        <w:rPr>
          <w:rFonts w:cs="Arial"/>
          <w:color w:val="000000"/>
          <w:szCs w:val="18"/>
          <w:lang w:eastAsia="en-GB"/>
        </w:rPr>
        <w:t>his</w:t>
      </w:r>
      <w:r w:rsidR="001E3C3C" w:rsidRPr="00521245">
        <w:rPr>
          <w:rFonts w:cs="Arial"/>
          <w:color w:val="000000"/>
          <w:szCs w:val="18"/>
          <w:lang w:eastAsia="en-GB"/>
        </w:rPr>
        <w:t xml:space="preserve"> </w:t>
      </w:r>
      <w:r w:rsidR="00521245" w:rsidRPr="00521245">
        <w:rPr>
          <w:rFonts w:cs="Arial"/>
          <w:color w:val="000000"/>
          <w:szCs w:val="18"/>
          <w:lang w:eastAsia="en-GB"/>
        </w:rPr>
        <w:t>valuable technical support and assistance during the laboratory experiments.</w:t>
      </w:r>
      <w:r w:rsidR="00521245">
        <w:rPr>
          <w:rFonts w:cs="Arial"/>
          <w:color w:val="000000"/>
          <w:szCs w:val="18"/>
          <w:lang w:eastAsia="en-GB"/>
        </w:rPr>
        <w:t xml:space="preserve"> </w:t>
      </w:r>
    </w:p>
    <w:p w14:paraId="04FB71DA" w14:textId="77777777" w:rsidR="00224EEB" w:rsidRPr="00224EEB" w:rsidRDefault="00224EEB" w:rsidP="00986C36">
      <w:pPr>
        <w:pStyle w:val="CETBodytext"/>
        <w:rPr>
          <w:rFonts w:cs="Arial"/>
          <w:lang w:val="en-GB"/>
        </w:rPr>
      </w:pPr>
    </w:p>
    <w:p w14:paraId="7E3E9BD5" w14:textId="7A3B248C" w:rsidR="00A10783" w:rsidRPr="00136C1E" w:rsidRDefault="00136C1E" w:rsidP="00986C36">
      <w:pPr>
        <w:pStyle w:val="CETBodytext"/>
        <w:rPr>
          <w:rFonts w:cs="Arial"/>
          <w:b/>
          <w:bCs/>
          <w:sz w:val="20"/>
        </w:rPr>
      </w:pPr>
      <w:r>
        <w:rPr>
          <w:rFonts w:cs="Arial"/>
          <w:b/>
          <w:bCs/>
          <w:sz w:val="20"/>
        </w:rPr>
        <w:t>REFERENCES</w:t>
      </w:r>
    </w:p>
    <w:p w14:paraId="043E484A" w14:textId="1D920742" w:rsidR="00A66FD3" w:rsidRPr="00F46199" w:rsidRDefault="00FE5376" w:rsidP="00F46199">
      <w:pPr>
        <w:pStyle w:val="EndNoteBibliography"/>
        <w:ind w:left="720" w:hanging="720"/>
        <w:jc w:val="both"/>
        <w:rPr>
          <w:sz w:val="18"/>
          <w:szCs w:val="18"/>
        </w:rPr>
      </w:pPr>
      <w:r w:rsidRPr="00F46199">
        <w:rPr>
          <w:sz w:val="18"/>
          <w:szCs w:val="18"/>
        </w:rPr>
        <w:fldChar w:fldCharType="begin"/>
      </w:r>
      <w:r w:rsidRPr="00F46199">
        <w:rPr>
          <w:sz w:val="18"/>
          <w:szCs w:val="18"/>
        </w:rPr>
        <w:instrText xml:space="preserve"> ADDIN EN.REFLIST </w:instrText>
      </w:r>
      <w:r w:rsidRPr="00F46199">
        <w:rPr>
          <w:sz w:val="18"/>
          <w:szCs w:val="18"/>
        </w:rPr>
        <w:fldChar w:fldCharType="separate"/>
      </w:r>
      <w:r w:rsidR="00A66FD3" w:rsidRPr="00F46199">
        <w:rPr>
          <w:sz w:val="18"/>
          <w:szCs w:val="18"/>
        </w:rPr>
        <w:t xml:space="preserve">Atkinson, R. (2000). Atmospheric chemistry of VOCs and NOx. </w:t>
      </w:r>
      <w:r w:rsidR="00A66FD3" w:rsidRPr="00F46199">
        <w:rPr>
          <w:i/>
          <w:sz w:val="18"/>
          <w:szCs w:val="18"/>
        </w:rPr>
        <w:t>Atmospheric Environment</w:t>
      </w:r>
      <w:r w:rsidR="00A66FD3" w:rsidRPr="00F46199">
        <w:rPr>
          <w:sz w:val="18"/>
          <w:szCs w:val="18"/>
        </w:rPr>
        <w:t>,</w:t>
      </w:r>
      <w:r w:rsidR="00A66FD3" w:rsidRPr="00F46199">
        <w:rPr>
          <w:i/>
          <w:sz w:val="18"/>
          <w:szCs w:val="18"/>
        </w:rPr>
        <w:t xml:space="preserve"> 34</w:t>
      </w:r>
      <w:r w:rsidR="00A66FD3" w:rsidRPr="00F46199">
        <w:rPr>
          <w:sz w:val="18"/>
          <w:szCs w:val="18"/>
        </w:rPr>
        <w:t xml:space="preserve">(12), 2063-2101. </w:t>
      </w:r>
      <w:hyperlink r:id="rId15" w:history="1">
        <w:r w:rsidR="00A66FD3" w:rsidRPr="00F46199">
          <w:rPr>
            <w:rStyle w:val="Hyperlink"/>
            <w:sz w:val="18"/>
            <w:szCs w:val="18"/>
          </w:rPr>
          <w:t>https://doi.org/https://doi.org/10.1016/S1352-2310(99)00460-4</w:t>
        </w:r>
      </w:hyperlink>
      <w:r w:rsidR="00A66FD3" w:rsidRPr="00F46199">
        <w:rPr>
          <w:sz w:val="18"/>
          <w:szCs w:val="18"/>
        </w:rPr>
        <w:t xml:space="preserve"> </w:t>
      </w:r>
    </w:p>
    <w:p w14:paraId="588BACF8" w14:textId="66D91FEB" w:rsidR="00A66FD3" w:rsidRPr="00F46199" w:rsidRDefault="00A66FD3" w:rsidP="00F46199">
      <w:pPr>
        <w:pStyle w:val="EndNoteBibliography"/>
        <w:ind w:left="720" w:hanging="720"/>
        <w:jc w:val="both"/>
        <w:rPr>
          <w:sz w:val="18"/>
          <w:szCs w:val="18"/>
        </w:rPr>
      </w:pPr>
      <w:r w:rsidRPr="00F46199">
        <w:rPr>
          <w:sz w:val="18"/>
          <w:szCs w:val="18"/>
        </w:rPr>
        <w:t xml:space="preserve">Atkinson, R., Carter, W. P. L., Winer, A. M., &amp; Pitts, J. N. (1981). An Experimental Protocol for the Determination of OH Radical Rate Constants with Organics Using Methyl Nitrite Photolysis as an OH Radical Source. </w:t>
      </w:r>
      <w:r w:rsidRPr="00F46199">
        <w:rPr>
          <w:i/>
          <w:sz w:val="18"/>
          <w:szCs w:val="18"/>
        </w:rPr>
        <w:t>Journal of the Air Pollution Control Association</w:t>
      </w:r>
      <w:r w:rsidRPr="00F46199">
        <w:rPr>
          <w:sz w:val="18"/>
          <w:szCs w:val="18"/>
        </w:rPr>
        <w:t>,</w:t>
      </w:r>
      <w:r w:rsidRPr="00F46199">
        <w:rPr>
          <w:i/>
          <w:sz w:val="18"/>
          <w:szCs w:val="18"/>
        </w:rPr>
        <w:t xml:space="preserve"> 31</w:t>
      </w:r>
      <w:r w:rsidRPr="00F46199">
        <w:rPr>
          <w:sz w:val="18"/>
          <w:szCs w:val="18"/>
        </w:rPr>
        <w:t xml:space="preserve">(10), 1090-1092. </w:t>
      </w:r>
      <w:hyperlink r:id="rId16" w:history="1">
        <w:r w:rsidRPr="00F46199">
          <w:rPr>
            <w:rStyle w:val="Hyperlink"/>
            <w:sz w:val="18"/>
            <w:szCs w:val="18"/>
          </w:rPr>
          <w:t>https://doi.org/10.1080/00022470.1981.10465331</w:t>
        </w:r>
      </w:hyperlink>
      <w:r w:rsidRPr="00F46199">
        <w:rPr>
          <w:sz w:val="18"/>
          <w:szCs w:val="18"/>
        </w:rPr>
        <w:t xml:space="preserve"> </w:t>
      </w:r>
    </w:p>
    <w:p w14:paraId="2271E6CB" w14:textId="230A26EF" w:rsidR="00A66FD3" w:rsidRPr="00F46199" w:rsidRDefault="00A66FD3" w:rsidP="00F46199">
      <w:pPr>
        <w:pStyle w:val="EndNoteBibliography"/>
        <w:ind w:left="720" w:hanging="720"/>
        <w:jc w:val="both"/>
        <w:rPr>
          <w:sz w:val="18"/>
          <w:szCs w:val="18"/>
        </w:rPr>
      </w:pPr>
      <w:r w:rsidRPr="00F46199">
        <w:rPr>
          <w:sz w:val="18"/>
          <w:szCs w:val="18"/>
        </w:rPr>
        <w:t xml:space="preserve">Avallone, L. M. (2003). OBSERVATIONS FOR CHEMISTRY (IN SITU) | Resonance Fluorescence. In J. R. Holton (Ed.), </w:t>
      </w:r>
      <w:r w:rsidRPr="00F46199">
        <w:rPr>
          <w:i/>
          <w:sz w:val="18"/>
          <w:szCs w:val="18"/>
        </w:rPr>
        <w:t>Encyclopedia of Atmospheric Sciences</w:t>
      </w:r>
      <w:r w:rsidRPr="00F46199">
        <w:rPr>
          <w:sz w:val="18"/>
          <w:szCs w:val="18"/>
        </w:rPr>
        <w:t xml:space="preserve"> (pp. 1484-1490). Academic Press. </w:t>
      </w:r>
      <w:hyperlink r:id="rId17" w:history="1">
        <w:r w:rsidRPr="00F46199">
          <w:rPr>
            <w:rStyle w:val="Hyperlink"/>
            <w:sz w:val="18"/>
            <w:szCs w:val="18"/>
          </w:rPr>
          <w:t>https://doi.org/https://doi.org/10.1016/B0-12-227090-8/00260-8</w:t>
        </w:r>
      </w:hyperlink>
      <w:r w:rsidRPr="00F46199">
        <w:rPr>
          <w:sz w:val="18"/>
          <w:szCs w:val="18"/>
        </w:rPr>
        <w:t xml:space="preserve"> </w:t>
      </w:r>
    </w:p>
    <w:p w14:paraId="2640BD1E" w14:textId="7AED69EF" w:rsidR="00A66FD3" w:rsidRPr="00F46199" w:rsidRDefault="00A66FD3" w:rsidP="00F46199">
      <w:pPr>
        <w:pStyle w:val="EndNoteBibliography"/>
        <w:ind w:left="720" w:hanging="720"/>
        <w:jc w:val="both"/>
        <w:rPr>
          <w:sz w:val="18"/>
          <w:szCs w:val="18"/>
        </w:rPr>
      </w:pPr>
      <w:r w:rsidRPr="00F46199">
        <w:rPr>
          <w:sz w:val="18"/>
          <w:szCs w:val="18"/>
        </w:rPr>
        <w:t xml:space="preserve">Blanes-Vidal, V. (2015). Air pollution from biodegradable wastes and non-specific health symptoms among residents: Direct or annoyance-mediated associations? </w:t>
      </w:r>
      <w:r w:rsidRPr="00F46199">
        <w:rPr>
          <w:i/>
          <w:sz w:val="18"/>
          <w:szCs w:val="18"/>
        </w:rPr>
        <w:t>Chemosphere</w:t>
      </w:r>
      <w:r w:rsidRPr="00F46199">
        <w:rPr>
          <w:sz w:val="18"/>
          <w:szCs w:val="18"/>
        </w:rPr>
        <w:t>,</w:t>
      </w:r>
      <w:r w:rsidRPr="00F46199">
        <w:rPr>
          <w:i/>
          <w:sz w:val="18"/>
          <w:szCs w:val="18"/>
        </w:rPr>
        <w:t xml:space="preserve"> 120</w:t>
      </w:r>
      <w:r w:rsidRPr="00F46199">
        <w:rPr>
          <w:sz w:val="18"/>
          <w:szCs w:val="18"/>
        </w:rPr>
        <w:t xml:space="preserve">, 371-377. </w:t>
      </w:r>
      <w:hyperlink r:id="rId18" w:history="1">
        <w:r w:rsidRPr="00F46199">
          <w:rPr>
            <w:rStyle w:val="Hyperlink"/>
            <w:sz w:val="18"/>
            <w:szCs w:val="18"/>
          </w:rPr>
          <w:t>https://www.sciencedirect.com/science/article/pii/S0045653514009679</w:t>
        </w:r>
      </w:hyperlink>
      <w:r w:rsidRPr="00F46199">
        <w:rPr>
          <w:sz w:val="18"/>
          <w:szCs w:val="18"/>
        </w:rPr>
        <w:t xml:space="preserve"> </w:t>
      </w:r>
    </w:p>
    <w:p w14:paraId="6F7FED8C" w14:textId="502DFE92" w:rsidR="00A66FD3" w:rsidRPr="00F46199" w:rsidRDefault="00A66FD3" w:rsidP="00F46199">
      <w:pPr>
        <w:pStyle w:val="EndNoteBibliography"/>
        <w:ind w:left="720" w:hanging="720"/>
        <w:jc w:val="both"/>
        <w:rPr>
          <w:sz w:val="18"/>
          <w:szCs w:val="18"/>
        </w:rPr>
      </w:pPr>
      <w:r w:rsidRPr="00F46199">
        <w:rPr>
          <w:sz w:val="18"/>
          <w:szCs w:val="18"/>
        </w:rPr>
        <w:t xml:space="preserve">Bohn, B. (2001). Formation of Peroxy Radicals from OH−Toluene Adducts and O2. </w:t>
      </w:r>
      <w:r w:rsidRPr="00F46199">
        <w:rPr>
          <w:i/>
          <w:sz w:val="18"/>
          <w:szCs w:val="18"/>
        </w:rPr>
        <w:t>The Journal of Physical Chemistry A</w:t>
      </w:r>
      <w:r w:rsidRPr="00F46199">
        <w:rPr>
          <w:sz w:val="18"/>
          <w:szCs w:val="18"/>
        </w:rPr>
        <w:t>,</w:t>
      </w:r>
      <w:r w:rsidRPr="00F46199">
        <w:rPr>
          <w:i/>
          <w:sz w:val="18"/>
          <w:szCs w:val="18"/>
        </w:rPr>
        <w:t xml:space="preserve"> 105</w:t>
      </w:r>
      <w:r w:rsidRPr="00F46199">
        <w:rPr>
          <w:sz w:val="18"/>
          <w:szCs w:val="18"/>
        </w:rPr>
        <w:t xml:space="preserve">(25), 6092-6101. </w:t>
      </w:r>
      <w:hyperlink r:id="rId19" w:history="1">
        <w:r w:rsidRPr="00F46199">
          <w:rPr>
            <w:rStyle w:val="Hyperlink"/>
            <w:sz w:val="18"/>
            <w:szCs w:val="18"/>
          </w:rPr>
          <w:t>https://doi.org/10.1021/jp0033972</w:t>
        </w:r>
      </w:hyperlink>
      <w:r w:rsidRPr="00F46199">
        <w:rPr>
          <w:sz w:val="18"/>
          <w:szCs w:val="18"/>
        </w:rPr>
        <w:t xml:space="preserve"> </w:t>
      </w:r>
    </w:p>
    <w:p w14:paraId="742963BD" w14:textId="15E25A96" w:rsidR="00A66FD3" w:rsidRPr="00F46199" w:rsidRDefault="00A66FD3" w:rsidP="00F46199">
      <w:pPr>
        <w:pStyle w:val="EndNoteBibliography"/>
        <w:ind w:left="720" w:hanging="720"/>
        <w:jc w:val="both"/>
        <w:rPr>
          <w:sz w:val="18"/>
          <w:szCs w:val="18"/>
        </w:rPr>
      </w:pPr>
      <w:r w:rsidRPr="00F46199">
        <w:rPr>
          <w:sz w:val="18"/>
          <w:szCs w:val="18"/>
        </w:rPr>
        <w:t xml:space="preserve">Byliński, H., Barczak, R. J., Gębicki, J., &amp; Namieśnik, J. (2019). Monitoring of odors emitted from stabilized dewatered sludge subjected to aging using proton transfer reaction–mass spectrometry [journal article]. </w:t>
      </w:r>
      <w:r w:rsidRPr="00F46199">
        <w:rPr>
          <w:i/>
          <w:sz w:val="18"/>
          <w:szCs w:val="18"/>
        </w:rPr>
        <w:t>Environmental Science and Pollution Research</w:t>
      </w:r>
      <w:r w:rsidRPr="00F46199">
        <w:rPr>
          <w:sz w:val="18"/>
          <w:szCs w:val="18"/>
        </w:rPr>
        <w:t>,</w:t>
      </w:r>
      <w:r w:rsidRPr="00F46199">
        <w:rPr>
          <w:i/>
          <w:sz w:val="18"/>
          <w:szCs w:val="18"/>
        </w:rPr>
        <w:t xml:space="preserve"> 26</w:t>
      </w:r>
      <w:r w:rsidRPr="00F46199">
        <w:rPr>
          <w:sz w:val="18"/>
          <w:szCs w:val="18"/>
        </w:rPr>
        <w:t xml:space="preserve">(6), 5500-5513. </w:t>
      </w:r>
      <w:hyperlink r:id="rId20" w:history="1">
        <w:r w:rsidRPr="00F46199">
          <w:rPr>
            <w:rStyle w:val="Hyperlink"/>
            <w:sz w:val="18"/>
            <w:szCs w:val="18"/>
          </w:rPr>
          <w:t>https://doi.org/http://doi.org/10.1007/s11356-018-4041-4</w:t>
        </w:r>
      </w:hyperlink>
      <w:r w:rsidRPr="00F46199">
        <w:rPr>
          <w:sz w:val="18"/>
          <w:szCs w:val="18"/>
        </w:rPr>
        <w:t xml:space="preserve"> </w:t>
      </w:r>
    </w:p>
    <w:p w14:paraId="4C087F7B" w14:textId="2AF66708" w:rsidR="00A66FD3" w:rsidRPr="00F46199" w:rsidRDefault="00A66FD3" w:rsidP="00F46199">
      <w:pPr>
        <w:pStyle w:val="EndNoteBibliography"/>
        <w:ind w:left="720" w:hanging="720"/>
        <w:jc w:val="both"/>
        <w:rPr>
          <w:sz w:val="18"/>
          <w:szCs w:val="18"/>
        </w:rPr>
      </w:pPr>
      <w:r w:rsidRPr="00F46199">
        <w:rPr>
          <w:sz w:val="18"/>
          <w:szCs w:val="18"/>
        </w:rPr>
        <w:t xml:space="preserve">Cao, T., Zheng, Y., &amp; Dong, H. (2023). Control of odor emissions from livestock farms: A review. </w:t>
      </w:r>
      <w:r w:rsidRPr="00F46199">
        <w:rPr>
          <w:i/>
          <w:sz w:val="18"/>
          <w:szCs w:val="18"/>
        </w:rPr>
        <w:t>Environ Res</w:t>
      </w:r>
      <w:r w:rsidRPr="00F46199">
        <w:rPr>
          <w:sz w:val="18"/>
          <w:szCs w:val="18"/>
        </w:rPr>
        <w:t>,</w:t>
      </w:r>
      <w:r w:rsidRPr="00F46199">
        <w:rPr>
          <w:i/>
          <w:sz w:val="18"/>
          <w:szCs w:val="18"/>
        </w:rPr>
        <w:t xml:space="preserve"> 225</w:t>
      </w:r>
      <w:r w:rsidRPr="00F46199">
        <w:rPr>
          <w:sz w:val="18"/>
          <w:szCs w:val="18"/>
        </w:rPr>
        <w:t xml:space="preserve">, 115545. </w:t>
      </w:r>
      <w:hyperlink r:id="rId21" w:history="1">
        <w:r w:rsidRPr="00F46199">
          <w:rPr>
            <w:rStyle w:val="Hyperlink"/>
            <w:sz w:val="18"/>
            <w:szCs w:val="18"/>
          </w:rPr>
          <w:t>https://doi.org/10.1016/j.envres.2023.115545</w:t>
        </w:r>
      </w:hyperlink>
      <w:r w:rsidRPr="00F46199">
        <w:rPr>
          <w:sz w:val="18"/>
          <w:szCs w:val="18"/>
        </w:rPr>
        <w:t xml:space="preserve"> </w:t>
      </w:r>
    </w:p>
    <w:p w14:paraId="7D1439BD" w14:textId="77777777" w:rsidR="00A66FD3" w:rsidRPr="00F46199" w:rsidRDefault="00A66FD3" w:rsidP="00F46199">
      <w:pPr>
        <w:pStyle w:val="EndNoteBibliography"/>
        <w:ind w:left="720" w:hanging="720"/>
        <w:jc w:val="both"/>
        <w:rPr>
          <w:sz w:val="18"/>
          <w:szCs w:val="18"/>
        </w:rPr>
      </w:pPr>
      <w:r w:rsidRPr="00F46199">
        <w:rPr>
          <w:sz w:val="18"/>
          <w:szCs w:val="18"/>
        </w:rPr>
        <w:t xml:space="preserve">Chaignaud, M., Cariou, S., Poette, J., Fages, M., Despres, J. F., &amp; Fanlo, J. L. (2014). A new method to evaluate odour annoyance potential. </w:t>
      </w:r>
      <w:r w:rsidRPr="00F46199">
        <w:rPr>
          <w:i/>
          <w:sz w:val="18"/>
          <w:szCs w:val="18"/>
        </w:rPr>
        <w:t>Chemical Engineering Transactions</w:t>
      </w:r>
      <w:r w:rsidRPr="00F46199">
        <w:rPr>
          <w:sz w:val="18"/>
          <w:szCs w:val="18"/>
        </w:rPr>
        <w:t>,</w:t>
      </w:r>
      <w:r w:rsidRPr="00F46199">
        <w:rPr>
          <w:i/>
          <w:sz w:val="18"/>
          <w:szCs w:val="18"/>
        </w:rPr>
        <w:t xml:space="preserve"> 40</w:t>
      </w:r>
      <w:r w:rsidRPr="00F46199">
        <w:rPr>
          <w:sz w:val="18"/>
          <w:szCs w:val="18"/>
        </w:rPr>
        <w:t xml:space="preserve">(13-18). </w:t>
      </w:r>
    </w:p>
    <w:p w14:paraId="7651D1CF" w14:textId="6193B4BC" w:rsidR="00A66FD3" w:rsidRPr="00F46199" w:rsidRDefault="00A66FD3" w:rsidP="00F46199">
      <w:pPr>
        <w:pStyle w:val="EndNoteBibliography"/>
        <w:ind w:left="720" w:hanging="720"/>
        <w:jc w:val="both"/>
        <w:rPr>
          <w:sz w:val="18"/>
          <w:szCs w:val="18"/>
        </w:rPr>
      </w:pPr>
      <w:r w:rsidRPr="00F46199">
        <w:rPr>
          <w:sz w:val="18"/>
          <w:szCs w:val="18"/>
        </w:rPr>
        <w:t xml:space="preserve">Chapleski, R. C., Zhang, Y., Troya, D., &amp; Morris, J. R. (2016). Heterogeneous chemistry and reaction dynamics of the atmospheric oxidants, O3, NO3, and OH, on organic surfaces [10.1039/C5CS00375J]. </w:t>
      </w:r>
      <w:r w:rsidRPr="00F46199">
        <w:rPr>
          <w:i/>
          <w:sz w:val="18"/>
          <w:szCs w:val="18"/>
        </w:rPr>
        <w:t>Chemical Society Reviews</w:t>
      </w:r>
      <w:r w:rsidRPr="00F46199">
        <w:rPr>
          <w:sz w:val="18"/>
          <w:szCs w:val="18"/>
        </w:rPr>
        <w:t>,</w:t>
      </w:r>
      <w:r w:rsidRPr="00F46199">
        <w:rPr>
          <w:i/>
          <w:sz w:val="18"/>
          <w:szCs w:val="18"/>
        </w:rPr>
        <w:t xml:space="preserve"> 45</w:t>
      </w:r>
      <w:r w:rsidRPr="00F46199">
        <w:rPr>
          <w:sz w:val="18"/>
          <w:szCs w:val="18"/>
        </w:rPr>
        <w:t xml:space="preserve">(13), 3731-3746. </w:t>
      </w:r>
      <w:hyperlink r:id="rId22" w:history="1">
        <w:r w:rsidRPr="00F46199">
          <w:rPr>
            <w:rStyle w:val="Hyperlink"/>
            <w:sz w:val="18"/>
            <w:szCs w:val="18"/>
          </w:rPr>
          <w:t>https://doi.org/10.1039/C5CS00375J</w:t>
        </w:r>
      </w:hyperlink>
      <w:r w:rsidRPr="00F46199">
        <w:rPr>
          <w:sz w:val="18"/>
          <w:szCs w:val="18"/>
        </w:rPr>
        <w:t xml:space="preserve"> </w:t>
      </w:r>
    </w:p>
    <w:p w14:paraId="269053F5" w14:textId="6455D5A0" w:rsidR="00A66FD3" w:rsidRPr="00F46199" w:rsidRDefault="00A66FD3" w:rsidP="00F46199">
      <w:pPr>
        <w:pStyle w:val="EndNoteBibliography"/>
        <w:ind w:left="720" w:hanging="720"/>
        <w:jc w:val="both"/>
        <w:rPr>
          <w:sz w:val="18"/>
          <w:szCs w:val="18"/>
        </w:rPr>
      </w:pPr>
      <w:r w:rsidRPr="00F46199">
        <w:rPr>
          <w:sz w:val="18"/>
          <w:szCs w:val="18"/>
        </w:rPr>
        <w:t xml:space="preserve">Czarnota, J., Masłoń, A., &amp; Pajura, R. (2023). Wastewater Treatment Plants as a Source of Malodorous Substances Hazardous to Health, Including a Case Study from Poland. </w:t>
      </w:r>
      <w:r w:rsidRPr="00F46199">
        <w:rPr>
          <w:i/>
          <w:sz w:val="18"/>
          <w:szCs w:val="18"/>
        </w:rPr>
        <w:t>Int J Environ Res Public Health</w:t>
      </w:r>
      <w:r w:rsidRPr="00F46199">
        <w:rPr>
          <w:sz w:val="18"/>
          <w:szCs w:val="18"/>
        </w:rPr>
        <w:t>,</w:t>
      </w:r>
      <w:r w:rsidRPr="00F46199">
        <w:rPr>
          <w:i/>
          <w:sz w:val="18"/>
          <w:szCs w:val="18"/>
        </w:rPr>
        <w:t xml:space="preserve"> 20</w:t>
      </w:r>
      <w:r w:rsidRPr="00F46199">
        <w:rPr>
          <w:sz w:val="18"/>
          <w:szCs w:val="18"/>
        </w:rPr>
        <w:t xml:space="preserve">(7). </w:t>
      </w:r>
      <w:hyperlink r:id="rId23" w:history="1">
        <w:r w:rsidRPr="00F46199">
          <w:rPr>
            <w:rStyle w:val="Hyperlink"/>
            <w:sz w:val="18"/>
            <w:szCs w:val="18"/>
          </w:rPr>
          <w:t>https://doi.org/10.3390/ijerph20075379</w:t>
        </w:r>
      </w:hyperlink>
      <w:r w:rsidRPr="00F46199">
        <w:rPr>
          <w:sz w:val="18"/>
          <w:szCs w:val="18"/>
        </w:rPr>
        <w:t xml:space="preserve"> </w:t>
      </w:r>
    </w:p>
    <w:p w14:paraId="4EC8F725" w14:textId="2E5D4E62" w:rsidR="00A66FD3" w:rsidRPr="00F46199" w:rsidRDefault="00A66FD3" w:rsidP="00F46199">
      <w:pPr>
        <w:pStyle w:val="EndNoteBibliography"/>
        <w:ind w:left="720" w:hanging="720"/>
        <w:jc w:val="both"/>
        <w:rPr>
          <w:sz w:val="18"/>
          <w:szCs w:val="18"/>
        </w:rPr>
      </w:pPr>
      <w:r w:rsidRPr="00F46199">
        <w:rPr>
          <w:sz w:val="18"/>
          <w:szCs w:val="18"/>
        </w:rPr>
        <w:t xml:space="preserve">Huang, C. P., Dong, C., &amp; Tang, Z. (1993). Advanced chemical oxidation: Its present role and potential future in hazardous waste treatment. </w:t>
      </w:r>
      <w:r w:rsidRPr="00F46199">
        <w:rPr>
          <w:i/>
          <w:sz w:val="18"/>
          <w:szCs w:val="18"/>
        </w:rPr>
        <w:t>Waste Management</w:t>
      </w:r>
      <w:r w:rsidRPr="00F46199">
        <w:rPr>
          <w:sz w:val="18"/>
          <w:szCs w:val="18"/>
        </w:rPr>
        <w:t>,</w:t>
      </w:r>
      <w:r w:rsidRPr="00F46199">
        <w:rPr>
          <w:i/>
          <w:sz w:val="18"/>
          <w:szCs w:val="18"/>
        </w:rPr>
        <w:t xml:space="preserve"> 13</w:t>
      </w:r>
      <w:r w:rsidRPr="00F46199">
        <w:rPr>
          <w:sz w:val="18"/>
          <w:szCs w:val="18"/>
        </w:rPr>
        <w:t xml:space="preserve">(5), 361-377. </w:t>
      </w:r>
      <w:hyperlink r:id="rId24" w:history="1">
        <w:r w:rsidRPr="00F46199">
          <w:rPr>
            <w:rStyle w:val="Hyperlink"/>
            <w:sz w:val="18"/>
            <w:szCs w:val="18"/>
          </w:rPr>
          <w:t>https://doi.org/https://doi.org/10.1016/0956-053X(93)90070-D</w:t>
        </w:r>
      </w:hyperlink>
      <w:r w:rsidRPr="00F46199">
        <w:rPr>
          <w:sz w:val="18"/>
          <w:szCs w:val="18"/>
        </w:rPr>
        <w:t xml:space="preserve"> </w:t>
      </w:r>
    </w:p>
    <w:p w14:paraId="2D203064" w14:textId="77777777" w:rsidR="00A66FD3" w:rsidRPr="00F46199" w:rsidRDefault="00A66FD3" w:rsidP="00F46199">
      <w:pPr>
        <w:pStyle w:val="EndNoteBibliography"/>
        <w:ind w:left="720" w:hanging="720"/>
        <w:jc w:val="both"/>
        <w:rPr>
          <w:sz w:val="18"/>
          <w:szCs w:val="18"/>
        </w:rPr>
      </w:pPr>
      <w:r w:rsidRPr="00F46199">
        <w:rPr>
          <w:sz w:val="18"/>
          <w:szCs w:val="18"/>
        </w:rPr>
        <w:t xml:space="preserve">Munter, R. (2001). ADVANCED OXIDATION PROCESSES – CURRENT STATUS AND PROSPECTS. </w:t>
      </w:r>
      <w:r w:rsidRPr="00F46199">
        <w:rPr>
          <w:i/>
          <w:sz w:val="18"/>
          <w:szCs w:val="18"/>
        </w:rPr>
        <w:t>Proceedings of the Estonian Academy of Sciences. Chemistry</w:t>
      </w:r>
      <w:r w:rsidRPr="00F46199">
        <w:rPr>
          <w:sz w:val="18"/>
          <w:szCs w:val="18"/>
        </w:rPr>
        <w:t xml:space="preserve">. </w:t>
      </w:r>
    </w:p>
    <w:p w14:paraId="64812989" w14:textId="679B0BFB" w:rsidR="00A66FD3" w:rsidRPr="00F46199" w:rsidRDefault="00A66FD3" w:rsidP="00F46199">
      <w:pPr>
        <w:pStyle w:val="EndNoteBibliography"/>
        <w:ind w:left="720" w:hanging="720"/>
        <w:jc w:val="both"/>
        <w:rPr>
          <w:sz w:val="18"/>
          <w:szCs w:val="18"/>
        </w:rPr>
      </w:pPr>
      <w:r w:rsidRPr="00F46199">
        <w:rPr>
          <w:sz w:val="18"/>
          <w:szCs w:val="18"/>
        </w:rPr>
        <w:t xml:space="preserve">Price, P., Bottorff, B., Jenkins, J., Brune, W. H., &amp; Stevens, P. S. (2025). Re-assessing hydroxyl radical chemistry in the atmosphere: Instrument interferences may explain previous measurement discrepancies. </w:t>
      </w:r>
      <w:r w:rsidRPr="00F46199">
        <w:rPr>
          <w:i/>
          <w:sz w:val="18"/>
          <w:szCs w:val="18"/>
        </w:rPr>
        <w:t>Communications Earth &amp; Environment</w:t>
      </w:r>
      <w:r w:rsidRPr="00F46199">
        <w:rPr>
          <w:sz w:val="18"/>
          <w:szCs w:val="18"/>
        </w:rPr>
        <w:t>,</w:t>
      </w:r>
      <w:r w:rsidRPr="00F46199">
        <w:rPr>
          <w:i/>
          <w:sz w:val="18"/>
          <w:szCs w:val="18"/>
        </w:rPr>
        <w:t xml:space="preserve"> 6</w:t>
      </w:r>
      <w:r w:rsidRPr="00F46199">
        <w:rPr>
          <w:sz w:val="18"/>
          <w:szCs w:val="18"/>
        </w:rPr>
        <w:t xml:space="preserve">(1), 325. </w:t>
      </w:r>
      <w:hyperlink r:id="rId25" w:history="1">
        <w:r w:rsidRPr="00F46199">
          <w:rPr>
            <w:rStyle w:val="Hyperlink"/>
            <w:sz w:val="18"/>
            <w:szCs w:val="18"/>
          </w:rPr>
          <w:t>https://doi.org/10.1038/s43247-025-02308-y</w:t>
        </w:r>
      </w:hyperlink>
      <w:r w:rsidRPr="00F46199">
        <w:rPr>
          <w:sz w:val="18"/>
          <w:szCs w:val="18"/>
        </w:rPr>
        <w:t xml:space="preserve"> </w:t>
      </w:r>
    </w:p>
    <w:p w14:paraId="5C7581BD" w14:textId="4613988D" w:rsidR="00A66FD3" w:rsidRPr="00F46199" w:rsidRDefault="00A66FD3" w:rsidP="00F46199">
      <w:pPr>
        <w:pStyle w:val="EndNoteBibliography"/>
        <w:ind w:left="720" w:hanging="720"/>
        <w:jc w:val="both"/>
        <w:rPr>
          <w:sz w:val="18"/>
          <w:szCs w:val="18"/>
        </w:rPr>
      </w:pPr>
      <w:r w:rsidRPr="00F46199">
        <w:rPr>
          <w:sz w:val="18"/>
          <w:szCs w:val="18"/>
        </w:rPr>
        <w:t xml:space="preserve">Rincón, C. A., De Guardia, A., Couvert, A., Le Roux, S., Soutrel, I., Daumoin, M., &amp; Benoist, J. C. (2019). Chemical and odor characterization of gas emissions released during composting of solid wastes and digestates. </w:t>
      </w:r>
      <w:r w:rsidRPr="00F46199">
        <w:rPr>
          <w:i/>
          <w:sz w:val="18"/>
          <w:szCs w:val="18"/>
        </w:rPr>
        <w:t>Journal of Environmental Management</w:t>
      </w:r>
      <w:r w:rsidRPr="00F46199">
        <w:rPr>
          <w:sz w:val="18"/>
          <w:szCs w:val="18"/>
        </w:rPr>
        <w:t>,</w:t>
      </w:r>
      <w:r w:rsidRPr="00F46199">
        <w:rPr>
          <w:i/>
          <w:sz w:val="18"/>
          <w:szCs w:val="18"/>
        </w:rPr>
        <w:t xml:space="preserve"> 233</w:t>
      </w:r>
      <w:r w:rsidRPr="00F46199">
        <w:rPr>
          <w:sz w:val="18"/>
          <w:szCs w:val="18"/>
        </w:rPr>
        <w:t xml:space="preserve">, 39-53. </w:t>
      </w:r>
      <w:hyperlink r:id="rId26" w:history="1">
        <w:r w:rsidRPr="00F46199">
          <w:rPr>
            <w:rStyle w:val="Hyperlink"/>
            <w:sz w:val="18"/>
            <w:szCs w:val="18"/>
          </w:rPr>
          <w:t>https://doi.org/https://doi.org/10.1016/j.jenvman.2018.12.009</w:t>
        </w:r>
      </w:hyperlink>
      <w:r w:rsidRPr="00F46199">
        <w:rPr>
          <w:sz w:val="18"/>
          <w:szCs w:val="18"/>
        </w:rPr>
        <w:t xml:space="preserve"> </w:t>
      </w:r>
    </w:p>
    <w:p w14:paraId="6B31CED7" w14:textId="6006C23E" w:rsidR="00A66FD3" w:rsidRPr="00F46199" w:rsidRDefault="00A66FD3" w:rsidP="00F46199">
      <w:pPr>
        <w:pStyle w:val="EndNoteBibliography"/>
        <w:ind w:left="720" w:hanging="720"/>
        <w:jc w:val="both"/>
        <w:rPr>
          <w:sz w:val="18"/>
          <w:szCs w:val="18"/>
        </w:rPr>
      </w:pPr>
      <w:r w:rsidRPr="00F46199">
        <w:rPr>
          <w:sz w:val="18"/>
          <w:szCs w:val="18"/>
        </w:rPr>
        <w:t xml:space="preserve">Wang, W., Yuan, B., Peng, Y., Su, H., Cheng, Y., Yang, S., Wu, C., Qi, J., Bao, F., Huangfu, Y., Wang, C., Ye, C., Wang, Z., Wang, B., Wang, X., Song, W., Hu, W., Cheng, P., Zhu, M.,…Shao, M. (2022). Direct observations indicate photodegradable oxygenated volatile organic compounds (OVOCs) as larger contributors to radicals and ozone production in the atmosphere. </w:t>
      </w:r>
      <w:r w:rsidRPr="00F46199">
        <w:rPr>
          <w:i/>
          <w:sz w:val="18"/>
          <w:szCs w:val="18"/>
        </w:rPr>
        <w:t>Atmos. Chem. Phys.</w:t>
      </w:r>
      <w:r w:rsidRPr="00F46199">
        <w:rPr>
          <w:sz w:val="18"/>
          <w:szCs w:val="18"/>
        </w:rPr>
        <w:t>,</w:t>
      </w:r>
      <w:r w:rsidRPr="00F46199">
        <w:rPr>
          <w:i/>
          <w:sz w:val="18"/>
          <w:szCs w:val="18"/>
        </w:rPr>
        <w:t xml:space="preserve"> 22</w:t>
      </w:r>
      <w:r w:rsidRPr="00F46199">
        <w:rPr>
          <w:sz w:val="18"/>
          <w:szCs w:val="18"/>
        </w:rPr>
        <w:t xml:space="preserve">(6), 4117-4128. </w:t>
      </w:r>
      <w:hyperlink r:id="rId27" w:history="1">
        <w:r w:rsidRPr="00F46199">
          <w:rPr>
            <w:rStyle w:val="Hyperlink"/>
            <w:sz w:val="18"/>
            <w:szCs w:val="18"/>
          </w:rPr>
          <w:t>https://doi.org/10.5194/acp-22-4117-2022</w:t>
        </w:r>
      </w:hyperlink>
      <w:r w:rsidRPr="00F46199">
        <w:rPr>
          <w:sz w:val="18"/>
          <w:szCs w:val="18"/>
        </w:rPr>
        <w:t xml:space="preserve"> </w:t>
      </w:r>
    </w:p>
    <w:p w14:paraId="4E6CF59C" w14:textId="6E662BA6" w:rsidR="00A66FD3" w:rsidRPr="00F46199" w:rsidRDefault="00A66FD3" w:rsidP="00F46199">
      <w:pPr>
        <w:pStyle w:val="EndNoteBibliography"/>
        <w:ind w:left="720" w:hanging="720"/>
        <w:jc w:val="both"/>
        <w:rPr>
          <w:sz w:val="18"/>
          <w:szCs w:val="18"/>
        </w:rPr>
      </w:pPr>
      <w:r w:rsidRPr="004B538D">
        <w:rPr>
          <w:sz w:val="18"/>
          <w:szCs w:val="18"/>
          <w:lang w:val="pl-PL"/>
        </w:rPr>
        <w:t xml:space="preserve">Xin, Y., Liu, C., Lun, X., Xie, S., Liu, J., &amp; Mu, Y. (2024). </w:t>
      </w:r>
      <w:r w:rsidRPr="00F46199">
        <w:rPr>
          <w:sz w:val="18"/>
          <w:szCs w:val="18"/>
        </w:rPr>
        <w:t xml:space="preserve">Rate coefficients for the reactions of OH radicals with C3–C11 alkanes determined by the relative-rate technique. </w:t>
      </w:r>
      <w:r w:rsidRPr="00F46199">
        <w:rPr>
          <w:i/>
          <w:sz w:val="18"/>
          <w:szCs w:val="18"/>
        </w:rPr>
        <w:t>Atmos. Chem. Phys.</w:t>
      </w:r>
      <w:r w:rsidRPr="00F46199">
        <w:rPr>
          <w:sz w:val="18"/>
          <w:szCs w:val="18"/>
        </w:rPr>
        <w:t>,</w:t>
      </w:r>
      <w:r w:rsidRPr="00F46199">
        <w:rPr>
          <w:i/>
          <w:sz w:val="18"/>
          <w:szCs w:val="18"/>
        </w:rPr>
        <w:t xml:space="preserve"> 24</w:t>
      </w:r>
      <w:r w:rsidRPr="00F46199">
        <w:rPr>
          <w:sz w:val="18"/>
          <w:szCs w:val="18"/>
        </w:rPr>
        <w:t xml:space="preserve">(19), 11409-11429. </w:t>
      </w:r>
      <w:hyperlink r:id="rId28" w:history="1">
        <w:r w:rsidRPr="00F46199">
          <w:rPr>
            <w:rStyle w:val="Hyperlink"/>
            <w:sz w:val="18"/>
            <w:szCs w:val="18"/>
          </w:rPr>
          <w:t>https://doi.org/10.5194/acp-24-11409-2024</w:t>
        </w:r>
      </w:hyperlink>
      <w:r w:rsidRPr="00F46199">
        <w:rPr>
          <w:sz w:val="18"/>
          <w:szCs w:val="18"/>
        </w:rPr>
        <w:t xml:space="preserve"> </w:t>
      </w:r>
    </w:p>
    <w:p w14:paraId="19C4FC68" w14:textId="506BB0DD" w:rsidR="004628D2" w:rsidRPr="00FE5376" w:rsidRDefault="00FE5376" w:rsidP="00F46199">
      <w:pPr>
        <w:pStyle w:val="CETHeading1"/>
        <w:numPr>
          <w:ilvl w:val="0"/>
          <w:numId w:val="0"/>
        </w:numPr>
        <w:jc w:val="both"/>
        <w:rPr>
          <w:rFonts w:cs="Arial"/>
          <w:sz w:val="18"/>
          <w:szCs w:val="18"/>
        </w:rPr>
      </w:pPr>
      <w:r w:rsidRPr="00F46199">
        <w:rPr>
          <w:rFonts w:cs="Arial"/>
          <w:sz w:val="18"/>
          <w:szCs w:val="18"/>
        </w:rPr>
        <w:fldChar w:fldCharType="end"/>
      </w:r>
    </w:p>
    <w:sectPr w:rsidR="004628D2" w:rsidRPr="00FE5376" w:rsidSect="008B62A9">
      <w:type w:val="continuous"/>
      <w:pgSz w:w="11906" w:h="16838" w:code="9"/>
      <w:pgMar w:top="1701" w:right="1418" w:bottom="1701" w:left="1701" w:header="1701" w:footer="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AAB8E" w14:textId="77777777" w:rsidR="00D95C5D" w:rsidRDefault="00D95C5D" w:rsidP="004F5E36">
      <w:r>
        <w:separator/>
      </w:r>
    </w:p>
  </w:endnote>
  <w:endnote w:type="continuationSeparator" w:id="0">
    <w:p w14:paraId="611835AE" w14:textId="77777777" w:rsidR="00D95C5D" w:rsidRDefault="00D95C5D" w:rsidP="004F5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A40A6" w14:textId="77777777" w:rsidR="00D95C5D" w:rsidRDefault="00D95C5D" w:rsidP="004F5E36">
      <w:r>
        <w:separator/>
      </w:r>
    </w:p>
  </w:footnote>
  <w:footnote w:type="continuationSeparator" w:id="0">
    <w:p w14:paraId="1CE3C030" w14:textId="77777777" w:rsidR="00D95C5D" w:rsidRDefault="00D95C5D" w:rsidP="004F5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58AF15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5EC884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8CBE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FC0B3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A34EB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5C6B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7A99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D2793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F420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06ACE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438217E"/>
    <w:multiLevelType w:val="multilevel"/>
    <w:tmpl w:val="BCF69F1A"/>
    <w:lvl w:ilvl="0">
      <w:start w:val="1"/>
      <w:numFmt w:val="decimal"/>
      <w:suff w:val="space"/>
      <w:lvlText w:val="Chapter %1"/>
      <w:lvlJc w:val="left"/>
      <w:pPr>
        <w:ind w:left="0" w:firstLine="0"/>
      </w:pPr>
      <w:rPr>
        <w:rFonts w:hint="default"/>
      </w:rPr>
    </w:lvl>
    <w:lvl w:ilvl="1">
      <w:start w:val="1"/>
      <w:numFmt w:val="decimal"/>
      <w:pStyle w:val="CETHeading1"/>
      <w:suff w:val="space"/>
      <w:lvlText w:val="%2."/>
      <w:lvlJc w:val="left"/>
      <w:pPr>
        <w:ind w:left="0" w:firstLine="0"/>
      </w:pPr>
      <w:rPr>
        <w:rFonts w:hint="default"/>
      </w:rPr>
    </w:lvl>
    <w:lvl w:ilvl="2">
      <w:start w:val="1"/>
      <w:numFmt w:val="decimal"/>
      <w:suff w:val="space"/>
      <w:lvlText w:val="%2.%3"/>
      <w:lvlJc w:val="left"/>
      <w:pPr>
        <w:ind w:left="0" w:firstLine="0"/>
      </w:pPr>
      <w:rPr>
        <w:rFonts w:hint="default"/>
        <w:sz w:val="20"/>
        <w:szCs w:val="20"/>
      </w:rPr>
    </w:lvl>
    <w:lvl w:ilvl="3">
      <w:start w:val="1"/>
      <w:numFmt w:val="decimal"/>
      <w:pStyle w:val="TableSimple1"/>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11" w15:restartNumberingAfterBreak="0">
    <w:nsid w:val="330B7370"/>
    <w:multiLevelType w:val="hybridMultilevel"/>
    <w:tmpl w:val="12E2AD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351E0394"/>
    <w:multiLevelType w:val="hybridMultilevel"/>
    <w:tmpl w:val="806658E2"/>
    <w:lvl w:ilvl="0" w:tplc="14B0F7A8">
      <w:start w:val="1"/>
      <w:numFmt w:val="bullet"/>
      <w:pStyle w:val="CETnumberingbullets"/>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58B48F4"/>
    <w:multiLevelType w:val="hybridMultilevel"/>
    <w:tmpl w:val="DA129D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6441F7D"/>
    <w:multiLevelType w:val="hybridMultilevel"/>
    <w:tmpl w:val="533CB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9C329B9"/>
    <w:multiLevelType w:val="hybridMultilevel"/>
    <w:tmpl w:val="A2E6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B100E8"/>
    <w:multiLevelType w:val="hybridMultilevel"/>
    <w:tmpl w:val="6F34C070"/>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15:restartNumberingAfterBreak="0">
    <w:nsid w:val="50A87BA7"/>
    <w:multiLevelType w:val="hybridMultilevel"/>
    <w:tmpl w:val="1F6A8AD4"/>
    <w:lvl w:ilvl="0" w:tplc="14B0F7A8">
      <w:start w:val="1"/>
      <w:numFmt w:val="bullet"/>
      <w:lvlText w:val=""/>
      <w:lvlJc w:val="left"/>
      <w:pPr>
        <w:ind w:left="340" w:hanging="227"/>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2217387"/>
    <w:multiLevelType w:val="hybridMultilevel"/>
    <w:tmpl w:val="C2AE185A"/>
    <w:lvl w:ilvl="0" w:tplc="14090011">
      <w:start w:val="1"/>
      <w:numFmt w:val="decimal"/>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6205803"/>
    <w:multiLevelType w:val="multilevel"/>
    <w:tmpl w:val="444C89D0"/>
    <w:lvl w:ilvl="0">
      <w:start w:val="1"/>
      <w:numFmt w:val="decimal"/>
      <w:suff w:val="space"/>
      <w:lvlText w:val="Chapter %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suff w:val="space"/>
      <w:lvlText w:val="%2.%3."/>
      <w:lvlJc w:val="left"/>
      <w:pPr>
        <w:ind w:left="0" w:firstLine="0"/>
      </w:pPr>
      <w:rPr>
        <w:rFonts w:hint="default"/>
      </w:rPr>
    </w:lvl>
    <w:lvl w:ilvl="3">
      <w:start w:val="1"/>
      <w:numFmt w:val="decimal"/>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20" w15:restartNumberingAfterBreak="0">
    <w:nsid w:val="5AD311D0"/>
    <w:multiLevelType w:val="hybridMultilevel"/>
    <w:tmpl w:val="F198FF08"/>
    <w:lvl w:ilvl="0" w:tplc="62EA088C">
      <w:start w:val="1"/>
      <w:numFmt w:val="decimal"/>
      <w:pStyle w:val="CETnumbering1"/>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58A19AE"/>
    <w:multiLevelType w:val="hybridMultilevel"/>
    <w:tmpl w:val="7B447F74"/>
    <w:lvl w:ilvl="0" w:tplc="0AFCD9BA">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662015B5"/>
    <w:multiLevelType w:val="hybridMultilevel"/>
    <w:tmpl w:val="CCDE094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865266D"/>
    <w:multiLevelType w:val="hybridMultilevel"/>
    <w:tmpl w:val="F5BE3C4A"/>
    <w:lvl w:ilvl="0" w:tplc="9FC4D28C">
      <w:start w:val="1"/>
      <w:numFmt w:val="lowerLetter"/>
      <w:pStyle w:val="CETnumberinga"/>
      <w:lvlText w:val="%1."/>
      <w:lvlJc w:val="left"/>
      <w:pPr>
        <w:ind w:left="340" w:hanging="227"/>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21462293">
    <w:abstractNumId w:val="10"/>
  </w:num>
  <w:num w:numId="2" w16cid:durableId="1258556143">
    <w:abstractNumId w:val="8"/>
  </w:num>
  <w:num w:numId="3" w16cid:durableId="757363798">
    <w:abstractNumId w:val="3"/>
  </w:num>
  <w:num w:numId="4" w16cid:durableId="1408263893">
    <w:abstractNumId w:val="2"/>
  </w:num>
  <w:num w:numId="5" w16cid:durableId="1783958964">
    <w:abstractNumId w:val="1"/>
  </w:num>
  <w:num w:numId="6" w16cid:durableId="638459337">
    <w:abstractNumId w:val="0"/>
  </w:num>
  <w:num w:numId="7" w16cid:durableId="1289699020">
    <w:abstractNumId w:val="9"/>
  </w:num>
  <w:num w:numId="8" w16cid:durableId="2101756945">
    <w:abstractNumId w:val="7"/>
  </w:num>
  <w:num w:numId="9" w16cid:durableId="921378987">
    <w:abstractNumId w:val="6"/>
  </w:num>
  <w:num w:numId="10" w16cid:durableId="1862739766">
    <w:abstractNumId w:val="5"/>
  </w:num>
  <w:num w:numId="11" w16cid:durableId="1355687840">
    <w:abstractNumId w:val="4"/>
  </w:num>
  <w:num w:numId="12" w16cid:durableId="999430134">
    <w:abstractNumId w:val="19"/>
  </w:num>
  <w:num w:numId="13" w16cid:durableId="1679388995">
    <w:abstractNumId w:val="12"/>
  </w:num>
  <w:num w:numId="14" w16cid:durableId="607200455">
    <w:abstractNumId w:val="20"/>
  </w:num>
  <w:num w:numId="15" w16cid:durableId="941764348">
    <w:abstractNumId w:val="23"/>
  </w:num>
  <w:num w:numId="16" w16cid:durableId="1499734695">
    <w:abstractNumId w:val="22"/>
  </w:num>
  <w:num w:numId="17" w16cid:durableId="1688365566">
    <w:abstractNumId w:val="11"/>
  </w:num>
  <w:num w:numId="18" w16cid:durableId="1995647681">
    <w:abstractNumId w:val="12"/>
    <w:lvlOverride w:ilvl="0">
      <w:startOverride w:val="1"/>
    </w:lvlOverride>
  </w:num>
  <w:num w:numId="19" w16cid:durableId="1008017961">
    <w:abstractNumId w:val="18"/>
  </w:num>
  <w:num w:numId="20" w16cid:durableId="534854277">
    <w:abstractNumId w:val="17"/>
  </w:num>
  <w:num w:numId="21" w16cid:durableId="316958530">
    <w:abstractNumId w:val="16"/>
  </w:num>
  <w:num w:numId="22" w16cid:durableId="375083536">
    <w:abstractNumId w:val="15"/>
  </w:num>
  <w:num w:numId="23" w16cid:durableId="402483714">
    <w:abstractNumId w:val="10"/>
    <w:lvlOverride w:ilvl="0">
      <w:startOverride w:val="1"/>
    </w:lvlOverride>
    <w:lvlOverride w:ilvl="1">
      <w:startOverride w:val="1"/>
    </w:lvlOverride>
    <w:lvlOverride w:ilvl="2">
      <w:startOverride w:val="57"/>
    </w:lvlOverride>
  </w:num>
  <w:num w:numId="24" w16cid:durableId="349448964">
    <w:abstractNumId w:val="10"/>
  </w:num>
  <w:num w:numId="25" w16cid:durableId="913779670">
    <w:abstractNumId w:val="14"/>
  </w:num>
  <w:num w:numId="26" w16cid:durableId="1311446989">
    <w:abstractNumId w:val="13"/>
  </w:num>
  <w:num w:numId="27" w16cid:durableId="2006127361">
    <w:abstractNumId w:val="21"/>
  </w:num>
  <w:num w:numId="28" w16cid:durableId="1229462004">
    <w:abstractNumId w:val="10"/>
    <w:lvlOverride w:ilvl="0">
      <w:startOverride w:val="1"/>
    </w:lvlOverride>
    <w:lvlOverride w:ilvl="1">
      <w:startOverride w:val="2"/>
    </w:lvlOverride>
    <w:lvlOverride w:ilvl="2">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trackRevisions/>
  <w:documentProtection w:edit="forms" w:enforcement="0"/>
  <w:autoFormatOverride/>
  <w:styleLockTheme/>
  <w:styleLockQFSet/>
  <w:defaultTabStop w:val="708"/>
  <w:hyphenationZone w:val="283"/>
  <w:clickAndTypeStyle w:val="CETBodytext"/>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I0NzezsDA3M7MwMTJW0lEKTi0uzszPAymwrAUAugS3IywAAAA="/>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w0z2asdbztevgezxelpaar0xfz2tsf5vasz&quot;&gt;odpport-3 Copy-Converted Copy&lt;record-ids&gt;&lt;item&gt;6114&lt;/item&gt;&lt;item&gt;6132&lt;/item&gt;&lt;item&gt;6219&lt;/item&gt;&lt;/record-ids&gt;&lt;/item&gt;&lt;/Libraries&gt;"/>
  </w:docVars>
  <w:rsids>
    <w:rsidRoot w:val="000E414A"/>
    <w:rsid w:val="000010DB"/>
    <w:rsid w:val="000027C0"/>
    <w:rsid w:val="000052FB"/>
    <w:rsid w:val="00005A07"/>
    <w:rsid w:val="00005A19"/>
    <w:rsid w:val="00005D7E"/>
    <w:rsid w:val="000117CB"/>
    <w:rsid w:val="00012DD1"/>
    <w:rsid w:val="00017A45"/>
    <w:rsid w:val="0003148D"/>
    <w:rsid w:val="00031EEC"/>
    <w:rsid w:val="00044C9C"/>
    <w:rsid w:val="00045613"/>
    <w:rsid w:val="00046803"/>
    <w:rsid w:val="00047555"/>
    <w:rsid w:val="00051566"/>
    <w:rsid w:val="00053C1F"/>
    <w:rsid w:val="00054288"/>
    <w:rsid w:val="000562A9"/>
    <w:rsid w:val="00062A9A"/>
    <w:rsid w:val="00065058"/>
    <w:rsid w:val="000713A4"/>
    <w:rsid w:val="00073489"/>
    <w:rsid w:val="00075AFB"/>
    <w:rsid w:val="00077848"/>
    <w:rsid w:val="00086C39"/>
    <w:rsid w:val="000927F1"/>
    <w:rsid w:val="00092EF8"/>
    <w:rsid w:val="000A03B2"/>
    <w:rsid w:val="000A1FE5"/>
    <w:rsid w:val="000A2A63"/>
    <w:rsid w:val="000A6FB8"/>
    <w:rsid w:val="000C2C18"/>
    <w:rsid w:val="000D0268"/>
    <w:rsid w:val="000D1384"/>
    <w:rsid w:val="000D34BE"/>
    <w:rsid w:val="000D4EBE"/>
    <w:rsid w:val="000E102F"/>
    <w:rsid w:val="000E36F1"/>
    <w:rsid w:val="000E3A73"/>
    <w:rsid w:val="000E414A"/>
    <w:rsid w:val="000E5FC4"/>
    <w:rsid w:val="000F04EE"/>
    <w:rsid w:val="000F093C"/>
    <w:rsid w:val="000F158B"/>
    <w:rsid w:val="000F57AB"/>
    <w:rsid w:val="000F787B"/>
    <w:rsid w:val="00115A85"/>
    <w:rsid w:val="0012091F"/>
    <w:rsid w:val="001234D6"/>
    <w:rsid w:val="00126BC2"/>
    <w:rsid w:val="00126CD6"/>
    <w:rsid w:val="001308B6"/>
    <w:rsid w:val="0013121F"/>
    <w:rsid w:val="00131FE6"/>
    <w:rsid w:val="0013263F"/>
    <w:rsid w:val="001331DF"/>
    <w:rsid w:val="0013382C"/>
    <w:rsid w:val="001349B4"/>
    <w:rsid w:val="00134C7E"/>
    <w:rsid w:val="00134DE4"/>
    <w:rsid w:val="00136C1E"/>
    <w:rsid w:val="0014034D"/>
    <w:rsid w:val="00144D16"/>
    <w:rsid w:val="00150E59"/>
    <w:rsid w:val="00152A38"/>
    <w:rsid w:val="00152DC3"/>
    <w:rsid w:val="00152DE3"/>
    <w:rsid w:val="001562CD"/>
    <w:rsid w:val="00157461"/>
    <w:rsid w:val="00164CF9"/>
    <w:rsid w:val="00164EB0"/>
    <w:rsid w:val="001667A6"/>
    <w:rsid w:val="00170C94"/>
    <w:rsid w:val="00171AFF"/>
    <w:rsid w:val="00172CAB"/>
    <w:rsid w:val="001813C2"/>
    <w:rsid w:val="00184AD6"/>
    <w:rsid w:val="00196302"/>
    <w:rsid w:val="00197EFA"/>
    <w:rsid w:val="001A0A95"/>
    <w:rsid w:val="001A4AF7"/>
    <w:rsid w:val="001A7AF0"/>
    <w:rsid w:val="001B0349"/>
    <w:rsid w:val="001B1E93"/>
    <w:rsid w:val="001B65C1"/>
    <w:rsid w:val="001C1040"/>
    <w:rsid w:val="001C5A43"/>
    <w:rsid w:val="001C684B"/>
    <w:rsid w:val="001D0CFB"/>
    <w:rsid w:val="001D21AF"/>
    <w:rsid w:val="001D2F90"/>
    <w:rsid w:val="001D53FC"/>
    <w:rsid w:val="001E3C3C"/>
    <w:rsid w:val="001F42A5"/>
    <w:rsid w:val="001F4CA8"/>
    <w:rsid w:val="001F6B36"/>
    <w:rsid w:val="001F7B9D"/>
    <w:rsid w:val="00201C54"/>
    <w:rsid w:val="00201C93"/>
    <w:rsid w:val="002045B6"/>
    <w:rsid w:val="00207E29"/>
    <w:rsid w:val="002134A1"/>
    <w:rsid w:val="002224B4"/>
    <w:rsid w:val="00224EEB"/>
    <w:rsid w:val="00235EDD"/>
    <w:rsid w:val="002374A1"/>
    <w:rsid w:val="002447EF"/>
    <w:rsid w:val="0024783F"/>
    <w:rsid w:val="00251036"/>
    <w:rsid w:val="00251550"/>
    <w:rsid w:val="0025490D"/>
    <w:rsid w:val="00263B05"/>
    <w:rsid w:val="0027221A"/>
    <w:rsid w:val="00275B61"/>
    <w:rsid w:val="00280FAF"/>
    <w:rsid w:val="00282656"/>
    <w:rsid w:val="00292078"/>
    <w:rsid w:val="00294B58"/>
    <w:rsid w:val="00296B83"/>
    <w:rsid w:val="002A4CB7"/>
    <w:rsid w:val="002B4015"/>
    <w:rsid w:val="002B78CE"/>
    <w:rsid w:val="002C0949"/>
    <w:rsid w:val="002C2347"/>
    <w:rsid w:val="002C2FB6"/>
    <w:rsid w:val="002D5F27"/>
    <w:rsid w:val="002D6330"/>
    <w:rsid w:val="002E192E"/>
    <w:rsid w:val="002E416E"/>
    <w:rsid w:val="002E5FA7"/>
    <w:rsid w:val="002E69DA"/>
    <w:rsid w:val="002F2397"/>
    <w:rsid w:val="002F32E2"/>
    <w:rsid w:val="002F3309"/>
    <w:rsid w:val="003000B5"/>
    <w:rsid w:val="003008CE"/>
    <w:rsid w:val="003009B7"/>
    <w:rsid w:val="00300E56"/>
    <w:rsid w:val="0030152C"/>
    <w:rsid w:val="003033D9"/>
    <w:rsid w:val="0030469C"/>
    <w:rsid w:val="0030575B"/>
    <w:rsid w:val="003115C8"/>
    <w:rsid w:val="00314C4F"/>
    <w:rsid w:val="00321CA6"/>
    <w:rsid w:val="003227AD"/>
    <w:rsid w:val="00323763"/>
    <w:rsid w:val="00323C5F"/>
    <w:rsid w:val="00324FE4"/>
    <w:rsid w:val="00334C09"/>
    <w:rsid w:val="0033673A"/>
    <w:rsid w:val="00340AF7"/>
    <w:rsid w:val="00342954"/>
    <w:rsid w:val="00366DB1"/>
    <w:rsid w:val="003723D4"/>
    <w:rsid w:val="00372D0E"/>
    <w:rsid w:val="00373EEF"/>
    <w:rsid w:val="00381905"/>
    <w:rsid w:val="00384A32"/>
    <w:rsid w:val="00384BD8"/>
    <w:rsid w:val="00384CC8"/>
    <w:rsid w:val="00386215"/>
    <w:rsid w:val="003871FD"/>
    <w:rsid w:val="00391702"/>
    <w:rsid w:val="003936CB"/>
    <w:rsid w:val="003940C1"/>
    <w:rsid w:val="003A1E30"/>
    <w:rsid w:val="003A2829"/>
    <w:rsid w:val="003A7D1C"/>
    <w:rsid w:val="003B0230"/>
    <w:rsid w:val="003B04DB"/>
    <w:rsid w:val="003B2683"/>
    <w:rsid w:val="003B304B"/>
    <w:rsid w:val="003B3146"/>
    <w:rsid w:val="003C41F6"/>
    <w:rsid w:val="003D30F5"/>
    <w:rsid w:val="003D372D"/>
    <w:rsid w:val="003F015E"/>
    <w:rsid w:val="003F68A0"/>
    <w:rsid w:val="00400414"/>
    <w:rsid w:val="00403E74"/>
    <w:rsid w:val="004066B8"/>
    <w:rsid w:val="0041446B"/>
    <w:rsid w:val="00423B82"/>
    <w:rsid w:val="00431200"/>
    <w:rsid w:val="0044071E"/>
    <w:rsid w:val="00441797"/>
    <w:rsid w:val="004417B4"/>
    <w:rsid w:val="0044329C"/>
    <w:rsid w:val="00452326"/>
    <w:rsid w:val="00453E24"/>
    <w:rsid w:val="00455EC0"/>
    <w:rsid w:val="0045730F"/>
    <w:rsid w:val="00457456"/>
    <w:rsid w:val="004577FE"/>
    <w:rsid w:val="00457B9C"/>
    <w:rsid w:val="00460CD6"/>
    <w:rsid w:val="0046164A"/>
    <w:rsid w:val="004628D2"/>
    <w:rsid w:val="00462DCD"/>
    <w:rsid w:val="004648AD"/>
    <w:rsid w:val="004703A9"/>
    <w:rsid w:val="00471BB8"/>
    <w:rsid w:val="0047605D"/>
    <w:rsid w:val="004760DE"/>
    <w:rsid w:val="004763D7"/>
    <w:rsid w:val="00487B0E"/>
    <w:rsid w:val="00487E6F"/>
    <w:rsid w:val="00490B6D"/>
    <w:rsid w:val="004A004E"/>
    <w:rsid w:val="004A224E"/>
    <w:rsid w:val="004A24CF"/>
    <w:rsid w:val="004B05CE"/>
    <w:rsid w:val="004B1387"/>
    <w:rsid w:val="004B3255"/>
    <w:rsid w:val="004B538D"/>
    <w:rsid w:val="004C31E1"/>
    <w:rsid w:val="004C3D1D"/>
    <w:rsid w:val="004C3D84"/>
    <w:rsid w:val="004C4D8E"/>
    <w:rsid w:val="004C7913"/>
    <w:rsid w:val="004D4222"/>
    <w:rsid w:val="004E4DD6"/>
    <w:rsid w:val="004F4BAB"/>
    <w:rsid w:val="004F5E36"/>
    <w:rsid w:val="00504D72"/>
    <w:rsid w:val="00507B47"/>
    <w:rsid w:val="00507BEF"/>
    <w:rsid w:val="00507CC9"/>
    <w:rsid w:val="005119A5"/>
    <w:rsid w:val="005153DD"/>
    <w:rsid w:val="005204C0"/>
    <w:rsid w:val="00520D5A"/>
    <w:rsid w:val="00521245"/>
    <w:rsid w:val="00522759"/>
    <w:rsid w:val="005278B7"/>
    <w:rsid w:val="00527AD6"/>
    <w:rsid w:val="00532016"/>
    <w:rsid w:val="00532FF6"/>
    <w:rsid w:val="005346C8"/>
    <w:rsid w:val="00537163"/>
    <w:rsid w:val="00543E7D"/>
    <w:rsid w:val="00546FBB"/>
    <w:rsid w:val="00547A68"/>
    <w:rsid w:val="005531C9"/>
    <w:rsid w:val="005539AF"/>
    <w:rsid w:val="00557E00"/>
    <w:rsid w:val="005663B2"/>
    <w:rsid w:val="00570C43"/>
    <w:rsid w:val="005748FA"/>
    <w:rsid w:val="00575F88"/>
    <w:rsid w:val="0058216F"/>
    <w:rsid w:val="00586DD5"/>
    <w:rsid w:val="00596A1F"/>
    <w:rsid w:val="005B2110"/>
    <w:rsid w:val="005B2DDE"/>
    <w:rsid w:val="005B61E6"/>
    <w:rsid w:val="005C0315"/>
    <w:rsid w:val="005C039A"/>
    <w:rsid w:val="005C77E1"/>
    <w:rsid w:val="005D668A"/>
    <w:rsid w:val="005D6A2F"/>
    <w:rsid w:val="005D7CE7"/>
    <w:rsid w:val="005E1A82"/>
    <w:rsid w:val="005E1D32"/>
    <w:rsid w:val="005E28F7"/>
    <w:rsid w:val="005E4265"/>
    <w:rsid w:val="005E794C"/>
    <w:rsid w:val="005F0A28"/>
    <w:rsid w:val="005F0E5E"/>
    <w:rsid w:val="005F0EA4"/>
    <w:rsid w:val="005F486A"/>
    <w:rsid w:val="0060017A"/>
    <w:rsid w:val="00600535"/>
    <w:rsid w:val="006033C8"/>
    <w:rsid w:val="0060377E"/>
    <w:rsid w:val="0060420A"/>
    <w:rsid w:val="006065B7"/>
    <w:rsid w:val="00606F19"/>
    <w:rsid w:val="00610CD6"/>
    <w:rsid w:val="00616612"/>
    <w:rsid w:val="00620DEE"/>
    <w:rsid w:val="00621F92"/>
    <w:rsid w:val="006222EF"/>
    <w:rsid w:val="0062280A"/>
    <w:rsid w:val="00624B28"/>
    <w:rsid w:val="00625639"/>
    <w:rsid w:val="00631B33"/>
    <w:rsid w:val="00632F60"/>
    <w:rsid w:val="00633609"/>
    <w:rsid w:val="0064184D"/>
    <w:rsid w:val="006422CC"/>
    <w:rsid w:val="00652450"/>
    <w:rsid w:val="00660E3E"/>
    <w:rsid w:val="00662E74"/>
    <w:rsid w:val="00671712"/>
    <w:rsid w:val="00675D17"/>
    <w:rsid w:val="00680C23"/>
    <w:rsid w:val="006813BE"/>
    <w:rsid w:val="00693766"/>
    <w:rsid w:val="006A3281"/>
    <w:rsid w:val="006A3E42"/>
    <w:rsid w:val="006B01FF"/>
    <w:rsid w:val="006B4888"/>
    <w:rsid w:val="006C2E45"/>
    <w:rsid w:val="006C359C"/>
    <w:rsid w:val="006C5579"/>
    <w:rsid w:val="006C68CB"/>
    <w:rsid w:val="006D4554"/>
    <w:rsid w:val="006D6E8B"/>
    <w:rsid w:val="006E0F68"/>
    <w:rsid w:val="006E737D"/>
    <w:rsid w:val="006F55D7"/>
    <w:rsid w:val="0070202D"/>
    <w:rsid w:val="00707DD1"/>
    <w:rsid w:val="00710C45"/>
    <w:rsid w:val="00711554"/>
    <w:rsid w:val="0071292C"/>
    <w:rsid w:val="00713973"/>
    <w:rsid w:val="00720A24"/>
    <w:rsid w:val="00724D11"/>
    <w:rsid w:val="0072556F"/>
    <w:rsid w:val="00730F5F"/>
    <w:rsid w:val="00732386"/>
    <w:rsid w:val="0073514D"/>
    <w:rsid w:val="00740C57"/>
    <w:rsid w:val="00741ABF"/>
    <w:rsid w:val="007447F3"/>
    <w:rsid w:val="0075094E"/>
    <w:rsid w:val="0075121C"/>
    <w:rsid w:val="0075499F"/>
    <w:rsid w:val="00757E63"/>
    <w:rsid w:val="00761DA4"/>
    <w:rsid w:val="00761E22"/>
    <w:rsid w:val="007661C8"/>
    <w:rsid w:val="00767422"/>
    <w:rsid w:val="007674D7"/>
    <w:rsid w:val="0077098D"/>
    <w:rsid w:val="0077649F"/>
    <w:rsid w:val="00781BB7"/>
    <w:rsid w:val="00785CE4"/>
    <w:rsid w:val="00787E50"/>
    <w:rsid w:val="00787F48"/>
    <w:rsid w:val="007931FA"/>
    <w:rsid w:val="007A4861"/>
    <w:rsid w:val="007A4924"/>
    <w:rsid w:val="007A5B06"/>
    <w:rsid w:val="007A7BBA"/>
    <w:rsid w:val="007A7FBA"/>
    <w:rsid w:val="007B0C50"/>
    <w:rsid w:val="007B1778"/>
    <w:rsid w:val="007B1954"/>
    <w:rsid w:val="007B48F9"/>
    <w:rsid w:val="007C1A43"/>
    <w:rsid w:val="007C53DC"/>
    <w:rsid w:val="007C615F"/>
    <w:rsid w:val="007C7FFB"/>
    <w:rsid w:val="007D0951"/>
    <w:rsid w:val="007E3255"/>
    <w:rsid w:val="007E737C"/>
    <w:rsid w:val="007F390C"/>
    <w:rsid w:val="0080013E"/>
    <w:rsid w:val="00801B1F"/>
    <w:rsid w:val="00813288"/>
    <w:rsid w:val="00815044"/>
    <w:rsid w:val="008168FC"/>
    <w:rsid w:val="00830996"/>
    <w:rsid w:val="008345F1"/>
    <w:rsid w:val="0084038A"/>
    <w:rsid w:val="00845226"/>
    <w:rsid w:val="008465A9"/>
    <w:rsid w:val="00852130"/>
    <w:rsid w:val="008521E8"/>
    <w:rsid w:val="00854B7C"/>
    <w:rsid w:val="00856E3D"/>
    <w:rsid w:val="00863472"/>
    <w:rsid w:val="008638A0"/>
    <w:rsid w:val="00864FA2"/>
    <w:rsid w:val="008653E2"/>
    <w:rsid w:val="00865A10"/>
    <w:rsid w:val="00865B07"/>
    <w:rsid w:val="008667EA"/>
    <w:rsid w:val="00866C97"/>
    <w:rsid w:val="00870BB7"/>
    <w:rsid w:val="0087637F"/>
    <w:rsid w:val="008778C5"/>
    <w:rsid w:val="008877EF"/>
    <w:rsid w:val="00890BFE"/>
    <w:rsid w:val="00892AD5"/>
    <w:rsid w:val="00895630"/>
    <w:rsid w:val="00897713"/>
    <w:rsid w:val="008A1512"/>
    <w:rsid w:val="008A6FBF"/>
    <w:rsid w:val="008B2F35"/>
    <w:rsid w:val="008B62A9"/>
    <w:rsid w:val="008C46C1"/>
    <w:rsid w:val="008D32B9"/>
    <w:rsid w:val="008D433B"/>
    <w:rsid w:val="008D4A16"/>
    <w:rsid w:val="008E49E7"/>
    <w:rsid w:val="008E566E"/>
    <w:rsid w:val="008F0A97"/>
    <w:rsid w:val="008F17C9"/>
    <w:rsid w:val="008F5975"/>
    <w:rsid w:val="008F7478"/>
    <w:rsid w:val="0090161A"/>
    <w:rsid w:val="00901EB6"/>
    <w:rsid w:val="00902ACC"/>
    <w:rsid w:val="00904C62"/>
    <w:rsid w:val="00905690"/>
    <w:rsid w:val="009160FB"/>
    <w:rsid w:val="00920126"/>
    <w:rsid w:val="00920CF0"/>
    <w:rsid w:val="00921E69"/>
    <w:rsid w:val="009225AC"/>
    <w:rsid w:val="00922BA8"/>
    <w:rsid w:val="00924DAC"/>
    <w:rsid w:val="00927058"/>
    <w:rsid w:val="00930925"/>
    <w:rsid w:val="00935756"/>
    <w:rsid w:val="00942750"/>
    <w:rsid w:val="00943CFD"/>
    <w:rsid w:val="009450CE"/>
    <w:rsid w:val="009459BB"/>
    <w:rsid w:val="00947179"/>
    <w:rsid w:val="0095012A"/>
    <w:rsid w:val="0095164B"/>
    <w:rsid w:val="00951EFA"/>
    <w:rsid w:val="00954090"/>
    <w:rsid w:val="009566F2"/>
    <w:rsid w:val="009573E7"/>
    <w:rsid w:val="00957CA7"/>
    <w:rsid w:val="00963E05"/>
    <w:rsid w:val="00964A45"/>
    <w:rsid w:val="00967843"/>
    <w:rsid w:val="00967986"/>
    <w:rsid w:val="00967D54"/>
    <w:rsid w:val="00971028"/>
    <w:rsid w:val="00973849"/>
    <w:rsid w:val="00986C36"/>
    <w:rsid w:val="00993B84"/>
    <w:rsid w:val="00996483"/>
    <w:rsid w:val="00996F5A"/>
    <w:rsid w:val="009A03B0"/>
    <w:rsid w:val="009B041A"/>
    <w:rsid w:val="009B28CB"/>
    <w:rsid w:val="009B411E"/>
    <w:rsid w:val="009B549D"/>
    <w:rsid w:val="009C10B3"/>
    <w:rsid w:val="009C37C3"/>
    <w:rsid w:val="009C60A5"/>
    <w:rsid w:val="009C7C86"/>
    <w:rsid w:val="009D2FF7"/>
    <w:rsid w:val="009D7DC5"/>
    <w:rsid w:val="009E4AFD"/>
    <w:rsid w:val="009E7884"/>
    <w:rsid w:val="009E788A"/>
    <w:rsid w:val="009E7DEF"/>
    <w:rsid w:val="009F0E08"/>
    <w:rsid w:val="009F3F28"/>
    <w:rsid w:val="00A00E7E"/>
    <w:rsid w:val="00A029EB"/>
    <w:rsid w:val="00A0494E"/>
    <w:rsid w:val="00A10783"/>
    <w:rsid w:val="00A169DE"/>
    <w:rsid w:val="00A1763D"/>
    <w:rsid w:val="00A17CEC"/>
    <w:rsid w:val="00A21864"/>
    <w:rsid w:val="00A24277"/>
    <w:rsid w:val="00A2444B"/>
    <w:rsid w:val="00A27EF0"/>
    <w:rsid w:val="00A35B99"/>
    <w:rsid w:val="00A41A1F"/>
    <w:rsid w:val="00A42361"/>
    <w:rsid w:val="00A4586B"/>
    <w:rsid w:val="00A50B20"/>
    <w:rsid w:val="00A51390"/>
    <w:rsid w:val="00A52D02"/>
    <w:rsid w:val="00A54614"/>
    <w:rsid w:val="00A57447"/>
    <w:rsid w:val="00A60D13"/>
    <w:rsid w:val="00A66FD3"/>
    <w:rsid w:val="00A67CE8"/>
    <w:rsid w:val="00A7223D"/>
    <w:rsid w:val="00A72745"/>
    <w:rsid w:val="00A76EFC"/>
    <w:rsid w:val="00A83D2D"/>
    <w:rsid w:val="00A87D50"/>
    <w:rsid w:val="00A91010"/>
    <w:rsid w:val="00A9395E"/>
    <w:rsid w:val="00A97F29"/>
    <w:rsid w:val="00AA1741"/>
    <w:rsid w:val="00AA67D9"/>
    <w:rsid w:val="00AA702E"/>
    <w:rsid w:val="00AA7D26"/>
    <w:rsid w:val="00AB0964"/>
    <w:rsid w:val="00AB3451"/>
    <w:rsid w:val="00AB35BB"/>
    <w:rsid w:val="00AB5011"/>
    <w:rsid w:val="00AB7684"/>
    <w:rsid w:val="00AB7792"/>
    <w:rsid w:val="00AC7368"/>
    <w:rsid w:val="00AC797F"/>
    <w:rsid w:val="00AC79A5"/>
    <w:rsid w:val="00AD1217"/>
    <w:rsid w:val="00AD16B9"/>
    <w:rsid w:val="00AD46A9"/>
    <w:rsid w:val="00AE377D"/>
    <w:rsid w:val="00AF0EBA"/>
    <w:rsid w:val="00AF7676"/>
    <w:rsid w:val="00B00D34"/>
    <w:rsid w:val="00B02C8A"/>
    <w:rsid w:val="00B0709C"/>
    <w:rsid w:val="00B11C77"/>
    <w:rsid w:val="00B17FBD"/>
    <w:rsid w:val="00B21559"/>
    <w:rsid w:val="00B22A3A"/>
    <w:rsid w:val="00B30B51"/>
    <w:rsid w:val="00B30DE2"/>
    <w:rsid w:val="00B315A6"/>
    <w:rsid w:val="00B31813"/>
    <w:rsid w:val="00B33365"/>
    <w:rsid w:val="00B366C8"/>
    <w:rsid w:val="00B36958"/>
    <w:rsid w:val="00B42352"/>
    <w:rsid w:val="00B55B7F"/>
    <w:rsid w:val="00B57B36"/>
    <w:rsid w:val="00B57E6F"/>
    <w:rsid w:val="00B63ED2"/>
    <w:rsid w:val="00B649F2"/>
    <w:rsid w:val="00B65EC4"/>
    <w:rsid w:val="00B709C6"/>
    <w:rsid w:val="00B82113"/>
    <w:rsid w:val="00B83502"/>
    <w:rsid w:val="00B86119"/>
    <w:rsid w:val="00B8686D"/>
    <w:rsid w:val="00B90593"/>
    <w:rsid w:val="00B921EF"/>
    <w:rsid w:val="00B93F69"/>
    <w:rsid w:val="00BA1F3C"/>
    <w:rsid w:val="00BA2123"/>
    <w:rsid w:val="00BB1DDC"/>
    <w:rsid w:val="00BB56D6"/>
    <w:rsid w:val="00BC06F6"/>
    <w:rsid w:val="00BC20D3"/>
    <w:rsid w:val="00BC30C9"/>
    <w:rsid w:val="00BD077D"/>
    <w:rsid w:val="00BE274F"/>
    <w:rsid w:val="00BE311F"/>
    <w:rsid w:val="00BE33B7"/>
    <w:rsid w:val="00BE3E58"/>
    <w:rsid w:val="00BF285E"/>
    <w:rsid w:val="00BF40D2"/>
    <w:rsid w:val="00BF479D"/>
    <w:rsid w:val="00C01616"/>
    <w:rsid w:val="00C0162B"/>
    <w:rsid w:val="00C03E54"/>
    <w:rsid w:val="00C068ED"/>
    <w:rsid w:val="00C10286"/>
    <w:rsid w:val="00C115AF"/>
    <w:rsid w:val="00C11A10"/>
    <w:rsid w:val="00C15930"/>
    <w:rsid w:val="00C170F3"/>
    <w:rsid w:val="00C22E0C"/>
    <w:rsid w:val="00C23E2F"/>
    <w:rsid w:val="00C30D02"/>
    <w:rsid w:val="00C345B1"/>
    <w:rsid w:val="00C40142"/>
    <w:rsid w:val="00C45F9F"/>
    <w:rsid w:val="00C52C3C"/>
    <w:rsid w:val="00C57182"/>
    <w:rsid w:val="00C57863"/>
    <w:rsid w:val="00C636E3"/>
    <w:rsid w:val="00C640AF"/>
    <w:rsid w:val="00C64A88"/>
    <w:rsid w:val="00C650DC"/>
    <w:rsid w:val="00C655FD"/>
    <w:rsid w:val="00C75407"/>
    <w:rsid w:val="00C77D14"/>
    <w:rsid w:val="00C841C6"/>
    <w:rsid w:val="00C870A8"/>
    <w:rsid w:val="00C94434"/>
    <w:rsid w:val="00C94BCB"/>
    <w:rsid w:val="00CA0D75"/>
    <w:rsid w:val="00CA0FA1"/>
    <w:rsid w:val="00CA1C95"/>
    <w:rsid w:val="00CA5A9C"/>
    <w:rsid w:val="00CC28A7"/>
    <w:rsid w:val="00CC4C20"/>
    <w:rsid w:val="00CD3517"/>
    <w:rsid w:val="00CD4409"/>
    <w:rsid w:val="00CD5FE2"/>
    <w:rsid w:val="00CE4395"/>
    <w:rsid w:val="00CE4B33"/>
    <w:rsid w:val="00CE75EC"/>
    <w:rsid w:val="00CE7C68"/>
    <w:rsid w:val="00CF4F30"/>
    <w:rsid w:val="00D02B4C"/>
    <w:rsid w:val="00D040C4"/>
    <w:rsid w:val="00D16D9E"/>
    <w:rsid w:val="00D20AD1"/>
    <w:rsid w:val="00D21635"/>
    <w:rsid w:val="00D247B1"/>
    <w:rsid w:val="00D2582C"/>
    <w:rsid w:val="00D36E33"/>
    <w:rsid w:val="00D452E2"/>
    <w:rsid w:val="00D46B7E"/>
    <w:rsid w:val="00D50E6B"/>
    <w:rsid w:val="00D53CC4"/>
    <w:rsid w:val="00D57C84"/>
    <w:rsid w:val="00D6057D"/>
    <w:rsid w:val="00D620C0"/>
    <w:rsid w:val="00D71640"/>
    <w:rsid w:val="00D73B79"/>
    <w:rsid w:val="00D76F3E"/>
    <w:rsid w:val="00D836C5"/>
    <w:rsid w:val="00D84576"/>
    <w:rsid w:val="00D864F3"/>
    <w:rsid w:val="00D865F3"/>
    <w:rsid w:val="00D92617"/>
    <w:rsid w:val="00D95C5D"/>
    <w:rsid w:val="00DA0DC7"/>
    <w:rsid w:val="00DA1399"/>
    <w:rsid w:val="00DA24C6"/>
    <w:rsid w:val="00DA2B0C"/>
    <w:rsid w:val="00DA32A4"/>
    <w:rsid w:val="00DA4D7B"/>
    <w:rsid w:val="00DB4AB2"/>
    <w:rsid w:val="00DB5B5B"/>
    <w:rsid w:val="00DC037B"/>
    <w:rsid w:val="00DC4219"/>
    <w:rsid w:val="00DC576A"/>
    <w:rsid w:val="00DD271C"/>
    <w:rsid w:val="00DD3AEE"/>
    <w:rsid w:val="00DE264A"/>
    <w:rsid w:val="00DE5583"/>
    <w:rsid w:val="00DE660D"/>
    <w:rsid w:val="00DF0266"/>
    <w:rsid w:val="00DF124F"/>
    <w:rsid w:val="00DF5072"/>
    <w:rsid w:val="00E00546"/>
    <w:rsid w:val="00E02D18"/>
    <w:rsid w:val="00E0323A"/>
    <w:rsid w:val="00E03471"/>
    <w:rsid w:val="00E041E7"/>
    <w:rsid w:val="00E04797"/>
    <w:rsid w:val="00E11ED7"/>
    <w:rsid w:val="00E12898"/>
    <w:rsid w:val="00E20843"/>
    <w:rsid w:val="00E23CA1"/>
    <w:rsid w:val="00E33F8E"/>
    <w:rsid w:val="00E37861"/>
    <w:rsid w:val="00E409A8"/>
    <w:rsid w:val="00E4549B"/>
    <w:rsid w:val="00E50BF5"/>
    <w:rsid w:val="00E50C12"/>
    <w:rsid w:val="00E65B91"/>
    <w:rsid w:val="00E66368"/>
    <w:rsid w:val="00E7209D"/>
    <w:rsid w:val="00E72EAD"/>
    <w:rsid w:val="00E76E1A"/>
    <w:rsid w:val="00E77223"/>
    <w:rsid w:val="00E77F9B"/>
    <w:rsid w:val="00E846DD"/>
    <w:rsid w:val="00E8528B"/>
    <w:rsid w:val="00E85B94"/>
    <w:rsid w:val="00E91614"/>
    <w:rsid w:val="00E978D0"/>
    <w:rsid w:val="00EA0AB9"/>
    <w:rsid w:val="00EA0F33"/>
    <w:rsid w:val="00EA4613"/>
    <w:rsid w:val="00EA6920"/>
    <w:rsid w:val="00EA7F91"/>
    <w:rsid w:val="00EB1523"/>
    <w:rsid w:val="00EB76DB"/>
    <w:rsid w:val="00EC0E49"/>
    <w:rsid w:val="00EC101F"/>
    <w:rsid w:val="00EC1D9F"/>
    <w:rsid w:val="00EC740B"/>
    <w:rsid w:val="00ED3B48"/>
    <w:rsid w:val="00ED75A6"/>
    <w:rsid w:val="00EE0131"/>
    <w:rsid w:val="00EE17B0"/>
    <w:rsid w:val="00EE39F9"/>
    <w:rsid w:val="00EE52CC"/>
    <w:rsid w:val="00EF02DD"/>
    <w:rsid w:val="00EF06D9"/>
    <w:rsid w:val="00EF44A1"/>
    <w:rsid w:val="00EF5FA2"/>
    <w:rsid w:val="00F06E7E"/>
    <w:rsid w:val="00F122F0"/>
    <w:rsid w:val="00F13CB4"/>
    <w:rsid w:val="00F147C2"/>
    <w:rsid w:val="00F16B03"/>
    <w:rsid w:val="00F2080B"/>
    <w:rsid w:val="00F302FF"/>
    <w:rsid w:val="00F3049E"/>
    <w:rsid w:val="00F30C64"/>
    <w:rsid w:val="00F32BA2"/>
    <w:rsid w:val="00F32CDB"/>
    <w:rsid w:val="00F3561D"/>
    <w:rsid w:val="00F3658B"/>
    <w:rsid w:val="00F36F22"/>
    <w:rsid w:val="00F37B50"/>
    <w:rsid w:val="00F445E1"/>
    <w:rsid w:val="00F46199"/>
    <w:rsid w:val="00F5486C"/>
    <w:rsid w:val="00F54A3C"/>
    <w:rsid w:val="00F565FE"/>
    <w:rsid w:val="00F63A70"/>
    <w:rsid w:val="00F63D8C"/>
    <w:rsid w:val="00F734EF"/>
    <w:rsid w:val="00F7534E"/>
    <w:rsid w:val="00F844BF"/>
    <w:rsid w:val="00F92173"/>
    <w:rsid w:val="00F93EDF"/>
    <w:rsid w:val="00F945AB"/>
    <w:rsid w:val="00FA1802"/>
    <w:rsid w:val="00FA21D0"/>
    <w:rsid w:val="00FA2815"/>
    <w:rsid w:val="00FA5F5F"/>
    <w:rsid w:val="00FB429B"/>
    <w:rsid w:val="00FB730C"/>
    <w:rsid w:val="00FC015A"/>
    <w:rsid w:val="00FC1FB6"/>
    <w:rsid w:val="00FC2695"/>
    <w:rsid w:val="00FC3E03"/>
    <w:rsid w:val="00FC3FC1"/>
    <w:rsid w:val="00FC51BF"/>
    <w:rsid w:val="00FD003E"/>
    <w:rsid w:val="00FD3C9F"/>
    <w:rsid w:val="00FE5376"/>
    <w:rsid w:val="00FE6AF3"/>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E0CC22"/>
  <w15:docId w15:val="{9AE360E6-9B75-4228-86E2-D013C438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ET Top_page"/>
    <w:rsid w:val="00620DEE"/>
    <w:pPr>
      <w:tabs>
        <w:tab w:val="right" w:pos="7100"/>
      </w:tabs>
      <w:spacing w:after="0" w:line="264" w:lineRule="auto"/>
      <w:jc w:val="both"/>
    </w:pPr>
    <w:rPr>
      <w:rFonts w:ascii="Arial" w:eastAsia="Times New Roman" w:hAnsi="Arial" w:cs="Times New Roman"/>
      <w:sz w:val="18"/>
      <w:szCs w:val="20"/>
      <w:lang w:val="en-GB"/>
    </w:rPr>
  </w:style>
  <w:style w:type="paragraph" w:styleId="Heading1">
    <w:name w:val="heading 1"/>
    <w:basedOn w:val="CETHeading1"/>
    <w:next w:val="Normal"/>
    <w:link w:val="Heading1Char"/>
    <w:uiPriority w:val="9"/>
    <w:rsid w:val="004F5E36"/>
    <w:pPr>
      <w:tabs>
        <w:tab w:val="right" w:pos="7100"/>
      </w:tabs>
      <w:jc w:val="both"/>
      <w:outlineLvl w:val="0"/>
    </w:pPr>
    <w:rPr>
      <w:lang w:val="en-GB"/>
    </w:rPr>
  </w:style>
  <w:style w:type="paragraph" w:styleId="Heading2">
    <w:name w:val="heading 2"/>
    <w:basedOn w:val="Normal"/>
    <w:next w:val="Normal"/>
    <w:link w:val="Heading2Char"/>
    <w:uiPriority w:val="9"/>
    <w:semiHidden/>
    <w:unhideWhenUsed/>
    <w:qFormat/>
    <w:rsid w:val="000314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3148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3148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3148D"/>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3148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3148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3148D"/>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03148D"/>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ETAuthors">
    <w:name w:val="CET Authors"/>
    <w:basedOn w:val="CETBodytext"/>
    <w:link w:val="CETAuthorsCarattere"/>
    <w:qFormat/>
    <w:rsid w:val="000E414A"/>
    <w:pPr>
      <w:keepNext/>
      <w:suppressAutoHyphens/>
      <w:spacing w:after="120"/>
    </w:pPr>
    <w:rPr>
      <w:noProof/>
      <w:sz w:val="24"/>
      <w:lang w:val="en-GB"/>
    </w:rPr>
  </w:style>
  <w:style w:type="paragraph" w:customStyle="1" w:styleId="CETTitle">
    <w:name w:val="CET Title"/>
    <w:next w:val="CETAuthors"/>
    <w:link w:val="CETTitleCarattere"/>
    <w:rsid w:val="00FB730C"/>
    <w:pPr>
      <w:suppressAutoHyphens/>
      <w:spacing w:before="480" w:after="120" w:line="264" w:lineRule="auto"/>
      <w:jc w:val="center"/>
      <w:outlineLvl w:val="0"/>
    </w:pPr>
    <w:rPr>
      <w:rFonts w:ascii="Arial" w:eastAsia="Times New Roman" w:hAnsi="Arial" w:cs="Times New Roman"/>
      <w:sz w:val="32"/>
      <w:szCs w:val="20"/>
      <w:lang w:val="en-GB"/>
    </w:rPr>
  </w:style>
  <w:style w:type="character" w:customStyle="1" w:styleId="CETAuthorsCarattere">
    <w:name w:val="CET Authors Carattere"/>
    <w:link w:val="CETAuthors"/>
    <w:rsid w:val="009E788A"/>
    <w:rPr>
      <w:rFonts w:ascii="Arial" w:eastAsia="Times New Roman" w:hAnsi="Arial" w:cs="Times New Roman"/>
      <w:noProof/>
      <w:sz w:val="24"/>
      <w:szCs w:val="20"/>
      <w:lang w:val="en-GB"/>
    </w:rPr>
  </w:style>
  <w:style w:type="character" w:customStyle="1" w:styleId="CETTitleCarattere">
    <w:name w:val="CET Title Carattere"/>
    <w:link w:val="CETTitle"/>
    <w:rsid w:val="00FB730C"/>
    <w:rPr>
      <w:rFonts w:ascii="Arial" w:eastAsia="Times New Roman" w:hAnsi="Arial" w:cs="Times New Roman"/>
      <w:sz w:val="32"/>
      <w:szCs w:val="20"/>
      <w:lang w:val="en-GB"/>
    </w:rPr>
  </w:style>
  <w:style w:type="paragraph" w:customStyle="1" w:styleId="CETHeading1">
    <w:name w:val="CET Heading1"/>
    <w:next w:val="CETBodytext"/>
    <w:qFormat/>
    <w:rsid w:val="009E788A"/>
    <w:pPr>
      <w:keepNext/>
      <w:numPr>
        <w:ilvl w:val="1"/>
        <w:numId w:val="1"/>
      </w:numPr>
      <w:suppressAutoHyphens/>
      <w:spacing w:before="240" w:after="120" w:line="240" w:lineRule="auto"/>
    </w:pPr>
    <w:rPr>
      <w:rFonts w:ascii="Arial" w:eastAsia="Times New Roman" w:hAnsi="Arial" w:cs="Times New Roman"/>
      <w:b/>
      <w:sz w:val="20"/>
      <w:szCs w:val="20"/>
      <w:lang w:val="en-US"/>
    </w:rPr>
  </w:style>
  <w:style w:type="paragraph" w:customStyle="1" w:styleId="CETBodytext">
    <w:name w:val="CET Body text"/>
    <w:link w:val="CETBodytextCarattere"/>
    <w:qFormat/>
    <w:rsid w:val="000E414A"/>
    <w:pPr>
      <w:tabs>
        <w:tab w:val="right" w:pos="7100"/>
      </w:tabs>
      <w:spacing w:after="0" w:line="264" w:lineRule="auto"/>
      <w:jc w:val="both"/>
    </w:pPr>
    <w:rPr>
      <w:rFonts w:ascii="Arial" w:eastAsia="Times New Roman" w:hAnsi="Arial" w:cs="Times New Roman"/>
      <w:sz w:val="18"/>
      <w:szCs w:val="20"/>
      <w:lang w:val="en-US"/>
    </w:rPr>
  </w:style>
  <w:style w:type="paragraph" w:customStyle="1" w:styleId="CETheadingx">
    <w:name w:val="CET headingx"/>
    <w:next w:val="CETBodytext"/>
    <w:link w:val="CETheadingxCarattere"/>
    <w:autoRedefine/>
    <w:qFormat/>
    <w:rsid w:val="00B90593"/>
    <w:pPr>
      <w:keepNext/>
      <w:suppressAutoHyphens/>
      <w:spacing w:before="120" w:after="120" w:line="240" w:lineRule="auto"/>
      <w:jc w:val="both"/>
    </w:pPr>
    <w:rPr>
      <w:rFonts w:ascii="Arial" w:eastAsia="Times New Roman" w:hAnsi="Arial" w:cs="Arial"/>
      <w:bCs/>
      <w:sz w:val="18"/>
      <w:szCs w:val="18"/>
      <w:lang w:val="en-US" w:eastAsia="en-CA"/>
    </w:rPr>
  </w:style>
  <w:style w:type="paragraph" w:customStyle="1" w:styleId="CETAddress">
    <w:name w:val="CET Address"/>
    <w:link w:val="CETAddressCarattere"/>
    <w:qFormat/>
    <w:rsid w:val="009E788A"/>
    <w:pPr>
      <w:keepNext/>
      <w:suppressAutoHyphens/>
      <w:spacing w:after="0"/>
      <w:contextualSpacing/>
    </w:pPr>
    <w:rPr>
      <w:rFonts w:ascii="Arial" w:eastAsia="Times New Roman" w:hAnsi="Arial" w:cs="Times New Roman"/>
      <w:noProof/>
      <w:sz w:val="16"/>
      <w:szCs w:val="20"/>
      <w:lang w:val="en-GB"/>
    </w:rPr>
  </w:style>
  <w:style w:type="table" w:styleId="TableSimple1">
    <w:name w:val="Table Simple 1"/>
    <w:basedOn w:val="TableNormal"/>
    <w:semiHidden/>
    <w:rsid w:val="000E414A"/>
    <w:pPr>
      <w:numPr>
        <w:ilvl w:val="3"/>
        <w:numId w:val="1"/>
      </w:numPr>
      <w:spacing w:after="0" w:line="264" w:lineRule="auto"/>
      <w:jc w:val="both"/>
    </w:pPr>
    <w:rPr>
      <w:rFonts w:ascii="Times New Roman" w:eastAsia="Times New Roman" w:hAnsi="Times New Roman" w:cs="Times New Roman"/>
      <w:sz w:val="20"/>
      <w:szCs w:val="20"/>
      <w:lang w:eastAsia="it-IT"/>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CETBodytextCarattere">
    <w:name w:val="CET Body text Carattere"/>
    <w:link w:val="CETBodytext"/>
    <w:rsid w:val="000E414A"/>
    <w:rPr>
      <w:rFonts w:ascii="Arial" w:eastAsia="Times New Roman" w:hAnsi="Arial" w:cs="Times New Roman"/>
      <w:sz w:val="18"/>
      <w:szCs w:val="20"/>
      <w:lang w:val="en-US"/>
    </w:rPr>
  </w:style>
  <w:style w:type="paragraph" w:customStyle="1" w:styleId="CETReference">
    <w:name w:val="CET Reference"/>
    <w:qFormat/>
    <w:rsid w:val="00FC2695"/>
    <w:pPr>
      <w:spacing w:before="200" w:after="120" w:line="240" w:lineRule="auto"/>
    </w:pPr>
    <w:rPr>
      <w:rFonts w:ascii="Arial" w:eastAsia="Times New Roman" w:hAnsi="Arial" w:cs="Times New Roman"/>
      <w:b/>
      <w:sz w:val="18"/>
      <w:szCs w:val="20"/>
      <w:lang w:val="en-GB"/>
    </w:rPr>
  </w:style>
  <w:style w:type="paragraph" w:customStyle="1" w:styleId="CETCaption">
    <w:name w:val="CET Caption"/>
    <w:link w:val="CETCaptionCarattere"/>
    <w:qFormat/>
    <w:rsid w:val="00F7534E"/>
    <w:pPr>
      <w:spacing w:before="240" w:after="240" w:line="264" w:lineRule="auto"/>
      <w:jc w:val="both"/>
    </w:pPr>
    <w:rPr>
      <w:rFonts w:ascii="Arial" w:eastAsia="Times New Roman" w:hAnsi="Arial" w:cs="Times New Roman"/>
      <w:i/>
      <w:sz w:val="18"/>
      <w:szCs w:val="20"/>
      <w:lang w:val="en-GB"/>
    </w:rPr>
  </w:style>
  <w:style w:type="character" w:customStyle="1" w:styleId="CETheadingxCarattere">
    <w:name w:val="CET headingx Carattere"/>
    <w:link w:val="CETheadingx"/>
    <w:rsid w:val="00B90593"/>
    <w:rPr>
      <w:rFonts w:ascii="Arial" w:eastAsia="Times New Roman" w:hAnsi="Arial" w:cs="Arial"/>
      <w:bCs/>
      <w:sz w:val="18"/>
      <w:szCs w:val="18"/>
      <w:lang w:val="en-US" w:eastAsia="en-CA"/>
    </w:rPr>
  </w:style>
  <w:style w:type="character" w:customStyle="1" w:styleId="CETCaptionCarattere">
    <w:name w:val="CET Caption Carattere"/>
    <w:link w:val="CETCaption"/>
    <w:rsid w:val="00F7534E"/>
    <w:rPr>
      <w:rFonts w:ascii="Arial" w:eastAsia="Times New Roman" w:hAnsi="Arial" w:cs="Times New Roman"/>
      <w:i/>
      <w:sz w:val="18"/>
      <w:szCs w:val="20"/>
      <w:lang w:val="en-GB"/>
    </w:rPr>
  </w:style>
  <w:style w:type="paragraph" w:customStyle="1" w:styleId="CETBodytextItalic">
    <w:name w:val="CET Body text (Italic)"/>
    <w:basedOn w:val="CETBodytext"/>
    <w:qFormat/>
    <w:rsid w:val="004F5E36"/>
    <w:rPr>
      <w:i/>
      <w:lang w:val="en-GB"/>
    </w:rPr>
  </w:style>
  <w:style w:type="character" w:styleId="CommentReference">
    <w:name w:val="annotation reference"/>
    <w:basedOn w:val="DefaultParagraphFont"/>
    <w:uiPriority w:val="99"/>
    <w:semiHidden/>
    <w:unhideWhenUsed/>
    <w:rsid w:val="004577FE"/>
    <w:rPr>
      <w:sz w:val="16"/>
      <w:szCs w:val="16"/>
    </w:rPr>
  </w:style>
  <w:style w:type="paragraph" w:styleId="BalloonText">
    <w:name w:val="Balloon Text"/>
    <w:basedOn w:val="Normal"/>
    <w:link w:val="BalloonTextChar"/>
    <w:uiPriority w:val="99"/>
    <w:semiHidden/>
    <w:unhideWhenUsed/>
    <w:rsid w:val="000D34B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4BE"/>
    <w:rPr>
      <w:rFonts w:ascii="Tahoma" w:hAnsi="Tahoma" w:cs="Tahoma"/>
      <w:sz w:val="16"/>
      <w:szCs w:val="16"/>
    </w:rPr>
  </w:style>
  <w:style w:type="paragraph" w:styleId="Bibliography">
    <w:name w:val="Bibliography"/>
    <w:basedOn w:val="CETReferencetext"/>
    <w:uiPriority w:val="37"/>
    <w:unhideWhenUsed/>
    <w:rsid w:val="00631B33"/>
    <w:pPr>
      <w:spacing w:line="240" w:lineRule="auto"/>
      <w:ind w:left="720" w:hanging="720"/>
    </w:pPr>
  </w:style>
  <w:style w:type="paragraph" w:styleId="BodyText2">
    <w:name w:val="Body Text 2"/>
    <w:basedOn w:val="Normal"/>
    <w:link w:val="BodyText2Char"/>
    <w:uiPriority w:val="99"/>
    <w:semiHidden/>
    <w:unhideWhenUsed/>
    <w:rsid w:val="0003148D"/>
    <w:pPr>
      <w:spacing w:after="120" w:line="480" w:lineRule="auto"/>
    </w:pPr>
  </w:style>
  <w:style w:type="character" w:customStyle="1" w:styleId="BodyText2Char">
    <w:name w:val="Body Text 2 Char"/>
    <w:basedOn w:val="DefaultParagraphFont"/>
    <w:link w:val="BodyText2"/>
    <w:uiPriority w:val="99"/>
    <w:semiHidden/>
    <w:rsid w:val="0003148D"/>
  </w:style>
  <w:style w:type="paragraph" w:styleId="BodyText3">
    <w:name w:val="Body Text 3"/>
    <w:basedOn w:val="Normal"/>
    <w:link w:val="BodyText3Char"/>
    <w:uiPriority w:val="99"/>
    <w:semiHidden/>
    <w:unhideWhenUsed/>
    <w:rsid w:val="0003148D"/>
    <w:pPr>
      <w:spacing w:after="120"/>
    </w:pPr>
    <w:rPr>
      <w:sz w:val="16"/>
      <w:szCs w:val="16"/>
    </w:rPr>
  </w:style>
  <w:style w:type="character" w:customStyle="1" w:styleId="BodyText3Char">
    <w:name w:val="Body Text 3 Char"/>
    <w:basedOn w:val="DefaultParagraphFont"/>
    <w:link w:val="BodyText3"/>
    <w:uiPriority w:val="99"/>
    <w:semiHidden/>
    <w:rsid w:val="0003148D"/>
    <w:rPr>
      <w:sz w:val="16"/>
      <w:szCs w:val="16"/>
    </w:rPr>
  </w:style>
  <w:style w:type="paragraph" w:styleId="BodyText">
    <w:name w:val="Body Text"/>
    <w:basedOn w:val="Normal"/>
    <w:link w:val="BodyTextChar"/>
    <w:uiPriority w:val="99"/>
    <w:semiHidden/>
    <w:unhideWhenUsed/>
    <w:rsid w:val="0003148D"/>
    <w:pPr>
      <w:spacing w:after="120"/>
    </w:pPr>
  </w:style>
  <w:style w:type="character" w:customStyle="1" w:styleId="BodyTextChar">
    <w:name w:val="Body Text Char"/>
    <w:basedOn w:val="DefaultParagraphFont"/>
    <w:link w:val="BodyText"/>
    <w:uiPriority w:val="99"/>
    <w:semiHidden/>
    <w:rsid w:val="0003148D"/>
  </w:style>
  <w:style w:type="paragraph" w:styleId="Date">
    <w:name w:val="Date"/>
    <w:basedOn w:val="Normal"/>
    <w:next w:val="Normal"/>
    <w:link w:val="DateChar"/>
    <w:uiPriority w:val="99"/>
    <w:semiHidden/>
    <w:unhideWhenUsed/>
    <w:rsid w:val="0003148D"/>
  </w:style>
  <w:style w:type="character" w:customStyle="1" w:styleId="DateChar">
    <w:name w:val="Date Char"/>
    <w:basedOn w:val="DefaultParagraphFont"/>
    <w:link w:val="Date"/>
    <w:uiPriority w:val="99"/>
    <w:semiHidden/>
    <w:rsid w:val="0003148D"/>
  </w:style>
  <w:style w:type="paragraph" w:styleId="Caption">
    <w:name w:val="caption"/>
    <w:basedOn w:val="Normal"/>
    <w:next w:val="Normal"/>
    <w:uiPriority w:val="35"/>
    <w:unhideWhenUsed/>
    <w:qFormat/>
    <w:rsid w:val="0003148D"/>
    <w:pPr>
      <w:spacing w:line="240" w:lineRule="auto"/>
    </w:pPr>
    <w:rPr>
      <w:b/>
      <w:bCs/>
      <w:color w:val="4F81BD" w:themeColor="accent1"/>
      <w:szCs w:val="18"/>
    </w:rPr>
  </w:style>
  <w:style w:type="paragraph" w:styleId="List">
    <w:name w:val="List"/>
    <w:basedOn w:val="Normal"/>
    <w:uiPriority w:val="99"/>
    <w:semiHidden/>
    <w:unhideWhenUsed/>
    <w:rsid w:val="0003148D"/>
    <w:pPr>
      <w:ind w:left="283" w:hanging="283"/>
      <w:contextualSpacing/>
    </w:pPr>
  </w:style>
  <w:style w:type="paragraph" w:styleId="List2">
    <w:name w:val="List 2"/>
    <w:basedOn w:val="Normal"/>
    <w:uiPriority w:val="99"/>
    <w:semiHidden/>
    <w:unhideWhenUsed/>
    <w:rsid w:val="0003148D"/>
    <w:pPr>
      <w:ind w:left="566" w:hanging="283"/>
      <w:contextualSpacing/>
    </w:pPr>
  </w:style>
  <w:style w:type="paragraph" w:styleId="List3">
    <w:name w:val="List 3"/>
    <w:basedOn w:val="Normal"/>
    <w:uiPriority w:val="99"/>
    <w:semiHidden/>
    <w:unhideWhenUsed/>
    <w:rsid w:val="0003148D"/>
    <w:pPr>
      <w:ind w:left="849" w:hanging="283"/>
      <w:contextualSpacing/>
    </w:pPr>
  </w:style>
  <w:style w:type="paragraph" w:styleId="List4">
    <w:name w:val="List 4"/>
    <w:basedOn w:val="Normal"/>
    <w:uiPriority w:val="99"/>
    <w:semiHidden/>
    <w:unhideWhenUsed/>
    <w:rsid w:val="0003148D"/>
    <w:pPr>
      <w:ind w:left="1132" w:hanging="283"/>
      <w:contextualSpacing/>
    </w:pPr>
  </w:style>
  <w:style w:type="paragraph" w:styleId="List5">
    <w:name w:val="List 5"/>
    <w:basedOn w:val="Normal"/>
    <w:uiPriority w:val="99"/>
    <w:semiHidden/>
    <w:unhideWhenUsed/>
    <w:rsid w:val="0003148D"/>
    <w:pPr>
      <w:ind w:left="1415" w:hanging="283"/>
      <w:contextualSpacing/>
    </w:pPr>
  </w:style>
  <w:style w:type="paragraph" w:styleId="ListContinue">
    <w:name w:val="List Continue"/>
    <w:basedOn w:val="Normal"/>
    <w:uiPriority w:val="99"/>
    <w:semiHidden/>
    <w:unhideWhenUsed/>
    <w:rsid w:val="0003148D"/>
    <w:pPr>
      <w:spacing w:after="120"/>
      <w:ind w:left="283"/>
      <w:contextualSpacing/>
    </w:pPr>
  </w:style>
  <w:style w:type="paragraph" w:styleId="ListContinue2">
    <w:name w:val="List Continue 2"/>
    <w:basedOn w:val="Normal"/>
    <w:uiPriority w:val="99"/>
    <w:semiHidden/>
    <w:unhideWhenUsed/>
    <w:rsid w:val="0003148D"/>
    <w:pPr>
      <w:spacing w:after="120"/>
      <w:ind w:left="566"/>
      <w:contextualSpacing/>
    </w:pPr>
  </w:style>
  <w:style w:type="paragraph" w:styleId="ListContinue3">
    <w:name w:val="List Continue 3"/>
    <w:basedOn w:val="Normal"/>
    <w:uiPriority w:val="99"/>
    <w:semiHidden/>
    <w:unhideWhenUsed/>
    <w:rsid w:val="0003148D"/>
    <w:pPr>
      <w:spacing w:after="120"/>
      <w:ind w:left="849"/>
      <w:contextualSpacing/>
    </w:pPr>
  </w:style>
  <w:style w:type="paragraph" w:styleId="ListContinue4">
    <w:name w:val="List Continue 4"/>
    <w:basedOn w:val="Normal"/>
    <w:uiPriority w:val="99"/>
    <w:semiHidden/>
    <w:unhideWhenUsed/>
    <w:rsid w:val="0003148D"/>
    <w:pPr>
      <w:spacing w:after="120"/>
      <w:ind w:left="1132"/>
      <w:contextualSpacing/>
    </w:pPr>
  </w:style>
  <w:style w:type="paragraph" w:styleId="ListContinue5">
    <w:name w:val="List Continue 5"/>
    <w:basedOn w:val="Normal"/>
    <w:uiPriority w:val="99"/>
    <w:semiHidden/>
    <w:unhideWhenUsed/>
    <w:rsid w:val="0003148D"/>
    <w:pPr>
      <w:spacing w:after="120"/>
      <w:ind w:left="1415"/>
      <w:contextualSpacing/>
    </w:pPr>
  </w:style>
  <w:style w:type="paragraph" w:styleId="Signature">
    <w:name w:val="Signature"/>
    <w:basedOn w:val="Normal"/>
    <w:link w:val="SignatureChar"/>
    <w:uiPriority w:val="99"/>
    <w:semiHidden/>
    <w:unhideWhenUsed/>
    <w:rsid w:val="0003148D"/>
    <w:pPr>
      <w:spacing w:line="240" w:lineRule="auto"/>
      <w:ind w:left="4252"/>
    </w:pPr>
  </w:style>
  <w:style w:type="character" w:customStyle="1" w:styleId="SignatureChar">
    <w:name w:val="Signature Char"/>
    <w:basedOn w:val="DefaultParagraphFont"/>
    <w:link w:val="Signature"/>
    <w:uiPriority w:val="99"/>
    <w:semiHidden/>
    <w:rsid w:val="0003148D"/>
  </w:style>
  <w:style w:type="paragraph" w:styleId="E-mailSignature">
    <w:name w:val="E-mail Signature"/>
    <w:basedOn w:val="Normal"/>
    <w:link w:val="E-mailSignatureChar"/>
    <w:uiPriority w:val="99"/>
    <w:semiHidden/>
    <w:unhideWhenUsed/>
    <w:rsid w:val="0003148D"/>
    <w:pPr>
      <w:spacing w:line="240" w:lineRule="auto"/>
    </w:pPr>
  </w:style>
  <w:style w:type="character" w:customStyle="1" w:styleId="E-mailSignatureChar">
    <w:name w:val="E-mail Signature Char"/>
    <w:basedOn w:val="DefaultParagraphFont"/>
    <w:link w:val="E-mailSignature"/>
    <w:uiPriority w:val="99"/>
    <w:semiHidden/>
    <w:rsid w:val="0003148D"/>
  </w:style>
  <w:style w:type="paragraph" w:styleId="Salutation">
    <w:name w:val="Salutation"/>
    <w:basedOn w:val="Normal"/>
    <w:next w:val="Normal"/>
    <w:link w:val="SalutationChar"/>
    <w:uiPriority w:val="99"/>
    <w:semiHidden/>
    <w:unhideWhenUsed/>
    <w:rsid w:val="0003148D"/>
  </w:style>
  <w:style w:type="character" w:customStyle="1" w:styleId="SalutationChar">
    <w:name w:val="Salutation Char"/>
    <w:basedOn w:val="DefaultParagraphFont"/>
    <w:link w:val="Salutation"/>
    <w:uiPriority w:val="99"/>
    <w:semiHidden/>
    <w:rsid w:val="0003148D"/>
  </w:style>
  <w:style w:type="paragraph" w:styleId="Closing">
    <w:name w:val="Closing"/>
    <w:basedOn w:val="Normal"/>
    <w:link w:val="ClosingChar"/>
    <w:uiPriority w:val="99"/>
    <w:semiHidden/>
    <w:unhideWhenUsed/>
    <w:rsid w:val="0003148D"/>
    <w:pPr>
      <w:spacing w:line="240" w:lineRule="auto"/>
      <w:ind w:left="4252"/>
    </w:pPr>
  </w:style>
  <w:style w:type="character" w:customStyle="1" w:styleId="ClosingChar">
    <w:name w:val="Closing Char"/>
    <w:basedOn w:val="DefaultParagraphFont"/>
    <w:link w:val="Closing"/>
    <w:uiPriority w:val="99"/>
    <w:semiHidden/>
    <w:rsid w:val="0003148D"/>
  </w:style>
  <w:style w:type="paragraph" w:styleId="Index1">
    <w:name w:val="index 1"/>
    <w:basedOn w:val="Normal"/>
    <w:next w:val="Normal"/>
    <w:autoRedefine/>
    <w:uiPriority w:val="99"/>
    <w:semiHidden/>
    <w:unhideWhenUsed/>
    <w:rsid w:val="0003148D"/>
    <w:pPr>
      <w:spacing w:line="240" w:lineRule="auto"/>
      <w:ind w:left="220" w:hanging="220"/>
    </w:pPr>
  </w:style>
  <w:style w:type="paragraph" w:styleId="Index2">
    <w:name w:val="index 2"/>
    <w:basedOn w:val="Normal"/>
    <w:next w:val="Normal"/>
    <w:autoRedefine/>
    <w:uiPriority w:val="99"/>
    <w:semiHidden/>
    <w:unhideWhenUsed/>
    <w:rsid w:val="0003148D"/>
    <w:pPr>
      <w:spacing w:line="240" w:lineRule="auto"/>
      <w:ind w:left="440" w:hanging="220"/>
    </w:pPr>
  </w:style>
  <w:style w:type="paragraph" w:styleId="Index3">
    <w:name w:val="index 3"/>
    <w:basedOn w:val="Normal"/>
    <w:next w:val="Normal"/>
    <w:autoRedefine/>
    <w:uiPriority w:val="99"/>
    <w:semiHidden/>
    <w:unhideWhenUsed/>
    <w:rsid w:val="0003148D"/>
    <w:pPr>
      <w:spacing w:line="240" w:lineRule="auto"/>
      <w:ind w:left="660" w:hanging="220"/>
    </w:pPr>
  </w:style>
  <w:style w:type="paragraph" w:styleId="Index4">
    <w:name w:val="index 4"/>
    <w:basedOn w:val="Normal"/>
    <w:next w:val="Normal"/>
    <w:autoRedefine/>
    <w:uiPriority w:val="99"/>
    <w:semiHidden/>
    <w:unhideWhenUsed/>
    <w:rsid w:val="0003148D"/>
    <w:pPr>
      <w:spacing w:line="240" w:lineRule="auto"/>
      <w:ind w:left="880" w:hanging="220"/>
    </w:pPr>
  </w:style>
  <w:style w:type="paragraph" w:styleId="Index5">
    <w:name w:val="index 5"/>
    <w:basedOn w:val="Normal"/>
    <w:next w:val="Normal"/>
    <w:autoRedefine/>
    <w:uiPriority w:val="99"/>
    <w:semiHidden/>
    <w:unhideWhenUsed/>
    <w:rsid w:val="0003148D"/>
    <w:pPr>
      <w:spacing w:line="240" w:lineRule="auto"/>
      <w:ind w:left="1100" w:hanging="220"/>
    </w:pPr>
  </w:style>
  <w:style w:type="paragraph" w:styleId="Index6">
    <w:name w:val="index 6"/>
    <w:basedOn w:val="Normal"/>
    <w:next w:val="Normal"/>
    <w:autoRedefine/>
    <w:uiPriority w:val="99"/>
    <w:semiHidden/>
    <w:unhideWhenUsed/>
    <w:rsid w:val="0003148D"/>
    <w:pPr>
      <w:spacing w:line="240" w:lineRule="auto"/>
      <w:ind w:left="1320" w:hanging="220"/>
    </w:pPr>
  </w:style>
  <w:style w:type="paragraph" w:styleId="Index7">
    <w:name w:val="index 7"/>
    <w:basedOn w:val="Normal"/>
    <w:next w:val="Normal"/>
    <w:autoRedefine/>
    <w:uiPriority w:val="99"/>
    <w:semiHidden/>
    <w:unhideWhenUsed/>
    <w:rsid w:val="0003148D"/>
    <w:pPr>
      <w:spacing w:line="240" w:lineRule="auto"/>
      <w:ind w:left="1540" w:hanging="220"/>
    </w:pPr>
  </w:style>
  <w:style w:type="paragraph" w:styleId="Index8">
    <w:name w:val="index 8"/>
    <w:basedOn w:val="Normal"/>
    <w:next w:val="Normal"/>
    <w:autoRedefine/>
    <w:uiPriority w:val="99"/>
    <w:semiHidden/>
    <w:unhideWhenUsed/>
    <w:rsid w:val="0003148D"/>
    <w:pPr>
      <w:spacing w:line="240" w:lineRule="auto"/>
      <w:ind w:left="1760" w:hanging="220"/>
    </w:pPr>
  </w:style>
  <w:style w:type="paragraph" w:styleId="Index9">
    <w:name w:val="index 9"/>
    <w:basedOn w:val="Normal"/>
    <w:next w:val="Normal"/>
    <w:autoRedefine/>
    <w:uiPriority w:val="99"/>
    <w:semiHidden/>
    <w:unhideWhenUsed/>
    <w:rsid w:val="0003148D"/>
    <w:pPr>
      <w:spacing w:line="240" w:lineRule="auto"/>
      <w:ind w:left="1980" w:hanging="220"/>
    </w:pPr>
  </w:style>
  <w:style w:type="paragraph" w:styleId="TableofFigures">
    <w:name w:val="table of figures"/>
    <w:basedOn w:val="Normal"/>
    <w:next w:val="Normal"/>
    <w:uiPriority w:val="99"/>
    <w:semiHidden/>
    <w:unhideWhenUsed/>
    <w:rsid w:val="0003148D"/>
  </w:style>
  <w:style w:type="paragraph" w:styleId="TableofAuthorities">
    <w:name w:val="table of authorities"/>
    <w:basedOn w:val="Normal"/>
    <w:next w:val="Normal"/>
    <w:uiPriority w:val="99"/>
    <w:semiHidden/>
    <w:unhideWhenUsed/>
    <w:rsid w:val="0003148D"/>
    <w:pPr>
      <w:ind w:left="220" w:hanging="220"/>
    </w:pPr>
  </w:style>
  <w:style w:type="paragraph" w:styleId="EnvelopeAddress">
    <w:name w:val="envelope address"/>
    <w:basedOn w:val="Normal"/>
    <w:uiPriority w:val="99"/>
    <w:semiHidden/>
    <w:unhideWhenUsed/>
    <w:rsid w:val="0003148D"/>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HTMLAddress">
    <w:name w:val="HTML Address"/>
    <w:basedOn w:val="Normal"/>
    <w:link w:val="HTMLAddressChar"/>
    <w:uiPriority w:val="99"/>
    <w:semiHidden/>
    <w:unhideWhenUsed/>
    <w:rsid w:val="0003148D"/>
    <w:pPr>
      <w:spacing w:line="240" w:lineRule="auto"/>
    </w:pPr>
    <w:rPr>
      <w:i/>
      <w:iCs/>
    </w:rPr>
  </w:style>
  <w:style w:type="character" w:customStyle="1" w:styleId="HTMLAddressChar">
    <w:name w:val="HTML Address Char"/>
    <w:basedOn w:val="DefaultParagraphFont"/>
    <w:link w:val="HTMLAddress"/>
    <w:uiPriority w:val="99"/>
    <w:semiHidden/>
    <w:rsid w:val="0003148D"/>
    <w:rPr>
      <w:i/>
      <w:iCs/>
    </w:rPr>
  </w:style>
  <w:style w:type="paragraph" w:styleId="EnvelopeReturn">
    <w:name w:val="envelope return"/>
    <w:basedOn w:val="Normal"/>
    <w:uiPriority w:val="99"/>
    <w:semiHidden/>
    <w:unhideWhenUsed/>
    <w:rsid w:val="0003148D"/>
    <w:pPr>
      <w:spacing w:line="240" w:lineRule="auto"/>
    </w:pPr>
    <w:rPr>
      <w:rFonts w:asciiTheme="majorHAnsi" w:eastAsiaTheme="majorEastAsia" w:hAnsiTheme="majorHAnsi" w:cstheme="majorBidi"/>
    </w:rPr>
  </w:style>
  <w:style w:type="paragraph" w:styleId="MessageHeader">
    <w:name w:val="Message Header"/>
    <w:basedOn w:val="Normal"/>
    <w:link w:val="MessageHeaderChar"/>
    <w:uiPriority w:val="99"/>
    <w:semiHidden/>
    <w:unhideWhenUsed/>
    <w:rsid w:val="0003148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3148D"/>
    <w:rPr>
      <w:rFonts w:asciiTheme="majorHAnsi" w:eastAsiaTheme="majorEastAsia" w:hAnsiTheme="majorHAnsi" w:cstheme="majorBidi"/>
      <w:sz w:val="24"/>
      <w:szCs w:val="24"/>
      <w:shd w:val="pct20" w:color="auto" w:fill="auto"/>
    </w:rPr>
  </w:style>
  <w:style w:type="paragraph" w:styleId="NoteHeading">
    <w:name w:val="Note Heading"/>
    <w:basedOn w:val="Normal"/>
    <w:next w:val="Normal"/>
    <w:link w:val="NoteHeadingChar"/>
    <w:uiPriority w:val="99"/>
    <w:semiHidden/>
    <w:unhideWhenUsed/>
    <w:rsid w:val="0003148D"/>
    <w:pPr>
      <w:spacing w:line="240" w:lineRule="auto"/>
    </w:pPr>
  </w:style>
  <w:style w:type="character" w:customStyle="1" w:styleId="NoteHeadingChar">
    <w:name w:val="Note Heading Char"/>
    <w:basedOn w:val="DefaultParagraphFont"/>
    <w:link w:val="NoteHeading"/>
    <w:uiPriority w:val="99"/>
    <w:semiHidden/>
    <w:rsid w:val="0003148D"/>
  </w:style>
  <w:style w:type="paragraph" w:styleId="DocumentMap">
    <w:name w:val="Document Map"/>
    <w:basedOn w:val="Normal"/>
    <w:link w:val="DocumentMapChar"/>
    <w:uiPriority w:val="99"/>
    <w:semiHidden/>
    <w:unhideWhenUsed/>
    <w:rsid w:val="0003148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3148D"/>
    <w:rPr>
      <w:rFonts w:ascii="Tahoma" w:hAnsi="Tahoma" w:cs="Tahoma"/>
      <w:sz w:val="16"/>
      <w:szCs w:val="16"/>
    </w:rPr>
  </w:style>
  <w:style w:type="paragraph" w:styleId="NormalWeb">
    <w:name w:val="Normal (Web)"/>
    <w:basedOn w:val="Normal"/>
    <w:uiPriority w:val="99"/>
    <w:semiHidden/>
    <w:unhideWhenUsed/>
    <w:rsid w:val="0003148D"/>
    <w:rPr>
      <w:sz w:val="24"/>
      <w:szCs w:val="24"/>
    </w:rPr>
  </w:style>
  <w:style w:type="paragraph" w:styleId="ListNumber">
    <w:name w:val="List Number"/>
    <w:basedOn w:val="Normal"/>
    <w:uiPriority w:val="99"/>
    <w:semiHidden/>
    <w:unhideWhenUsed/>
    <w:rsid w:val="0003148D"/>
    <w:pPr>
      <w:numPr>
        <w:numId w:val="2"/>
      </w:numPr>
      <w:contextualSpacing/>
    </w:pPr>
  </w:style>
  <w:style w:type="paragraph" w:styleId="ListNumber2">
    <w:name w:val="List Number 2"/>
    <w:basedOn w:val="Normal"/>
    <w:uiPriority w:val="99"/>
    <w:semiHidden/>
    <w:unhideWhenUsed/>
    <w:rsid w:val="0003148D"/>
    <w:pPr>
      <w:numPr>
        <w:numId w:val="3"/>
      </w:numPr>
      <w:contextualSpacing/>
    </w:pPr>
  </w:style>
  <w:style w:type="paragraph" w:styleId="ListNumber3">
    <w:name w:val="List Number 3"/>
    <w:basedOn w:val="Normal"/>
    <w:uiPriority w:val="99"/>
    <w:semiHidden/>
    <w:unhideWhenUsed/>
    <w:rsid w:val="0003148D"/>
    <w:pPr>
      <w:numPr>
        <w:numId w:val="4"/>
      </w:numPr>
      <w:contextualSpacing/>
    </w:pPr>
  </w:style>
  <w:style w:type="paragraph" w:styleId="ListNumber4">
    <w:name w:val="List Number 4"/>
    <w:basedOn w:val="Normal"/>
    <w:uiPriority w:val="99"/>
    <w:semiHidden/>
    <w:unhideWhenUsed/>
    <w:rsid w:val="0003148D"/>
    <w:pPr>
      <w:numPr>
        <w:numId w:val="5"/>
      </w:numPr>
      <w:contextualSpacing/>
    </w:pPr>
  </w:style>
  <w:style w:type="paragraph" w:styleId="ListNumber5">
    <w:name w:val="List Number 5"/>
    <w:basedOn w:val="Normal"/>
    <w:uiPriority w:val="99"/>
    <w:semiHidden/>
    <w:unhideWhenUsed/>
    <w:rsid w:val="0003148D"/>
    <w:pPr>
      <w:numPr>
        <w:numId w:val="6"/>
      </w:numPr>
      <w:contextualSpacing/>
    </w:pPr>
  </w:style>
  <w:style w:type="paragraph" w:styleId="HTMLPreformatted">
    <w:name w:val="HTML Preformatted"/>
    <w:basedOn w:val="Normal"/>
    <w:link w:val="HTMLPreformattedChar"/>
    <w:uiPriority w:val="99"/>
    <w:semiHidden/>
    <w:unhideWhenUsed/>
    <w:rsid w:val="0003148D"/>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03148D"/>
    <w:rPr>
      <w:rFonts w:ascii="Consolas" w:hAnsi="Consolas" w:cs="Consolas"/>
      <w:sz w:val="20"/>
      <w:szCs w:val="20"/>
    </w:rPr>
  </w:style>
  <w:style w:type="paragraph" w:styleId="BodyTextFirstIndent">
    <w:name w:val="Body Text First Indent"/>
    <w:basedOn w:val="BodyText"/>
    <w:link w:val="BodyTextFirstIndentChar"/>
    <w:uiPriority w:val="99"/>
    <w:semiHidden/>
    <w:unhideWhenUsed/>
    <w:rsid w:val="0003148D"/>
    <w:pPr>
      <w:spacing w:after="200"/>
      <w:ind w:firstLine="360"/>
    </w:pPr>
  </w:style>
  <w:style w:type="character" w:customStyle="1" w:styleId="BodyTextFirstIndentChar">
    <w:name w:val="Body Text First Indent Char"/>
    <w:basedOn w:val="BodyTextChar"/>
    <w:link w:val="BodyTextFirstIndent"/>
    <w:uiPriority w:val="99"/>
    <w:semiHidden/>
    <w:rsid w:val="0003148D"/>
  </w:style>
  <w:style w:type="paragraph" w:styleId="BodyTextIndent">
    <w:name w:val="Body Text Indent"/>
    <w:basedOn w:val="Normal"/>
    <w:link w:val="BodyTextIndentChar"/>
    <w:uiPriority w:val="99"/>
    <w:semiHidden/>
    <w:unhideWhenUsed/>
    <w:rsid w:val="0003148D"/>
    <w:pPr>
      <w:spacing w:after="120"/>
      <w:ind w:left="283"/>
    </w:pPr>
  </w:style>
  <w:style w:type="character" w:customStyle="1" w:styleId="BodyTextIndentChar">
    <w:name w:val="Body Text Indent Char"/>
    <w:basedOn w:val="DefaultParagraphFont"/>
    <w:link w:val="BodyTextIndent"/>
    <w:uiPriority w:val="99"/>
    <w:semiHidden/>
    <w:rsid w:val="0003148D"/>
  </w:style>
  <w:style w:type="paragraph" w:styleId="BodyTextFirstIndent2">
    <w:name w:val="Body Text First Indent 2"/>
    <w:basedOn w:val="BodyTextIndent"/>
    <w:link w:val="BodyTextFirstIndent2Char"/>
    <w:uiPriority w:val="99"/>
    <w:semiHidden/>
    <w:unhideWhenUsed/>
    <w:rsid w:val="0003148D"/>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03148D"/>
  </w:style>
  <w:style w:type="paragraph" w:styleId="ListBullet">
    <w:name w:val="List Bullet"/>
    <w:basedOn w:val="Normal"/>
    <w:uiPriority w:val="99"/>
    <w:semiHidden/>
    <w:unhideWhenUsed/>
    <w:rsid w:val="0003148D"/>
    <w:pPr>
      <w:numPr>
        <w:numId w:val="7"/>
      </w:numPr>
      <w:contextualSpacing/>
    </w:pPr>
  </w:style>
  <w:style w:type="paragraph" w:styleId="ListBullet2">
    <w:name w:val="List Bullet 2"/>
    <w:basedOn w:val="Normal"/>
    <w:uiPriority w:val="99"/>
    <w:semiHidden/>
    <w:unhideWhenUsed/>
    <w:rsid w:val="0003148D"/>
    <w:pPr>
      <w:numPr>
        <w:numId w:val="8"/>
      </w:numPr>
      <w:contextualSpacing/>
    </w:pPr>
  </w:style>
  <w:style w:type="paragraph" w:styleId="ListBullet3">
    <w:name w:val="List Bullet 3"/>
    <w:basedOn w:val="Normal"/>
    <w:uiPriority w:val="99"/>
    <w:semiHidden/>
    <w:unhideWhenUsed/>
    <w:rsid w:val="0003148D"/>
    <w:pPr>
      <w:numPr>
        <w:numId w:val="9"/>
      </w:numPr>
      <w:contextualSpacing/>
    </w:pPr>
  </w:style>
  <w:style w:type="paragraph" w:styleId="ListBullet4">
    <w:name w:val="List Bullet 4"/>
    <w:basedOn w:val="Normal"/>
    <w:uiPriority w:val="99"/>
    <w:semiHidden/>
    <w:unhideWhenUsed/>
    <w:rsid w:val="0003148D"/>
    <w:pPr>
      <w:numPr>
        <w:numId w:val="10"/>
      </w:numPr>
      <w:contextualSpacing/>
    </w:pPr>
  </w:style>
  <w:style w:type="paragraph" w:styleId="ListBullet5">
    <w:name w:val="List Bullet 5"/>
    <w:basedOn w:val="Normal"/>
    <w:uiPriority w:val="99"/>
    <w:semiHidden/>
    <w:unhideWhenUsed/>
    <w:rsid w:val="0003148D"/>
    <w:pPr>
      <w:numPr>
        <w:numId w:val="11"/>
      </w:numPr>
      <w:contextualSpacing/>
    </w:pPr>
  </w:style>
  <w:style w:type="paragraph" w:styleId="BodyTextIndent2">
    <w:name w:val="Body Text Indent 2"/>
    <w:basedOn w:val="Normal"/>
    <w:link w:val="BodyTextIndent2Char"/>
    <w:uiPriority w:val="99"/>
    <w:semiHidden/>
    <w:unhideWhenUsed/>
    <w:rsid w:val="0003148D"/>
    <w:pPr>
      <w:spacing w:after="120" w:line="480" w:lineRule="auto"/>
      <w:ind w:left="283"/>
    </w:pPr>
  </w:style>
  <w:style w:type="character" w:customStyle="1" w:styleId="BodyTextIndent2Char">
    <w:name w:val="Body Text Indent 2 Char"/>
    <w:basedOn w:val="DefaultParagraphFont"/>
    <w:link w:val="BodyTextIndent2"/>
    <w:uiPriority w:val="99"/>
    <w:semiHidden/>
    <w:rsid w:val="0003148D"/>
  </w:style>
  <w:style w:type="paragraph" w:styleId="BodyTextIndent3">
    <w:name w:val="Body Text Indent 3"/>
    <w:basedOn w:val="Normal"/>
    <w:link w:val="BodyTextIndent3Char"/>
    <w:uiPriority w:val="99"/>
    <w:semiHidden/>
    <w:unhideWhenUsed/>
    <w:rsid w:val="0003148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3148D"/>
    <w:rPr>
      <w:sz w:val="16"/>
      <w:szCs w:val="16"/>
    </w:rPr>
  </w:style>
  <w:style w:type="paragraph" w:styleId="NormalIndent">
    <w:name w:val="Normal Indent"/>
    <w:basedOn w:val="Normal"/>
    <w:uiPriority w:val="99"/>
    <w:semiHidden/>
    <w:unhideWhenUsed/>
    <w:rsid w:val="0003148D"/>
    <w:pPr>
      <w:ind w:left="720"/>
    </w:pPr>
  </w:style>
  <w:style w:type="paragraph" w:styleId="CommentText">
    <w:name w:val="annotation text"/>
    <w:basedOn w:val="Normal"/>
    <w:link w:val="CommentTextChar"/>
    <w:uiPriority w:val="99"/>
    <w:unhideWhenUsed/>
    <w:rsid w:val="0003148D"/>
    <w:pPr>
      <w:spacing w:line="240" w:lineRule="auto"/>
    </w:pPr>
  </w:style>
  <w:style w:type="character" w:customStyle="1" w:styleId="CommentTextChar">
    <w:name w:val="Comment Text Char"/>
    <w:basedOn w:val="DefaultParagraphFont"/>
    <w:link w:val="CommentText"/>
    <w:uiPriority w:val="99"/>
    <w:rsid w:val="0003148D"/>
    <w:rPr>
      <w:sz w:val="20"/>
      <w:szCs w:val="20"/>
    </w:rPr>
  </w:style>
  <w:style w:type="paragraph" w:styleId="CommentSubject">
    <w:name w:val="annotation subject"/>
    <w:basedOn w:val="CommentText"/>
    <w:next w:val="CommentText"/>
    <w:link w:val="CommentSubjectChar"/>
    <w:uiPriority w:val="99"/>
    <w:semiHidden/>
    <w:unhideWhenUsed/>
    <w:rsid w:val="0003148D"/>
    <w:rPr>
      <w:b/>
      <w:bCs/>
    </w:rPr>
  </w:style>
  <w:style w:type="character" w:customStyle="1" w:styleId="CommentSubjectChar">
    <w:name w:val="Comment Subject Char"/>
    <w:basedOn w:val="CommentTextChar"/>
    <w:link w:val="CommentSubject"/>
    <w:uiPriority w:val="99"/>
    <w:semiHidden/>
    <w:rsid w:val="0003148D"/>
    <w:rPr>
      <w:b/>
      <w:bCs/>
      <w:sz w:val="20"/>
      <w:szCs w:val="20"/>
    </w:rPr>
  </w:style>
  <w:style w:type="paragraph" w:styleId="TOC1">
    <w:name w:val="toc 1"/>
    <w:basedOn w:val="Normal"/>
    <w:next w:val="Normal"/>
    <w:autoRedefine/>
    <w:uiPriority w:val="39"/>
    <w:semiHidden/>
    <w:unhideWhenUsed/>
    <w:rsid w:val="0003148D"/>
    <w:pPr>
      <w:spacing w:after="100"/>
    </w:pPr>
  </w:style>
  <w:style w:type="paragraph" w:styleId="TOC2">
    <w:name w:val="toc 2"/>
    <w:basedOn w:val="Normal"/>
    <w:next w:val="Normal"/>
    <w:autoRedefine/>
    <w:uiPriority w:val="39"/>
    <w:semiHidden/>
    <w:unhideWhenUsed/>
    <w:rsid w:val="0003148D"/>
    <w:pPr>
      <w:spacing w:after="100"/>
      <w:ind w:left="220"/>
    </w:pPr>
  </w:style>
  <w:style w:type="paragraph" w:styleId="TOC3">
    <w:name w:val="toc 3"/>
    <w:basedOn w:val="Normal"/>
    <w:next w:val="Normal"/>
    <w:autoRedefine/>
    <w:uiPriority w:val="39"/>
    <w:semiHidden/>
    <w:unhideWhenUsed/>
    <w:rsid w:val="0003148D"/>
    <w:pPr>
      <w:spacing w:after="100"/>
      <w:ind w:left="440"/>
    </w:pPr>
  </w:style>
  <w:style w:type="paragraph" w:styleId="TOC4">
    <w:name w:val="toc 4"/>
    <w:basedOn w:val="Normal"/>
    <w:next w:val="Normal"/>
    <w:autoRedefine/>
    <w:uiPriority w:val="39"/>
    <w:semiHidden/>
    <w:unhideWhenUsed/>
    <w:rsid w:val="0003148D"/>
    <w:pPr>
      <w:spacing w:after="100"/>
      <w:ind w:left="660"/>
    </w:pPr>
  </w:style>
  <w:style w:type="paragraph" w:styleId="TOC5">
    <w:name w:val="toc 5"/>
    <w:basedOn w:val="Normal"/>
    <w:next w:val="Normal"/>
    <w:autoRedefine/>
    <w:uiPriority w:val="39"/>
    <w:semiHidden/>
    <w:unhideWhenUsed/>
    <w:rsid w:val="0003148D"/>
    <w:pPr>
      <w:spacing w:after="100"/>
      <w:ind w:left="880"/>
    </w:pPr>
  </w:style>
  <w:style w:type="paragraph" w:styleId="TOC6">
    <w:name w:val="toc 6"/>
    <w:basedOn w:val="Normal"/>
    <w:next w:val="Normal"/>
    <w:autoRedefine/>
    <w:uiPriority w:val="39"/>
    <w:semiHidden/>
    <w:unhideWhenUsed/>
    <w:rsid w:val="0003148D"/>
    <w:pPr>
      <w:spacing w:after="100"/>
      <w:ind w:left="1100"/>
    </w:pPr>
  </w:style>
  <w:style w:type="paragraph" w:styleId="TOC7">
    <w:name w:val="toc 7"/>
    <w:basedOn w:val="Normal"/>
    <w:next w:val="Normal"/>
    <w:autoRedefine/>
    <w:uiPriority w:val="39"/>
    <w:semiHidden/>
    <w:unhideWhenUsed/>
    <w:rsid w:val="0003148D"/>
    <w:pPr>
      <w:spacing w:after="100"/>
      <w:ind w:left="1320"/>
    </w:pPr>
  </w:style>
  <w:style w:type="paragraph" w:styleId="TOC8">
    <w:name w:val="toc 8"/>
    <w:basedOn w:val="Normal"/>
    <w:next w:val="Normal"/>
    <w:autoRedefine/>
    <w:uiPriority w:val="39"/>
    <w:semiHidden/>
    <w:unhideWhenUsed/>
    <w:rsid w:val="0003148D"/>
    <w:pPr>
      <w:spacing w:after="100"/>
      <w:ind w:left="1540"/>
    </w:pPr>
  </w:style>
  <w:style w:type="paragraph" w:styleId="TOC9">
    <w:name w:val="toc 9"/>
    <w:basedOn w:val="Normal"/>
    <w:next w:val="Normal"/>
    <w:autoRedefine/>
    <w:uiPriority w:val="39"/>
    <w:semiHidden/>
    <w:unhideWhenUsed/>
    <w:rsid w:val="0003148D"/>
    <w:pPr>
      <w:spacing w:after="100"/>
      <w:ind w:left="1760"/>
    </w:pPr>
  </w:style>
  <w:style w:type="paragraph" w:styleId="BlockText">
    <w:name w:val="Block Text"/>
    <w:basedOn w:val="Normal"/>
    <w:uiPriority w:val="99"/>
    <w:semiHidden/>
    <w:unhideWhenUsed/>
    <w:rsid w:val="0003148D"/>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MacroText">
    <w:name w:val="macro"/>
    <w:link w:val="MacroTextChar"/>
    <w:uiPriority w:val="99"/>
    <w:semiHidden/>
    <w:unhideWhenUsed/>
    <w:rsid w:val="0003148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03148D"/>
    <w:rPr>
      <w:rFonts w:ascii="Consolas" w:hAnsi="Consolas" w:cs="Consolas"/>
      <w:sz w:val="20"/>
      <w:szCs w:val="20"/>
    </w:rPr>
  </w:style>
  <w:style w:type="paragraph" w:styleId="PlainText">
    <w:name w:val="Plain Text"/>
    <w:basedOn w:val="Normal"/>
    <w:link w:val="PlainTextChar"/>
    <w:uiPriority w:val="99"/>
    <w:semiHidden/>
    <w:unhideWhenUsed/>
    <w:rsid w:val="0003148D"/>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03148D"/>
    <w:rPr>
      <w:rFonts w:ascii="Consolas" w:hAnsi="Consolas" w:cs="Consolas"/>
      <w:sz w:val="21"/>
      <w:szCs w:val="21"/>
    </w:rPr>
  </w:style>
  <w:style w:type="paragraph" w:styleId="FootnoteText">
    <w:name w:val="footnote text"/>
    <w:basedOn w:val="Normal"/>
    <w:link w:val="FootnoteTextChar"/>
    <w:uiPriority w:val="99"/>
    <w:semiHidden/>
    <w:unhideWhenUsed/>
    <w:rsid w:val="0003148D"/>
    <w:pPr>
      <w:spacing w:line="240" w:lineRule="auto"/>
    </w:pPr>
  </w:style>
  <w:style w:type="character" w:customStyle="1" w:styleId="FootnoteTextChar">
    <w:name w:val="Footnote Text Char"/>
    <w:basedOn w:val="DefaultParagraphFont"/>
    <w:link w:val="FootnoteText"/>
    <w:uiPriority w:val="99"/>
    <w:semiHidden/>
    <w:rsid w:val="0003148D"/>
    <w:rPr>
      <w:sz w:val="20"/>
      <w:szCs w:val="20"/>
    </w:rPr>
  </w:style>
  <w:style w:type="paragraph" w:styleId="EndnoteText">
    <w:name w:val="endnote text"/>
    <w:basedOn w:val="Normal"/>
    <w:link w:val="EndnoteTextChar"/>
    <w:uiPriority w:val="99"/>
    <w:semiHidden/>
    <w:unhideWhenUsed/>
    <w:rsid w:val="0003148D"/>
    <w:pPr>
      <w:spacing w:line="240" w:lineRule="auto"/>
    </w:pPr>
  </w:style>
  <w:style w:type="character" w:customStyle="1" w:styleId="EndnoteTextChar">
    <w:name w:val="Endnote Text Char"/>
    <w:basedOn w:val="DefaultParagraphFont"/>
    <w:link w:val="EndnoteText"/>
    <w:uiPriority w:val="99"/>
    <w:semiHidden/>
    <w:rsid w:val="0003148D"/>
    <w:rPr>
      <w:sz w:val="20"/>
      <w:szCs w:val="20"/>
    </w:rPr>
  </w:style>
  <w:style w:type="character" w:customStyle="1" w:styleId="Heading1Char">
    <w:name w:val="Heading 1 Char"/>
    <w:basedOn w:val="DefaultParagraphFont"/>
    <w:link w:val="Heading1"/>
    <w:uiPriority w:val="9"/>
    <w:rsid w:val="004F5E36"/>
    <w:rPr>
      <w:rFonts w:ascii="Arial" w:eastAsia="Times New Roman" w:hAnsi="Arial" w:cs="Times New Roman"/>
      <w:b/>
      <w:sz w:val="20"/>
      <w:szCs w:val="20"/>
      <w:lang w:val="en-GB"/>
    </w:rPr>
  </w:style>
  <w:style w:type="character" w:customStyle="1" w:styleId="Heading2Char">
    <w:name w:val="Heading 2 Char"/>
    <w:basedOn w:val="DefaultParagraphFont"/>
    <w:link w:val="Heading2"/>
    <w:uiPriority w:val="9"/>
    <w:semiHidden/>
    <w:rsid w:val="0003148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03148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3148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3148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3148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3148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3148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03148D"/>
    <w:rPr>
      <w:rFonts w:asciiTheme="majorHAnsi" w:eastAsiaTheme="majorEastAsia" w:hAnsiTheme="majorHAnsi" w:cstheme="majorBidi"/>
      <w:i/>
      <w:iCs/>
      <w:color w:val="404040" w:themeColor="text1" w:themeTint="BF"/>
      <w:sz w:val="20"/>
      <w:szCs w:val="20"/>
    </w:rPr>
  </w:style>
  <w:style w:type="paragraph" w:styleId="IndexHeading">
    <w:name w:val="index heading"/>
    <w:basedOn w:val="Normal"/>
    <w:next w:val="Index1"/>
    <w:uiPriority w:val="99"/>
    <w:semiHidden/>
    <w:unhideWhenUsed/>
    <w:rsid w:val="0003148D"/>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03148D"/>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03148D"/>
    <w:pPr>
      <w:outlineLvl w:val="9"/>
    </w:pPr>
  </w:style>
  <w:style w:type="paragraph" w:customStyle="1" w:styleId="CETemail">
    <w:name w:val="CET email"/>
    <w:next w:val="CETBodytext"/>
    <w:rsid w:val="009E788A"/>
    <w:pPr>
      <w:spacing w:after="240"/>
    </w:pPr>
    <w:rPr>
      <w:rFonts w:ascii="Arial" w:eastAsia="Times New Roman" w:hAnsi="Arial" w:cs="Times New Roman"/>
      <w:noProof/>
      <w:sz w:val="16"/>
      <w:szCs w:val="20"/>
      <w:lang w:val="en-GB"/>
    </w:rPr>
  </w:style>
  <w:style w:type="character" w:customStyle="1" w:styleId="CETAddressCarattere">
    <w:name w:val="CET Address Carattere"/>
    <w:basedOn w:val="DefaultParagraphFont"/>
    <w:link w:val="CETAddress"/>
    <w:rsid w:val="009E788A"/>
    <w:rPr>
      <w:rFonts w:ascii="Arial" w:eastAsia="Times New Roman" w:hAnsi="Arial" w:cs="Times New Roman"/>
      <w:noProof/>
      <w:sz w:val="16"/>
      <w:szCs w:val="20"/>
      <w:lang w:val="en-GB"/>
    </w:rPr>
  </w:style>
  <w:style w:type="paragraph" w:customStyle="1" w:styleId="CETBodytextBold">
    <w:name w:val="CET Body text (Bold)"/>
    <w:basedOn w:val="CETBodytext"/>
    <w:rsid w:val="00901EB6"/>
    <w:rPr>
      <w:b/>
    </w:rPr>
  </w:style>
  <w:style w:type="paragraph" w:customStyle="1" w:styleId="CETnumberingbullets">
    <w:name w:val="CET numbering (bullets)"/>
    <w:rsid w:val="008D433B"/>
    <w:pPr>
      <w:numPr>
        <w:numId w:val="13"/>
      </w:numPr>
      <w:spacing w:after="0" w:line="264" w:lineRule="auto"/>
    </w:pPr>
    <w:rPr>
      <w:rFonts w:ascii="Arial" w:eastAsia="Times New Roman" w:hAnsi="Arial" w:cs="Times New Roman"/>
      <w:sz w:val="18"/>
      <w:szCs w:val="20"/>
      <w:lang w:val="en-GB"/>
    </w:rPr>
  </w:style>
  <w:style w:type="paragraph" w:customStyle="1" w:styleId="CETnumbering1">
    <w:name w:val="CET numbering (1"/>
    <w:aliases w:val="2..)"/>
    <w:rsid w:val="00B57B36"/>
    <w:pPr>
      <w:numPr>
        <w:numId w:val="14"/>
      </w:numPr>
      <w:spacing w:after="0" w:line="264" w:lineRule="auto"/>
      <w:ind w:left="340" w:hanging="227"/>
    </w:pPr>
    <w:rPr>
      <w:rFonts w:ascii="Arial" w:eastAsia="Times New Roman" w:hAnsi="Arial" w:cs="Times New Roman"/>
      <w:sz w:val="18"/>
      <w:szCs w:val="20"/>
      <w:lang w:val="en-US"/>
    </w:rPr>
  </w:style>
  <w:style w:type="paragraph" w:customStyle="1" w:styleId="CETnumberinga">
    <w:name w:val="CET numbering (a"/>
    <w:aliases w:val="b,..)"/>
    <w:rsid w:val="00B57B36"/>
    <w:pPr>
      <w:numPr>
        <w:numId w:val="15"/>
      </w:numPr>
      <w:spacing w:after="0" w:line="264" w:lineRule="auto"/>
    </w:pPr>
    <w:rPr>
      <w:rFonts w:ascii="Arial" w:eastAsia="Times New Roman" w:hAnsi="Arial" w:cs="Times New Roman"/>
      <w:sz w:val="18"/>
      <w:szCs w:val="20"/>
      <w:lang w:val="en-GB"/>
    </w:rPr>
  </w:style>
  <w:style w:type="paragraph" w:styleId="Header">
    <w:name w:val="header"/>
    <w:basedOn w:val="Normal"/>
    <w:link w:val="HeaderChar"/>
    <w:uiPriority w:val="99"/>
    <w:unhideWhenUsed/>
    <w:rsid w:val="005278B7"/>
    <w:pPr>
      <w:tabs>
        <w:tab w:val="clear" w:pos="7100"/>
        <w:tab w:val="center" w:pos="4819"/>
        <w:tab w:val="right" w:pos="9638"/>
      </w:tabs>
      <w:spacing w:line="240" w:lineRule="auto"/>
    </w:pPr>
  </w:style>
  <w:style w:type="character" w:customStyle="1" w:styleId="HeaderChar">
    <w:name w:val="Header Char"/>
    <w:basedOn w:val="DefaultParagraphFont"/>
    <w:link w:val="Header"/>
    <w:uiPriority w:val="99"/>
    <w:rsid w:val="005278B7"/>
    <w:rPr>
      <w:rFonts w:ascii="Arial" w:eastAsia="Times New Roman" w:hAnsi="Arial" w:cs="Times New Roman"/>
      <w:sz w:val="18"/>
      <w:szCs w:val="20"/>
      <w:lang w:val="en-GB"/>
    </w:rPr>
  </w:style>
  <w:style w:type="paragraph" w:styleId="Footer">
    <w:name w:val="footer"/>
    <w:basedOn w:val="Normal"/>
    <w:link w:val="FooterChar"/>
    <w:uiPriority w:val="99"/>
    <w:unhideWhenUsed/>
    <w:rsid w:val="005278B7"/>
    <w:pPr>
      <w:tabs>
        <w:tab w:val="clear" w:pos="7100"/>
        <w:tab w:val="center" w:pos="4819"/>
        <w:tab w:val="right" w:pos="9638"/>
      </w:tabs>
      <w:spacing w:line="240" w:lineRule="auto"/>
    </w:pPr>
  </w:style>
  <w:style w:type="character" w:customStyle="1" w:styleId="FooterChar">
    <w:name w:val="Footer Char"/>
    <w:basedOn w:val="DefaultParagraphFont"/>
    <w:link w:val="Footer"/>
    <w:uiPriority w:val="99"/>
    <w:rsid w:val="005278B7"/>
    <w:rPr>
      <w:rFonts w:ascii="Arial" w:eastAsia="Times New Roman" w:hAnsi="Arial" w:cs="Times New Roman"/>
      <w:sz w:val="18"/>
      <w:szCs w:val="20"/>
      <w:lang w:val="en-GB"/>
    </w:rPr>
  </w:style>
  <w:style w:type="table" w:styleId="TableGrid">
    <w:name w:val="Table Grid"/>
    <w:basedOn w:val="TableNormal"/>
    <w:uiPriority w:val="59"/>
    <w:rsid w:val="00660E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04C62"/>
    <w:rPr>
      <w:color w:val="0000FF" w:themeColor="hyperlink"/>
      <w:u w:val="single"/>
    </w:rPr>
  </w:style>
  <w:style w:type="character" w:customStyle="1" w:styleId="eudoraheader">
    <w:name w:val="eudoraheader"/>
    <w:basedOn w:val="DefaultParagraphFont"/>
    <w:rsid w:val="00904C62"/>
  </w:style>
  <w:style w:type="paragraph" w:customStyle="1" w:styleId="CETListbullets">
    <w:name w:val="CET List bullets"/>
    <w:qFormat/>
    <w:rsid w:val="004577FE"/>
    <w:pPr>
      <w:spacing w:after="0" w:line="264" w:lineRule="auto"/>
      <w:ind w:left="340" w:hanging="227"/>
      <w:jc w:val="both"/>
    </w:pPr>
    <w:rPr>
      <w:rFonts w:ascii="Arial" w:eastAsia="Times New Roman" w:hAnsi="Arial" w:cs="Times New Roman"/>
      <w:sz w:val="18"/>
      <w:szCs w:val="20"/>
      <w:lang w:val="en-GB"/>
    </w:rPr>
  </w:style>
  <w:style w:type="paragraph" w:customStyle="1" w:styleId="CETReferencetext">
    <w:name w:val="CET Reference text"/>
    <w:qFormat/>
    <w:rsid w:val="00600535"/>
    <w:pPr>
      <w:spacing w:after="0" w:line="264" w:lineRule="auto"/>
      <w:ind w:left="284" w:hanging="284"/>
      <w:jc w:val="both"/>
    </w:pPr>
    <w:rPr>
      <w:rFonts w:ascii="Arial" w:eastAsia="Times New Roman" w:hAnsi="Arial" w:cs="Times New Roman"/>
      <w:sz w:val="18"/>
      <w:szCs w:val="20"/>
      <w:lang w:val="en-GB"/>
    </w:rPr>
  </w:style>
  <w:style w:type="paragraph" w:customStyle="1" w:styleId="CETTabletitle">
    <w:name w:val="CET Table title"/>
    <w:qFormat/>
    <w:rsid w:val="00600535"/>
    <w:pPr>
      <w:keepNext/>
      <w:spacing w:before="240" w:after="80" w:line="240" w:lineRule="exact"/>
    </w:pPr>
    <w:rPr>
      <w:rFonts w:ascii="Arial" w:eastAsia="Times New Roman" w:hAnsi="Arial" w:cs="Times New Roman"/>
      <w:i/>
      <w:sz w:val="18"/>
      <w:szCs w:val="20"/>
      <w:lang w:val="en-GB"/>
    </w:rPr>
  </w:style>
  <w:style w:type="paragraph" w:customStyle="1" w:styleId="CETAcknowledgementstitle">
    <w:name w:val="CET Acknowledgements title"/>
    <w:next w:val="CETBodytext"/>
    <w:qFormat/>
    <w:rsid w:val="00600535"/>
    <w:pPr>
      <w:spacing w:before="200" w:after="120"/>
    </w:pPr>
    <w:rPr>
      <w:rFonts w:ascii="Arial" w:eastAsia="Times New Roman" w:hAnsi="Arial" w:cs="Times New Roman"/>
      <w:b/>
      <w:sz w:val="18"/>
      <w:szCs w:val="20"/>
      <w:lang w:val="en-GB"/>
    </w:rPr>
  </w:style>
  <w:style w:type="paragraph" w:customStyle="1" w:styleId="CETEquation">
    <w:name w:val="CET Equation"/>
    <w:basedOn w:val="CETBodytext"/>
    <w:next w:val="CETBodytext"/>
    <w:qFormat/>
    <w:rsid w:val="00600535"/>
    <w:pPr>
      <w:spacing w:before="120" w:after="120"/>
      <w:jc w:val="left"/>
    </w:pPr>
    <w:rPr>
      <w:lang w:val="en-GB"/>
    </w:rPr>
  </w:style>
  <w:style w:type="paragraph" w:customStyle="1" w:styleId="CETHeadingxx">
    <w:name w:val="CET Headingxx"/>
    <w:basedOn w:val="CETheadingx"/>
    <w:link w:val="CETHeadingxxChar"/>
    <w:qFormat/>
    <w:rsid w:val="000F787B"/>
  </w:style>
  <w:style w:type="character" w:customStyle="1" w:styleId="CETHeadingxxChar">
    <w:name w:val="CET Headingxx Char"/>
    <w:basedOn w:val="CETheadingxCarattere"/>
    <w:link w:val="CETHeadingxx"/>
    <w:rsid w:val="000F787B"/>
    <w:rPr>
      <w:rFonts w:ascii="Arial" w:eastAsia="Times New Roman" w:hAnsi="Arial" w:cs="Times New Roman"/>
      <w:b w:val="0"/>
      <w:bCs/>
      <w:sz w:val="18"/>
      <w:szCs w:val="20"/>
      <w:lang w:val="en-US" w:eastAsia="en-CA"/>
    </w:rPr>
  </w:style>
  <w:style w:type="paragraph" w:styleId="ListParagraph">
    <w:name w:val="List Paragraph"/>
    <w:basedOn w:val="Normal"/>
    <w:link w:val="ListParagraphChar"/>
    <w:uiPriority w:val="34"/>
    <w:qFormat/>
    <w:rsid w:val="00280FAF"/>
    <w:pPr>
      <w:ind w:left="720"/>
      <w:contextualSpacing/>
    </w:pPr>
  </w:style>
  <w:style w:type="character" w:customStyle="1" w:styleId="gmail-apple-converted-space">
    <w:name w:val="gmail-apple-converted-space"/>
    <w:basedOn w:val="DefaultParagraphFont"/>
    <w:rsid w:val="00005A19"/>
  </w:style>
  <w:style w:type="paragraph" w:customStyle="1" w:styleId="EndNoteBibliographyTitle">
    <w:name w:val="EndNote Bibliography Title"/>
    <w:basedOn w:val="Normal"/>
    <w:link w:val="EndNoteBibliographyTitleChar"/>
    <w:rsid w:val="0045730F"/>
    <w:pPr>
      <w:jc w:val="center"/>
    </w:pPr>
    <w:rPr>
      <w:rFonts w:cs="Arial"/>
      <w:noProof/>
      <w:sz w:val="20"/>
      <w:lang w:val="en-US"/>
    </w:rPr>
  </w:style>
  <w:style w:type="character" w:customStyle="1" w:styleId="EndNoteBibliographyTitleChar">
    <w:name w:val="EndNote Bibliography Title Char"/>
    <w:basedOn w:val="CETBodytextCarattere"/>
    <w:link w:val="EndNoteBibliographyTitle"/>
    <w:rsid w:val="0045730F"/>
    <w:rPr>
      <w:rFonts w:ascii="Arial" w:eastAsia="Times New Roman" w:hAnsi="Arial" w:cs="Arial"/>
      <w:noProof/>
      <w:sz w:val="20"/>
      <w:szCs w:val="20"/>
      <w:lang w:val="en-US"/>
    </w:rPr>
  </w:style>
  <w:style w:type="paragraph" w:customStyle="1" w:styleId="EndNoteBibliography">
    <w:name w:val="EndNote Bibliography"/>
    <w:basedOn w:val="Normal"/>
    <w:link w:val="EndNoteBibliographyChar"/>
    <w:rsid w:val="0045730F"/>
    <w:pPr>
      <w:spacing w:line="240" w:lineRule="auto"/>
      <w:jc w:val="left"/>
    </w:pPr>
    <w:rPr>
      <w:rFonts w:cs="Arial"/>
      <w:noProof/>
      <w:sz w:val="20"/>
      <w:lang w:val="en-US"/>
    </w:rPr>
  </w:style>
  <w:style w:type="character" w:customStyle="1" w:styleId="EndNoteBibliographyChar">
    <w:name w:val="EndNote Bibliography Char"/>
    <w:basedOn w:val="CETBodytextCarattere"/>
    <w:link w:val="EndNoteBibliography"/>
    <w:rsid w:val="0045730F"/>
    <w:rPr>
      <w:rFonts w:ascii="Arial" w:eastAsia="Times New Roman" w:hAnsi="Arial" w:cs="Arial"/>
      <w:noProof/>
      <w:sz w:val="20"/>
      <w:szCs w:val="20"/>
      <w:lang w:val="en-US"/>
    </w:rPr>
  </w:style>
  <w:style w:type="character" w:customStyle="1" w:styleId="UnresolvedMention1">
    <w:name w:val="Unresolved Mention1"/>
    <w:basedOn w:val="DefaultParagraphFont"/>
    <w:uiPriority w:val="99"/>
    <w:semiHidden/>
    <w:unhideWhenUsed/>
    <w:rsid w:val="0045730F"/>
    <w:rPr>
      <w:color w:val="605E5C"/>
      <w:shd w:val="clear" w:color="auto" w:fill="E1DFDD"/>
    </w:rPr>
  </w:style>
  <w:style w:type="character" w:customStyle="1" w:styleId="selectable-text">
    <w:name w:val="selectable-text"/>
    <w:basedOn w:val="DefaultParagraphFont"/>
    <w:rsid w:val="001F4CA8"/>
  </w:style>
  <w:style w:type="paragraph" w:styleId="Revision">
    <w:name w:val="Revision"/>
    <w:hidden/>
    <w:uiPriority w:val="99"/>
    <w:semiHidden/>
    <w:rsid w:val="008F5975"/>
    <w:pPr>
      <w:spacing w:after="0" w:line="240" w:lineRule="auto"/>
    </w:pPr>
    <w:rPr>
      <w:rFonts w:ascii="Arial" w:eastAsia="Times New Roman" w:hAnsi="Arial" w:cs="Times New Roman"/>
      <w:sz w:val="18"/>
      <w:szCs w:val="20"/>
      <w:lang w:val="en-GB"/>
    </w:rPr>
  </w:style>
  <w:style w:type="character" w:customStyle="1" w:styleId="UnresolvedMention2">
    <w:name w:val="Unresolved Mention2"/>
    <w:basedOn w:val="DefaultParagraphFont"/>
    <w:uiPriority w:val="99"/>
    <w:semiHidden/>
    <w:unhideWhenUsed/>
    <w:rsid w:val="00520D5A"/>
    <w:rPr>
      <w:color w:val="605E5C"/>
      <w:shd w:val="clear" w:color="auto" w:fill="E1DFDD"/>
    </w:rPr>
  </w:style>
  <w:style w:type="character" w:customStyle="1" w:styleId="UnresolvedMention3">
    <w:name w:val="Unresolved Mention3"/>
    <w:basedOn w:val="DefaultParagraphFont"/>
    <w:uiPriority w:val="99"/>
    <w:semiHidden/>
    <w:unhideWhenUsed/>
    <w:rsid w:val="00403E74"/>
    <w:rPr>
      <w:color w:val="605E5C"/>
      <w:shd w:val="clear" w:color="auto" w:fill="E1DFDD"/>
    </w:rPr>
  </w:style>
  <w:style w:type="character" w:styleId="PlaceholderText">
    <w:name w:val="Placeholder Text"/>
    <w:basedOn w:val="DefaultParagraphFont"/>
    <w:uiPriority w:val="99"/>
    <w:semiHidden/>
    <w:rsid w:val="007A4924"/>
    <w:rPr>
      <w:color w:val="666666"/>
    </w:rPr>
  </w:style>
  <w:style w:type="character" w:customStyle="1" w:styleId="ListParagraphChar">
    <w:name w:val="List Paragraph Char"/>
    <w:basedOn w:val="DefaultParagraphFont"/>
    <w:link w:val="ListParagraph"/>
    <w:uiPriority w:val="34"/>
    <w:rsid w:val="00E04797"/>
    <w:rPr>
      <w:rFonts w:ascii="Arial" w:eastAsia="Times New Roman"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62991">
      <w:bodyDiv w:val="1"/>
      <w:marLeft w:val="0"/>
      <w:marRight w:val="0"/>
      <w:marTop w:val="0"/>
      <w:marBottom w:val="0"/>
      <w:divBdr>
        <w:top w:val="none" w:sz="0" w:space="0" w:color="auto"/>
        <w:left w:val="none" w:sz="0" w:space="0" w:color="auto"/>
        <w:bottom w:val="none" w:sz="0" w:space="0" w:color="auto"/>
        <w:right w:val="none" w:sz="0" w:space="0" w:color="auto"/>
      </w:divBdr>
    </w:div>
    <w:div w:id="30301388">
      <w:bodyDiv w:val="1"/>
      <w:marLeft w:val="0"/>
      <w:marRight w:val="0"/>
      <w:marTop w:val="0"/>
      <w:marBottom w:val="0"/>
      <w:divBdr>
        <w:top w:val="none" w:sz="0" w:space="0" w:color="auto"/>
        <w:left w:val="none" w:sz="0" w:space="0" w:color="auto"/>
        <w:bottom w:val="none" w:sz="0" w:space="0" w:color="auto"/>
        <w:right w:val="none" w:sz="0" w:space="0" w:color="auto"/>
      </w:divBdr>
    </w:div>
    <w:div w:id="77412114">
      <w:bodyDiv w:val="1"/>
      <w:marLeft w:val="0"/>
      <w:marRight w:val="0"/>
      <w:marTop w:val="0"/>
      <w:marBottom w:val="0"/>
      <w:divBdr>
        <w:top w:val="none" w:sz="0" w:space="0" w:color="auto"/>
        <w:left w:val="none" w:sz="0" w:space="0" w:color="auto"/>
        <w:bottom w:val="none" w:sz="0" w:space="0" w:color="auto"/>
        <w:right w:val="none" w:sz="0" w:space="0" w:color="auto"/>
      </w:divBdr>
    </w:div>
    <w:div w:id="347412195">
      <w:bodyDiv w:val="1"/>
      <w:marLeft w:val="0"/>
      <w:marRight w:val="0"/>
      <w:marTop w:val="0"/>
      <w:marBottom w:val="0"/>
      <w:divBdr>
        <w:top w:val="none" w:sz="0" w:space="0" w:color="auto"/>
        <w:left w:val="none" w:sz="0" w:space="0" w:color="auto"/>
        <w:bottom w:val="none" w:sz="0" w:space="0" w:color="auto"/>
        <w:right w:val="none" w:sz="0" w:space="0" w:color="auto"/>
      </w:divBdr>
    </w:div>
    <w:div w:id="366030699">
      <w:bodyDiv w:val="1"/>
      <w:marLeft w:val="0"/>
      <w:marRight w:val="0"/>
      <w:marTop w:val="0"/>
      <w:marBottom w:val="0"/>
      <w:divBdr>
        <w:top w:val="none" w:sz="0" w:space="0" w:color="auto"/>
        <w:left w:val="none" w:sz="0" w:space="0" w:color="auto"/>
        <w:bottom w:val="none" w:sz="0" w:space="0" w:color="auto"/>
        <w:right w:val="none" w:sz="0" w:space="0" w:color="auto"/>
      </w:divBdr>
    </w:div>
    <w:div w:id="373383216">
      <w:bodyDiv w:val="1"/>
      <w:marLeft w:val="0"/>
      <w:marRight w:val="0"/>
      <w:marTop w:val="0"/>
      <w:marBottom w:val="0"/>
      <w:divBdr>
        <w:top w:val="none" w:sz="0" w:space="0" w:color="auto"/>
        <w:left w:val="none" w:sz="0" w:space="0" w:color="auto"/>
        <w:bottom w:val="none" w:sz="0" w:space="0" w:color="auto"/>
        <w:right w:val="none" w:sz="0" w:space="0" w:color="auto"/>
      </w:divBdr>
    </w:div>
    <w:div w:id="501436439">
      <w:bodyDiv w:val="1"/>
      <w:marLeft w:val="0"/>
      <w:marRight w:val="0"/>
      <w:marTop w:val="0"/>
      <w:marBottom w:val="0"/>
      <w:divBdr>
        <w:top w:val="none" w:sz="0" w:space="0" w:color="auto"/>
        <w:left w:val="none" w:sz="0" w:space="0" w:color="auto"/>
        <w:bottom w:val="none" w:sz="0" w:space="0" w:color="auto"/>
        <w:right w:val="none" w:sz="0" w:space="0" w:color="auto"/>
      </w:divBdr>
    </w:div>
    <w:div w:id="567224320">
      <w:bodyDiv w:val="1"/>
      <w:marLeft w:val="0"/>
      <w:marRight w:val="0"/>
      <w:marTop w:val="0"/>
      <w:marBottom w:val="0"/>
      <w:divBdr>
        <w:top w:val="none" w:sz="0" w:space="0" w:color="auto"/>
        <w:left w:val="none" w:sz="0" w:space="0" w:color="auto"/>
        <w:bottom w:val="none" w:sz="0" w:space="0" w:color="auto"/>
        <w:right w:val="none" w:sz="0" w:space="0" w:color="auto"/>
      </w:divBdr>
    </w:div>
    <w:div w:id="738211535">
      <w:bodyDiv w:val="1"/>
      <w:marLeft w:val="0"/>
      <w:marRight w:val="0"/>
      <w:marTop w:val="0"/>
      <w:marBottom w:val="0"/>
      <w:divBdr>
        <w:top w:val="none" w:sz="0" w:space="0" w:color="auto"/>
        <w:left w:val="none" w:sz="0" w:space="0" w:color="auto"/>
        <w:bottom w:val="none" w:sz="0" w:space="0" w:color="auto"/>
        <w:right w:val="none" w:sz="0" w:space="0" w:color="auto"/>
      </w:divBdr>
    </w:div>
    <w:div w:id="747583140">
      <w:bodyDiv w:val="1"/>
      <w:marLeft w:val="0"/>
      <w:marRight w:val="0"/>
      <w:marTop w:val="0"/>
      <w:marBottom w:val="0"/>
      <w:divBdr>
        <w:top w:val="none" w:sz="0" w:space="0" w:color="auto"/>
        <w:left w:val="none" w:sz="0" w:space="0" w:color="auto"/>
        <w:bottom w:val="none" w:sz="0" w:space="0" w:color="auto"/>
        <w:right w:val="none" w:sz="0" w:space="0" w:color="auto"/>
      </w:divBdr>
    </w:div>
    <w:div w:id="777061183">
      <w:bodyDiv w:val="1"/>
      <w:marLeft w:val="0"/>
      <w:marRight w:val="0"/>
      <w:marTop w:val="0"/>
      <w:marBottom w:val="0"/>
      <w:divBdr>
        <w:top w:val="none" w:sz="0" w:space="0" w:color="auto"/>
        <w:left w:val="none" w:sz="0" w:space="0" w:color="auto"/>
        <w:bottom w:val="none" w:sz="0" w:space="0" w:color="auto"/>
        <w:right w:val="none" w:sz="0" w:space="0" w:color="auto"/>
      </w:divBdr>
    </w:div>
    <w:div w:id="780609195">
      <w:bodyDiv w:val="1"/>
      <w:marLeft w:val="0"/>
      <w:marRight w:val="0"/>
      <w:marTop w:val="0"/>
      <w:marBottom w:val="0"/>
      <w:divBdr>
        <w:top w:val="none" w:sz="0" w:space="0" w:color="auto"/>
        <w:left w:val="none" w:sz="0" w:space="0" w:color="auto"/>
        <w:bottom w:val="none" w:sz="0" w:space="0" w:color="auto"/>
        <w:right w:val="none" w:sz="0" w:space="0" w:color="auto"/>
      </w:divBdr>
      <w:divsChild>
        <w:div w:id="1810825834">
          <w:marLeft w:val="0"/>
          <w:marRight w:val="0"/>
          <w:marTop w:val="0"/>
          <w:marBottom w:val="0"/>
          <w:divBdr>
            <w:top w:val="none" w:sz="0" w:space="0" w:color="auto"/>
            <w:left w:val="none" w:sz="0" w:space="0" w:color="auto"/>
            <w:bottom w:val="none" w:sz="0" w:space="0" w:color="auto"/>
            <w:right w:val="none" w:sz="0" w:space="0" w:color="auto"/>
          </w:divBdr>
          <w:divsChild>
            <w:div w:id="57883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28953">
      <w:bodyDiv w:val="1"/>
      <w:marLeft w:val="0"/>
      <w:marRight w:val="0"/>
      <w:marTop w:val="0"/>
      <w:marBottom w:val="0"/>
      <w:divBdr>
        <w:top w:val="none" w:sz="0" w:space="0" w:color="auto"/>
        <w:left w:val="none" w:sz="0" w:space="0" w:color="auto"/>
        <w:bottom w:val="none" w:sz="0" w:space="0" w:color="auto"/>
        <w:right w:val="none" w:sz="0" w:space="0" w:color="auto"/>
      </w:divBdr>
    </w:div>
    <w:div w:id="814566771">
      <w:bodyDiv w:val="1"/>
      <w:marLeft w:val="0"/>
      <w:marRight w:val="0"/>
      <w:marTop w:val="0"/>
      <w:marBottom w:val="0"/>
      <w:divBdr>
        <w:top w:val="none" w:sz="0" w:space="0" w:color="auto"/>
        <w:left w:val="none" w:sz="0" w:space="0" w:color="auto"/>
        <w:bottom w:val="none" w:sz="0" w:space="0" w:color="auto"/>
        <w:right w:val="none" w:sz="0" w:space="0" w:color="auto"/>
      </w:divBdr>
    </w:div>
    <w:div w:id="815610378">
      <w:bodyDiv w:val="1"/>
      <w:marLeft w:val="0"/>
      <w:marRight w:val="0"/>
      <w:marTop w:val="0"/>
      <w:marBottom w:val="0"/>
      <w:divBdr>
        <w:top w:val="none" w:sz="0" w:space="0" w:color="auto"/>
        <w:left w:val="none" w:sz="0" w:space="0" w:color="auto"/>
        <w:bottom w:val="none" w:sz="0" w:space="0" w:color="auto"/>
        <w:right w:val="none" w:sz="0" w:space="0" w:color="auto"/>
      </w:divBdr>
    </w:div>
    <w:div w:id="824862323">
      <w:bodyDiv w:val="1"/>
      <w:marLeft w:val="0"/>
      <w:marRight w:val="0"/>
      <w:marTop w:val="0"/>
      <w:marBottom w:val="0"/>
      <w:divBdr>
        <w:top w:val="none" w:sz="0" w:space="0" w:color="auto"/>
        <w:left w:val="none" w:sz="0" w:space="0" w:color="auto"/>
        <w:bottom w:val="none" w:sz="0" w:space="0" w:color="auto"/>
        <w:right w:val="none" w:sz="0" w:space="0" w:color="auto"/>
      </w:divBdr>
    </w:div>
    <w:div w:id="846402688">
      <w:bodyDiv w:val="1"/>
      <w:marLeft w:val="0"/>
      <w:marRight w:val="0"/>
      <w:marTop w:val="0"/>
      <w:marBottom w:val="0"/>
      <w:divBdr>
        <w:top w:val="none" w:sz="0" w:space="0" w:color="auto"/>
        <w:left w:val="none" w:sz="0" w:space="0" w:color="auto"/>
        <w:bottom w:val="none" w:sz="0" w:space="0" w:color="auto"/>
        <w:right w:val="none" w:sz="0" w:space="0" w:color="auto"/>
      </w:divBdr>
    </w:div>
    <w:div w:id="863321189">
      <w:bodyDiv w:val="1"/>
      <w:marLeft w:val="0"/>
      <w:marRight w:val="0"/>
      <w:marTop w:val="0"/>
      <w:marBottom w:val="0"/>
      <w:divBdr>
        <w:top w:val="none" w:sz="0" w:space="0" w:color="auto"/>
        <w:left w:val="none" w:sz="0" w:space="0" w:color="auto"/>
        <w:bottom w:val="none" w:sz="0" w:space="0" w:color="auto"/>
        <w:right w:val="none" w:sz="0" w:space="0" w:color="auto"/>
      </w:divBdr>
      <w:divsChild>
        <w:div w:id="19673504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7807896">
      <w:bodyDiv w:val="1"/>
      <w:marLeft w:val="0"/>
      <w:marRight w:val="0"/>
      <w:marTop w:val="0"/>
      <w:marBottom w:val="0"/>
      <w:divBdr>
        <w:top w:val="none" w:sz="0" w:space="0" w:color="auto"/>
        <w:left w:val="none" w:sz="0" w:space="0" w:color="auto"/>
        <w:bottom w:val="none" w:sz="0" w:space="0" w:color="auto"/>
        <w:right w:val="none" w:sz="0" w:space="0" w:color="auto"/>
      </w:divBdr>
    </w:div>
    <w:div w:id="912467861">
      <w:bodyDiv w:val="1"/>
      <w:marLeft w:val="0"/>
      <w:marRight w:val="0"/>
      <w:marTop w:val="0"/>
      <w:marBottom w:val="0"/>
      <w:divBdr>
        <w:top w:val="none" w:sz="0" w:space="0" w:color="auto"/>
        <w:left w:val="none" w:sz="0" w:space="0" w:color="auto"/>
        <w:bottom w:val="none" w:sz="0" w:space="0" w:color="auto"/>
        <w:right w:val="none" w:sz="0" w:space="0" w:color="auto"/>
      </w:divBdr>
    </w:div>
    <w:div w:id="933056226">
      <w:bodyDiv w:val="1"/>
      <w:marLeft w:val="0"/>
      <w:marRight w:val="0"/>
      <w:marTop w:val="0"/>
      <w:marBottom w:val="0"/>
      <w:divBdr>
        <w:top w:val="none" w:sz="0" w:space="0" w:color="auto"/>
        <w:left w:val="none" w:sz="0" w:space="0" w:color="auto"/>
        <w:bottom w:val="none" w:sz="0" w:space="0" w:color="auto"/>
        <w:right w:val="none" w:sz="0" w:space="0" w:color="auto"/>
      </w:divBdr>
      <w:divsChild>
        <w:div w:id="790123951">
          <w:marLeft w:val="0"/>
          <w:marRight w:val="0"/>
          <w:marTop w:val="0"/>
          <w:marBottom w:val="0"/>
          <w:divBdr>
            <w:top w:val="none" w:sz="0" w:space="0" w:color="auto"/>
            <w:left w:val="none" w:sz="0" w:space="0" w:color="auto"/>
            <w:bottom w:val="none" w:sz="0" w:space="0" w:color="auto"/>
            <w:right w:val="none" w:sz="0" w:space="0" w:color="auto"/>
          </w:divBdr>
          <w:divsChild>
            <w:div w:id="182146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467466">
      <w:bodyDiv w:val="1"/>
      <w:marLeft w:val="0"/>
      <w:marRight w:val="0"/>
      <w:marTop w:val="0"/>
      <w:marBottom w:val="0"/>
      <w:divBdr>
        <w:top w:val="none" w:sz="0" w:space="0" w:color="auto"/>
        <w:left w:val="none" w:sz="0" w:space="0" w:color="auto"/>
        <w:bottom w:val="none" w:sz="0" w:space="0" w:color="auto"/>
        <w:right w:val="none" w:sz="0" w:space="0" w:color="auto"/>
      </w:divBdr>
    </w:div>
    <w:div w:id="1154108240">
      <w:bodyDiv w:val="1"/>
      <w:marLeft w:val="0"/>
      <w:marRight w:val="0"/>
      <w:marTop w:val="0"/>
      <w:marBottom w:val="0"/>
      <w:divBdr>
        <w:top w:val="none" w:sz="0" w:space="0" w:color="auto"/>
        <w:left w:val="none" w:sz="0" w:space="0" w:color="auto"/>
        <w:bottom w:val="none" w:sz="0" w:space="0" w:color="auto"/>
        <w:right w:val="none" w:sz="0" w:space="0" w:color="auto"/>
      </w:divBdr>
    </w:div>
    <w:div w:id="1174688835">
      <w:bodyDiv w:val="1"/>
      <w:marLeft w:val="0"/>
      <w:marRight w:val="0"/>
      <w:marTop w:val="0"/>
      <w:marBottom w:val="0"/>
      <w:divBdr>
        <w:top w:val="none" w:sz="0" w:space="0" w:color="auto"/>
        <w:left w:val="none" w:sz="0" w:space="0" w:color="auto"/>
        <w:bottom w:val="none" w:sz="0" w:space="0" w:color="auto"/>
        <w:right w:val="none" w:sz="0" w:space="0" w:color="auto"/>
      </w:divBdr>
    </w:div>
    <w:div w:id="1196500871">
      <w:bodyDiv w:val="1"/>
      <w:marLeft w:val="0"/>
      <w:marRight w:val="0"/>
      <w:marTop w:val="0"/>
      <w:marBottom w:val="0"/>
      <w:divBdr>
        <w:top w:val="none" w:sz="0" w:space="0" w:color="auto"/>
        <w:left w:val="none" w:sz="0" w:space="0" w:color="auto"/>
        <w:bottom w:val="none" w:sz="0" w:space="0" w:color="auto"/>
        <w:right w:val="none" w:sz="0" w:space="0" w:color="auto"/>
      </w:divBdr>
    </w:div>
    <w:div w:id="1273243251">
      <w:bodyDiv w:val="1"/>
      <w:marLeft w:val="0"/>
      <w:marRight w:val="0"/>
      <w:marTop w:val="0"/>
      <w:marBottom w:val="0"/>
      <w:divBdr>
        <w:top w:val="none" w:sz="0" w:space="0" w:color="auto"/>
        <w:left w:val="none" w:sz="0" w:space="0" w:color="auto"/>
        <w:bottom w:val="none" w:sz="0" w:space="0" w:color="auto"/>
        <w:right w:val="none" w:sz="0" w:space="0" w:color="auto"/>
      </w:divBdr>
    </w:div>
    <w:div w:id="1291545582">
      <w:bodyDiv w:val="1"/>
      <w:marLeft w:val="0"/>
      <w:marRight w:val="0"/>
      <w:marTop w:val="0"/>
      <w:marBottom w:val="0"/>
      <w:divBdr>
        <w:top w:val="none" w:sz="0" w:space="0" w:color="auto"/>
        <w:left w:val="none" w:sz="0" w:space="0" w:color="auto"/>
        <w:bottom w:val="none" w:sz="0" w:space="0" w:color="auto"/>
        <w:right w:val="none" w:sz="0" w:space="0" w:color="auto"/>
      </w:divBdr>
    </w:div>
    <w:div w:id="1429156813">
      <w:bodyDiv w:val="1"/>
      <w:marLeft w:val="0"/>
      <w:marRight w:val="0"/>
      <w:marTop w:val="0"/>
      <w:marBottom w:val="0"/>
      <w:divBdr>
        <w:top w:val="none" w:sz="0" w:space="0" w:color="auto"/>
        <w:left w:val="none" w:sz="0" w:space="0" w:color="auto"/>
        <w:bottom w:val="none" w:sz="0" w:space="0" w:color="auto"/>
        <w:right w:val="none" w:sz="0" w:space="0" w:color="auto"/>
      </w:divBdr>
    </w:div>
    <w:div w:id="1448042438">
      <w:bodyDiv w:val="1"/>
      <w:marLeft w:val="0"/>
      <w:marRight w:val="0"/>
      <w:marTop w:val="0"/>
      <w:marBottom w:val="0"/>
      <w:divBdr>
        <w:top w:val="none" w:sz="0" w:space="0" w:color="auto"/>
        <w:left w:val="none" w:sz="0" w:space="0" w:color="auto"/>
        <w:bottom w:val="none" w:sz="0" w:space="0" w:color="auto"/>
        <w:right w:val="none" w:sz="0" w:space="0" w:color="auto"/>
      </w:divBdr>
    </w:div>
    <w:div w:id="1456756850">
      <w:bodyDiv w:val="1"/>
      <w:marLeft w:val="0"/>
      <w:marRight w:val="0"/>
      <w:marTop w:val="0"/>
      <w:marBottom w:val="0"/>
      <w:divBdr>
        <w:top w:val="none" w:sz="0" w:space="0" w:color="auto"/>
        <w:left w:val="none" w:sz="0" w:space="0" w:color="auto"/>
        <w:bottom w:val="none" w:sz="0" w:space="0" w:color="auto"/>
        <w:right w:val="none" w:sz="0" w:space="0" w:color="auto"/>
      </w:divBdr>
    </w:div>
    <w:div w:id="1476993706">
      <w:bodyDiv w:val="1"/>
      <w:marLeft w:val="0"/>
      <w:marRight w:val="0"/>
      <w:marTop w:val="0"/>
      <w:marBottom w:val="0"/>
      <w:divBdr>
        <w:top w:val="none" w:sz="0" w:space="0" w:color="auto"/>
        <w:left w:val="none" w:sz="0" w:space="0" w:color="auto"/>
        <w:bottom w:val="none" w:sz="0" w:space="0" w:color="auto"/>
        <w:right w:val="none" w:sz="0" w:space="0" w:color="auto"/>
      </w:divBdr>
    </w:div>
    <w:div w:id="1486358351">
      <w:bodyDiv w:val="1"/>
      <w:marLeft w:val="0"/>
      <w:marRight w:val="0"/>
      <w:marTop w:val="0"/>
      <w:marBottom w:val="0"/>
      <w:divBdr>
        <w:top w:val="none" w:sz="0" w:space="0" w:color="auto"/>
        <w:left w:val="none" w:sz="0" w:space="0" w:color="auto"/>
        <w:bottom w:val="none" w:sz="0" w:space="0" w:color="auto"/>
        <w:right w:val="none" w:sz="0" w:space="0" w:color="auto"/>
      </w:divBdr>
    </w:div>
    <w:div w:id="1489904563">
      <w:bodyDiv w:val="1"/>
      <w:marLeft w:val="0"/>
      <w:marRight w:val="0"/>
      <w:marTop w:val="0"/>
      <w:marBottom w:val="0"/>
      <w:divBdr>
        <w:top w:val="none" w:sz="0" w:space="0" w:color="auto"/>
        <w:left w:val="none" w:sz="0" w:space="0" w:color="auto"/>
        <w:bottom w:val="none" w:sz="0" w:space="0" w:color="auto"/>
        <w:right w:val="none" w:sz="0" w:space="0" w:color="auto"/>
      </w:divBdr>
    </w:div>
    <w:div w:id="1682856157">
      <w:bodyDiv w:val="1"/>
      <w:marLeft w:val="0"/>
      <w:marRight w:val="0"/>
      <w:marTop w:val="0"/>
      <w:marBottom w:val="0"/>
      <w:divBdr>
        <w:top w:val="none" w:sz="0" w:space="0" w:color="auto"/>
        <w:left w:val="none" w:sz="0" w:space="0" w:color="auto"/>
        <w:bottom w:val="none" w:sz="0" w:space="0" w:color="auto"/>
        <w:right w:val="none" w:sz="0" w:space="0" w:color="auto"/>
      </w:divBdr>
      <w:divsChild>
        <w:div w:id="2102991222">
          <w:marLeft w:val="0"/>
          <w:marRight w:val="0"/>
          <w:marTop w:val="0"/>
          <w:marBottom w:val="0"/>
          <w:divBdr>
            <w:top w:val="none" w:sz="0" w:space="0" w:color="auto"/>
            <w:left w:val="none" w:sz="0" w:space="0" w:color="auto"/>
            <w:bottom w:val="none" w:sz="0" w:space="0" w:color="auto"/>
            <w:right w:val="none" w:sz="0" w:space="0" w:color="auto"/>
          </w:divBdr>
          <w:divsChild>
            <w:div w:id="10890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350">
      <w:bodyDiv w:val="1"/>
      <w:marLeft w:val="0"/>
      <w:marRight w:val="0"/>
      <w:marTop w:val="0"/>
      <w:marBottom w:val="0"/>
      <w:divBdr>
        <w:top w:val="none" w:sz="0" w:space="0" w:color="auto"/>
        <w:left w:val="none" w:sz="0" w:space="0" w:color="auto"/>
        <w:bottom w:val="none" w:sz="0" w:space="0" w:color="auto"/>
        <w:right w:val="none" w:sz="0" w:space="0" w:color="auto"/>
      </w:divBdr>
    </w:div>
    <w:div w:id="2128087599">
      <w:bodyDiv w:val="1"/>
      <w:marLeft w:val="0"/>
      <w:marRight w:val="0"/>
      <w:marTop w:val="0"/>
      <w:marBottom w:val="0"/>
      <w:divBdr>
        <w:top w:val="none" w:sz="0" w:space="0" w:color="auto"/>
        <w:left w:val="none" w:sz="0" w:space="0" w:color="auto"/>
        <w:bottom w:val="none" w:sz="0" w:space="0" w:color="auto"/>
        <w:right w:val="none" w:sz="0" w:space="0" w:color="auto"/>
      </w:divBdr>
      <w:divsChild>
        <w:div w:id="1500659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www.sciencedirect.com/science/article/pii/S0045653514009679" TargetMode="External"/><Relationship Id="rId26" Type="http://schemas.openxmlformats.org/officeDocument/2006/relationships/hyperlink" Target="https://doi.org/https://doi.org/10.1016/j.jenvman.2018.12.009" TargetMode="External"/><Relationship Id="rId3" Type="http://schemas.openxmlformats.org/officeDocument/2006/relationships/styles" Target="styles.xml"/><Relationship Id="rId21" Type="http://schemas.openxmlformats.org/officeDocument/2006/relationships/hyperlink" Target="https://doi.org/10.1016/j.envres.2023.115545"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oi.org/https://doi.org/10.1016/B0-12-227090-8/00260-8" TargetMode="External"/><Relationship Id="rId25" Type="http://schemas.openxmlformats.org/officeDocument/2006/relationships/hyperlink" Target="https://doi.org/10.1038/s43247-025-02308-y" TargetMode="External"/><Relationship Id="rId2" Type="http://schemas.openxmlformats.org/officeDocument/2006/relationships/numbering" Target="numbering.xml"/><Relationship Id="rId16" Type="http://schemas.openxmlformats.org/officeDocument/2006/relationships/hyperlink" Target="https://doi.org/10.1080/00022470.1981.10465331" TargetMode="External"/><Relationship Id="rId20" Type="http://schemas.openxmlformats.org/officeDocument/2006/relationships/hyperlink" Target="https://doi.org/http://doi.org/10.1007/s11356-018-4041-4"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oi.org/https://doi.org/10.1016/0956-053X(93)90070-D" TargetMode="External"/><Relationship Id="rId5" Type="http://schemas.openxmlformats.org/officeDocument/2006/relationships/webSettings" Target="webSettings.xml"/><Relationship Id="rId15" Type="http://schemas.openxmlformats.org/officeDocument/2006/relationships/hyperlink" Target="https://doi.org/https://doi.org/10.1016/S1352-2310(99)00460-4" TargetMode="External"/><Relationship Id="rId23" Type="http://schemas.openxmlformats.org/officeDocument/2006/relationships/hyperlink" Target="https://doi.org/10.3390/ijerph20075379" TargetMode="External"/><Relationship Id="rId28" Type="http://schemas.openxmlformats.org/officeDocument/2006/relationships/hyperlink" Target="https://doi.org/10.5194/acp-24-11409-2024" TargetMode="External"/><Relationship Id="rId10" Type="http://schemas.openxmlformats.org/officeDocument/2006/relationships/image" Target="media/image3.png"/><Relationship Id="rId19" Type="http://schemas.openxmlformats.org/officeDocument/2006/relationships/hyperlink" Target="https://doi.org/10.1021/jp003397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s://doi.org/10.1039/C5CS00375J" TargetMode="External"/><Relationship Id="rId27" Type="http://schemas.openxmlformats.org/officeDocument/2006/relationships/hyperlink" Target="https://doi.org/10.5194/acp-22-4117-2022" TargetMode="External"/><Relationship Id="rId30"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2CF63-2574-4CBA-84F6-AAB0E3289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5972</Words>
  <Characters>34047</Characters>
  <Application>Microsoft Office Word</Application>
  <DocSecurity>0</DocSecurity>
  <Lines>283</Lines>
  <Paragraphs>79</Paragraphs>
  <ScaleCrop>false</ScaleCrop>
  <HeadingPairs>
    <vt:vector size="6" baseType="variant">
      <vt:variant>
        <vt:lpstr>Title</vt:lpstr>
      </vt:variant>
      <vt:variant>
        <vt:i4>1</vt:i4>
      </vt:variant>
      <vt:variant>
        <vt:lpstr>Tytuł</vt:lpstr>
      </vt:variant>
      <vt:variant>
        <vt:i4>1</vt:i4>
      </vt:variant>
      <vt:variant>
        <vt:lpstr>Titolo</vt:lpstr>
      </vt:variant>
      <vt:variant>
        <vt:i4>1</vt:i4>
      </vt:variant>
    </vt:vector>
  </HeadingPairs>
  <TitlesOfParts>
    <vt:vector size="3" baseType="lpstr">
      <vt:lpstr/>
      <vt:lpstr/>
      <vt:lpstr/>
    </vt:vector>
  </TitlesOfParts>
  <Company>Dipartimento CMIC - Politecnico di Milano</Company>
  <LinksUpToDate>false</LinksUpToDate>
  <CharactersWithSpaces>39940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raffaella</dc:creator>
  <cp:keywords/>
  <dc:description/>
  <cp:lastModifiedBy>Marouane Dhia Eddine Bouguerra</cp:lastModifiedBy>
  <cp:revision>2</cp:revision>
  <cp:lastPrinted>2024-03-28T17:52:00Z</cp:lastPrinted>
  <dcterms:created xsi:type="dcterms:W3CDTF">2026-06-12T11:36:00Z</dcterms:created>
  <dcterms:modified xsi:type="dcterms:W3CDTF">2026-06-12T11:36:00Z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zotero-version="4.0.29.17"&gt;&lt;session id="s8VwuD2U"/&gt;&lt;style id="http://www.zotero.org/styles/chemical-engineering-transactions" hasBibliography="1" bibliographyStyleHasBeenSet="1"/&gt;&lt;prefs&gt;&lt;pref name="fieldType" value="Field"/&gt;&lt;pref na</vt:lpwstr>
  </property>
  <property fmtid="{D5CDD505-2E9C-101B-9397-08002B2CF9AE}" pid="3" name="ZOTERO_PREF_2">
    <vt:lpwstr>me="storeReferences" value="true"/&gt;&lt;pref name="automaticJournalAbbreviations" value=""/&gt;&lt;pref name="noteType" value=""/&gt;&lt;/prefs&gt;&lt;/data&gt;</vt:lpwstr>
  </property>
  <property fmtid="{D5CDD505-2E9C-101B-9397-08002B2CF9AE}" pid="4" name="GrammarlyDocumentId">
    <vt:lpwstr>93e207ee73045251ac6d9f42e46543bda509835ac2bbcb711b03a159a90c3fac</vt:lpwstr>
  </property>
</Properties>
</file>