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227598563"/>
            <w:bookmarkStart w:id="1" w:name="_Hlk145068772"/>
            <w:bookmarkEnd w:id="0"/>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E264A">
        <w:trPr>
          <w:trHeight w:val="567"/>
          <w:jc w:val="center"/>
        </w:trPr>
        <w:tc>
          <w:tcPr>
            <w:tcW w:w="6946" w:type="dxa"/>
            <w:vMerge/>
            <w:tcBorders>
              <w:right w:val="single" w:sz="4" w:space="0" w:color="auto"/>
            </w:tcBorders>
          </w:tcPr>
          <w:p w14:paraId="39E5E4C1"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E264A">
        <w:trPr>
          <w:trHeight w:val="68"/>
          <w:jc w:val="center"/>
        </w:trPr>
        <w:tc>
          <w:tcPr>
            <w:tcW w:w="8789"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w:t>
            </w:r>
            <w:proofErr w:type="spellStart"/>
            <w:r w:rsidRPr="00B57B36">
              <w:rPr>
                <w:rFonts w:ascii="Tahoma" w:hAnsi="Tahoma" w:cs="Tahoma"/>
                <w:iCs/>
                <w:color w:val="333333"/>
                <w:sz w:val="14"/>
                <w:szCs w:val="14"/>
                <w:lang w:eastAsia="it-IT"/>
              </w:rPr>
              <w:t>Servizi</w:t>
            </w:r>
            <w:proofErr w:type="spellEnd"/>
            <w:r w:rsidRPr="00B57B36">
              <w:rPr>
                <w:rFonts w:ascii="Tahoma" w:hAnsi="Tahoma" w:cs="Tahoma"/>
                <w:iCs/>
                <w:color w:val="333333"/>
                <w:sz w:val="14"/>
                <w:szCs w:val="14"/>
                <w:lang w:eastAsia="it-IT"/>
              </w:rPr>
              <w:t xml:space="preserve">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1"/>
    <w:p w14:paraId="2E667253" w14:textId="7255FBA0" w:rsidR="00E978D0" w:rsidRPr="00B57B36" w:rsidRDefault="004C4AE4" w:rsidP="00E978D0">
      <w:pPr>
        <w:pStyle w:val="CETTitle"/>
      </w:pPr>
      <w:r>
        <w:t>Coupling of Photocatalysis and Adsorption Using a Single Multifunctional Filter for</w:t>
      </w:r>
      <w:r w:rsidR="00D05611">
        <w:t xml:space="preserve"> </w:t>
      </w:r>
      <w:r w:rsidR="00D05611" w:rsidRPr="00D05611">
        <w:t>Gas-Phase</w:t>
      </w:r>
      <w:r>
        <w:t xml:space="preserve"> Toluene Removal </w:t>
      </w:r>
    </w:p>
    <w:p w14:paraId="0488FED2" w14:textId="7DC10742" w:rsidR="00B57E6F" w:rsidRPr="00E07000" w:rsidRDefault="004C4AE4" w:rsidP="008A2BE3">
      <w:pPr>
        <w:pStyle w:val="CETAuthors"/>
        <w:rPr>
          <w:vertAlign w:val="superscript"/>
        </w:rPr>
      </w:pPr>
      <w:r w:rsidRPr="00E07000">
        <w:t>Rania Louali</w:t>
      </w:r>
      <w:r w:rsidR="00B57E6F" w:rsidRPr="00E07000">
        <w:rPr>
          <w:vertAlign w:val="superscript"/>
        </w:rPr>
        <w:t>a</w:t>
      </w:r>
      <w:r w:rsidR="005B08AB" w:rsidRPr="00E07000">
        <w:rPr>
          <w:vertAlign w:val="superscript"/>
        </w:rPr>
        <w:t>,*</w:t>
      </w:r>
      <w:r w:rsidR="00B57E6F" w:rsidRPr="00E07000">
        <w:t xml:space="preserve">, </w:t>
      </w:r>
      <w:r w:rsidR="00B02E61">
        <w:t xml:space="preserve">Amine </w:t>
      </w:r>
      <w:r w:rsidRPr="00E07000">
        <w:t>Aymen Assadi</w:t>
      </w:r>
      <w:r w:rsidR="00B57E6F" w:rsidRPr="00E07000">
        <w:rPr>
          <w:vertAlign w:val="superscript"/>
        </w:rPr>
        <w:t>b</w:t>
      </w:r>
      <w:r w:rsidR="00B57E6F" w:rsidRPr="00E07000">
        <w:t xml:space="preserve">, </w:t>
      </w:r>
      <w:r w:rsidRPr="00E07000">
        <w:t>Abdelkrim Bouzaza</w:t>
      </w:r>
      <w:r w:rsidRPr="00E07000">
        <w:rPr>
          <w:vertAlign w:val="superscript"/>
        </w:rPr>
        <w:t>a</w:t>
      </w:r>
      <w:r w:rsidR="00932CF6" w:rsidRPr="00E07000">
        <w:t>, Dominique Wolbert</w:t>
      </w:r>
      <w:r w:rsidR="00932CF6" w:rsidRPr="00E07000">
        <w:rPr>
          <w:vertAlign w:val="superscript"/>
        </w:rPr>
        <w:t>a</w:t>
      </w:r>
      <w:r w:rsidR="00932CF6" w:rsidRPr="00E07000">
        <w:t>, Lina Lamaa</w:t>
      </w:r>
      <w:r w:rsidR="00932CF6" w:rsidRPr="00E07000">
        <w:rPr>
          <w:vertAlign w:val="superscript"/>
        </w:rPr>
        <w:t>c</w:t>
      </w:r>
    </w:p>
    <w:p w14:paraId="6B2D21B3" w14:textId="5A4A2CEC" w:rsidR="00B57E6F" w:rsidRPr="00932CF6" w:rsidRDefault="00B57E6F" w:rsidP="008A2BE3">
      <w:pPr>
        <w:pStyle w:val="CETAddress"/>
        <w:rPr>
          <w:lang w:val="fr-FR"/>
        </w:rPr>
      </w:pPr>
      <w:r w:rsidRPr="00932CF6">
        <w:rPr>
          <w:vertAlign w:val="superscript"/>
          <w:lang w:val="fr-FR"/>
        </w:rPr>
        <w:t>a</w:t>
      </w:r>
      <w:r w:rsidR="00932CF6" w:rsidRPr="00932CF6">
        <w:rPr>
          <w:lang w:val="fr-FR"/>
        </w:rPr>
        <w:t>Univ Rennes, École Nationale Supérieure de Chimie de Rennes, CNRS, ISCR—UMR 6226, F-35708 Rennes, France.</w:t>
      </w:r>
    </w:p>
    <w:p w14:paraId="4C4E9CDD" w14:textId="2036F97C" w:rsidR="00932CF6" w:rsidRDefault="00B57E6F" w:rsidP="008A2BE3">
      <w:pPr>
        <w:pStyle w:val="CETAddress"/>
        <w:rPr>
          <w:lang w:val="en-US"/>
        </w:rPr>
      </w:pPr>
      <w:r w:rsidRPr="00932CF6">
        <w:rPr>
          <w:vertAlign w:val="superscript"/>
          <w:lang w:val="en-US"/>
        </w:rPr>
        <w:t>b</w:t>
      </w:r>
      <w:r w:rsidR="00932CF6" w:rsidRPr="00932CF6">
        <w:rPr>
          <w:lang w:val="en-US"/>
        </w:rPr>
        <w:t>College of Engineering, Imam Mohammad Ibn Saud Islamic University</w:t>
      </w:r>
      <w:r w:rsidR="00B02E61">
        <w:rPr>
          <w:lang w:val="en-US"/>
        </w:rPr>
        <w:t xml:space="preserve"> (</w:t>
      </w:r>
      <w:r w:rsidR="00932CF6" w:rsidRPr="00932CF6">
        <w:rPr>
          <w:lang w:val="en-US"/>
        </w:rPr>
        <w:t>IMSIU</w:t>
      </w:r>
      <w:r w:rsidR="00B02E61">
        <w:rPr>
          <w:lang w:val="en-US"/>
        </w:rPr>
        <w:t>),</w:t>
      </w:r>
      <w:r w:rsidR="00B02E61" w:rsidRPr="00932CF6">
        <w:rPr>
          <w:lang w:val="en-US"/>
        </w:rPr>
        <w:t xml:space="preserve"> </w:t>
      </w:r>
      <w:r w:rsidR="00932CF6" w:rsidRPr="00932CF6">
        <w:rPr>
          <w:lang w:val="en-US"/>
        </w:rPr>
        <w:t>Riyadh,11432, Saudi Arabia</w:t>
      </w:r>
      <w:r w:rsidR="00932CF6">
        <w:rPr>
          <w:lang w:val="en-US"/>
        </w:rPr>
        <w:t>.</w:t>
      </w:r>
    </w:p>
    <w:p w14:paraId="01E2ABB3" w14:textId="77777777" w:rsidR="00CB4A48" w:rsidRDefault="00932CF6" w:rsidP="008A2BE3">
      <w:pPr>
        <w:pStyle w:val="CETAddress"/>
        <w:rPr>
          <w:lang w:val="fr-FR"/>
        </w:rPr>
      </w:pPr>
      <w:r>
        <w:rPr>
          <w:vertAlign w:val="superscript"/>
          <w:lang w:val="fr-FR"/>
        </w:rPr>
        <w:t>c</w:t>
      </w:r>
      <w:r w:rsidRPr="00932CF6">
        <w:rPr>
          <w:lang w:val="fr-FR"/>
        </w:rPr>
        <w:t xml:space="preserve">Brochier Technologies, 90 Rue Fredéric Fays, 69100 Villeurbanne Lyon, </w:t>
      </w:r>
      <w:r w:rsidR="00CB4A48">
        <w:rPr>
          <w:lang w:val="fr-FR"/>
        </w:rPr>
        <w:t>France</w:t>
      </w:r>
    </w:p>
    <w:p w14:paraId="6D63EE49" w14:textId="772AB972" w:rsidR="000E71CD" w:rsidRDefault="00CB4A48" w:rsidP="00910B79">
      <w:pPr>
        <w:pStyle w:val="CETAddress"/>
        <w:rPr>
          <w:lang w:val="fr-FR"/>
        </w:rPr>
      </w:pPr>
      <w:r>
        <w:rPr>
          <w:lang w:val="fr-FR"/>
        </w:rPr>
        <w:t>rania.louali</w:t>
      </w:r>
      <w:r w:rsidRPr="00595009">
        <w:rPr>
          <w:lang w:val="fr-FR"/>
        </w:rPr>
        <w:t>@</w:t>
      </w:r>
      <w:r>
        <w:rPr>
          <w:lang w:val="fr-FR"/>
        </w:rPr>
        <w:t>ensc-rennes</w:t>
      </w:r>
      <w:r w:rsidRPr="00595009">
        <w:rPr>
          <w:lang w:val="fr-FR"/>
        </w:rPr>
        <w:t>.</w:t>
      </w:r>
      <w:r>
        <w:rPr>
          <w:lang w:val="fr-FR"/>
        </w:rPr>
        <w:t>fr</w:t>
      </w:r>
      <w:r w:rsidR="00D05611" w:rsidRPr="00CB4A48">
        <w:rPr>
          <w:lang w:val="fr-FR"/>
        </w:rPr>
        <w:t xml:space="preserve"> </w:t>
      </w:r>
    </w:p>
    <w:p w14:paraId="33885687" w14:textId="77777777" w:rsidR="00910B79" w:rsidRDefault="00910B79" w:rsidP="004C4AE4">
      <w:pPr>
        <w:pStyle w:val="CETBodytext"/>
      </w:pPr>
    </w:p>
    <w:p w14:paraId="003E8466" w14:textId="78D236AC" w:rsidR="004C4AE4" w:rsidRPr="000E71CD" w:rsidRDefault="000E71CD" w:rsidP="004C4AE4">
      <w:pPr>
        <w:pStyle w:val="CETBodytext"/>
      </w:pPr>
      <w:r w:rsidRPr="000E71CD">
        <w:t>The removal of volatile organic compounds (VOCs) from air streams remains a key challenge in air purification processes. Conventional technologies such as photocatalysis and adsorption are effective but suffer from</w:t>
      </w:r>
      <w:r w:rsidR="00B02E61">
        <w:t xml:space="preserve"> significant</w:t>
      </w:r>
      <w:r w:rsidRPr="000E71CD">
        <w:t xml:space="preserve"> limitation</w:t>
      </w:r>
      <w:r w:rsidR="00B02E61">
        <w:t>s</w:t>
      </w:r>
      <w:r w:rsidRPr="000E71CD">
        <w:t xml:space="preserve"> when applied separately. In this </w:t>
      </w:r>
      <w:r>
        <w:t>study</w:t>
      </w:r>
      <w:r w:rsidR="001310E6">
        <w:t>, f</w:t>
      </w:r>
      <w:r w:rsidRPr="000E71CD">
        <w:t xml:space="preserve">ive </w:t>
      </w:r>
      <w:r w:rsidR="001310E6">
        <w:t xml:space="preserve">commercial </w:t>
      </w:r>
      <w:r w:rsidRPr="000E71CD">
        <w:t xml:space="preserve">activated carbon materials were </w:t>
      </w:r>
      <w:r>
        <w:t xml:space="preserve">first </w:t>
      </w:r>
      <w:r w:rsidRPr="000E71CD">
        <w:t xml:space="preserve">evaluated </w:t>
      </w:r>
      <w:r w:rsidR="00B02E61">
        <w:t>using</w:t>
      </w:r>
      <w:r w:rsidR="00B02E61" w:rsidRPr="000E71CD">
        <w:t xml:space="preserve"> </w:t>
      </w:r>
      <w:r w:rsidRPr="000E71CD">
        <w:t xml:space="preserve">adsorption </w:t>
      </w:r>
      <w:r w:rsidR="00B02E61" w:rsidRPr="000E71CD">
        <w:t>isotherm</w:t>
      </w:r>
      <w:r w:rsidR="00B02E61">
        <w:t xml:space="preserve"> measurements to</w:t>
      </w:r>
      <w:r>
        <w:t xml:space="preserve"> identify the most efficient adsorbent</w:t>
      </w:r>
      <w:r w:rsidRPr="000E71CD">
        <w:t xml:space="preserve">. The </w:t>
      </w:r>
      <w:r>
        <w:t xml:space="preserve">selected </w:t>
      </w:r>
      <w:r w:rsidRPr="000E71CD">
        <w:t xml:space="preserve">activated carbon powder (AC) was </w:t>
      </w:r>
      <w:r>
        <w:t>then</w:t>
      </w:r>
      <w:r w:rsidRPr="000E71CD">
        <w:t xml:space="preserve"> coated on an innovative textile-based filter composed of optical fibers</w:t>
      </w:r>
      <w:r>
        <w:t xml:space="preserve"> and TiO</w:t>
      </w:r>
      <w:r>
        <w:rPr>
          <w:vertAlign w:val="subscript"/>
        </w:rPr>
        <w:t>2</w:t>
      </w:r>
      <w:r>
        <w:t xml:space="preserve">. </w:t>
      </w:r>
      <w:r w:rsidR="00702E48" w:rsidRPr="000E71CD">
        <w:t xml:space="preserve">UVA LEDs were used to irradiate the optical fibers, allowing </w:t>
      </w:r>
      <w:r w:rsidR="00B02E61">
        <w:t>uniform and efficient</w:t>
      </w:r>
      <w:r w:rsidR="00B02E61" w:rsidRPr="000E71CD">
        <w:t xml:space="preserve"> </w:t>
      </w:r>
      <w:r w:rsidR="00702E48" w:rsidRPr="000E71CD">
        <w:t>illumination of the TiO</w:t>
      </w:r>
      <w:r w:rsidR="00702E48" w:rsidRPr="000E71CD">
        <w:rPr>
          <w:vertAlign w:val="subscript"/>
        </w:rPr>
        <w:t>2</w:t>
      </w:r>
      <w:r w:rsidR="00702E48" w:rsidRPr="000E71CD">
        <w:t xml:space="preserve"> coating.</w:t>
      </w:r>
      <w:r w:rsidR="00910B79">
        <w:t xml:space="preserve"> </w:t>
      </w:r>
      <w:r>
        <w:t>Two coating configurations were investigated to study the effect of the distribution of activated carbon and TiO</w:t>
      </w:r>
      <w:r>
        <w:rPr>
          <w:vertAlign w:val="subscript"/>
        </w:rPr>
        <w:t>2</w:t>
      </w:r>
      <w:r>
        <w:t xml:space="preserve"> on pollutant removal</w:t>
      </w:r>
      <w:r w:rsidRPr="000E71CD">
        <w:t xml:space="preserve">. This approach </w:t>
      </w:r>
      <w:r w:rsidR="00D203FE">
        <w:t xml:space="preserve">promotes the </w:t>
      </w:r>
      <w:r w:rsidR="00B02E61">
        <w:t xml:space="preserve">synergetic coupling </w:t>
      </w:r>
      <w:r w:rsidR="00D203FE">
        <w:t>of adsorption and photocatalysis within the same structure.</w:t>
      </w:r>
      <w:r w:rsidRPr="000E71CD">
        <w:t xml:space="preserve"> </w:t>
      </w:r>
      <w:r w:rsidR="001E1BAB">
        <w:t>T</w:t>
      </w:r>
      <w:r w:rsidR="00D203FE" w:rsidRPr="000E71CD">
        <w:t>he first configuration</w:t>
      </w:r>
      <w:r w:rsidR="002B4457">
        <w:t xml:space="preserve"> comprises</w:t>
      </w:r>
      <w:r w:rsidR="00D203FE" w:rsidRPr="000E71CD">
        <w:t xml:space="preserve"> a filter with two distinct functional sides. </w:t>
      </w:r>
      <w:r w:rsidR="00B02E61">
        <w:t>In contrast, the</w:t>
      </w:r>
      <w:r w:rsidR="00D203FE" w:rsidRPr="000E71CD">
        <w:t xml:space="preserve"> second configuration</w:t>
      </w:r>
      <w:r w:rsidR="00B02E61">
        <w:t xml:space="preserve"> consists of a</w:t>
      </w:r>
      <w:r w:rsidR="002B4457">
        <w:t xml:space="preserve"> filter coated </w:t>
      </w:r>
      <w:r w:rsidR="00D203FE" w:rsidRPr="000E71CD">
        <w:t xml:space="preserve">with </w:t>
      </w:r>
      <w:r w:rsidR="002B4457">
        <w:t>a</w:t>
      </w:r>
      <w:r w:rsidR="00B02E61">
        <w:t xml:space="preserve"> homogenous mixture</w:t>
      </w:r>
      <w:r w:rsidR="002B4457">
        <w:t xml:space="preserve"> of TiO</w:t>
      </w:r>
      <w:r w:rsidR="002B4457" w:rsidRPr="008A2BE3">
        <w:rPr>
          <w:vertAlign w:val="subscript"/>
        </w:rPr>
        <w:t>2</w:t>
      </w:r>
      <w:r w:rsidR="00B02E61">
        <w:t xml:space="preserve"> and </w:t>
      </w:r>
      <w:r w:rsidR="002B4457">
        <w:t>AC.</w:t>
      </w:r>
      <w:r w:rsidR="00D203FE" w:rsidRPr="000E71CD">
        <w:t xml:space="preserve"> In both cases, adsorption was first carried out until saturation, followed by photocatalytic treatment under UVA irradiation</w:t>
      </w:r>
      <w:r w:rsidR="00D203FE">
        <w:t>.</w:t>
      </w:r>
      <w:r w:rsidR="00967DD5">
        <w:t xml:space="preserve"> </w:t>
      </w:r>
      <w:r w:rsidRPr="000E71CD">
        <w:t xml:space="preserve">Toluene was used as </w:t>
      </w:r>
      <w:r w:rsidR="00B02E61" w:rsidRPr="00B02E61">
        <w:t>representative model compound</w:t>
      </w:r>
      <w:r w:rsidR="008A2BE3">
        <w:t xml:space="preserve"> </w:t>
      </w:r>
      <w:r w:rsidRPr="000E71CD">
        <w:t>to evaluate the performance of the textile filter.</w:t>
      </w:r>
      <w:r w:rsidR="00D203FE">
        <w:t xml:space="preserve"> </w:t>
      </w:r>
      <w:r w:rsidRPr="000E71CD">
        <w:t>The results show</w:t>
      </w:r>
      <w:r w:rsidR="00D203FE">
        <w:t>ed</w:t>
      </w:r>
      <w:r w:rsidRPr="000E71CD">
        <w:t xml:space="preserve"> that the filter configuration </w:t>
      </w:r>
      <w:r w:rsidR="00B02E61">
        <w:t>significantly affects</w:t>
      </w:r>
      <w:r w:rsidR="00B02E61" w:rsidRPr="000E71CD">
        <w:t xml:space="preserve"> </w:t>
      </w:r>
      <w:r w:rsidRPr="000E71CD">
        <w:t>toluene removal</w:t>
      </w:r>
      <w:r w:rsidR="00D203FE">
        <w:t>, with up to 70</w:t>
      </w:r>
      <w:r w:rsidR="0005061B">
        <w:t xml:space="preserve"> </w:t>
      </w:r>
      <w:r w:rsidR="00D203FE">
        <w:t xml:space="preserve">% degradation achieved when adsorption and photocatalysis were separated on two sides. These findings confirm the potential of </w:t>
      </w:r>
      <w:r w:rsidR="00B02E61">
        <w:t xml:space="preserve">integrating </w:t>
      </w:r>
      <w:r w:rsidR="00D203FE">
        <w:t>both processes in compact air purification devices</w:t>
      </w:r>
      <w:r w:rsidRPr="000E71CD">
        <w:t>.</w:t>
      </w:r>
    </w:p>
    <w:p w14:paraId="476B2F2E" w14:textId="77777777" w:rsidR="00600535" w:rsidRPr="00B57B36" w:rsidRDefault="00600535" w:rsidP="00600535">
      <w:pPr>
        <w:pStyle w:val="CETHeading1"/>
        <w:rPr>
          <w:lang w:val="en-GB"/>
        </w:rPr>
      </w:pPr>
      <w:r w:rsidRPr="00B57B36">
        <w:rPr>
          <w:lang w:val="en-GB"/>
        </w:rPr>
        <w:t>Introduction</w:t>
      </w:r>
    </w:p>
    <w:p w14:paraId="21B9A280" w14:textId="766B3811" w:rsidR="007D0951" w:rsidRDefault="00A20E2A" w:rsidP="00E16A47">
      <w:pPr>
        <w:pStyle w:val="CETListbullets"/>
        <w:tabs>
          <w:tab w:val="left" w:pos="142"/>
        </w:tabs>
        <w:ind w:left="0" w:firstLine="0"/>
      </w:pPr>
      <w:r>
        <w:t>Due to the presence of volatile organic compounds (VOCs), and other gaseous pollutants that cause</w:t>
      </w:r>
      <w:r w:rsidR="00485C98">
        <w:t xml:space="preserve"> </w:t>
      </w:r>
      <w:r>
        <w:t xml:space="preserve">respiratory and systemic illnesses, air pollution, especially </w:t>
      </w:r>
      <w:r w:rsidR="00B02E61">
        <w:t xml:space="preserve">indoor </w:t>
      </w:r>
      <w:r>
        <w:t>environments, poses serious dangers to</w:t>
      </w:r>
      <w:r w:rsidR="00485C98">
        <w:t xml:space="preserve"> </w:t>
      </w:r>
      <w:r>
        <w:t xml:space="preserve">human health </w:t>
      </w:r>
      <w:r>
        <w:fldChar w:fldCharType="begin"/>
      </w:r>
      <w:r w:rsidR="009B4CED">
        <w:instrText xml:space="preserve"> ADDIN ZOTERO_ITEM CSL_CITATION {"citationID":"kaNiiFUS","properties":{"formattedCitation":"(Zhou et al., 2023)","plainCitation":"(Zhou et al., 2023)","noteIndex":0},"citationItems":[{"id":440,"uris":["http://zotero.org/users/18684960/items/TX3DNP9V"],"itemData":{"id":440,"type":"article-journal","abstract":"Volatile organic compounds (VOCs) are synthetic chemicals that are broadly used in the production of numerous day-to-day products for residential and commercial-based applications. VOCs are naturally occurring in the environment; however, average annual emissions of man-made volatile organic compounds may have increased dramatically in recent decades. Although many factors were attributed to influencing volatile compounds’ emission, only mankind’s activities are mainly proclaimed. Since vehicle and industrial pollution are mounting for years and years, urban areas are highly prone to the impacts of VOCs. Generally, volatile compounds are highly spontaneous and readily react with the particles of ambiance and produce a polluted atmosphere through several physical and chemical reactions. Though the volatile compounds play an indispensable role in the manufacture and maintaining the stability of many products, the health impacts associated with their prolonged exposure are gaining attention as recent research reports underline the influence of a wide range of diseases and disorders. Likewise, since the modern way of life applies a lot of day-to-day chemicals, it is imperative to spread a wide knowledge and safety aspects about these chemicals so that people of a wide category can implement preventive measures according to their exposure and living style. In this context, the review article attempts to shed light on past and current updates concerning the relationship between VOCs exposure and environmental and human health impacts.","container-title":"Chemosphere","DOI":"10.1016/j.chemosphere.2022.137489","ISSN":"00456535","journalAbbreviation":"Chemosphere","language":"en","page":"137489","source":"DOI.org (Crossref)","title":"Environmental and human health impacts of volatile organic compounds: A perspective review","title-short":"Environmental and human health impacts of volatile organic compounds","volume":"313","author":[{"family":"Zhou","given":"Xihe"},{"family":"Zhou","given":"Xiang"},{"family":"Wang","given":"Chengming"},{"family":"Zhou","given":"Handong"}],"issued":{"date-parts":[["2023",2]]}}}],"schema":"https://github.com/citation-style-language/schema/raw/master/csl-citation.json"} </w:instrText>
      </w:r>
      <w:r>
        <w:fldChar w:fldCharType="separate"/>
      </w:r>
      <w:r w:rsidR="009B4CED" w:rsidRPr="009B4CED">
        <w:rPr>
          <w:rFonts w:cs="Arial"/>
        </w:rPr>
        <w:t>(Zhou et al., 2023)</w:t>
      </w:r>
      <w:r>
        <w:fldChar w:fldCharType="end"/>
      </w:r>
      <w:r w:rsidR="00793295">
        <w:t>, including respiratory issues, eye irritation, headaches</w:t>
      </w:r>
      <w:r w:rsidR="00D05611">
        <w:t xml:space="preserve"> </w:t>
      </w:r>
      <w:r w:rsidR="00793295">
        <w:fldChar w:fldCharType="begin"/>
      </w:r>
      <w:r w:rsidR="009B4CED">
        <w:instrText xml:space="preserve"> ADDIN ZOTERO_ITEM CSL_CITATION {"citationID":"CmFgHWzp","properties":{"formattedCitation":"(Jr et al., 2010)","plainCitation":"(Jr et al., 2010)","noteIndex":0},"citationItems":[{"id":3,"uris":["http://zotero.org/users/18684960/items/8VKZYNPS"],"itemData":{"id":3,"type":"article-journal","abstract":"Objective: Despite multiple published studies regarding the association between formaldehyde exposure and childhood asthma, a consistent association has not been identified. Here we report the results of a systematic review of published literature in order to provide a more comprehensive picture of this relationship. Data sources: After a comprehensive literature search, we identified seven peer-reviewed studies providing quantitative results regarding the association between formaldehyde exposure and asthma in children. Studies were heterogeneous with respect to the definition of asthma (e.g., self-report, physician diagnosis). Most of the studies were cross-sectional. Data extraction: For each study, an odds ratio (OR) and 95% confidence interval (CI) for asthma were either abstracted from published results or calculated based on the data provided. Characteristics regarding the study design and population were also abstracted. Data synthesis: We used fixed- and random-effects models to calculate pooled ORs and 95% CIs; measures of heterogeneity were also calculated. A fixed-effects model produced an OR of 1.03 (95% CI, 1.02–1.04), and random effects model produced an OR of 1.17 (95% CI, 1.01–1.36), both reflecting an increase of 10 µg/m3 of formaldehyde. Both the Q and I2 statistics indicated a moderate amount of heterogeneity. Conclusions: Results indicate a significant positive association between formaldehyde exposure and childhood asthma. Given the largely cross-sectional nature of the studies underlying this metaanalysis, further well-designed prospective epidemiologic studies are needed.","container-title":"Environmental Health Perspectives","issue":"3","language":"en","source":"Zotero","title":"Formaldehyde Exposure and Asthma in Children: A Systematic Review","volume":"118","author":[{"family":"Jr","given":"Gerald McGwin"},{"family":"Lienert","given":"Jeffrey"},{"family":"Jr","given":"John I Kennedy"}],"issued":{"date-parts":[["2010"]]}}}],"schema":"https://github.com/citation-style-language/schema/raw/master/csl-citation.json"} </w:instrText>
      </w:r>
      <w:r w:rsidR="00793295">
        <w:fldChar w:fldCharType="separate"/>
      </w:r>
      <w:r w:rsidR="009B4CED" w:rsidRPr="009B4CED">
        <w:rPr>
          <w:rFonts w:cs="Arial"/>
        </w:rPr>
        <w:t>(Jr et al., 2010)</w:t>
      </w:r>
      <w:r w:rsidR="00793295">
        <w:fldChar w:fldCharType="end"/>
      </w:r>
      <w:r w:rsidR="00793295">
        <w:t>.</w:t>
      </w:r>
    </w:p>
    <w:p w14:paraId="0A48CB94" w14:textId="00C93DD8" w:rsidR="00793295" w:rsidRDefault="00E16A47" w:rsidP="00E16A47">
      <w:pPr>
        <w:pStyle w:val="CETListbullets"/>
        <w:tabs>
          <w:tab w:val="left" w:pos="142"/>
        </w:tabs>
        <w:ind w:left="0" w:firstLine="0"/>
      </w:pPr>
      <w:r>
        <w:t>T</w:t>
      </w:r>
      <w:r w:rsidRPr="00E16A47">
        <w:t>oluene, acetone, acetaldehyde, heptane and formaldehyde are</w:t>
      </w:r>
      <w:r>
        <w:t xml:space="preserve"> </w:t>
      </w:r>
      <w:r w:rsidR="00AB1591">
        <w:t xml:space="preserve">always considered as a </w:t>
      </w:r>
      <w:r>
        <w:t xml:space="preserve"> </w:t>
      </w:r>
      <w:r w:rsidRPr="00E16A47">
        <w:t xml:space="preserve">model air pollutants for the potential international standard testing of air cleaners </w:t>
      </w:r>
      <w:r w:rsidR="00DA4574">
        <w:fldChar w:fldCharType="begin"/>
      </w:r>
      <w:r w:rsidR="00DA4574">
        <w:instrText xml:space="preserve"> ADDIN ZOTERO_ITEM CSL_CITATION {"citationID":"VirnLNMd","properties":{"formattedCitation":"(DEGALLAIX, 2017)","plainCitation":"(DEGALLAIX, 2017)","noteIndex":0},"citationItems":[{"id":446,"uris":["http://zotero.org/users/18684960/items/2MBYGPPA"],"itemData":{"id":446,"type":"article-journal","journalAbbreviation":"Rehva journal","page":"49-51","title":"Air cleaning devices: A growing market polluted by confusing communication-certified performances for air cleaners","author":[{"family":"DEGALLAIX","given":"MARIE-CLÉMENCE"}],"issued":{"date-parts":[["2017"]]}}}],"schema":"https://github.com/citation-style-language/schema/raw/master/csl-citation.json"} </w:instrText>
      </w:r>
      <w:r w:rsidR="00DA4574">
        <w:fldChar w:fldCharType="separate"/>
      </w:r>
      <w:r w:rsidR="009B4CED" w:rsidRPr="009B4CED">
        <w:rPr>
          <w:rFonts w:cs="Arial"/>
        </w:rPr>
        <w:t>(DEGALLAIX, 2017)</w:t>
      </w:r>
      <w:r w:rsidR="00DA4574">
        <w:fldChar w:fldCharType="end"/>
      </w:r>
      <w:r>
        <w:t>.</w:t>
      </w:r>
    </w:p>
    <w:p w14:paraId="6E708152" w14:textId="4E65C41E" w:rsidR="005E5A77" w:rsidRDefault="005E5A77" w:rsidP="00E16A47">
      <w:pPr>
        <w:pStyle w:val="CETListbullets"/>
        <w:tabs>
          <w:tab w:val="left" w:pos="142"/>
        </w:tabs>
        <w:ind w:left="0" w:firstLine="0"/>
      </w:pPr>
      <w:r>
        <w:t>Indoor air treatment technologies can be divided into two categories: non-destructive processes</w:t>
      </w:r>
      <w:r w:rsidR="00AB1591">
        <w:t xml:space="preserve"> where</w:t>
      </w:r>
      <w:r>
        <w:t xml:space="preserve"> pollutants </w:t>
      </w:r>
      <w:r w:rsidR="00AB1591">
        <w:t xml:space="preserve">are removed </w:t>
      </w:r>
      <w:r>
        <w:t xml:space="preserve">from the air without </w:t>
      </w:r>
      <w:r w:rsidR="00AB1591">
        <w:t xml:space="preserve">any </w:t>
      </w:r>
      <w:r>
        <w:t xml:space="preserve">chemical </w:t>
      </w:r>
      <w:r w:rsidR="00AB1591">
        <w:t>destruction.</w:t>
      </w:r>
      <w:r>
        <w:t xml:space="preserve"> </w:t>
      </w:r>
      <w:r w:rsidR="00AB1591">
        <w:t xml:space="preserve">These processes </w:t>
      </w:r>
      <w:r>
        <w:t xml:space="preserve">mainly include adsorption, mechanical filtration, and membranes separation. In contrast, destructive methods aim to convert pollutants into harmful </w:t>
      </w:r>
      <w:r w:rsidR="006F287F">
        <w:t>products such</w:t>
      </w:r>
      <w:r w:rsidR="00AB1591">
        <w:t xml:space="preserve"> as</w:t>
      </w:r>
      <w:r>
        <w:t xml:space="preserve"> photocatalytic oxidation, ozonation, non-thermal plasma and catalytic oxidation. Although these technologies have </w:t>
      </w:r>
      <w:r w:rsidR="006F287F">
        <w:t>shown</w:t>
      </w:r>
      <w:r>
        <w:t xml:space="preserve"> a promising results </w:t>
      </w:r>
      <w:r>
        <w:fldChar w:fldCharType="begin"/>
      </w:r>
      <w:r w:rsidR="009B4CED">
        <w:instrText xml:space="preserve"> ADDIN ZOTERO_ITEM CSL_CITATION {"citationID":"y0SFMyq7","properties":{"formattedCitation":"(Luengas et al., 2015)","plainCitation":"(Luengas et al., 2015)","noteIndex":0},"citationItems":[{"id":620,"uris":["http://zotero.org/users/18684960/items/I42D7G5U"],"itemData":{"id":620,"type":"article-journal","container-title":"Reviews in Environmental Science and Bio/Technology","DOI":"10.1007/s11157-015-9363-9","ISSN":"1569-1705, 1572-9826","issue":"3","journalAbbreviation":"Rev Environ Sci Biotechnol","language":"en","page":"499-522","source":"DOI.org (Crossref)","title":"A review of indoor air treatment technologies","volume":"14","author":[{"family":"Luengas","given":"Angela"},{"family":"Barona","given":"Astrid"},{"family":"Hort","given":"Cecile"},{"family":"Gallastegui","given":"Gorka"},{"family":"Platel","given":"Vincent"},{"family":"Elias","given":"Ana"}],"issued":{"date-parts":[["2015",9]]}}}],"schema":"https://github.com/citation-style-language/schema/raw/master/csl-citation.json"} </w:instrText>
      </w:r>
      <w:r>
        <w:fldChar w:fldCharType="separate"/>
      </w:r>
      <w:r w:rsidR="009B4CED" w:rsidRPr="009B4CED">
        <w:rPr>
          <w:rFonts w:cs="Arial"/>
        </w:rPr>
        <w:t>(Luengas et al., 2015)</w:t>
      </w:r>
      <w:r>
        <w:fldChar w:fldCharType="end"/>
      </w:r>
      <w:r>
        <w:t>.</w:t>
      </w:r>
    </w:p>
    <w:p w14:paraId="715E8005" w14:textId="1F003E0B" w:rsidR="005E5A77" w:rsidRDefault="00216AF4" w:rsidP="00E16A47">
      <w:pPr>
        <w:pStyle w:val="CETListbullets"/>
        <w:tabs>
          <w:tab w:val="left" w:pos="142"/>
        </w:tabs>
        <w:ind w:left="0" w:firstLine="0"/>
      </w:pPr>
      <w:r>
        <w:t xml:space="preserve">Among non-destructive methods, adsorption is widely used for </w:t>
      </w:r>
      <w:r w:rsidR="00AB1591">
        <w:t xml:space="preserve">pollutant </w:t>
      </w:r>
      <w:r>
        <w:t>removal because it operates under mild conditions, is simple to implement</w:t>
      </w:r>
      <w:r w:rsidR="00AB1591">
        <w:t xml:space="preserve"> </w:t>
      </w:r>
      <w:r w:rsidR="006F287F">
        <w:t>and requires</w:t>
      </w:r>
      <w:r>
        <w:t xml:space="preserve"> limited energy. Activated carbon remains one of the most common adsorbents due</w:t>
      </w:r>
      <w:r w:rsidR="00B02E61">
        <w:t xml:space="preserve"> to</w:t>
      </w:r>
      <w:r>
        <w:t xml:space="preserve"> its high specific area, </w:t>
      </w:r>
      <w:r w:rsidR="00B02E61">
        <w:t>well-</w:t>
      </w:r>
      <w:r>
        <w:t xml:space="preserve">developed microporosity, and strong affinity </w:t>
      </w:r>
      <w:r w:rsidR="00B02E61">
        <w:t xml:space="preserve">for </w:t>
      </w:r>
      <w:r>
        <w:t xml:space="preserve">organic </w:t>
      </w:r>
      <w:r w:rsidR="00B02E61">
        <w:t xml:space="preserve">molecules </w:t>
      </w:r>
      <w:r>
        <w:fldChar w:fldCharType="begin"/>
      </w:r>
      <w:r w:rsidR="009B4CED">
        <w:instrText xml:space="preserve"> ADDIN ZOTERO_ITEM CSL_CITATION {"citationID":"glgpVNeE","properties":{"formattedCitation":"(Yang et al., 2018)","plainCitation":"(Yang et al., 2018)","noteIndex":0},"citationItems":[{"id":635,"uris":["http://zotero.org/users/18684960/items/XP9F5LHB"],"itemData":{"id":635,"type":"article-journal","abstract":"This work was undertaken to investigate the behaviors and kinetics of toluene adsorption and desorption on activated carbons with varying pore structure. Five kinds of activated carbon from different raw materials were selected. Adsorption isotherms and breakthrough curves for toluene were measured. Langmuir and Freundlich equations were fitted to the equilibrium data, and the Freundlich equation was more suitable for simulating toluene adsorption. The process consisted of monolayer, multilayer and partial active site adsorption types. The effect of the pore structure of the activated carbons on toluene adsorption capacity was investigated. The quasi-first-order model was more suitable for describing the process than the quasi-second-order model. The adsorption data was also modeled by the internal particle diffusion model and it was found that the adsorption process could be divided into three stages. In the external surface adsorption process, the rate depended on the specific surface area. During the particle diffusion stage, pore structure and volume were the main factors affecting adsorption rate. In the final equilibrium stage, the rate was determined by the ratio of meso- and macro-pores to total pore volume. The rate over the whole adsorption process was dominated by the toluene concentration. The desorption behavior of toluene on activated carbons was investigated, and the process was divided into heat and mass transfer parts corresponding to emission and diffusion mechanisms, respectively. Physical adsorption played the main role during the adsorption process.","container-title":"Journal of Environmental Sciences","DOI":"10.1016/j.jes.2017.06.032","ISSN":"10010742","journalAbbreviation":"Journal of Environmental Sciences","language":"en","page":"104-114","source":"DOI.org (Crossref)","title":"Behaviors and kinetics of toluene adsorption</w:instrText>
      </w:r>
      <w:r w:rsidR="009B4CED">
        <w:rPr>
          <w:rFonts w:ascii="Cambria Math" w:hAnsi="Cambria Math" w:cs="Cambria Math"/>
        </w:rPr>
        <w:instrText>‐</w:instrText>
      </w:r>
      <w:r w:rsidR="009B4CED">
        <w:instrText xml:space="preserve">desorption on activated carbons with varying pore structure","volume":"67","author":[{"family":"Yang","given":"Xi"},{"family":"Yi","given":"Honghong"},{"family":"Tang","given":"Xiaolong"},{"family":"Zhao","given":"Shunzheng"},{"family":"Yang","given":"Zhongyu"},{"family":"Ma","given":"Yueqiang"},{"family":"Feng","given":"Tiecheng"},{"family":"Cui","given":"Xiaoxu"}],"issued":{"date-parts":[["2018",5]]}}}],"schema":"https://github.com/citation-style-language/schema/raw/master/csl-citation.json"} </w:instrText>
      </w:r>
      <w:r>
        <w:fldChar w:fldCharType="separate"/>
      </w:r>
      <w:r w:rsidR="009B4CED" w:rsidRPr="009B4CED">
        <w:rPr>
          <w:rFonts w:cs="Arial"/>
        </w:rPr>
        <w:t>(Yang et al., 2018)</w:t>
      </w:r>
      <w:r>
        <w:fldChar w:fldCharType="end"/>
      </w:r>
      <w:r>
        <w:t>. However, adsorption also suffers from important limitations, such as absorbent saturation, the need for regeneration, and possible pollutant re-emission under certain operating conditions.</w:t>
      </w:r>
    </w:p>
    <w:p w14:paraId="4AB9900B" w14:textId="6E49FBFF" w:rsidR="00165E3D" w:rsidRDefault="004766F2" w:rsidP="00165E3D">
      <w:pPr>
        <w:pStyle w:val="CETListbullets"/>
        <w:ind w:left="0" w:firstLine="0"/>
      </w:pPr>
      <w:r>
        <w:t>On the other hand,</w:t>
      </w:r>
      <w:r w:rsidR="001D72A8">
        <w:t xml:space="preserve"> photocatalytic oxidation has emerged as </w:t>
      </w:r>
      <w:r>
        <w:t xml:space="preserve">a </w:t>
      </w:r>
      <w:r w:rsidR="001D72A8">
        <w:t xml:space="preserve">promising </w:t>
      </w:r>
      <w:r>
        <w:t>technology for pollutants elimination</w:t>
      </w:r>
      <w:r w:rsidR="001D72A8">
        <w:t>. TiO</w:t>
      </w:r>
      <w:r w:rsidR="001D72A8">
        <w:rPr>
          <w:vertAlign w:val="subscript"/>
        </w:rPr>
        <w:t>2</w:t>
      </w:r>
      <w:r w:rsidR="001D72A8">
        <w:t>-based photocatalysts can oxidize VOCs at low concentration under ambient conditions</w:t>
      </w:r>
      <w:r>
        <w:t xml:space="preserve"> and</w:t>
      </w:r>
      <w:r w:rsidR="001D72A8">
        <w:t xml:space="preserve"> convert them into CO</w:t>
      </w:r>
      <w:r w:rsidR="001D72A8">
        <w:rPr>
          <w:vertAlign w:val="subscript"/>
        </w:rPr>
        <w:t>2</w:t>
      </w:r>
      <w:r w:rsidR="001D72A8">
        <w:t xml:space="preserve"> and H</w:t>
      </w:r>
      <w:r w:rsidR="001D72A8">
        <w:rPr>
          <w:vertAlign w:val="subscript"/>
        </w:rPr>
        <w:t>2</w:t>
      </w:r>
      <w:r w:rsidR="001D72A8">
        <w:t>O. Nevertheless</w:t>
      </w:r>
      <w:r w:rsidR="002B0AED">
        <w:t xml:space="preserve">, the practical application of photocatalysis remains limited by several </w:t>
      </w:r>
      <w:r w:rsidR="002B0AED">
        <w:lastRenderedPageBreak/>
        <w:t xml:space="preserve">drawbacks, including </w:t>
      </w:r>
      <w:r w:rsidR="00EC5AC2">
        <w:t>rapid</w:t>
      </w:r>
      <w:r w:rsidR="000A38EE">
        <w:t xml:space="preserve"> </w:t>
      </w:r>
      <w:r w:rsidR="002B0AED">
        <w:t xml:space="preserve">electron-hole recombination, limited adsorption capacity toward some pollutants, catalyst deactivation, and the possible formation of partial oxidation by-products </w:t>
      </w:r>
      <w:r w:rsidR="002B0AED">
        <w:fldChar w:fldCharType="begin"/>
      </w:r>
      <w:r w:rsidR="009B4CED">
        <w:instrText xml:space="preserve"> ADDIN ZOTERO_ITEM CSL_CITATION {"citationID":"EK4iOEpX","properties":{"formattedCitation":"(Haghighi and Haghighat, 2024)","plainCitation":"(Haghighi and Haghighat, 2024)","noteIndex":0},"citationItems":[{"id":610,"uris":["http://zotero.org/users/18684960/items/2DZL9PGZ"],"itemData":{"id":610,"type":"article-journal","abstract":"The unavoidable existence of volatile organic compounds (VOCs) in indoor environments, as the major indoor air pollutants, significantly affects indoor air quality, and consequently threatens human health and comfort. Among air purification technologies, the TiO2-based photocatalytic oxidation process (PCO) has indicated significant promise as an eco-friendly, cost-effective, and sustainable purification technology to degrade indoor VOCs, even at low concentrations. Nevertheless, despite the benefits, some limitations, and drawbacks, including inefficient utilization of visible light, high charge recombination rate, low adsorption capacity toward pollutants, hazardous by-product formation, and rapid deactivation have prevented the commercialization of this technology. There­ fore, many studies have been directed toward developing modification methods, i.e., metal/non-metal doping, co-doping, coupling with other semiconductors, and integrating with adsorbents to overcome the abovementioned limitations. This review briefly introduces the fundamentals of the TiO2-based PCO process and summarizes the limitations and barriers of this technology and the recent studies on the modification of TiO2 photocatalysts, aimed at enhancing an efficient photodegradation of indoor VOCs. Finally, the outlook and required future research for designing an efficient TiO2-based photocatalyst are suggested accordingly.","container-title":"Building and Environment","DOI":"10.1016/j.buildenv.2023.111108","ISSN":"03601323","journalAbbreviation":"Building and Environment","language":"en","page":"111108","source":"DOI.org (Crossref)","title":"TiO2-based photocatalytic oxidation process for indoor air VOCs removal: A comprehensive review","title-short":"TiO2-based photocatalytic oxidation process for indoor air VOCs removal","volume":"249","author":[{"family":"Haghighi","given":"Parham"},{"family":"Haghighat","given":"Fariborz"}],"issued":{"date-parts":[["2024",2]]}}}],"schema":"https://github.com/citation-style-language/schema/raw/master/csl-citation.json"} </w:instrText>
      </w:r>
      <w:r w:rsidR="002B0AED">
        <w:fldChar w:fldCharType="separate"/>
      </w:r>
      <w:r w:rsidR="009B4CED" w:rsidRPr="009B4CED">
        <w:rPr>
          <w:rFonts w:cs="Arial"/>
        </w:rPr>
        <w:t>(Haghighi and Haghighat, 2024)</w:t>
      </w:r>
      <w:r w:rsidR="002B0AED">
        <w:fldChar w:fldCharType="end"/>
      </w:r>
      <w:r w:rsidR="002B0AED">
        <w:t>.</w:t>
      </w:r>
    </w:p>
    <w:p w14:paraId="2A2EE555" w14:textId="372072D2" w:rsidR="00F32554" w:rsidRDefault="0043024C" w:rsidP="00165E3D">
      <w:pPr>
        <w:pStyle w:val="CETListbullets"/>
        <w:ind w:left="0" w:firstLine="0"/>
      </w:pPr>
      <w:r>
        <w:t xml:space="preserve">To overcome the limitation of these </w:t>
      </w:r>
      <w:r w:rsidR="004766F2">
        <w:t xml:space="preserve">processes </w:t>
      </w:r>
      <w:r>
        <w:t>used alone for volatile organic compounds (VOC) removal, recent studies have increasingly investigated hybrid systems that combine adsorption and photocatalysis. In such systems, VOCs are first captured and concentrated on an adsorbent surface, and are then degraded by a photocatalyst, typically TiO</w:t>
      </w:r>
      <w:r>
        <w:rPr>
          <w:vertAlign w:val="subscript"/>
        </w:rPr>
        <w:t>2</w:t>
      </w:r>
      <w:r>
        <w:t xml:space="preserve">. This combined approach has been widely explored in the literature </w:t>
      </w:r>
      <w:r>
        <w:fldChar w:fldCharType="begin"/>
      </w:r>
      <w:r w:rsidR="009B4CED">
        <w:instrText xml:space="preserve"> ADDIN ZOTERO_ITEM CSL_CITATION {"citationID":"EJVBPwlN","properties":{"formattedCitation":"(Zou et al., 2019)","plainCitation":"(Zou et al., 2019)","noteIndex":0},"citationItems":[{"id":13,"uris":["http://zotero.org/users/18684960/items/HLAZARVT"],"itemData":{"id":13,"type":"article-journal","abstract":"Volatile organic compounds (VOCs) are harmful for human and surrounding ecosystem, and a great number of VOC abatement technologies have been developed during the past few decades. However, the single method has some problems such as high energy consumption, unfriendly environment, and low removal efﬁciency. Recently, the integration of adsorption and photocatalytic degradation of VOCs is considered as a promising one. Carbon material, with large surface area, high adsorption capacity, and fast electron transfer ability, is widely used in integrated adsorptive-photocatalytic removal of VOCs. It is thus crucial to digest and summarize recent research advances in carbon-based nanocomposites as the adsorbent-photocatalyst for VOC removal. To satisfy this need, this work provides a critical review of the related literature with focuses on: (1) the advantages and disadvantages of various carbon-based nanocomposites for the applications of VOC adsorption and photocatalytic degradation; (2) models and mechanisms of adsorptive-photocatalytic removal of VOCs according to the material properties; and (3) major factors controlling adsorption-photocatalysis processes of VOCs. The review is aimed to establish the “structure-property-application” relationships for the development of innovative carbonsupported nanocomposites and to promote future research on the integrated adsorptive and photocatalytic removal of VOCs.","container-title":"Chemosphere","DOI":"10.1016/j.chemosphere.2018.11.175","ISSN":"00456535","journalAbbreviation":"Chemosphere","language":"en","page":"845-859","source":"DOI.org (Crossref)","title":"Integrated adsorption and photocatalytic degradation of volatile organic compounds (VOCs) using carbon-based nanocomposites: A critical review","title-short":"Integrated adsorption and photocatalytic degradation of volatile organic compounds (VOCs) using carbon-based nanocomposites","volume":"218","author":[{"family":"Zou","given":"Weixin"},{"family":"Gao","given":"Bin"},{"family":"Ok","given":"Yong Sik"},{"family":"Dong","given":"Lin"}],"issued":{"date-parts":[["2019",3]]}}}],"schema":"https://github.com/citation-style-language/schema/raw/master/csl-citation.json"} </w:instrText>
      </w:r>
      <w:r>
        <w:fldChar w:fldCharType="separate"/>
      </w:r>
      <w:r w:rsidR="009B4CED" w:rsidRPr="009B4CED">
        <w:rPr>
          <w:rFonts w:cs="Arial"/>
        </w:rPr>
        <w:t>(Zou et al., 2019)</w:t>
      </w:r>
      <w:r>
        <w:fldChar w:fldCharType="end"/>
      </w:r>
      <w:r w:rsidR="00F32554">
        <w:t>.</w:t>
      </w:r>
    </w:p>
    <w:p w14:paraId="2781B777" w14:textId="578FD8D7" w:rsidR="00F32554" w:rsidRDefault="00D05611" w:rsidP="00165E3D">
      <w:pPr>
        <w:pStyle w:val="CETListbullets"/>
        <w:ind w:left="0" w:firstLine="0"/>
        <w:rPr>
          <w:lang w:val="en-US"/>
        </w:rPr>
      </w:pPr>
      <w:r>
        <w:rPr>
          <w:lang w:val="en-US"/>
        </w:rPr>
        <w:t xml:space="preserve">Liu and his co-workers </w:t>
      </w:r>
      <w:r w:rsidR="00F32554" w:rsidRPr="00F32554">
        <w:rPr>
          <w:lang w:val="en-US"/>
        </w:rPr>
        <w:t>reported th</w:t>
      </w:r>
      <w:r w:rsidR="00F32554">
        <w:rPr>
          <w:lang w:val="en-US"/>
        </w:rPr>
        <w:t>at TiO</w:t>
      </w:r>
      <w:r w:rsidR="00F32554">
        <w:rPr>
          <w:vertAlign w:val="subscript"/>
          <w:lang w:val="en-US"/>
        </w:rPr>
        <w:t>2</w:t>
      </w:r>
      <w:r w:rsidR="00F32554">
        <w:rPr>
          <w:lang w:val="en-US"/>
        </w:rPr>
        <w:t>/activated carbon fiber (ACF) composites exhibited enhanced activity under 185 nm irradiation</w:t>
      </w:r>
      <w:r>
        <w:fldChar w:fldCharType="begin"/>
      </w:r>
      <w:r>
        <w:rPr>
          <w:lang w:val="en-US"/>
        </w:rPr>
        <w:instrText xml:space="preserve"> ADDIN ZOTERO_ITEM CSL_CITATION {"citationID":"54MUBROC","properties":{"formattedCitation":"(Liu et al., 2018)","plainCitation":"(Liu et al., 2018)","noteIndex":0},"citationItems":[{"id":657,"uris":["http://zotero.org/users/18684960/items/Y4SDFFF4"],"itemData":{"id":657,"type":"article-journal","container-title":"Applied Surface Science","DOI":"10.1016/j.apsusc.2017.07.209","ISSN":"01694332","journalAbbreviation":"Applied Surface Science","language":"en","page":"608-616","source":"DOI.org (Crossref)","title":"A facile preparation of TiO2/ACF with C Ti bond and abundant hydroxyls and its enhanced photocatalytic activity for formaldehyde removal","volume":"427","author":[{"family":"Liu","given":"R.F."},{"family":"Li","given":"W.B."},{"family":"Peng","given":"A.Y."}],"issued":{"date-parts":[["2018",1]]}}}],"schema":"https://github.com/citation-style-language/schema/raw/master/csl-citation.json"} </w:instrText>
      </w:r>
      <w:r>
        <w:fldChar w:fldCharType="separate"/>
      </w:r>
      <w:r w:rsidRPr="009B4CED">
        <w:rPr>
          <w:rFonts w:cs="Arial"/>
        </w:rPr>
        <w:t>(Liu et al., 2018)</w:t>
      </w:r>
      <w:r>
        <w:fldChar w:fldCharType="end"/>
      </w:r>
      <w:r w:rsidR="00F32554">
        <w:rPr>
          <w:lang w:val="en-US"/>
        </w:rPr>
        <w:t xml:space="preserve">. This improvement in formaldehyde degradation was attributed to higher generation of hydroxyl radicals from surface hydroxyl groups, together with improved electron transfer through Ti-C interactions. In contrast under 308 nm irradiation, hybrid materials often display lower photocatalytic performance </w:t>
      </w:r>
      <w:r w:rsidR="00F32554">
        <w:rPr>
          <w:lang w:val="en-US"/>
        </w:rPr>
        <w:fldChar w:fldCharType="begin"/>
      </w:r>
      <w:r w:rsidR="009B4CED">
        <w:rPr>
          <w:lang w:val="en-US"/>
        </w:rPr>
        <w:instrText xml:space="preserve"> ADDIN ZOTERO_ITEM CSL_CITATION {"citationID":"prmGo6wi","properties":{"formattedCitation":"(Biomorgi et al., 2010)","plainCitation":"(Biomorgi et al., 2010)","noteIndex":0},"citationItems":[{"id":655,"uris":["http://zotero.org/users/18684960/items/ZANRX4TK"],"itemData":{"id":655,"type":"article-journal","abstract":"We have investigated the efficiency of the coupling of adsorption on a zeolite material (DAY) and UV or V-UV irradiation for the treatment of VOC containing air streams. We have compared the efficiency of photodegradation of two pollutants (1-butanol and toluene) in the absence and in the presence of TiO2 deposited on DAY (DAY/TiO2). Irradiation was performed with two different excimer lamps emitting in the V-UV at 172 nm and in the UV at 308 nm. The gaseous effluent was analyzed on-line at the exit of the photochemical reactor by GC and FTIR. The adsorbents (DAY and DAY/TiO2) were analyzed before and after irradiation by solid state NMR, and the residual organic products remaining on the solids by GC-MS after extraction. The results show that the coupling of adsorption on DAY/TiO2 and V-UV irradiation is highly efficient both for VOC mineralization and adsorbent regeneration. This efficiency results from the synergy between the important contribution of VUV photolysis to the oxidative degradation of the VOC and the photocatalytic effect of TiO2 under V-UV irradiation at the DAY/TiO2 surface, preventing adsorbent fouling as observed in the absence of TiO2. The contribution of TiO2 was particularly remarkable in the case of toluene.","container-title":"Journal of Advanced Oxidation Technologies","DOI":"10.1515/jaots-2010-0114","ISSN":"2371-1175, 1203-8407","issue":"1","language":"en","source":"DOI.org (Crossref)","title":"Coupling of Adsorption on Zeolite and V-UV Irradiation for the Treatment of VOC Containing Air Streams: Effect of TiO2 on the VOC Degradation Efficiency","title-short":"Coupling of Adsorption on Zeolite and V-UV Irradiation for the Treatment of VOC Containing Air Streams","URL":"https://www.degruyter.com/document/doi/10.1515/jaots-2010-0114/html","volume":"13","author":[{"family":"Biomorgi","given":"José"},{"family":"Haddou","given":"Ménana"},{"family":"Oliveros","given":"Esther"},{"family":"Maurette","given":"Marie-Thérèse"},{"family":"Benoit-Marquié","given":"Florence"}],"accessed":{"date-parts":[["2026",4,13]]},"issued":{"date-parts":[["2010",1,1]]}}}],"schema":"https://github.com/citation-style-language/schema/raw/master/csl-citation.json"} </w:instrText>
      </w:r>
      <w:r w:rsidR="00F32554">
        <w:rPr>
          <w:lang w:val="en-US"/>
        </w:rPr>
        <w:fldChar w:fldCharType="separate"/>
      </w:r>
      <w:r w:rsidR="009B4CED" w:rsidRPr="009B4CED">
        <w:rPr>
          <w:rFonts w:cs="Arial"/>
        </w:rPr>
        <w:t>(Biomorgi et al., 2010)</w:t>
      </w:r>
      <w:r w:rsidR="00F32554">
        <w:rPr>
          <w:lang w:val="en-US"/>
        </w:rPr>
        <w:fldChar w:fldCharType="end"/>
      </w:r>
      <w:r w:rsidR="00F32554">
        <w:rPr>
          <w:lang w:val="en-US"/>
        </w:rPr>
        <w:t>.</w:t>
      </w:r>
    </w:p>
    <w:p w14:paraId="063D83C9" w14:textId="14EF5421" w:rsidR="00CF782F" w:rsidRPr="00F32554" w:rsidRDefault="00AA5B42" w:rsidP="00165E3D">
      <w:pPr>
        <w:pStyle w:val="CETListbullets"/>
        <w:ind w:left="0" w:firstLine="0"/>
        <w:rPr>
          <w:lang w:val="en-US"/>
        </w:rPr>
      </w:pPr>
      <w:r>
        <w:rPr>
          <w:lang w:val="en-US"/>
        </w:rPr>
        <w:t>Based on the literature, coupling adsorption and photocatalysis appears to be a promising strategy for improving VOC</w:t>
      </w:r>
      <w:r w:rsidR="002D7F47">
        <w:rPr>
          <w:lang w:val="en-US"/>
        </w:rPr>
        <w:t>s</w:t>
      </w:r>
      <w:r>
        <w:rPr>
          <w:lang w:val="en-US"/>
        </w:rPr>
        <w:t xml:space="preserve"> removal while overcoming the</w:t>
      </w:r>
      <w:r w:rsidR="000A38EE">
        <w:rPr>
          <w:lang w:val="en-US"/>
        </w:rPr>
        <w:t xml:space="preserve"> individual</w:t>
      </w:r>
      <w:r>
        <w:rPr>
          <w:lang w:val="en-US"/>
        </w:rPr>
        <w:t xml:space="preserve"> limitation of each process used separately. In this context, the objective of this work was to investigate the performance of an innovative textile-based support. The first part of this study </w:t>
      </w:r>
      <w:r w:rsidR="002D7F47">
        <w:rPr>
          <w:lang w:val="en-US"/>
        </w:rPr>
        <w:t xml:space="preserve">aims </w:t>
      </w:r>
      <w:r>
        <w:rPr>
          <w:lang w:val="en-US"/>
        </w:rPr>
        <w:t>to evaluate and compare</w:t>
      </w:r>
      <w:r w:rsidR="002D7F47">
        <w:rPr>
          <w:lang w:val="en-US"/>
        </w:rPr>
        <w:t xml:space="preserve"> the performance of</w:t>
      </w:r>
      <w:r>
        <w:rPr>
          <w:lang w:val="en-US"/>
        </w:rPr>
        <w:t xml:space="preserve"> five commercial adsorbents</w:t>
      </w:r>
      <w:r w:rsidR="002D7F47">
        <w:rPr>
          <w:lang w:val="en-US"/>
        </w:rPr>
        <w:t>.</w:t>
      </w:r>
      <w:r>
        <w:rPr>
          <w:lang w:val="en-US"/>
        </w:rPr>
        <w:t xml:space="preserve"> </w:t>
      </w:r>
      <w:r w:rsidR="00806090">
        <w:rPr>
          <w:lang w:val="en-US"/>
        </w:rPr>
        <w:t xml:space="preserve">Then </w:t>
      </w:r>
      <w:r w:rsidR="002D7F47">
        <w:rPr>
          <w:lang w:val="en-US"/>
        </w:rPr>
        <w:t xml:space="preserve">the </w:t>
      </w:r>
      <w:r w:rsidR="00806090">
        <w:rPr>
          <w:lang w:val="en-US"/>
        </w:rPr>
        <w:t xml:space="preserve">selected activated carbon </w:t>
      </w:r>
      <w:r w:rsidR="002D7F47">
        <w:rPr>
          <w:lang w:val="en-US"/>
        </w:rPr>
        <w:t xml:space="preserve">will be </w:t>
      </w:r>
      <w:r w:rsidR="00806090">
        <w:rPr>
          <w:lang w:val="en-US"/>
        </w:rPr>
        <w:t>combined with TiO</w:t>
      </w:r>
      <w:r w:rsidR="00806090">
        <w:rPr>
          <w:vertAlign w:val="subscript"/>
          <w:lang w:val="en-US"/>
        </w:rPr>
        <w:t>2</w:t>
      </w:r>
      <w:r w:rsidR="00806090">
        <w:rPr>
          <w:lang w:val="en-US"/>
        </w:rPr>
        <w:t xml:space="preserve"> on the textile support and tested under dynami</w:t>
      </w:r>
      <w:r w:rsidR="00E92D48">
        <w:rPr>
          <w:lang w:val="en-US"/>
        </w:rPr>
        <w:t xml:space="preserve">c conditions in a continuous </w:t>
      </w:r>
      <w:r w:rsidR="000A38EE" w:rsidRPr="000A38EE">
        <w:rPr>
          <w:lang w:val="en-US"/>
        </w:rPr>
        <w:t>flow-through reactor system</w:t>
      </w:r>
      <w:r w:rsidR="00E92D48">
        <w:rPr>
          <w:lang w:val="en-US"/>
        </w:rPr>
        <w:t>. The second part of this work</w:t>
      </w:r>
      <w:r w:rsidR="009977EC">
        <w:rPr>
          <w:lang w:val="en-US"/>
        </w:rPr>
        <w:t xml:space="preserve"> aims</w:t>
      </w:r>
      <w:r w:rsidR="00E92D48">
        <w:rPr>
          <w:lang w:val="en-US"/>
        </w:rPr>
        <w:t xml:space="preserve"> to determine the effect of the distribution of activated carbon and TiO</w:t>
      </w:r>
      <w:r w:rsidR="00E92D48">
        <w:rPr>
          <w:vertAlign w:val="subscript"/>
          <w:lang w:val="en-US"/>
        </w:rPr>
        <w:t>2</w:t>
      </w:r>
      <w:r w:rsidR="00E92D48">
        <w:rPr>
          <w:lang w:val="en-US"/>
        </w:rPr>
        <w:t xml:space="preserve"> on the overall removal performance under dark conditions and under UV irradiation.</w:t>
      </w:r>
    </w:p>
    <w:p w14:paraId="09406386" w14:textId="4A37D86A" w:rsidR="00453E24" w:rsidRDefault="0011780E" w:rsidP="00453E24">
      <w:pPr>
        <w:pStyle w:val="CETHeading1"/>
      </w:pPr>
      <w:r>
        <w:t xml:space="preserve">Material &amp; methods </w:t>
      </w:r>
    </w:p>
    <w:p w14:paraId="2E290813" w14:textId="2D539D67" w:rsidR="0011780E" w:rsidRDefault="0011780E" w:rsidP="0011780E">
      <w:pPr>
        <w:pStyle w:val="CETheadingx"/>
      </w:pPr>
      <w:r>
        <w:t xml:space="preserve">Studied pollutant </w:t>
      </w:r>
    </w:p>
    <w:p w14:paraId="18BD4271" w14:textId="491EEE7C" w:rsidR="0011780E" w:rsidRPr="0011780E" w:rsidRDefault="0011780E" w:rsidP="0011780E">
      <w:pPr>
        <w:pStyle w:val="CETBodytext"/>
      </w:pPr>
      <w:r w:rsidRPr="0011780E">
        <w:t xml:space="preserve">The target pollutant in this </w:t>
      </w:r>
      <w:r w:rsidR="000A38EE">
        <w:t>study</w:t>
      </w:r>
      <w:r w:rsidR="000A38EE" w:rsidRPr="0011780E">
        <w:t xml:space="preserve"> </w:t>
      </w:r>
      <w:r w:rsidRPr="0011780E">
        <w:t>is toluene (C</w:t>
      </w:r>
      <w:r w:rsidRPr="0014535C">
        <w:rPr>
          <w:vertAlign w:val="subscript"/>
        </w:rPr>
        <w:t>7</w:t>
      </w:r>
      <w:r w:rsidRPr="0011780E">
        <w:t>H</w:t>
      </w:r>
      <w:r w:rsidRPr="0014535C">
        <w:rPr>
          <w:vertAlign w:val="subscript"/>
        </w:rPr>
        <w:t>8</w:t>
      </w:r>
      <w:r w:rsidRPr="0011780E">
        <w:t xml:space="preserve">), a </w:t>
      </w:r>
      <w:r w:rsidR="000A38EE">
        <w:t>widely used</w:t>
      </w:r>
      <w:r w:rsidR="000A38EE" w:rsidRPr="0011780E">
        <w:t xml:space="preserve"> </w:t>
      </w:r>
      <w:r w:rsidRPr="0011780E">
        <w:t>model VOC</w:t>
      </w:r>
      <w:r w:rsidR="000A38EE">
        <w:t xml:space="preserve"> In gas phase studies.</w:t>
      </w:r>
      <w:r w:rsidR="000A38EE" w:rsidRPr="0011780E">
        <w:t xml:space="preserve"> </w:t>
      </w:r>
      <w:r w:rsidRPr="0011780E">
        <w:t xml:space="preserve">The compound was supplied by Honeywell in liquid form with </w:t>
      </w:r>
      <w:r w:rsidR="000A38EE">
        <w:t xml:space="preserve">a </w:t>
      </w:r>
      <w:r w:rsidRPr="0011780E">
        <w:t xml:space="preserve">purity </w:t>
      </w:r>
      <w:r w:rsidR="000A38EE">
        <w:t>exceeding</w:t>
      </w:r>
      <w:r w:rsidRPr="0011780E">
        <w:t xml:space="preserve"> 99</w:t>
      </w:r>
      <w:r w:rsidR="008A2BE3">
        <w:t xml:space="preserve"> </w:t>
      </w:r>
      <w:r w:rsidRPr="0011780E">
        <w:t>%.</w:t>
      </w:r>
    </w:p>
    <w:p w14:paraId="0585F3CF" w14:textId="794E84D6" w:rsidR="0011780E" w:rsidRDefault="0011780E" w:rsidP="0011780E">
      <w:pPr>
        <w:pStyle w:val="CETheadingx"/>
      </w:pPr>
      <w:r>
        <w:t xml:space="preserve">Adsorbent materials </w:t>
      </w:r>
    </w:p>
    <w:p w14:paraId="69AE0154" w14:textId="7D300AC1" w:rsidR="00963730" w:rsidRDefault="000A38EE" w:rsidP="008A2BE3">
      <w:pPr>
        <w:pStyle w:val="CETBodytext"/>
      </w:pPr>
      <w:r>
        <w:t>F</w:t>
      </w:r>
      <w:r w:rsidRPr="0011780E">
        <w:t xml:space="preserve">ive </w:t>
      </w:r>
      <w:r w:rsidR="00FB0A96" w:rsidRPr="0011780E">
        <w:t>type</w:t>
      </w:r>
      <w:r>
        <w:t>s</w:t>
      </w:r>
      <w:r w:rsidR="00FB0A96" w:rsidRPr="0011780E">
        <w:t xml:space="preserve"> of </w:t>
      </w:r>
      <w:r w:rsidR="00FB0A96">
        <w:t xml:space="preserve">commercial </w:t>
      </w:r>
      <w:r w:rsidR="00FB0A96" w:rsidRPr="0011780E">
        <w:t xml:space="preserve">activated carbon (AC) with different physical forms </w:t>
      </w:r>
      <w:r>
        <w:t>were investigated</w:t>
      </w:r>
      <w:r w:rsidR="00FB0A96" w:rsidRPr="0011780E">
        <w:t xml:space="preserve">, including two activated carbon textiles </w:t>
      </w:r>
      <w:r w:rsidR="00CB7B4D">
        <w:t>manufactured</w:t>
      </w:r>
      <w:r w:rsidR="00CB7B4D" w:rsidRPr="0011780E">
        <w:t xml:space="preserve"> </w:t>
      </w:r>
      <w:r w:rsidR="00FB0A96" w:rsidRPr="0011780E">
        <w:t xml:space="preserve">by Jacobi </w:t>
      </w:r>
      <w:proofErr w:type="spellStart"/>
      <w:r w:rsidR="00FB0A96" w:rsidRPr="0011780E">
        <w:t>Actitex</w:t>
      </w:r>
      <w:proofErr w:type="spellEnd"/>
      <w:r w:rsidR="00FB0A96" w:rsidRPr="0011780E">
        <w:t xml:space="preserve"> (Saint Jean de </w:t>
      </w:r>
      <w:proofErr w:type="spellStart"/>
      <w:r w:rsidR="00FB0A96" w:rsidRPr="0011780E">
        <w:t>Braye</w:t>
      </w:r>
      <w:proofErr w:type="spellEnd"/>
      <w:r w:rsidR="00FB0A96" w:rsidRPr="0011780E">
        <w:t xml:space="preserve">, France): (FC1201), with two different thickness </w:t>
      </w:r>
      <w:r w:rsidR="00CB7B4D">
        <w:t>(</w:t>
      </w:r>
      <w:r w:rsidR="00FB0A96" w:rsidRPr="0011780E">
        <w:t>1 and 2 mm</w:t>
      </w:r>
      <w:r w:rsidR="00CB7B4D">
        <w:t>)</w:t>
      </w:r>
      <w:r w:rsidR="00FB0A96" w:rsidRPr="0011780E">
        <w:t>, a non-woven filter material</w:t>
      </w:r>
      <w:r w:rsidR="00CB7B4D">
        <w:t xml:space="preserve"> consisting of granular carbon</w:t>
      </w:r>
      <w:r w:rsidR="00CB7B4D" w:rsidRPr="0011780E">
        <w:t xml:space="preserve"> </w:t>
      </w:r>
      <w:r w:rsidR="00CB7B4D">
        <w:t>embedded</w:t>
      </w:r>
      <w:r w:rsidR="00CB7B4D" w:rsidRPr="0011780E">
        <w:t xml:space="preserve"> </w:t>
      </w:r>
      <w:r w:rsidR="00FB0A96" w:rsidRPr="0011780E">
        <w:t xml:space="preserve">between two </w:t>
      </w:r>
      <w:r w:rsidR="00CB7B4D">
        <w:t xml:space="preserve">fibrous </w:t>
      </w:r>
      <w:r w:rsidR="00FB0A96" w:rsidRPr="0011780E">
        <w:t>layers</w:t>
      </w:r>
      <w:r w:rsidR="00CB7B4D">
        <w:t>,</w:t>
      </w:r>
      <w:r w:rsidR="00FB0A96" w:rsidRPr="0011780E">
        <w:t xml:space="preserve"> and </w:t>
      </w:r>
      <w:proofErr w:type="spellStart"/>
      <w:r w:rsidR="00FB0A96" w:rsidRPr="0011780E">
        <w:t>Dolder</w:t>
      </w:r>
      <w:proofErr w:type="spellEnd"/>
      <w:r w:rsidR="00FB0A96" w:rsidRPr="0011780E">
        <w:t xml:space="preserve"> foam (thickness 5</w:t>
      </w:r>
      <w:r w:rsidR="00CB7B4D">
        <w:t>.</w:t>
      </w:r>
      <w:r w:rsidR="00FB0A96" w:rsidRPr="0011780E">
        <w:t xml:space="preserve">5 mm) from </w:t>
      </w:r>
      <w:proofErr w:type="spellStart"/>
      <w:r w:rsidR="00FB0A96" w:rsidRPr="0011780E">
        <w:t>Dolder</w:t>
      </w:r>
      <w:proofErr w:type="spellEnd"/>
      <w:r w:rsidR="00FB0A96" w:rsidRPr="0011780E">
        <w:t xml:space="preserve"> AG (Basel, Switzerland</w:t>
      </w:r>
      <w:r w:rsidR="00CB7B4D" w:rsidRPr="0011780E">
        <w:t>)</w:t>
      </w:r>
      <w:r w:rsidR="00CB7B4D">
        <w:t xml:space="preserve">. Additionally, </w:t>
      </w:r>
      <w:r w:rsidR="00FB0A96" w:rsidRPr="0011780E">
        <w:t>a powder</w:t>
      </w:r>
      <w:r w:rsidR="00CB7B4D">
        <w:t>ed a</w:t>
      </w:r>
      <w:r w:rsidR="00FB0A96" w:rsidRPr="0011780E">
        <w:t xml:space="preserve"> named AC </w:t>
      </w:r>
      <w:proofErr w:type="spellStart"/>
      <w:r w:rsidR="00FB0A96" w:rsidRPr="0011780E">
        <w:t>Ecosorb</w:t>
      </w:r>
      <w:proofErr w:type="spellEnd"/>
      <w:r w:rsidR="00FB0A96" w:rsidRPr="0011780E">
        <w:t xml:space="preserve"> from Jacobi Carbon Group (Kalmar, Sweden)</w:t>
      </w:r>
      <w:r w:rsidR="00FB0A96">
        <w:t>.</w:t>
      </w:r>
    </w:p>
    <w:p w14:paraId="63AED2AD" w14:textId="7AD5FB30" w:rsidR="0011780E" w:rsidRDefault="0011780E" w:rsidP="0011780E">
      <w:pPr>
        <w:pStyle w:val="CETheadingx"/>
      </w:pPr>
      <w:r>
        <w:t xml:space="preserve">Textile support </w:t>
      </w:r>
    </w:p>
    <w:p w14:paraId="185AB2A6" w14:textId="6A844D70" w:rsidR="001141DF" w:rsidRDefault="0011780E" w:rsidP="0011780E">
      <w:pPr>
        <w:pStyle w:val="CETBodytext"/>
      </w:pPr>
      <w:r>
        <w:t xml:space="preserve">The textile-based </w:t>
      </w:r>
      <w:r w:rsidR="00921AE1">
        <w:t>filter, manufactured</w:t>
      </w:r>
      <w:r>
        <w:t xml:space="preserve"> by </w:t>
      </w:r>
      <w:proofErr w:type="spellStart"/>
      <w:r>
        <w:t>Brochier</w:t>
      </w:r>
      <w:proofErr w:type="spellEnd"/>
      <w:r>
        <w:t xml:space="preserve"> Technologies (Villeurbanne, France), </w:t>
      </w:r>
      <w:r w:rsidR="00D627B7">
        <w:t xml:space="preserve">is made </w:t>
      </w:r>
      <w:r>
        <w:t>of polymer fibers</w:t>
      </w:r>
      <w:r w:rsidR="00921AE1">
        <w:t xml:space="preserve"> </w:t>
      </w:r>
      <w:r>
        <w:t>and optical fibers</w:t>
      </w:r>
      <w:r w:rsidR="00AC74C3">
        <w:t xml:space="preserve">, allowing internal UV light </w:t>
      </w:r>
      <w:proofErr w:type="spellStart"/>
      <w:r w:rsidR="00AC74C3">
        <w:t>tranmission</w:t>
      </w:r>
      <w:proofErr w:type="spellEnd"/>
      <w:r>
        <w:t xml:space="preserve">. These optical fibers have an average diameter of 500 µm </w:t>
      </w:r>
      <w:r w:rsidR="007633A6">
        <w:fldChar w:fldCharType="begin"/>
      </w:r>
      <w:r w:rsidR="009B4CED">
        <w:instrText xml:space="preserve"> ADDIN ZOTERO_ITEM CSL_CITATION {"citationID":"QXk8l8hm","properties":{"formattedCitation":"(Bourgeois et al., 2012)","plainCitation":"(Bourgeois et al., 2012)","noteIndex":0},"citationItems":[{"id":103,"uris":["http://zotero.org/users/18684960/items/686W9QXI"],"itemData":{"id":103,"type":"article-journal","container-title":"Applied Catalysis B: Environmental","DOI":"10.1016/j.apcatb.2012.03.033","ISSN":"0926-3373","language":"en","license":"https://www.elsevier.com/tdm/userlicense/1.0/","note":"publisher: Elsevier BV","page":"171-178","source":"Crossref","title":"Characterization of a new photocatalytic textile for formaldehyde removal from indoor air","volume":"128","author":[{"family":"Bourgeois","given":"Pierre-Alexandre"},{"family":"Puzenat","given":"Eric"},{"family":"Peruchon","given":"Laure"},{"family":"Simonet","given":"France"},{"family":"Chevalier","given":"Delphine"},{"family":"Deflin","given":"Emmanuel"},{"family":"Brochier","given":"Cédric"},{"family":"Guillard","given":"Chantal"}],"issued":{"date-parts":[["2012",11]]}}}],"schema":"https://github.com/citation-style-language/schema/raw/master/csl-citation.json"} </w:instrText>
      </w:r>
      <w:r w:rsidR="007633A6">
        <w:fldChar w:fldCharType="separate"/>
      </w:r>
      <w:r w:rsidR="009B4CED" w:rsidRPr="009B4CED">
        <w:rPr>
          <w:rFonts w:cs="Arial"/>
        </w:rPr>
        <w:t>(Bourgeois et al., 2012)</w:t>
      </w:r>
      <w:r w:rsidR="007633A6">
        <w:fldChar w:fldCharType="end"/>
      </w:r>
      <w:r>
        <w:t xml:space="preserve">. Both types of fibers were integrated into the textile structure using a binding weave based on the Jacquard weaving process. This support was initially protected </w:t>
      </w:r>
      <w:r w:rsidR="00AC74C3" w:rsidRPr="00AC74C3">
        <w:t xml:space="preserve">a protective silica layer, followed by deposition of </w:t>
      </w:r>
      <w:proofErr w:type="spellStart"/>
      <w:r w:rsidR="00AC74C3" w:rsidRPr="00AC74C3">
        <w:t>TiO</w:t>
      </w:r>
      <w:proofErr w:type="spellEnd"/>
      <w:r w:rsidR="00AC74C3" w:rsidRPr="00AC74C3">
        <w:rPr>
          <w:rFonts w:ascii="Cambria Math" w:hAnsi="Cambria Math" w:cs="Cambria Math"/>
        </w:rPr>
        <w:t>₂</w:t>
      </w:r>
      <w:r w:rsidR="00AC74C3" w:rsidRPr="00AC74C3">
        <w:t xml:space="preserve"> P25</w:t>
      </w:r>
      <w:r w:rsidR="00AC74C3">
        <w:t xml:space="preserve"> </w:t>
      </w:r>
      <w:r w:rsidR="007977DC">
        <w:t>supplied by Evonik (Essen, Germany)</w:t>
      </w:r>
      <w:r w:rsidR="00D627B7">
        <w:t xml:space="preserve">. </w:t>
      </w:r>
      <w:r w:rsidR="007977DC">
        <w:t xml:space="preserve"> </w:t>
      </w:r>
      <w:r w:rsidR="00D627B7">
        <w:t>A</w:t>
      </w:r>
      <w:r w:rsidR="002235A4">
        <w:t>ctivated carbon (</w:t>
      </w:r>
      <w:r>
        <w:t>AC</w:t>
      </w:r>
      <w:r w:rsidR="002235A4">
        <w:t xml:space="preserve">, </w:t>
      </w:r>
      <w:proofErr w:type="spellStart"/>
      <w:r>
        <w:t>Ecosorb</w:t>
      </w:r>
      <w:proofErr w:type="spellEnd"/>
      <w:r>
        <w:t xml:space="preserve">) </w:t>
      </w:r>
      <w:r w:rsidR="00D627B7">
        <w:t xml:space="preserve">can be deposited in two different ways depending </w:t>
      </w:r>
      <w:r w:rsidR="002235A4">
        <w:t>on the textile configuration. In the first configuration (</w:t>
      </w:r>
      <w:proofErr w:type="spellStart"/>
      <w:r w:rsidR="002235A4">
        <w:t>i</w:t>
      </w:r>
      <w:proofErr w:type="spellEnd"/>
      <w:r w:rsidR="002235A4">
        <w:t>), one face of the textile was coated with AC, while the opposite face was coated with TiO</w:t>
      </w:r>
      <w:r w:rsidR="002235A4">
        <w:rPr>
          <w:vertAlign w:val="subscript"/>
        </w:rPr>
        <w:t>2</w:t>
      </w:r>
      <w:r w:rsidR="002235A4">
        <w:t>. In the second configuration (ii), both TiO</w:t>
      </w:r>
      <w:r w:rsidR="002235A4">
        <w:rPr>
          <w:vertAlign w:val="subscript"/>
        </w:rPr>
        <w:t>2</w:t>
      </w:r>
      <w:r w:rsidR="002235A4">
        <w:t xml:space="preserve"> and AC were deposited on each face of the textile, </w:t>
      </w:r>
      <w:r w:rsidR="00AC74C3">
        <w:t>as illustrated</w:t>
      </w:r>
      <w:r w:rsidR="002235A4">
        <w:t xml:space="preserve"> in Figure 1.</w:t>
      </w:r>
      <w:r>
        <w:t xml:space="preserve"> </w:t>
      </w:r>
    </w:p>
    <w:p w14:paraId="15A1A2AE" w14:textId="6AFE5FB7" w:rsidR="00BC51B1" w:rsidRDefault="00713191" w:rsidP="0011780E">
      <w:pPr>
        <w:pStyle w:val="CETBodytext"/>
      </w:pPr>
      <w:r w:rsidRPr="00713191">
        <w:drawing>
          <wp:inline distT="0" distB="0" distL="0" distR="0" wp14:anchorId="16CDA8AD" wp14:editId="338DD48E">
            <wp:extent cx="5579745" cy="1511300"/>
            <wp:effectExtent l="0" t="0" r="190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79745" cy="1511300"/>
                    </a:xfrm>
                    <a:prstGeom prst="rect">
                      <a:avLst/>
                    </a:prstGeom>
                  </pic:spPr>
                </pic:pic>
              </a:graphicData>
            </a:graphic>
          </wp:inline>
        </w:drawing>
      </w:r>
    </w:p>
    <w:p w14:paraId="2977D07E" w14:textId="49963BD1" w:rsidR="005E6C4F" w:rsidRDefault="00BC51B1" w:rsidP="00BC51B1">
      <w:pPr>
        <w:pStyle w:val="CETCaption"/>
      </w:pPr>
      <w:r>
        <w:t xml:space="preserve">Figure 1: </w:t>
      </w:r>
      <w:r>
        <w:t>Schematic illustration of the two textiles configuration</w:t>
      </w:r>
      <w:r>
        <w:t xml:space="preserve"> for gas-toluene removal.</w:t>
      </w:r>
    </w:p>
    <w:p w14:paraId="20FA2A0E" w14:textId="63201756" w:rsidR="001141DF" w:rsidRPr="001141DF" w:rsidRDefault="001141DF" w:rsidP="001141DF">
      <w:pPr>
        <w:pStyle w:val="CETBodytext"/>
      </w:pPr>
      <w:r>
        <w:lastRenderedPageBreak/>
        <w:t xml:space="preserve">The AC impregnation was carried out using a spray-coating process. A solution containing the AC </w:t>
      </w:r>
      <w:proofErr w:type="spellStart"/>
      <w:r>
        <w:t>Ecosorb</w:t>
      </w:r>
      <w:proofErr w:type="spellEnd"/>
      <w:r>
        <w:t xml:space="preserve"> powder was sprayed on the textile to obtain the desired quantity. Then the impregnated textile was dried in an oven at 70</w:t>
      </w:r>
      <w:r w:rsidR="00143167">
        <w:t xml:space="preserve"> </w:t>
      </w:r>
      <w:r>
        <w:t xml:space="preserve">°C for 10 min. After drying, the excess AC was </w:t>
      </w:r>
      <w:r w:rsidRPr="00AC74C3">
        <w:t xml:space="preserve">removed by </w:t>
      </w:r>
      <w:r w:rsidRPr="00AC74C3">
        <w:rPr>
          <w:lang w:val="en-GB"/>
        </w:rPr>
        <w:t>gentle</w:t>
      </w:r>
      <w:r w:rsidRPr="008A2BE3">
        <w:rPr>
          <w:lang w:val="en-GB"/>
        </w:rPr>
        <w:t xml:space="preserve"> mechanical </w:t>
      </w:r>
      <w:r>
        <w:t>tapping the fabric.</w:t>
      </w:r>
    </w:p>
    <w:p w14:paraId="13912682" w14:textId="308D6172" w:rsidR="00F61A9B" w:rsidRDefault="00F61A9B" w:rsidP="00F61A9B">
      <w:pPr>
        <w:pStyle w:val="CETheadingx"/>
      </w:pPr>
      <w:r>
        <w:t xml:space="preserve">Adsorption experiments in batch reactor </w:t>
      </w:r>
    </w:p>
    <w:p w14:paraId="018CB63A" w14:textId="612C3095" w:rsidR="00F744C3" w:rsidRDefault="00F61A9B" w:rsidP="00F61A9B">
      <w:pPr>
        <w:pStyle w:val="CETBodytext"/>
      </w:pPr>
      <w:r>
        <w:t>Batch experiments were first performed to evaluate the adsorption performance of the five activated carbon</w:t>
      </w:r>
      <w:r w:rsidR="002613C6">
        <w:t>s</w:t>
      </w:r>
      <w:r>
        <w:t xml:space="preserve"> presented in the </w:t>
      </w:r>
      <w:r w:rsidR="00AC74C3">
        <w:t xml:space="preserve">Materials </w:t>
      </w:r>
      <w:r>
        <w:t>section. Adsorption isotherms were established by introducing known concentration</w:t>
      </w:r>
      <w:r w:rsidR="00AC74C3">
        <w:t>s</w:t>
      </w:r>
      <w:r>
        <w:t xml:space="preserve"> of the target pollutant into sealed flasks containing a known mass of activated carbon</w:t>
      </w:r>
      <w:r w:rsidR="00FF6CE9">
        <w:t xml:space="preserve"> and a magnetic stirrer to ensure ade</w:t>
      </w:r>
      <w:r w:rsidR="00C84EA2">
        <w:t>quate homogeneity</w:t>
      </w:r>
      <w:r w:rsidR="00A35317">
        <w:t xml:space="preserve"> at a </w:t>
      </w:r>
      <w:r w:rsidR="00921E13">
        <w:t>constant temperature</w:t>
      </w:r>
      <w:r w:rsidR="00A35317">
        <w:t xml:space="preserve"> of 25</w:t>
      </w:r>
      <w:r w:rsidR="00143167">
        <w:t xml:space="preserve"> </w:t>
      </w:r>
      <w:r w:rsidR="00A35317">
        <w:t>°C under normal atmospheric pressure</w:t>
      </w:r>
      <w:r>
        <w:t>. For each initial concentration, the adsorption kinetics were monitored until equilibrium was reached. The adsorption capacity corresponding to each concentration was then calculated in order to establish the adsorption isotherms.</w:t>
      </w:r>
    </w:p>
    <w:p w14:paraId="5E99F098" w14:textId="7B879E1A" w:rsidR="00F744C3" w:rsidRDefault="005F7FCB" w:rsidP="005F7FCB">
      <w:pPr>
        <w:pStyle w:val="CETheadingx"/>
      </w:pPr>
      <w:r>
        <w:t xml:space="preserve">Continuous-flow reactor for adsorption-photocatalysis coupling </w:t>
      </w:r>
    </w:p>
    <w:p w14:paraId="45E96A71" w14:textId="4BA81886" w:rsidR="005F7FCB" w:rsidRDefault="005F7FCB" w:rsidP="005F7FCB">
      <w:pPr>
        <w:pStyle w:val="CETBodytext"/>
      </w:pPr>
      <w:r>
        <w:t>The combined adsorption and photocatalysis experiment</w:t>
      </w:r>
      <w:r w:rsidR="00AC74C3">
        <w:t>s</w:t>
      </w:r>
      <w:r>
        <w:t xml:space="preserve"> were carried out in a </w:t>
      </w:r>
      <w:r w:rsidR="00AC74C3">
        <w:t xml:space="preserve">novel </w:t>
      </w:r>
      <w:r>
        <w:t xml:space="preserve">continuous-flow reactor operating in a </w:t>
      </w:r>
      <w:r w:rsidR="005658A5">
        <w:t>front</w:t>
      </w:r>
      <w:r>
        <w:t xml:space="preserve">-flow configuration, with a cross-sectional area of </w:t>
      </w:r>
      <w:r w:rsidR="00143167">
        <w:t>0.0</w:t>
      </w:r>
      <w:r>
        <w:t>1</w:t>
      </w:r>
      <w:r w:rsidR="00143167">
        <w:t xml:space="preserve"> </w:t>
      </w:r>
      <w:r>
        <w:t xml:space="preserve">m². The reactor </w:t>
      </w:r>
      <w:r w:rsidR="00AC74C3">
        <w:t>consists of</w:t>
      </w:r>
      <w:r>
        <w:t xml:space="preserve"> </w:t>
      </w:r>
      <w:proofErr w:type="spellStart"/>
      <w:r w:rsidR="00AC74C3">
        <w:t>of</w:t>
      </w:r>
      <w:proofErr w:type="spellEnd"/>
      <w:r w:rsidR="00AC74C3">
        <w:t xml:space="preserve"> </w:t>
      </w:r>
      <w:r>
        <w:t>a module designed to hold the functionalized textile based on optical fiber coated with TiO</w:t>
      </w:r>
      <w:r>
        <w:rPr>
          <w:vertAlign w:val="subscript"/>
        </w:rPr>
        <w:t>2</w:t>
      </w:r>
      <w:r>
        <w:t xml:space="preserve"> and activated carbon. </w:t>
      </w:r>
    </w:p>
    <w:p w14:paraId="1B205BDB" w14:textId="7356E50D" w:rsidR="00E11A03" w:rsidRDefault="005F7FCB" w:rsidP="00E11A03">
      <w:pPr>
        <w:pStyle w:val="CETBodytext"/>
      </w:pPr>
      <w:r>
        <w:t xml:space="preserve">The </w:t>
      </w:r>
      <w:r w:rsidR="005658A5">
        <w:t xml:space="preserve">dry </w:t>
      </w:r>
      <w:r>
        <w:t xml:space="preserve">air </w:t>
      </w:r>
      <w:r w:rsidR="00AC74C3">
        <w:t xml:space="preserve">was </w:t>
      </w:r>
      <w:r w:rsidR="00952F75">
        <w:t xml:space="preserve">supplied by internal </w:t>
      </w:r>
      <w:r w:rsidR="005658A5">
        <w:t xml:space="preserve">network. Its flow rate was regulated by a valve and measured using an </w:t>
      </w:r>
      <w:proofErr w:type="spellStart"/>
      <w:r w:rsidR="005658A5">
        <w:t>Itron</w:t>
      </w:r>
      <w:proofErr w:type="spellEnd"/>
      <w:r w:rsidR="005658A5">
        <w:t xml:space="preserve"> Gallus G4 gas meter. The flow rate was fixed at 0</w:t>
      </w:r>
      <w:r w:rsidR="00952F75">
        <w:t>.</w:t>
      </w:r>
      <w:r w:rsidR="005658A5">
        <w:t>5 m</w:t>
      </w:r>
      <w:r w:rsidR="005658A5">
        <w:rPr>
          <w:vertAlign w:val="superscript"/>
        </w:rPr>
        <w:t>3</w:t>
      </w:r>
      <w:r w:rsidR="0005061B">
        <w:t>/</w:t>
      </w:r>
      <w:r w:rsidR="005658A5">
        <w:t>h</w:t>
      </w:r>
      <w:r w:rsidR="005658A5">
        <w:rPr>
          <w:vertAlign w:val="subscript"/>
        </w:rPr>
        <w:t xml:space="preserve">, </w:t>
      </w:r>
      <w:r w:rsidR="005658A5">
        <w:t>corresponding to a contact time of 72</w:t>
      </w:r>
      <w:r w:rsidR="00625157">
        <w:t xml:space="preserve"> </w:t>
      </w:r>
      <w:proofErr w:type="spellStart"/>
      <w:r w:rsidR="005658A5">
        <w:t>ms.</w:t>
      </w:r>
      <w:proofErr w:type="spellEnd"/>
      <w:r w:rsidR="005658A5">
        <w:t xml:space="preserve"> The pollutant was injected using a syringe at a concentration of 1</w:t>
      </w:r>
      <w:r w:rsidR="00952F75">
        <w:t>.</w:t>
      </w:r>
      <w:r w:rsidR="005658A5">
        <w:t>5 mg</w:t>
      </w:r>
      <w:r w:rsidR="00143167">
        <w:t>/</w:t>
      </w:r>
      <w:r w:rsidR="005658A5">
        <w:t>m</w:t>
      </w:r>
      <w:r w:rsidR="005658A5">
        <w:rPr>
          <w:vertAlign w:val="superscript"/>
        </w:rPr>
        <w:t>3</w:t>
      </w:r>
      <w:r w:rsidR="005658A5">
        <w:t xml:space="preserve"> and vaporized by means of a </w:t>
      </w:r>
      <w:r w:rsidR="00AC74C3">
        <w:t xml:space="preserve">heated </w:t>
      </w:r>
      <w:r w:rsidR="005658A5">
        <w:t>tap. The resulting air-pollutant mixture was hom</w:t>
      </w:r>
      <w:r w:rsidR="00E11A03">
        <w:t xml:space="preserve">ogenized using a static mixer before entering the reactor.  </w:t>
      </w:r>
      <w:r w:rsidR="00952F75">
        <w:t>T</w:t>
      </w:r>
      <w:r w:rsidR="00E11A03">
        <w:t xml:space="preserve">extile </w:t>
      </w:r>
      <w:r w:rsidR="00952F75">
        <w:t xml:space="preserve">illumination </w:t>
      </w:r>
      <w:r w:rsidR="00E11A03">
        <w:t>was provided by adjustable UV-LEDs.</w:t>
      </w:r>
    </w:p>
    <w:p w14:paraId="43709C20" w14:textId="77777777" w:rsidR="00E11A03" w:rsidRDefault="00E11A03" w:rsidP="00E11A03">
      <w:pPr>
        <w:pStyle w:val="CETheadingx"/>
      </w:pPr>
      <w:r>
        <w:t>Analytic tools</w:t>
      </w:r>
    </w:p>
    <w:p w14:paraId="18609AA8" w14:textId="2F978495" w:rsidR="00E11A03" w:rsidRPr="00E11A03" w:rsidRDefault="00E11A03" w:rsidP="00E11A03">
      <w:pPr>
        <w:pStyle w:val="CETBodytext"/>
      </w:pPr>
      <w:r>
        <w:t>The concentration of toluene was measured by gas chromatography (Focus GC) using a flame ionization detector (FID) and an FFAP column (length= 25</w:t>
      </w:r>
      <w:r w:rsidR="00143167">
        <w:t xml:space="preserve"> </w:t>
      </w:r>
      <w:r>
        <w:t xml:space="preserve">m and internal diameter </w:t>
      </w:r>
      <w:r w:rsidR="00FF6CE9">
        <w:t>= 0</w:t>
      </w:r>
      <w:r w:rsidR="00C759E3">
        <w:t>.</w:t>
      </w:r>
      <w:r w:rsidR="00FF6CE9">
        <w:t>32 mm). Nitrogen was used as a carrier gas. Direct manual sampling using a 500 µl syringe was used for the analysis.</w:t>
      </w:r>
    </w:p>
    <w:p w14:paraId="2D0605E8" w14:textId="5B1D59EA" w:rsidR="0005061B" w:rsidRDefault="00E11A03" w:rsidP="00E11A03">
      <w:pPr>
        <w:pStyle w:val="CETBodytext"/>
      </w:pPr>
      <w:r>
        <w:t xml:space="preserve">The adsorption capacity at equilibrium, was calculated according to </w:t>
      </w:r>
      <w:proofErr w:type="gramStart"/>
      <w:r>
        <w:t>E</w:t>
      </w:r>
      <w:r w:rsidR="00C838A8">
        <w:t>q</w:t>
      </w:r>
      <w:r>
        <w:t>(</w:t>
      </w:r>
      <w:proofErr w:type="gramEnd"/>
      <w:r>
        <w:t>1):</w:t>
      </w:r>
    </w:p>
    <w:tbl>
      <w:tblPr>
        <w:tblW w:w="5000" w:type="pct"/>
        <w:tblLook w:val="04A0" w:firstRow="1" w:lastRow="0" w:firstColumn="1" w:lastColumn="0" w:noHBand="0" w:noVBand="1"/>
      </w:tblPr>
      <w:tblGrid>
        <w:gridCol w:w="7984"/>
        <w:gridCol w:w="803"/>
      </w:tblGrid>
      <w:tr w:rsidR="00C838A8" w:rsidRPr="00B57B36" w14:paraId="67DFC733" w14:textId="77777777" w:rsidTr="00932C44">
        <w:tc>
          <w:tcPr>
            <w:tcW w:w="8188" w:type="dxa"/>
            <w:vAlign w:val="center"/>
          </w:tcPr>
          <w:tbl>
            <w:tblPr>
              <w:tblW w:w="5000" w:type="pct"/>
              <w:tblLook w:val="04A0" w:firstRow="1" w:lastRow="0" w:firstColumn="1" w:lastColumn="0" w:noHBand="0" w:noVBand="1"/>
            </w:tblPr>
            <w:tblGrid>
              <w:gridCol w:w="7050"/>
              <w:gridCol w:w="718"/>
            </w:tblGrid>
            <w:tr w:rsidR="00C838A8" w:rsidRPr="00B57B36" w14:paraId="1F446915" w14:textId="77777777" w:rsidTr="00C838A8">
              <w:trPr>
                <w:trHeight w:val="405"/>
              </w:trPr>
              <w:tc>
                <w:tcPr>
                  <w:tcW w:w="8188" w:type="dxa"/>
                  <w:vAlign w:val="center"/>
                </w:tcPr>
                <w:p w14:paraId="3E6D746C" w14:textId="4A2F0A9E" w:rsidR="00C838A8" w:rsidRPr="00C838A8" w:rsidRDefault="00000000" w:rsidP="00C838A8">
                  <w:pPr>
                    <w:pStyle w:val="CETBodytext"/>
                  </w:pPr>
                  <m:oMathPara>
                    <m:oMathParaPr>
                      <m:jc m:val="left"/>
                    </m:oMathParaPr>
                    <m:oMath>
                      <m:sSub>
                        <m:sSubPr>
                          <m:ctrlPr>
                            <w:rPr>
                              <w:rFonts w:ascii="Cambria Math" w:eastAsiaTheme="minorHAnsi" w:hAnsi="Cambria Math" w:cs="Arial"/>
                              <w:i/>
                              <w:iCs/>
                              <w:kern w:val="2"/>
                              <w:szCs w:val="18"/>
                              <w14:ligatures w14:val="standardContextual"/>
                            </w:rPr>
                          </m:ctrlPr>
                        </m:sSubPr>
                        <m:e>
                          <m:r>
                            <w:rPr>
                              <w:rFonts w:ascii="Cambria Math" w:hAnsi="Cambria Math" w:cs="Arial"/>
                              <w:szCs w:val="18"/>
                            </w:rPr>
                            <m:t>q</m:t>
                          </m:r>
                        </m:e>
                        <m:sub>
                          <m:r>
                            <w:rPr>
                              <w:rFonts w:ascii="Cambria Math" w:hAnsi="Cambria Math" w:cs="Arial"/>
                              <w:szCs w:val="18"/>
                            </w:rPr>
                            <m:t>e</m:t>
                          </m:r>
                        </m:sub>
                      </m:sSub>
                      <m:r>
                        <w:rPr>
                          <w:rFonts w:ascii="Cambria Math" w:hAnsi="Cambria Math" w:cs="Arial"/>
                          <w:szCs w:val="18"/>
                        </w:rPr>
                        <m:t>=</m:t>
                      </m:r>
                      <m:f>
                        <m:fPr>
                          <m:ctrlPr>
                            <w:rPr>
                              <w:rFonts w:ascii="Cambria Math" w:eastAsiaTheme="minorHAnsi" w:hAnsi="Cambria Math" w:cs="Arial"/>
                              <w:i/>
                              <w:iCs/>
                              <w:kern w:val="2"/>
                              <w:szCs w:val="18"/>
                              <w14:ligatures w14:val="standardContextual"/>
                            </w:rPr>
                          </m:ctrlPr>
                        </m:fPr>
                        <m:num>
                          <m:r>
                            <w:rPr>
                              <w:rFonts w:ascii="Cambria Math" w:hAnsi="Cambria Math" w:cs="Arial"/>
                              <w:szCs w:val="18"/>
                            </w:rPr>
                            <m:t>(</m:t>
                          </m:r>
                          <m:sSub>
                            <m:sSubPr>
                              <m:ctrlPr>
                                <w:rPr>
                                  <w:rFonts w:ascii="Cambria Math" w:eastAsiaTheme="minorHAnsi" w:hAnsi="Cambria Math" w:cs="Arial"/>
                                  <w:i/>
                                  <w:iCs/>
                                  <w:kern w:val="2"/>
                                  <w:szCs w:val="18"/>
                                  <w14:ligatures w14:val="standardContextual"/>
                                </w:rPr>
                              </m:ctrlPr>
                            </m:sSubPr>
                            <m:e>
                              <m:r>
                                <w:rPr>
                                  <w:rFonts w:ascii="Cambria Math" w:hAnsi="Cambria Math" w:cs="Arial"/>
                                  <w:szCs w:val="18"/>
                                </w:rPr>
                                <m:t>C</m:t>
                              </m:r>
                            </m:e>
                            <m:sub>
                              <m:r>
                                <w:rPr>
                                  <w:rFonts w:ascii="Cambria Math" w:hAnsi="Cambria Math" w:cs="Arial"/>
                                  <w:szCs w:val="18"/>
                                </w:rPr>
                                <m:t>0</m:t>
                              </m:r>
                            </m:sub>
                          </m:sSub>
                          <m:r>
                            <w:rPr>
                              <w:rFonts w:ascii="Cambria Math" w:hAnsi="Cambria Math" w:cs="Arial"/>
                              <w:szCs w:val="18"/>
                            </w:rPr>
                            <m:t>-</m:t>
                          </m:r>
                          <m:sSub>
                            <m:sSubPr>
                              <m:ctrlPr>
                                <w:rPr>
                                  <w:rFonts w:ascii="Cambria Math" w:eastAsiaTheme="minorHAnsi" w:hAnsi="Cambria Math" w:cs="Arial"/>
                                  <w:i/>
                                  <w:iCs/>
                                  <w:kern w:val="2"/>
                                  <w:szCs w:val="18"/>
                                  <w14:ligatures w14:val="standardContextual"/>
                                </w:rPr>
                              </m:ctrlPr>
                            </m:sSubPr>
                            <m:e>
                              <m:r>
                                <w:rPr>
                                  <w:rFonts w:ascii="Cambria Math" w:hAnsi="Cambria Math" w:cs="Arial"/>
                                  <w:szCs w:val="18"/>
                                </w:rPr>
                                <m:t>C</m:t>
                              </m:r>
                            </m:e>
                            <m:sub>
                              <m:r>
                                <w:rPr>
                                  <w:rFonts w:ascii="Cambria Math" w:hAnsi="Cambria Math" w:cs="Arial"/>
                                  <w:szCs w:val="18"/>
                                </w:rPr>
                                <m:t>e</m:t>
                              </m:r>
                            </m:sub>
                          </m:sSub>
                          <m:r>
                            <w:rPr>
                              <w:rFonts w:ascii="Cambria Math" w:hAnsi="Cambria Math" w:cs="Arial"/>
                              <w:szCs w:val="18"/>
                            </w:rPr>
                            <m:t>)V</m:t>
                          </m:r>
                        </m:num>
                        <m:den>
                          <m:sSub>
                            <m:sSubPr>
                              <m:ctrlPr>
                                <w:rPr>
                                  <w:rFonts w:ascii="Cambria Math" w:hAnsi="Cambria Math" w:cs="Arial"/>
                                  <w:i/>
                                  <w:iCs/>
                                  <w:szCs w:val="18"/>
                                </w:rPr>
                              </m:ctrlPr>
                            </m:sSubPr>
                            <m:e>
                              <m:r>
                                <w:rPr>
                                  <w:rFonts w:ascii="Cambria Math" w:hAnsi="Cambria Math" w:cs="Arial"/>
                                  <w:szCs w:val="18"/>
                                </w:rPr>
                                <m:t>m</m:t>
                              </m:r>
                            </m:e>
                            <m:sub>
                              <m:r>
                                <w:rPr>
                                  <w:rFonts w:ascii="Cambria Math" w:hAnsi="Cambria Math" w:cs="Arial"/>
                                  <w:szCs w:val="18"/>
                                </w:rPr>
                                <m:t>AC</m:t>
                              </m:r>
                            </m:sub>
                          </m:sSub>
                        </m:den>
                      </m:f>
                    </m:oMath>
                  </m:oMathPara>
                </w:p>
              </w:tc>
              <w:tc>
                <w:tcPr>
                  <w:tcW w:w="815" w:type="dxa"/>
                  <w:vAlign w:val="center"/>
                </w:tcPr>
                <w:p w14:paraId="08181759" w14:textId="77777777" w:rsidR="00C838A8" w:rsidRPr="00B57B36" w:rsidRDefault="00C838A8" w:rsidP="00932C44">
                  <w:pPr>
                    <w:pStyle w:val="CETEquation"/>
                    <w:ind w:left="534" w:right="-871"/>
                    <w:jc w:val="right"/>
                  </w:pPr>
                </w:p>
              </w:tc>
            </w:tr>
          </w:tbl>
          <w:p w14:paraId="1E800380" w14:textId="77777777" w:rsidR="00C838A8" w:rsidRPr="00B57B36" w:rsidRDefault="00C838A8" w:rsidP="00932C44">
            <w:pPr>
              <w:pStyle w:val="CETEquation"/>
            </w:pPr>
          </w:p>
        </w:tc>
        <w:tc>
          <w:tcPr>
            <w:tcW w:w="815" w:type="dxa"/>
            <w:vAlign w:val="center"/>
          </w:tcPr>
          <w:p w14:paraId="30131A2C" w14:textId="50D8B04D" w:rsidR="00C838A8" w:rsidRPr="00B57B36" w:rsidRDefault="00C838A8" w:rsidP="00932C44">
            <w:pPr>
              <w:pStyle w:val="CETEquation"/>
              <w:jc w:val="right"/>
            </w:pPr>
            <w:r w:rsidRPr="00B57B36">
              <w:t>(</w:t>
            </w:r>
            <w:r>
              <w:t>1</w:t>
            </w:r>
            <w:r w:rsidRPr="00B57B36">
              <w:t>)</w:t>
            </w:r>
          </w:p>
        </w:tc>
      </w:tr>
    </w:tbl>
    <w:p w14:paraId="273584CD" w14:textId="79232D95" w:rsidR="00F61A9B" w:rsidRDefault="00C838A8" w:rsidP="00E11A03">
      <w:pPr>
        <w:pStyle w:val="CETBodytext"/>
      </w:pPr>
      <w:r>
        <w:t>w</w:t>
      </w:r>
      <w:r w:rsidR="00E11A03">
        <w:t>here C</w:t>
      </w:r>
      <w:r w:rsidR="00E11A03" w:rsidRPr="00F61A9B">
        <w:rPr>
          <w:vertAlign w:val="subscript"/>
        </w:rPr>
        <w:t>0</w:t>
      </w:r>
      <w:r w:rsidR="00E11A03">
        <w:t xml:space="preserve"> and C</w:t>
      </w:r>
      <w:r w:rsidR="00E11A03" w:rsidRPr="00F61A9B">
        <w:rPr>
          <w:vertAlign w:val="subscript"/>
        </w:rPr>
        <w:t>e</w:t>
      </w:r>
      <w:r w:rsidR="00E11A03">
        <w:t xml:space="preserve"> (mg/m</w:t>
      </w:r>
      <w:r w:rsidR="00E11A03" w:rsidRPr="00F61A9B">
        <w:rPr>
          <w:vertAlign w:val="superscript"/>
        </w:rPr>
        <w:t>3</w:t>
      </w:r>
      <w:r w:rsidR="00E11A03">
        <w:t>) are the initial and equilibrium pollutant concentrations, respectively, V (m</w:t>
      </w:r>
      <w:r w:rsidR="00E11A03" w:rsidRPr="00F61A9B">
        <w:rPr>
          <w:vertAlign w:val="superscript"/>
        </w:rPr>
        <w:t>3</w:t>
      </w:r>
      <w:r w:rsidR="00E11A03">
        <w:t>) is the volume of the vessel, and m (g) is the mass of activated carbon.</w:t>
      </w:r>
    </w:p>
    <w:p w14:paraId="034557B4" w14:textId="3233AE3B" w:rsidR="00C838A8" w:rsidRDefault="00C84EA2" w:rsidP="00F61A9B">
      <w:pPr>
        <w:pStyle w:val="CETBodytext"/>
      </w:pPr>
      <w:r>
        <w:t>The experimental adsorption isotherms were described using two descriptive models</w:t>
      </w:r>
      <w:r w:rsidR="00B226E6">
        <w:t>. The first</w:t>
      </w:r>
      <w:r w:rsidR="00922EA9">
        <w:t>,</w:t>
      </w:r>
      <w:r w:rsidR="00B226E6">
        <w:t xml:space="preserve">  Langmuir model </w:t>
      </w:r>
      <w:r w:rsidR="00B226E6">
        <w:fldChar w:fldCharType="begin"/>
      </w:r>
      <w:r w:rsidR="009B4CED">
        <w:instrText xml:space="preserve"> ADDIN ZOTERO_ITEM CSL_CITATION {"citationID":"FrQHfInE","properties":{"formattedCitation":"(Langmuir, 1918)","plainCitation":"(Langmuir, 1918)","noteIndex":0},"citationItems":[{"id":624,"uris":["http://zotero.org/users/18684960/items/X6JSFP2I"],"itemData":{"id":624,"type":"article-journal","container-title":"Journal of the American Chemical Society","DOI":"10.1021/ja02242a004","ISSN":"0002-7863, 1520-5126","issue":"9","journalAbbreviation":"J. Am. Chem. Soc.","language":"en","page":"1361-1403","source":"DOI.org (Crossref)","title":"THE ADSORPTION OF GASES ON PLANE SURFACES OF GLASS, MICA AND PLATINUM.","volume":"40","author":[{"family":"Langmuir","given":"Irving"}],"issued":{"date-parts":[["1918",9]]}}}],"schema":"https://github.com/citation-style-language/schema/raw/master/csl-citation.json"} </w:instrText>
      </w:r>
      <w:r w:rsidR="00B226E6">
        <w:fldChar w:fldCharType="separate"/>
      </w:r>
      <w:r w:rsidR="009B4CED" w:rsidRPr="009B4CED">
        <w:rPr>
          <w:rFonts w:cs="Arial"/>
        </w:rPr>
        <w:t>(Langmuir, 1918)</w:t>
      </w:r>
      <w:r w:rsidR="00B226E6">
        <w:fldChar w:fldCharType="end"/>
      </w:r>
      <w:r w:rsidR="00922EA9">
        <w:t>,</w:t>
      </w:r>
      <w:r>
        <w:t xml:space="preserve"> </w:t>
      </w:r>
      <w:r w:rsidR="00C40DB8">
        <w:t>assumes that adsorption occurs on a homogeneous surface containing a finite number of identical active sites. Each site can retain one adsorbate molecule, leading to the formation of a monolayer. In addition, the model assumes that all adsorption sites have the same energy and that there is no interaction between adsorbed molecules. The Langmuir equation is expressed as</w:t>
      </w:r>
      <w:r w:rsidR="00C838A8">
        <w:t>:</w:t>
      </w:r>
    </w:p>
    <w:tbl>
      <w:tblPr>
        <w:tblW w:w="5000" w:type="pct"/>
        <w:tblLook w:val="04A0" w:firstRow="1" w:lastRow="0" w:firstColumn="1" w:lastColumn="0" w:noHBand="0" w:noVBand="1"/>
      </w:tblPr>
      <w:tblGrid>
        <w:gridCol w:w="7984"/>
        <w:gridCol w:w="803"/>
      </w:tblGrid>
      <w:tr w:rsidR="00C838A8" w:rsidRPr="00B57B36" w14:paraId="6F00B951" w14:textId="77777777" w:rsidTr="00932C44">
        <w:tc>
          <w:tcPr>
            <w:tcW w:w="8188" w:type="dxa"/>
            <w:vAlign w:val="center"/>
          </w:tcPr>
          <w:tbl>
            <w:tblPr>
              <w:tblW w:w="5000" w:type="pct"/>
              <w:tblLook w:val="04A0" w:firstRow="1" w:lastRow="0" w:firstColumn="1" w:lastColumn="0" w:noHBand="0" w:noVBand="1"/>
            </w:tblPr>
            <w:tblGrid>
              <w:gridCol w:w="7049"/>
              <w:gridCol w:w="719"/>
            </w:tblGrid>
            <w:tr w:rsidR="00C838A8" w:rsidRPr="00B57B36" w14:paraId="2238F551" w14:textId="77777777" w:rsidTr="00C838A8">
              <w:trPr>
                <w:trHeight w:val="467"/>
              </w:trPr>
              <w:tc>
                <w:tcPr>
                  <w:tcW w:w="8188" w:type="dxa"/>
                  <w:vAlign w:val="center"/>
                </w:tcPr>
                <w:bookmarkStart w:id="2" w:name="_Hlk227662363"/>
                <w:p w14:paraId="55377BB9" w14:textId="5A5E9FCC" w:rsidR="00C838A8" w:rsidRPr="00C838A8" w:rsidRDefault="00000000" w:rsidP="00C838A8">
                  <w:pPr>
                    <w:pStyle w:val="CETEquation"/>
                  </w:pPr>
                  <m:oMathPara>
                    <m:oMathParaPr>
                      <m:jc m:val="left"/>
                    </m:oMathParaPr>
                    <m:oMath>
                      <m:sSub>
                        <m:sSubPr>
                          <m:ctrlPr>
                            <w:rPr>
                              <w:rFonts w:ascii="Cambria Math" w:hAnsi="Cambria Math"/>
                            </w:rPr>
                          </m:ctrlPr>
                        </m:sSubPr>
                        <m:e>
                          <m:r>
                            <w:rPr>
                              <w:rFonts w:ascii="Cambria Math" w:hAnsi="Cambria Math"/>
                            </w:rPr>
                            <m:t>q</m:t>
                          </m:r>
                        </m:e>
                        <m:sub>
                          <m:r>
                            <w:rPr>
                              <w:rFonts w:ascii="Cambria Math" w:hAnsi="Cambria Math"/>
                            </w:rPr>
                            <m:t>e</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max</m:t>
                              </m:r>
                            </m:sub>
                          </m:sSub>
                          <m:sSub>
                            <m:sSubPr>
                              <m:ctrlPr>
                                <w:rPr>
                                  <w:rFonts w:ascii="Cambria Math" w:hAnsi="Cambria Math"/>
                                </w:rPr>
                              </m:ctrlPr>
                            </m:sSubPr>
                            <m:e>
                              <m:r>
                                <w:rPr>
                                  <w:rFonts w:ascii="Cambria Math" w:hAnsi="Cambria Math"/>
                                </w:rPr>
                                <m:t>K</m:t>
                              </m:r>
                            </m:e>
                            <m:sub>
                              <m:r>
                                <w:rPr>
                                  <w:rFonts w:ascii="Cambria Math" w:hAnsi="Cambria Math"/>
                                </w:rPr>
                                <m:t>L</m:t>
                              </m:r>
                            </m:sub>
                          </m:sSub>
                          <m:sSub>
                            <m:sSubPr>
                              <m:ctrlPr>
                                <w:rPr>
                                  <w:rFonts w:ascii="Cambria Math" w:hAnsi="Cambria Math"/>
                                </w:rPr>
                              </m:ctrlPr>
                            </m:sSubPr>
                            <m:e>
                              <m:r>
                                <w:rPr>
                                  <w:rFonts w:ascii="Cambria Math" w:hAnsi="Cambria Math"/>
                                </w:rPr>
                                <m:t>C</m:t>
                              </m:r>
                            </m:e>
                            <m:sub>
                              <m:r>
                                <w:rPr>
                                  <w:rFonts w:ascii="Cambria Math" w:hAnsi="Cambria Math"/>
                                </w:rPr>
                                <m:t>e</m:t>
                              </m:r>
                            </m:sub>
                          </m:sSub>
                        </m:num>
                        <m:den>
                          <m:r>
                            <m:rPr>
                              <m:sty m:val="p"/>
                            </m:rPr>
                            <w:rPr>
                              <w:rFonts w:ascii="Cambria Math" w:hAnsi="Cambria Math"/>
                            </w:rPr>
                            <m:t>1+</m:t>
                          </m:r>
                          <m:sSub>
                            <m:sSubPr>
                              <m:ctrlPr>
                                <w:rPr>
                                  <w:rFonts w:ascii="Cambria Math" w:hAnsi="Cambria Math"/>
                                </w:rPr>
                              </m:ctrlPr>
                            </m:sSubPr>
                            <m:e>
                              <m:r>
                                <w:rPr>
                                  <w:rFonts w:ascii="Cambria Math" w:hAnsi="Cambria Math"/>
                                </w:rPr>
                                <m:t>K</m:t>
                              </m:r>
                            </m:e>
                            <m:sub>
                              <m:r>
                                <w:rPr>
                                  <w:rFonts w:ascii="Cambria Math" w:hAnsi="Cambria Math"/>
                                </w:rPr>
                                <m:t>L</m:t>
                              </m:r>
                            </m:sub>
                          </m:sSub>
                          <m:sSub>
                            <m:sSubPr>
                              <m:ctrlPr>
                                <w:rPr>
                                  <w:rFonts w:ascii="Cambria Math" w:hAnsi="Cambria Math"/>
                                </w:rPr>
                              </m:ctrlPr>
                            </m:sSubPr>
                            <m:e>
                              <m:r>
                                <w:rPr>
                                  <w:rFonts w:ascii="Cambria Math" w:hAnsi="Cambria Math"/>
                                </w:rPr>
                                <m:t>C</m:t>
                              </m:r>
                            </m:e>
                            <m:sub>
                              <m:r>
                                <w:rPr>
                                  <w:rFonts w:ascii="Cambria Math" w:hAnsi="Cambria Math"/>
                                </w:rPr>
                                <m:t>e</m:t>
                              </m:r>
                            </m:sub>
                          </m:sSub>
                        </m:den>
                      </m:f>
                    </m:oMath>
                  </m:oMathPara>
                </w:p>
              </w:tc>
              <w:tc>
                <w:tcPr>
                  <w:tcW w:w="815" w:type="dxa"/>
                  <w:vAlign w:val="center"/>
                </w:tcPr>
                <w:p w14:paraId="4C92439E" w14:textId="77777777" w:rsidR="00C838A8" w:rsidRPr="00B57B36" w:rsidRDefault="00C838A8" w:rsidP="00932C44">
                  <w:pPr>
                    <w:pStyle w:val="CETEquation"/>
                    <w:ind w:left="534" w:right="-871"/>
                    <w:jc w:val="right"/>
                  </w:pPr>
                </w:p>
              </w:tc>
            </w:tr>
            <w:bookmarkEnd w:id="2"/>
          </w:tbl>
          <w:p w14:paraId="7E27F3FF" w14:textId="77777777" w:rsidR="00C838A8" w:rsidRPr="00B57B36" w:rsidRDefault="00C838A8" w:rsidP="00932C44">
            <w:pPr>
              <w:pStyle w:val="CETEquation"/>
            </w:pPr>
          </w:p>
        </w:tc>
        <w:tc>
          <w:tcPr>
            <w:tcW w:w="815" w:type="dxa"/>
            <w:vAlign w:val="center"/>
          </w:tcPr>
          <w:p w14:paraId="5DC87A17" w14:textId="54C3B022" w:rsidR="00C838A8" w:rsidRPr="00B57B36" w:rsidRDefault="00C838A8" w:rsidP="00932C44">
            <w:pPr>
              <w:pStyle w:val="CETEquation"/>
              <w:jc w:val="right"/>
            </w:pPr>
            <w:r w:rsidRPr="00B57B36">
              <w:t>(</w:t>
            </w:r>
            <w:r>
              <w:t>2</w:t>
            </w:r>
            <w:r w:rsidRPr="00B57B36">
              <w:t>)</w:t>
            </w:r>
          </w:p>
        </w:tc>
      </w:tr>
    </w:tbl>
    <w:p w14:paraId="11C5BA56" w14:textId="07464479" w:rsidR="00F61A9B" w:rsidRDefault="00625157" w:rsidP="00F61A9B">
      <w:pPr>
        <w:pStyle w:val="CETBodytext"/>
      </w:pPr>
      <w:r>
        <w:t xml:space="preserve">Where </w:t>
      </w:r>
      <m:oMath>
        <m:sSub>
          <m:sSubPr>
            <m:ctrlPr>
              <w:rPr>
                <w:rFonts w:ascii="Cambria Math" w:hAnsi="Cambria Math" w:cs="Arial"/>
                <w:i/>
              </w:rPr>
            </m:ctrlPr>
          </m:sSubPr>
          <m:e>
            <m:r>
              <w:rPr>
                <w:rFonts w:ascii="Cambria Math" w:hAnsi="Cambria Math" w:cs="Arial"/>
              </w:rPr>
              <m:t>q</m:t>
            </m:r>
          </m:e>
          <m:sub>
            <m:r>
              <w:rPr>
                <w:rFonts w:ascii="Cambria Math" w:hAnsi="Cambria Math" w:cs="Arial"/>
              </w:rPr>
              <m:t>e</m:t>
            </m:r>
          </m:sub>
        </m:sSub>
      </m:oMath>
      <w:r>
        <w:t xml:space="preserve"> (g</w:t>
      </w:r>
      <w:r w:rsidR="00963730">
        <w:t>/</w:t>
      </w:r>
      <w:r>
        <w:t>g) is the adsorption capacity at equilibrium</w:t>
      </w:r>
      <w:r w:rsidR="0014535C">
        <w:t xml:space="preserve">, </w:t>
      </w:r>
      <m:oMath>
        <m:sSub>
          <m:sSubPr>
            <m:ctrlPr>
              <w:rPr>
                <w:rFonts w:ascii="Cambria Math" w:hAnsi="Cambria Math" w:cs="Arial"/>
                <w:i/>
              </w:rPr>
            </m:ctrlPr>
          </m:sSubPr>
          <m:e>
            <m:r>
              <w:rPr>
                <w:rFonts w:ascii="Cambria Math" w:hAnsi="Cambria Math" w:cs="Arial"/>
              </w:rPr>
              <m:t>q</m:t>
            </m:r>
          </m:e>
          <m:sub>
            <m:r>
              <w:rPr>
                <w:rFonts w:ascii="Cambria Math" w:hAnsi="Cambria Math" w:cs="Arial"/>
              </w:rPr>
              <m:t>max</m:t>
            </m:r>
          </m:sub>
        </m:sSub>
      </m:oMath>
      <w:r w:rsidR="00A55E68">
        <w:t xml:space="preserve"> is the maximum monolayer adsorption capacity, K</w:t>
      </w:r>
      <w:r w:rsidR="00A55E68">
        <w:rPr>
          <w:vertAlign w:val="subscript"/>
        </w:rPr>
        <w:t>L</w:t>
      </w:r>
      <w:r w:rsidR="00A55E68">
        <w:t xml:space="preserve"> (m</w:t>
      </w:r>
      <w:r w:rsidR="00A55E68">
        <w:rPr>
          <w:vertAlign w:val="superscript"/>
        </w:rPr>
        <w:t>3</w:t>
      </w:r>
      <w:r w:rsidR="00B37C17">
        <w:t>/</w:t>
      </w:r>
      <w:r w:rsidR="00A55E68">
        <w:t>mg) is the Langmuir constant related to the affinity of the adsorbent for the adsorbate, and C</w:t>
      </w:r>
      <w:r w:rsidR="00A55E68">
        <w:rPr>
          <w:vertAlign w:val="subscript"/>
        </w:rPr>
        <w:t>e</w:t>
      </w:r>
      <w:r w:rsidR="00A55E68">
        <w:t xml:space="preserve"> (mg</w:t>
      </w:r>
      <w:r w:rsidR="00963730">
        <w:t>/</w:t>
      </w:r>
      <w:r w:rsidR="00A55E68">
        <w:t>m</w:t>
      </w:r>
      <w:r w:rsidR="00A55E68">
        <w:rPr>
          <w:vertAlign w:val="superscript"/>
        </w:rPr>
        <w:t>3</w:t>
      </w:r>
      <w:r w:rsidR="00A55E68">
        <w:t>) is the equilibrium concentration in the gas phase.</w:t>
      </w:r>
    </w:p>
    <w:p w14:paraId="2C279585" w14:textId="0A281A40" w:rsidR="00A55E68" w:rsidRDefault="00A55E68" w:rsidP="00F61A9B">
      <w:pPr>
        <w:pStyle w:val="CETBodytext"/>
      </w:pPr>
      <w:r>
        <w:t>The second model</w:t>
      </w:r>
      <w:r w:rsidR="00922EA9">
        <w:t>,</w:t>
      </w:r>
      <w:r>
        <w:t xml:space="preserve"> Freundlich model </w:t>
      </w:r>
      <w:r>
        <w:fldChar w:fldCharType="begin"/>
      </w:r>
      <w:r w:rsidR="009B4CED">
        <w:instrText xml:space="preserve"> ADDIN ZOTERO_ITEM CSL_CITATION {"citationID":"E6C8rPUX","properties":{"formattedCitation":"(Ayawei et al., 2017)","plainCitation":"(Ayawei et al., 2017)","noteIndex":0},"citationItems":[{"id":628,"uris":["http://zotero.org/users/18684960/items/55DZ9JIU"],"itemData":{"id":628,"type":"article-journal","abstract":"The need to design low-cost adsorbents for the detoxification of industrial effluents has been a growing concern for most environmental researchers. So modelling of experimental data from adsorption processes is a very important means of predicting the mechanisms of various adsorption systems. Therefore, this paper presents an overall review of the applications of adsorption isotherms, the use of linear regression analysis, nonlinear regression analysis, and error functions for optimum adsorption data analysis.","container-title":"Journal of Chemistry","DOI":"10.1155/2017/3039817","ISSN":"2090-9063, 2090-9071","journalAbbreviation":"Journal of Chemistry","language":"en","license":"http://creativecommons.org/licenses/by/4.0/","page":"1-11","source":"DOI.org (Crossref)","title":"Modelling and Interpretation of Adsorption Isotherms","volume":"2017","author":[{"family":"Ayawei","given":"Nimibofa"},{"family":"Ebelegi","given":"Augustus Newton"},{"family":"Wankasi","given":"Donbebe"}],"issued":{"date-parts":[["2017"]]}}}],"schema":"https://github.com/citation-style-language/schema/raw/master/csl-citation.json"} </w:instrText>
      </w:r>
      <w:r>
        <w:fldChar w:fldCharType="separate"/>
      </w:r>
      <w:r w:rsidR="009B4CED" w:rsidRPr="009B4CED">
        <w:rPr>
          <w:rFonts w:cs="Arial"/>
        </w:rPr>
        <w:t>(Ayawei et al., 2017)</w:t>
      </w:r>
      <w:r>
        <w:fldChar w:fldCharType="end"/>
      </w:r>
      <w:r w:rsidR="00922EA9">
        <w:t>,</w:t>
      </w:r>
      <w:r>
        <w:t xml:space="preserve"> is an empirical equation that describes adsorption on </w:t>
      </w:r>
      <w:r w:rsidR="007E0C44">
        <w:t>heterogeneous</w:t>
      </w:r>
      <w:r>
        <w:t xml:space="preserve"> surface</w:t>
      </w:r>
      <w:r w:rsidR="00AC74C3">
        <w:t>s</w:t>
      </w:r>
      <w:r>
        <w:t xml:space="preserve">. It assumes that the adsorption sites are not energetically equivalent and that adsorption may occur </w:t>
      </w:r>
      <w:r w:rsidR="00922EA9">
        <w:t xml:space="preserve">on </w:t>
      </w:r>
      <w:r>
        <w:t>multiple layers. The Freundlich model is as follows:</w:t>
      </w:r>
    </w:p>
    <w:tbl>
      <w:tblPr>
        <w:tblW w:w="5000" w:type="pct"/>
        <w:tblLook w:val="04A0" w:firstRow="1" w:lastRow="0" w:firstColumn="1" w:lastColumn="0" w:noHBand="0" w:noVBand="1"/>
      </w:tblPr>
      <w:tblGrid>
        <w:gridCol w:w="7983"/>
        <w:gridCol w:w="804"/>
      </w:tblGrid>
      <w:tr w:rsidR="00921AE1" w:rsidRPr="00B57B36" w14:paraId="659062F7" w14:textId="77777777" w:rsidTr="00932C44">
        <w:tc>
          <w:tcPr>
            <w:tcW w:w="8188" w:type="dxa"/>
            <w:vAlign w:val="center"/>
          </w:tcPr>
          <w:tbl>
            <w:tblPr>
              <w:tblW w:w="5000" w:type="pct"/>
              <w:tblLook w:val="04A0" w:firstRow="1" w:lastRow="0" w:firstColumn="1" w:lastColumn="0" w:noHBand="0" w:noVBand="1"/>
            </w:tblPr>
            <w:tblGrid>
              <w:gridCol w:w="7046"/>
              <w:gridCol w:w="721"/>
            </w:tblGrid>
            <w:tr w:rsidR="00921AE1" w:rsidRPr="00B57B36" w14:paraId="71824C33" w14:textId="77777777" w:rsidTr="00932C44">
              <w:tc>
                <w:tcPr>
                  <w:tcW w:w="8188" w:type="dxa"/>
                  <w:vAlign w:val="center"/>
                </w:tcPr>
                <w:p w14:paraId="21B32071" w14:textId="384DB9AD" w:rsidR="00921AE1" w:rsidRPr="00FB0A96" w:rsidRDefault="00000000" w:rsidP="00921AE1">
                  <w:pPr>
                    <w:pStyle w:val="CETEquation"/>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F</m:t>
                          </m:r>
                        </m:sub>
                      </m:sSub>
                      <m:sSubSup>
                        <m:sSubSupPr>
                          <m:ctrlPr>
                            <w:rPr>
                              <w:rFonts w:ascii="Cambria Math" w:hAnsi="Cambria Math"/>
                              <w:i/>
                            </w:rPr>
                          </m:ctrlPr>
                        </m:sSubSupPr>
                        <m:e>
                          <m:r>
                            <w:rPr>
                              <w:rFonts w:ascii="Cambria Math" w:hAnsi="Cambria Math"/>
                            </w:rPr>
                            <m:t>C</m:t>
                          </m:r>
                        </m:e>
                        <m:sub>
                          <m:r>
                            <w:rPr>
                              <w:rFonts w:ascii="Cambria Math" w:hAnsi="Cambria Math"/>
                            </w:rPr>
                            <m:t>e</m:t>
                          </m:r>
                        </m:sub>
                        <m:sup>
                          <m:r>
                            <w:rPr>
                              <w:rFonts w:ascii="Cambria Math" w:hAnsi="Cambria Math"/>
                            </w:rPr>
                            <m:t>1/n</m:t>
                          </m:r>
                        </m:sup>
                      </m:sSubSup>
                    </m:oMath>
                  </m:oMathPara>
                </w:p>
              </w:tc>
              <w:tc>
                <w:tcPr>
                  <w:tcW w:w="815" w:type="dxa"/>
                  <w:vAlign w:val="center"/>
                </w:tcPr>
                <w:p w14:paraId="6FF051E2" w14:textId="31F323B9" w:rsidR="00921AE1" w:rsidRPr="00B57B36" w:rsidRDefault="00921AE1" w:rsidP="00C838A8">
                  <w:pPr>
                    <w:pStyle w:val="CETEquation"/>
                    <w:ind w:left="534" w:right="-871"/>
                    <w:jc w:val="right"/>
                  </w:pPr>
                </w:p>
              </w:tc>
            </w:tr>
          </w:tbl>
          <w:p w14:paraId="04251DBF" w14:textId="51B433C4" w:rsidR="00921AE1" w:rsidRPr="00B57B36" w:rsidRDefault="00921AE1" w:rsidP="00932C44">
            <w:pPr>
              <w:pStyle w:val="CETEquation"/>
            </w:pPr>
          </w:p>
        </w:tc>
        <w:tc>
          <w:tcPr>
            <w:tcW w:w="815" w:type="dxa"/>
            <w:vAlign w:val="center"/>
          </w:tcPr>
          <w:p w14:paraId="1EF2D98B" w14:textId="705C8C01" w:rsidR="00921AE1" w:rsidRPr="00B57B36" w:rsidRDefault="00921AE1" w:rsidP="00932C44">
            <w:pPr>
              <w:pStyle w:val="CETEquation"/>
              <w:jc w:val="right"/>
            </w:pPr>
            <w:r w:rsidRPr="00B57B36">
              <w:t>(</w:t>
            </w:r>
            <w:r w:rsidR="00C838A8">
              <w:t>3</w:t>
            </w:r>
            <w:r w:rsidRPr="00B57B36">
              <w:t>)</w:t>
            </w:r>
          </w:p>
        </w:tc>
      </w:tr>
    </w:tbl>
    <w:p w14:paraId="3D98DB35" w14:textId="48EB449B" w:rsidR="007E0C44" w:rsidRDefault="007E0C44" w:rsidP="007E0C44">
      <w:pPr>
        <w:pStyle w:val="CETBodytext"/>
        <w:rPr>
          <w:lang w:val="en-GB"/>
        </w:rPr>
      </w:pPr>
      <w:r>
        <w:rPr>
          <w:lang w:val="en-GB"/>
        </w:rPr>
        <w:t>Where K</w:t>
      </w:r>
      <w:r>
        <w:rPr>
          <w:vertAlign w:val="subscript"/>
          <w:lang w:val="en-GB"/>
        </w:rPr>
        <w:t>F</w:t>
      </w:r>
      <w:r>
        <w:rPr>
          <w:lang w:val="en-GB"/>
        </w:rPr>
        <w:t xml:space="preserve"> is the Freundlich constant related to the adsorption capacity and n is the heterogeneity factor</w:t>
      </w:r>
      <w:r w:rsidR="000F16AD">
        <w:rPr>
          <w:lang w:val="en-GB"/>
        </w:rPr>
        <w:t>, which provides information on the adsorption intensity. In general, values of 1/n between 0 and 1 indicate favourable adsorption.</w:t>
      </w:r>
    </w:p>
    <w:p w14:paraId="238B1EBF" w14:textId="5AE1FE77" w:rsidR="007E0C44" w:rsidRDefault="007E0C44" w:rsidP="007E0C44">
      <w:pPr>
        <w:pStyle w:val="CETHeading1"/>
      </w:pPr>
      <w:r>
        <w:t>Results and discussion</w:t>
      </w:r>
    </w:p>
    <w:p w14:paraId="3AA0F424" w14:textId="5DF9775E" w:rsidR="007E0C44" w:rsidRDefault="007E0C44" w:rsidP="007E0C44">
      <w:pPr>
        <w:pStyle w:val="CETheadingx"/>
      </w:pPr>
      <w:r>
        <w:t xml:space="preserve">Adsorption performance of the supports </w:t>
      </w:r>
    </w:p>
    <w:p w14:paraId="1ED469A4" w14:textId="01A71742" w:rsidR="007E0C44" w:rsidRDefault="00A35388" w:rsidP="007E0C44">
      <w:pPr>
        <w:pStyle w:val="CETBodytext"/>
      </w:pPr>
      <w:r>
        <w:t xml:space="preserve"> As described above,</w:t>
      </w:r>
      <w:r w:rsidR="001D6725">
        <w:t xml:space="preserve"> </w:t>
      </w:r>
      <w:r>
        <w:t xml:space="preserve">batch experiments were conducted </w:t>
      </w:r>
      <w:r w:rsidR="00AC5CCD">
        <w:t xml:space="preserve">to </w:t>
      </w:r>
      <w:r w:rsidR="001D6725">
        <w:t>establish the adsorption isotherm</w:t>
      </w:r>
      <w:r w:rsidR="00AC5CCD">
        <w:t>s</w:t>
      </w:r>
      <w:r w:rsidR="001D6725">
        <w:t xml:space="preserve"> (Figure </w:t>
      </w:r>
      <w:r w:rsidR="00AC5CCD">
        <w:t>2</w:t>
      </w:r>
      <w:r w:rsidR="001D6725">
        <w:t>)</w:t>
      </w:r>
      <w:r>
        <w:t xml:space="preserve">, which were fitted using the models </w:t>
      </w:r>
      <w:r w:rsidR="00D7738E">
        <w:t>mentioned</w:t>
      </w:r>
      <w:r>
        <w:t xml:space="preserve"> above.</w:t>
      </w:r>
      <w:r w:rsidR="001D6725">
        <w:t xml:space="preserve"> </w:t>
      </w:r>
      <w:r>
        <w:t xml:space="preserve">The corresponding </w:t>
      </w:r>
      <w:r w:rsidR="001D6725">
        <w:t xml:space="preserve">adsorption parameters </w:t>
      </w:r>
      <w:r w:rsidR="00D7738E">
        <w:t xml:space="preserve">from both models are </w:t>
      </w:r>
      <w:r w:rsidR="001D6725">
        <w:t xml:space="preserve">summarized in table </w:t>
      </w:r>
      <w:r w:rsidR="00BC51B1">
        <w:t>1</w:t>
      </w:r>
      <w:r w:rsidR="00D7738E">
        <w:t>.</w:t>
      </w:r>
    </w:p>
    <w:p w14:paraId="23F8D928" w14:textId="5B143696" w:rsidR="00A55E68" w:rsidRDefault="00BC51B1" w:rsidP="00BC51B1">
      <w:pPr>
        <w:pStyle w:val="CETBodytext"/>
      </w:pPr>
      <w:r w:rsidRPr="00BC51B1">
        <w:lastRenderedPageBreak/>
        <w:drawing>
          <wp:inline distT="0" distB="0" distL="0" distR="0" wp14:anchorId="0CA35B87" wp14:editId="48907ECF">
            <wp:extent cx="5632450" cy="2260600"/>
            <wp:effectExtent l="0" t="0" r="6350" b="635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32450" cy="2260600"/>
                    </a:xfrm>
                    <a:prstGeom prst="rect">
                      <a:avLst/>
                    </a:prstGeom>
                  </pic:spPr>
                </pic:pic>
              </a:graphicData>
            </a:graphic>
          </wp:inline>
        </w:drawing>
      </w:r>
      <w:r w:rsidR="00757450">
        <w:rPr>
          <w:noProof/>
        </w:rPr>
        <mc:AlternateContent>
          <mc:Choice Requires="wps">
            <w:drawing>
              <wp:anchor distT="0" distB="0" distL="114300" distR="114300" simplePos="0" relativeHeight="251659264" behindDoc="0" locked="0" layoutInCell="1" allowOverlap="1" wp14:anchorId="05FD77C0" wp14:editId="3E9A7E01">
                <wp:simplePos x="0" y="0"/>
                <wp:positionH relativeFrom="column">
                  <wp:posOffset>339071</wp:posOffset>
                </wp:positionH>
                <wp:positionV relativeFrom="paragraph">
                  <wp:posOffset>-1476</wp:posOffset>
                </wp:positionV>
                <wp:extent cx="356958" cy="278721"/>
                <wp:effectExtent l="0" t="0" r="0" b="7620"/>
                <wp:wrapNone/>
                <wp:docPr id="10" name="Zone de texte 10"/>
                <wp:cNvGraphicFramePr/>
                <a:graphic xmlns:a="http://schemas.openxmlformats.org/drawingml/2006/main">
                  <a:graphicData uri="http://schemas.microsoft.com/office/word/2010/wordprocessingShape">
                    <wps:wsp>
                      <wps:cNvSpPr txBox="1"/>
                      <wps:spPr>
                        <a:xfrm>
                          <a:off x="0" y="0"/>
                          <a:ext cx="356958" cy="278721"/>
                        </a:xfrm>
                        <a:prstGeom prst="rect">
                          <a:avLst/>
                        </a:prstGeom>
                        <a:noFill/>
                        <a:ln w="6350">
                          <a:noFill/>
                        </a:ln>
                      </wps:spPr>
                      <wps:txbx>
                        <w:txbxContent>
                          <w:p w14:paraId="212218CF" w14:textId="2D7760B3" w:rsidR="00294CB0" w:rsidRDefault="00294C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FD77C0" id="_x0000_t202" coordsize="21600,21600" o:spt="202" path="m,l,21600r21600,l21600,xe">
                <v:stroke joinstyle="miter"/>
                <v:path gradientshapeok="t" o:connecttype="rect"/>
              </v:shapetype>
              <v:shape id="Zone de texte 10" o:spid="_x0000_s1026" type="#_x0000_t202" style="position:absolute;left:0;text-align:left;margin-left:26.7pt;margin-top:-.1pt;width:28.1pt;height:2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" filled="f" stroked="f" strokeweight=".5pt">
                <v:textbox>
                  <w:txbxContent>
                    <w:p w14:paraId="212218CF" w14:textId="2D7760B3" w:rsidR="00294CB0" w:rsidRDefault="00294CB0"/>
                  </w:txbxContent>
                </v:textbox>
              </v:shape>
            </w:pict>
          </mc:Fallback>
        </mc:AlternateContent>
      </w:r>
      <w:r w:rsidR="000F16AD">
        <w:rPr>
          <w:noProof/>
        </w:rPr>
        <mc:AlternateContent>
          <mc:Choice Requires="wps">
            <w:drawing>
              <wp:anchor distT="0" distB="0" distL="114300" distR="114300" simplePos="0" relativeHeight="251661312" behindDoc="0" locked="0" layoutInCell="1" allowOverlap="1" wp14:anchorId="6FCD9084" wp14:editId="4AE25D49">
                <wp:simplePos x="0" y="0"/>
                <wp:positionH relativeFrom="column">
                  <wp:posOffset>3090699</wp:posOffset>
                </wp:positionH>
                <wp:positionV relativeFrom="paragraph">
                  <wp:posOffset>-841</wp:posOffset>
                </wp:positionV>
                <wp:extent cx="381408" cy="219710"/>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381408" cy="219710"/>
                        </a:xfrm>
                        <a:prstGeom prst="rect">
                          <a:avLst/>
                        </a:prstGeom>
                        <a:noFill/>
                        <a:ln w="6350">
                          <a:noFill/>
                        </a:ln>
                      </wps:spPr>
                      <wps:txbx>
                        <w:txbxContent>
                          <w:p w14:paraId="602F701E" w14:textId="2002FB82" w:rsidR="00294CB0" w:rsidRDefault="00294CB0" w:rsidP="00294CB0">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D9084" id="Zone de texte 11" o:spid="_x0000_s1027" type="#_x0000_t202" style="position:absolute;left:0;text-align:left;margin-left:243.35pt;margin-top:-.05pt;width:30.05pt;height:1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" filled="f" stroked="f" strokeweight=".5pt">
                <v:textbox>
                  <w:txbxContent>
                    <w:p w14:paraId="602F701E" w14:textId="2002FB82" w:rsidR="00294CB0" w:rsidRDefault="00294CB0" w:rsidP="00294CB0">
                      <w:r>
                        <w:t xml:space="preserve"> </w:t>
                      </w:r>
                    </w:p>
                  </w:txbxContent>
                </v:textbox>
              </v:shape>
            </w:pict>
          </mc:Fallback>
        </mc:AlternateContent>
      </w:r>
    </w:p>
    <w:p w14:paraId="20100251" w14:textId="0372C274" w:rsidR="00493117" w:rsidRPr="00493117" w:rsidRDefault="00493117" w:rsidP="00493117">
      <w:pPr>
        <w:pStyle w:val="CETCaption"/>
      </w:pPr>
      <w:r>
        <w:t xml:space="preserve">Figure </w:t>
      </w:r>
      <w:r w:rsidR="00CF782F">
        <w:t>2</w:t>
      </w:r>
      <w:r>
        <w:t>:</w:t>
      </w:r>
      <w:r w:rsidR="00294CB0">
        <w:t xml:space="preserve"> Adsorption isotherm obtained for different adsorb</w:t>
      </w:r>
      <w:r w:rsidR="00485C98">
        <w:t>e</w:t>
      </w:r>
      <w:r w:rsidR="00294CB0">
        <w:t>nt</w:t>
      </w:r>
      <w:r w:rsidR="00485C98">
        <w:t>s</w:t>
      </w:r>
      <w:r w:rsidR="00294CB0">
        <w:t xml:space="preserve"> media at various concentration, fitted with a) Langmuir model and b) Freundlich model.</w:t>
      </w:r>
    </w:p>
    <w:p w14:paraId="79401061" w14:textId="3D206DDA" w:rsidR="00F5305A" w:rsidRDefault="003219EF" w:rsidP="00F61A9B">
      <w:pPr>
        <w:pStyle w:val="CETBodytext"/>
      </w:pPr>
      <w:r>
        <w:t xml:space="preserve">According to Figure </w:t>
      </w:r>
      <w:r w:rsidR="00AC74C3">
        <w:t>2</w:t>
      </w:r>
      <w:r>
        <w:t>, the adsorption capacity followed the order AC1&gt; AC2 &gt;AC3 &gt;AC4 &gt; AC5</w:t>
      </w:r>
      <w:r w:rsidR="00F5305A">
        <w:t>.</w:t>
      </w:r>
    </w:p>
    <w:p w14:paraId="334334C1" w14:textId="575F0972" w:rsidR="004546E2" w:rsidRDefault="00F5305A" w:rsidP="00F61A9B">
      <w:pPr>
        <w:pStyle w:val="CETBodytext"/>
      </w:pPr>
      <w:r>
        <w:t xml:space="preserve">As </w:t>
      </w:r>
      <w:r w:rsidR="000D7C30">
        <w:t xml:space="preserve">seen </w:t>
      </w:r>
      <w:r>
        <w:t>in table</w:t>
      </w:r>
      <w:r w:rsidR="007C23EC">
        <w:t xml:space="preserve"> 1</w:t>
      </w:r>
      <w:r>
        <w:t xml:space="preserve">, both equations </w:t>
      </w:r>
      <w:r w:rsidR="00AC74C3">
        <w:t xml:space="preserve">accurately </w:t>
      </w:r>
      <w:r>
        <w:t>describe</w:t>
      </w:r>
      <w:r w:rsidR="004546E2">
        <w:t xml:space="preserve"> correctly</w:t>
      </w:r>
      <w:r>
        <w:t xml:space="preserve"> toluene adsorption on activated carbon</w:t>
      </w:r>
      <w:r w:rsidR="000D7C30">
        <w:t>.</w:t>
      </w:r>
      <w:r>
        <w:t xml:space="preserve"> </w:t>
      </w:r>
      <w:r w:rsidR="004546E2">
        <w:t xml:space="preserve">However, regarding isotherm modeling, the Freundlich model provided the best fit for AC1, AC3 and AC5, whereas AC2 and AC4 were better described by the Langmuir model.  </w:t>
      </w:r>
    </w:p>
    <w:p w14:paraId="276FC596" w14:textId="6194E5A2" w:rsidR="00057A36" w:rsidRDefault="00851062" w:rsidP="00F61A9B">
      <w:pPr>
        <w:pStyle w:val="CETBodytext"/>
      </w:pPr>
      <w:r>
        <w:t>Among the five activated carbon</w:t>
      </w:r>
      <w:r w:rsidR="000D7C30">
        <w:t>s</w:t>
      </w:r>
      <w:r>
        <w:t xml:space="preserve"> AC1, AC2 and AC3 exhibited the highest adsorption capacities, with </w:t>
      </w:r>
      <w:proofErr w:type="spellStart"/>
      <w:r>
        <w:t>q</w:t>
      </w:r>
      <w:r>
        <w:rPr>
          <w:vertAlign w:val="subscript"/>
        </w:rPr>
        <w:t>max</w:t>
      </w:r>
      <w:proofErr w:type="spellEnd"/>
      <w:r>
        <w:t xml:space="preserve"> values of 0</w:t>
      </w:r>
      <w:r w:rsidR="00AC0A70">
        <w:t>.</w:t>
      </w:r>
      <w:r>
        <w:t xml:space="preserve">184, </w:t>
      </w:r>
      <w:r w:rsidR="00AC0A70">
        <w:t>0.</w:t>
      </w:r>
      <w:r>
        <w:t>159 and 0</w:t>
      </w:r>
      <w:r w:rsidR="00AC0A70">
        <w:t>.</w:t>
      </w:r>
      <w:r>
        <w:t>149 respectively, whereas AC4 and AC5 showed significantly lower value 0,054 and 0,047</w:t>
      </w:r>
      <w:r w:rsidR="0005061B">
        <w:t xml:space="preserve"> </w:t>
      </w:r>
      <w:proofErr w:type="spellStart"/>
      <w:r w:rsidR="00AC74C3">
        <w:t>g</w:t>
      </w:r>
      <w:r w:rsidR="008A2BE3">
        <w:t>T</w:t>
      </w:r>
      <w:proofErr w:type="spellEnd"/>
      <w:r w:rsidR="008A2BE3">
        <w:t>/</w:t>
      </w:r>
      <w:r w:rsidR="00AC74C3">
        <w:t>g</w:t>
      </w:r>
      <w:r>
        <w:t xml:space="preserve">. </w:t>
      </w:r>
    </w:p>
    <w:p w14:paraId="0F09C104" w14:textId="71108055" w:rsidR="00C97D94" w:rsidRDefault="00063088" w:rsidP="00F61A9B">
      <w:pPr>
        <w:pStyle w:val="CETBodytext"/>
      </w:pPr>
      <w:r>
        <w:t xml:space="preserve">AC2 et AC3 </w:t>
      </w:r>
      <w:r w:rsidR="00102974">
        <w:t>appeared to offer the best overall compromise between capacity and affinity, as reflected by relatively high K</w:t>
      </w:r>
      <w:r w:rsidR="00102974">
        <w:rPr>
          <w:vertAlign w:val="subscript"/>
        </w:rPr>
        <w:t>L</w:t>
      </w:r>
      <w:r w:rsidR="00102974">
        <w:t xml:space="preserve"> values and highest K</w:t>
      </w:r>
      <w:r w:rsidR="00102974">
        <w:rPr>
          <w:vertAlign w:val="subscript"/>
        </w:rPr>
        <w:t>F</w:t>
      </w:r>
      <w:r w:rsidR="00102974">
        <w:t xml:space="preserve"> value obtained from the models. In contrast, despite </w:t>
      </w:r>
      <w:r w:rsidR="00AC0A70">
        <w:t>their higher K</w:t>
      </w:r>
      <w:r w:rsidR="00AC0A70">
        <w:rPr>
          <w:vertAlign w:val="subscript"/>
        </w:rPr>
        <w:t>L</w:t>
      </w:r>
      <w:r w:rsidR="00AC0A70">
        <w:t xml:space="preserve">, </w:t>
      </w:r>
      <w:r w:rsidR="00102974">
        <w:t xml:space="preserve">AC4 and AC5 have much lower </w:t>
      </w:r>
      <w:proofErr w:type="spellStart"/>
      <w:r w:rsidR="00102974">
        <w:t>q</w:t>
      </w:r>
      <w:r w:rsidR="00102974">
        <w:rPr>
          <w:vertAlign w:val="subscript"/>
        </w:rPr>
        <w:t>max</w:t>
      </w:r>
      <w:proofErr w:type="spellEnd"/>
      <w:r w:rsidR="00102974">
        <w:t xml:space="preserve"> values, suggesting a limited number of accessible adsorption sites and therefore a lower adsorption capacity. </w:t>
      </w:r>
    </w:p>
    <w:p w14:paraId="317B3CBC" w14:textId="0BE950F6" w:rsidR="002965B7" w:rsidRDefault="002965B7" w:rsidP="002965B7">
      <w:pPr>
        <w:pStyle w:val="CETTabletitle"/>
      </w:pPr>
      <w:r w:rsidRPr="00B57B36">
        <w:t xml:space="preserve">Table </w:t>
      </w:r>
      <w:r w:rsidR="00BC51B1">
        <w:t>1</w:t>
      </w:r>
      <w:r w:rsidRPr="00B57B36">
        <w:t xml:space="preserve">: </w:t>
      </w:r>
      <w:r>
        <w:t xml:space="preserve">Adsorption parameters of </w:t>
      </w:r>
      <w:r w:rsidR="00921E13">
        <w:t xml:space="preserve">toluene </w:t>
      </w:r>
      <w:r>
        <w:t>on different adsorbent materials</w:t>
      </w:r>
      <w:r w:rsidR="006F287F">
        <w:t>.</w:t>
      </w:r>
    </w:p>
    <w:tbl>
      <w:tblPr>
        <w:tblW w:w="8630" w:type="dxa"/>
        <w:tblLayout w:type="fixed"/>
        <w:tblCellMar>
          <w:left w:w="0" w:type="dxa"/>
          <w:right w:w="0" w:type="dxa"/>
        </w:tblCellMar>
        <w:tblLook w:val="00A0" w:firstRow="1" w:lastRow="0" w:firstColumn="1" w:lastColumn="0" w:noHBand="0" w:noVBand="0"/>
      </w:tblPr>
      <w:tblGrid>
        <w:gridCol w:w="709"/>
        <w:gridCol w:w="1610"/>
        <w:gridCol w:w="1240"/>
        <w:gridCol w:w="970"/>
        <w:gridCol w:w="955"/>
        <w:gridCol w:w="754"/>
        <w:gridCol w:w="18"/>
        <w:gridCol w:w="754"/>
        <w:gridCol w:w="772"/>
        <w:gridCol w:w="848"/>
      </w:tblGrid>
      <w:tr w:rsidR="00F5305A" w:rsidRPr="002965B7" w14:paraId="1FEDF7ED" w14:textId="77777777" w:rsidTr="00485C98">
        <w:trPr>
          <w:trHeight w:val="303"/>
        </w:trPr>
        <w:tc>
          <w:tcPr>
            <w:tcW w:w="2319" w:type="dxa"/>
            <w:gridSpan w:val="2"/>
            <w:tcBorders>
              <w:top w:val="single" w:sz="12" w:space="0" w:color="008000"/>
              <w:left w:val="nil"/>
              <w:bottom w:val="single" w:sz="8" w:space="0" w:color="008000"/>
              <w:right w:val="nil"/>
            </w:tcBorders>
            <w:tcMar>
              <w:top w:w="15" w:type="dxa"/>
              <w:left w:w="15" w:type="dxa"/>
              <w:bottom w:w="0" w:type="dxa"/>
              <w:right w:w="15" w:type="dxa"/>
            </w:tcMar>
            <w:hideMark/>
          </w:tcPr>
          <w:p w14:paraId="5FD5B822" w14:textId="77777777" w:rsidR="00F5305A" w:rsidRPr="002965B7" w:rsidRDefault="00F5305A" w:rsidP="004103AE">
            <w:pPr>
              <w:pStyle w:val="CETBodytext"/>
              <w:rPr>
                <w:lang w:eastAsia="fr-FR"/>
              </w:rPr>
            </w:pPr>
          </w:p>
        </w:tc>
        <w:tc>
          <w:tcPr>
            <w:tcW w:w="3165" w:type="dxa"/>
            <w:gridSpan w:val="3"/>
            <w:tcBorders>
              <w:top w:val="single" w:sz="12" w:space="0" w:color="008000"/>
              <w:left w:val="nil"/>
              <w:bottom w:val="single" w:sz="8" w:space="0" w:color="008000"/>
              <w:right w:val="nil"/>
            </w:tcBorders>
            <w:tcMar>
              <w:top w:w="15" w:type="dxa"/>
              <w:left w:w="15" w:type="dxa"/>
              <w:bottom w:w="0" w:type="dxa"/>
              <w:right w:w="15" w:type="dxa"/>
            </w:tcMar>
            <w:hideMark/>
          </w:tcPr>
          <w:p w14:paraId="2505E744" w14:textId="77777777"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Langmuir Model</w:t>
            </w:r>
          </w:p>
        </w:tc>
        <w:tc>
          <w:tcPr>
            <w:tcW w:w="772" w:type="dxa"/>
            <w:gridSpan w:val="2"/>
            <w:tcBorders>
              <w:top w:val="single" w:sz="12" w:space="0" w:color="008000"/>
              <w:left w:val="nil"/>
              <w:bottom w:val="single" w:sz="8" w:space="0" w:color="008000"/>
              <w:right w:val="nil"/>
            </w:tcBorders>
          </w:tcPr>
          <w:p w14:paraId="000A483C" w14:textId="77777777" w:rsidR="00F5305A" w:rsidRPr="002965B7" w:rsidRDefault="00F5305A" w:rsidP="004103AE">
            <w:pPr>
              <w:pStyle w:val="CETBodytext"/>
              <w:rPr>
                <w:rFonts w:cs="Arial"/>
                <w:color w:val="000000"/>
                <w:kern w:val="24"/>
                <w:szCs w:val="18"/>
                <w:lang w:eastAsia="fr-FR"/>
              </w:rPr>
            </w:pPr>
          </w:p>
        </w:tc>
        <w:tc>
          <w:tcPr>
            <w:tcW w:w="2374" w:type="dxa"/>
            <w:gridSpan w:val="3"/>
            <w:tcBorders>
              <w:top w:val="single" w:sz="12" w:space="0" w:color="008000"/>
              <w:left w:val="nil"/>
              <w:bottom w:val="single" w:sz="8" w:space="0" w:color="008000"/>
              <w:right w:val="nil"/>
            </w:tcBorders>
            <w:tcMar>
              <w:top w:w="15" w:type="dxa"/>
              <w:left w:w="15" w:type="dxa"/>
              <w:bottom w:w="0" w:type="dxa"/>
              <w:right w:w="15" w:type="dxa"/>
            </w:tcMar>
            <w:hideMark/>
          </w:tcPr>
          <w:p w14:paraId="6E85D94B" w14:textId="14FB1967"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Freundlich Model</w:t>
            </w:r>
          </w:p>
        </w:tc>
      </w:tr>
      <w:tr w:rsidR="00485C98" w:rsidRPr="002965B7" w14:paraId="5A82EFA5" w14:textId="77777777" w:rsidTr="00314F2B">
        <w:trPr>
          <w:trHeight w:val="321"/>
        </w:trPr>
        <w:tc>
          <w:tcPr>
            <w:tcW w:w="2319" w:type="dxa"/>
            <w:gridSpan w:val="2"/>
            <w:tcBorders>
              <w:top w:val="single" w:sz="8" w:space="0" w:color="008000"/>
              <w:left w:val="nil"/>
              <w:bottom w:val="single" w:sz="8" w:space="0" w:color="008000"/>
              <w:right w:val="nil"/>
            </w:tcBorders>
            <w:tcMar>
              <w:top w:w="15" w:type="dxa"/>
              <w:left w:w="15" w:type="dxa"/>
              <w:bottom w:w="0" w:type="dxa"/>
              <w:right w:w="15" w:type="dxa"/>
            </w:tcMar>
            <w:hideMark/>
          </w:tcPr>
          <w:p w14:paraId="074D054F" w14:textId="77777777" w:rsidR="00F5305A" w:rsidRPr="002965B7" w:rsidRDefault="00F5305A" w:rsidP="004103AE">
            <w:pPr>
              <w:pStyle w:val="CETBodytext"/>
              <w:jc w:val="center"/>
              <w:rPr>
                <w:rFonts w:cs="Arial"/>
                <w:sz w:val="36"/>
                <w:szCs w:val="36"/>
                <w:lang w:eastAsia="fr-FR"/>
              </w:rPr>
            </w:pPr>
            <w:r w:rsidRPr="002965B7">
              <w:rPr>
                <w:color w:val="000000"/>
                <w:kern w:val="24"/>
                <w:szCs w:val="18"/>
                <w:lang w:eastAsia="fr-FR"/>
              </w:rPr>
              <w:t>Support</w:t>
            </w:r>
          </w:p>
        </w:tc>
        <w:tc>
          <w:tcPr>
            <w:tcW w:w="1240" w:type="dxa"/>
            <w:tcBorders>
              <w:top w:val="single" w:sz="8" w:space="0" w:color="008000"/>
              <w:left w:val="nil"/>
              <w:bottom w:val="single" w:sz="8" w:space="0" w:color="008000"/>
              <w:right w:val="nil"/>
            </w:tcBorders>
            <w:tcMar>
              <w:top w:w="15" w:type="dxa"/>
              <w:left w:w="15" w:type="dxa"/>
              <w:bottom w:w="0" w:type="dxa"/>
              <w:right w:w="15" w:type="dxa"/>
            </w:tcMar>
            <w:hideMark/>
          </w:tcPr>
          <w:p w14:paraId="30D162BE" w14:textId="6E85D6E5" w:rsidR="00F5305A" w:rsidRPr="002965B7" w:rsidRDefault="00F5305A" w:rsidP="004103AE">
            <w:pPr>
              <w:pStyle w:val="CETBodytext"/>
              <w:rPr>
                <w:rFonts w:cs="Arial"/>
                <w:sz w:val="36"/>
                <w:szCs w:val="36"/>
                <w:lang w:eastAsia="fr-FR"/>
              </w:rPr>
            </w:pPr>
            <w:proofErr w:type="spellStart"/>
            <w:r w:rsidRPr="002965B7">
              <w:rPr>
                <w:rFonts w:cs="Arial"/>
                <w:color w:val="000000"/>
                <w:kern w:val="24"/>
                <w:szCs w:val="18"/>
                <w:lang w:eastAsia="fr-FR"/>
              </w:rPr>
              <w:t>q</w:t>
            </w:r>
            <w:r w:rsidRPr="00D7738E">
              <w:rPr>
                <w:rFonts w:cs="Arial"/>
                <w:color w:val="000000"/>
                <w:kern w:val="24"/>
                <w:szCs w:val="18"/>
                <w:vertAlign w:val="subscript"/>
                <w:lang w:eastAsia="fr-FR"/>
              </w:rPr>
              <w:t>max</w:t>
            </w:r>
            <w:proofErr w:type="spellEnd"/>
            <w:r w:rsidRPr="002965B7">
              <w:rPr>
                <w:rFonts w:cs="Arial"/>
                <w:color w:val="000000"/>
                <w:kern w:val="24"/>
                <w:szCs w:val="18"/>
                <w:lang w:eastAsia="fr-FR"/>
              </w:rPr>
              <w:t xml:space="preserve"> (</w:t>
            </w:r>
            <w:proofErr w:type="spellStart"/>
            <w:r w:rsidRPr="002965B7">
              <w:rPr>
                <w:rFonts w:cs="Arial"/>
                <w:color w:val="000000"/>
                <w:kern w:val="24"/>
                <w:szCs w:val="18"/>
                <w:lang w:eastAsia="fr-FR"/>
              </w:rPr>
              <w:t>gT</w:t>
            </w:r>
            <w:proofErr w:type="spellEnd"/>
            <w:r w:rsidRPr="002965B7">
              <w:rPr>
                <w:rFonts w:cs="Arial"/>
                <w:color w:val="000000"/>
                <w:kern w:val="24"/>
                <w:szCs w:val="18"/>
                <w:lang w:eastAsia="fr-FR"/>
              </w:rPr>
              <w:t>/</w:t>
            </w:r>
            <w:proofErr w:type="spellStart"/>
            <w:r w:rsidRPr="002965B7">
              <w:rPr>
                <w:rFonts w:cs="Arial"/>
                <w:color w:val="000000"/>
                <w:kern w:val="24"/>
                <w:szCs w:val="18"/>
                <w:lang w:eastAsia="fr-FR"/>
              </w:rPr>
              <w:t>g</w:t>
            </w:r>
            <w:r w:rsidRPr="00D7738E">
              <w:rPr>
                <w:rFonts w:cs="Arial"/>
                <w:color w:val="000000"/>
                <w:kern w:val="24"/>
                <w:szCs w:val="18"/>
                <w:vertAlign w:val="subscript"/>
                <w:lang w:eastAsia="fr-FR"/>
              </w:rPr>
              <w:t>mat</w:t>
            </w:r>
            <w:proofErr w:type="spellEnd"/>
            <w:r w:rsidRPr="002965B7">
              <w:rPr>
                <w:rFonts w:cs="Arial"/>
                <w:color w:val="000000"/>
                <w:kern w:val="24"/>
                <w:szCs w:val="18"/>
                <w:lang w:eastAsia="fr-FR"/>
              </w:rPr>
              <w:t>)</w:t>
            </w:r>
          </w:p>
        </w:tc>
        <w:tc>
          <w:tcPr>
            <w:tcW w:w="970" w:type="dxa"/>
            <w:tcBorders>
              <w:top w:val="single" w:sz="8" w:space="0" w:color="008000"/>
              <w:left w:val="nil"/>
              <w:bottom w:val="single" w:sz="8" w:space="0" w:color="008000"/>
              <w:right w:val="nil"/>
            </w:tcBorders>
            <w:tcMar>
              <w:top w:w="15" w:type="dxa"/>
              <w:left w:w="15" w:type="dxa"/>
              <w:bottom w:w="0" w:type="dxa"/>
              <w:right w:w="15" w:type="dxa"/>
            </w:tcMar>
            <w:hideMark/>
          </w:tcPr>
          <w:p w14:paraId="6BC5F1F5" w14:textId="77777777"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K</w:t>
            </w:r>
            <w:r w:rsidRPr="002965B7">
              <w:rPr>
                <w:rFonts w:cs="Arial"/>
                <w:color w:val="000000"/>
                <w:kern w:val="24"/>
                <w:position w:val="-5"/>
                <w:szCs w:val="18"/>
                <w:vertAlign w:val="subscript"/>
                <w:lang w:eastAsia="fr-FR"/>
              </w:rPr>
              <w:t>L</w:t>
            </w:r>
            <w:r w:rsidRPr="002965B7">
              <w:rPr>
                <w:rFonts w:cs="Arial"/>
                <w:color w:val="000000"/>
                <w:kern w:val="24"/>
                <w:szCs w:val="18"/>
                <w:lang w:eastAsia="fr-FR"/>
              </w:rPr>
              <w:t xml:space="preserve"> (m</w:t>
            </w:r>
            <w:r w:rsidRPr="002965B7">
              <w:rPr>
                <w:rFonts w:cs="Arial"/>
                <w:color w:val="000000"/>
                <w:kern w:val="24"/>
                <w:position w:val="5"/>
                <w:szCs w:val="18"/>
                <w:vertAlign w:val="superscript"/>
                <w:lang w:eastAsia="fr-FR"/>
              </w:rPr>
              <w:t>3</w:t>
            </w:r>
            <w:r w:rsidRPr="002965B7">
              <w:rPr>
                <w:rFonts w:cs="Arial"/>
                <w:color w:val="000000"/>
                <w:kern w:val="24"/>
                <w:szCs w:val="18"/>
                <w:lang w:eastAsia="fr-FR"/>
              </w:rPr>
              <w:t>/mg)</w:t>
            </w:r>
          </w:p>
        </w:tc>
        <w:tc>
          <w:tcPr>
            <w:tcW w:w="955" w:type="dxa"/>
            <w:tcBorders>
              <w:top w:val="single" w:sz="8" w:space="0" w:color="008000"/>
              <w:left w:val="nil"/>
              <w:bottom w:val="single" w:sz="8" w:space="0" w:color="008000"/>
              <w:right w:val="nil"/>
            </w:tcBorders>
            <w:tcMar>
              <w:top w:w="15" w:type="dxa"/>
              <w:left w:w="15" w:type="dxa"/>
              <w:bottom w:w="0" w:type="dxa"/>
              <w:right w:w="15" w:type="dxa"/>
            </w:tcMar>
            <w:hideMark/>
          </w:tcPr>
          <w:p w14:paraId="23E0232A" w14:textId="77777777"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R</w:t>
            </w:r>
            <w:r w:rsidRPr="002965B7">
              <w:rPr>
                <w:rFonts w:cs="Arial"/>
                <w:color w:val="000000"/>
                <w:kern w:val="24"/>
                <w:position w:val="5"/>
                <w:szCs w:val="18"/>
                <w:vertAlign w:val="superscript"/>
                <w:lang w:eastAsia="fr-FR"/>
              </w:rPr>
              <w:t>2</w:t>
            </w:r>
            <w:r w:rsidRPr="002965B7">
              <w:rPr>
                <w:rFonts w:cs="Arial"/>
                <w:color w:val="000000"/>
                <w:kern w:val="24"/>
                <w:szCs w:val="18"/>
                <w:lang w:eastAsia="fr-FR"/>
              </w:rPr>
              <w:t xml:space="preserve"> (%)</w:t>
            </w:r>
          </w:p>
        </w:tc>
        <w:tc>
          <w:tcPr>
            <w:tcW w:w="754" w:type="dxa"/>
            <w:tcBorders>
              <w:top w:val="single" w:sz="8" w:space="0" w:color="008000"/>
              <w:left w:val="nil"/>
              <w:bottom w:val="single" w:sz="8" w:space="0" w:color="008000"/>
              <w:right w:val="nil"/>
            </w:tcBorders>
            <w:tcMar>
              <w:top w:w="15" w:type="dxa"/>
              <w:left w:w="15" w:type="dxa"/>
              <w:bottom w:w="0" w:type="dxa"/>
              <w:right w:w="15" w:type="dxa"/>
            </w:tcMar>
            <w:hideMark/>
          </w:tcPr>
          <w:p w14:paraId="68B1D01B" w14:textId="77777777"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n</w:t>
            </w:r>
          </w:p>
        </w:tc>
        <w:tc>
          <w:tcPr>
            <w:tcW w:w="772" w:type="dxa"/>
            <w:gridSpan w:val="2"/>
            <w:tcBorders>
              <w:top w:val="single" w:sz="8" w:space="0" w:color="008000"/>
              <w:left w:val="nil"/>
              <w:bottom w:val="single" w:sz="8" w:space="0" w:color="008000"/>
              <w:right w:val="nil"/>
            </w:tcBorders>
          </w:tcPr>
          <w:p w14:paraId="01622524" w14:textId="5F42D71E" w:rsidR="00F5305A" w:rsidRPr="002965B7" w:rsidRDefault="00F5305A" w:rsidP="004103AE">
            <w:pPr>
              <w:pStyle w:val="CETBodytext"/>
              <w:rPr>
                <w:rFonts w:cs="Arial"/>
                <w:color w:val="000000"/>
                <w:kern w:val="24"/>
                <w:szCs w:val="18"/>
                <w:lang w:eastAsia="fr-FR"/>
              </w:rPr>
            </w:pPr>
            <w:r>
              <w:rPr>
                <w:rFonts w:cs="Arial"/>
                <w:color w:val="000000"/>
                <w:kern w:val="24"/>
                <w:szCs w:val="18"/>
                <w:lang w:eastAsia="fr-FR"/>
              </w:rPr>
              <w:t>1/n</w:t>
            </w:r>
          </w:p>
        </w:tc>
        <w:tc>
          <w:tcPr>
            <w:tcW w:w="772" w:type="dxa"/>
            <w:tcBorders>
              <w:top w:val="single" w:sz="8" w:space="0" w:color="008000"/>
              <w:left w:val="nil"/>
              <w:bottom w:val="single" w:sz="8" w:space="0" w:color="008000"/>
              <w:right w:val="nil"/>
            </w:tcBorders>
            <w:tcMar>
              <w:top w:w="15" w:type="dxa"/>
              <w:left w:w="15" w:type="dxa"/>
              <w:bottom w:w="0" w:type="dxa"/>
              <w:right w:w="15" w:type="dxa"/>
            </w:tcMar>
            <w:hideMark/>
          </w:tcPr>
          <w:p w14:paraId="08899173" w14:textId="2581D8AD"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K</w:t>
            </w:r>
            <w:r w:rsidRPr="002965B7">
              <w:rPr>
                <w:rFonts w:cs="Arial"/>
                <w:color w:val="000000"/>
                <w:kern w:val="24"/>
                <w:position w:val="-5"/>
                <w:szCs w:val="18"/>
                <w:vertAlign w:val="subscript"/>
                <w:lang w:eastAsia="fr-FR"/>
              </w:rPr>
              <w:t>F</w:t>
            </w:r>
          </w:p>
        </w:tc>
        <w:tc>
          <w:tcPr>
            <w:tcW w:w="848" w:type="dxa"/>
            <w:tcBorders>
              <w:top w:val="single" w:sz="8" w:space="0" w:color="008000"/>
              <w:left w:val="nil"/>
              <w:bottom w:val="single" w:sz="8" w:space="0" w:color="008000"/>
              <w:right w:val="nil"/>
            </w:tcBorders>
            <w:tcMar>
              <w:top w:w="15" w:type="dxa"/>
              <w:left w:w="15" w:type="dxa"/>
              <w:bottom w:w="0" w:type="dxa"/>
              <w:right w:w="15" w:type="dxa"/>
            </w:tcMar>
            <w:hideMark/>
          </w:tcPr>
          <w:p w14:paraId="209DA300" w14:textId="77777777"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R</w:t>
            </w:r>
            <w:r w:rsidRPr="002965B7">
              <w:rPr>
                <w:rFonts w:cs="Arial"/>
                <w:color w:val="000000"/>
                <w:kern w:val="24"/>
                <w:position w:val="5"/>
                <w:szCs w:val="18"/>
                <w:vertAlign w:val="superscript"/>
                <w:lang w:eastAsia="fr-FR"/>
              </w:rPr>
              <w:t>2</w:t>
            </w:r>
            <w:r w:rsidRPr="002965B7">
              <w:rPr>
                <w:rFonts w:cs="Arial"/>
                <w:color w:val="000000"/>
                <w:kern w:val="24"/>
                <w:szCs w:val="18"/>
                <w:lang w:eastAsia="fr-FR"/>
              </w:rPr>
              <w:t xml:space="preserve"> (%)</w:t>
            </w:r>
          </w:p>
        </w:tc>
      </w:tr>
      <w:tr w:rsidR="00485C98" w:rsidRPr="002965B7" w14:paraId="57B52F8F" w14:textId="77777777" w:rsidTr="00314F2B">
        <w:trPr>
          <w:trHeight w:val="368"/>
        </w:trPr>
        <w:tc>
          <w:tcPr>
            <w:tcW w:w="709" w:type="dxa"/>
            <w:tcBorders>
              <w:top w:val="single" w:sz="8" w:space="0" w:color="008000"/>
              <w:left w:val="nil"/>
              <w:bottom w:val="nil"/>
              <w:right w:val="nil"/>
            </w:tcBorders>
            <w:tcMar>
              <w:top w:w="15" w:type="dxa"/>
              <w:left w:w="15" w:type="dxa"/>
              <w:bottom w:w="0" w:type="dxa"/>
              <w:right w:w="15" w:type="dxa"/>
            </w:tcMar>
            <w:hideMark/>
          </w:tcPr>
          <w:p w14:paraId="6C307311" w14:textId="77777777" w:rsidR="00F5305A" w:rsidRPr="002965B7" w:rsidRDefault="00F5305A" w:rsidP="004103AE">
            <w:pPr>
              <w:pStyle w:val="CETBodytext"/>
              <w:rPr>
                <w:rFonts w:cs="Arial"/>
                <w:sz w:val="36"/>
                <w:szCs w:val="36"/>
                <w:lang w:eastAsia="fr-FR"/>
              </w:rPr>
            </w:pPr>
            <w:r w:rsidRPr="002965B7">
              <w:rPr>
                <w:color w:val="000000"/>
                <w:kern w:val="24"/>
                <w:szCs w:val="18"/>
                <w:lang w:eastAsia="fr-FR"/>
              </w:rPr>
              <w:t>AC1</w:t>
            </w:r>
          </w:p>
        </w:tc>
        <w:tc>
          <w:tcPr>
            <w:tcW w:w="1610" w:type="dxa"/>
            <w:tcBorders>
              <w:top w:val="single" w:sz="8" w:space="0" w:color="008000"/>
              <w:left w:val="nil"/>
              <w:bottom w:val="nil"/>
              <w:right w:val="nil"/>
            </w:tcBorders>
            <w:tcMar>
              <w:top w:w="15" w:type="dxa"/>
              <w:left w:w="15" w:type="dxa"/>
              <w:bottom w:w="0" w:type="dxa"/>
              <w:right w:w="15" w:type="dxa"/>
            </w:tcMar>
            <w:hideMark/>
          </w:tcPr>
          <w:p w14:paraId="19BB431F" w14:textId="4EB67CB4" w:rsidR="00F5305A" w:rsidRPr="002965B7" w:rsidRDefault="00F5305A" w:rsidP="004103AE">
            <w:pPr>
              <w:pStyle w:val="CETBodytext"/>
              <w:rPr>
                <w:rFonts w:cs="Arial"/>
                <w:sz w:val="36"/>
                <w:szCs w:val="36"/>
                <w:lang w:eastAsia="fr-FR"/>
              </w:rPr>
            </w:pPr>
            <w:proofErr w:type="spellStart"/>
            <w:r w:rsidRPr="002965B7">
              <w:rPr>
                <w:rFonts w:ascii="Aptos" w:hAnsi="Aptos" w:cs="Arial"/>
                <w:color w:val="000000"/>
                <w:kern w:val="24"/>
                <w:szCs w:val="18"/>
                <w:lang w:eastAsia="fr-FR"/>
              </w:rPr>
              <w:t>Dolder</w:t>
            </w:r>
            <w:proofErr w:type="spellEnd"/>
            <w:r w:rsidR="00295568">
              <w:rPr>
                <w:rFonts w:ascii="Aptos" w:hAnsi="Aptos" w:cs="Arial"/>
                <w:color w:val="000000"/>
                <w:kern w:val="24"/>
                <w:szCs w:val="18"/>
                <w:lang w:eastAsia="fr-FR"/>
              </w:rPr>
              <w:t xml:space="preserve"> foam</w:t>
            </w:r>
            <w:r w:rsidRPr="002965B7">
              <w:rPr>
                <w:rFonts w:ascii="Aptos" w:hAnsi="Aptos" w:cs="Arial"/>
                <w:color w:val="000000"/>
                <w:kern w:val="24"/>
                <w:szCs w:val="18"/>
                <w:lang w:eastAsia="fr-FR"/>
              </w:rPr>
              <w:t xml:space="preserve"> </w:t>
            </w:r>
          </w:p>
        </w:tc>
        <w:tc>
          <w:tcPr>
            <w:tcW w:w="1240" w:type="dxa"/>
            <w:tcBorders>
              <w:top w:val="single" w:sz="8" w:space="0" w:color="008000"/>
              <w:left w:val="nil"/>
              <w:bottom w:val="nil"/>
              <w:right w:val="nil"/>
            </w:tcBorders>
            <w:tcMar>
              <w:top w:w="15" w:type="dxa"/>
              <w:left w:w="15" w:type="dxa"/>
              <w:bottom w:w="0" w:type="dxa"/>
              <w:right w:w="15" w:type="dxa"/>
            </w:tcMar>
            <w:hideMark/>
          </w:tcPr>
          <w:p w14:paraId="400ABE20" w14:textId="46FAB08F"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0</w:t>
            </w:r>
            <w:r w:rsidR="00E07000">
              <w:rPr>
                <w:rFonts w:cs="Arial"/>
                <w:color w:val="000000"/>
                <w:kern w:val="24"/>
                <w:szCs w:val="18"/>
                <w:lang w:eastAsia="fr-FR"/>
              </w:rPr>
              <w:t>.</w:t>
            </w:r>
            <w:r w:rsidRPr="002965B7">
              <w:rPr>
                <w:rFonts w:cs="Arial"/>
                <w:color w:val="000000"/>
                <w:kern w:val="24"/>
                <w:szCs w:val="18"/>
                <w:lang w:eastAsia="fr-FR"/>
              </w:rPr>
              <w:t>18</w:t>
            </w:r>
            <w:r w:rsidR="008A2BE3">
              <w:rPr>
                <w:rFonts w:cs="Arial"/>
                <w:color w:val="000000"/>
                <w:kern w:val="24"/>
                <w:szCs w:val="18"/>
                <w:lang w:eastAsia="fr-FR"/>
              </w:rPr>
              <w:t>4</w:t>
            </w:r>
          </w:p>
        </w:tc>
        <w:tc>
          <w:tcPr>
            <w:tcW w:w="970" w:type="dxa"/>
            <w:tcBorders>
              <w:top w:val="single" w:sz="8" w:space="0" w:color="008000"/>
              <w:left w:val="nil"/>
              <w:bottom w:val="nil"/>
              <w:right w:val="nil"/>
            </w:tcBorders>
            <w:tcMar>
              <w:top w:w="15" w:type="dxa"/>
              <w:left w:w="15" w:type="dxa"/>
              <w:bottom w:w="0" w:type="dxa"/>
              <w:right w:w="15" w:type="dxa"/>
            </w:tcMar>
            <w:hideMark/>
          </w:tcPr>
          <w:p w14:paraId="772C9E80" w14:textId="68C399AE"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0</w:t>
            </w:r>
            <w:r w:rsidR="00E07000">
              <w:rPr>
                <w:rFonts w:cs="Arial"/>
                <w:color w:val="000000"/>
                <w:kern w:val="24"/>
                <w:szCs w:val="18"/>
                <w:lang w:eastAsia="fr-FR"/>
              </w:rPr>
              <w:t>.</w:t>
            </w:r>
            <w:r w:rsidRPr="002965B7">
              <w:rPr>
                <w:rFonts w:cs="Arial"/>
                <w:color w:val="000000"/>
                <w:kern w:val="24"/>
                <w:szCs w:val="18"/>
                <w:lang w:eastAsia="fr-FR"/>
              </w:rPr>
              <w:t>08</w:t>
            </w:r>
          </w:p>
        </w:tc>
        <w:tc>
          <w:tcPr>
            <w:tcW w:w="955" w:type="dxa"/>
            <w:tcBorders>
              <w:top w:val="single" w:sz="8" w:space="0" w:color="008000"/>
              <w:left w:val="nil"/>
              <w:bottom w:val="nil"/>
              <w:right w:val="nil"/>
            </w:tcBorders>
            <w:tcMar>
              <w:top w:w="15" w:type="dxa"/>
              <w:left w:w="15" w:type="dxa"/>
              <w:bottom w:w="0" w:type="dxa"/>
              <w:right w:w="15" w:type="dxa"/>
            </w:tcMar>
            <w:hideMark/>
          </w:tcPr>
          <w:p w14:paraId="05C97C48" w14:textId="017B9629"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95</w:t>
            </w:r>
            <w:r w:rsidR="00E07000">
              <w:rPr>
                <w:rFonts w:cs="Arial"/>
                <w:color w:val="000000"/>
                <w:kern w:val="24"/>
                <w:szCs w:val="18"/>
                <w:lang w:eastAsia="fr-FR"/>
              </w:rPr>
              <w:t>.</w:t>
            </w:r>
            <w:r w:rsidRPr="002965B7">
              <w:rPr>
                <w:rFonts w:cs="Arial"/>
                <w:color w:val="000000"/>
                <w:kern w:val="24"/>
                <w:szCs w:val="18"/>
                <w:lang w:eastAsia="fr-FR"/>
              </w:rPr>
              <w:t>61</w:t>
            </w:r>
          </w:p>
        </w:tc>
        <w:tc>
          <w:tcPr>
            <w:tcW w:w="754" w:type="dxa"/>
            <w:tcBorders>
              <w:top w:val="single" w:sz="8" w:space="0" w:color="008000"/>
              <w:left w:val="nil"/>
              <w:bottom w:val="nil"/>
              <w:right w:val="nil"/>
            </w:tcBorders>
            <w:tcMar>
              <w:top w:w="15" w:type="dxa"/>
              <w:left w:w="15" w:type="dxa"/>
              <w:bottom w:w="0" w:type="dxa"/>
              <w:right w:w="15" w:type="dxa"/>
            </w:tcMar>
            <w:hideMark/>
          </w:tcPr>
          <w:p w14:paraId="1DB1794D" w14:textId="6099F2B7"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2</w:t>
            </w:r>
            <w:r w:rsidR="00E07000">
              <w:rPr>
                <w:rFonts w:cs="Arial"/>
                <w:color w:val="000000"/>
                <w:kern w:val="24"/>
                <w:szCs w:val="18"/>
                <w:lang w:eastAsia="fr-FR"/>
              </w:rPr>
              <w:t>.</w:t>
            </w:r>
            <w:r w:rsidRPr="002965B7">
              <w:rPr>
                <w:rFonts w:cs="Arial"/>
                <w:color w:val="000000"/>
                <w:kern w:val="24"/>
                <w:szCs w:val="18"/>
                <w:lang w:eastAsia="fr-FR"/>
              </w:rPr>
              <w:t>57</w:t>
            </w:r>
          </w:p>
        </w:tc>
        <w:tc>
          <w:tcPr>
            <w:tcW w:w="772" w:type="dxa"/>
            <w:gridSpan w:val="2"/>
            <w:tcBorders>
              <w:top w:val="single" w:sz="8" w:space="0" w:color="008000"/>
              <w:left w:val="nil"/>
              <w:bottom w:val="nil"/>
              <w:right w:val="nil"/>
            </w:tcBorders>
          </w:tcPr>
          <w:p w14:paraId="47CFD0CF" w14:textId="75608DE8" w:rsidR="00F5305A" w:rsidRPr="002965B7" w:rsidRDefault="00F5305A" w:rsidP="004103AE">
            <w:pPr>
              <w:pStyle w:val="CETBodytext"/>
              <w:rPr>
                <w:rFonts w:cs="Arial"/>
                <w:color w:val="000000"/>
                <w:kern w:val="24"/>
                <w:szCs w:val="18"/>
                <w:lang w:eastAsia="fr-FR"/>
              </w:rPr>
            </w:pPr>
            <w:r>
              <w:rPr>
                <w:rFonts w:cs="Arial"/>
                <w:color w:val="000000"/>
                <w:kern w:val="24"/>
                <w:szCs w:val="18"/>
                <w:lang w:eastAsia="fr-FR"/>
              </w:rPr>
              <w:t>0</w:t>
            </w:r>
            <w:r w:rsidR="00E07000">
              <w:rPr>
                <w:rFonts w:cs="Arial"/>
                <w:color w:val="000000"/>
                <w:kern w:val="24"/>
                <w:szCs w:val="18"/>
                <w:lang w:eastAsia="fr-FR"/>
              </w:rPr>
              <w:t>.</w:t>
            </w:r>
            <w:r>
              <w:rPr>
                <w:rFonts w:cs="Arial"/>
                <w:color w:val="000000"/>
                <w:kern w:val="24"/>
                <w:szCs w:val="18"/>
                <w:lang w:eastAsia="fr-FR"/>
              </w:rPr>
              <w:t>389</w:t>
            </w:r>
          </w:p>
        </w:tc>
        <w:tc>
          <w:tcPr>
            <w:tcW w:w="772" w:type="dxa"/>
            <w:tcBorders>
              <w:top w:val="single" w:sz="8" w:space="0" w:color="008000"/>
              <w:left w:val="nil"/>
              <w:bottom w:val="nil"/>
              <w:right w:val="nil"/>
            </w:tcBorders>
            <w:tcMar>
              <w:top w:w="15" w:type="dxa"/>
              <w:left w:w="15" w:type="dxa"/>
              <w:bottom w:w="0" w:type="dxa"/>
              <w:right w:w="15" w:type="dxa"/>
            </w:tcMar>
            <w:hideMark/>
          </w:tcPr>
          <w:p w14:paraId="3C8739B8" w14:textId="590B47BD"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29</w:t>
            </w:r>
            <w:r w:rsidR="00E07000">
              <w:rPr>
                <w:rFonts w:cs="Arial"/>
                <w:color w:val="000000"/>
                <w:kern w:val="24"/>
                <w:szCs w:val="18"/>
                <w:lang w:eastAsia="fr-FR"/>
              </w:rPr>
              <w:t>.</w:t>
            </w:r>
            <w:r w:rsidRPr="002965B7">
              <w:rPr>
                <w:rFonts w:cs="Arial"/>
                <w:color w:val="000000"/>
                <w:kern w:val="24"/>
                <w:szCs w:val="18"/>
                <w:lang w:eastAsia="fr-FR"/>
              </w:rPr>
              <w:t>35</w:t>
            </w:r>
          </w:p>
        </w:tc>
        <w:tc>
          <w:tcPr>
            <w:tcW w:w="848" w:type="dxa"/>
            <w:tcBorders>
              <w:top w:val="single" w:sz="8" w:space="0" w:color="008000"/>
              <w:left w:val="nil"/>
              <w:bottom w:val="nil"/>
              <w:right w:val="nil"/>
            </w:tcBorders>
            <w:tcMar>
              <w:top w:w="15" w:type="dxa"/>
              <w:left w:w="15" w:type="dxa"/>
              <w:bottom w:w="0" w:type="dxa"/>
              <w:right w:w="15" w:type="dxa"/>
            </w:tcMar>
            <w:hideMark/>
          </w:tcPr>
          <w:p w14:paraId="2ABE0AE8" w14:textId="176B038C"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98</w:t>
            </w:r>
            <w:r w:rsidR="00E07000">
              <w:rPr>
                <w:rFonts w:cs="Arial"/>
                <w:color w:val="000000"/>
                <w:kern w:val="24"/>
                <w:szCs w:val="18"/>
                <w:lang w:eastAsia="fr-FR"/>
              </w:rPr>
              <w:t>.</w:t>
            </w:r>
            <w:r w:rsidRPr="002965B7">
              <w:rPr>
                <w:rFonts w:cs="Arial"/>
                <w:color w:val="000000"/>
                <w:kern w:val="24"/>
                <w:szCs w:val="18"/>
                <w:lang w:eastAsia="fr-FR"/>
              </w:rPr>
              <w:t>48</w:t>
            </w:r>
          </w:p>
        </w:tc>
      </w:tr>
      <w:tr w:rsidR="00485C98" w:rsidRPr="002965B7" w14:paraId="6A8686BF" w14:textId="77777777" w:rsidTr="00314F2B">
        <w:trPr>
          <w:trHeight w:val="303"/>
        </w:trPr>
        <w:tc>
          <w:tcPr>
            <w:tcW w:w="709" w:type="dxa"/>
            <w:tcBorders>
              <w:top w:val="nil"/>
              <w:left w:val="nil"/>
              <w:bottom w:val="nil"/>
              <w:right w:val="nil"/>
            </w:tcBorders>
            <w:tcMar>
              <w:top w:w="15" w:type="dxa"/>
              <w:left w:w="15" w:type="dxa"/>
              <w:bottom w:w="0" w:type="dxa"/>
              <w:right w:w="15" w:type="dxa"/>
            </w:tcMar>
            <w:hideMark/>
          </w:tcPr>
          <w:p w14:paraId="5CEE7383" w14:textId="77777777" w:rsidR="00F5305A" w:rsidRPr="002965B7" w:rsidRDefault="00F5305A" w:rsidP="004103AE">
            <w:pPr>
              <w:pStyle w:val="CETBodytext"/>
              <w:rPr>
                <w:rFonts w:cs="Arial"/>
                <w:sz w:val="36"/>
                <w:szCs w:val="36"/>
                <w:lang w:eastAsia="fr-FR"/>
              </w:rPr>
            </w:pPr>
            <w:r w:rsidRPr="002965B7">
              <w:rPr>
                <w:color w:val="000000"/>
                <w:kern w:val="24"/>
                <w:szCs w:val="18"/>
                <w:lang w:eastAsia="fr-FR"/>
              </w:rPr>
              <w:t>AC2</w:t>
            </w:r>
          </w:p>
        </w:tc>
        <w:tc>
          <w:tcPr>
            <w:tcW w:w="1610" w:type="dxa"/>
            <w:tcBorders>
              <w:top w:val="nil"/>
              <w:left w:val="nil"/>
              <w:bottom w:val="nil"/>
              <w:right w:val="nil"/>
            </w:tcBorders>
            <w:tcMar>
              <w:top w:w="15" w:type="dxa"/>
              <w:left w:w="15" w:type="dxa"/>
              <w:bottom w:w="0" w:type="dxa"/>
              <w:right w:w="15" w:type="dxa"/>
            </w:tcMar>
            <w:hideMark/>
          </w:tcPr>
          <w:p w14:paraId="42D25E61" w14:textId="750BA0F7" w:rsidR="00F5305A" w:rsidRPr="002965B7" w:rsidRDefault="004A2F33" w:rsidP="004103AE">
            <w:pPr>
              <w:pStyle w:val="CETBodytext"/>
              <w:rPr>
                <w:rFonts w:cs="Arial"/>
                <w:sz w:val="36"/>
                <w:szCs w:val="36"/>
                <w:lang w:eastAsia="fr-FR"/>
              </w:rPr>
            </w:pPr>
            <w:r>
              <w:rPr>
                <w:rFonts w:ascii="Aptos" w:hAnsi="Aptos" w:cs="Arial"/>
                <w:color w:val="000000"/>
                <w:kern w:val="24"/>
                <w:szCs w:val="18"/>
                <w:lang w:eastAsia="fr-FR"/>
              </w:rPr>
              <w:t xml:space="preserve">non-woven filter </w:t>
            </w:r>
            <w:r w:rsidR="00F5305A" w:rsidRPr="002965B7">
              <w:rPr>
                <w:rFonts w:ascii="Aptos" w:hAnsi="Aptos" w:cs="Arial"/>
                <w:color w:val="000000"/>
                <w:kern w:val="24"/>
                <w:szCs w:val="18"/>
                <w:lang w:eastAsia="fr-FR"/>
              </w:rPr>
              <w:t xml:space="preserve"> </w:t>
            </w:r>
          </w:p>
        </w:tc>
        <w:tc>
          <w:tcPr>
            <w:tcW w:w="1240" w:type="dxa"/>
            <w:tcBorders>
              <w:top w:val="nil"/>
              <w:left w:val="nil"/>
              <w:bottom w:val="nil"/>
              <w:right w:val="nil"/>
            </w:tcBorders>
            <w:tcMar>
              <w:top w:w="15" w:type="dxa"/>
              <w:left w:w="15" w:type="dxa"/>
              <w:bottom w:w="0" w:type="dxa"/>
              <w:right w:w="15" w:type="dxa"/>
            </w:tcMar>
            <w:hideMark/>
          </w:tcPr>
          <w:p w14:paraId="1B7B7766" w14:textId="68F91599"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0</w:t>
            </w:r>
            <w:r w:rsidR="00E07000">
              <w:rPr>
                <w:rFonts w:cs="Arial"/>
                <w:color w:val="000000"/>
                <w:kern w:val="24"/>
                <w:szCs w:val="18"/>
                <w:lang w:eastAsia="fr-FR"/>
              </w:rPr>
              <w:t>.</w:t>
            </w:r>
            <w:r w:rsidRPr="002965B7">
              <w:rPr>
                <w:rFonts w:cs="Arial"/>
                <w:color w:val="000000"/>
                <w:kern w:val="24"/>
                <w:szCs w:val="18"/>
                <w:lang w:eastAsia="fr-FR"/>
              </w:rPr>
              <w:t>159</w:t>
            </w:r>
          </w:p>
        </w:tc>
        <w:tc>
          <w:tcPr>
            <w:tcW w:w="970" w:type="dxa"/>
            <w:tcBorders>
              <w:top w:val="nil"/>
              <w:left w:val="nil"/>
              <w:bottom w:val="nil"/>
              <w:right w:val="nil"/>
            </w:tcBorders>
            <w:tcMar>
              <w:top w:w="15" w:type="dxa"/>
              <w:left w:w="15" w:type="dxa"/>
              <w:bottom w:w="0" w:type="dxa"/>
              <w:right w:w="15" w:type="dxa"/>
            </w:tcMar>
            <w:hideMark/>
          </w:tcPr>
          <w:p w14:paraId="6AA03475" w14:textId="0A839DBD"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0</w:t>
            </w:r>
            <w:r w:rsidR="00E07000">
              <w:rPr>
                <w:rFonts w:cs="Arial"/>
                <w:color w:val="000000"/>
                <w:kern w:val="24"/>
                <w:szCs w:val="18"/>
                <w:lang w:eastAsia="fr-FR"/>
              </w:rPr>
              <w:t>.</w:t>
            </w:r>
            <w:r w:rsidRPr="002965B7">
              <w:rPr>
                <w:rFonts w:cs="Arial"/>
                <w:color w:val="000000"/>
                <w:kern w:val="24"/>
                <w:szCs w:val="18"/>
                <w:lang w:eastAsia="fr-FR"/>
              </w:rPr>
              <w:t>18</w:t>
            </w:r>
          </w:p>
        </w:tc>
        <w:tc>
          <w:tcPr>
            <w:tcW w:w="955" w:type="dxa"/>
            <w:tcBorders>
              <w:top w:val="nil"/>
              <w:left w:val="nil"/>
              <w:bottom w:val="nil"/>
              <w:right w:val="nil"/>
            </w:tcBorders>
            <w:tcMar>
              <w:top w:w="15" w:type="dxa"/>
              <w:left w:w="15" w:type="dxa"/>
              <w:bottom w:w="0" w:type="dxa"/>
              <w:right w:w="15" w:type="dxa"/>
            </w:tcMar>
            <w:hideMark/>
          </w:tcPr>
          <w:p w14:paraId="1F095362" w14:textId="22921176"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97</w:t>
            </w:r>
            <w:r w:rsidR="00E07000">
              <w:rPr>
                <w:rFonts w:cs="Arial"/>
                <w:color w:val="000000"/>
                <w:kern w:val="24"/>
                <w:szCs w:val="18"/>
                <w:lang w:eastAsia="fr-FR"/>
              </w:rPr>
              <w:t>.</w:t>
            </w:r>
            <w:r w:rsidRPr="002965B7">
              <w:rPr>
                <w:rFonts w:cs="Arial"/>
                <w:color w:val="000000"/>
                <w:kern w:val="24"/>
                <w:szCs w:val="18"/>
                <w:lang w:eastAsia="fr-FR"/>
              </w:rPr>
              <w:t>18</w:t>
            </w:r>
          </w:p>
        </w:tc>
        <w:tc>
          <w:tcPr>
            <w:tcW w:w="754" w:type="dxa"/>
            <w:tcBorders>
              <w:top w:val="nil"/>
              <w:left w:val="nil"/>
              <w:bottom w:val="nil"/>
              <w:right w:val="nil"/>
            </w:tcBorders>
            <w:tcMar>
              <w:top w:w="15" w:type="dxa"/>
              <w:left w:w="15" w:type="dxa"/>
              <w:bottom w:w="0" w:type="dxa"/>
              <w:right w:w="15" w:type="dxa"/>
            </w:tcMar>
            <w:hideMark/>
          </w:tcPr>
          <w:p w14:paraId="43D09923" w14:textId="08F95E53"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4</w:t>
            </w:r>
            <w:r w:rsidR="00E07000">
              <w:rPr>
                <w:rFonts w:cs="Arial"/>
                <w:color w:val="000000"/>
                <w:kern w:val="24"/>
                <w:szCs w:val="18"/>
                <w:lang w:eastAsia="fr-FR"/>
              </w:rPr>
              <w:t>.</w:t>
            </w:r>
            <w:r w:rsidRPr="002965B7">
              <w:rPr>
                <w:rFonts w:cs="Arial"/>
                <w:color w:val="000000"/>
                <w:kern w:val="24"/>
                <w:szCs w:val="18"/>
                <w:lang w:eastAsia="fr-FR"/>
              </w:rPr>
              <w:t>8</w:t>
            </w:r>
          </w:p>
        </w:tc>
        <w:tc>
          <w:tcPr>
            <w:tcW w:w="772" w:type="dxa"/>
            <w:gridSpan w:val="2"/>
            <w:tcBorders>
              <w:top w:val="nil"/>
              <w:left w:val="nil"/>
              <w:bottom w:val="nil"/>
              <w:right w:val="nil"/>
            </w:tcBorders>
          </w:tcPr>
          <w:p w14:paraId="7C7DACA5" w14:textId="45C37D9A" w:rsidR="00F5305A" w:rsidRPr="002965B7" w:rsidRDefault="00F5305A" w:rsidP="004103AE">
            <w:pPr>
              <w:pStyle w:val="CETBodytext"/>
              <w:rPr>
                <w:rFonts w:cs="Arial"/>
                <w:color w:val="000000"/>
                <w:kern w:val="24"/>
                <w:szCs w:val="18"/>
                <w:lang w:eastAsia="fr-FR"/>
              </w:rPr>
            </w:pPr>
            <w:r>
              <w:rPr>
                <w:rFonts w:cs="Arial"/>
                <w:color w:val="000000"/>
                <w:kern w:val="24"/>
                <w:szCs w:val="18"/>
                <w:lang w:eastAsia="fr-FR"/>
              </w:rPr>
              <w:t>0</w:t>
            </w:r>
            <w:r w:rsidR="00E07000">
              <w:rPr>
                <w:rFonts w:cs="Arial"/>
                <w:color w:val="000000"/>
                <w:kern w:val="24"/>
                <w:szCs w:val="18"/>
                <w:lang w:eastAsia="fr-FR"/>
              </w:rPr>
              <w:t>.</w:t>
            </w:r>
            <w:r>
              <w:rPr>
                <w:rFonts w:cs="Arial"/>
                <w:color w:val="000000"/>
                <w:kern w:val="24"/>
                <w:szCs w:val="18"/>
                <w:lang w:eastAsia="fr-FR"/>
              </w:rPr>
              <w:t>208</w:t>
            </w:r>
          </w:p>
        </w:tc>
        <w:tc>
          <w:tcPr>
            <w:tcW w:w="772" w:type="dxa"/>
            <w:tcBorders>
              <w:top w:val="nil"/>
              <w:left w:val="nil"/>
              <w:bottom w:val="nil"/>
              <w:right w:val="nil"/>
            </w:tcBorders>
            <w:tcMar>
              <w:top w:w="15" w:type="dxa"/>
              <w:left w:w="15" w:type="dxa"/>
              <w:bottom w:w="0" w:type="dxa"/>
              <w:right w:w="15" w:type="dxa"/>
            </w:tcMar>
            <w:hideMark/>
          </w:tcPr>
          <w:p w14:paraId="348FB8F2" w14:textId="7142738F"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55</w:t>
            </w:r>
            <w:r w:rsidR="00E07000">
              <w:rPr>
                <w:rFonts w:cs="Arial"/>
                <w:color w:val="000000"/>
                <w:kern w:val="24"/>
                <w:szCs w:val="18"/>
                <w:lang w:eastAsia="fr-FR"/>
              </w:rPr>
              <w:t>.</w:t>
            </w:r>
            <w:r w:rsidRPr="002965B7">
              <w:rPr>
                <w:rFonts w:cs="Arial"/>
                <w:color w:val="000000"/>
                <w:kern w:val="24"/>
                <w:szCs w:val="18"/>
                <w:lang w:eastAsia="fr-FR"/>
              </w:rPr>
              <w:t>51</w:t>
            </w:r>
          </w:p>
        </w:tc>
        <w:tc>
          <w:tcPr>
            <w:tcW w:w="848" w:type="dxa"/>
            <w:tcBorders>
              <w:top w:val="nil"/>
              <w:left w:val="nil"/>
              <w:bottom w:val="nil"/>
              <w:right w:val="nil"/>
            </w:tcBorders>
            <w:tcMar>
              <w:top w:w="15" w:type="dxa"/>
              <w:left w:w="15" w:type="dxa"/>
              <w:bottom w:w="0" w:type="dxa"/>
              <w:right w:w="15" w:type="dxa"/>
            </w:tcMar>
            <w:hideMark/>
          </w:tcPr>
          <w:p w14:paraId="08B6DE9B" w14:textId="4F5CF9C7"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91</w:t>
            </w:r>
            <w:r w:rsidR="00E07000">
              <w:rPr>
                <w:rFonts w:cs="Arial"/>
                <w:color w:val="000000"/>
                <w:kern w:val="24"/>
                <w:szCs w:val="18"/>
                <w:lang w:eastAsia="fr-FR"/>
              </w:rPr>
              <w:t>.</w:t>
            </w:r>
            <w:r w:rsidRPr="002965B7">
              <w:rPr>
                <w:rFonts w:cs="Arial"/>
                <w:color w:val="000000"/>
                <w:kern w:val="24"/>
                <w:szCs w:val="18"/>
                <w:lang w:eastAsia="fr-FR"/>
              </w:rPr>
              <w:t>43</w:t>
            </w:r>
          </w:p>
        </w:tc>
      </w:tr>
      <w:tr w:rsidR="00485C98" w:rsidRPr="002965B7" w14:paraId="2B91DB1A" w14:textId="77777777" w:rsidTr="00314F2B">
        <w:trPr>
          <w:trHeight w:val="303"/>
        </w:trPr>
        <w:tc>
          <w:tcPr>
            <w:tcW w:w="709" w:type="dxa"/>
            <w:tcBorders>
              <w:top w:val="nil"/>
              <w:left w:val="nil"/>
              <w:bottom w:val="nil"/>
              <w:right w:val="nil"/>
            </w:tcBorders>
            <w:tcMar>
              <w:top w:w="15" w:type="dxa"/>
              <w:left w:w="15" w:type="dxa"/>
              <w:bottom w:w="0" w:type="dxa"/>
              <w:right w:w="15" w:type="dxa"/>
            </w:tcMar>
            <w:hideMark/>
          </w:tcPr>
          <w:p w14:paraId="45EC2E32" w14:textId="77777777" w:rsidR="00F5305A" w:rsidRPr="002965B7" w:rsidRDefault="00F5305A" w:rsidP="004103AE">
            <w:pPr>
              <w:pStyle w:val="CETBodytext"/>
              <w:rPr>
                <w:rFonts w:cs="Arial"/>
                <w:sz w:val="36"/>
                <w:szCs w:val="36"/>
                <w:lang w:eastAsia="fr-FR"/>
              </w:rPr>
            </w:pPr>
            <w:r w:rsidRPr="002965B7">
              <w:rPr>
                <w:color w:val="000000"/>
                <w:kern w:val="24"/>
                <w:szCs w:val="18"/>
                <w:lang w:eastAsia="fr-FR"/>
              </w:rPr>
              <w:t>AC3</w:t>
            </w:r>
          </w:p>
        </w:tc>
        <w:tc>
          <w:tcPr>
            <w:tcW w:w="1610" w:type="dxa"/>
            <w:tcBorders>
              <w:top w:val="nil"/>
              <w:left w:val="nil"/>
              <w:bottom w:val="nil"/>
              <w:right w:val="nil"/>
            </w:tcBorders>
            <w:tcMar>
              <w:top w:w="15" w:type="dxa"/>
              <w:left w:w="15" w:type="dxa"/>
              <w:bottom w:w="0" w:type="dxa"/>
              <w:right w:w="15" w:type="dxa"/>
            </w:tcMar>
            <w:hideMark/>
          </w:tcPr>
          <w:p w14:paraId="10B501B8" w14:textId="17AD0FFA" w:rsidR="00F5305A" w:rsidRPr="002965B7" w:rsidRDefault="00F5305A" w:rsidP="004103AE">
            <w:pPr>
              <w:pStyle w:val="CETBodytext"/>
              <w:rPr>
                <w:rFonts w:cs="Arial"/>
                <w:sz w:val="36"/>
                <w:szCs w:val="36"/>
                <w:lang w:eastAsia="fr-FR"/>
              </w:rPr>
            </w:pPr>
            <w:proofErr w:type="spellStart"/>
            <w:r w:rsidRPr="002965B7">
              <w:rPr>
                <w:rFonts w:ascii="Aptos" w:hAnsi="Aptos" w:cs="Arial"/>
                <w:color w:val="000000"/>
                <w:kern w:val="24"/>
                <w:szCs w:val="18"/>
                <w:lang w:eastAsia="fr-FR"/>
              </w:rPr>
              <w:t>Ecosorb</w:t>
            </w:r>
            <w:proofErr w:type="spellEnd"/>
            <w:r w:rsidRPr="002965B7">
              <w:rPr>
                <w:rFonts w:ascii="Aptos" w:hAnsi="Aptos" w:cs="Arial"/>
                <w:color w:val="000000"/>
                <w:kern w:val="24"/>
                <w:szCs w:val="18"/>
                <w:lang w:eastAsia="fr-FR"/>
              </w:rPr>
              <w:t xml:space="preserve"> </w:t>
            </w:r>
            <w:r w:rsidR="00295568">
              <w:rPr>
                <w:rFonts w:ascii="Aptos" w:hAnsi="Aptos" w:cs="Arial"/>
                <w:color w:val="000000"/>
                <w:kern w:val="24"/>
                <w:szCs w:val="18"/>
                <w:lang w:eastAsia="fr-FR"/>
              </w:rPr>
              <w:t>powder</w:t>
            </w:r>
          </w:p>
        </w:tc>
        <w:tc>
          <w:tcPr>
            <w:tcW w:w="1240" w:type="dxa"/>
            <w:tcBorders>
              <w:top w:val="nil"/>
              <w:left w:val="nil"/>
              <w:bottom w:val="nil"/>
              <w:right w:val="nil"/>
            </w:tcBorders>
            <w:tcMar>
              <w:top w:w="15" w:type="dxa"/>
              <w:left w:w="15" w:type="dxa"/>
              <w:bottom w:w="0" w:type="dxa"/>
              <w:right w:w="15" w:type="dxa"/>
            </w:tcMar>
            <w:hideMark/>
          </w:tcPr>
          <w:p w14:paraId="0B0FA340" w14:textId="7F912D02"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0</w:t>
            </w:r>
            <w:r w:rsidR="00E07000">
              <w:rPr>
                <w:rFonts w:cs="Arial"/>
                <w:color w:val="000000"/>
                <w:kern w:val="24"/>
                <w:szCs w:val="18"/>
                <w:lang w:eastAsia="fr-FR"/>
              </w:rPr>
              <w:t>.</w:t>
            </w:r>
            <w:r w:rsidRPr="002965B7">
              <w:rPr>
                <w:rFonts w:cs="Arial"/>
                <w:color w:val="000000"/>
                <w:kern w:val="24"/>
                <w:szCs w:val="18"/>
                <w:lang w:eastAsia="fr-FR"/>
              </w:rPr>
              <w:t>149</w:t>
            </w:r>
          </w:p>
        </w:tc>
        <w:tc>
          <w:tcPr>
            <w:tcW w:w="970" w:type="dxa"/>
            <w:tcBorders>
              <w:top w:val="nil"/>
              <w:left w:val="nil"/>
              <w:bottom w:val="nil"/>
              <w:right w:val="nil"/>
            </w:tcBorders>
            <w:tcMar>
              <w:top w:w="15" w:type="dxa"/>
              <w:left w:w="15" w:type="dxa"/>
              <w:bottom w:w="0" w:type="dxa"/>
              <w:right w:w="15" w:type="dxa"/>
            </w:tcMar>
            <w:hideMark/>
          </w:tcPr>
          <w:p w14:paraId="71F67296" w14:textId="2F0A8CA7"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0</w:t>
            </w:r>
            <w:r w:rsidR="00E07000">
              <w:rPr>
                <w:rFonts w:cs="Arial"/>
                <w:color w:val="000000"/>
                <w:kern w:val="24"/>
                <w:szCs w:val="18"/>
                <w:lang w:eastAsia="fr-FR"/>
              </w:rPr>
              <w:t>.</w:t>
            </w:r>
            <w:r w:rsidRPr="002965B7">
              <w:rPr>
                <w:rFonts w:cs="Arial"/>
                <w:color w:val="000000"/>
                <w:kern w:val="24"/>
                <w:szCs w:val="18"/>
                <w:lang w:eastAsia="fr-FR"/>
              </w:rPr>
              <w:t>2</w:t>
            </w:r>
            <w:r w:rsidR="008A2BE3">
              <w:rPr>
                <w:rFonts w:cs="Arial"/>
                <w:color w:val="000000"/>
                <w:kern w:val="24"/>
                <w:szCs w:val="18"/>
                <w:lang w:eastAsia="fr-FR"/>
              </w:rPr>
              <w:t>0</w:t>
            </w:r>
          </w:p>
        </w:tc>
        <w:tc>
          <w:tcPr>
            <w:tcW w:w="955" w:type="dxa"/>
            <w:tcBorders>
              <w:top w:val="nil"/>
              <w:left w:val="nil"/>
              <w:bottom w:val="nil"/>
              <w:right w:val="nil"/>
            </w:tcBorders>
            <w:tcMar>
              <w:top w:w="15" w:type="dxa"/>
              <w:left w:w="15" w:type="dxa"/>
              <w:bottom w:w="0" w:type="dxa"/>
              <w:right w:w="15" w:type="dxa"/>
            </w:tcMar>
            <w:hideMark/>
          </w:tcPr>
          <w:p w14:paraId="1696E85E" w14:textId="6490C4D5"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89</w:t>
            </w:r>
            <w:r w:rsidR="00E07000">
              <w:rPr>
                <w:rFonts w:cs="Arial"/>
                <w:color w:val="000000"/>
                <w:kern w:val="24"/>
                <w:szCs w:val="18"/>
                <w:lang w:eastAsia="fr-FR"/>
              </w:rPr>
              <w:t>.</w:t>
            </w:r>
            <w:r w:rsidRPr="002965B7">
              <w:rPr>
                <w:rFonts w:cs="Arial"/>
                <w:color w:val="000000"/>
                <w:kern w:val="24"/>
                <w:szCs w:val="18"/>
                <w:lang w:eastAsia="fr-FR"/>
              </w:rPr>
              <w:t>16</w:t>
            </w:r>
          </w:p>
        </w:tc>
        <w:tc>
          <w:tcPr>
            <w:tcW w:w="754" w:type="dxa"/>
            <w:tcBorders>
              <w:top w:val="nil"/>
              <w:left w:val="nil"/>
              <w:bottom w:val="nil"/>
              <w:right w:val="nil"/>
            </w:tcBorders>
            <w:tcMar>
              <w:top w:w="15" w:type="dxa"/>
              <w:left w:w="15" w:type="dxa"/>
              <w:bottom w:w="0" w:type="dxa"/>
              <w:right w:w="15" w:type="dxa"/>
            </w:tcMar>
            <w:hideMark/>
          </w:tcPr>
          <w:p w14:paraId="365D2C00" w14:textId="4E06DDAC"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4</w:t>
            </w:r>
            <w:r w:rsidR="00E07000">
              <w:rPr>
                <w:rFonts w:cs="Arial"/>
                <w:color w:val="000000"/>
                <w:kern w:val="24"/>
                <w:szCs w:val="18"/>
                <w:lang w:eastAsia="fr-FR"/>
              </w:rPr>
              <w:t>.</w:t>
            </w:r>
            <w:r w:rsidRPr="002965B7">
              <w:rPr>
                <w:rFonts w:cs="Arial"/>
                <w:color w:val="000000"/>
                <w:kern w:val="24"/>
                <w:szCs w:val="18"/>
                <w:lang w:eastAsia="fr-FR"/>
              </w:rPr>
              <w:t>33</w:t>
            </w:r>
          </w:p>
        </w:tc>
        <w:tc>
          <w:tcPr>
            <w:tcW w:w="772" w:type="dxa"/>
            <w:gridSpan w:val="2"/>
            <w:tcBorders>
              <w:top w:val="nil"/>
              <w:left w:val="nil"/>
              <w:bottom w:val="nil"/>
              <w:right w:val="nil"/>
            </w:tcBorders>
          </w:tcPr>
          <w:p w14:paraId="6A3F0FE1" w14:textId="5C2149D3" w:rsidR="00F5305A" w:rsidRPr="002965B7" w:rsidRDefault="00F5305A" w:rsidP="004103AE">
            <w:pPr>
              <w:pStyle w:val="CETBodytext"/>
              <w:rPr>
                <w:rFonts w:cs="Arial"/>
                <w:color w:val="000000"/>
                <w:kern w:val="24"/>
                <w:szCs w:val="18"/>
                <w:lang w:eastAsia="fr-FR"/>
              </w:rPr>
            </w:pPr>
            <w:r>
              <w:rPr>
                <w:rFonts w:cs="Arial"/>
                <w:color w:val="000000"/>
                <w:kern w:val="24"/>
                <w:szCs w:val="18"/>
                <w:lang w:eastAsia="fr-FR"/>
              </w:rPr>
              <w:t>0</w:t>
            </w:r>
            <w:r w:rsidR="00E07000">
              <w:rPr>
                <w:rFonts w:cs="Arial"/>
                <w:color w:val="000000"/>
                <w:kern w:val="24"/>
                <w:szCs w:val="18"/>
                <w:lang w:eastAsia="fr-FR"/>
              </w:rPr>
              <w:t>.</w:t>
            </w:r>
            <w:r>
              <w:rPr>
                <w:rFonts w:cs="Arial"/>
                <w:color w:val="000000"/>
                <w:kern w:val="24"/>
                <w:szCs w:val="18"/>
                <w:lang w:eastAsia="fr-FR"/>
              </w:rPr>
              <w:t>230</w:t>
            </w:r>
          </w:p>
        </w:tc>
        <w:tc>
          <w:tcPr>
            <w:tcW w:w="772" w:type="dxa"/>
            <w:tcBorders>
              <w:top w:val="nil"/>
              <w:left w:val="nil"/>
              <w:bottom w:val="nil"/>
              <w:right w:val="nil"/>
            </w:tcBorders>
            <w:tcMar>
              <w:top w:w="15" w:type="dxa"/>
              <w:left w:w="15" w:type="dxa"/>
              <w:bottom w:w="0" w:type="dxa"/>
              <w:right w:w="15" w:type="dxa"/>
            </w:tcMar>
            <w:hideMark/>
          </w:tcPr>
          <w:p w14:paraId="2F6DCB47" w14:textId="4230E951"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50</w:t>
            </w:r>
            <w:r w:rsidR="00E07000">
              <w:rPr>
                <w:rFonts w:cs="Arial"/>
                <w:color w:val="000000"/>
                <w:kern w:val="24"/>
                <w:szCs w:val="18"/>
                <w:lang w:eastAsia="fr-FR"/>
              </w:rPr>
              <w:t>.</w:t>
            </w:r>
            <w:r w:rsidRPr="002965B7">
              <w:rPr>
                <w:rFonts w:cs="Arial"/>
                <w:color w:val="000000"/>
                <w:kern w:val="24"/>
                <w:szCs w:val="18"/>
                <w:lang w:eastAsia="fr-FR"/>
              </w:rPr>
              <w:t>05</w:t>
            </w:r>
          </w:p>
        </w:tc>
        <w:tc>
          <w:tcPr>
            <w:tcW w:w="848" w:type="dxa"/>
            <w:tcBorders>
              <w:top w:val="nil"/>
              <w:left w:val="nil"/>
              <w:bottom w:val="nil"/>
              <w:right w:val="nil"/>
            </w:tcBorders>
            <w:tcMar>
              <w:top w:w="15" w:type="dxa"/>
              <w:left w:w="15" w:type="dxa"/>
              <w:bottom w:w="0" w:type="dxa"/>
              <w:right w:w="15" w:type="dxa"/>
            </w:tcMar>
            <w:hideMark/>
          </w:tcPr>
          <w:p w14:paraId="221C1D04" w14:textId="46F36D6B"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98</w:t>
            </w:r>
            <w:r w:rsidR="00E07000">
              <w:rPr>
                <w:rFonts w:cs="Arial"/>
                <w:color w:val="000000"/>
                <w:kern w:val="24"/>
                <w:szCs w:val="18"/>
                <w:lang w:eastAsia="fr-FR"/>
              </w:rPr>
              <w:t>.</w:t>
            </w:r>
            <w:r w:rsidRPr="002965B7">
              <w:rPr>
                <w:rFonts w:cs="Arial"/>
                <w:color w:val="000000"/>
                <w:kern w:val="24"/>
                <w:szCs w:val="18"/>
                <w:lang w:eastAsia="fr-FR"/>
              </w:rPr>
              <w:t>51</w:t>
            </w:r>
          </w:p>
        </w:tc>
      </w:tr>
      <w:tr w:rsidR="00485C98" w:rsidRPr="002965B7" w14:paraId="575136B0" w14:textId="77777777" w:rsidTr="00314F2B">
        <w:trPr>
          <w:trHeight w:val="303"/>
        </w:trPr>
        <w:tc>
          <w:tcPr>
            <w:tcW w:w="709" w:type="dxa"/>
            <w:tcBorders>
              <w:top w:val="nil"/>
              <w:left w:val="nil"/>
              <w:bottom w:val="nil"/>
              <w:right w:val="nil"/>
            </w:tcBorders>
            <w:tcMar>
              <w:top w:w="15" w:type="dxa"/>
              <w:left w:w="15" w:type="dxa"/>
              <w:bottom w:w="0" w:type="dxa"/>
              <w:right w:w="15" w:type="dxa"/>
            </w:tcMar>
            <w:hideMark/>
          </w:tcPr>
          <w:p w14:paraId="158F3436" w14:textId="77777777" w:rsidR="00F5305A" w:rsidRPr="002965B7" w:rsidRDefault="00F5305A" w:rsidP="004103AE">
            <w:pPr>
              <w:pStyle w:val="CETBodytext"/>
              <w:rPr>
                <w:rFonts w:cs="Arial"/>
                <w:sz w:val="36"/>
                <w:szCs w:val="36"/>
                <w:lang w:eastAsia="fr-FR"/>
              </w:rPr>
            </w:pPr>
            <w:r w:rsidRPr="002965B7">
              <w:rPr>
                <w:color w:val="000000"/>
                <w:kern w:val="24"/>
                <w:szCs w:val="18"/>
                <w:lang w:eastAsia="fr-FR"/>
              </w:rPr>
              <w:t>AC4</w:t>
            </w:r>
          </w:p>
        </w:tc>
        <w:tc>
          <w:tcPr>
            <w:tcW w:w="1610" w:type="dxa"/>
            <w:tcBorders>
              <w:top w:val="nil"/>
              <w:left w:val="nil"/>
              <w:bottom w:val="nil"/>
              <w:right w:val="nil"/>
            </w:tcBorders>
            <w:tcMar>
              <w:top w:w="15" w:type="dxa"/>
              <w:left w:w="15" w:type="dxa"/>
              <w:bottom w:w="0" w:type="dxa"/>
              <w:right w:w="15" w:type="dxa"/>
            </w:tcMar>
            <w:hideMark/>
          </w:tcPr>
          <w:p w14:paraId="31D2C533" w14:textId="77777777" w:rsidR="00F5305A" w:rsidRPr="002965B7" w:rsidRDefault="00F5305A" w:rsidP="004103AE">
            <w:pPr>
              <w:pStyle w:val="CETBodytext"/>
              <w:rPr>
                <w:rFonts w:cs="Arial"/>
                <w:sz w:val="36"/>
                <w:szCs w:val="36"/>
                <w:lang w:eastAsia="fr-FR"/>
              </w:rPr>
            </w:pPr>
            <w:proofErr w:type="spellStart"/>
            <w:r w:rsidRPr="002965B7">
              <w:rPr>
                <w:rFonts w:ascii="Aptos" w:hAnsi="Aptos" w:cs="Arial"/>
                <w:color w:val="000000"/>
                <w:kern w:val="24"/>
                <w:szCs w:val="18"/>
                <w:lang w:eastAsia="fr-FR"/>
              </w:rPr>
              <w:t>Actitex</w:t>
            </w:r>
            <w:proofErr w:type="spellEnd"/>
            <w:r w:rsidRPr="002965B7">
              <w:rPr>
                <w:rFonts w:ascii="Aptos" w:hAnsi="Aptos" w:cs="Arial"/>
                <w:color w:val="000000"/>
                <w:kern w:val="24"/>
                <w:szCs w:val="18"/>
                <w:lang w:eastAsia="fr-FR"/>
              </w:rPr>
              <w:t xml:space="preserve"> 2mm</w:t>
            </w:r>
          </w:p>
        </w:tc>
        <w:tc>
          <w:tcPr>
            <w:tcW w:w="1240" w:type="dxa"/>
            <w:tcBorders>
              <w:top w:val="nil"/>
              <w:left w:val="nil"/>
              <w:bottom w:val="nil"/>
              <w:right w:val="nil"/>
            </w:tcBorders>
            <w:tcMar>
              <w:top w:w="15" w:type="dxa"/>
              <w:left w:w="15" w:type="dxa"/>
              <w:bottom w:w="0" w:type="dxa"/>
              <w:right w:w="15" w:type="dxa"/>
            </w:tcMar>
            <w:hideMark/>
          </w:tcPr>
          <w:p w14:paraId="7DE3F73C" w14:textId="71F0C612"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0</w:t>
            </w:r>
            <w:r w:rsidR="00E07000">
              <w:rPr>
                <w:rFonts w:cs="Arial"/>
                <w:color w:val="000000"/>
                <w:kern w:val="24"/>
                <w:szCs w:val="18"/>
                <w:lang w:eastAsia="fr-FR"/>
              </w:rPr>
              <w:t>.</w:t>
            </w:r>
            <w:r w:rsidRPr="002965B7">
              <w:rPr>
                <w:rFonts w:cs="Arial"/>
                <w:color w:val="000000"/>
                <w:kern w:val="24"/>
                <w:szCs w:val="18"/>
                <w:lang w:eastAsia="fr-FR"/>
              </w:rPr>
              <w:t>054</w:t>
            </w:r>
          </w:p>
        </w:tc>
        <w:tc>
          <w:tcPr>
            <w:tcW w:w="970" w:type="dxa"/>
            <w:tcBorders>
              <w:top w:val="nil"/>
              <w:left w:val="nil"/>
              <w:bottom w:val="nil"/>
              <w:right w:val="nil"/>
            </w:tcBorders>
            <w:tcMar>
              <w:top w:w="15" w:type="dxa"/>
              <w:left w:w="15" w:type="dxa"/>
              <w:bottom w:w="0" w:type="dxa"/>
              <w:right w:w="15" w:type="dxa"/>
            </w:tcMar>
            <w:hideMark/>
          </w:tcPr>
          <w:p w14:paraId="2D90C477" w14:textId="7803B90E"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0</w:t>
            </w:r>
            <w:r w:rsidR="00E07000">
              <w:rPr>
                <w:rFonts w:cs="Arial"/>
                <w:color w:val="000000"/>
                <w:kern w:val="24"/>
                <w:szCs w:val="18"/>
                <w:lang w:eastAsia="fr-FR"/>
              </w:rPr>
              <w:t>.</w:t>
            </w:r>
            <w:r w:rsidRPr="002965B7">
              <w:rPr>
                <w:rFonts w:cs="Arial"/>
                <w:color w:val="000000"/>
                <w:kern w:val="24"/>
                <w:szCs w:val="18"/>
                <w:lang w:eastAsia="fr-FR"/>
              </w:rPr>
              <w:t>33</w:t>
            </w:r>
          </w:p>
        </w:tc>
        <w:tc>
          <w:tcPr>
            <w:tcW w:w="955" w:type="dxa"/>
            <w:tcBorders>
              <w:top w:val="nil"/>
              <w:left w:val="nil"/>
              <w:bottom w:val="nil"/>
              <w:right w:val="nil"/>
            </w:tcBorders>
            <w:tcMar>
              <w:top w:w="15" w:type="dxa"/>
              <w:left w:w="15" w:type="dxa"/>
              <w:bottom w:w="0" w:type="dxa"/>
              <w:right w:w="15" w:type="dxa"/>
            </w:tcMar>
            <w:hideMark/>
          </w:tcPr>
          <w:p w14:paraId="25CDD2E3" w14:textId="79F519F4"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92</w:t>
            </w:r>
            <w:r w:rsidR="00E07000">
              <w:rPr>
                <w:rFonts w:cs="Arial"/>
                <w:color w:val="000000"/>
                <w:kern w:val="24"/>
                <w:szCs w:val="18"/>
                <w:lang w:eastAsia="fr-FR"/>
              </w:rPr>
              <w:t>.</w:t>
            </w:r>
            <w:r w:rsidRPr="002965B7">
              <w:rPr>
                <w:rFonts w:cs="Arial"/>
                <w:color w:val="000000"/>
                <w:kern w:val="24"/>
                <w:szCs w:val="18"/>
                <w:lang w:eastAsia="fr-FR"/>
              </w:rPr>
              <w:t>93</w:t>
            </w:r>
          </w:p>
        </w:tc>
        <w:tc>
          <w:tcPr>
            <w:tcW w:w="754" w:type="dxa"/>
            <w:tcBorders>
              <w:top w:val="nil"/>
              <w:left w:val="nil"/>
              <w:bottom w:val="nil"/>
              <w:right w:val="nil"/>
            </w:tcBorders>
            <w:tcMar>
              <w:top w:w="15" w:type="dxa"/>
              <w:left w:w="15" w:type="dxa"/>
              <w:bottom w:w="0" w:type="dxa"/>
              <w:right w:w="15" w:type="dxa"/>
            </w:tcMar>
            <w:hideMark/>
          </w:tcPr>
          <w:p w14:paraId="64201725" w14:textId="080D2A03"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4</w:t>
            </w:r>
            <w:r w:rsidR="00E07000">
              <w:rPr>
                <w:rFonts w:cs="Arial"/>
                <w:color w:val="000000"/>
                <w:kern w:val="24"/>
                <w:szCs w:val="18"/>
                <w:lang w:eastAsia="fr-FR"/>
              </w:rPr>
              <w:t>.</w:t>
            </w:r>
            <w:r w:rsidRPr="002965B7">
              <w:rPr>
                <w:rFonts w:cs="Arial"/>
                <w:color w:val="000000"/>
                <w:kern w:val="24"/>
                <w:szCs w:val="18"/>
                <w:lang w:eastAsia="fr-FR"/>
              </w:rPr>
              <w:t>36</w:t>
            </w:r>
          </w:p>
        </w:tc>
        <w:tc>
          <w:tcPr>
            <w:tcW w:w="772" w:type="dxa"/>
            <w:gridSpan w:val="2"/>
            <w:tcBorders>
              <w:top w:val="nil"/>
              <w:left w:val="nil"/>
              <w:bottom w:val="nil"/>
              <w:right w:val="nil"/>
            </w:tcBorders>
          </w:tcPr>
          <w:p w14:paraId="113A5BA5" w14:textId="364BF76C" w:rsidR="00F5305A" w:rsidRPr="002965B7" w:rsidRDefault="00F5305A" w:rsidP="004103AE">
            <w:pPr>
              <w:pStyle w:val="CETBodytext"/>
              <w:rPr>
                <w:rFonts w:cs="Arial"/>
                <w:color w:val="000000"/>
                <w:kern w:val="24"/>
                <w:szCs w:val="18"/>
                <w:lang w:eastAsia="fr-FR"/>
              </w:rPr>
            </w:pPr>
            <w:r>
              <w:rPr>
                <w:rFonts w:cs="Arial"/>
                <w:color w:val="000000"/>
                <w:kern w:val="24"/>
                <w:szCs w:val="18"/>
                <w:lang w:eastAsia="fr-FR"/>
              </w:rPr>
              <w:t>0</w:t>
            </w:r>
            <w:r w:rsidR="00E07000">
              <w:rPr>
                <w:rFonts w:cs="Arial"/>
                <w:color w:val="000000"/>
                <w:kern w:val="24"/>
                <w:szCs w:val="18"/>
                <w:lang w:eastAsia="fr-FR"/>
              </w:rPr>
              <w:t>.</w:t>
            </w:r>
            <w:r>
              <w:rPr>
                <w:rFonts w:cs="Arial"/>
                <w:color w:val="000000"/>
                <w:kern w:val="24"/>
                <w:szCs w:val="18"/>
                <w:lang w:eastAsia="fr-FR"/>
              </w:rPr>
              <w:t>229</w:t>
            </w:r>
          </w:p>
        </w:tc>
        <w:tc>
          <w:tcPr>
            <w:tcW w:w="772" w:type="dxa"/>
            <w:tcBorders>
              <w:top w:val="nil"/>
              <w:left w:val="nil"/>
              <w:bottom w:val="nil"/>
              <w:right w:val="nil"/>
            </w:tcBorders>
            <w:tcMar>
              <w:top w:w="15" w:type="dxa"/>
              <w:left w:w="15" w:type="dxa"/>
              <w:bottom w:w="0" w:type="dxa"/>
              <w:right w:w="15" w:type="dxa"/>
            </w:tcMar>
            <w:hideMark/>
          </w:tcPr>
          <w:p w14:paraId="3E24C7A0" w14:textId="322C6B76"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22</w:t>
            </w:r>
            <w:r w:rsidR="00E07000">
              <w:rPr>
                <w:rFonts w:cs="Arial"/>
                <w:color w:val="000000"/>
                <w:kern w:val="24"/>
                <w:szCs w:val="18"/>
                <w:lang w:eastAsia="fr-FR"/>
              </w:rPr>
              <w:t>.</w:t>
            </w:r>
            <w:r w:rsidRPr="002965B7">
              <w:rPr>
                <w:rFonts w:cs="Arial"/>
                <w:color w:val="000000"/>
                <w:kern w:val="24"/>
                <w:szCs w:val="18"/>
                <w:lang w:eastAsia="fr-FR"/>
              </w:rPr>
              <w:t>10</w:t>
            </w:r>
          </w:p>
        </w:tc>
        <w:tc>
          <w:tcPr>
            <w:tcW w:w="848" w:type="dxa"/>
            <w:tcBorders>
              <w:top w:val="nil"/>
              <w:left w:val="nil"/>
              <w:bottom w:val="nil"/>
              <w:right w:val="nil"/>
            </w:tcBorders>
            <w:tcMar>
              <w:top w:w="15" w:type="dxa"/>
              <w:left w:w="15" w:type="dxa"/>
              <w:bottom w:w="0" w:type="dxa"/>
              <w:right w:w="15" w:type="dxa"/>
            </w:tcMar>
            <w:hideMark/>
          </w:tcPr>
          <w:p w14:paraId="240B0F28" w14:textId="660E09CA"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88</w:t>
            </w:r>
            <w:r w:rsidR="00E07000">
              <w:rPr>
                <w:rFonts w:cs="Arial"/>
                <w:color w:val="000000"/>
                <w:kern w:val="24"/>
                <w:szCs w:val="18"/>
                <w:lang w:eastAsia="fr-FR"/>
              </w:rPr>
              <w:t>.</w:t>
            </w:r>
            <w:r w:rsidRPr="002965B7">
              <w:rPr>
                <w:rFonts w:cs="Arial"/>
                <w:color w:val="000000"/>
                <w:kern w:val="24"/>
                <w:szCs w:val="18"/>
                <w:lang w:eastAsia="fr-FR"/>
              </w:rPr>
              <w:t>45</w:t>
            </w:r>
          </w:p>
        </w:tc>
      </w:tr>
      <w:tr w:rsidR="00485C98" w:rsidRPr="002965B7" w14:paraId="5E85B741" w14:textId="77777777" w:rsidTr="00314F2B">
        <w:trPr>
          <w:trHeight w:val="283"/>
        </w:trPr>
        <w:tc>
          <w:tcPr>
            <w:tcW w:w="709" w:type="dxa"/>
            <w:tcBorders>
              <w:top w:val="nil"/>
              <w:left w:val="nil"/>
              <w:bottom w:val="single" w:sz="12" w:space="0" w:color="008000"/>
              <w:right w:val="nil"/>
            </w:tcBorders>
            <w:tcMar>
              <w:top w:w="15" w:type="dxa"/>
              <w:left w:w="15" w:type="dxa"/>
              <w:bottom w:w="0" w:type="dxa"/>
              <w:right w:w="15" w:type="dxa"/>
            </w:tcMar>
            <w:hideMark/>
          </w:tcPr>
          <w:p w14:paraId="61ABF0E0" w14:textId="77777777"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AC5 </w:t>
            </w:r>
          </w:p>
        </w:tc>
        <w:tc>
          <w:tcPr>
            <w:tcW w:w="1610" w:type="dxa"/>
            <w:tcBorders>
              <w:top w:val="nil"/>
              <w:left w:val="nil"/>
              <w:bottom w:val="single" w:sz="12" w:space="0" w:color="008000"/>
              <w:right w:val="nil"/>
            </w:tcBorders>
            <w:tcMar>
              <w:top w:w="15" w:type="dxa"/>
              <w:left w:w="15" w:type="dxa"/>
              <w:bottom w:w="0" w:type="dxa"/>
              <w:right w:w="15" w:type="dxa"/>
            </w:tcMar>
            <w:hideMark/>
          </w:tcPr>
          <w:p w14:paraId="1C44B3A5" w14:textId="77777777" w:rsidR="00F5305A" w:rsidRPr="002965B7" w:rsidRDefault="00F5305A" w:rsidP="004103AE">
            <w:pPr>
              <w:pStyle w:val="CETBodytext"/>
              <w:rPr>
                <w:rFonts w:cs="Arial"/>
                <w:sz w:val="36"/>
                <w:szCs w:val="36"/>
                <w:lang w:eastAsia="fr-FR"/>
              </w:rPr>
            </w:pPr>
            <w:proofErr w:type="spellStart"/>
            <w:r w:rsidRPr="002965B7">
              <w:rPr>
                <w:rFonts w:ascii="Aptos" w:hAnsi="Aptos" w:cs="Arial"/>
                <w:color w:val="000000"/>
                <w:kern w:val="24"/>
                <w:szCs w:val="18"/>
                <w:lang w:eastAsia="fr-FR"/>
              </w:rPr>
              <w:t>Actitex</w:t>
            </w:r>
            <w:proofErr w:type="spellEnd"/>
            <w:r w:rsidRPr="002965B7">
              <w:rPr>
                <w:rFonts w:ascii="Aptos" w:hAnsi="Aptos" w:cs="Arial"/>
                <w:color w:val="000000"/>
                <w:kern w:val="24"/>
                <w:szCs w:val="18"/>
                <w:lang w:eastAsia="fr-FR"/>
              </w:rPr>
              <w:t xml:space="preserve"> 1mm</w:t>
            </w:r>
          </w:p>
        </w:tc>
        <w:tc>
          <w:tcPr>
            <w:tcW w:w="1240" w:type="dxa"/>
            <w:tcBorders>
              <w:top w:val="nil"/>
              <w:left w:val="nil"/>
              <w:bottom w:val="single" w:sz="12" w:space="0" w:color="008000"/>
              <w:right w:val="nil"/>
            </w:tcBorders>
            <w:tcMar>
              <w:top w:w="15" w:type="dxa"/>
              <w:left w:w="15" w:type="dxa"/>
              <w:bottom w:w="0" w:type="dxa"/>
              <w:right w:w="15" w:type="dxa"/>
            </w:tcMar>
            <w:hideMark/>
          </w:tcPr>
          <w:p w14:paraId="12AC747F" w14:textId="6664626B"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0</w:t>
            </w:r>
            <w:r w:rsidR="00E07000">
              <w:rPr>
                <w:rFonts w:cs="Arial"/>
                <w:color w:val="000000"/>
                <w:kern w:val="24"/>
                <w:szCs w:val="18"/>
                <w:lang w:eastAsia="fr-FR"/>
              </w:rPr>
              <w:t>.</w:t>
            </w:r>
            <w:r w:rsidRPr="002965B7">
              <w:rPr>
                <w:rFonts w:cs="Arial"/>
                <w:color w:val="000000"/>
                <w:kern w:val="24"/>
                <w:szCs w:val="18"/>
                <w:lang w:eastAsia="fr-FR"/>
              </w:rPr>
              <w:t>047</w:t>
            </w:r>
          </w:p>
        </w:tc>
        <w:tc>
          <w:tcPr>
            <w:tcW w:w="970" w:type="dxa"/>
            <w:tcBorders>
              <w:top w:val="nil"/>
              <w:left w:val="nil"/>
              <w:bottom w:val="single" w:sz="12" w:space="0" w:color="008000"/>
              <w:right w:val="nil"/>
            </w:tcBorders>
            <w:tcMar>
              <w:top w:w="15" w:type="dxa"/>
              <w:left w:w="15" w:type="dxa"/>
              <w:bottom w:w="0" w:type="dxa"/>
              <w:right w:w="15" w:type="dxa"/>
            </w:tcMar>
            <w:hideMark/>
          </w:tcPr>
          <w:p w14:paraId="7CFDDE69" w14:textId="7F540D45"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0</w:t>
            </w:r>
            <w:r w:rsidR="00E07000">
              <w:rPr>
                <w:rFonts w:cs="Arial"/>
                <w:color w:val="000000"/>
                <w:kern w:val="24"/>
                <w:szCs w:val="18"/>
                <w:lang w:eastAsia="fr-FR"/>
              </w:rPr>
              <w:t>.</w:t>
            </w:r>
            <w:r w:rsidRPr="002965B7">
              <w:rPr>
                <w:rFonts w:cs="Arial"/>
                <w:color w:val="000000"/>
                <w:kern w:val="24"/>
                <w:szCs w:val="18"/>
                <w:lang w:eastAsia="fr-FR"/>
              </w:rPr>
              <w:t>58</w:t>
            </w:r>
          </w:p>
        </w:tc>
        <w:tc>
          <w:tcPr>
            <w:tcW w:w="955" w:type="dxa"/>
            <w:tcBorders>
              <w:top w:val="nil"/>
              <w:left w:val="nil"/>
              <w:bottom w:val="single" w:sz="12" w:space="0" w:color="008000"/>
              <w:right w:val="nil"/>
            </w:tcBorders>
            <w:tcMar>
              <w:top w:w="15" w:type="dxa"/>
              <w:left w:w="15" w:type="dxa"/>
              <w:bottom w:w="0" w:type="dxa"/>
              <w:right w:w="15" w:type="dxa"/>
            </w:tcMar>
            <w:hideMark/>
          </w:tcPr>
          <w:p w14:paraId="324A5DC7" w14:textId="51D7127E"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92</w:t>
            </w:r>
            <w:r w:rsidR="00E07000">
              <w:rPr>
                <w:rFonts w:cs="Arial"/>
                <w:color w:val="000000"/>
                <w:kern w:val="24"/>
                <w:szCs w:val="18"/>
                <w:lang w:eastAsia="fr-FR"/>
              </w:rPr>
              <w:t>.</w:t>
            </w:r>
            <w:r w:rsidRPr="002965B7">
              <w:rPr>
                <w:rFonts w:cs="Arial"/>
                <w:color w:val="000000"/>
                <w:kern w:val="24"/>
                <w:szCs w:val="18"/>
                <w:lang w:eastAsia="fr-FR"/>
              </w:rPr>
              <w:t>18</w:t>
            </w:r>
          </w:p>
        </w:tc>
        <w:tc>
          <w:tcPr>
            <w:tcW w:w="754" w:type="dxa"/>
            <w:tcBorders>
              <w:top w:val="nil"/>
              <w:left w:val="nil"/>
              <w:bottom w:val="single" w:sz="12" w:space="0" w:color="008000"/>
              <w:right w:val="nil"/>
            </w:tcBorders>
            <w:tcMar>
              <w:top w:w="15" w:type="dxa"/>
              <w:left w:w="15" w:type="dxa"/>
              <w:bottom w:w="0" w:type="dxa"/>
              <w:right w:w="15" w:type="dxa"/>
            </w:tcMar>
            <w:hideMark/>
          </w:tcPr>
          <w:p w14:paraId="69FC6A0A" w14:textId="7C1EC0F8"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4</w:t>
            </w:r>
            <w:r w:rsidR="00E07000">
              <w:rPr>
                <w:rFonts w:cs="Arial"/>
                <w:color w:val="000000"/>
                <w:kern w:val="24"/>
                <w:szCs w:val="18"/>
                <w:lang w:eastAsia="fr-FR"/>
              </w:rPr>
              <w:t>.</w:t>
            </w:r>
            <w:r w:rsidRPr="002965B7">
              <w:rPr>
                <w:rFonts w:cs="Arial"/>
                <w:color w:val="000000"/>
                <w:kern w:val="24"/>
                <w:szCs w:val="18"/>
                <w:lang w:eastAsia="fr-FR"/>
              </w:rPr>
              <w:t>28</w:t>
            </w:r>
          </w:p>
        </w:tc>
        <w:tc>
          <w:tcPr>
            <w:tcW w:w="772" w:type="dxa"/>
            <w:gridSpan w:val="2"/>
            <w:tcBorders>
              <w:top w:val="nil"/>
              <w:left w:val="nil"/>
              <w:bottom w:val="single" w:sz="12" w:space="0" w:color="008000"/>
              <w:right w:val="nil"/>
            </w:tcBorders>
          </w:tcPr>
          <w:p w14:paraId="082B97CE" w14:textId="52688C15" w:rsidR="00F5305A" w:rsidRPr="002965B7" w:rsidRDefault="00F5305A" w:rsidP="004103AE">
            <w:pPr>
              <w:pStyle w:val="CETBodytext"/>
              <w:rPr>
                <w:rFonts w:cs="Arial"/>
                <w:color w:val="000000"/>
                <w:kern w:val="24"/>
                <w:szCs w:val="18"/>
                <w:lang w:eastAsia="fr-FR"/>
              </w:rPr>
            </w:pPr>
            <w:r>
              <w:rPr>
                <w:rFonts w:cs="Arial"/>
                <w:color w:val="000000"/>
                <w:kern w:val="24"/>
                <w:szCs w:val="18"/>
                <w:lang w:eastAsia="fr-FR"/>
              </w:rPr>
              <w:t>0</w:t>
            </w:r>
            <w:r w:rsidR="00E07000">
              <w:rPr>
                <w:rFonts w:cs="Arial"/>
                <w:color w:val="000000"/>
                <w:kern w:val="24"/>
                <w:szCs w:val="18"/>
                <w:lang w:eastAsia="fr-FR"/>
              </w:rPr>
              <w:t>.</w:t>
            </w:r>
            <w:r>
              <w:rPr>
                <w:rFonts w:cs="Arial"/>
                <w:color w:val="000000"/>
                <w:kern w:val="24"/>
                <w:szCs w:val="18"/>
                <w:lang w:eastAsia="fr-FR"/>
              </w:rPr>
              <w:t>233</w:t>
            </w:r>
          </w:p>
        </w:tc>
        <w:tc>
          <w:tcPr>
            <w:tcW w:w="772" w:type="dxa"/>
            <w:tcBorders>
              <w:top w:val="nil"/>
              <w:left w:val="nil"/>
              <w:bottom w:val="single" w:sz="12" w:space="0" w:color="008000"/>
              <w:right w:val="nil"/>
            </w:tcBorders>
            <w:tcMar>
              <w:top w:w="15" w:type="dxa"/>
              <w:left w:w="15" w:type="dxa"/>
              <w:bottom w:w="0" w:type="dxa"/>
              <w:right w:w="15" w:type="dxa"/>
            </w:tcMar>
            <w:hideMark/>
          </w:tcPr>
          <w:p w14:paraId="137CFE2B" w14:textId="3060E621"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21</w:t>
            </w:r>
            <w:r w:rsidR="00E07000">
              <w:rPr>
                <w:rFonts w:cs="Arial"/>
                <w:color w:val="000000"/>
                <w:kern w:val="24"/>
                <w:szCs w:val="18"/>
                <w:lang w:eastAsia="fr-FR"/>
              </w:rPr>
              <w:t>.</w:t>
            </w:r>
            <w:r w:rsidRPr="002965B7">
              <w:rPr>
                <w:rFonts w:cs="Arial"/>
                <w:color w:val="000000"/>
                <w:kern w:val="24"/>
                <w:szCs w:val="18"/>
                <w:lang w:eastAsia="fr-FR"/>
              </w:rPr>
              <w:t>06</w:t>
            </w:r>
          </w:p>
        </w:tc>
        <w:tc>
          <w:tcPr>
            <w:tcW w:w="848" w:type="dxa"/>
            <w:tcBorders>
              <w:top w:val="nil"/>
              <w:left w:val="nil"/>
              <w:bottom w:val="single" w:sz="12" w:space="0" w:color="008000"/>
              <w:right w:val="nil"/>
            </w:tcBorders>
            <w:tcMar>
              <w:top w:w="15" w:type="dxa"/>
              <w:left w:w="15" w:type="dxa"/>
              <w:bottom w:w="0" w:type="dxa"/>
              <w:right w:w="15" w:type="dxa"/>
            </w:tcMar>
            <w:hideMark/>
          </w:tcPr>
          <w:p w14:paraId="3D2F66C0" w14:textId="0B541FCC" w:rsidR="00F5305A" w:rsidRPr="002965B7" w:rsidRDefault="00F5305A" w:rsidP="004103AE">
            <w:pPr>
              <w:pStyle w:val="CETBodytext"/>
              <w:rPr>
                <w:rFonts w:cs="Arial"/>
                <w:sz w:val="36"/>
                <w:szCs w:val="36"/>
                <w:lang w:eastAsia="fr-FR"/>
              </w:rPr>
            </w:pPr>
            <w:r w:rsidRPr="002965B7">
              <w:rPr>
                <w:rFonts w:cs="Arial"/>
                <w:color w:val="000000"/>
                <w:kern w:val="24"/>
                <w:szCs w:val="18"/>
                <w:lang w:eastAsia="fr-FR"/>
              </w:rPr>
              <w:t>96</w:t>
            </w:r>
            <w:r w:rsidR="00E07000">
              <w:rPr>
                <w:rFonts w:cs="Arial"/>
                <w:color w:val="000000"/>
                <w:kern w:val="24"/>
                <w:szCs w:val="18"/>
                <w:lang w:eastAsia="fr-FR"/>
              </w:rPr>
              <w:t>.</w:t>
            </w:r>
            <w:r w:rsidRPr="002965B7">
              <w:rPr>
                <w:rFonts w:cs="Arial"/>
                <w:color w:val="000000"/>
                <w:kern w:val="24"/>
                <w:szCs w:val="18"/>
                <w:lang w:eastAsia="fr-FR"/>
              </w:rPr>
              <w:t>59</w:t>
            </w:r>
          </w:p>
        </w:tc>
      </w:tr>
    </w:tbl>
    <w:p w14:paraId="387757EF" w14:textId="77777777" w:rsidR="007E0C44" w:rsidRDefault="007E0C44" w:rsidP="00F61A9B">
      <w:pPr>
        <w:pStyle w:val="CETBodytext"/>
      </w:pPr>
    </w:p>
    <w:p w14:paraId="021A0D8D" w14:textId="77777777" w:rsidR="00C97D94" w:rsidRPr="00102974" w:rsidRDefault="00C97D94" w:rsidP="00C97D94">
      <w:pPr>
        <w:pStyle w:val="CETheadingx"/>
      </w:pPr>
      <w:r>
        <w:t xml:space="preserve">Continuous reactor for coupling adsorption/photocatalysis </w:t>
      </w:r>
    </w:p>
    <w:p w14:paraId="5489759F" w14:textId="2B739335" w:rsidR="00EC6CF1" w:rsidRDefault="00165E3D" w:rsidP="00165E3D">
      <w:pPr>
        <w:pStyle w:val="CETBodytext"/>
      </w:pPr>
      <w:r>
        <w:t>Two textile configurations were investigated and compared on the basis of breakthrough curves obtained under dark condition (adsorption only) and under simultaneous adsorption and UV irradiation (adsorption-photocatalysis coupling).</w:t>
      </w:r>
      <w:r w:rsidR="00243C85">
        <w:t xml:space="preserve"> AC </w:t>
      </w:r>
      <w:proofErr w:type="spellStart"/>
      <w:r w:rsidR="00243C85">
        <w:t>Ecosorb</w:t>
      </w:r>
      <w:proofErr w:type="spellEnd"/>
      <w:r w:rsidR="00243C85">
        <w:t xml:space="preserve"> was used as </w:t>
      </w:r>
      <w:r w:rsidR="00B12BE0">
        <w:t xml:space="preserve">adsorbent </w:t>
      </w:r>
      <w:r w:rsidR="00243C85">
        <w:t>due to its high adsorption capacity and the ease of its coating.</w:t>
      </w:r>
    </w:p>
    <w:p w14:paraId="005EEE06" w14:textId="0CA2EE19" w:rsidR="003C0DCA" w:rsidRDefault="003C0DCA" w:rsidP="00165E3D">
      <w:pPr>
        <w:pStyle w:val="CETBodytext"/>
      </w:pPr>
      <w:r>
        <w:t>When comparing the two-textile configuration, it should be noted that activated carbon loading was much higher for the double-face textile (9,7 g</w:t>
      </w:r>
      <w:r w:rsidR="00143167">
        <w:t>/</w:t>
      </w:r>
      <w:r>
        <w:t>m²) than for the single-sided (3,5 g</w:t>
      </w:r>
      <w:r w:rsidR="0005061B">
        <w:t>/</w:t>
      </w:r>
      <w:r>
        <w:t>m²).</w:t>
      </w:r>
    </w:p>
    <w:p w14:paraId="30B21117" w14:textId="172CB29F" w:rsidR="00243C85" w:rsidRDefault="00432316" w:rsidP="00432316">
      <w:pPr>
        <w:pStyle w:val="CETBodytext"/>
      </w:pPr>
      <w:r w:rsidRPr="00D67F52">
        <w:t>For the single-</w:t>
      </w:r>
      <w:r w:rsidR="00417120">
        <w:t>sided</w:t>
      </w:r>
      <w:r w:rsidRPr="00D67F52">
        <w:t xml:space="preserve"> </w:t>
      </w:r>
      <w:r w:rsidR="00D84AAC" w:rsidRPr="00D67F52">
        <w:t>configuration</w:t>
      </w:r>
      <w:r w:rsidR="00D84AAC">
        <w:t xml:space="preserve"> (</w:t>
      </w:r>
      <w:r w:rsidR="000F16AD">
        <w:t xml:space="preserve">Figure </w:t>
      </w:r>
      <w:r w:rsidR="003A34C6">
        <w:t>3a</w:t>
      </w:r>
      <w:r w:rsidR="00243C85">
        <w:t>),</w:t>
      </w:r>
      <w:r w:rsidR="003A34C6">
        <w:t xml:space="preserve"> the</w:t>
      </w:r>
      <w:r w:rsidRPr="00D67F52">
        <w:t xml:space="preserve"> curve obtained under dark conditions showed a </w:t>
      </w:r>
      <w:r w:rsidR="00243C85">
        <w:t>50</w:t>
      </w:r>
      <w:r w:rsidR="0005061B">
        <w:t xml:space="preserve"> </w:t>
      </w:r>
      <w:r w:rsidR="00243C85">
        <w:t>% brea</w:t>
      </w:r>
      <w:r w:rsidR="00D21CA2">
        <w:t>k</w:t>
      </w:r>
      <w:r w:rsidR="00243C85">
        <w:t>through</w:t>
      </w:r>
      <w:r w:rsidR="004A60D2">
        <w:t xml:space="preserve"> (</w:t>
      </w:r>
      <w:r w:rsidR="004A60D2" w:rsidRPr="00D67F52">
        <w:t>t</w:t>
      </w:r>
      <w:r w:rsidR="004A60D2" w:rsidRPr="00432316">
        <w:rPr>
          <w:vertAlign w:val="subscript"/>
        </w:rPr>
        <w:t>0,</w:t>
      </w:r>
      <w:r w:rsidR="00B37C17" w:rsidRPr="00432316">
        <w:rPr>
          <w:vertAlign w:val="subscript"/>
        </w:rPr>
        <w:t>5</w:t>
      </w:r>
      <w:r w:rsidR="00B37C17" w:rsidRPr="00D67F52">
        <w:t>)</w:t>
      </w:r>
      <w:r w:rsidR="00243C85">
        <w:t xml:space="preserve"> at</w:t>
      </w:r>
      <w:r w:rsidR="004A60D2">
        <w:t xml:space="preserve"> </w:t>
      </w:r>
      <w:r w:rsidRPr="00D67F52">
        <w:t xml:space="preserve">about </w:t>
      </w:r>
      <w:r w:rsidR="00E43EB0">
        <w:t>4 hours</w:t>
      </w:r>
      <w:r w:rsidRPr="00D67F52">
        <w:t xml:space="preserve"> and complete saturation after approximately</w:t>
      </w:r>
      <w:r>
        <w:t xml:space="preserve"> </w:t>
      </w:r>
      <w:r w:rsidR="00E43EB0">
        <w:t>6,5 hours</w:t>
      </w:r>
      <w:r w:rsidR="00FB0A96">
        <w:t>.</w:t>
      </w:r>
    </w:p>
    <w:p w14:paraId="3DD20F01" w14:textId="1757F1DC" w:rsidR="00432316" w:rsidRDefault="00432316" w:rsidP="00432316">
      <w:pPr>
        <w:pStyle w:val="CETBodytext"/>
      </w:pPr>
      <w:r w:rsidRPr="00D67F52">
        <w:t>Under simultaneous adsorption and photocatalysis, t</w:t>
      </w:r>
      <w:r w:rsidRPr="00432316">
        <w:rPr>
          <w:vertAlign w:val="subscript"/>
        </w:rPr>
        <w:t>0,5</w:t>
      </w:r>
      <w:r w:rsidRPr="00D67F52">
        <w:t xml:space="preserve"> was not reached within the </w:t>
      </w:r>
      <w:r w:rsidR="00E43EB0">
        <w:t>8,3 hours</w:t>
      </w:r>
      <w:r w:rsidRPr="00D67F52">
        <w:t xml:space="preserve"> experimental period, and the outlet concentration has reached a plateau equivalent to C/C</w:t>
      </w:r>
      <w:r w:rsidRPr="00E43EB0">
        <w:rPr>
          <w:vertAlign w:val="subscript"/>
        </w:rPr>
        <w:t>0</w:t>
      </w:r>
      <w:r w:rsidRPr="00D67F52">
        <w:t xml:space="preserve"> ≈</w:t>
      </w:r>
      <w:r w:rsidR="00E43EB0">
        <w:t xml:space="preserve"> </w:t>
      </w:r>
      <w:r w:rsidRPr="00D67F52">
        <w:t>0,30. This clearly indicates that UV irradiation delayed the breakthrough and improved the overall removal performance of the textile. This behavior is attributed to the contribution of photocatalytic degradation on the TiO</w:t>
      </w:r>
      <w:r w:rsidRPr="00143167">
        <w:rPr>
          <w:vertAlign w:val="subscript"/>
        </w:rPr>
        <w:t>2</w:t>
      </w:r>
      <w:r w:rsidRPr="00D67F52">
        <w:t xml:space="preserve">-coated face, </w:t>
      </w:r>
      <w:r w:rsidR="00F45878" w:rsidRPr="00D67F52">
        <w:t>wh</w:t>
      </w:r>
      <w:r w:rsidR="00F45878">
        <w:t xml:space="preserve">ere </w:t>
      </w:r>
      <w:r w:rsidR="00057A36">
        <w:t xml:space="preserve">the </w:t>
      </w:r>
      <w:r w:rsidR="00057A36">
        <w:lastRenderedPageBreak/>
        <w:t>pollutant fraction not retained by the activated carbon is subsequently degraded.</w:t>
      </w:r>
      <w:r w:rsidR="00822024">
        <w:t xml:space="preserve"> The difference between two plateau</w:t>
      </w:r>
      <w:r w:rsidR="00780D35">
        <w:t>s</w:t>
      </w:r>
      <w:r w:rsidR="00822024">
        <w:t xml:space="preserve"> is due to the catalytic reaction.</w:t>
      </w:r>
    </w:p>
    <w:p w14:paraId="3D132296" w14:textId="275554D5" w:rsidR="00057A36" w:rsidRDefault="00057A36" w:rsidP="00432316">
      <w:pPr>
        <w:pStyle w:val="CETBodytext"/>
      </w:pPr>
      <w:r>
        <w:t>For the double-side</w:t>
      </w:r>
      <w:r w:rsidR="00417120">
        <w:t>d</w:t>
      </w:r>
      <w:r>
        <w:t xml:space="preserve"> configuration</w:t>
      </w:r>
      <w:r w:rsidR="00E43EB0">
        <w:t xml:space="preserve"> </w:t>
      </w:r>
      <w:r w:rsidR="00780D35">
        <w:t>(F</w:t>
      </w:r>
      <w:r w:rsidR="00E43EB0">
        <w:t>igure 3b</w:t>
      </w:r>
      <w:r w:rsidR="00780D35">
        <w:t>)</w:t>
      </w:r>
      <w:r>
        <w:t>, t</w:t>
      </w:r>
      <w:r>
        <w:rPr>
          <w:vertAlign w:val="subscript"/>
        </w:rPr>
        <w:t>0,5</w:t>
      </w:r>
      <w:r>
        <w:t xml:space="preserve"> increased from 11</w:t>
      </w:r>
      <w:r w:rsidR="00E43EB0">
        <w:t xml:space="preserve"> hours</w:t>
      </w:r>
      <w:r>
        <w:t xml:space="preserve"> in adsorption alone to 23</w:t>
      </w:r>
      <w:r w:rsidR="00E43EB0">
        <w:t xml:space="preserve"> hours</w:t>
      </w:r>
      <w:r>
        <w:t xml:space="preserve"> under simultaneous adsorption and photocatalysis. In addition, although the dark experiment reached saturation after about 25h, the coupled system still exhibited C/C</w:t>
      </w:r>
      <w:r>
        <w:rPr>
          <w:vertAlign w:val="subscript"/>
        </w:rPr>
        <w:t>0</w:t>
      </w:r>
      <w:r>
        <w:t xml:space="preserve"> = 0,72 after 75h, indicating that complete saturation was </w:t>
      </w:r>
      <w:r w:rsidR="00B12BE0">
        <w:t xml:space="preserve">substantially </w:t>
      </w:r>
      <w:r>
        <w:t>delayed under irradiation. This result confirms the beneficial effect of coupling adsorption and photocatalysis on the long-term performance</w:t>
      </w:r>
      <w:r w:rsidR="00B12BE0">
        <w:t xml:space="preserve"> of the system</w:t>
      </w:r>
      <w:r w:rsidR="00EC5AC2">
        <w:t>.</w:t>
      </w:r>
    </w:p>
    <w:p w14:paraId="36AF87DD" w14:textId="15A182FE" w:rsidR="000517BE" w:rsidRDefault="001D4E18" w:rsidP="00F61A9B">
      <w:pPr>
        <w:pStyle w:val="CETBodytext"/>
      </w:pPr>
      <w:r>
        <w:t>Even if the activated carbon quantity is higher in the double</w:t>
      </w:r>
      <w:r w:rsidR="00FB0A96">
        <w:t>-</w:t>
      </w:r>
      <w:r>
        <w:t>sided configuration</w:t>
      </w:r>
      <w:r w:rsidR="00417120">
        <w:t>, under irradiation</w:t>
      </w:r>
      <w:r>
        <w:t xml:space="preserve"> this</w:t>
      </w:r>
      <w:r w:rsidR="00665734">
        <w:t xml:space="preserve"> configuration did not appear to be the most efficient. Indeed, the single-sided textile achieved a pollutant removal efficiency of about 70</w:t>
      </w:r>
      <w:r w:rsidR="004C4AE4">
        <w:t xml:space="preserve"> </w:t>
      </w:r>
      <w:r w:rsidR="00665734">
        <w:t>%, whereas the performance of the second configuration decreased to about 33</w:t>
      </w:r>
      <w:r w:rsidR="004C4AE4">
        <w:t xml:space="preserve"> </w:t>
      </w:r>
      <w:r w:rsidR="00665734">
        <w:t xml:space="preserve">%. This result suggests that the lower efficiency is related to the way </w:t>
      </w:r>
      <w:r w:rsidR="00BB3CB0">
        <w:t xml:space="preserve">that </w:t>
      </w:r>
      <w:r w:rsidR="00665734">
        <w:t>activated carbon an</w:t>
      </w:r>
      <w:r w:rsidR="00BB3CB0">
        <w:t>d</w:t>
      </w:r>
      <w:r w:rsidR="00665734">
        <w:t xml:space="preserve"> TiO</w:t>
      </w:r>
      <w:r w:rsidR="00665734">
        <w:rPr>
          <w:vertAlign w:val="subscript"/>
        </w:rPr>
        <w:t>2</w:t>
      </w:r>
      <w:r w:rsidR="00665734">
        <w:t xml:space="preserve"> were deposited on the same surface. In this configuration</w:t>
      </w:r>
      <w:r w:rsidR="00722DA2">
        <w:t xml:space="preserve"> </w:t>
      </w:r>
      <w:r w:rsidR="000F16AD">
        <w:rPr>
          <w:color w:val="000000" w:themeColor="text1"/>
        </w:rPr>
        <w:t>(Figure 1</w:t>
      </w:r>
      <w:r w:rsidR="000F16AD">
        <w:rPr>
          <w:color w:val="000000" w:themeColor="text1"/>
          <w:vertAlign w:val="subscript"/>
        </w:rPr>
        <w:t>(</w:t>
      </w:r>
      <w:r w:rsidR="000F16AD" w:rsidRPr="000F16AD">
        <w:rPr>
          <w:color w:val="000000" w:themeColor="text1"/>
          <w:vertAlign w:val="subscript"/>
        </w:rPr>
        <w:t>i</w:t>
      </w:r>
      <w:r w:rsidR="000F16AD">
        <w:rPr>
          <w:color w:val="000000" w:themeColor="text1"/>
          <w:vertAlign w:val="subscript"/>
        </w:rPr>
        <w:t>i)</w:t>
      </w:r>
      <w:r w:rsidR="000F16AD">
        <w:rPr>
          <w:color w:val="000000" w:themeColor="text1"/>
        </w:rPr>
        <w:t>)</w:t>
      </w:r>
      <w:r w:rsidR="00665734">
        <w:t>, the activated carbon may have partially covered the TiO</w:t>
      </w:r>
      <w:r w:rsidR="00665734">
        <w:rPr>
          <w:vertAlign w:val="subscript"/>
        </w:rPr>
        <w:t xml:space="preserve">2 </w:t>
      </w:r>
      <w:r w:rsidR="00665734">
        <w:t>particles,</w:t>
      </w:r>
      <w:r w:rsidR="00722DA2">
        <w:t xml:space="preserve"> </w:t>
      </w:r>
      <w:r w:rsidR="00B12BE0">
        <w:t xml:space="preserve">thereby reducing </w:t>
      </w:r>
      <w:r w:rsidR="00722DA2">
        <w:t xml:space="preserve">light penetration and </w:t>
      </w:r>
      <w:r w:rsidR="00B12BE0">
        <w:t xml:space="preserve">limiting </w:t>
      </w:r>
      <w:r w:rsidR="00722DA2">
        <w:t>access to photocatalytic sites. By contrast, in the singles sided configuration, the two functions remained separated: the pollutant stream first passed through the activated carbon layer, and the non-adsorbed fractio</w:t>
      </w:r>
      <w:r w:rsidR="00D26885">
        <w:t>n</w:t>
      </w:r>
      <w:r w:rsidR="00722DA2">
        <w:t xml:space="preserve"> was than exposed the illuminated TiO</w:t>
      </w:r>
      <w:r w:rsidR="00722DA2">
        <w:rPr>
          <w:vertAlign w:val="subscript"/>
        </w:rPr>
        <w:t>2</w:t>
      </w:r>
      <w:r w:rsidR="00722DA2">
        <w:t xml:space="preserve"> side. </w:t>
      </w:r>
      <w:r w:rsidR="00BB3CB0">
        <w:t>These results</w:t>
      </w:r>
      <w:r w:rsidR="00722DA2">
        <w:t xml:space="preserve"> agree with the </w:t>
      </w:r>
      <w:r w:rsidR="00405CE0">
        <w:t>results</w:t>
      </w:r>
      <w:r w:rsidR="00722DA2">
        <w:t xml:space="preserve"> reported by </w:t>
      </w:r>
      <w:r w:rsidR="00722DA2">
        <w:fldChar w:fldCharType="begin"/>
      </w:r>
      <w:r w:rsidR="009B4CED">
        <w:instrText xml:space="preserve"> ADDIN ZOTERO_ITEM CSL_CITATION {"citationID":"Yi1I7OZN","properties":{"formattedCitation":"(Zhang et al., 2016)","plainCitation":"(Zhang et al., 2016)","noteIndex":0},"citationItems":[{"id":647,"uris":["http://zotero.org/users/18684960/items/RNT3V6G2"],"itemData":{"id":647,"type":"article-journal","abstract":"Nanocomposites composed of TiO2 and carbon materials (C) are widely popular photocatalysts because they combine the advantages of TiO2 (good UV photocatalytic activity, low cost, and stability) to the enhanced charge carrier separation and lower charge transfer resistance brought by carbon. However, the presence of carbon can also be detrimental to the photocatalytic performance as it can block the passage of light and prevent the reactant from accessing the TiO2 surface. Here using a novel interfacial in situ polymer encapsulation−graphitization method, where a glucose-containing polymer was grown directly on the surface of the TiO2, we have prepared uniform TiO2@C core−shell structures. The thickness of the carbon shell can be precisely and easily tuned between 0.5 and 8 nm by simply programming the polymer growth on TiO2. The resulting core@shell TiO2@C nanostructures are not black and they possess the highest activity for the photodegradation of organic compounds when the carbon shell thickness is 1−2 nm, corresponding to </w:instrText>
      </w:r>
      <w:r w:rsidR="009B4CED">
        <w:rPr>
          <w:rFonts w:ascii="Cambria Math" w:hAnsi="Cambria Math" w:cs="Cambria Math"/>
        </w:rPr>
        <w:instrText>∼</w:instrText>
      </w:r>
      <w:r w:rsidR="009B4CED">
        <w:instrText>3</w:instrText>
      </w:r>
      <w:r w:rsidR="009B4CED">
        <w:rPr>
          <w:rFonts w:cs="Arial"/>
        </w:rPr>
        <w:instrText>−</w:instrText>
      </w:r>
      <w:r w:rsidR="009B4CED">
        <w:instrText>5 graphene layers. Photoluminescence and photocurrent generation tests further con</w:instrText>
      </w:r>
      <w:r w:rsidR="009B4CED">
        <w:rPr>
          <w:rFonts w:cs="Arial"/>
        </w:rPr>
        <w:instrText>ﬁ</w:instrText>
      </w:r>
      <w:r w:rsidR="009B4CED">
        <w:instrText xml:space="preserve">rm the crucial contribution of the carbon shell on charge carrier separation and transport. This in situ polymeric encapsulation approach allows for the careful tuning of the thickness of graphite-like carbon, and it potentially constitutes a general and eﬃcient route to prepare other oxide@C catalysts, which can therefore largely expand the applications of nanomaterials in catalysis.","container-title":"ACS Applied Materials &amp; Interfaces","DOI":"10.1021/acsami.5b10025","ISSN":"1944-8244, 1944-8252","issue":"3","journalAbbreviation":"ACS Appl. Mater. Interfaces","language":"en","page":"1903-1912","source":"DOI.org (Crossref)","title":"TiO&lt;sub&gt;2&lt;/sub&gt; @Carbon Photocatalysts: The Effect of Carbon Thickness on Catalysis","title-short":"TiO&lt;sub&gt;2&lt;/sub&gt; @Carbon Photocatalysts","volume":"8","author":[{"family":"Zhang","given":"Jianming"},{"family":"Vasei","given":"Mitra"},{"family":"Sang","given":"Yuanhua"},{"family":"Liu","given":"Hong"},{"family":"Claverie","given":"Jerome P."}],"issued":{"date-parts":[["2016",1,27]]}}}],"schema":"https://github.com/citation-style-language/schema/raw/master/csl-citation.json"} </w:instrText>
      </w:r>
      <w:r w:rsidR="00722DA2">
        <w:fldChar w:fldCharType="separate"/>
      </w:r>
      <w:r w:rsidR="009B4CED" w:rsidRPr="009B4CED">
        <w:rPr>
          <w:rFonts w:cs="Arial"/>
        </w:rPr>
        <w:t>(Zhang et al., 2016)</w:t>
      </w:r>
      <w:r w:rsidR="00722DA2">
        <w:fldChar w:fldCharType="end"/>
      </w:r>
      <w:r w:rsidR="00722DA2">
        <w:t>, who showed that TiO</w:t>
      </w:r>
      <w:r w:rsidR="00722DA2">
        <w:rPr>
          <w:vertAlign w:val="subscript"/>
        </w:rPr>
        <w:t>2</w:t>
      </w:r>
      <w:r w:rsidR="00722DA2">
        <w:t xml:space="preserve">@C photocatalysts gave the highest activity only with very thin carbon layers </w:t>
      </w:r>
      <w:r w:rsidR="00BB3CB0">
        <w:t>W</w:t>
      </w:r>
      <w:r w:rsidR="00722DA2">
        <w:t xml:space="preserve">hile thicker carbon coating reduced the photocatalytic performance because they limited light use and restricted </w:t>
      </w:r>
      <w:r w:rsidR="00D26885">
        <w:t>access</w:t>
      </w:r>
      <w:r w:rsidR="00722DA2">
        <w:t xml:space="preserve"> to the TiO</w:t>
      </w:r>
      <w:r w:rsidR="00722DA2">
        <w:rPr>
          <w:vertAlign w:val="subscript"/>
        </w:rPr>
        <w:t>2</w:t>
      </w:r>
      <w:r w:rsidR="00722DA2">
        <w:t xml:space="preserve"> surface</w:t>
      </w:r>
      <w:r w:rsidR="00D26885">
        <w:t>.</w:t>
      </w:r>
      <w:r w:rsidR="00D84AAC">
        <w:t xml:space="preserve"> </w:t>
      </w:r>
      <w:r w:rsidR="00405CE0">
        <w:fldChar w:fldCharType="begin"/>
      </w:r>
      <w:r w:rsidR="009B4CED">
        <w:instrText xml:space="preserve"> ADDIN ZOTERO_ITEM CSL_CITATION {"citationID":"Y5BbYMSj","properties":{"formattedCitation":"(Derakhshan-Nejad {\\i{}et al.}, 2020)","plainCitation":"(Derakhshan-Nejad et al., 2020)","dontUpdate":true,"noteIndex":0},"citationItems":[{"id":653,"uris":["http://zotero.org/users/18684960/items/L5J9QHGG"],"itemData":{"id":653,"type":"article-journal","abstract":"Ethyl benzene is a volatile organic compound that is used in the many industries, including Oil and Gas, Oil colored and Insecticides. Due to the toxic effects of this chemical substance control and elimination of this vapor is necessary. Photo catalytic degradation is a possible method to remove organic compounds from air. This study was performed to determine the efficiency of photo catalytic removal of ethyl benzene vapor using TiO2 nanoparticles immobilized on the ZSM-5 zeolite under UV radiation. This was an experimental study. The surface and volume of the pores of the bed were determined by the Bruner–Emmett–Teller (BET) method and Surface structure was determined by Scanning Electron Microscope (SEM), EDAX and X-Ray Diffraction (XRD). Dynamic air flow and different concentrations of ethyl benzene (25, 75 and 125 ppm) and flow rates (0.5, 0.7, and 1.0 L/ min) were produced and the removal efficiency of ethyl benzene vapor were investigated using ZSM-5 and TiO2/ZSM-5/UV processes. The temperature and relative humidity were set at 25 ± 2°c and 35%. Evaluations for BET showed the specific surface areas decreased after loading TiO2 on ZSM-5. XRD and EDAX analysis and SEM images showed that zeolite structure was stabled and nanoparticles were successfully stabilized on Ze. The results showed that the highest removal efficiency (52%) by the process of TiO2/ZSM-5/UV (5 wt%) at concentration 25 ppm and flow rate 0.5 L/min respectively. The result of this study showed that the TiO2/ZSM-5catalyst may be a applicable and hopeful method to removal of ethyl benzene from air flow under UV irradiation.","container-title":"Journal of Environmental Health Science and Engineering","DOI":"10.1007/s40201-020-00453-4","ISSN":"2052-336X","issue":"1","journalAbbreviation":"J Environ Health Sci Engineer","language":"en","page":"201-209","source":"DOI.org (Crossref)","title":"Removal of ethyl benzene vapor pollutant from the air using TiO2 nanoparticles immobilized on the ZSM-5 zeolite under UVradiation in lab scale","volume":"18","author":[{"family":"Derakhshan-Nejad","given":"Azam"},{"family":"Rangkooy","given":"Hossein Ali"},{"family":"Cheraghi","given":"Mahboobeh"},{"family":"Yengejeh","given":"Reza Jalillzadeh"}],"issued":{"date-parts":[["2020",6]]}}}],"schema":"https://github.com/citation-style-language/schema/raw/master/csl-citation.json"} </w:instrText>
      </w:r>
      <w:r w:rsidR="00405CE0">
        <w:fldChar w:fldCharType="separate"/>
      </w:r>
      <w:proofErr w:type="spellStart"/>
      <w:r w:rsidR="00405CE0" w:rsidRPr="00405CE0">
        <w:rPr>
          <w:rFonts w:cs="Arial"/>
        </w:rPr>
        <w:t>Derakhshan-Nejad</w:t>
      </w:r>
      <w:proofErr w:type="spellEnd"/>
      <w:r w:rsidR="00405CE0" w:rsidRPr="00405CE0">
        <w:rPr>
          <w:rFonts w:cs="Arial"/>
        </w:rPr>
        <w:t xml:space="preserve"> </w:t>
      </w:r>
      <w:r w:rsidR="00405CE0" w:rsidRPr="00405CE0">
        <w:rPr>
          <w:rFonts w:cs="Arial"/>
          <w:i/>
          <w:iCs/>
        </w:rPr>
        <w:t>et al</w:t>
      </w:r>
      <w:r w:rsidR="00143167">
        <w:rPr>
          <w:rFonts w:cs="Arial"/>
          <w:i/>
          <w:iCs/>
        </w:rPr>
        <w:t>.</w:t>
      </w:r>
      <w:r w:rsidR="00405CE0" w:rsidRPr="00405CE0">
        <w:rPr>
          <w:rFonts w:cs="Arial"/>
        </w:rPr>
        <w:t xml:space="preserve">, </w:t>
      </w:r>
      <w:r w:rsidR="00BB3CB0">
        <w:rPr>
          <w:rFonts w:cs="Arial"/>
        </w:rPr>
        <w:t>(</w:t>
      </w:r>
      <w:r w:rsidR="00405CE0" w:rsidRPr="00405CE0">
        <w:rPr>
          <w:rFonts w:cs="Arial"/>
        </w:rPr>
        <w:t>2020)</w:t>
      </w:r>
      <w:r w:rsidR="00405CE0">
        <w:fldChar w:fldCharType="end"/>
      </w:r>
      <w:r w:rsidR="00405CE0">
        <w:t xml:space="preserve"> also confirmed that TiO</w:t>
      </w:r>
      <w:r w:rsidR="00405CE0">
        <w:rPr>
          <w:vertAlign w:val="subscript"/>
        </w:rPr>
        <w:t>2</w:t>
      </w:r>
      <w:r w:rsidR="00405CE0">
        <w:t xml:space="preserve">/ZSM-5 under UV improves </w:t>
      </w:r>
      <w:r w:rsidR="00FB0A96">
        <w:t>ethylbenzene breakthrough</w:t>
      </w:r>
      <w:r w:rsidR="00405CE0">
        <w:t xml:space="preserve"> time and reduces VOC</w:t>
      </w:r>
      <w:r w:rsidR="00BB3CB0">
        <w:t>s</w:t>
      </w:r>
      <w:r w:rsidR="00405CE0">
        <w:t xml:space="preserve"> release.</w:t>
      </w:r>
    </w:p>
    <w:p w14:paraId="74890B74" w14:textId="44E45178" w:rsidR="00562778" w:rsidRDefault="00331E47" w:rsidP="00F61A9B">
      <w:pPr>
        <w:pStyle w:val="CETBodytext"/>
      </w:pPr>
      <w:r w:rsidRPr="00331E47">
        <w:drawing>
          <wp:inline distT="0" distB="0" distL="0" distR="0" wp14:anchorId="7D993A3A" wp14:editId="11285A57">
            <wp:extent cx="5624195" cy="229870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62442" cy="2314332"/>
                    </a:xfrm>
                    <a:prstGeom prst="rect">
                      <a:avLst/>
                    </a:prstGeom>
                  </pic:spPr>
                </pic:pic>
              </a:graphicData>
            </a:graphic>
          </wp:inline>
        </w:drawing>
      </w:r>
    </w:p>
    <w:p w14:paraId="16443926" w14:textId="692650FE" w:rsidR="00CF782F" w:rsidRDefault="00C80D68" w:rsidP="004C4AE4">
      <w:pPr>
        <w:pStyle w:val="CETCaption"/>
      </w:pPr>
      <w:r>
        <w:t xml:space="preserve">Figure </w:t>
      </w:r>
      <w:r w:rsidR="00CF782F">
        <w:t>3</w:t>
      </w:r>
      <w:r>
        <w:t>:</w:t>
      </w:r>
      <w:r w:rsidR="002040CA">
        <w:t xml:space="preserve"> Breakthrough curves of the toluene for (a) the single-sided configuration (</w:t>
      </w:r>
      <w:proofErr w:type="spellStart"/>
      <w:r w:rsidR="002040CA">
        <w:t>m</w:t>
      </w:r>
      <w:r w:rsidR="002040CA">
        <w:rPr>
          <w:vertAlign w:val="subscript"/>
        </w:rPr>
        <w:t>AC</w:t>
      </w:r>
      <w:proofErr w:type="spellEnd"/>
      <w:r w:rsidR="002040CA">
        <w:t>=</w:t>
      </w:r>
      <w:r w:rsidR="00143167">
        <w:t xml:space="preserve"> </w:t>
      </w:r>
      <w:r w:rsidR="002040CA">
        <w:t>3</w:t>
      </w:r>
      <w:r w:rsidR="00143167">
        <w:t>.</w:t>
      </w:r>
      <w:r w:rsidR="002040CA">
        <w:t>5 g</w:t>
      </w:r>
      <w:r w:rsidR="00143167">
        <w:t>/</w:t>
      </w:r>
      <w:r w:rsidR="002040CA">
        <w:t>m²) and (b) the double-sided textile configuration (</w:t>
      </w:r>
      <w:proofErr w:type="spellStart"/>
      <w:r w:rsidR="002040CA">
        <w:t>m</w:t>
      </w:r>
      <w:r w:rsidR="002040CA">
        <w:rPr>
          <w:vertAlign w:val="subscript"/>
        </w:rPr>
        <w:t>AC</w:t>
      </w:r>
      <w:proofErr w:type="spellEnd"/>
      <w:r w:rsidR="002040CA">
        <w:t>=</w:t>
      </w:r>
      <w:r w:rsidR="000C04F1">
        <w:t xml:space="preserve"> </w:t>
      </w:r>
      <w:r w:rsidR="002040CA">
        <w:t>9</w:t>
      </w:r>
      <w:r w:rsidR="00143167">
        <w:t>.</w:t>
      </w:r>
      <w:r w:rsidR="002040CA">
        <w:t>7 g</w:t>
      </w:r>
      <w:r w:rsidR="00143167">
        <w:t>/</w:t>
      </w:r>
      <w:r w:rsidR="002040CA">
        <w:t>m²), under dark and UV irradiation (Q</w:t>
      </w:r>
      <w:r w:rsidR="00143167">
        <w:t xml:space="preserve"> </w:t>
      </w:r>
      <w:r w:rsidR="002040CA">
        <w:t>=0</w:t>
      </w:r>
      <w:r w:rsidR="00143167">
        <w:t>.</w:t>
      </w:r>
      <w:r w:rsidR="002040CA">
        <w:t>5 m</w:t>
      </w:r>
      <w:r w:rsidR="002040CA">
        <w:rPr>
          <w:vertAlign w:val="superscript"/>
        </w:rPr>
        <w:t xml:space="preserve"> 3</w:t>
      </w:r>
      <w:r w:rsidR="00143167">
        <w:t>/h</w:t>
      </w:r>
      <w:r w:rsidR="001310E6">
        <w:t>, C</w:t>
      </w:r>
      <w:r w:rsidR="00A85F7F">
        <w:rPr>
          <w:vertAlign w:val="subscript"/>
        </w:rPr>
        <w:t>0</w:t>
      </w:r>
      <w:r w:rsidR="002040CA">
        <w:t>=1</w:t>
      </w:r>
      <w:r w:rsidR="00143167">
        <w:t>.</w:t>
      </w:r>
      <w:r w:rsidR="002040CA">
        <w:t>50 mg</w:t>
      </w:r>
      <w:r w:rsidR="00143167">
        <w:t>/</w:t>
      </w:r>
      <w:r w:rsidR="002040CA">
        <w:t>m</w:t>
      </w:r>
      <w:r w:rsidR="002040CA">
        <w:rPr>
          <w:vertAlign w:val="superscript"/>
        </w:rPr>
        <w:t>3</w:t>
      </w:r>
      <w:r w:rsidR="002040CA">
        <w:t xml:space="preserve"> and m</w:t>
      </w:r>
      <w:r w:rsidR="002040CA">
        <w:rPr>
          <w:vertAlign w:val="subscript"/>
        </w:rPr>
        <w:t>TiO2</w:t>
      </w:r>
      <w:r w:rsidR="002040CA">
        <w:t>=</w:t>
      </w:r>
      <w:r w:rsidR="00143167">
        <w:t xml:space="preserve"> </w:t>
      </w:r>
      <w:r w:rsidR="002040CA">
        <w:t>3</w:t>
      </w:r>
      <w:r w:rsidR="000C04F1">
        <w:t>0</w:t>
      </w:r>
      <w:r w:rsidR="002040CA">
        <w:t xml:space="preserve"> g</w:t>
      </w:r>
      <w:r w:rsidR="00143167">
        <w:t>/</w:t>
      </w:r>
      <w:r w:rsidR="002040CA">
        <w:t>m²).</w:t>
      </w:r>
    </w:p>
    <w:p w14:paraId="542607E6" w14:textId="06149D11" w:rsidR="00192BCF" w:rsidRDefault="007977DC" w:rsidP="007977DC">
      <w:pPr>
        <w:pStyle w:val="CETHeading1"/>
      </w:pPr>
      <w:r>
        <w:t>Conclusion</w:t>
      </w:r>
      <w:r w:rsidR="00921E13">
        <w:t>s</w:t>
      </w:r>
      <w:r>
        <w:t xml:space="preserve"> </w:t>
      </w:r>
    </w:p>
    <w:p w14:paraId="1C6F9BCF" w14:textId="5D854962" w:rsidR="007977DC" w:rsidRDefault="00270D8A" w:rsidP="007977DC">
      <w:pPr>
        <w:pStyle w:val="CETBodytext"/>
      </w:pPr>
      <w:r>
        <w:t>This work investigated the coupling of adsorption and photocatalysis for VOC</w:t>
      </w:r>
      <w:r w:rsidR="00961F56">
        <w:t>s</w:t>
      </w:r>
      <w:r>
        <w:t xml:space="preserve"> removal using an innovative optical-fiber textile as </w:t>
      </w:r>
      <w:r w:rsidR="00961F56">
        <w:t xml:space="preserve">a </w:t>
      </w:r>
      <w:r>
        <w:t>support coated with activated carbon and TiO</w:t>
      </w:r>
      <w:r>
        <w:rPr>
          <w:vertAlign w:val="subscript"/>
        </w:rPr>
        <w:t>2</w:t>
      </w:r>
      <w:r>
        <w:t>.</w:t>
      </w:r>
    </w:p>
    <w:p w14:paraId="11BA15D9" w14:textId="5307E577" w:rsidR="00F346DD" w:rsidRDefault="00270D8A" w:rsidP="007977DC">
      <w:pPr>
        <w:pStyle w:val="CETBodytext"/>
      </w:pPr>
      <w:r>
        <w:t xml:space="preserve">Batch adsorption test allowed the selection of the most suitable activated carbon </w:t>
      </w:r>
      <w:r w:rsidR="00961F56">
        <w:t xml:space="preserve">which seems to be </w:t>
      </w:r>
      <w:r w:rsidR="00F346DD">
        <w:t xml:space="preserve">carbon powder </w:t>
      </w:r>
      <w:proofErr w:type="spellStart"/>
      <w:r w:rsidR="00F346DD">
        <w:t>Ecosorb</w:t>
      </w:r>
      <w:proofErr w:type="spellEnd"/>
      <w:r w:rsidR="00F346DD">
        <w:t xml:space="preserve"> (AC3).</w:t>
      </w:r>
    </w:p>
    <w:p w14:paraId="3AB7520B" w14:textId="53F12869" w:rsidR="001A3226" w:rsidRDefault="00961F56" w:rsidP="00B12BE0">
      <w:pPr>
        <w:pStyle w:val="CETBodytext"/>
        <w:rPr>
          <w:b/>
          <w:bCs/>
        </w:rPr>
      </w:pPr>
      <w:r>
        <w:t xml:space="preserve">This </w:t>
      </w:r>
      <w:r w:rsidR="00F346DD">
        <w:t xml:space="preserve">activated carbon powder was </w:t>
      </w:r>
      <w:r>
        <w:t xml:space="preserve">then </w:t>
      </w:r>
      <w:r w:rsidR="00F346DD">
        <w:t xml:space="preserve">selected to </w:t>
      </w:r>
      <w:r w:rsidR="00FF741C">
        <w:t>combine it with TiO</w:t>
      </w:r>
      <w:r w:rsidR="00FF741C">
        <w:rPr>
          <w:vertAlign w:val="subscript"/>
        </w:rPr>
        <w:t>2</w:t>
      </w:r>
      <w:r w:rsidR="00FF741C">
        <w:t xml:space="preserve"> coated on </w:t>
      </w:r>
      <w:r>
        <w:t xml:space="preserve">an </w:t>
      </w:r>
      <w:r w:rsidR="00FF741C">
        <w:t xml:space="preserve">innovative optical-fiber support </w:t>
      </w:r>
      <w:r w:rsidR="00A373DE">
        <w:t xml:space="preserve">with two </w:t>
      </w:r>
      <w:r>
        <w:t xml:space="preserve">different </w:t>
      </w:r>
      <w:r w:rsidR="00A373DE">
        <w:t>configurations</w:t>
      </w:r>
      <w:r w:rsidR="00D26C09">
        <w:t>,</w:t>
      </w:r>
      <w:r w:rsidR="00A373DE">
        <w:t xml:space="preserve"> </w:t>
      </w:r>
      <w:r>
        <w:t xml:space="preserve">and </w:t>
      </w:r>
      <w:r w:rsidR="00D26C09">
        <w:t>t</w:t>
      </w:r>
      <w:r>
        <w:t>he device was</w:t>
      </w:r>
      <w:r w:rsidR="00FF741C">
        <w:t xml:space="preserve"> tested in continuous-</w:t>
      </w:r>
      <w:r>
        <w:t>front-</w:t>
      </w:r>
      <w:r w:rsidR="00FF741C">
        <w:t>flow reactor under dark condition and UV irradiation.</w:t>
      </w:r>
      <w:r w:rsidR="00F346DD">
        <w:t xml:space="preserve"> </w:t>
      </w:r>
      <w:r w:rsidR="00A373DE">
        <w:t xml:space="preserve">For the single-face configuration, </w:t>
      </w:r>
      <w:r>
        <w:t>50</w:t>
      </w:r>
      <w:r w:rsidR="0005061B">
        <w:t xml:space="preserve"> </w:t>
      </w:r>
      <w:r>
        <w:t xml:space="preserve">% </w:t>
      </w:r>
      <w:r w:rsidR="00D26C09">
        <w:t>breakthrough</w:t>
      </w:r>
      <w:r w:rsidR="00A373DE">
        <w:t xml:space="preserve"> was</w:t>
      </w:r>
      <w:r w:rsidR="00330AA7">
        <w:t xml:space="preserve"> observed after</w:t>
      </w:r>
      <w:r w:rsidR="00A373DE">
        <w:t xml:space="preserve"> 4 hours </w:t>
      </w:r>
      <w:r w:rsidR="00330AA7">
        <w:t xml:space="preserve">for </w:t>
      </w:r>
      <w:r w:rsidR="00A373DE">
        <w:t>adsorption alone and was not reached after 8,3 hours under UV irradiation</w:t>
      </w:r>
      <w:r w:rsidR="00D26C09">
        <w:t xml:space="preserve">. </w:t>
      </w:r>
      <w:r w:rsidR="00330AA7">
        <w:t>The</w:t>
      </w:r>
      <w:r w:rsidR="00D26C09">
        <w:t xml:space="preserve"> </w:t>
      </w:r>
      <w:r w:rsidR="00A373DE">
        <w:t>C/C</w:t>
      </w:r>
      <w:r w:rsidR="00A373DE">
        <w:rPr>
          <w:vertAlign w:val="subscript"/>
        </w:rPr>
        <w:t>0</w:t>
      </w:r>
      <w:r w:rsidR="00A373DE">
        <w:t xml:space="preserve"> </w:t>
      </w:r>
      <w:r w:rsidR="00330AA7">
        <w:t>ratio remains constant</w:t>
      </w:r>
      <w:r w:rsidR="00D26C09">
        <w:t xml:space="preserve"> </w:t>
      </w:r>
      <w:r w:rsidR="00A373DE">
        <w:t>around 0,35</w:t>
      </w:r>
      <w:r w:rsidR="00140FDB">
        <w:t xml:space="preserve"> corresponding to about 7</w:t>
      </w:r>
      <w:r w:rsidR="00483640">
        <w:t>1</w:t>
      </w:r>
      <w:r w:rsidR="00DD069F">
        <w:t xml:space="preserve"> </w:t>
      </w:r>
      <w:r w:rsidR="00140FDB">
        <w:t>% removal</w:t>
      </w:r>
      <w:r w:rsidR="00A373DE">
        <w:t xml:space="preserve">. For the double-sided configuration, </w:t>
      </w:r>
      <w:r w:rsidR="00330AA7">
        <w:t>50</w:t>
      </w:r>
      <w:r w:rsidR="0005061B">
        <w:t xml:space="preserve"> </w:t>
      </w:r>
      <w:r w:rsidR="00330AA7">
        <w:t xml:space="preserve">% </w:t>
      </w:r>
      <w:r w:rsidR="00D26C09">
        <w:t>breakthrough</w:t>
      </w:r>
      <w:r w:rsidR="00D77C61">
        <w:rPr>
          <w:vertAlign w:val="subscript"/>
        </w:rPr>
        <w:t xml:space="preserve"> </w:t>
      </w:r>
      <w:r w:rsidR="00140FDB">
        <w:t>increased from 11 hours to 23 hours under irradiation, but C/C</w:t>
      </w:r>
      <w:r w:rsidR="00140FDB">
        <w:rPr>
          <w:vertAlign w:val="subscript"/>
        </w:rPr>
        <w:t>0</w:t>
      </w:r>
      <w:r w:rsidR="00140FDB">
        <w:t xml:space="preserve"> </w:t>
      </w:r>
      <w:r w:rsidR="00330AA7">
        <w:t xml:space="preserve">ratio </w:t>
      </w:r>
      <w:r w:rsidR="00140FDB">
        <w:t>reached 0,72 after 75</w:t>
      </w:r>
      <w:r w:rsidR="00483640">
        <w:t xml:space="preserve"> </w:t>
      </w:r>
      <w:r w:rsidR="00140FDB">
        <w:t>h corresponding only about 3</w:t>
      </w:r>
      <w:r w:rsidR="00483640">
        <w:t xml:space="preserve">3 </w:t>
      </w:r>
      <w:r w:rsidR="00140FDB">
        <w:t xml:space="preserve">%. Although the double-sided configuration textile increased breakthrough time, mainly due to its higher activated carbon loading, </w:t>
      </w:r>
      <w:r w:rsidR="00757450">
        <w:t>it was less efficient under irradiation in term of removal efficiency. This lower performance may be explained by the fact that activated carbon and TiO</w:t>
      </w:r>
      <w:r w:rsidR="00757450">
        <w:rPr>
          <w:vertAlign w:val="subscript"/>
        </w:rPr>
        <w:t>2</w:t>
      </w:r>
      <w:r w:rsidR="00757450">
        <w:t xml:space="preserve"> were deposited on the same sides, which may have partially masked the TiO</w:t>
      </w:r>
      <w:r w:rsidR="00757450">
        <w:rPr>
          <w:vertAlign w:val="subscript"/>
        </w:rPr>
        <w:t>2</w:t>
      </w:r>
      <w:r w:rsidR="00757450">
        <w:t xml:space="preserve"> layer, reduced light penetration, and limited access to photocatalytic actives sites. Overall, these results confirm the potential of coupling adsorption and photocatalysis in a textile-based filter and highlight the importance of optimizing the spatial distribution of the catalysts</w:t>
      </w:r>
      <w:r w:rsidR="00B12BE0" w:rsidRPr="00B12BE0">
        <w:t xml:space="preserve"> Further parameters, </w:t>
      </w:r>
      <w:r w:rsidR="00B12BE0" w:rsidRPr="00B12BE0">
        <w:lastRenderedPageBreak/>
        <w:t>including pollutant mixtures, air humidity, and temperature, should be investigated to advance towards an optimized compact reactor design.</w:t>
      </w:r>
    </w:p>
    <w:p w14:paraId="4CC009AF" w14:textId="1AA6099F" w:rsidR="001A3226" w:rsidRPr="008A2BE3" w:rsidRDefault="007977DC" w:rsidP="008A2BE3">
      <w:pPr>
        <w:pStyle w:val="CETAcknowledgementstitle"/>
      </w:pPr>
      <w:r w:rsidRPr="008A2BE3">
        <w:t>Acknowledgements</w:t>
      </w:r>
    </w:p>
    <w:p w14:paraId="647B91C1" w14:textId="10DD8249" w:rsidR="007977DC" w:rsidRPr="007977DC" w:rsidRDefault="007977DC" w:rsidP="007977DC">
      <w:pPr>
        <w:pStyle w:val="CETBodytext"/>
      </w:pPr>
      <w:r>
        <w:t xml:space="preserve">The authors gratefully acknowledge the financial support of ANR under the project </w:t>
      </w:r>
      <w:r w:rsidR="001A3226">
        <w:t>TEXAD (</w:t>
      </w:r>
      <w:r w:rsidR="001A3226" w:rsidRPr="001A3226">
        <w:t>ANR-22-CE04-0009 TEXAD</w:t>
      </w:r>
      <w:r w:rsidR="001A3226">
        <w:t>)</w:t>
      </w:r>
    </w:p>
    <w:p w14:paraId="11CBF1B2" w14:textId="7359214A" w:rsidR="00FD4E3E" w:rsidRDefault="00FD4E3E" w:rsidP="00FD4E3E">
      <w:pPr>
        <w:pStyle w:val="CETHeadingxx"/>
      </w:pPr>
      <w:r>
        <w:t xml:space="preserve">Nomenclature </w:t>
      </w:r>
    </w:p>
    <w:p w14:paraId="13B17108" w14:textId="77777777" w:rsidR="000C04F1" w:rsidRDefault="000C04F1" w:rsidP="00FD4E3E">
      <w:pPr>
        <w:pStyle w:val="CETBodytext"/>
        <w:sectPr w:rsidR="000C04F1" w:rsidSect="008314D7">
          <w:type w:val="continuous"/>
          <w:pgSz w:w="11906" w:h="16838" w:code="9"/>
          <w:pgMar w:top="1701" w:right="1418" w:bottom="1701" w:left="1701" w:header="1701" w:footer="0" w:gutter="0"/>
          <w:cols w:space="708"/>
          <w:formProt w:val="0"/>
          <w:titlePg/>
          <w:docGrid w:linePitch="360"/>
        </w:sectPr>
      </w:pPr>
      <w:bookmarkStart w:id="3" w:name="_Hlk226976974"/>
    </w:p>
    <w:p w14:paraId="1787C07B" w14:textId="77777777" w:rsidR="00FD4E3E" w:rsidRDefault="00FD4E3E" w:rsidP="00FD4E3E">
      <w:pPr>
        <w:pStyle w:val="CETBodytext"/>
        <w:rPr>
          <w:rFonts w:eastAsia="SimSun"/>
        </w:rPr>
      </w:pPr>
      <w:r>
        <w:t xml:space="preserve">VOCs </w:t>
      </w:r>
      <w:r w:rsidRPr="00280FAF">
        <w:rPr>
          <w:rFonts w:eastAsia="SimSun"/>
        </w:rPr>
        <w:t>–</w:t>
      </w:r>
      <w:r>
        <w:rPr>
          <w:rFonts w:eastAsia="SimSun"/>
        </w:rPr>
        <w:t xml:space="preserve"> Volatile organic compounds</w:t>
      </w:r>
      <w:r w:rsidR="003C0142">
        <w:rPr>
          <w:rFonts w:eastAsia="SimSun"/>
        </w:rPr>
        <w:t xml:space="preserve"> </w:t>
      </w:r>
    </w:p>
    <w:p w14:paraId="49373389" w14:textId="77777777" w:rsidR="00FD4E3E" w:rsidRDefault="00FD4E3E" w:rsidP="00FD4E3E">
      <w:pPr>
        <w:pStyle w:val="CETBodytext"/>
        <w:rPr>
          <w:rFonts w:eastAsia="SimSun"/>
        </w:rPr>
      </w:pPr>
      <w:r>
        <w:rPr>
          <w:rFonts w:eastAsia="SimSun"/>
        </w:rPr>
        <w:t xml:space="preserve">AC </w:t>
      </w:r>
      <w:r w:rsidRPr="00280FAF">
        <w:rPr>
          <w:rFonts w:eastAsia="SimSun"/>
        </w:rPr>
        <w:t>–</w:t>
      </w:r>
      <w:r>
        <w:rPr>
          <w:rFonts w:eastAsia="SimSun"/>
        </w:rPr>
        <w:t xml:space="preserve"> Activated carbon</w:t>
      </w:r>
    </w:p>
    <w:p w14:paraId="412FA564" w14:textId="77777777" w:rsidR="00A85F7F" w:rsidRDefault="00A85F7F" w:rsidP="00A85F7F">
      <w:pPr>
        <w:pStyle w:val="CETBodytext"/>
        <w:rPr>
          <w:rFonts w:eastAsia="SimSun"/>
        </w:rPr>
      </w:pPr>
      <w:r>
        <w:rPr>
          <w:rFonts w:eastAsia="SimSun"/>
        </w:rPr>
        <w:t xml:space="preserve">ADS </w:t>
      </w:r>
      <w:r w:rsidRPr="00280FAF">
        <w:rPr>
          <w:rFonts w:eastAsia="SimSun"/>
        </w:rPr>
        <w:t>–</w:t>
      </w:r>
      <w:r>
        <w:rPr>
          <w:rFonts w:eastAsia="SimSun"/>
        </w:rPr>
        <w:t xml:space="preserve"> Adsorption </w:t>
      </w:r>
    </w:p>
    <w:p w14:paraId="6B4DE582" w14:textId="06676A09" w:rsidR="00A85F7F" w:rsidRPr="0005061B" w:rsidRDefault="00A85F7F" w:rsidP="00A85F7F">
      <w:pPr>
        <w:pStyle w:val="CETBodytext"/>
        <w:rPr>
          <w:rFonts w:eastAsia="SimSun"/>
          <w:vertAlign w:val="superscript"/>
          <w:lang w:val="fr-FR"/>
        </w:rPr>
      </w:pPr>
      <w:r w:rsidRPr="001F6A51">
        <w:rPr>
          <w:rFonts w:eastAsia="SimSun"/>
          <w:lang w:val="fr-FR"/>
        </w:rPr>
        <w:t>C</w:t>
      </w:r>
      <w:r w:rsidRPr="001F6A51">
        <w:rPr>
          <w:rFonts w:eastAsia="SimSun"/>
          <w:vertAlign w:val="subscript"/>
          <w:lang w:val="fr-FR"/>
        </w:rPr>
        <w:t xml:space="preserve">e </w:t>
      </w:r>
      <w:r w:rsidRPr="001F6A51">
        <w:rPr>
          <w:rFonts w:eastAsia="SimSun"/>
          <w:lang w:val="fr-FR"/>
        </w:rPr>
        <w:t xml:space="preserve">– </w:t>
      </w:r>
      <w:proofErr w:type="spellStart"/>
      <w:r w:rsidRPr="001F6A51">
        <w:rPr>
          <w:rFonts w:eastAsia="SimSun"/>
          <w:lang w:val="fr-FR"/>
        </w:rPr>
        <w:t>Equilibrium</w:t>
      </w:r>
      <w:proofErr w:type="spellEnd"/>
      <w:r w:rsidRPr="001F6A51">
        <w:rPr>
          <w:rFonts w:eastAsia="SimSun"/>
          <w:lang w:val="fr-FR"/>
        </w:rPr>
        <w:t xml:space="preserve"> concentration</w:t>
      </w:r>
      <w:r w:rsidR="0005061B" w:rsidRPr="001F6A51">
        <w:rPr>
          <w:rFonts w:eastAsia="SimSun"/>
          <w:lang w:val="fr-FR"/>
        </w:rPr>
        <w:t>, mg</w:t>
      </w:r>
      <w:r w:rsidR="0005061B">
        <w:rPr>
          <w:rFonts w:eastAsia="SimSun"/>
          <w:lang w:val="fr-FR"/>
        </w:rPr>
        <w:t>/</w:t>
      </w:r>
      <w:r w:rsidR="0005061B" w:rsidRPr="001F6A51">
        <w:rPr>
          <w:rFonts w:eastAsia="SimSun"/>
          <w:lang w:val="fr-FR"/>
        </w:rPr>
        <w:t>m</w:t>
      </w:r>
      <w:r w:rsidR="0005061B" w:rsidRPr="001F6A51">
        <w:rPr>
          <w:rFonts w:eastAsia="SimSun"/>
          <w:vertAlign w:val="superscript"/>
          <w:lang w:val="fr-FR"/>
        </w:rPr>
        <w:t>3</w:t>
      </w:r>
      <w:r w:rsidRPr="001F6A51">
        <w:rPr>
          <w:rFonts w:eastAsia="SimSun"/>
          <w:lang w:val="fr-FR"/>
        </w:rPr>
        <w:t xml:space="preserve"> </w:t>
      </w:r>
    </w:p>
    <w:p w14:paraId="4A0FAC1C" w14:textId="61814579" w:rsidR="00A85F7F" w:rsidRPr="001F6A51" w:rsidRDefault="00A85F7F" w:rsidP="00A85F7F">
      <w:pPr>
        <w:pStyle w:val="CETBodytext"/>
        <w:rPr>
          <w:rFonts w:eastAsia="SimSun"/>
          <w:vertAlign w:val="superscript"/>
          <w:lang w:val="fr-FR"/>
        </w:rPr>
      </w:pPr>
      <w:r w:rsidRPr="001F6A51">
        <w:rPr>
          <w:rFonts w:eastAsia="SimSun"/>
          <w:lang w:val="fr-FR"/>
        </w:rPr>
        <w:t>C</w:t>
      </w:r>
      <w:r w:rsidRPr="001F6A51">
        <w:rPr>
          <w:rFonts w:eastAsia="SimSun"/>
          <w:vertAlign w:val="subscript"/>
          <w:lang w:val="fr-FR"/>
        </w:rPr>
        <w:t xml:space="preserve">0 </w:t>
      </w:r>
      <w:r w:rsidRPr="001F6A51">
        <w:rPr>
          <w:rFonts w:eastAsia="SimSun"/>
          <w:lang w:val="fr-FR"/>
        </w:rPr>
        <w:t xml:space="preserve">– </w:t>
      </w:r>
      <w:proofErr w:type="spellStart"/>
      <w:r w:rsidRPr="001F6A51">
        <w:rPr>
          <w:rFonts w:eastAsia="SimSun"/>
          <w:lang w:val="fr-FR"/>
        </w:rPr>
        <w:t>Inlet</w:t>
      </w:r>
      <w:proofErr w:type="spellEnd"/>
      <w:r w:rsidRPr="001F6A51">
        <w:rPr>
          <w:rFonts w:eastAsia="SimSun"/>
          <w:lang w:val="fr-FR"/>
        </w:rPr>
        <w:t xml:space="preserve"> concentration, mg</w:t>
      </w:r>
      <w:r w:rsidR="00963730">
        <w:rPr>
          <w:rFonts w:eastAsia="SimSun"/>
          <w:lang w:val="fr-FR"/>
        </w:rPr>
        <w:t>/</w:t>
      </w:r>
      <w:r w:rsidRPr="001F6A51">
        <w:rPr>
          <w:rFonts w:eastAsia="SimSun"/>
          <w:lang w:val="fr-FR"/>
        </w:rPr>
        <w:t>m</w:t>
      </w:r>
      <w:r w:rsidRPr="001F6A51">
        <w:rPr>
          <w:rFonts w:eastAsia="SimSun"/>
          <w:vertAlign w:val="superscript"/>
          <w:lang w:val="fr-FR"/>
        </w:rPr>
        <w:t>3</w:t>
      </w:r>
    </w:p>
    <w:p w14:paraId="750EDFE7" w14:textId="25C05560" w:rsidR="00A85F7F" w:rsidRDefault="00A85F7F" w:rsidP="00A85F7F">
      <w:pPr>
        <w:pStyle w:val="CETBodytext"/>
        <w:rPr>
          <w:rFonts w:eastAsia="SimSun"/>
          <w:vertAlign w:val="superscript"/>
        </w:rPr>
      </w:pPr>
      <w:r>
        <w:t xml:space="preserve">C </w:t>
      </w:r>
      <w:r w:rsidRPr="00280FAF">
        <w:rPr>
          <w:rFonts w:eastAsia="SimSun"/>
        </w:rPr>
        <w:t>–</w:t>
      </w:r>
      <w:r>
        <w:rPr>
          <w:rFonts w:eastAsia="SimSun"/>
        </w:rPr>
        <w:t xml:space="preserve"> outlet concentration, mg</w:t>
      </w:r>
      <w:r w:rsidR="00963730">
        <w:rPr>
          <w:rFonts w:eastAsia="SimSun"/>
        </w:rPr>
        <w:t>/</w:t>
      </w:r>
      <w:r>
        <w:rPr>
          <w:rFonts w:eastAsia="SimSun"/>
        </w:rPr>
        <w:t>m</w:t>
      </w:r>
      <w:r w:rsidRPr="003C0142">
        <w:rPr>
          <w:rFonts w:eastAsia="SimSun"/>
          <w:vertAlign w:val="superscript"/>
        </w:rPr>
        <w:t>3</w:t>
      </w:r>
    </w:p>
    <w:p w14:paraId="35BE570C" w14:textId="77777777" w:rsidR="00A85F7F" w:rsidRDefault="00A85F7F" w:rsidP="00A85F7F">
      <w:pPr>
        <w:pStyle w:val="CETBodytext"/>
      </w:pPr>
      <w:r>
        <w:t xml:space="preserve">FID </w:t>
      </w:r>
      <w:r w:rsidRPr="00280FAF">
        <w:rPr>
          <w:rFonts w:eastAsia="SimSun"/>
        </w:rPr>
        <w:t>–</w:t>
      </w:r>
      <w:r>
        <w:rPr>
          <w:rFonts w:eastAsia="SimSun"/>
        </w:rPr>
        <w:t xml:space="preserve"> Flame ionization detection </w:t>
      </w:r>
    </w:p>
    <w:p w14:paraId="621E2C84" w14:textId="77777777" w:rsidR="00A85F7F" w:rsidRDefault="00A85F7F" w:rsidP="00A85F7F">
      <w:pPr>
        <w:pStyle w:val="CETBodytext"/>
      </w:pPr>
      <w:r>
        <w:t>FFAP</w:t>
      </w:r>
      <w:r w:rsidRPr="00280FAF">
        <w:rPr>
          <w:rFonts w:eastAsia="SimSun"/>
        </w:rPr>
        <w:t>–</w:t>
      </w:r>
      <w:r>
        <w:rPr>
          <w:rFonts w:eastAsia="SimSun"/>
        </w:rPr>
        <w:t xml:space="preserve"> Free fatty acid phase column </w:t>
      </w:r>
    </w:p>
    <w:p w14:paraId="129E84A1" w14:textId="77777777" w:rsidR="00A85F7F" w:rsidRDefault="00A85F7F" w:rsidP="00A85F7F">
      <w:pPr>
        <w:pStyle w:val="CETBodytext"/>
      </w:pPr>
      <w:r>
        <w:t xml:space="preserve">GC </w:t>
      </w:r>
      <w:r w:rsidRPr="00280FAF">
        <w:rPr>
          <w:rFonts w:eastAsia="SimSun"/>
        </w:rPr>
        <w:t>–</w:t>
      </w:r>
      <w:r>
        <w:rPr>
          <w:rFonts w:eastAsia="SimSun"/>
        </w:rPr>
        <w:t xml:space="preserve"> Gas Chromatography </w:t>
      </w:r>
    </w:p>
    <w:p w14:paraId="72C01542" w14:textId="578E7352" w:rsidR="00A85F7F" w:rsidRPr="00A85F7F" w:rsidRDefault="00A85F7F" w:rsidP="00A85F7F">
      <w:pPr>
        <w:pStyle w:val="CETBodytext"/>
      </w:pPr>
      <w:r w:rsidRPr="00A85F7F">
        <w:t>K</w:t>
      </w:r>
      <w:r w:rsidRPr="00A85F7F">
        <w:rPr>
          <w:vertAlign w:val="subscript"/>
        </w:rPr>
        <w:t xml:space="preserve">L </w:t>
      </w:r>
      <w:r w:rsidRPr="00280FAF">
        <w:rPr>
          <w:rFonts w:eastAsia="SimSun"/>
        </w:rPr>
        <w:t>–</w:t>
      </w:r>
      <w:r>
        <w:rPr>
          <w:rFonts w:eastAsia="SimSun"/>
        </w:rPr>
        <w:t xml:space="preserve"> </w:t>
      </w:r>
      <w:r w:rsidRPr="00A85F7F">
        <w:t>The Langmuir constant, m</w:t>
      </w:r>
      <w:r w:rsidRPr="00A85F7F">
        <w:rPr>
          <w:vertAlign w:val="superscript"/>
        </w:rPr>
        <w:t>3</w:t>
      </w:r>
      <w:r w:rsidR="00963730">
        <w:t>/</w:t>
      </w:r>
      <w:r w:rsidRPr="00A85F7F">
        <w:t xml:space="preserve">mg </w:t>
      </w:r>
    </w:p>
    <w:p w14:paraId="4DFC68AA" w14:textId="30ED8472" w:rsidR="00A85F7F" w:rsidRDefault="00A85F7F" w:rsidP="00A85F7F">
      <w:pPr>
        <w:pStyle w:val="CETBodytext"/>
      </w:pPr>
      <w:r>
        <w:rPr>
          <w:lang w:val="en-GB"/>
        </w:rPr>
        <w:t>K</w:t>
      </w:r>
      <w:r>
        <w:rPr>
          <w:vertAlign w:val="subscript"/>
          <w:lang w:val="en-GB"/>
        </w:rPr>
        <w:t>F</w:t>
      </w:r>
      <w:r>
        <w:rPr>
          <w:lang w:val="en-GB"/>
        </w:rPr>
        <w:t xml:space="preserve"> </w:t>
      </w:r>
      <w:r>
        <w:rPr>
          <w:lang w:val="en-GB"/>
        </w:rPr>
        <w:softHyphen/>
      </w:r>
      <w:r w:rsidRPr="00280FAF">
        <w:rPr>
          <w:rFonts w:eastAsia="SimSun"/>
        </w:rPr>
        <w:t>–</w:t>
      </w:r>
      <w:r>
        <w:rPr>
          <w:rFonts w:eastAsia="SimSun"/>
        </w:rPr>
        <w:t xml:space="preserve"> </w:t>
      </w:r>
      <w:r>
        <w:rPr>
          <w:lang w:val="en-GB"/>
        </w:rPr>
        <w:t>The Freundlich constant,</w:t>
      </w:r>
      <w:r w:rsidR="0005061B">
        <w:rPr>
          <w:lang w:val="en-GB"/>
        </w:rPr>
        <w:t xml:space="preserve"> -</w:t>
      </w:r>
    </w:p>
    <w:p w14:paraId="5E6DD281" w14:textId="77777777" w:rsidR="00A85F7F" w:rsidRDefault="00A85F7F" w:rsidP="00A85F7F">
      <w:pPr>
        <w:pStyle w:val="CETBodytext"/>
        <w:rPr>
          <w:rFonts w:eastAsia="SimSun"/>
        </w:rPr>
      </w:pPr>
      <w:r>
        <w:rPr>
          <w:rFonts w:eastAsia="SimSun"/>
        </w:rPr>
        <w:t xml:space="preserve">LEDs </w:t>
      </w:r>
      <w:r w:rsidRPr="00280FAF">
        <w:rPr>
          <w:rFonts w:eastAsia="SimSun"/>
        </w:rPr>
        <w:t>–</w:t>
      </w:r>
      <w:r>
        <w:rPr>
          <w:rFonts w:eastAsia="SimSun"/>
        </w:rPr>
        <w:t xml:space="preserve"> Light-Emitting Diodes </w:t>
      </w:r>
    </w:p>
    <w:p w14:paraId="4656E93B" w14:textId="77777777" w:rsidR="000C04F1" w:rsidRDefault="000C04F1" w:rsidP="000C04F1">
      <w:pPr>
        <w:pStyle w:val="CETBodytext"/>
      </w:pPr>
      <w:proofErr w:type="spellStart"/>
      <w:r>
        <w:t>m</w:t>
      </w:r>
      <w:r>
        <w:rPr>
          <w:vertAlign w:val="subscript"/>
        </w:rPr>
        <w:t>AC</w:t>
      </w:r>
      <w:proofErr w:type="spellEnd"/>
      <w:r>
        <w:t xml:space="preserve"> </w:t>
      </w:r>
      <w:r>
        <w:softHyphen/>
      </w:r>
      <w:r w:rsidRPr="00280FAF">
        <w:rPr>
          <w:rFonts w:eastAsia="SimSun"/>
        </w:rPr>
        <w:t>–</w:t>
      </w:r>
      <w:r>
        <w:rPr>
          <w:rFonts w:eastAsia="SimSun"/>
        </w:rPr>
        <w:t xml:space="preserve"> </w:t>
      </w:r>
      <w:r>
        <w:t>The mass of activated carbon, g</w:t>
      </w:r>
    </w:p>
    <w:p w14:paraId="1BFBF282" w14:textId="36D76B1D" w:rsidR="000C04F1" w:rsidRPr="000C04F1" w:rsidRDefault="000C04F1" w:rsidP="000C04F1">
      <w:pPr>
        <w:pStyle w:val="CETBodytext"/>
        <w:rPr>
          <w:vertAlign w:val="superscript"/>
        </w:rPr>
      </w:pPr>
      <w:r>
        <w:t>m</w:t>
      </w:r>
      <w:r>
        <w:rPr>
          <w:vertAlign w:val="subscript"/>
        </w:rPr>
        <w:t>TiO2</w:t>
      </w:r>
      <w:r>
        <w:t xml:space="preserve"> </w:t>
      </w:r>
      <w:r>
        <w:softHyphen/>
      </w:r>
      <w:r w:rsidRPr="00280FAF">
        <w:rPr>
          <w:rFonts w:eastAsia="SimSun"/>
        </w:rPr>
        <w:t>–</w:t>
      </w:r>
      <w:r>
        <w:rPr>
          <w:rFonts w:eastAsia="SimSun"/>
        </w:rPr>
        <w:t xml:space="preserve"> </w:t>
      </w:r>
      <w:r>
        <w:t>The mass of titanium dioxide, g</w:t>
      </w:r>
      <w:r w:rsidR="00963730">
        <w:t>/</w:t>
      </w:r>
      <w:r>
        <w:t>m</w:t>
      </w:r>
      <w:r>
        <w:rPr>
          <w:vertAlign w:val="superscript"/>
        </w:rPr>
        <w:t>2</w:t>
      </w:r>
    </w:p>
    <w:p w14:paraId="1A0635E1" w14:textId="1B19CBF2" w:rsidR="000C04F1" w:rsidRDefault="00000000" w:rsidP="000C04F1">
      <w:pPr>
        <w:pStyle w:val="CETBodytext"/>
        <w:rPr>
          <w:vertAlign w:val="superscript"/>
        </w:rPr>
      </w:pPr>
      <m:oMath>
        <m:sSub>
          <m:sSubPr>
            <m:ctrlPr>
              <w:rPr>
                <w:rFonts w:ascii="Cambria Math" w:hAnsi="Cambria Math" w:cs="Arial"/>
                <w:i/>
              </w:rPr>
            </m:ctrlPr>
          </m:sSubPr>
          <m:e>
            <m:r>
              <w:rPr>
                <w:rFonts w:ascii="Cambria Math" w:hAnsi="Cambria Math" w:cs="Arial"/>
              </w:rPr>
              <m:t>q</m:t>
            </m:r>
          </m:e>
          <m:sub>
            <m:r>
              <w:rPr>
                <w:rFonts w:ascii="Cambria Math" w:hAnsi="Cambria Math" w:cs="Arial"/>
              </w:rPr>
              <m:t>e</m:t>
            </m:r>
          </m:sub>
        </m:sSub>
      </m:oMath>
      <w:r w:rsidR="000C04F1" w:rsidRPr="00280FAF">
        <w:rPr>
          <w:rFonts w:eastAsia="SimSun"/>
        </w:rPr>
        <w:t>–</w:t>
      </w:r>
      <w:r w:rsidR="000C04F1">
        <w:t xml:space="preserve">  The adsorption capacity at equilibrium, </w:t>
      </w:r>
      <w:proofErr w:type="spellStart"/>
      <w:r w:rsidR="000C04F1">
        <w:t>g</w:t>
      </w:r>
      <w:r w:rsidR="00EC5AC2">
        <w:t>T</w:t>
      </w:r>
      <w:proofErr w:type="spellEnd"/>
      <w:r w:rsidR="00963730">
        <w:t>/</w:t>
      </w:r>
      <w:r w:rsidR="000C04F1">
        <w:t>g</w:t>
      </w:r>
    </w:p>
    <w:p w14:paraId="7B4DC3E3" w14:textId="115D7A50" w:rsidR="000C04F1" w:rsidRPr="00A85F7F" w:rsidRDefault="00000000" w:rsidP="000C04F1">
      <w:pPr>
        <w:pStyle w:val="CETBodytext"/>
        <w:rPr>
          <w:vertAlign w:val="superscript"/>
        </w:rPr>
      </w:pPr>
      <m:oMath>
        <m:sSub>
          <m:sSubPr>
            <m:ctrlPr>
              <w:rPr>
                <w:rFonts w:ascii="Cambria Math" w:hAnsi="Cambria Math" w:cs="Arial"/>
                <w:i/>
              </w:rPr>
            </m:ctrlPr>
          </m:sSubPr>
          <m:e>
            <m:r>
              <w:rPr>
                <w:rFonts w:ascii="Cambria Math" w:hAnsi="Cambria Math" w:cs="Arial"/>
              </w:rPr>
              <m:t>q</m:t>
            </m:r>
          </m:e>
          <m:sub>
            <m:r>
              <w:rPr>
                <w:rFonts w:ascii="Cambria Math" w:hAnsi="Cambria Math" w:cs="Arial"/>
              </w:rPr>
              <m:t>max</m:t>
            </m:r>
          </m:sub>
        </m:sSub>
      </m:oMath>
      <w:r w:rsidR="000C04F1">
        <w:t xml:space="preserve"> </w:t>
      </w:r>
      <w:r w:rsidR="000C04F1" w:rsidRPr="00280FAF">
        <w:rPr>
          <w:rFonts w:eastAsia="SimSun"/>
        </w:rPr>
        <w:t>–</w:t>
      </w:r>
      <w:r w:rsidR="000C04F1">
        <w:rPr>
          <w:rFonts w:eastAsia="SimSun"/>
        </w:rPr>
        <w:t xml:space="preserve"> </w:t>
      </w:r>
      <w:r w:rsidR="000C04F1">
        <w:t xml:space="preserve">The maximum monolayer adsorption capacity, </w:t>
      </w:r>
      <w:proofErr w:type="spellStart"/>
      <w:r w:rsidR="000C04F1">
        <w:t>g</w:t>
      </w:r>
      <w:r w:rsidR="00EC5AC2">
        <w:t>T</w:t>
      </w:r>
      <w:proofErr w:type="spellEnd"/>
      <w:r w:rsidR="00EC5AC2">
        <w:t>/</w:t>
      </w:r>
      <w:r w:rsidR="000C04F1">
        <w:t>g</w:t>
      </w:r>
    </w:p>
    <w:p w14:paraId="2140775B" w14:textId="3C9AD7FB" w:rsidR="00A85F7F" w:rsidRPr="000C04F1" w:rsidRDefault="000C04F1" w:rsidP="00FD4E3E">
      <w:pPr>
        <w:pStyle w:val="CETBodytext"/>
        <w:rPr>
          <w:vertAlign w:val="superscript"/>
        </w:rPr>
      </w:pPr>
      <w:r>
        <w:t xml:space="preserve">Q </w:t>
      </w:r>
      <w:r w:rsidRPr="00280FAF">
        <w:rPr>
          <w:rFonts w:eastAsia="SimSun"/>
        </w:rPr>
        <w:t>–</w:t>
      </w:r>
      <w:r>
        <w:rPr>
          <w:rFonts w:eastAsia="SimSun"/>
        </w:rPr>
        <w:t xml:space="preserve"> Flow rate, m</w:t>
      </w:r>
      <w:r>
        <w:rPr>
          <w:rFonts w:eastAsia="SimSun"/>
          <w:vertAlign w:val="superscript"/>
        </w:rPr>
        <w:t>3</w:t>
      </w:r>
      <w:r w:rsidR="00963730">
        <w:rPr>
          <w:rFonts w:eastAsia="SimSun"/>
        </w:rPr>
        <w:t>/</w:t>
      </w:r>
      <w:r>
        <w:rPr>
          <w:rFonts w:eastAsia="SimSun"/>
        </w:rPr>
        <w:t>h</w:t>
      </w:r>
    </w:p>
    <w:p w14:paraId="2CFE9084" w14:textId="77777777" w:rsidR="00FD4E3E" w:rsidRPr="00EC5AC2" w:rsidRDefault="00FD4E3E" w:rsidP="00FD4E3E">
      <w:pPr>
        <w:pStyle w:val="CETBodytext"/>
        <w:rPr>
          <w:rFonts w:eastAsia="SimSun"/>
        </w:rPr>
      </w:pPr>
      <w:r w:rsidRPr="00EC5AC2">
        <w:rPr>
          <w:rFonts w:eastAsia="SimSun"/>
        </w:rPr>
        <w:t>TiO</w:t>
      </w:r>
      <w:r w:rsidRPr="00EC5AC2">
        <w:rPr>
          <w:rFonts w:eastAsia="SimSun"/>
          <w:vertAlign w:val="subscript"/>
        </w:rPr>
        <w:t>2</w:t>
      </w:r>
      <w:r w:rsidRPr="00EC5AC2">
        <w:rPr>
          <w:rFonts w:eastAsia="SimSun"/>
        </w:rPr>
        <w:t xml:space="preserve"> – Titanium dioxide </w:t>
      </w:r>
    </w:p>
    <w:p w14:paraId="235768AA" w14:textId="77777777" w:rsidR="003C0142" w:rsidRPr="00EC5AC2" w:rsidRDefault="00FD4E3E" w:rsidP="00FD4E3E">
      <w:pPr>
        <w:pStyle w:val="CETBodytext"/>
        <w:rPr>
          <w:rFonts w:eastAsia="SimSun"/>
        </w:rPr>
      </w:pPr>
      <w:r w:rsidRPr="00EC5AC2">
        <w:rPr>
          <w:rFonts w:eastAsia="SimSun"/>
        </w:rPr>
        <w:t xml:space="preserve">UVA </w:t>
      </w:r>
      <w:r w:rsidR="003C0142" w:rsidRPr="00EC5AC2">
        <w:rPr>
          <w:rFonts w:eastAsia="SimSun"/>
        </w:rPr>
        <w:t>–</w:t>
      </w:r>
      <w:r w:rsidRPr="00EC5AC2">
        <w:rPr>
          <w:rFonts w:eastAsia="SimSun"/>
        </w:rPr>
        <w:t xml:space="preserve"> </w:t>
      </w:r>
      <w:r w:rsidR="003C0142" w:rsidRPr="00EC5AC2">
        <w:rPr>
          <w:rFonts w:eastAsia="SimSun"/>
        </w:rPr>
        <w:t xml:space="preserve">Ultraviolet type A </w:t>
      </w:r>
    </w:p>
    <w:p w14:paraId="4F8F58AE" w14:textId="77777777" w:rsidR="000C04F1" w:rsidRPr="0014535C" w:rsidRDefault="000C04F1" w:rsidP="000C04F1">
      <w:pPr>
        <w:pStyle w:val="CETBodytext"/>
        <w:rPr>
          <w:vertAlign w:val="subscript"/>
        </w:rPr>
      </w:pPr>
      <w:r>
        <w:t xml:space="preserve">V </w:t>
      </w:r>
      <w:r w:rsidRPr="00280FAF">
        <w:rPr>
          <w:rFonts w:eastAsia="SimSun"/>
        </w:rPr>
        <w:t>–</w:t>
      </w:r>
      <w:r>
        <w:rPr>
          <w:rFonts w:eastAsia="SimSun"/>
        </w:rPr>
        <w:t xml:space="preserve"> </w:t>
      </w:r>
      <w:r>
        <w:t>The volume, m</w:t>
      </w:r>
      <w:r w:rsidRPr="00F61A9B">
        <w:rPr>
          <w:vertAlign w:val="superscript"/>
        </w:rPr>
        <w:t>3</w:t>
      </w:r>
    </w:p>
    <w:bookmarkEnd w:id="3"/>
    <w:p w14:paraId="5F1A333F" w14:textId="77777777" w:rsidR="000C04F1" w:rsidRDefault="000C04F1" w:rsidP="000C04F1">
      <w:pPr>
        <w:pStyle w:val="CETBodytext"/>
        <w:rPr>
          <w:lang w:val="en-GB"/>
        </w:rPr>
      </w:pPr>
    </w:p>
    <w:p w14:paraId="1949FB1A" w14:textId="77777777" w:rsidR="00485C98" w:rsidRPr="000C04F1" w:rsidRDefault="00485C98" w:rsidP="000C04F1">
      <w:pPr>
        <w:pStyle w:val="CETBodytext"/>
        <w:rPr>
          <w:lang w:val="en-GB"/>
        </w:rPr>
        <w:sectPr w:rsidR="00485C98" w:rsidRPr="000C04F1" w:rsidSect="000C04F1">
          <w:type w:val="continuous"/>
          <w:pgSz w:w="11906" w:h="16838" w:code="9"/>
          <w:pgMar w:top="1701" w:right="1418" w:bottom="1701" w:left="1701" w:header="1701" w:footer="0" w:gutter="0"/>
          <w:cols w:num="2" w:space="708"/>
          <w:formProt w:val="0"/>
          <w:titlePg/>
          <w:docGrid w:linePitch="360"/>
        </w:sectPr>
      </w:pPr>
    </w:p>
    <w:p w14:paraId="2D093A60" w14:textId="0FA99DCF" w:rsidR="0014535C" w:rsidRPr="0014535C" w:rsidRDefault="000C04F1" w:rsidP="008A2BE3">
      <w:pPr>
        <w:pStyle w:val="CETReference"/>
      </w:pPr>
      <w:r w:rsidRPr="008A2BE3">
        <w:t>References</w:t>
      </w:r>
    </w:p>
    <w:p w14:paraId="438EF81A" w14:textId="412902D4" w:rsidR="009B4CED" w:rsidRPr="009B4CED" w:rsidRDefault="00B226E6" w:rsidP="00921AE1">
      <w:pPr>
        <w:pStyle w:val="CETReferencetext"/>
      </w:pPr>
      <w:r>
        <w:fldChar w:fldCharType="begin"/>
      </w:r>
      <w:r w:rsidR="009B4CED">
        <w:rPr>
          <w:lang w:val="en-US"/>
        </w:rPr>
        <w:instrText xml:space="preserve"> ADDIN ZOTERO_BIBL {"uncited":[],"omitted":[],"custom":[]} CSL_BIBLIOGRAPHY </w:instrText>
      </w:r>
      <w:r>
        <w:fldChar w:fldCharType="separate"/>
      </w:r>
      <w:r w:rsidR="009B4CED" w:rsidRPr="009B4CED">
        <w:t>Ayawei, N., Ebelegi, A.N., Wankasi, D., 2017. Modelling and Interpretation of Adsorption Isotherms. Journal of Chemistry 2017, 1–11.</w:t>
      </w:r>
    </w:p>
    <w:p w14:paraId="5ED0D928" w14:textId="637DCFE5" w:rsidR="009B4CED" w:rsidRPr="009B4CED" w:rsidRDefault="009B4CED" w:rsidP="00921AE1">
      <w:pPr>
        <w:pStyle w:val="CETReferencetext"/>
      </w:pPr>
      <w:r w:rsidRPr="009B4CED">
        <w:t>Biomorgi, J., Haddou, M., Oliveros, E., Maurette, M.-T., Benoit-Marquié, F., 2010. Coupling of Adsorption on Zeolite and V-UV Irradiation for the Treatment of VOC Containing Air Streams: Effect of TiO</w:t>
      </w:r>
      <w:r w:rsidRPr="00143167">
        <w:rPr>
          <w:vertAlign w:val="subscript"/>
        </w:rPr>
        <w:t xml:space="preserve">2 </w:t>
      </w:r>
      <w:r w:rsidRPr="009B4CED">
        <w:t xml:space="preserve">on the VOC Degradation Efficiency. Journal of Advanced Oxidation Technologies 13. </w:t>
      </w:r>
    </w:p>
    <w:p w14:paraId="0D27B9F6" w14:textId="7F5FB517" w:rsidR="009B4CED" w:rsidRPr="009B4CED" w:rsidRDefault="009B4CED" w:rsidP="00921AE1">
      <w:pPr>
        <w:pStyle w:val="CETReferencetext"/>
      </w:pPr>
      <w:r w:rsidRPr="00EC5AC2">
        <w:t xml:space="preserve">Bourgeois, P.-A., </w:t>
      </w:r>
      <w:proofErr w:type="spellStart"/>
      <w:r w:rsidRPr="00EC5AC2">
        <w:t>Puzenat</w:t>
      </w:r>
      <w:proofErr w:type="spellEnd"/>
      <w:r w:rsidRPr="00EC5AC2">
        <w:t xml:space="preserve">, E., </w:t>
      </w:r>
      <w:proofErr w:type="spellStart"/>
      <w:r w:rsidRPr="00EC5AC2">
        <w:t>Peruchon</w:t>
      </w:r>
      <w:proofErr w:type="spellEnd"/>
      <w:r w:rsidRPr="00EC5AC2">
        <w:t xml:space="preserve">, L., </w:t>
      </w:r>
      <w:proofErr w:type="spellStart"/>
      <w:r w:rsidRPr="00EC5AC2">
        <w:t>Simonet</w:t>
      </w:r>
      <w:proofErr w:type="spellEnd"/>
      <w:r w:rsidRPr="00EC5AC2">
        <w:t xml:space="preserve">, F., Chevalier, D., </w:t>
      </w:r>
      <w:proofErr w:type="spellStart"/>
      <w:r w:rsidRPr="00EC5AC2">
        <w:t>Deflin</w:t>
      </w:r>
      <w:proofErr w:type="spellEnd"/>
      <w:r w:rsidRPr="00EC5AC2">
        <w:t xml:space="preserve">, E., </w:t>
      </w:r>
      <w:proofErr w:type="spellStart"/>
      <w:r w:rsidRPr="00EC5AC2">
        <w:t>Brochier</w:t>
      </w:r>
      <w:proofErr w:type="spellEnd"/>
      <w:r w:rsidRPr="00EC5AC2">
        <w:t xml:space="preserve">, C., Guillard, C., 2012. </w:t>
      </w:r>
      <w:r w:rsidRPr="009B4CED">
        <w:t>Characterization of a new photocatalytic textile for formaldehyde removal from indoor air. Applied Catalysis B: Environmental 128, 171–178.</w:t>
      </w:r>
    </w:p>
    <w:p w14:paraId="483A8B5F" w14:textId="77777777" w:rsidR="008A2BE3" w:rsidRDefault="009B4CED" w:rsidP="00921AE1">
      <w:pPr>
        <w:pStyle w:val="CETReferencetext"/>
      </w:pPr>
      <w:r w:rsidRPr="009B4CED">
        <w:t xml:space="preserve">DEGALLAIX, M.-C., 2017. Air cleaning devices: A growing market polluted by confusing communication-certified </w:t>
      </w:r>
    </w:p>
    <w:p w14:paraId="4815D175" w14:textId="7849F4A0" w:rsidR="009B4CED" w:rsidRPr="009B4CED" w:rsidRDefault="009B4CED" w:rsidP="00921AE1">
      <w:pPr>
        <w:pStyle w:val="CETReferencetext"/>
      </w:pPr>
      <w:r w:rsidRPr="009B4CED">
        <w:t>performances for air cleaners. Rehva journal 49–51.</w:t>
      </w:r>
    </w:p>
    <w:p w14:paraId="08114D19" w14:textId="19BB7C3A" w:rsidR="009B4CED" w:rsidRPr="009B4CED" w:rsidRDefault="009B4CED" w:rsidP="00921AE1">
      <w:pPr>
        <w:pStyle w:val="CETReferencetext"/>
      </w:pPr>
      <w:r w:rsidRPr="009B4CED">
        <w:t>Derakhshan-Nejad, A., Rangkooy, H.A., Cheraghi, M., Yengejeh, R.J., 2020. Removal of ethyl benzene vapor pollutant from the air using TiO</w:t>
      </w:r>
      <w:r w:rsidRPr="00143167">
        <w:rPr>
          <w:vertAlign w:val="subscript"/>
        </w:rPr>
        <w:t>2</w:t>
      </w:r>
      <w:r w:rsidRPr="009B4CED">
        <w:t xml:space="preserve"> nanoparticles immobilized on the ZSM-5 zeolite under UVradiation in lab scale. J Environ Health Sci Engineer 18, 201–209.</w:t>
      </w:r>
    </w:p>
    <w:p w14:paraId="1AC77886" w14:textId="0C90A1A9" w:rsidR="009B4CED" w:rsidRPr="009B4CED" w:rsidRDefault="009B4CED" w:rsidP="00921AE1">
      <w:pPr>
        <w:pStyle w:val="CETReferencetext"/>
      </w:pPr>
      <w:r w:rsidRPr="009B4CED">
        <w:t>Haghighi, P., Haghighat, F., 2024. TiO</w:t>
      </w:r>
      <w:r w:rsidRPr="00143167">
        <w:rPr>
          <w:vertAlign w:val="subscript"/>
        </w:rPr>
        <w:t>2</w:t>
      </w:r>
      <w:r w:rsidRPr="009B4CED">
        <w:t xml:space="preserve">-based photocatalytic oxidation process for indoor air VOCs removal: A comprehensive review. Building and Environment 249, 111108. </w:t>
      </w:r>
    </w:p>
    <w:p w14:paraId="7167683F" w14:textId="77777777" w:rsidR="009B4CED" w:rsidRPr="009B4CED" w:rsidRDefault="009B4CED" w:rsidP="00921AE1">
      <w:pPr>
        <w:pStyle w:val="CETReferencetext"/>
      </w:pPr>
      <w:r w:rsidRPr="009B4CED">
        <w:t>Jr, G.M., Lienert, J., Jr, J.I.K., 2010. Formaldehyde Exposure and Asthma in Children: A Systematic Review. Environmental Health Perspectives 118.</w:t>
      </w:r>
    </w:p>
    <w:p w14:paraId="2717223D" w14:textId="7EF623A8" w:rsidR="009B4CED" w:rsidRPr="009B4CED" w:rsidRDefault="009B4CED" w:rsidP="00921AE1">
      <w:pPr>
        <w:pStyle w:val="CETReferencetext"/>
      </w:pPr>
      <w:r w:rsidRPr="009B4CED">
        <w:t>Langmuir, I., 1918. THE ADSORPTION OF GASES ON PLANE SURFACES OF GLASS, MICA AND PLATINUM. J. Am. Chem. Soc. 40, 1361–1403.</w:t>
      </w:r>
    </w:p>
    <w:p w14:paraId="3D89409F" w14:textId="69B65BF2" w:rsidR="009B4CED" w:rsidRPr="009B4CED" w:rsidRDefault="009B4CED" w:rsidP="00921AE1">
      <w:pPr>
        <w:pStyle w:val="CETReferencetext"/>
      </w:pPr>
      <w:r w:rsidRPr="009B4CED">
        <w:t>Liu, R.F., Li, W.B., Peng, A.Y., 2018. A facile preparation of TiO</w:t>
      </w:r>
      <w:r w:rsidRPr="00143167">
        <w:rPr>
          <w:vertAlign w:val="subscript"/>
        </w:rPr>
        <w:t>2</w:t>
      </w:r>
      <w:r w:rsidRPr="009B4CED">
        <w:t xml:space="preserve">/ACF with C Ti bond and abundant hydroxyls and its enhanced photocatalytic activity for formaldehyde removal. Applied Surface Science 427, 608–616. </w:t>
      </w:r>
    </w:p>
    <w:p w14:paraId="5580F205" w14:textId="0080A02B" w:rsidR="009B4CED" w:rsidRPr="008A2BE3" w:rsidRDefault="009B4CED" w:rsidP="00921AE1">
      <w:pPr>
        <w:pStyle w:val="CETReferencetext"/>
        <w:rPr>
          <w:lang w:val="fr-FR"/>
        </w:rPr>
      </w:pPr>
      <w:r w:rsidRPr="009B4CED">
        <w:t xml:space="preserve">Luengas, A., Barona, A., Hort, C., Gallastegui, G., Platel, V., Elias, A., 2015. A review of indoor air treatment technologies. </w:t>
      </w:r>
      <w:proofErr w:type="spellStart"/>
      <w:r w:rsidRPr="008A2BE3">
        <w:rPr>
          <w:lang w:val="fr-FR"/>
        </w:rPr>
        <w:t>Rev</w:t>
      </w:r>
      <w:proofErr w:type="spellEnd"/>
      <w:r w:rsidRPr="008A2BE3">
        <w:rPr>
          <w:lang w:val="fr-FR"/>
        </w:rPr>
        <w:t xml:space="preserve"> Environ </w:t>
      </w:r>
      <w:proofErr w:type="spellStart"/>
      <w:r w:rsidRPr="008A2BE3">
        <w:rPr>
          <w:lang w:val="fr-FR"/>
        </w:rPr>
        <w:t>Sci</w:t>
      </w:r>
      <w:proofErr w:type="spellEnd"/>
      <w:r w:rsidRPr="008A2BE3">
        <w:rPr>
          <w:lang w:val="fr-FR"/>
        </w:rPr>
        <w:t xml:space="preserve"> </w:t>
      </w:r>
      <w:proofErr w:type="spellStart"/>
      <w:r w:rsidRPr="008A2BE3">
        <w:rPr>
          <w:lang w:val="fr-FR"/>
        </w:rPr>
        <w:t>Biotechnol</w:t>
      </w:r>
      <w:proofErr w:type="spellEnd"/>
      <w:r w:rsidRPr="008A2BE3">
        <w:rPr>
          <w:lang w:val="fr-FR"/>
        </w:rPr>
        <w:t xml:space="preserve"> 14, 499–522. </w:t>
      </w:r>
    </w:p>
    <w:p w14:paraId="4ED196FD" w14:textId="15ED06BC" w:rsidR="009B4CED" w:rsidRPr="009B4CED" w:rsidRDefault="009B4CED" w:rsidP="00921AE1">
      <w:pPr>
        <w:pStyle w:val="CETReferencetext"/>
      </w:pPr>
      <w:r w:rsidRPr="001F6A51">
        <w:rPr>
          <w:lang w:val="fr-FR"/>
        </w:rPr>
        <w:t xml:space="preserve">Yang, X., Yi, H., Tang, X., Zhao, S., Yang, Z., Ma, Y., Feng, T., Cui, X., 2018. </w:t>
      </w:r>
      <w:r w:rsidRPr="009B4CED">
        <w:t>Behaviors and kinetics of toluene adsorption</w:t>
      </w:r>
      <w:r w:rsidRPr="009B4CED">
        <w:rPr>
          <w:rFonts w:ascii="Cambria Math" w:hAnsi="Cambria Math" w:cs="Cambria Math"/>
        </w:rPr>
        <w:t>‐</w:t>
      </w:r>
      <w:r w:rsidRPr="009B4CED">
        <w:t>desorption on activated carbons with varying pore structure. Journal of Environmental Sciences 67, 104</w:t>
      </w:r>
      <w:r w:rsidRPr="009B4CED">
        <w:rPr>
          <w:rFonts w:cs="Arial"/>
        </w:rPr>
        <w:t>–</w:t>
      </w:r>
      <w:r w:rsidRPr="009B4CED">
        <w:t>114.</w:t>
      </w:r>
    </w:p>
    <w:p w14:paraId="599A3456" w14:textId="3CDE91CE" w:rsidR="009B4CED" w:rsidRPr="009B4CED" w:rsidRDefault="009B4CED" w:rsidP="00921AE1">
      <w:pPr>
        <w:pStyle w:val="CETReferencetext"/>
      </w:pPr>
      <w:r w:rsidRPr="008A2BE3">
        <w:rPr>
          <w:lang w:val="en-US"/>
        </w:rPr>
        <w:t xml:space="preserve">Zhang, J., </w:t>
      </w:r>
      <w:proofErr w:type="spellStart"/>
      <w:r w:rsidRPr="008A2BE3">
        <w:rPr>
          <w:lang w:val="en-US"/>
        </w:rPr>
        <w:t>Vasei</w:t>
      </w:r>
      <w:proofErr w:type="spellEnd"/>
      <w:r w:rsidRPr="008A2BE3">
        <w:rPr>
          <w:lang w:val="en-US"/>
        </w:rPr>
        <w:t xml:space="preserve">, M., Sang, Y., Liu, H., </w:t>
      </w:r>
      <w:proofErr w:type="spellStart"/>
      <w:r w:rsidRPr="008A2BE3">
        <w:rPr>
          <w:lang w:val="en-US"/>
        </w:rPr>
        <w:t>Claverie</w:t>
      </w:r>
      <w:proofErr w:type="spellEnd"/>
      <w:r w:rsidRPr="008A2BE3">
        <w:rPr>
          <w:lang w:val="en-US"/>
        </w:rPr>
        <w:t xml:space="preserve">, J.P., 2016. </w:t>
      </w:r>
      <w:r w:rsidRPr="009B4CED">
        <w:t>TiO</w:t>
      </w:r>
      <w:r w:rsidRPr="009B4CED">
        <w:rPr>
          <w:vertAlign w:val="subscript"/>
        </w:rPr>
        <w:t>2</w:t>
      </w:r>
      <w:r w:rsidRPr="009B4CED">
        <w:t xml:space="preserve"> @Carbon Photocatalysts: The Effect of Carbon Thickness on Catalysis. ACS Appl. Mater. Interfaces 8, 1903–1912. </w:t>
      </w:r>
    </w:p>
    <w:p w14:paraId="0BD6AB93" w14:textId="3CB34C5E" w:rsidR="009B4CED" w:rsidRPr="008A2BE3" w:rsidRDefault="009B4CED" w:rsidP="00921AE1">
      <w:pPr>
        <w:pStyle w:val="CETReferencetext"/>
        <w:rPr>
          <w:lang w:val="pl-PL"/>
        </w:rPr>
      </w:pPr>
      <w:r w:rsidRPr="009B4CED">
        <w:t xml:space="preserve">Zhou, Xihe, Zhou, Xiang, Wang, C., Zhou, H., 2023. Environmental and human health impacts of volatile organic compounds: A perspective review. </w:t>
      </w:r>
      <w:r w:rsidRPr="008A2BE3">
        <w:rPr>
          <w:lang w:val="pl-PL"/>
        </w:rPr>
        <w:t xml:space="preserve">Chemosphere 313, 137489. </w:t>
      </w:r>
    </w:p>
    <w:p w14:paraId="4580E232" w14:textId="54C8A268" w:rsidR="009B4CED" w:rsidRPr="006F287F" w:rsidRDefault="009B4CED" w:rsidP="00921AE1">
      <w:pPr>
        <w:pStyle w:val="CETReferencetext"/>
        <w:rPr>
          <w:lang w:val="fr-FR"/>
        </w:rPr>
      </w:pPr>
      <w:r w:rsidRPr="006F287F">
        <w:rPr>
          <w:lang w:val="pl-PL"/>
        </w:rPr>
        <w:t xml:space="preserve">Zou, W., Gao, B., Ok, Y.S., Dong, L., 2019. </w:t>
      </w:r>
      <w:r w:rsidRPr="009B4CED">
        <w:t xml:space="preserve">Integrated adsorption and photocatalytic degradation of volatile organic compounds (VOCs) using carbon-based nanocomposites: A critical review. </w:t>
      </w:r>
      <w:r w:rsidRPr="006F287F">
        <w:rPr>
          <w:lang w:val="fr-FR"/>
        </w:rPr>
        <w:t xml:space="preserve">Chemosphere 218, 845–859. </w:t>
      </w:r>
    </w:p>
    <w:p w14:paraId="007C3EAD" w14:textId="06669368" w:rsidR="001141DF" w:rsidRDefault="00B226E6" w:rsidP="001141DF">
      <w:pPr>
        <w:pStyle w:val="CETReferencetext"/>
      </w:pPr>
      <w:r>
        <w:fldChar w:fldCharType="end"/>
      </w:r>
    </w:p>
    <w:p w14:paraId="6AA79B2F" w14:textId="77777777" w:rsidR="00485C98" w:rsidRDefault="00485C98" w:rsidP="001141DF">
      <w:pPr>
        <w:pStyle w:val="CETReferencetext"/>
        <w:ind w:left="0" w:firstLine="0"/>
        <w:rPr>
          <w:lang w:val="fr-FR"/>
        </w:rPr>
      </w:pPr>
    </w:p>
    <w:p w14:paraId="73457582" w14:textId="77777777" w:rsidR="001141DF" w:rsidRDefault="001141DF" w:rsidP="001141DF">
      <w:pPr>
        <w:pStyle w:val="CETReferencetext"/>
        <w:ind w:left="0" w:firstLine="0"/>
        <w:rPr>
          <w:lang w:val="fr-FR"/>
        </w:rPr>
      </w:pPr>
    </w:p>
    <w:p w14:paraId="1690666B" w14:textId="77777777" w:rsidR="001141DF" w:rsidRPr="001F6A51" w:rsidRDefault="001141DF" w:rsidP="001141DF">
      <w:pPr>
        <w:pStyle w:val="CETReferencetext"/>
        <w:ind w:left="0" w:firstLine="0"/>
        <w:rPr>
          <w:lang w:val="fr-FR"/>
        </w:rPr>
      </w:pPr>
    </w:p>
    <w:sectPr w:rsidR="001141DF" w:rsidRPr="001F6A51"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C5ACB" w14:textId="77777777" w:rsidR="004A65C3" w:rsidRDefault="004A65C3" w:rsidP="004F5E36">
      <w:r>
        <w:separator/>
      </w:r>
    </w:p>
  </w:endnote>
  <w:endnote w:type="continuationSeparator" w:id="0">
    <w:p w14:paraId="596FF8AE" w14:textId="77777777" w:rsidR="004A65C3" w:rsidRDefault="004A65C3"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C5531" w14:textId="77777777" w:rsidR="004A65C3" w:rsidRDefault="004A65C3" w:rsidP="004F5E36">
      <w:r>
        <w:separator/>
      </w:r>
    </w:p>
  </w:footnote>
  <w:footnote w:type="continuationSeparator" w:id="0">
    <w:p w14:paraId="3DD78264" w14:textId="77777777" w:rsidR="004A65C3" w:rsidRDefault="004A65C3"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8AF15E"/>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DBB5F03"/>
    <w:multiLevelType w:val="hybridMultilevel"/>
    <w:tmpl w:val="A736364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eau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9"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1"/>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8"/>
  </w:num>
  <w:num w:numId="13" w16cid:durableId="695733619">
    <w:abstractNumId w:val="13"/>
  </w:num>
  <w:num w:numId="14" w16cid:durableId="145903400">
    <w:abstractNumId w:val="19"/>
  </w:num>
  <w:num w:numId="15" w16cid:durableId="19162326">
    <w:abstractNumId w:val="21"/>
  </w:num>
  <w:num w:numId="16" w16cid:durableId="1977102699">
    <w:abstractNumId w:val="20"/>
  </w:num>
  <w:num w:numId="17" w16cid:durableId="860774865">
    <w:abstractNumId w:val="12"/>
  </w:num>
  <w:num w:numId="18" w16cid:durableId="313221457">
    <w:abstractNumId w:val="13"/>
    <w:lvlOverride w:ilvl="0">
      <w:startOverride w:val="1"/>
    </w:lvlOverride>
  </w:num>
  <w:num w:numId="19" w16cid:durableId="534971577">
    <w:abstractNumId w:val="17"/>
  </w:num>
  <w:num w:numId="20" w16cid:durableId="1150947773">
    <w:abstractNumId w:val="16"/>
  </w:num>
  <w:num w:numId="21" w16cid:durableId="124660497">
    <w:abstractNumId w:val="15"/>
  </w:num>
  <w:num w:numId="22" w16cid:durableId="2099861471">
    <w:abstractNumId w:val="14"/>
  </w:num>
  <w:num w:numId="23" w16cid:durableId="21466575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3148D"/>
    <w:rsid w:val="00031EEC"/>
    <w:rsid w:val="0005061B"/>
    <w:rsid w:val="00051566"/>
    <w:rsid w:val="000517BE"/>
    <w:rsid w:val="000546F8"/>
    <w:rsid w:val="000562A9"/>
    <w:rsid w:val="00057A36"/>
    <w:rsid w:val="00061B6E"/>
    <w:rsid w:val="00062A9A"/>
    <w:rsid w:val="00063088"/>
    <w:rsid w:val="0006360F"/>
    <w:rsid w:val="00065058"/>
    <w:rsid w:val="00086C39"/>
    <w:rsid w:val="000A03B2"/>
    <w:rsid w:val="000A38EE"/>
    <w:rsid w:val="000C04F1"/>
    <w:rsid w:val="000D0268"/>
    <w:rsid w:val="000D34BE"/>
    <w:rsid w:val="000D7C30"/>
    <w:rsid w:val="000E102F"/>
    <w:rsid w:val="000E36F1"/>
    <w:rsid w:val="000E37E7"/>
    <w:rsid w:val="000E3A73"/>
    <w:rsid w:val="000E414A"/>
    <w:rsid w:val="000E71CD"/>
    <w:rsid w:val="000E75FD"/>
    <w:rsid w:val="000F093C"/>
    <w:rsid w:val="000F16AD"/>
    <w:rsid w:val="000F1DD7"/>
    <w:rsid w:val="000F787B"/>
    <w:rsid w:val="00102974"/>
    <w:rsid w:val="001141DF"/>
    <w:rsid w:val="0011780E"/>
    <w:rsid w:val="0012091F"/>
    <w:rsid w:val="00124AAD"/>
    <w:rsid w:val="00125A95"/>
    <w:rsid w:val="00126BC2"/>
    <w:rsid w:val="001308B6"/>
    <w:rsid w:val="001310E6"/>
    <w:rsid w:val="0013121F"/>
    <w:rsid w:val="00131FE6"/>
    <w:rsid w:val="0013263F"/>
    <w:rsid w:val="001331DF"/>
    <w:rsid w:val="00134DE4"/>
    <w:rsid w:val="00135FF0"/>
    <w:rsid w:val="0014034D"/>
    <w:rsid w:val="00140FDB"/>
    <w:rsid w:val="00140FE3"/>
    <w:rsid w:val="00143167"/>
    <w:rsid w:val="00144D16"/>
    <w:rsid w:val="0014535C"/>
    <w:rsid w:val="00150E59"/>
    <w:rsid w:val="00152DE3"/>
    <w:rsid w:val="00164CF9"/>
    <w:rsid w:val="00165E3D"/>
    <w:rsid w:val="001667A6"/>
    <w:rsid w:val="00184AD6"/>
    <w:rsid w:val="00192BCF"/>
    <w:rsid w:val="001A0154"/>
    <w:rsid w:val="001A3226"/>
    <w:rsid w:val="001A4AF7"/>
    <w:rsid w:val="001B0349"/>
    <w:rsid w:val="001B1E93"/>
    <w:rsid w:val="001B65C1"/>
    <w:rsid w:val="001B6C43"/>
    <w:rsid w:val="001C260F"/>
    <w:rsid w:val="001C33F1"/>
    <w:rsid w:val="001C684B"/>
    <w:rsid w:val="001D0CFB"/>
    <w:rsid w:val="001D21AF"/>
    <w:rsid w:val="001D4E18"/>
    <w:rsid w:val="001D53FC"/>
    <w:rsid w:val="001D6725"/>
    <w:rsid w:val="001D72A8"/>
    <w:rsid w:val="001E1BAB"/>
    <w:rsid w:val="001F42A5"/>
    <w:rsid w:val="001F6A51"/>
    <w:rsid w:val="001F7B9D"/>
    <w:rsid w:val="00201C93"/>
    <w:rsid w:val="002040CA"/>
    <w:rsid w:val="0021613E"/>
    <w:rsid w:val="002165E1"/>
    <w:rsid w:val="00216AF4"/>
    <w:rsid w:val="00221DC3"/>
    <w:rsid w:val="002224B4"/>
    <w:rsid w:val="002235A4"/>
    <w:rsid w:val="0022507D"/>
    <w:rsid w:val="00243C85"/>
    <w:rsid w:val="002447EF"/>
    <w:rsid w:val="00246AD1"/>
    <w:rsid w:val="00251550"/>
    <w:rsid w:val="00255AFC"/>
    <w:rsid w:val="002613C6"/>
    <w:rsid w:val="002615FB"/>
    <w:rsid w:val="00262F80"/>
    <w:rsid w:val="00263B05"/>
    <w:rsid w:val="00270D8A"/>
    <w:rsid w:val="0027221A"/>
    <w:rsid w:val="00275B61"/>
    <w:rsid w:val="00280FAF"/>
    <w:rsid w:val="00282656"/>
    <w:rsid w:val="00294CB0"/>
    <w:rsid w:val="00295568"/>
    <w:rsid w:val="002965B7"/>
    <w:rsid w:val="002968BC"/>
    <w:rsid w:val="00296B83"/>
    <w:rsid w:val="002A3D7A"/>
    <w:rsid w:val="002B0AED"/>
    <w:rsid w:val="002B2EE0"/>
    <w:rsid w:val="002B4015"/>
    <w:rsid w:val="002B4457"/>
    <w:rsid w:val="002B78CE"/>
    <w:rsid w:val="002C1ECA"/>
    <w:rsid w:val="002C2FB6"/>
    <w:rsid w:val="002D7F47"/>
    <w:rsid w:val="002E5FA7"/>
    <w:rsid w:val="002F3309"/>
    <w:rsid w:val="003008CE"/>
    <w:rsid w:val="003009B7"/>
    <w:rsid w:val="00300E56"/>
    <w:rsid w:val="0030152C"/>
    <w:rsid w:val="0030469C"/>
    <w:rsid w:val="00307D42"/>
    <w:rsid w:val="00314F2B"/>
    <w:rsid w:val="003219EF"/>
    <w:rsid w:val="00321CA6"/>
    <w:rsid w:val="00322453"/>
    <w:rsid w:val="00323763"/>
    <w:rsid w:val="00323C5F"/>
    <w:rsid w:val="00330AA7"/>
    <w:rsid w:val="00331E47"/>
    <w:rsid w:val="00334C09"/>
    <w:rsid w:val="00354785"/>
    <w:rsid w:val="003723D4"/>
    <w:rsid w:val="00381905"/>
    <w:rsid w:val="00384CC8"/>
    <w:rsid w:val="003871FD"/>
    <w:rsid w:val="00391419"/>
    <w:rsid w:val="003A1E30"/>
    <w:rsid w:val="003A2829"/>
    <w:rsid w:val="003A34C6"/>
    <w:rsid w:val="003A7D1C"/>
    <w:rsid w:val="003B1BD7"/>
    <w:rsid w:val="003B304B"/>
    <w:rsid w:val="003B3146"/>
    <w:rsid w:val="003C0142"/>
    <w:rsid w:val="003C0DCA"/>
    <w:rsid w:val="003C3F2D"/>
    <w:rsid w:val="003D1E02"/>
    <w:rsid w:val="003D514C"/>
    <w:rsid w:val="003E1135"/>
    <w:rsid w:val="003F015E"/>
    <w:rsid w:val="00400414"/>
    <w:rsid w:val="00405CE0"/>
    <w:rsid w:val="0041446B"/>
    <w:rsid w:val="00417120"/>
    <w:rsid w:val="0043024C"/>
    <w:rsid w:val="00432316"/>
    <w:rsid w:val="0044071E"/>
    <w:rsid w:val="0044329C"/>
    <w:rsid w:val="00453E24"/>
    <w:rsid w:val="004546E2"/>
    <w:rsid w:val="00457456"/>
    <w:rsid w:val="004577FE"/>
    <w:rsid w:val="00457B9C"/>
    <w:rsid w:val="0046164A"/>
    <w:rsid w:val="004628D2"/>
    <w:rsid w:val="00462DCD"/>
    <w:rsid w:val="004648AD"/>
    <w:rsid w:val="004703A9"/>
    <w:rsid w:val="004760DE"/>
    <w:rsid w:val="004763D7"/>
    <w:rsid w:val="004766F2"/>
    <w:rsid w:val="00483640"/>
    <w:rsid w:val="00485C98"/>
    <w:rsid w:val="00493117"/>
    <w:rsid w:val="004A004E"/>
    <w:rsid w:val="004A24CF"/>
    <w:rsid w:val="004A2F33"/>
    <w:rsid w:val="004A5E57"/>
    <w:rsid w:val="004A60D2"/>
    <w:rsid w:val="004A65C3"/>
    <w:rsid w:val="004C1002"/>
    <w:rsid w:val="004C194F"/>
    <w:rsid w:val="004C3D1D"/>
    <w:rsid w:val="004C3D84"/>
    <w:rsid w:val="004C4AE4"/>
    <w:rsid w:val="004C4F05"/>
    <w:rsid w:val="004C549D"/>
    <w:rsid w:val="004C7913"/>
    <w:rsid w:val="004D3AA8"/>
    <w:rsid w:val="004E4DD6"/>
    <w:rsid w:val="004F5E36"/>
    <w:rsid w:val="00507B47"/>
    <w:rsid w:val="00507BEF"/>
    <w:rsid w:val="00507CC9"/>
    <w:rsid w:val="005119A5"/>
    <w:rsid w:val="005278B7"/>
    <w:rsid w:val="00532016"/>
    <w:rsid w:val="005346C8"/>
    <w:rsid w:val="00535168"/>
    <w:rsid w:val="00543E7D"/>
    <w:rsid w:val="00547A68"/>
    <w:rsid w:val="00550D01"/>
    <w:rsid w:val="005531C9"/>
    <w:rsid w:val="00562778"/>
    <w:rsid w:val="005658A5"/>
    <w:rsid w:val="00570C43"/>
    <w:rsid w:val="00592274"/>
    <w:rsid w:val="00595009"/>
    <w:rsid w:val="005B08AB"/>
    <w:rsid w:val="005B2110"/>
    <w:rsid w:val="005B3CE1"/>
    <w:rsid w:val="005B61E6"/>
    <w:rsid w:val="005C77E1"/>
    <w:rsid w:val="005D668A"/>
    <w:rsid w:val="005D6A2F"/>
    <w:rsid w:val="005E0592"/>
    <w:rsid w:val="005E1A82"/>
    <w:rsid w:val="005E5A77"/>
    <w:rsid w:val="005E6C4F"/>
    <w:rsid w:val="005E794C"/>
    <w:rsid w:val="005F0A28"/>
    <w:rsid w:val="005F0E5E"/>
    <w:rsid w:val="005F7FCB"/>
    <w:rsid w:val="00600535"/>
    <w:rsid w:val="00604638"/>
    <w:rsid w:val="00610CD6"/>
    <w:rsid w:val="00620DEE"/>
    <w:rsid w:val="00621F92"/>
    <w:rsid w:val="0062280A"/>
    <w:rsid w:val="006231E1"/>
    <w:rsid w:val="00625157"/>
    <w:rsid w:val="00625639"/>
    <w:rsid w:val="00631B33"/>
    <w:rsid w:val="0064184D"/>
    <w:rsid w:val="006422CC"/>
    <w:rsid w:val="00651D18"/>
    <w:rsid w:val="00660E3E"/>
    <w:rsid w:val="00662E74"/>
    <w:rsid w:val="00665734"/>
    <w:rsid w:val="00680C23"/>
    <w:rsid w:val="00683E23"/>
    <w:rsid w:val="00693766"/>
    <w:rsid w:val="006A3281"/>
    <w:rsid w:val="006B4888"/>
    <w:rsid w:val="006C2E45"/>
    <w:rsid w:val="006C359C"/>
    <w:rsid w:val="006C5579"/>
    <w:rsid w:val="006D6E8B"/>
    <w:rsid w:val="006D7209"/>
    <w:rsid w:val="006E737D"/>
    <w:rsid w:val="006F287F"/>
    <w:rsid w:val="00702E48"/>
    <w:rsid w:val="00707DD1"/>
    <w:rsid w:val="00713191"/>
    <w:rsid w:val="007132C6"/>
    <w:rsid w:val="00713973"/>
    <w:rsid w:val="00720A24"/>
    <w:rsid w:val="00722DA2"/>
    <w:rsid w:val="00723D40"/>
    <w:rsid w:val="00732386"/>
    <w:rsid w:val="0073514D"/>
    <w:rsid w:val="007417F1"/>
    <w:rsid w:val="007447F3"/>
    <w:rsid w:val="0075499F"/>
    <w:rsid w:val="00757450"/>
    <w:rsid w:val="00760849"/>
    <w:rsid w:val="007617CC"/>
    <w:rsid w:val="0076258A"/>
    <w:rsid w:val="007633A6"/>
    <w:rsid w:val="007661C8"/>
    <w:rsid w:val="0077098D"/>
    <w:rsid w:val="00780D35"/>
    <w:rsid w:val="00785BF9"/>
    <w:rsid w:val="007931FA"/>
    <w:rsid w:val="00793295"/>
    <w:rsid w:val="007977DC"/>
    <w:rsid w:val="007A4861"/>
    <w:rsid w:val="007A7BBA"/>
    <w:rsid w:val="007B0C50"/>
    <w:rsid w:val="007B48F9"/>
    <w:rsid w:val="007C1A43"/>
    <w:rsid w:val="007C23EC"/>
    <w:rsid w:val="007D0951"/>
    <w:rsid w:val="007E0C44"/>
    <w:rsid w:val="007F27C8"/>
    <w:rsid w:val="0080013E"/>
    <w:rsid w:val="0080184B"/>
    <w:rsid w:val="00806090"/>
    <w:rsid w:val="00812FE8"/>
    <w:rsid w:val="00813288"/>
    <w:rsid w:val="00815010"/>
    <w:rsid w:val="008168FC"/>
    <w:rsid w:val="00816D5F"/>
    <w:rsid w:val="00822024"/>
    <w:rsid w:val="00823B81"/>
    <w:rsid w:val="00830996"/>
    <w:rsid w:val="008314D7"/>
    <w:rsid w:val="008345F1"/>
    <w:rsid w:val="00841458"/>
    <w:rsid w:val="00843DF5"/>
    <w:rsid w:val="00851062"/>
    <w:rsid w:val="00856F01"/>
    <w:rsid w:val="00865B07"/>
    <w:rsid w:val="008667EA"/>
    <w:rsid w:val="0087637F"/>
    <w:rsid w:val="00884035"/>
    <w:rsid w:val="00892AD5"/>
    <w:rsid w:val="008A1512"/>
    <w:rsid w:val="008A2BE3"/>
    <w:rsid w:val="008C2DB2"/>
    <w:rsid w:val="008D1658"/>
    <w:rsid w:val="008D32B9"/>
    <w:rsid w:val="008D433B"/>
    <w:rsid w:val="008D4A16"/>
    <w:rsid w:val="008E209A"/>
    <w:rsid w:val="008E45BC"/>
    <w:rsid w:val="008E566E"/>
    <w:rsid w:val="00900B1D"/>
    <w:rsid w:val="0090161A"/>
    <w:rsid w:val="00901EB6"/>
    <w:rsid w:val="009041F8"/>
    <w:rsid w:val="00904C62"/>
    <w:rsid w:val="00910B79"/>
    <w:rsid w:val="00921AE1"/>
    <w:rsid w:val="00921E13"/>
    <w:rsid w:val="00922BA8"/>
    <w:rsid w:val="00922EA9"/>
    <w:rsid w:val="00924DAC"/>
    <w:rsid w:val="00927058"/>
    <w:rsid w:val="0093040C"/>
    <w:rsid w:val="00932CF6"/>
    <w:rsid w:val="0093520D"/>
    <w:rsid w:val="00942750"/>
    <w:rsid w:val="009450CE"/>
    <w:rsid w:val="009459BB"/>
    <w:rsid w:val="00947179"/>
    <w:rsid w:val="0095164B"/>
    <w:rsid w:val="00952F75"/>
    <w:rsid w:val="00954090"/>
    <w:rsid w:val="009573E7"/>
    <w:rsid w:val="00961F56"/>
    <w:rsid w:val="00963730"/>
    <w:rsid w:val="00963E05"/>
    <w:rsid w:val="00964A45"/>
    <w:rsid w:val="00967843"/>
    <w:rsid w:val="00967D54"/>
    <w:rsid w:val="00967DD5"/>
    <w:rsid w:val="00971028"/>
    <w:rsid w:val="00993B84"/>
    <w:rsid w:val="00996483"/>
    <w:rsid w:val="00996F5A"/>
    <w:rsid w:val="009977EC"/>
    <w:rsid w:val="009B041A"/>
    <w:rsid w:val="009B4CED"/>
    <w:rsid w:val="009C37C3"/>
    <w:rsid w:val="009C7C86"/>
    <w:rsid w:val="009D2FF7"/>
    <w:rsid w:val="009D60F3"/>
    <w:rsid w:val="009E7884"/>
    <w:rsid w:val="009E788A"/>
    <w:rsid w:val="009F0E08"/>
    <w:rsid w:val="009F1F68"/>
    <w:rsid w:val="00A03A28"/>
    <w:rsid w:val="00A079AE"/>
    <w:rsid w:val="00A1462A"/>
    <w:rsid w:val="00A1763D"/>
    <w:rsid w:val="00A17CEC"/>
    <w:rsid w:val="00A20E2A"/>
    <w:rsid w:val="00A26CBB"/>
    <w:rsid w:val="00A27EF0"/>
    <w:rsid w:val="00A35317"/>
    <w:rsid w:val="00A35388"/>
    <w:rsid w:val="00A373DE"/>
    <w:rsid w:val="00A42361"/>
    <w:rsid w:val="00A50B20"/>
    <w:rsid w:val="00A51390"/>
    <w:rsid w:val="00A55E68"/>
    <w:rsid w:val="00A6092D"/>
    <w:rsid w:val="00A60D13"/>
    <w:rsid w:val="00A7223D"/>
    <w:rsid w:val="00A72745"/>
    <w:rsid w:val="00A76EFC"/>
    <w:rsid w:val="00A85F7F"/>
    <w:rsid w:val="00A87D50"/>
    <w:rsid w:val="00A91010"/>
    <w:rsid w:val="00A97F29"/>
    <w:rsid w:val="00AA5B42"/>
    <w:rsid w:val="00AA702E"/>
    <w:rsid w:val="00AA7D26"/>
    <w:rsid w:val="00AB0964"/>
    <w:rsid w:val="00AB1591"/>
    <w:rsid w:val="00AB3CCC"/>
    <w:rsid w:val="00AB5011"/>
    <w:rsid w:val="00AC0A70"/>
    <w:rsid w:val="00AC5CCD"/>
    <w:rsid w:val="00AC7368"/>
    <w:rsid w:val="00AC74C3"/>
    <w:rsid w:val="00AD0278"/>
    <w:rsid w:val="00AD16B9"/>
    <w:rsid w:val="00AD3E86"/>
    <w:rsid w:val="00AE377D"/>
    <w:rsid w:val="00AF0EBA"/>
    <w:rsid w:val="00AF1B30"/>
    <w:rsid w:val="00B02C8A"/>
    <w:rsid w:val="00B02E61"/>
    <w:rsid w:val="00B07D2C"/>
    <w:rsid w:val="00B12BE0"/>
    <w:rsid w:val="00B13236"/>
    <w:rsid w:val="00B17FBD"/>
    <w:rsid w:val="00B226E6"/>
    <w:rsid w:val="00B315A6"/>
    <w:rsid w:val="00B31813"/>
    <w:rsid w:val="00B33365"/>
    <w:rsid w:val="00B37C17"/>
    <w:rsid w:val="00B57B36"/>
    <w:rsid w:val="00B57E6F"/>
    <w:rsid w:val="00B8686D"/>
    <w:rsid w:val="00B93F69"/>
    <w:rsid w:val="00B9441D"/>
    <w:rsid w:val="00BB1DDC"/>
    <w:rsid w:val="00BB3CB0"/>
    <w:rsid w:val="00BB66C5"/>
    <w:rsid w:val="00BC30C9"/>
    <w:rsid w:val="00BC4437"/>
    <w:rsid w:val="00BC51B1"/>
    <w:rsid w:val="00BC7734"/>
    <w:rsid w:val="00BD077D"/>
    <w:rsid w:val="00BE3E58"/>
    <w:rsid w:val="00C01616"/>
    <w:rsid w:val="00C0162B"/>
    <w:rsid w:val="00C068ED"/>
    <w:rsid w:val="00C208E9"/>
    <w:rsid w:val="00C22E0C"/>
    <w:rsid w:val="00C345B1"/>
    <w:rsid w:val="00C3683D"/>
    <w:rsid w:val="00C40142"/>
    <w:rsid w:val="00C40DB8"/>
    <w:rsid w:val="00C52C3C"/>
    <w:rsid w:val="00C57182"/>
    <w:rsid w:val="00C57863"/>
    <w:rsid w:val="00C57F87"/>
    <w:rsid w:val="00C640AF"/>
    <w:rsid w:val="00C655FD"/>
    <w:rsid w:val="00C75407"/>
    <w:rsid w:val="00C759E3"/>
    <w:rsid w:val="00C80D68"/>
    <w:rsid w:val="00C838A8"/>
    <w:rsid w:val="00C841C6"/>
    <w:rsid w:val="00C84EA2"/>
    <w:rsid w:val="00C86D1B"/>
    <w:rsid w:val="00C870A8"/>
    <w:rsid w:val="00C94434"/>
    <w:rsid w:val="00C96D66"/>
    <w:rsid w:val="00C97D94"/>
    <w:rsid w:val="00CA0D75"/>
    <w:rsid w:val="00CA1C95"/>
    <w:rsid w:val="00CA5A9C"/>
    <w:rsid w:val="00CB4A48"/>
    <w:rsid w:val="00CB7B4D"/>
    <w:rsid w:val="00CC4C20"/>
    <w:rsid w:val="00CD3517"/>
    <w:rsid w:val="00CD5C46"/>
    <w:rsid w:val="00CD5FE2"/>
    <w:rsid w:val="00CE6D4D"/>
    <w:rsid w:val="00CE7C68"/>
    <w:rsid w:val="00CF782F"/>
    <w:rsid w:val="00D02B4C"/>
    <w:rsid w:val="00D02E74"/>
    <w:rsid w:val="00D040C4"/>
    <w:rsid w:val="00D05611"/>
    <w:rsid w:val="00D203FE"/>
    <w:rsid w:val="00D20AD1"/>
    <w:rsid w:val="00D21CA2"/>
    <w:rsid w:val="00D21CB3"/>
    <w:rsid w:val="00D2582C"/>
    <w:rsid w:val="00D26885"/>
    <w:rsid w:val="00D26C09"/>
    <w:rsid w:val="00D46B7E"/>
    <w:rsid w:val="00D57C84"/>
    <w:rsid w:val="00D6057D"/>
    <w:rsid w:val="00D627B7"/>
    <w:rsid w:val="00D6564E"/>
    <w:rsid w:val="00D6627B"/>
    <w:rsid w:val="00D71640"/>
    <w:rsid w:val="00D7738E"/>
    <w:rsid w:val="00D77C61"/>
    <w:rsid w:val="00D836C5"/>
    <w:rsid w:val="00D84576"/>
    <w:rsid w:val="00D84AAC"/>
    <w:rsid w:val="00D96D0F"/>
    <w:rsid w:val="00DA1399"/>
    <w:rsid w:val="00DA24C6"/>
    <w:rsid w:val="00DA4574"/>
    <w:rsid w:val="00DA4D7B"/>
    <w:rsid w:val="00DD069F"/>
    <w:rsid w:val="00DD1F0E"/>
    <w:rsid w:val="00DD271C"/>
    <w:rsid w:val="00DE264A"/>
    <w:rsid w:val="00DF5072"/>
    <w:rsid w:val="00E02D18"/>
    <w:rsid w:val="00E041E7"/>
    <w:rsid w:val="00E07000"/>
    <w:rsid w:val="00E11A03"/>
    <w:rsid w:val="00E16A47"/>
    <w:rsid w:val="00E23CA1"/>
    <w:rsid w:val="00E31514"/>
    <w:rsid w:val="00E409A8"/>
    <w:rsid w:val="00E43EB0"/>
    <w:rsid w:val="00E47D61"/>
    <w:rsid w:val="00E50C12"/>
    <w:rsid w:val="00E65B91"/>
    <w:rsid w:val="00E7209D"/>
    <w:rsid w:val="00E724E1"/>
    <w:rsid w:val="00E72EAD"/>
    <w:rsid w:val="00E77223"/>
    <w:rsid w:val="00E8528B"/>
    <w:rsid w:val="00E85B94"/>
    <w:rsid w:val="00E92D48"/>
    <w:rsid w:val="00E978D0"/>
    <w:rsid w:val="00EA4613"/>
    <w:rsid w:val="00EA7F91"/>
    <w:rsid w:val="00EB1523"/>
    <w:rsid w:val="00EC0E49"/>
    <w:rsid w:val="00EC101F"/>
    <w:rsid w:val="00EC1D9F"/>
    <w:rsid w:val="00EC508E"/>
    <w:rsid w:val="00EC5AC2"/>
    <w:rsid w:val="00EC6CF1"/>
    <w:rsid w:val="00ED2863"/>
    <w:rsid w:val="00EE0131"/>
    <w:rsid w:val="00EE17B0"/>
    <w:rsid w:val="00EE3A54"/>
    <w:rsid w:val="00EF06D9"/>
    <w:rsid w:val="00EF0982"/>
    <w:rsid w:val="00F3049E"/>
    <w:rsid w:val="00F30C64"/>
    <w:rsid w:val="00F32554"/>
    <w:rsid w:val="00F32BA2"/>
    <w:rsid w:val="00F32CDB"/>
    <w:rsid w:val="00F3348F"/>
    <w:rsid w:val="00F346DD"/>
    <w:rsid w:val="00F37280"/>
    <w:rsid w:val="00F41EE4"/>
    <w:rsid w:val="00F45878"/>
    <w:rsid w:val="00F5305A"/>
    <w:rsid w:val="00F565FE"/>
    <w:rsid w:val="00F61A9B"/>
    <w:rsid w:val="00F63A70"/>
    <w:rsid w:val="00F63D8C"/>
    <w:rsid w:val="00F744C3"/>
    <w:rsid w:val="00F7534E"/>
    <w:rsid w:val="00F93EDF"/>
    <w:rsid w:val="00FA1802"/>
    <w:rsid w:val="00FA21D0"/>
    <w:rsid w:val="00FA5F5F"/>
    <w:rsid w:val="00FB0A96"/>
    <w:rsid w:val="00FB730C"/>
    <w:rsid w:val="00FC2695"/>
    <w:rsid w:val="00FC3E03"/>
    <w:rsid w:val="00FC3FC1"/>
    <w:rsid w:val="00FC43D5"/>
    <w:rsid w:val="00FD4E3E"/>
    <w:rsid w:val="00FF6CE9"/>
    <w:rsid w:val="00FF741C"/>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C838A8"/>
    <w:pPr>
      <w:tabs>
        <w:tab w:val="right" w:pos="7100"/>
      </w:tabs>
      <w:spacing w:after="0" w:line="264" w:lineRule="auto"/>
      <w:jc w:val="both"/>
    </w:pPr>
    <w:rPr>
      <w:rFonts w:ascii="Arial" w:eastAsia="Times New Roman" w:hAnsi="Arial" w:cs="Times New Roman"/>
      <w:sz w:val="18"/>
      <w:szCs w:val="20"/>
      <w:lang w:val="en-GB"/>
    </w:rPr>
  </w:style>
  <w:style w:type="paragraph" w:styleId="Titre1">
    <w:name w:val="heading 1"/>
    <w:basedOn w:val="CETHeading1"/>
    <w:next w:val="Normal"/>
    <w:link w:val="Titre1Car"/>
    <w:uiPriority w:val="9"/>
    <w:rsid w:val="004F5E36"/>
    <w:pPr>
      <w:tabs>
        <w:tab w:val="clear" w:pos="360"/>
        <w:tab w:val="right" w:pos="7100"/>
      </w:tabs>
      <w:jc w:val="both"/>
      <w:outlineLvl w:val="0"/>
    </w:pPr>
    <w:rPr>
      <w:lang w:val="en-GB"/>
    </w:rPr>
  </w:style>
  <w:style w:type="paragraph" w:styleId="Titre2">
    <w:name w:val="heading 2"/>
    <w:basedOn w:val="Normal"/>
    <w:next w:val="Normal"/>
    <w:link w:val="Titre2C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eausimple1">
    <w:name w:val="Table Simple 1"/>
    <w:basedOn w:val="Tableau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Marquedecommentaire">
    <w:name w:val="annotation reference"/>
    <w:basedOn w:val="Policepardfaut"/>
    <w:uiPriority w:val="99"/>
    <w:semiHidden/>
    <w:unhideWhenUsed/>
    <w:rsid w:val="004577FE"/>
    <w:rPr>
      <w:sz w:val="16"/>
      <w:szCs w:val="16"/>
    </w:rPr>
  </w:style>
  <w:style w:type="paragraph" w:styleId="Textedebulles">
    <w:name w:val="Balloon Text"/>
    <w:basedOn w:val="Normal"/>
    <w:link w:val="TextedebullesCar"/>
    <w:uiPriority w:val="99"/>
    <w:semiHidden/>
    <w:unhideWhenUsed/>
    <w:rsid w:val="000D34BE"/>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D34BE"/>
    <w:rPr>
      <w:rFonts w:ascii="Tahoma" w:hAnsi="Tahoma" w:cs="Tahoma"/>
      <w:sz w:val="16"/>
      <w:szCs w:val="16"/>
    </w:rPr>
  </w:style>
  <w:style w:type="paragraph" w:styleId="Bibliographie">
    <w:name w:val="Bibliography"/>
    <w:basedOn w:val="CETReferencetext"/>
    <w:uiPriority w:val="37"/>
    <w:unhideWhenUsed/>
    <w:rsid w:val="00631B33"/>
    <w:pPr>
      <w:spacing w:line="240" w:lineRule="auto"/>
      <w:ind w:left="720" w:hanging="720"/>
    </w:pPr>
  </w:style>
  <w:style w:type="paragraph" w:styleId="Corpsdetexte2">
    <w:name w:val="Body Text 2"/>
    <w:basedOn w:val="Normal"/>
    <w:link w:val="Corpsdetexte2Car"/>
    <w:uiPriority w:val="99"/>
    <w:semiHidden/>
    <w:unhideWhenUsed/>
    <w:rsid w:val="0003148D"/>
    <w:pPr>
      <w:spacing w:after="120" w:line="480" w:lineRule="auto"/>
    </w:pPr>
  </w:style>
  <w:style w:type="character" w:customStyle="1" w:styleId="Corpsdetexte2Car">
    <w:name w:val="Corps de texte 2 Car"/>
    <w:basedOn w:val="Policepardfaut"/>
    <w:link w:val="Corpsdetexte2"/>
    <w:uiPriority w:val="99"/>
    <w:semiHidden/>
    <w:rsid w:val="0003148D"/>
  </w:style>
  <w:style w:type="paragraph" w:styleId="Corpsdetexte3">
    <w:name w:val="Body Text 3"/>
    <w:basedOn w:val="Normal"/>
    <w:link w:val="Corpsdetexte3Car"/>
    <w:uiPriority w:val="99"/>
    <w:semiHidden/>
    <w:unhideWhenUsed/>
    <w:rsid w:val="0003148D"/>
    <w:pPr>
      <w:spacing w:after="120"/>
    </w:pPr>
    <w:rPr>
      <w:sz w:val="16"/>
      <w:szCs w:val="16"/>
    </w:rPr>
  </w:style>
  <w:style w:type="character" w:customStyle="1" w:styleId="Corpsdetexte3Car">
    <w:name w:val="Corps de texte 3 Car"/>
    <w:basedOn w:val="Policepardfaut"/>
    <w:link w:val="Corpsdetexte3"/>
    <w:uiPriority w:val="99"/>
    <w:semiHidden/>
    <w:rsid w:val="0003148D"/>
    <w:rPr>
      <w:sz w:val="16"/>
      <w:szCs w:val="16"/>
    </w:rPr>
  </w:style>
  <w:style w:type="paragraph" w:styleId="Corpsdetexte">
    <w:name w:val="Body Text"/>
    <w:basedOn w:val="Normal"/>
    <w:link w:val="CorpsdetexteCar"/>
    <w:uiPriority w:val="99"/>
    <w:semiHidden/>
    <w:unhideWhenUsed/>
    <w:rsid w:val="0003148D"/>
    <w:pPr>
      <w:spacing w:after="120"/>
    </w:pPr>
  </w:style>
  <w:style w:type="character" w:customStyle="1" w:styleId="CorpsdetexteCar">
    <w:name w:val="Corps de texte Car"/>
    <w:basedOn w:val="Policepardfaut"/>
    <w:link w:val="Corpsdetexte"/>
    <w:uiPriority w:val="99"/>
    <w:semiHidden/>
    <w:rsid w:val="0003148D"/>
  </w:style>
  <w:style w:type="paragraph" w:styleId="Date">
    <w:name w:val="Date"/>
    <w:basedOn w:val="Normal"/>
    <w:next w:val="Normal"/>
    <w:link w:val="DateCar"/>
    <w:uiPriority w:val="99"/>
    <w:semiHidden/>
    <w:unhideWhenUsed/>
    <w:rsid w:val="0003148D"/>
  </w:style>
  <w:style w:type="character" w:customStyle="1" w:styleId="DateCar">
    <w:name w:val="Date Car"/>
    <w:basedOn w:val="Policepardfaut"/>
    <w:link w:val="Date"/>
    <w:uiPriority w:val="99"/>
    <w:semiHidden/>
    <w:rsid w:val="0003148D"/>
  </w:style>
  <w:style w:type="paragraph" w:styleId="Lgende">
    <w:name w:val="caption"/>
    <w:basedOn w:val="Normal"/>
    <w:next w:val="Normal"/>
    <w:uiPriority w:val="35"/>
    <w:semiHidden/>
    <w:unhideWhenUsed/>
    <w:qFormat/>
    <w:rsid w:val="0003148D"/>
    <w:pPr>
      <w:spacing w:line="240" w:lineRule="auto"/>
    </w:pPr>
    <w:rPr>
      <w:b/>
      <w:bCs/>
      <w:color w:val="4F81BD" w:themeColor="accent1"/>
      <w:szCs w:val="18"/>
    </w:rPr>
  </w:style>
  <w:style w:type="paragraph" w:styleId="Liste">
    <w:name w:val="List"/>
    <w:basedOn w:val="Normal"/>
    <w:uiPriority w:val="99"/>
    <w:semiHidden/>
    <w:unhideWhenUsed/>
    <w:rsid w:val="0003148D"/>
    <w:pPr>
      <w:ind w:left="283" w:hanging="283"/>
      <w:contextualSpacing/>
    </w:pPr>
  </w:style>
  <w:style w:type="paragraph" w:styleId="Liste2">
    <w:name w:val="List 2"/>
    <w:basedOn w:val="Normal"/>
    <w:uiPriority w:val="99"/>
    <w:semiHidden/>
    <w:unhideWhenUsed/>
    <w:rsid w:val="0003148D"/>
    <w:pPr>
      <w:ind w:left="566" w:hanging="283"/>
      <w:contextualSpacing/>
    </w:pPr>
  </w:style>
  <w:style w:type="paragraph" w:styleId="Liste3">
    <w:name w:val="List 3"/>
    <w:basedOn w:val="Normal"/>
    <w:uiPriority w:val="99"/>
    <w:semiHidden/>
    <w:unhideWhenUsed/>
    <w:rsid w:val="0003148D"/>
    <w:pPr>
      <w:ind w:left="849" w:hanging="283"/>
      <w:contextualSpacing/>
    </w:pPr>
  </w:style>
  <w:style w:type="paragraph" w:styleId="Liste4">
    <w:name w:val="List 4"/>
    <w:basedOn w:val="Normal"/>
    <w:uiPriority w:val="99"/>
    <w:semiHidden/>
    <w:unhideWhenUsed/>
    <w:rsid w:val="0003148D"/>
    <w:pPr>
      <w:ind w:left="1132" w:hanging="283"/>
      <w:contextualSpacing/>
    </w:pPr>
  </w:style>
  <w:style w:type="paragraph" w:styleId="Liste5">
    <w:name w:val="List 5"/>
    <w:basedOn w:val="Normal"/>
    <w:uiPriority w:val="99"/>
    <w:semiHidden/>
    <w:unhideWhenUsed/>
    <w:rsid w:val="0003148D"/>
    <w:pPr>
      <w:ind w:left="1415" w:hanging="283"/>
      <w:contextualSpacing/>
    </w:pPr>
  </w:style>
  <w:style w:type="paragraph" w:styleId="Listecontinue">
    <w:name w:val="List Continue"/>
    <w:basedOn w:val="Normal"/>
    <w:uiPriority w:val="99"/>
    <w:semiHidden/>
    <w:unhideWhenUsed/>
    <w:rsid w:val="0003148D"/>
    <w:pPr>
      <w:spacing w:after="120"/>
      <w:ind w:left="283"/>
      <w:contextualSpacing/>
    </w:pPr>
  </w:style>
  <w:style w:type="paragraph" w:styleId="Listecontinue2">
    <w:name w:val="List Continue 2"/>
    <w:basedOn w:val="Normal"/>
    <w:uiPriority w:val="99"/>
    <w:semiHidden/>
    <w:unhideWhenUsed/>
    <w:rsid w:val="0003148D"/>
    <w:pPr>
      <w:spacing w:after="120"/>
      <w:ind w:left="566"/>
      <w:contextualSpacing/>
    </w:pPr>
  </w:style>
  <w:style w:type="paragraph" w:styleId="Listecontinue3">
    <w:name w:val="List Continue 3"/>
    <w:basedOn w:val="Normal"/>
    <w:uiPriority w:val="99"/>
    <w:semiHidden/>
    <w:unhideWhenUsed/>
    <w:rsid w:val="0003148D"/>
    <w:pPr>
      <w:spacing w:after="120"/>
      <w:ind w:left="849"/>
      <w:contextualSpacing/>
    </w:pPr>
  </w:style>
  <w:style w:type="paragraph" w:styleId="Listecontinue4">
    <w:name w:val="List Continue 4"/>
    <w:basedOn w:val="Normal"/>
    <w:uiPriority w:val="99"/>
    <w:semiHidden/>
    <w:unhideWhenUsed/>
    <w:rsid w:val="0003148D"/>
    <w:pPr>
      <w:spacing w:after="120"/>
      <w:ind w:left="1132"/>
      <w:contextualSpacing/>
    </w:pPr>
  </w:style>
  <w:style w:type="paragraph" w:styleId="Listecontinue5">
    <w:name w:val="List Continue 5"/>
    <w:basedOn w:val="Normal"/>
    <w:uiPriority w:val="99"/>
    <w:semiHidden/>
    <w:unhideWhenUsed/>
    <w:rsid w:val="0003148D"/>
    <w:pPr>
      <w:spacing w:after="120"/>
      <w:ind w:left="1415"/>
      <w:contextualSpacing/>
    </w:pPr>
  </w:style>
  <w:style w:type="paragraph" w:styleId="Signature">
    <w:name w:val="Signature"/>
    <w:basedOn w:val="Normal"/>
    <w:link w:val="SignatureCar"/>
    <w:uiPriority w:val="99"/>
    <w:semiHidden/>
    <w:unhideWhenUsed/>
    <w:rsid w:val="0003148D"/>
    <w:pPr>
      <w:spacing w:line="240" w:lineRule="auto"/>
      <w:ind w:left="4252"/>
    </w:pPr>
  </w:style>
  <w:style w:type="character" w:customStyle="1" w:styleId="SignatureCar">
    <w:name w:val="Signature Car"/>
    <w:basedOn w:val="Policepardfaut"/>
    <w:link w:val="Signature"/>
    <w:uiPriority w:val="99"/>
    <w:semiHidden/>
    <w:rsid w:val="0003148D"/>
  </w:style>
  <w:style w:type="paragraph" w:styleId="Signaturelectronique">
    <w:name w:val="E-mail Signature"/>
    <w:basedOn w:val="Normal"/>
    <w:link w:val="SignaturelectroniqueCar"/>
    <w:uiPriority w:val="99"/>
    <w:semiHidden/>
    <w:unhideWhenUsed/>
    <w:rsid w:val="0003148D"/>
    <w:pPr>
      <w:spacing w:line="240" w:lineRule="auto"/>
    </w:pPr>
  </w:style>
  <w:style w:type="character" w:customStyle="1" w:styleId="SignaturelectroniqueCar">
    <w:name w:val="Signature électronique Car"/>
    <w:basedOn w:val="Policepardfaut"/>
    <w:link w:val="Signaturelectronique"/>
    <w:uiPriority w:val="99"/>
    <w:semiHidden/>
    <w:rsid w:val="0003148D"/>
  </w:style>
  <w:style w:type="paragraph" w:styleId="Salutations">
    <w:name w:val="Salutation"/>
    <w:basedOn w:val="Normal"/>
    <w:next w:val="Normal"/>
    <w:link w:val="SalutationsCar"/>
    <w:uiPriority w:val="99"/>
    <w:semiHidden/>
    <w:unhideWhenUsed/>
    <w:rsid w:val="0003148D"/>
  </w:style>
  <w:style w:type="character" w:customStyle="1" w:styleId="SalutationsCar">
    <w:name w:val="Salutations Car"/>
    <w:basedOn w:val="Policepardfaut"/>
    <w:link w:val="Salutations"/>
    <w:uiPriority w:val="99"/>
    <w:semiHidden/>
    <w:rsid w:val="0003148D"/>
  </w:style>
  <w:style w:type="paragraph" w:styleId="Formuledepolitesse">
    <w:name w:val="Closing"/>
    <w:basedOn w:val="Normal"/>
    <w:link w:val="FormuledepolitesseCar"/>
    <w:uiPriority w:val="99"/>
    <w:semiHidden/>
    <w:unhideWhenUsed/>
    <w:rsid w:val="0003148D"/>
    <w:pPr>
      <w:spacing w:line="240" w:lineRule="auto"/>
      <w:ind w:left="4252"/>
    </w:pPr>
  </w:style>
  <w:style w:type="character" w:customStyle="1" w:styleId="FormuledepolitesseCar">
    <w:name w:val="Formule de politesse Car"/>
    <w:basedOn w:val="Policepardfaut"/>
    <w:link w:val="Formuledepolitesse"/>
    <w:uiPriority w:val="99"/>
    <w:semiHidden/>
    <w:rsid w:val="0003148D"/>
  </w:style>
  <w:style w:type="paragraph" w:styleId="Index1">
    <w:name w:val="index 1"/>
    <w:basedOn w:val="Normal"/>
    <w:next w:val="Normal"/>
    <w:autoRedefine/>
    <w:uiPriority w:val="99"/>
    <w:semiHidden/>
    <w:unhideWhenUsed/>
    <w:rsid w:val="0003148D"/>
    <w:pPr>
      <w:spacing w:line="240" w:lineRule="auto"/>
      <w:ind w:left="220" w:hanging="220"/>
    </w:pPr>
  </w:style>
  <w:style w:type="paragraph" w:styleId="Index2">
    <w:name w:val="index 2"/>
    <w:basedOn w:val="Normal"/>
    <w:next w:val="Normal"/>
    <w:autoRedefine/>
    <w:uiPriority w:val="99"/>
    <w:semiHidden/>
    <w:unhideWhenUsed/>
    <w:rsid w:val="0003148D"/>
    <w:pPr>
      <w:spacing w:line="240" w:lineRule="auto"/>
      <w:ind w:left="440" w:hanging="220"/>
    </w:pPr>
  </w:style>
  <w:style w:type="paragraph" w:styleId="Index3">
    <w:name w:val="index 3"/>
    <w:basedOn w:val="Normal"/>
    <w:next w:val="Normal"/>
    <w:autoRedefine/>
    <w:uiPriority w:val="99"/>
    <w:semiHidden/>
    <w:unhideWhenUsed/>
    <w:rsid w:val="0003148D"/>
    <w:pPr>
      <w:spacing w:line="240" w:lineRule="auto"/>
      <w:ind w:left="660" w:hanging="220"/>
    </w:pPr>
  </w:style>
  <w:style w:type="paragraph" w:styleId="Index4">
    <w:name w:val="index 4"/>
    <w:basedOn w:val="Normal"/>
    <w:next w:val="Normal"/>
    <w:autoRedefine/>
    <w:uiPriority w:val="99"/>
    <w:semiHidden/>
    <w:unhideWhenUsed/>
    <w:rsid w:val="0003148D"/>
    <w:pPr>
      <w:spacing w:line="240" w:lineRule="auto"/>
      <w:ind w:left="880" w:hanging="220"/>
    </w:pPr>
  </w:style>
  <w:style w:type="paragraph" w:styleId="Index5">
    <w:name w:val="index 5"/>
    <w:basedOn w:val="Normal"/>
    <w:next w:val="Normal"/>
    <w:autoRedefine/>
    <w:uiPriority w:val="99"/>
    <w:semiHidden/>
    <w:unhideWhenUsed/>
    <w:rsid w:val="0003148D"/>
    <w:pPr>
      <w:spacing w:line="240" w:lineRule="auto"/>
      <w:ind w:left="1100" w:hanging="220"/>
    </w:pPr>
  </w:style>
  <w:style w:type="paragraph" w:styleId="Index6">
    <w:name w:val="index 6"/>
    <w:basedOn w:val="Normal"/>
    <w:next w:val="Normal"/>
    <w:autoRedefine/>
    <w:uiPriority w:val="99"/>
    <w:semiHidden/>
    <w:unhideWhenUsed/>
    <w:rsid w:val="0003148D"/>
    <w:pPr>
      <w:spacing w:line="240" w:lineRule="auto"/>
      <w:ind w:left="1320" w:hanging="220"/>
    </w:pPr>
  </w:style>
  <w:style w:type="paragraph" w:styleId="Index7">
    <w:name w:val="index 7"/>
    <w:basedOn w:val="Normal"/>
    <w:next w:val="Normal"/>
    <w:autoRedefine/>
    <w:uiPriority w:val="99"/>
    <w:semiHidden/>
    <w:unhideWhenUsed/>
    <w:rsid w:val="0003148D"/>
    <w:pPr>
      <w:spacing w:line="240" w:lineRule="auto"/>
      <w:ind w:left="1540" w:hanging="220"/>
    </w:pPr>
  </w:style>
  <w:style w:type="paragraph" w:styleId="Index8">
    <w:name w:val="index 8"/>
    <w:basedOn w:val="Normal"/>
    <w:next w:val="Normal"/>
    <w:autoRedefine/>
    <w:uiPriority w:val="99"/>
    <w:semiHidden/>
    <w:unhideWhenUsed/>
    <w:rsid w:val="0003148D"/>
    <w:pPr>
      <w:spacing w:line="240" w:lineRule="auto"/>
      <w:ind w:left="1760" w:hanging="220"/>
    </w:pPr>
  </w:style>
  <w:style w:type="paragraph" w:styleId="Index9">
    <w:name w:val="index 9"/>
    <w:basedOn w:val="Normal"/>
    <w:next w:val="Normal"/>
    <w:autoRedefine/>
    <w:uiPriority w:val="99"/>
    <w:semiHidden/>
    <w:unhideWhenUsed/>
    <w:rsid w:val="0003148D"/>
    <w:pPr>
      <w:spacing w:line="240" w:lineRule="auto"/>
      <w:ind w:left="1980" w:hanging="220"/>
    </w:pPr>
  </w:style>
  <w:style w:type="paragraph" w:styleId="Tabledesillustrations">
    <w:name w:val="table of figures"/>
    <w:basedOn w:val="Normal"/>
    <w:next w:val="Normal"/>
    <w:uiPriority w:val="99"/>
    <w:semiHidden/>
    <w:unhideWhenUsed/>
    <w:rsid w:val="0003148D"/>
  </w:style>
  <w:style w:type="paragraph" w:styleId="Tabledesrfrencesjuridiques">
    <w:name w:val="table of authorities"/>
    <w:basedOn w:val="Normal"/>
    <w:next w:val="Normal"/>
    <w:uiPriority w:val="99"/>
    <w:semiHidden/>
    <w:unhideWhenUsed/>
    <w:rsid w:val="0003148D"/>
    <w:pPr>
      <w:ind w:left="220" w:hanging="220"/>
    </w:pPr>
  </w:style>
  <w:style w:type="paragraph" w:styleId="Adressedestinataire">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dresseHTML">
    <w:name w:val="HTML Address"/>
    <w:basedOn w:val="Normal"/>
    <w:link w:val="AdresseHTMLCar"/>
    <w:uiPriority w:val="99"/>
    <w:semiHidden/>
    <w:unhideWhenUsed/>
    <w:rsid w:val="0003148D"/>
    <w:pPr>
      <w:spacing w:line="240" w:lineRule="auto"/>
    </w:pPr>
    <w:rPr>
      <w:i/>
      <w:iCs/>
    </w:rPr>
  </w:style>
  <w:style w:type="character" w:customStyle="1" w:styleId="AdresseHTMLCar">
    <w:name w:val="Adresse HTML Car"/>
    <w:basedOn w:val="Policepardfaut"/>
    <w:link w:val="AdresseHTML"/>
    <w:uiPriority w:val="99"/>
    <w:semiHidden/>
    <w:rsid w:val="0003148D"/>
    <w:rPr>
      <w:i/>
      <w:iCs/>
    </w:rPr>
  </w:style>
  <w:style w:type="paragraph" w:styleId="Adresseexpditeur">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En-ttedemessage">
    <w:name w:val="Message Header"/>
    <w:basedOn w:val="Normal"/>
    <w:link w:val="En-ttedemessageC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03148D"/>
    <w:rPr>
      <w:rFonts w:asciiTheme="majorHAnsi" w:eastAsiaTheme="majorEastAsia" w:hAnsiTheme="majorHAnsi" w:cstheme="majorBidi"/>
      <w:sz w:val="24"/>
      <w:szCs w:val="24"/>
      <w:shd w:val="pct20" w:color="auto" w:fill="auto"/>
    </w:rPr>
  </w:style>
  <w:style w:type="paragraph" w:styleId="Titredenote">
    <w:name w:val="Note Heading"/>
    <w:basedOn w:val="Normal"/>
    <w:next w:val="Normal"/>
    <w:link w:val="TitredenoteCar"/>
    <w:uiPriority w:val="99"/>
    <w:semiHidden/>
    <w:unhideWhenUsed/>
    <w:rsid w:val="0003148D"/>
    <w:pPr>
      <w:spacing w:line="240" w:lineRule="auto"/>
    </w:pPr>
  </w:style>
  <w:style w:type="character" w:customStyle="1" w:styleId="TitredenoteCar">
    <w:name w:val="Titre de note Car"/>
    <w:basedOn w:val="Policepardfaut"/>
    <w:link w:val="Titredenote"/>
    <w:uiPriority w:val="99"/>
    <w:semiHidden/>
    <w:rsid w:val="0003148D"/>
  </w:style>
  <w:style w:type="paragraph" w:styleId="Explorateurdedocuments">
    <w:name w:val="Document Map"/>
    <w:basedOn w:val="Normal"/>
    <w:link w:val="ExplorateurdedocumentsCar"/>
    <w:uiPriority w:val="99"/>
    <w:semiHidden/>
    <w:unhideWhenUsed/>
    <w:rsid w:val="0003148D"/>
    <w:pPr>
      <w:spacing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istenumros">
    <w:name w:val="List Number"/>
    <w:basedOn w:val="Normal"/>
    <w:uiPriority w:val="99"/>
    <w:semiHidden/>
    <w:unhideWhenUsed/>
    <w:rsid w:val="0003148D"/>
    <w:pPr>
      <w:numPr>
        <w:numId w:val="2"/>
      </w:numPr>
      <w:contextualSpacing/>
    </w:pPr>
  </w:style>
  <w:style w:type="paragraph" w:styleId="Listenumros2">
    <w:name w:val="List Number 2"/>
    <w:basedOn w:val="Normal"/>
    <w:uiPriority w:val="99"/>
    <w:semiHidden/>
    <w:unhideWhenUsed/>
    <w:rsid w:val="0003148D"/>
    <w:pPr>
      <w:numPr>
        <w:numId w:val="3"/>
      </w:numPr>
      <w:contextualSpacing/>
    </w:pPr>
  </w:style>
  <w:style w:type="paragraph" w:styleId="Listenumros3">
    <w:name w:val="List Number 3"/>
    <w:basedOn w:val="Normal"/>
    <w:uiPriority w:val="99"/>
    <w:semiHidden/>
    <w:unhideWhenUsed/>
    <w:rsid w:val="0003148D"/>
    <w:pPr>
      <w:numPr>
        <w:numId w:val="4"/>
      </w:numPr>
      <w:contextualSpacing/>
    </w:pPr>
  </w:style>
  <w:style w:type="paragraph" w:styleId="Listenumros4">
    <w:name w:val="List Number 4"/>
    <w:basedOn w:val="Normal"/>
    <w:uiPriority w:val="99"/>
    <w:semiHidden/>
    <w:unhideWhenUsed/>
    <w:rsid w:val="0003148D"/>
    <w:pPr>
      <w:numPr>
        <w:numId w:val="5"/>
      </w:numPr>
      <w:contextualSpacing/>
    </w:pPr>
  </w:style>
  <w:style w:type="paragraph" w:styleId="Listenumros5">
    <w:name w:val="List Number 5"/>
    <w:basedOn w:val="Normal"/>
    <w:uiPriority w:val="99"/>
    <w:semiHidden/>
    <w:unhideWhenUsed/>
    <w:rsid w:val="0003148D"/>
    <w:pPr>
      <w:numPr>
        <w:numId w:val="6"/>
      </w:numPr>
      <w:contextualSpacing/>
    </w:pPr>
  </w:style>
  <w:style w:type="paragraph" w:styleId="PrformatHTML">
    <w:name w:val="HTML Preformatted"/>
    <w:basedOn w:val="Normal"/>
    <w:link w:val="PrformatHTMLCar"/>
    <w:uiPriority w:val="99"/>
    <w:semiHidden/>
    <w:unhideWhenUsed/>
    <w:rsid w:val="0003148D"/>
    <w:pPr>
      <w:spacing w:line="240" w:lineRule="auto"/>
    </w:pPr>
    <w:rPr>
      <w:rFonts w:ascii="Consolas" w:hAnsi="Consolas" w:cs="Consolas"/>
    </w:rPr>
  </w:style>
  <w:style w:type="character" w:customStyle="1" w:styleId="PrformatHTMLCar">
    <w:name w:val="Préformaté HTML Car"/>
    <w:basedOn w:val="Policepardfaut"/>
    <w:link w:val="PrformatHTML"/>
    <w:uiPriority w:val="99"/>
    <w:semiHidden/>
    <w:rsid w:val="0003148D"/>
    <w:rPr>
      <w:rFonts w:ascii="Consolas" w:hAnsi="Consolas" w:cs="Consolas"/>
      <w:sz w:val="20"/>
      <w:szCs w:val="20"/>
    </w:rPr>
  </w:style>
  <w:style w:type="paragraph" w:styleId="Retrait1religne">
    <w:name w:val="Body Text First Indent"/>
    <w:basedOn w:val="Corpsdetexte"/>
    <w:link w:val="Retrait1religneCar"/>
    <w:uiPriority w:val="99"/>
    <w:semiHidden/>
    <w:unhideWhenUsed/>
    <w:rsid w:val="0003148D"/>
    <w:pPr>
      <w:spacing w:after="200"/>
      <w:ind w:firstLine="360"/>
    </w:pPr>
  </w:style>
  <w:style w:type="character" w:customStyle="1" w:styleId="Retrait1religneCar">
    <w:name w:val="Retrait 1re ligne Car"/>
    <w:basedOn w:val="CorpsdetexteCar"/>
    <w:link w:val="Retrait1religne"/>
    <w:uiPriority w:val="99"/>
    <w:semiHidden/>
    <w:rsid w:val="0003148D"/>
  </w:style>
  <w:style w:type="paragraph" w:styleId="Retraitcorpsdetexte">
    <w:name w:val="Body Text Indent"/>
    <w:basedOn w:val="Normal"/>
    <w:link w:val="RetraitcorpsdetexteCar"/>
    <w:uiPriority w:val="99"/>
    <w:semiHidden/>
    <w:unhideWhenUsed/>
    <w:rsid w:val="0003148D"/>
    <w:pPr>
      <w:spacing w:after="120"/>
      <w:ind w:left="283"/>
    </w:pPr>
  </w:style>
  <w:style w:type="character" w:customStyle="1" w:styleId="RetraitcorpsdetexteCar">
    <w:name w:val="Retrait corps de texte Car"/>
    <w:basedOn w:val="Policepardfaut"/>
    <w:link w:val="Retraitcorpsdetexte"/>
    <w:uiPriority w:val="99"/>
    <w:semiHidden/>
    <w:rsid w:val="0003148D"/>
  </w:style>
  <w:style w:type="paragraph" w:styleId="Retraitcorpset1relig">
    <w:name w:val="Body Text First Indent 2"/>
    <w:basedOn w:val="Retraitcorpsdetexte"/>
    <w:link w:val="Retraitcorpset1religCar"/>
    <w:uiPriority w:val="99"/>
    <w:semiHidden/>
    <w:unhideWhenUsed/>
    <w:rsid w:val="0003148D"/>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03148D"/>
  </w:style>
  <w:style w:type="paragraph" w:styleId="Listepuces">
    <w:name w:val="List Bullet"/>
    <w:basedOn w:val="Normal"/>
    <w:uiPriority w:val="99"/>
    <w:semiHidden/>
    <w:unhideWhenUsed/>
    <w:rsid w:val="0003148D"/>
    <w:pPr>
      <w:numPr>
        <w:numId w:val="7"/>
      </w:numPr>
      <w:contextualSpacing/>
    </w:pPr>
  </w:style>
  <w:style w:type="paragraph" w:styleId="Listepuces2">
    <w:name w:val="List Bullet 2"/>
    <w:basedOn w:val="Normal"/>
    <w:uiPriority w:val="99"/>
    <w:semiHidden/>
    <w:unhideWhenUsed/>
    <w:rsid w:val="0003148D"/>
    <w:pPr>
      <w:numPr>
        <w:numId w:val="8"/>
      </w:numPr>
      <w:contextualSpacing/>
    </w:pPr>
  </w:style>
  <w:style w:type="paragraph" w:styleId="Listepuces3">
    <w:name w:val="List Bullet 3"/>
    <w:basedOn w:val="Normal"/>
    <w:uiPriority w:val="99"/>
    <w:semiHidden/>
    <w:unhideWhenUsed/>
    <w:rsid w:val="0003148D"/>
    <w:pPr>
      <w:numPr>
        <w:numId w:val="9"/>
      </w:numPr>
      <w:contextualSpacing/>
    </w:pPr>
  </w:style>
  <w:style w:type="paragraph" w:styleId="Listepuces4">
    <w:name w:val="List Bullet 4"/>
    <w:basedOn w:val="Normal"/>
    <w:uiPriority w:val="99"/>
    <w:semiHidden/>
    <w:unhideWhenUsed/>
    <w:rsid w:val="0003148D"/>
    <w:pPr>
      <w:numPr>
        <w:numId w:val="10"/>
      </w:numPr>
      <w:contextualSpacing/>
    </w:pPr>
  </w:style>
  <w:style w:type="paragraph" w:styleId="Listepuces5">
    <w:name w:val="List Bullet 5"/>
    <w:basedOn w:val="Normal"/>
    <w:uiPriority w:val="99"/>
    <w:semiHidden/>
    <w:unhideWhenUsed/>
    <w:rsid w:val="0003148D"/>
    <w:pPr>
      <w:numPr>
        <w:numId w:val="11"/>
      </w:numPr>
      <w:contextualSpacing/>
    </w:pPr>
  </w:style>
  <w:style w:type="paragraph" w:styleId="Retraitcorpsdetexte2">
    <w:name w:val="Body Text Indent 2"/>
    <w:basedOn w:val="Normal"/>
    <w:link w:val="Retraitcorpsdetexte2Car"/>
    <w:uiPriority w:val="99"/>
    <w:semiHidden/>
    <w:unhideWhenUsed/>
    <w:rsid w:val="0003148D"/>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03148D"/>
  </w:style>
  <w:style w:type="paragraph" w:styleId="Retraitcorpsdetexte3">
    <w:name w:val="Body Text Indent 3"/>
    <w:basedOn w:val="Normal"/>
    <w:link w:val="Retraitcorpsdetexte3Car"/>
    <w:uiPriority w:val="99"/>
    <w:semiHidden/>
    <w:unhideWhenUsed/>
    <w:rsid w:val="0003148D"/>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03148D"/>
    <w:rPr>
      <w:sz w:val="16"/>
      <w:szCs w:val="16"/>
    </w:rPr>
  </w:style>
  <w:style w:type="paragraph" w:styleId="Retraitnormal">
    <w:name w:val="Normal Indent"/>
    <w:basedOn w:val="Normal"/>
    <w:uiPriority w:val="99"/>
    <w:semiHidden/>
    <w:unhideWhenUsed/>
    <w:rsid w:val="0003148D"/>
    <w:pPr>
      <w:ind w:left="720"/>
    </w:pPr>
  </w:style>
  <w:style w:type="paragraph" w:styleId="Commentaire">
    <w:name w:val="annotation text"/>
    <w:basedOn w:val="Normal"/>
    <w:link w:val="CommentaireCar"/>
    <w:uiPriority w:val="99"/>
    <w:unhideWhenUsed/>
    <w:rsid w:val="0003148D"/>
    <w:pPr>
      <w:spacing w:line="240" w:lineRule="auto"/>
    </w:pPr>
  </w:style>
  <w:style w:type="character" w:customStyle="1" w:styleId="CommentaireCar">
    <w:name w:val="Commentaire Car"/>
    <w:basedOn w:val="Policepardfaut"/>
    <w:link w:val="Commentaire"/>
    <w:uiPriority w:val="99"/>
    <w:rsid w:val="0003148D"/>
    <w:rPr>
      <w:sz w:val="20"/>
      <w:szCs w:val="20"/>
    </w:rPr>
  </w:style>
  <w:style w:type="paragraph" w:styleId="Objetducommentaire">
    <w:name w:val="annotation subject"/>
    <w:basedOn w:val="Commentaire"/>
    <w:next w:val="Commentaire"/>
    <w:link w:val="ObjetducommentaireCar"/>
    <w:uiPriority w:val="99"/>
    <w:semiHidden/>
    <w:unhideWhenUsed/>
    <w:rsid w:val="0003148D"/>
    <w:rPr>
      <w:b/>
      <w:bCs/>
    </w:rPr>
  </w:style>
  <w:style w:type="character" w:customStyle="1" w:styleId="ObjetducommentaireCar">
    <w:name w:val="Objet du commentaire Car"/>
    <w:basedOn w:val="CommentaireCar"/>
    <w:link w:val="Objetducommentaire"/>
    <w:uiPriority w:val="99"/>
    <w:semiHidden/>
    <w:rsid w:val="0003148D"/>
    <w:rPr>
      <w:b/>
      <w:bCs/>
      <w:sz w:val="20"/>
      <w:szCs w:val="20"/>
    </w:rPr>
  </w:style>
  <w:style w:type="paragraph" w:styleId="TM1">
    <w:name w:val="toc 1"/>
    <w:basedOn w:val="Normal"/>
    <w:next w:val="Normal"/>
    <w:autoRedefine/>
    <w:uiPriority w:val="39"/>
    <w:semiHidden/>
    <w:unhideWhenUsed/>
    <w:rsid w:val="0003148D"/>
    <w:pPr>
      <w:spacing w:after="100"/>
    </w:pPr>
  </w:style>
  <w:style w:type="paragraph" w:styleId="TM2">
    <w:name w:val="toc 2"/>
    <w:basedOn w:val="Normal"/>
    <w:next w:val="Normal"/>
    <w:autoRedefine/>
    <w:uiPriority w:val="39"/>
    <w:semiHidden/>
    <w:unhideWhenUsed/>
    <w:rsid w:val="0003148D"/>
    <w:pPr>
      <w:spacing w:after="100"/>
      <w:ind w:left="220"/>
    </w:pPr>
  </w:style>
  <w:style w:type="paragraph" w:styleId="TM3">
    <w:name w:val="toc 3"/>
    <w:basedOn w:val="Normal"/>
    <w:next w:val="Normal"/>
    <w:autoRedefine/>
    <w:uiPriority w:val="39"/>
    <w:semiHidden/>
    <w:unhideWhenUsed/>
    <w:rsid w:val="0003148D"/>
    <w:pPr>
      <w:spacing w:after="100"/>
      <w:ind w:left="440"/>
    </w:pPr>
  </w:style>
  <w:style w:type="paragraph" w:styleId="TM4">
    <w:name w:val="toc 4"/>
    <w:basedOn w:val="Normal"/>
    <w:next w:val="Normal"/>
    <w:autoRedefine/>
    <w:uiPriority w:val="39"/>
    <w:semiHidden/>
    <w:unhideWhenUsed/>
    <w:rsid w:val="0003148D"/>
    <w:pPr>
      <w:spacing w:after="100"/>
      <w:ind w:left="660"/>
    </w:pPr>
  </w:style>
  <w:style w:type="paragraph" w:styleId="TM5">
    <w:name w:val="toc 5"/>
    <w:basedOn w:val="Normal"/>
    <w:next w:val="Normal"/>
    <w:autoRedefine/>
    <w:uiPriority w:val="39"/>
    <w:semiHidden/>
    <w:unhideWhenUsed/>
    <w:rsid w:val="0003148D"/>
    <w:pPr>
      <w:spacing w:after="100"/>
      <w:ind w:left="880"/>
    </w:pPr>
  </w:style>
  <w:style w:type="paragraph" w:styleId="TM6">
    <w:name w:val="toc 6"/>
    <w:basedOn w:val="Normal"/>
    <w:next w:val="Normal"/>
    <w:autoRedefine/>
    <w:uiPriority w:val="39"/>
    <w:semiHidden/>
    <w:unhideWhenUsed/>
    <w:rsid w:val="0003148D"/>
    <w:pPr>
      <w:spacing w:after="100"/>
      <w:ind w:left="1100"/>
    </w:pPr>
  </w:style>
  <w:style w:type="paragraph" w:styleId="TM7">
    <w:name w:val="toc 7"/>
    <w:basedOn w:val="Normal"/>
    <w:next w:val="Normal"/>
    <w:autoRedefine/>
    <w:uiPriority w:val="39"/>
    <w:semiHidden/>
    <w:unhideWhenUsed/>
    <w:rsid w:val="0003148D"/>
    <w:pPr>
      <w:spacing w:after="100"/>
      <w:ind w:left="1320"/>
    </w:pPr>
  </w:style>
  <w:style w:type="paragraph" w:styleId="TM8">
    <w:name w:val="toc 8"/>
    <w:basedOn w:val="Normal"/>
    <w:next w:val="Normal"/>
    <w:autoRedefine/>
    <w:uiPriority w:val="39"/>
    <w:semiHidden/>
    <w:unhideWhenUsed/>
    <w:rsid w:val="0003148D"/>
    <w:pPr>
      <w:spacing w:after="100"/>
      <w:ind w:left="1540"/>
    </w:pPr>
  </w:style>
  <w:style w:type="paragraph" w:styleId="TM9">
    <w:name w:val="toc 9"/>
    <w:basedOn w:val="Normal"/>
    <w:next w:val="Normal"/>
    <w:autoRedefine/>
    <w:uiPriority w:val="39"/>
    <w:semiHidden/>
    <w:unhideWhenUsed/>
    <w:rsid w:val="0003148D"/>
    <w:pPr>
      <w:spacing w:after="100"/>
      <w:ind w:left="1760"/>
    </w:pPr>
  </w:style>
  <w:style w:type="paragraph" w:styleId="Normalcentr">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edemacro">
    <w:name w:val="macro"/>
    <w:link w:val="TextedemacroC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03148D"/>
    <w:rPr>
      <w:rFonts w:ascii="Consolas" w:hAnsi="Consolas" w:cs="Consolas"/>
      <w:sz w:val="20"/>
      <w:szCs w:val="20"/>
    </w:rPr>
  </w:style>
  <w:style w:type="paragraph" w:styleId="Textebrut">
    <w:name w:val="Plain Text"/>
    <w:basedOn w:val="Normal"/>
    <w:link w:val="TextebrutCar"/>
    <w:uiPriority w:val="99"/>
    <w:semiHidden/>
    <w:unhideWhenUsed/>
    <w:rsid w:val="0003148D"/>
    <w:pPr>
      <w:spacing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03148D"/>
    <w:rPr>
      <w:rFonts w:ascii="Consolas" w:hAnsi="Consolas" w:cs="Consolas"/>
      <w:sz w:val="21"/>
      <w:szCs w:val="21"/>
    </w:rPr>
  </w:style>
  <w:style w:type="paragraph" w:styleId="Notedebasdepage">
    <w:name w:val="footnote text"/>
    <w:basedOn w:val="Normal"/>
    <w:link w:val="NotedebasdepageCar"/>
    <w:uiPriority w:val="99"/>
    <w:semiHidden/>
    <w:unhideWhenUsed/>
    <w:rsid w:val="0003148D"/>
    <w:pPr>
      <w:spacing w:line="240" w:lineRule="auto"/>
    </w:pPr>
  </w:style>
  <w:style w:type="character" w:customStyle="1" w:styleId="NotedebasdepageCar">
    <w:name w:val="Note de bas de page Car"/>
    <w:basedOn w:val="Policepardfaut"/>
    <w:link w:val="Notedebasdepage"/>
    <w:uiPriority w:val="99"/>
    <w:semiHidden/>
    <w:rsid w:val="0003148D"/>
    <w:rPr>
      <w:sz w:val="20"/>
      <w:szCs w:val="20"/>
    </w:rPr>
  </w:style>
  <w:style w:type="paragraph" w:styleId="Notedefin">
    <w:name w:val="endnote text"/>
    <w:basedOn w:val="Normal"/>
    <w:link w:val="NotedefinCar"/>
    <w:uiPriority w:val="99"/>
    <w:semiHidden/>
    <w:unhideWhenUsed/>
    <w:rsid w:val="0003148D"/>
    <w:pPr>
      <w:spacing w:line="240" w:lineRule="auto"/>
    </w:pPr>
  </w:style>
  <w:style w:type="character" w:customStyle="1" w:styleId="NotedefinCar">
    <w:name w:val="Note de fin Car"/>
    <w:basedOn w:val="Policepardfaut"/>
    <w:link w:val="Notedefin"/>
    <w:uiPriority w:val="99"/>
    <w:semiHidden/>
    <w:rsid w:val="0003148D"/>
    <w:rPr>
      <w:sz w:val="20"/>
      <w:szCs w:val="20"/>
    </w:rPr>
  </w:style>
  <w:style w:type="character" w:customStyle="1" w:styleId="Titre1Car">
    <w:name w:val="Titre 1 Car"/>
    <w:basedOn w:val="Policepardfaut"/>
    <w:link w:val="Titre1"/>
    <w:uiPriority w:val="9"/>
    <w:rsid w:val="004F5E36"/>
    <w:rPr>
      <w:rFonts w:ascii="Arial" w:eastAsia="Times New Roman" w:hAnsi="Arial" w:cs="Times New Roman"/>
      <w:b/>
      <w:sz w:val="20"/>
      <w:szCs w:val="20"/>
      <w:lang w:val="en-GB"/>
    </w:rPr>
  </w:style>
  <w:style w:type="character" w:customStyle="1" w:styleId="Titre2Car">
    <w:name w:val="Titre 2 Car"/>
    <w:basedOn w:val="Policepardfaut"/>
    <w:link w:val="Titre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03148D"/>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03148D"/>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03148D"/>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03148D"/>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03148D"/>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03148D"/>
    <w:rPr>
      <w:rFonts w:asciiTheme="majorHAnsi" w:eastAsiaTheme="majorEastAsia" w:hAnsiTheme="majorHAnsi" w:cstheme="majorBidi"/>
      <w:i/>
      <w:iCs/>
      <w:color w:val="404040" w:themeColor="text1" w:themeTint="BF"/>
      <w:sz w:val="20"/>
      <w:szCs w:val="20"/>
    </w:rPr>
  </w:style>
  <w:style w:type="paragraph" w:styleId="Titreindex">
    <w:name w:val="index heading"/>
    <w:basedOn w:val="Normal"/>
    <w:next w:val="Index1"/>
    <w:uiPriority w:val="99"/>
    <w:semiHidden/>
    <w:unhideWhenUsed/>
    <w:rsid w:val="0003148D"/>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En-ttedetabledesmatires">
    <w:name w:val="TOC Heading"/>
    <w:basedOn w:val="Titre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Policepardfaut"/>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En-tte">
    <w:name w:val="header"/>
    <w:basedOn w:val="Normal"/>
    <w:link w:val="En-tteCar"/>
    <w:uiPriority w:val="99"/>
    <w:unhideWhenUsed/>
    <w:rsid w:val="005278B7"/>
    <w:pPr>
      <w:tabs>
        <w:tab w:val="clear" w:pos="7100"/>
        <w:tab w:val="center" w:pos="4819"/>
        <w:tab w:val="right" w:pos="9638"/>
      </w:tabs>
      <w:spacing w:line="240" w:lineRule="auto"/>
    </w:pPr>
  </w:style>
  <w:style w:type="character" w:customStyle="1" w:styleId="En-tteCar">
    <w:name w:val="En-tête Car"/>
    <w:basedOn w:val="Policepardfaut"/>
    <w:link w:val="En-tte"/>
    <w:uiPriority w:val="99"/>
    <w:rsid w:val="005278B7"/>
    <w:rPr>
      <w:rFonts w:ascii="Arial" w:eastAsia="Times New Roman" w:hAnsi="Arial" w:cs="Times New Roman"/>
      <w:sz w:val="18"/>
      <w:szCs w:val="20"/>
      <w:lang w:val="en-GB"/>
    </w:rPr>
  </w:style>
  <w:style w:type="paragraph" w:styleId="Pieddepage">
    <w:name w:val="footer"/>
    <w:basedOn w:val="Normal"/>
    <w:link w:val="PieddepageCar"/>
    <w:uiPriority w:val="99"/>
    <w:unhideWhenUsed/>
    <w:rsid w:val="005278B7"/>
    <w:pPr>
      <w:tabs>
        <w:tab w:val="clear" w:pos="7100"/>
        <w:tab w:val="center" w:pos="4819"/>
        <w:tab w:val="right" w:pos="9638"/>
      </w:tabs>
      <w:spacing w:line="240" w:lineRule="auto"/>
    </w:pPr>
  </w:style>
  <w:style w:type="character" w:customStyle="1" w:styleId="PieddepageCar">
    <w:name w:val="Pied de page Car"/>
    <w:basedOn w:val="Policepardfaut"/>
    <w:link w:val="Pieddepage"/>
    <w:uiPriority w:val="99"/>
    <w:rsid w:val="005278B7"/>
    <w:rPr>
      <w:rFonts w:ascii="Arial" w:eastAsia="Times New Roman" w:hAnsi="Arial" w:cs="Times New Roman"/>
      <w:sz w:val="18"/>
      <w:szCs w:val="20"/>
      <w:lang w:val="en-GB"/>
    </w:rPr>
  </w:style>
  <w:style w:type="table" w:styleId="Grilledutableau">
    <w:name w:val="Table Grid"/>
    <w:basedOn w:val="Tableau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04C62"/>
    <w:rPr>
      <w:color w:val="0000FF" w:themeColor="hyperlink"/>
      <w:u w:val="single"/>
    </w:rPr>
  </w:style>
  <w:style w:type="character" w:customStyle="1" w:styleId="eudoraheader">
    <w:name w:val="eudoraheader"/>
    <w:basedOn w:val="Policepardfaut"/>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phedeliste">
    <w:name w:val="List Paragraph"/>
    <w:basedOn w:val="Normal"/>
    <w:uiPriority w:val="34"/>
    <w:rsid w:val="00280FAF"/>
    <w:pPr>
      <w:ind w:left="720"/>
      <w:contextualSpacing/>
    </w:pPr>
  </w:style>
  <w:style w:type="character" w:customStyle="1" w:styleId="gmail-apple-converted-space">
    <w:name w:val="gmail-apple-converted-space"/>
    <w:basedOn w:val="Policepardfaut"/>
    <w:rsid w:val="00005A19"/>
  </w:style>
  <w:style w:type="character" w:styleId="Textedelespacerserv">
    <w:name w:val="Placeholder Text"/>
    <w:basedOn w:val="Policepardfaut"/>
    <w:uiPriority w:val="99"/>
    <w:semiHidden/>
    <w:rsid w:val="00625157"/>
    <w:rPr>
      <w:color w:val="666666"/>
    </w:rPr>
  </w:style>
  <w:style w:type="paragraph" w:styleId="Rvision">
    <w:name w:val="Revision"/>
    <w:hidden/>
    <w:uiPriority w:val="99"/>
    <w:semiHidden/>
    <w:rsid w:val="00702E48"/>
    <w:pPr>
      <w:spacing w:after="0" w:line="240" w:lineRule="auto"/>
    </w:pPr>
    <w:rPr>
      <w:rFonts w:ascii="Arial" w:eastAsia="Times New Roman" w:hAnsi="Arial" w:cs="Times New Roman"/>
      <w:sz w:val="18"/>
      <w:szCs w:val="20"/>
      <w:lang w:val="en-GB"/>
    </w:rPr>
  </w:style>
  <w:style w:type="character" w:styleId="Mentionnonrsolue">
    <w:name w:val="Unresolved Mention"/>
    <w:basedOn w:val="Policepardfaut"/>
    <w:uiPriority w:val="99"/>
    <w:semiHidden/>
    <w:unhideWhenUsed/>
    <w:rsid w:val="00D05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633751">
      <w:bodyDiv w:val="1"/>
      <w:marLeft w:val="0"/>
      <w:marRight w:val="0"/>
      <w:marTop w:val="0"/>
      <w:marBottom w:val="0"/>
      <w:divBdr>
        <w:top w:val="none" w:sz="0" w:space="0" w:color="auto"/>
        <w:left w:val="none" w:sz="0" w:space="0" w:color="auto"/>
        <w:bottom w:val="none" w:sz="0" w:space="0" w:color="auto"/>
        <w:right w:val="none" w:sz="0" w:space="0" w:color="auto"/>
      </w:divBdr>
    </w:div>
    <w:div w:id="586352995">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493637">
      <w:bodyDiv w:val="1"/>
      <w:marLeft w:val="0"/>
      <w:marRight w:val="0"/>
      <w:marTop w:val="0"/>
      <w:marBottom w:val="0"/>
      <w:divBdr>
        <w:top w:val="none" w:sz="0" w:space="0" w:color="auto"/>
        <w:left w:val="none" w:sz="0" w:space="0" w:color="auto"/>
        <w:bottom w:val="none" w:sz="0" w:space="0" w:color="auto"/>
        <w:right w:val="none" w:sz="0" w:space="0" w:color="auto"/>
      </w:divBdr>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357728114">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7532</Words>
  <Characters>41430</Characters>
  <Application>Microsoft Office Word</Application>
  <DocSecurity>0</DocSecurity>
  <Lines>345</Lines>
  <Paragraphs>97</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Dipartimento CMIC - Politecnico di Milano</Company>
  <LinksUpToDate>false</LinksUpToDate>
  <CharactersWithSpaces>48865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Rania Louali</cp:lastModifiedBy>
  <cp:revision>2</cp:revision>
  <cp:lastPrinted>2015-05-12T18:31:00Z</cp:lastPrinted>
  <dcterms:created xsi:type="dcterms:W3CDTF">2026-04-24T14:49:00Z</dcterms:created>
  <dcterms:modified xsi:type="dcterms:W3CDTF">2026-04-24T14:49:00Z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id="uW6V6drL"/&gt;&lt;style id="http://www.zotero.org/styles/elsevier-harvard" hasBibliography="1" bibliographyStyleHasBeenSet="1"/&gt;&lt;prefs&gt;&lt;pref name="fieldType" value="Field"/&gt;&lt;pref name="storeReferences"</vt:lpwstr>
  </property>
  <property fmtid="{D5CDD505-2E9C-101B-9397-08002B2CF9AE}" pid="3" name="ZOTERO_PREF_2">
    <vt:lpwstr> value="true"/&gt;&lt;/prefs&gt;&lt;/data&gt;</vt:lpwstr>
  </property>
</Properties>
</file>