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4325171D" w14:textId="77777777" w:rsidTr="00DE264A">
        <w:trPr>
          <w:trHeight w:val="852"/>
          <w:jc w:val="center"/>
        </w:trPr>
        <w:tc>
          <w:tcPr>
            <w:tcW w:w="6946" w:type="dxa"/>
            <w:vMerge w:val="restart"/>
            <w:tcBorders>
              <w:right w:val="single" w:sz="4" w:space="0" w:color="auto"/>
            </w:tcBorders>
          </w:tcPr>
          <w:p w14:paraId="1E8FB7DA" w14:textId="77777777" w:rsidR="000A03B2" w:rsidRPr="00B57B36" w:rsidRDefault="000A03B2" w:rsidP="00DE264A">
            <w:pPr>
              <w:tabs>
                <w:tab w:val="left" w:pos="-108"/>
              </w:tabs>
              <w:ind w:left="-108"/>
              <w:jc w:val="left"/>
              <w:rPr>
                <w:rFonts w:cs="Arial"/>
                <w:b/>
                <w:bCs/>
                <w:i/>
                <w:iCs/>
                <w:color w:val="000066"/>
                <w:sz w:val="12"/>
                <w:szCs w:val="12"/>
                <w:lang w:eastAsia="it-IT"/>
              </w:rPr>
            </w:pPr>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0A8CDDCC" w14:textId="77777777"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925860B"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0F9430E9"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5972F6" w14:paraId="26C1F4B1" w14:textId="77777777" w:rsidTr="00DE264A">
        <w:trPr>
          <w:trHeight w:val="567"/>
          <w:jc w:val="center"/>
        </w:trPr>
        <w:tc>
          <w:tcPr>
            <w:tcW w:w="6946" w:type="dxa"/>
            <w:vMerge/>
            <w:tcBorders>
              <w:right w:val="single" w:sz="4" w:space="0" w:color="auto"/>
            </w:tcBorders>
          </w:tcPr>
          <w:p w14:paraId="00F47D6B" w14:textId="77777777" w:rsidR="000A03B2" w:rsidRPr="00B57B36" w:rsidRDefault="000A03B2" w:rsidP="00CD5FE2">
            <w:pPr>
              <w:tabs>
                <w:tab w:val="left" w:pos="-108"/>
              </w:tabs>
            </w:pPr>
          </w:p>
        </w:tc>
        <w:tc>
          <w:tcPr>
            <w:tcW w:w="1843" w:type="dxa"/>
            <w:tcBorders>
              <w:left w:val="single" w:sz="4" w:space="0" w:color="auto"/>
              <w:bottom w:val="nil"/>
              <w:right w:val="single" w:sz="4" w:space="0" w:color="auto"/>
            </w:tcBorders>
          </w:tcPr>
          <w:p w14:paraId="3E7C291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3C41528A"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31084EC0" w14:textId="77777777" w:rsidR="000A03B2" w:rsidRPr="00BA50F6" w:rsidRDefault="000D0268" w:rsidP="00CD5FE2">
            <w:pPr>
              <w:spacing w:line="140" w:lineRule="atLeast"/>
              <w:jc w:val="right"/>
              <w:rPr>
                <w:rFonts w:cs="Arial"/>
                <w:sz w:val="13"/>
                <w:szCs w:val="13"/>
                <w:lang w:val="da-DK"/>
              </w:rPr>
            </w:pPr>
            <w:r w:rsidRPr="00BA50F6">
              <w:rPr>
                <w:rFonts w:cs="Arial"/>
                <w:sz w:val="13"/>
                <w:szCs w:val="13"/>
                <w:lang w:val="da-DK"/>
              </w:rPr>
              <w:t>Online at www.cetjournal.it</w:t>
            </w:r>
          </w:p>
        </w:tc>
      </w:tr>
      <w:tr w:rsidR="000A03B2" w:rsidRPr="00B57B36" w14:paraId="77B63D30" w14:textId="77777777" w:rsidTr="00DE264A">
        <w:trPr>
          <w:trHeight w:val="68"/>
          <w:jc w:val="center"/>
        </w:trPr>
        <w:tc>
          <w:tcPr>
            <w:tcW w:w="8789" w:type="dxa"/>
            <w:gridSpan w:val="2"/>
          </w:tcPr>
          <w:p w14:paraId="79D4F513" w14:textId="77777777"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79CAE4BE" w14:textId="77777777"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xml:space="preserve">, AIDIC Servizi </w:t>
            </w:r>
            <w:proofErr w:type="spellStart"/>
            <w:r w:rsidRPr="00B57B36">
              <w:rPr>
                <w:rFonts w:ascii="Tahoma" w:hAnsi="Tahoma" w:cs="Tahoma"/>
                <w:iCs/>
                <w:color w:val="333333"/>
                <w:sz w:val="14"/>
                <w:szCs w:val="14"/>
                <w:lang w:eastAsia="it-IT"/>
              </w:rPr>
              <w:t>S.r.l</w:t>
            </w:r>
            <w:proofErr w:type="spellEnd"/>
            <w:r w:rsidRPr="00B57B36">
              <w:rPr>
                <w:rFonts w:ascii="Tahoma" w:hAnsi="Tahoma" w:cs="Tahoma"/>
                <w:iCs/>
                <w:color w:val="333333"/>
                <w:sz w:val="14"/>
                <w:szCs w:val="14"/>
                <w:lang w:eastAsia="it-IT"/>
              </w:rPr>
              <w:t>.</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p w14:paraId="2556577F" w14:textId="77777777" w:rsidR="005A7610" w:rsidRDefault="00000000">
      <w:pPr>
        <w:pStyle w:val="CETTitle"/>
      </w:pPr>
      <w:r>
        <w:t>Operational protocol and acceptance criteria for quality assurance in Instrumental Odour Monitoring Systems (IOMS) under UNI 11761:2023</w:t>
      </w:r>
    </w:p>
    <w:p w14:paraId="7C675CC1" w14:textId="77777777" w:rsidR="005A7610" w:rsidRPr="00BA50F6" w:rsidRDefault="00000000">
      <w:pPr>
        <w:pStyle w:val="CETAuthors"/>
        <w:rPr>
          <w:lang w:val="it-IT"/>
        </w:rPr>
      </w:pPr>
      <w:r w:rsidRPr="00BA50F6">
        <w:rPr>
          <w:lang w:val="it-IT"/>
        </w:rPr>
        <w:t>Magda Brattoli</w:t>
      </w:r>
      <w:r w:rsidRPr="00BA50F6">
        <w:rPr>
          <w:vertAlign w:val="superscript"/>
          <w:lang w:val="it-IT"/>
        </w:rPr>
        <w:t>a,*</w:t>
      </w:r>
      <w:r w:rsidRPr="00BA50F6">
        <w:rPr>
          <w:lang w:val="it-IT"/>
        </w:rPr>
        <w:t>, Federico Cangialosi</w:t>
      </w:r>
      <w:r w:rsidRPr="00BA50F6">
        <w:rPr>
          <w:vertAlign w:val="superscript"/>
          <w:lang w:val="it-IT"/>
        </w:rPr>
        <w:t>a</w:t>
      </w:r>
      <w:r w:rsidRPr="00BA50F6">
        <w:rPr>
          <w:lang w:val="it-IT"/>
        </w:rPr>
        <w:t>, Antonio Fornaro</w:t>
      </w:r>
      <w:r w:rsidRPr="00BA50F6">
        <w:rPr>
          <w:vertAlign w:val="superscript"/>
          <w:lang w:val="it-IT"/>
        </w:rPr>
        <w:t>b</w:t>
      </w:r>
      <w:r w:rsidRPr="00BA50F6">
        <w:rPr>
          <w:lang w:val="it-IT"/>
        </w:rPr>
        <w:t>, Martino Giannuzzi</w:t>
      </w:r>
      <w:r w:rsidRPr="00BA50F6">
        <w:rPr>
          <w:vertAlign w:val="superscript"/>
          <w:lang w:val="it-IT"/>
        </w:rPr>
        <w:t>b</w:t>
      </w:r>
    </w:p>
    <w:p w14:paraId="245E4C1B" w14:textId="77777777" w:rsidR="005A7610" w:rsidRPr="00BA50F6" w:rsidRDefault="00000000">
      <w:pPr>
        <w:pStyle w:val="CETAddress"/>
        <w:rPr>
          <w:lang w:val="it-IT"/>
        </w:rPr>
      </w:pPr>
      <w:r w:rsidRPr="00BA50F6">
        <w:rPr>
          <w:vertAlign w:val="superscript"/>
          <w:lang w:val="it-IT"/>
        </w:rPr>
        <w:t>a</w:t>
      </w:r>
      <w:r w:rsidRPr="00BA50F6">
        <w:rPr>
          <w:lang w:val="it-IT"/>
        </w:rPr>
        <w:t xml:space="preserve"> Tecnologia &amp; Ambiente S.r.l., Via Michele Mummolo 13, Putignano (BA), Italy</w:t>
      </w:r>
    </w:p>
    <w:p w14:paraId="509A622D" w14:textId="77777777" w:rsidR="005A7610" w:rsidRPr="001B0F04" w:rsidRDefault="00000000">
      <w:pPr>
        <w:pStyle w:val="CETAddress"/>
        <w:rPr>
          <w:lang w:val="it-IT"/>
        </w:rPr>
      </w:pPr>
      <w:r w:rsidRPr="001B0F04">
        <w:rPr>
          <w:vertAlign w:val="superscript"/>
          <w:lang w:val="it-IT"/>
        </w:rPr>
        <w:t>b</w:t>
      </w:r>
      <w:r w:rsidRPr="001B0F04">
        <w:rPr>
          <w:lang w:val="it-IT"/>
        </w:rPr>
        <w:t xml:space="preserve"> Labservice Analytica S.r.l., Via Emilia 51/c, Anzola Emilia (BO), Italy</w:t>
      </w:r>
    </w:p>
    <w:p w14:paraId="4DB5454B" w14:textId="77777777" w:rsidR="005A7610" w:rsidRPr="001B0F04" w:rsidRDefault="00000000">
      <w:pPr>
        <w:pStyle w:val="CETemail"/>
      </w:pPr>
      <w:r w:rsidRPr="001B0F04">
        <w:t>m.brattoli@tecnologiaeambientesrl.com</w:t>
      </w:r>
    </w:p>
    <w:p w14:paraId="3B2C89EE" w14:textId="1734C434" w:rsidR="00D45F8B" w:rsidRPr="001B0F04" w:rsidRDefault="00000000" w:rsidP="00D45F8B">
      <w:pPr>
        <w:pStyle w:val="CETBodytext"/>
        <w:rPr>
          <w:bCs/>
        </w:rPr>
      </w:pPr>
      <w:r w:rsidRPr="001B0F04">
        <w:t xml:space="preserve">The metrological robustness and long-term stability of Instrumental </w:t>
      </w:r>
      <w:proofErr w:type="spellStart"/>
      <w:r w:rsidRPr="001B0F04">
        <w:t>Odour</w:t>
      </w:r>
      <w:proofErr w:type="spellEnd"/>
      <w:r w:rsidRPr="001B0F04">
        <w:t xml:space="preserve"> Monitoring Systems (IOMS) are critical for their reliable application in environmental monitoring and regulatory frameworks. In Italy, the </w:t>
      </w:r>
      <w:r w:rsidR="009147F1" w:rsidRPr="001B0F04">
        <w:t>application</w:t>
      </w:r>
      <w:r w:rsidRPr="001B0F04">
        <w:t xml:space="preserve"> of IOMS is addressed by the national guidance (Director Decree No. 309/2023) and by the technical standard UNI 11761:2023, which defines verification procedures but does not provide quantitative acceptance criteria for the resulting performance indicators. This study presents an operational quality assurance protocol applied to IOMS installation</w:t>
      </w:r>
      <w:r w:rsidR="00567F0F" w:rsidRPr="001B0F04">
        <w:t>s,</w:t>
      </w:r>
      <w:r w:rsidRPr="001B0F04">
        <w:t xml:space="preserve"> </w:t>
      </w:r>
      <w:r w:rsidR="00AA46BD" w:rsidRPr="001B0F04">
        <w:rPr>
          <w:lang w:val="en-GB"/>
        </w:rPr>
        <w:t xml:space="preserve">developed to bridge the gap between the requirements of the technical standard and practical field implementation. The protocol encompasses validation of the instrumental odour metric (quality assurance level 2) and periodic performance monitoring (quality assurance level 3). Level 2 verification is based on statistical comparison between IOMS outputs and dynamic olfactometry measurements, while Level 3 verification assesses instrumental stability and accuracy over time using span gases at certified concentrations. </w:t>
      </w:r>
      <w:r w:rsidR="00D45F8B" w:rsidRPr="001B0F04">
        <w:rPr>
          <w:bCs/>
        </w:rPr>
        <w:t xml:space="preserve">Based upon long-term operational datasets and experience gained from managing multiple installations subject to regulatory requirements, </w:t>
      </w:r>
      <w:r w:rsidR="00675442" w:rsidRPr="001B0F04">
        <w:rPr>
          <w:bCs/>
        </w:rPr>
        <w:t xml:space="preserve">this paper </w:t>
      </w:r>
      <w:r w:rsidR="009147F1" w:rsidRPr="001B0F04">
        <w:rPr>
          <w:bCs/>
        </w:rPr>
        <w:t>proposes</w:t>
      </w:r>
      <w:r w:rsidR="00675442" w:rsidRPr="001B0F04">
        <w:rPr>
          <w:bCs/>
        </w:rPr>
        <w:t xml:space="preserve"> a methodological approach for IOMS management and </w:t>
      </w:r>
      <w:r w:rsidR="009147F1" w:rsidRPr="001B0F04">
        <w:rPr>
          <w:bCs/>
        </w:rPr>
        <w:t>introduces</w:t>
      </w:r>
      <w:r w:rsidR="00675442" w:rsidRPr="001B0F04">
        <w:rPr>
          <w:bCs/>
        </w:rPr>
        <w:t xml:space="preserve"> quantitative acceptance criteria </w:t>
      </w:r>
      <w:r w:rsidR="00D45F8B" w:rsidRPr="001B0F04">
        <w:rPr>
          <w:bCs/>
        </w:rPr>
        <w:t>and decision thresholds to support system validation and the implementation of corrective actions whe</w:t>
      </w:r>
      <w:r w:rsidR="009147F1" w:rsidRPr="001B0F04">
        <w:rPr>
          <w:bCs/>
        </w:rPr>
        <w:t>n</w:t>
      </w:r>
      <w:r w:rsidR="00D45F8B" w:rsidRPr="001B0F04">
        <w:rPr>
          <w:bCs/>
        </w:rPr>
        <w:t xml:space="preserve"> necessary.</w:t>
      </w:r>
    </w:p>
    <w:p w14:paraId="5919DEAE" w14:textId="77777777" w:rsidR="005A7610" w:rsidRPr="001B0F04" w:rsidRDefault="00000000">
      <w:pPr>
        <w:pStyle w:val="CETHeading1"/>
      </w:pPr>
      <w:r w:rsidRPr="001B0F04">
        <w:t>Introduction</w:t>
      </w:r>
    </w:p>
    <w:p w14:paraId="50809A3E" w14:textId="0DCD5E85" w:rsidR="005A7610" w:rsidRPr="001B0F04" w:rsidRDefault="00000000">
      <w:pPr>
        <w:pStyle w:val="CETBodytext"/>
      </w:pPr>
      <w:r w:rsidRPr="001B0F04">
        <w:t xml:space="preserve">The use of Instrumental </w:t>
      </w:r>
      <w:proofErr w:type="spellStart"/>
      <w:r w:rsidRPr="001B0F04">
        <w:t>Odour</w:t>
      </w:r>
      <w:proofErr w:type="spellEnd"/>
      <w:r w:rsidRPr="001B0F04">
        <w:t xml:space="preserve"> Monitoring Systems (IOMS) in environmental applications is rapidly growing, driven by the increasing demand for continuous monitoring at plant boundaries and by the need for tools that can support regulatory decisions. Compared to conventional </w:t>
      </w:r>
      <w:proofErr w:type="spellStart"/>
      <w:r w:rsidRPr="001B0F04">
        <w:t>odour</w:t>
      </w:r>
      <w:proofErr w:type="spellEnd"/>
      <w:r w:rsidRPr="001B0F04">
        <w:t xml:space="preserve"> measurement techniques based on dynamic olfactometry (CEN, 2022), IOMS provide real-time outputs, broader temporal coverage and source discrimination through pattern recognition, but their performance strongly depends on metrological robustness and on the adoption of sound quality assurance procedures</w:t>
      </w:r>
      <w:r w:rsidR="005A01F0" w:rsidRPr="001B0F04">
        <w:t xml:space="preserve"> (</w:t>
      </w:r>
      <w:r w:rsidR="005A01F0" w:rsidRPr="001B0F04">
        <w:rPr>
          <w:lang w:val="en-GB"/>
        </w:rPr>
        <w:t>Deshmukh et al., 2015)</w:t>
      </w:r>
      <w:r w:rsidRPr="001B0F04">
        <w:t>.</w:t>
      </w:r>
    </w:p>
    <w:p w14:paraId="70AA1EFA" w14:textId="01C5221B" w:rsidR="005A7610" w:rsidRPr="001B0F04" w:rsidRDefault="00FA53CF">
      <w:pPr>
        <w:pStyle w:val="CETBodytext"/>
      </w:pPr>
      <w:r w:rsidRPr="001B0F04">
        <w:t xml:space="preserve">At the European level, standardization efforts are ongoing within CEN/TC 264, Working Group 41, but no harmonized standard has been issued yet. Instead in the Italian regulatory framework, the application of IOMS is explicitly addressed in the national guidance on </w:t>
      </w:r>
      <w:proofErr w:type="spellStart"/>
      <w:r w:rsidRPr="001B0F04">
        <w:t>odour</w:t>
      </w:r>
      <w:proofErr w:type="spellEnd"/>
      <w:r w:rsidRPr="001B0F04">
        <w:t xml:space="preserve"> emissions (</w:t>
      </w:r>
      <w:r w:rsidR="00D45F8B" w:rsidRPr="001B0F04">
        <w:t>Director Decree No. 309/2023</w:t>
      </w:r>
      <w:r w:rsidRPr="001B0F04">
        <w:t xml:space="preserve">), where these systems are often prescribed as operational tools to monitor </w:t>
      </w:r>
      <w:proofErr w:type="spellStart"/>
      <w:r w:rsidRPr="001B0F04">
        <w:t>odour</w:t>
      </w:r>
      <w:proofErr w:type="spellEnd"/>
      <w:r w:rsidRPr="001B0F04">
        <w:t xml:space="preserve"> concentration at the fenceline and to support management actions based on predefined thresholds. Th</w:t>
      </w:r>
      <w:r w:rsidR="009721A7" w:rsidRPr="001B0F04">
        <w:t>is</w:t>
      </w:r>
      <w:r w:rsidRPr="001B0F04">
        <w:t xml:space="preserve"> </w:t>
      </w:r>
      <w:r w:rsidRPr="001B0F04">
        <w:rPr>
          <w:lang w:val="en-GB"/>
        </w:rPr>
        <w:t>has led</w:t>
      </w:r>
      <w:r w:rsidRPr="001B0F04">
        <w:t xml:space="preserve"> </w:t>
      </w:r>
      <w:r w:rsidR="00D45F8B" w:rsidRPr="001B0F04">
        <w:rPr>
          <w:lang w:val="en-GB"/>
        </w:rPr>
        <w:t xml:space="preserve">regulators, control authorities and plant operators </w:t>
      </w:r>
      <w:r w:rsidRPr="001B0F04">
        <w:rPr>
          <w:lang w:val="en-GB"/>
        </w:rPr>
        <w:t xml:space="preserve">to </w:t>
      </w:r>
      <w:r w:rsidR="009B0F2A" w:rsidRPr="001B0F04">
        <w:rPr>
          <w:lang w:val="en-GB"/>
        </w:rPr>
        <w:t>demand</w:t>
      </w:r>
      <w:r w:rsidR="00D45F8B" w:rsidRPr="001B0F04">
        <w:rPr>
          <w:lang w:val="en-GB"/>
        </w:rPr>
        <w:t xml:space="preserve"> reliable and traceable measurement </w:t>
      </w:r>
      <w:r w:rsidRPr="001B0F04">
        <w:rPr>
          <w:lang w:val="en-GB"/>
        </w:rPr>
        <w:t xml:space="preserve">devices and consequently </w:t>
      </w:r>
      <w:r w:rsidR="00D45F8B" w:rsidRPr="001B0F04">
        <w:rPr>
          <w:lang w:val="en-GB"/>
        </w:rPr>
        <w:t xml:space="preserve">to the development of a </w:t>
      </w:r>
      <w:r w:rsidRPr="001B0F04">
        <w:rPr>
          <w:lang w:val="en-GB"/>
        </w:rPr>
        <w:t>specific</w:t>
      </w:r>
      <w:r w:rsidR="00D45F8B" w:rsidRPr="001B0F04">
        <w:rPr>
          <w:lang w:val="en-GB"/>
        </w:rPr>
        <w:t xml:space="preserve"> technical standard</w:t>
      </w:r>
      <w:r w:rsidR="00A0267C" w:rsidRPr="001B0F04">
        <w:rPr>
          <w:lang w:val="en-GB"/>
        </w:rPr>
        <w:t xml:space="preserve"> (Cipriano and Capelli, 2019)</w:t>
      </w:r>
      <w:r w:rsidR="00D45F8B" w:rsidRPr="001B0F04">
        <w:rPr>
          <w:lang w:val="en-GB"/>
        </w:rPr>
        <w:t>.</w:t>
      </w:r>
      <w:r w:rsidRPr="001B0F04">
        <w:t xml:space="preserve"> UNI 11761:2023 </w:t>
      </w:r>
      <w:r w:rsidR="009721A7" w:rsidRPr="001B0F04">
        <w:t xml:space="preserve">publication </w:t>
      </w:r>
      <w:r w:rsidRPr="001B0F04">
        <w:t xml:space="preserve">(UNI, 2023) represents a structured attempt to define metrological requirements and verification procedures for IOMS deployed in real applications. The standard </w:t>
      </w:r>
      <w:r w:rsidR="005A01F0" w:rsidRPr="001B0F04">
        <w:t>describes</w:t>
      </w:r>
      <w:r w:rsidRPr="001B0F04">
        <w:t xml:space="preserve"> performance verification into three levels: Level 1, addressed to manufacturers; Level 2, addressed to end users and based on validation against dynamic olfactometry </w:t>
      </w:r>
      <w:r w:rsidR="009721A7" w:rsidRPr="001B0F04">
        <w:t>in the field</w:t>
      </w:r>
      <w:r w:rsidRPr="001B0F04">
        <w:t>; Level 3, based on periodic field checks with reference gases.</w:t>
      </w:r>
    </w:p>
    <w:p w14:paraId="203EB8BA" w14:textId="3ECC0DA7" w:rsidR="009B0F2A" w:rsidRPr="001B0F04" w:rsidRDefault="00061910" w:rsidP="009B0F2A">
      <w:pPr>
        <w:pStyle w:val="CETBodytext"/>
      </w:pPr>
      <w:r w:rsidRPr="001B0F04">
        <w:t xml:space="preserve">The main limitation of </w:t>
      </w:r>
      <w:r w:rsidR="00AA46BD" w:rsidRPr="001B0F04">
        <w:t>the current</w:t>
      </w:r>
      <w:r w:rsidRPr="001B0F04">
        <w:t xml:space="preserve"> framework is </w:t>
      </w:r>
      <w:r w:rsidR="009B0F2A" w:rsidRPr="001B0F04">
        <w:t xml:space="preserve">the absence of objective quantitative acceptance criteria for the performance indicators </w:t>
      </w:r>
      <w:r w:rsidR="00AA46BD" w:rsidRPr="001B0F04">
        <w:t>derived by</w:t>
      </w:r>
      <w:r w:rsidR="009B0F2A" w:rsidRPr="001B0F04">
        <w:t xml:space="preserve"> verification</w:t>
      </w:r>
      <w:r w:rsidR="00AA46BD" w:rsidRPr="001B0F04">
        <w:t xml:space="preserve"> procedure</w:t>
      </w:r>
      <w:r w:rsidR="009B0F2A" w:rsidRPr="001B0F04">
        <w:t xml:space="preserve">. </w:t>
      </w:r>
      <w:r w:rsidR="00AA46BD" w:rsidRPr="001B0F04">
        <w:rPr>
          <w:lang w:val="en-GB"/>
        </w:rPr>
        <w:t>This gap is particularly critical in operational contexts, where IOMS outputs may directly support regulatory decisions or trigger corrective actions.</w:t>
      </w:r>
    </w:p>
    <w:p w14:paraId="67E75664" w14:textId="5B1D74EC" w:rsidR="005A7610" w:rsidRPr="001B0F04" w:rsidRDefault="00000000">
      <w:pPr>
        <w:pStyle w:val="CETBodytext"/>
      </w:pPr>
      <w:r w:rsidRPr="001B0F04">
        <w:lastRenderedPageBreak/>
        <w:t>This paper presents a quality assurance protocol developed</w:t>
      </w:r>
      <w:r w:rsidR="00D45F8B" w:rsidRPr="001B0F04">
        <w:t xml:space="preserve"> according to</w:t>
      </w:r>
      <w:r w:rsidRPr="001B0F04">
        <w:t xml:space="preserve"> </w:t>
      </w:r>
      <w:r w:rsidR="00D45F8B" w:rsidRPr="001B0F04">
        <w:rPr>
          <w:bCs/>
        </w:rPr>
        <w:t xml:space="preserve">long-term operational datasets and </w:t>
      </w:r>
      <w:r w:rsidR="009B0F2A" w:rsidRPr="001B0F04">
        <w:rPr>
          <w:bCs/>
        </w:rPr>
        <w:t xml:space="preserve">practical </w:t>
      </w:r>
      <w:r w:rsidR="00D45F8B" w:rsidRPr="001B0F04">
        <w:rPr>
          <w:bCs/>
        </w:rPr>
        <w:t>experience gained from managing multiple installations subject to regulatory requirements</w:t>
      </w:r>
      <w:r w:rsidRPr="001B0F04">
        <w:t>. Th</w:t>
      </w:r>
      <w:r w:rsidR="00AA46BD" w:rsidRPr="001B0F04">
        <w:t>is</w:t>
      </w:r>
      <w:r w:rsidRPr="001B0F04">
        <w:t xml:space="preserve"> approach is framed from the perspective of end users, who </w:t>
      </w:r>
      <w:r w:rsidR="00AA46BD" w:rsidRPr="001B0F04">
        <w:t>must</w:t>
      </w:r>
      <w:r w:rsidRPr="001B0F04">
        <w:t xml:space="preserve"> balance compliance with the standard against </w:t>
      </w:r>
      <w:r w:rsidR="00896577" w:rsidRPr="001B0F04">
        <w:rPr>
          <w:lang w:val="en-GB"/>
        </w:rPr>
        <w:t xml:space="preserve">what is technically achievable in the practical operation and </w:t>
      </w:r>
      <w:r w:rsidRPr="001B0F04">
        <w:t xml:space="preserve">operational costs associated with verification activities. The focus is on the phases following system training, </w:t>
      </w:r>
      <w:r w:rsidR="00D45F8B" w:rsidRPr="001B0F04">
        <w:t xml:space="preserve">not covered by </w:t>
      </w:r>
      <w:r w:rsidRPr="001B0F04">
        <w:t xml:space="preserve">the technical standard, and on the definition of quantitative acceptance criteria for Level 2 and Level 3 </w:t>
      </w:r>
      <w:r w:rsidR="00915AFB" w:rsidRPr="001B0F04">
        <w:t>outcomes</w:t>
      </w:r>
      <w:r w:rsidRPr="001B0F04">
        <w:t>.</w:t>
      </w:r>
    </w:p>
    <w:p w14:paraId="30EA3A9B" w14:textId="77777777" w:rsidR="005A7610" w:rsidRPr="001B0F04" w:rsidRDefault="00000000">
      <w:pPr>
        <w:pStyle w:val="CETHeading1"/>
      </w:pPr>
      <w:r w:rsidRPr="001B0F04">
        <w:t>Materials and methods</w:t>
      </w:r>
    </w:p>
    <w:p w14:paraId="24D724F3" w14:textId="159B1B68" w:rsidR="005A7610" w:rsidRPr="001B0F04" w:rsidRDefault="00000000">
      <w:pPr>
        <w:pStyle w:val="CETheadingx"/>
      </w:pPr>
      <w:r w:rsidRPr="001B0F04">
        <w:t>Instrumenta</w:t>
      </w:r>
      <w:r w:rsidR="0099612F" w:rsidRPr="001B0F04">
        <w:t>l apparatus</w:t>
      </w:r>
    </w:p>
    <w:p w14:paraId="69DEF075" w14:textId="119986F1" w:rsidR="005A7610" w:rsidRDefault="00000000">
      <w:pPr>
        <w:pStyle w:val="CETBodytext"/>
      </w:pPr>
      <w:r w:rsidRPr="001B0F04">
        <w:t xml:space="preserve">The </w:t>
      </w:r>
      <w:r w:rsidR="0099612F" w:rsidRPr="001B0F04">
        <w:t xml:space="preserve">quality assurance protocol </w:t>
      </w:r>
      <w:r w:rsidR="009B0F2A" w:rsidRPr="001B0F04">
        <w:t>was developed</w:t>
      </w:r>
      <w:r w:rsidR="0099612F" w:rsidRPr="001B0F04">
        <w:t xml:space="preserve"> with specific reference to </w:t>
      </w:r>
      <w:r w:rsidRPr="001B0F04">
        <w:t xml:space="preserve">IOMS </w:t>
      </w:r>
      <w:r w:rsidR="0099612F" w:rsidRPr="001B0F04">
        <w:rPr>
          <w:lang w:val="en-GB"/>
        </w:rPr>
        <w:t xml:space="preserve">deployed </w:t>
      </w:r>
      <w:r w:rsidR="009B0F2A" w:rsidRPr="001B0F04">
        <w:t xml:space="preserve">for fenceline monitoring across various industrial applications. </w:t>
      </w:r>
      <w:r w:rsidRPr="001B0F04">
        <w:t xml:space="preserve">The instrument </w:t>
      </w:r>
      <w:r w:rsidR="009B0F2A" w:rsidRPr="001B0F04">
        <w:t>used is</w:t>
      </w:r>
      <w:r w:rsidRPr="001B0F04">
        <w:t xml:space="preserve"> MSEM 3200 Multi Sensor Environmental Monitor (</w:t>
      </w:r>
      <w:proofErr w:type="spellStart"/>
      <w:r w:rsidRPr="001B0F04">
        <w:t>Sensigent</w:t>
      </w:r>
      <w:proofErr w:type="spellEnd"/>
      <w:r w:rsidRPr="001B0F04">
        <w:t>), designed for continuous analysis of ambient air and equipped with a 32-sensor array integrating different measurement principles. The array includes nano-composite array (NCA), metal oxide semiconductor (MOS), electrochemical (EC), photoionization (PID), and infrared/ultraviolet spectrometric detectors.</w:t>
      </w:r>
      <w:r w:rsidR="009147F1" w:rsidRPr="001B0F04">
        <w:t xml:space="preserve"> </w:t>
      </w:r>
      <w:r w:rsidRPr="001B0F04">
        <w:t>Th</w:t>
      </w:r>
      <w:r w:rsidR="009B0F2A" w:rsidRPr="001B0F04">
        <w:t>e</w:t>
      </w:r>
      <w:r w:rsidRPr="001B0F04">
        <w:t xml:space="preserve"> multi-technology configuration enhances robustness against environmental variability and improves the discrimination between different </w:t>
      </w:r>
      <w:proofErr w:type="spellStart"/>
      <w:r w:rsidRPr="001B0F04">
        <w:t>odour</w:t>
      </w:r>
      <w:proofErr w:type="spellEnd"/>
      <w:r w:rsidRPr="001B0F04">
        <w:t xml:space="preserve"> patterns.</w:t>
      </w:r>
      <w:r w:rsidR="009B0F2A" w:rsidRPr="001B0F04">
        <w:t xml:space="preserve"> </w:t>
      </w:r>
      <w:r w:rsidRPr="001B0F04">
        <w:t xml:space="preserve">A site-specific trained algorithm processes the raw signals in real time and provides the output parameters, including instrumental </w:t>
      </w:r>
      <w:proofErr w:type="spellStart"/>
      <w:r w:rsidRPr="001B0F04">
        <w:t>odour</w:t>
      </w:r>
      <w:proofErr w:type="spellEnd"/>
      <w:r w:rsidRPr="001B0F04">
        <w:t xml:space="preserve"> concentration and </w:t>
      </w:r>
      <w:proofErr w:type="spellStart"/>
      <w:r w:rsidRPr="001B0F04">
        <w:t>odour</w:t>
      </w:r>
      <w:proofErr w:type="spellEnd"/>
      <w:r w:rsidRPr="001B0F04">
        <w:t xml:space="preserve"> classification (ID). An automatic correction cycle, based on temperature, humidity and photoionization measurements, compensates for environmental effects that are particularly relevant for MOS sensors (Ratti et al., 2024). The system is factory</w:t>
      </w:r>
      <w:r>
        <w:t xml:space="preserve">-calibrated using n-butanol as span gas, </w:t>
      </w:r>
      <w:r w:rsidR="009B0F2A">
        <w:t>that is</w:t>
      </w:r>
      <w:r>
        <w:t xml:space="preserve"> the reference compound in dynamic olfactometry (CEN, 2022). The instrument has been qualified by the </w:t>
      </w:r>
      <w:r w:rsidRPr="007C6F25">
        <w:t>manufacturer f</w:t>
      </w:r>
      <w:r>
        <w:t>or Level 1 verification under UNI 11761:2023, which defines the metrological performance through tests with reference gases, including the determination of measurement range</w:t>
      </w:r>
      <w:r w:rsidR="00B97494">
        <w:t xml:space="preserve"> and</w:t>
      </w:r>
      <w:r>
        <w:t xml:space="preserve"> detection limit </w:t>
      </w:r>
      <w:r w:rsidR="0099612F">
        <w:t>(LR)</w:t>
      </w:r>
      <w:r>
        <w:t xml:space="preserve">. The main technical specifications are </w:t>
      </w:r>
      <w:proofErr w:type="spellStart"/>
      <w:r>
        <w:t>summarised</w:t>
      </w:r>
      <w:proofErr w:type="spellEnd"/>
      <w:r>
        <w:t xml:space="preserve"> in Table 1.</w:t>
      </w:r>
    </w:p>
    <w:p w14:paraId="28BBA72D" w14:textId="77777777" w:rsidR="005A7610" w:rsidRDefault="00000000">
      <w:pPr>
        <w:pStyle w:val="CETTabletitle"/>
      </w:pPr>
      <w:r>
        <w:t>Table 1: Main technical specifications of the IOMS used in the case study.</w:t>
      </w:r>
    </w:p>
    <w:tbl>
      <w:tblPr>
        <w:tblW w:w="0" w:type="auto"/>
        <w:tblLook w:val="04A0" w:firstRow="1" w:lastRow="0" w:firstColumn="1" w:lastColumn="0" w:noHBand="0" w:noVBand="1"/>
      </w:tblPr>
      <w:tblGrid>
        <w:gridCol w:w="2834"/>
        <w:gridCol w:w="5385"/>
      </w:tblGrid>
      <w:tr w:rsidR="005A7610" w14:paraId="7F92EFAF" w14:textId="77777777">
        <w:tc>
          <w:tcPr>
            <w:tcW w:w="2834" w:type="dxa"/>
            <w:tcBorders>
              <w:top w:val="single" w:sz="8" w:space="0" w:color="006633"/>
              <w:bottom w:val="single" w:sz="8" w:space="0" w:color="006633"/>
            </w:tcBorders>
          </w:tcPr>
          <w:p w14:paraId="420927B0" w14:textId="77777777" w:rsidR="005A7610" w:rsidRDefault="00000000">
            <w:pPr>
              <w:pStyle w:val="CETBodytext"/>
              <w:jc w:val="left"/>
            </w:pPr>
            <w:r>
              <w:t>Feature</w:t>
            </w:r>
          </w:p>
        </w:tc>
        <w:tc>
          <w:tcPr>
            <w:tcW w:w="5385" w:type="dxa"/>
            <w:tcBorders>
              <w:top w:val="single" w:sz="8" w:space="0" w:color="006633"/>
              <w:bottom w:val="single" w:sz="8" w:space="0" w:color="006633"/>
            </w:tcBorders>
          </w:tcPr>
          <w:p w14:paraId="74446992" w14:textId="77777777" w:rsidR="005A7610" w:rsidRDefault="00000000">
            <w:pPr>
              <w:pStyle w:val="CETBodytext"/>
              <w:jc w:val="left"/>
            </w:pPr>
            <w:r>
              <w:t>Value</w:t>
            </w:r>
          </w:p>
        </w:tc>
      </w:tr>
      <w:tr w:rsidR="005A7610" w14:paraId="39DC316E" w14:textId="77777777">
        <w:tc>
          <w:tcPr>
            <w:tcW w:w="2834" w:type="dxa"/>
          </w:tcPr>
          <w:p w14:paraId="43021146" w14:textId="77777777" w:rsidR="005A7610" w:rsidRPr="00AA7CBF" w:rsidRDefault="00000000">
            <w:pPr>
              <w:pStyle w:val="CETBodytext"/>
              <w:jc w:val="left"/>
            </w:pPr>
            <w:r w:rsidRPr="00AA7CBF">
              <w:t>Sensor array</w:t>
            </w:r>
          </w:p>
        </w:tc>
        <w:tc>
          <w:tcPr>
            <w:tcW w:w="5385" w:type="dxa"/>
          </w:tcPr>
          <w:p w14:paraId="415D7848" w14:textId="40F9AA00" w:rsidR="005A7610" w:rsidRPr="00AA7CBF" w:rsidRDefault="00000000">
            <w:pPr>
              <w:pStyle w:val="CETBodytext"/>
              <w:jc w:val="left"/>
            </w:pPr>
            <w:r w:rsidRPr="00AA7CBF">
              <w:t xml:space="preserve">32 sensors </w:t>
            </w:r>
          </w:p>
        </w:tc>
      </w:tr>
      <w:tr w:rsidR="005A7610" w14:paraId="1C7E72FE" w14:textId="77777777">
        <w:tc>
          <w:tcPr>
            <w:tcW w:w="2834" w:type="dxa"/>
          </w:tcPr>
          <w:p w14:paraId="4F61298B" w14:textId="77777777" w:rsidR="005A7610" w:rsidRPr="00AA7CBF" w:rsidRDefault="00000000">
            <w:pPr>
              <w:pStyle w:val="CETBodytext"/>
              <w:jc w:val="left"/>
            </w:pPr>
            <w:r w:rsidRPr="00AA7CBF">
              <w:t>Measurement range</w:t>
            </w:r>
          </w:p>
        </w:tc>
        <w:tc>
          <w:tcPr>
            <w:tcW w:w="5385" w:type="dxa"/>
          </w:tcPr>
          <w:p w14:paraId="5D839881" w14:textId="77777777" w:rsidR="005A7610" w:rsidRPr="00AA7CBF" w:rsidRDefault="00000000">
            <w:pPr>
              <w:pStyle w:val="CETBodytext"/>
              <w:jc w:val="left"/>
            </w:pPr>
            <w:r w:rsidRPr="00AA7CBF">
              <w:t xml:space="preserve">80 – 1,800 </w:t>
            </w:r>
            <w:proofErr w:type="spellStart"/>
            <w:r w:rsidRPr="00AA7CBF">
              <w:t>ou</w:t>
            </w:r>
            <w:r w:rsidRPr="00AA7CBF">
              <w:rPr>
                <w:vertAlign w:val="subscript"/>
              </w:rPr>
              <w:t>E</w:t>
            </w:r>
            <w:proofErr w:type="spellEnd"/>
            <w:r w:rsidRPr="00AA7CBF">
              <w:t>/m³</w:t>
            </w:r>
          </w:p>
        </w:tc>
      </w:tr>
      <w:tr w:rsidR="005A7610" w14:paraId="58213E5E" w14:textId="77777777">
        <w:tc>
          <w:tcPr>
            <w:tcW w:w="2834" w:type="dxa"/>
          </w:tcPr>
          <w:p w14:paraId="3A0E43DB" w14:textId="77777777" w:rsidR="005A7610" w:rsidRPr="00AA7CBF" w:rsidRDefault="00000000">
            <w:pPr>
              <w:pStyle w:val="CETBodytext"/>
              <w:jc w:val="left"/>
            </w:pPr>
            <w:r w:rsidRPr="00AA7CBF">
              <w:t>Response time</w:t>
            </w:r>
          </w:p>
        </w:tc>
        <w:tc>
          <w:tcPr>
            <w:tcW w:w="5385" w:type="dxa"/>
          </w:tcPr>
          <w:p w14:paraId="504DEA45" w14:textId="77777777" w:rsidR="005A7610" w:rsidRPr="00AA7CBF" w:rsidRDefault="00000000">
            <w:pPr>
              <w:pStyle w:val="CETBodytext"/>
              <w:jc w:val="left"/>
            </w:pPr>
            <w:r w:rsidRPr="00AA7CBF">
              <w:t>T</w:t>
            </w:r>
            <w:r w:rsidRPr="00AA7CBF">
              <w:rPr>
                <w:vertAlign w:val="subscript"/>
              </w:rPr>
              <w:t>90</w:t>
            </w:r>
            <w:r w:rsidRPr="00AA7CBF">
              <w:t xml:space="preserve"> &lt; 15 s (array average)</w:t>
            </w:r>
          </w:p>
        </w:tc>
      </w:tr>
      <w:tr w:rsidR="005A7610" w14:paraId="4C6C6927" w14:textId="77777777">
        <w:tc>
          <w:tcPr>
            <w:tcW w:w="2834" w:type="dxa"/>
          </w:tcPr>
          <w:p w14:paraId="0E628C2B" w14:textId="77777777" w:rsidR="005A7610" w:rsidRPr="00AA7CBF" w:rsidRDefault="00000000">
            <w:pPr>
              <w:pStyle w:val="CETBodytext"/>
              <w:jc w:val="left"/>
            </w:pPr>
            <w:r w:rsidRPr="00AA7CBF">
              <w:t>Span gas</w:t>
            </w:r>
          </w:p>
        </w:tc>
        <w:tc>
          <w:tcPr>
            <w:tcW w:w="5385" w:type="dxa"/>
          </w:tcPr>
          <w:p w14:paraId="75A8164C" w14:textId="77777777" w:rsidR="005A7610" w:rsidRPr="00AA7CBF" w:rsidRDefault="00000000">
            <w:pPr>
              <w:pStyle w:val="CETBodytext"/>
              <w:jc w:val="left"/>
            </w:pPr>
            <w:r w:rsidRPr="00AA7CBF">
              <w:t>n-butanol</w:t>
            </w:r>
          </w:p>
        </w:tc>
      </w:tr>
      <w:tr w:rsidR="005A7610" w14:paraId="10A2C26D" w14:textId="77777777">
        <w:tc>
          <w:tcPr>
            <w:tcW w:w="2834" w:type="dxa"/>
          </w:tcPr>
          <w:p w14:paraId="760AEDA2" w14:textId="77777777" w:rsidR="005A7610" w:rsidRPr="00AA7CBF" w:rsidRDefault="00000000">
            <w:pPr>
              <w:pStyle w:val="CETBodytext"/>
              <w:jc w:val="left"/>
            </w:pPr>
            <w:r w:rsidRPr="00AA7CBF">
              <w:t>Level 1 compliance</w:t>
            </w:r>
          </w:p>
        </w:tc>
        <w:tc>
          <w:tcPr>
            <w:tcW w:w="5385" w:type="dxa"/>
          </w:tcPr>
          <w:p w14:paraId="1C4B5258" w14:textId="77777777" w:rsidR="005A7610" w:rsidRPr="00AA7CBF" w:rsidRDefault="00000000">
            <w:pPr>
              <w:pStyle w:val="CETBodytext"/>
              <w:jc w:val="left"/>
            </w:pPr>
            <w:r w:rsidRPr="00AA7CBF">
              <w:t>UNI 11761:2023 (manufacturer-qualified)</w:t>
            </w:r>
          </w:p>
        </w:tc>
      </w:tr>
      <w:tr w:rsidR="005A7610" w14:paraId="2949679A" w14:textId="77777777">
        <w:tc>
          <w:tcPr>
            <w:tcW w:w="2834" w:type="dxa"/>
            <w:tcBorders>
              <w:bottom w:val="single" w:sz="8" w:space="0" w:color="006633"/>
            </w:tcBorders>
          </w:tcPr>
          <w:p w14:paraId="4F099BE0" w14:textId="77777777" w:rsidR="005A7610" w:rsidRPr="00AA7CBF" w:rsidRDefault="00000000">
            <w:pPr>
              <w:pStyle w:val="CETBodytext"/>
              <w:jc w:val="left"/>
            </w:pPr>
            <w:r w:rsidRPr="00AA7CBF">
              <w:t>Output</w:t>
            </w:r>
          </w:p>
        </w:tc>
        <w:tc>
          <w:tcPr>
            <w:tcW w:w="5385" w:type="dxa"/>
            <w:tcBorders>
              <w:bottom w:val="single" w:sz="8" w:space="0" w:color="006633"/>
            </w:tcBorders>
          </w:tcPr>
          <w:p w14:paraId="3EADB6C5" w14:textId="2EF694BC" w:rsidR="005A7610" w:rsidRPr="00AA7CBF" w:rsidRDefault="005972F6">
            <w:pPr>
              <w:pStyle w:val="CETBodytext"/>
              <w:jc w:val="left"/>
            </w:pPr>
            <w:proofErr w:type="spellStart"/>
            <w:r>
              <w:t>i</w:t>
            </w:r>
            <w:r w:rsidR="00000000" w:rsidRPr="00AA7CBF">
              <w:t>ou</w:t>
            </w:r>
            <w:proofErr w:type="spellEnd"/>
            <w:r w:rsidR="00000000" w:rsidRPr="00AA7CBF">
              <w:t xml:space="preserve">, </w:t>
            </w:r>
            <w:proofErr w:type="spellStart"/>
            <w:r w:rsidR="00000000" w:rsidRPr="00AA7CBF">
              <w:t>odour</w:t>
            </w:r>
            <w:proofErr w:type="spellEnd"/>
            <w:r w:rsidR="00000000" w:rsidRPr="00AA7CBF">
              <w:t xml:space="preserve"> ID, raw sensor signals</w:t>
            </w:r>
          </w:p>
        </w:tc>
      </w:tr>
    </w:tbl>
    <w:p w14:paraId="00185617" w14:textId="77777777" w:rsidR="005A7610" w:rsidRDefault="00000000">
      <w:pPr>
        <w:pStyle w:val="CETheadingx"/>
      </w:pPr>
      <w:r>
        <w:t>Level 2 verification</w:t>
      </w:r>
    </w:p>
    <w:p w14:paraId="6F889D6E" w14:textId="53B0D155" w:rsidR="00AA46BD" w:rsidRPr="00AA46BD" w:rsidRDefault="00915AFB" w:rsidP="00AA46BD">
      <w:pPr>
        <w:pStyle w:val="CETBodytext"/>
      </w:pPr>
      <w:r>
        <w:rPr>
          <w:lang w:val="en-GB"/>
        </w:rPr>
        <w:t>L</w:t>
      </w:r>
      <w:r w:rsidRPr="00915AFB">
        <w:rPr>
          <w:lang w:val="en-GB"/>
        </w:rPr>
        <w:t>evel 2 verification is based on the comparison between IOMS outputs and odour concentration determined by dynamic olfactometry according to the reference method (CEN, 2022). UNI 11761:2023 assesses system performance using Bland–Altman analysis</w:t>
      </w:r>
      <w:r w:rsidR="00B95E1F">
        <w:rPr>
          <w:lang w:val="en-GB"/>
        </w:rPr>
        <w:t xml:space="preserve"> </w:t>
      </w:r>
      <w:r w:rsidR="00B95E1F" w:rsidRPr="009F1660">
        <w:rPr>
          <w:lang w:val="en-GB"/>
        </w:rPr>
        <w:t>(</w:t>
      </w:r>
      <w:r w:rsidR="001548A9" w:rsidRPr="009F1660">
        <w:rPr>
          <w:lang w:val="en-GB"/>
        </w:rPr>
        <w:t>Bland and Altman, 1986</w:t>
      </w:r>
      <w:r w:rsidR="00B95E1F" w:rsidRPr="009F1660">
        <w:rPr>
          <w:lang w:val="en-GB"/>
        </w:rPr>
        <w:t>)</w:t>
      </w:r>
      <w:r w:rsidR="00D40412" w:rsidRPr="009F1660">
        <w:rPr>
          <w:lang w:val="en-GB"/>
        </w:rPr>
        <w:t>.</w:t>
      </w:r>
      <w:r w:rsidR="00B95E1F" w:rsidRPr="009F1660">
        <w:rPr>
          <w:lang w:val="en-GB"/>
        </w:rPr>
        <w:t xml:space="preserve"> T</w:t>
      </w:r>
      <w:r w:rsidR="00505AFA" w:rsidRPr="009F1660">
        <w:t xml:space="preserve">o comply with the </w:t>
      </w:r>
      <w:r w:rsidR="00D40412" w:rsidRPr="009F1660">
        <w:rPr>
          <w:lang w:val="en-GB"/>
        </w:rPr>
        <w:t>standard requ</w:t>
      </w:r>
      <w:r w:rsidRPr="009F1660">
        <w:rPr>
          <w:lang w:val="en-GB"/>
        </w:rPr>
        <w:t>iremen</w:t>
      </w:r>
      <w:r w:rsidR="00505AFA" w:rsidRPr="009F1660">
        <w:rPr>
          <w:lang w:val="en-GB"/>
        </w:rPr>
        <w:t>t</w:t>
      </w:r>
      <w:r w:rsidR="00D40412" w:rsidRPr="009F1660">
        <w:rPr>
          <w:lang w:val="en-GB"/>
        </w:rPr>
        <w:t>,</w:t>
      </w:r>
      <w:r w:rsidR="00505AFA" w:rsidRPr="009F1660">
        <w:rPr>
          <w:lang w:val="en-GB"/>
        </w:rPr>
        <w:t xml:space="preserve"> i.e. </w:t>
      </w:r>
      <w:r w:rsidRPr="009F1660">
        <w:rPr>
          <w:lang w:val="en-GB"/>
        </w:rPr>
        <w:t>to ensure that performance is evaluated under environmental conditions representative of seasonal variability</w:t>
      </w:r>
      <w:r w:rsidR="00505AFA" w:rsidRPr="009F1660">
        <w:rPr>
          <w:lang w:val="en-GB"/>
        </w:rPr>
        <w:t>, Level 2 verification is performed every six months</w:t>
      </w:r>
      <w:r w:rsidR="00275533" w:rsidRPr="009F1660">
        <w:rPr>
          <w:lang w:val="en-GB"/>
        </w:rPr>
        <w:t xml:space="preserve"> for systems operating </w:t>
      </w:r>
      <w:r w:rsidR="00B95E1F" w:rsidRPr="009F1660">
        <w:rPr>
          <w:lang w:val="en-GB"/>
        </w:rPr>
        <w:t>continuously for more</w:t>
      </w:r>
      <w:r w:rsidR="00275533" w:rsidRPr="009F1660">
        <w:rPr>
          <w:lang w:val="en-GB"/>
        </w:rPr>
        <w:t xml:space="preserve"> than one year.</w:t>
      </w:r>
      <w:r w:rsidR="00A179FE" w:rsidRPr="009F1660">
        <w:rPr>
          <w:lang w:val="en-GB"/>
        </w:rPr>
        <w:t xml:space="preserve"> </w:t>
      </w:r>
      <w:r w:rsidRPr="009F1660">
        <w:rPr>
          <w:lang w:val="en-GB"/>
        </w:rPr>
        <w:t xml:space="preserve">In </w:t>
      </w:r>
      <w:r w:rsidR="004065C3" w:rsidRPr="009F1660">
        <w:rPr>
          <w:lang w:val="en-GB"/>
        </w:rPr>
        <w:t xml:space="preserve">field </w:t>
      </w:r>
      <w:r w:rsidRPr="009F1660">
        <w:rPr>
          <w:lang w:val="en-GB"/>
        </w:rPr>
        <w:t>operational conditions</w:t>
      </w:r>
      <w:r w:rsidR="00DE48CC" w:rsidRPr="009F1660">
        <w:rPr>
          <w:lang w:val="en-GB"/>
        </w:rPr>
        <w:t xml:space="preserve">, </w:t>
      </w:r>
      <w:r w:rsidR="004065C3" w:rsidRPr="009F1660">
        <w:rPr>
          <w:lang w:val="en-GB"/>
        </w:rPr>
        <w:t xml:space="preserve">sample </w:t>
      </w:r>
      <w:r w:rsidR="00502872">
        <w:rPr>
          <w:lang w:val="en-GB"/>
        </w:rPr>
        <w:t>presentations</w:t>
      </w:r>
      <w:r w:rsidR="00DE48CC" w:rsidRPr="009F1660">
        <w:rPr>
          <w:lang w:val="en-GB"/>
        </w:rPr>
        <w:t xml:space="preserve"> are </w:t>
      </w:r>
      <w:r w:rsidRPr="009F1660">
        <w:rPr>
          <w:lang w:val="en-GB"/>
        </w:rPr>
        <w:t xml:space="preserve">typically carried out </w:t>
      </w:r>
      <w:r w:rsidR="00DE48CC" w:rsidRPr="009F1660">
        <w:rPr>
          <w:lang w:val="en-GB"/>
        </w:rPr>
        <w:t>without prior knowledge of the actual odour concentration o</w:t>
      </w:r>
      <w:r w:rsidR="00B95E1F" w:rsidRPr="009F1660">
        <w:rPr>
          <w:lang w:val="en-GB"/>
        </w:rPr>
        <w:t>f</w:t>
      </w:r>
      <w:r w:rsidR="00DE48CC" w:rsidRPr="009F1660">
        <w:rPr>
          <w:lang w:val="en-GB"/>
        </w:rPr>
        <w:t xml:space="preserve"> the samples, and raw sensor signals are not directly inspected during acquisition. </w:t>
      </w:r>
      <w:r w:rsidR="00B95E1F" w:rsidRPr="009F1660">
        <w:t xml:space="preserve">Consequently, </w:t>
      </w:r>
      <w:r w:rsidR="00DE48CC" w:rsidRPr="009F1660">
        <w:rPr>
          <w:lang w:val="en-GB"/>
        </w:rPr>
        <w:t xml:space="preserve">a data pre-processing procedure </w:t>
      </w:r>
      <w:r w:rsidR="00B95E1F" w:rsidRPr="009F1660">
        <w:rPr>
          <w:lang w:val="en-GB"/>
        </w:rPr>
        <w:t>was</w:t>
      </w:r>
      <w:r w:rsidR="00DE48CC" w:rsidRPr="009F1660">
        <w:rPr>
          <w:lang w:val="en-GB"/>
        </w:rPr>
        <w:t xml:space="preserve"> </w:t>
      </w:r>
      <w:r w:rsidR="00B95E1F" w:rsidRPr="009F1660">
        <w:rPr>
          <w:lang w:val="en-GB"/>
        </w:rPr>
        <w:t>developed</w:t>
      </w:r>
      <w:r w:rsidR="00DE48CC" w:rsidRPr="009F1660">
        <w:rPr>
          <w:lang w:val="en-GB"/>
        </w:rPr>
        <w:t xml:space="preserve"> prior to Bland–Altman analysis </w:t>
      </w:r>
      <w:r w:rsidR="00B95E1F" w:rsidRPr="009F1660">
        <w:rPr>
          <w:lang w:val="en-GB"/>
        </w:rPr>
        <w:t xml:space="preserve">in order </w:t>
      </w:r>
      <w:r w:rsidR="00DE48CC" w:rsidRPr="009F1660">
        <w:rPr>
          <w:lang w:val="en-GB"/>
        </w:rPr>
        <w:t xml:space="preserve">to </w:t>
      </w:r>
      <w:r w:rsidR="00B95E1F" w:rsidRPr="009F1660">
        <w:rPr>
          <w:lang w:val="en-GB"/>
        </w:rPr>
        <w:t>evaluate</w:t>
      </w:r>
      <w:r w:rsidR="00DE48CC" w:rsidRPr="009F1660">
        <w:rPr>
          <w:lang w:val="en-GB"/>
        </w:rPr>
        <w:t xml:space="preserve"> the quality of the </w:t>
      </w:r>
      <w:r w:rsidR="004065C3" w:rsidRPr="009F1660">
        <w:rPr>
          <w:lang w:val="en-GB"/>
        </w:rPr>
        <w:t xml:space="preserve">sample </w:t>
      </w:r>
      <w:r w:rsidR="00502872">
        <w:rPr>
          <w:lang w:val="en-GB"/>
        </w:rPr>
        <w:t>presentation</w:t>
      </w:r>
      <w:r w:rsidR="00DE48CC" w:rsidRPr="009F1660">
        <w:rPr>
          <w:lang w:val="en-GB"/>
        </w:rPr>
        <w:t xml:space="preserve"> and </w:t>
      </w:r>
      <w:r w:rsidR="00B95E1F" w:rsidRPr="009F1660">
        <w:rPr>
          <w:lang w:val="en-GB"/>
        </w:rPr>
        <w:t xml:space="preserve">to </w:t>
      </w:r>
      <w:r w:rsidRPr="009F1660">
        <w:rPr>
          <w:lang w:val="en-GB"/>
        </w:rPr>
        <w:t>retain</w:t>
      </w:r>
      <w:r w:rsidR="00B95E1F" w:rsidRPr="009F1660">
        <w:rPr>
          <w:lang w:val="en-GB"/>
        </w:rPr>
        <w:t xml:space="preserve"> only </w:t>
      </w:r>
      <w:r w:rsidR="00DE48CC" w:rsidRPr="009F1660">
        <w:rPr>
          <w:lang w:val="en-GB"/>
        </w:rPr>
        <w:t xml:space="preserve">reliable observations. This step is </w:t>
      </w:r>
      <w:r w:rsidR="00B95E1F" w:rsidRPr="009F1660">
        <w:rPr>
          <w:lang w:val="en-GB"/>
        </w:rPr>
        <w:t>essential</w:t>
      </w:r>
      <w:r w:rsidR="00DE48CC" w:rsidRPr="009F1660">
        <w:rPr>
          <w:lang w:val="en-GB"/>
        </w:rPr>
        <w:t xml:space="preserve"> to avoid </w:t>
      </w:r>
      <w:r w:rsidRPr="009F1660">
        <w:rPr>
          <w:lang w:val="en-GB"/>
        </w:rPr>
        <w:t xml:space="preserve">including </w:t>
      </w:r>
      <w:r w:rsidR="00DE48CC" w:rsidRPr="009F1660">
        <w:rPr>
          <w:lang w:val="en-GB"/>
        </w:rPr>
        <w:t xml:space="preserve">low-quality </w:t>
      </w:r>
      <w:r w:rsidR="00B70323" w:rsidRPr="009F1660">
        <w:rPr>
          <w:lang w:val="en-GB"/>
        </w:rPr>
        <w:t>measurement</w:t>
      </w:r>
      <w:r w:rsidR="00DE48CC" w:rsidRPr="009F1660">
        <w:rPr>
          <w:lang w:val="en-GB"/>
        </w:rPr>
        <w:t xml:space="preserve"> events</w:t>
      </w:r>
      <w:r w:rsidRPr="009F1660">
        <w:rPr>
          <w:lang w:val="en-GB"/>
        </w:rPr>
        <w:t xml:space="preserve"> in the analysis,</w:t>
      </w:r>
      <w:r w:rsidR="00DE48CC" w:rsidRPr="009F1660">
        <w:rPr>
          <w:lang w:val="en-GB"/>
        </w:rPr>
        <w:t xml:space="preserve"> which could </w:t>
      </w:r>
      <w:r w:rsidRPr="009F1660">
        <w:rPr>
          <w:lang w:val="en-GB"/>
        </w:rPr>
        <w:t xml:space="preserve">otherwise </w:t>
      </w:r>
      <w:r w:rsidR="00DE48CC" w:rsidRPr="009F1660">
        <w:rPr>
          <w:lang w:val="en-GB"/>
        </w:rPr>
        <w:t xml:space="preserve">compromise the robustness and interpretability of the performance </w:t>
      </w:r>
      <w:r w:rsidRPr="009F1660">
        <w:rPr>
          <w:lang w:val="en-GB"/>
        </w:rPr>
        <w:t>assessment.</w:t>
      </w:r>
      <w:r w:rsidR="00DE48CC" w:rsidRPr="009F1660">
        <w:rPr>
          <w:lang w:val="en-GB"/>
        </w:rPr>
        <w:t xml:space="preserve"> </w:t>
      </w:r>
      <w:r w:rsidR="00B95E1F" w:rsidRPr="009F1660">
        <w:t xml:space="preserve">Since </w:t>
      </w:r>
      <w:r w:rsidR="006D1C61" w:rsidRPr="009F1660">
        <w:t>raw sensor signals c</w:t>
      </w:r>
      <w:r w:rsidR="00B95E1F" w:rsidRPr="009F1660">
        <w:t>an</w:t>
      </w:r>
      <w:r w:rsidR="006D1C61" w:rsidRPr="009F1660">
        <w:t xml:space="preserve"> be affected by noise, drift and memory effects (</w:t>
      </w:r>
      <w:r w:rsidR="002C6C97" w:rsidRPr="009F1660">
        <w:rPr>
          <w:lang w:val="en-GB"/>
        </w:rPr>
        <w:t>Gardner and Bartlett, 1999; Capelli et al., 2014</w:t>
      </w:r>
      <w:r w:rsidR="00334A59" w:rsidRPr="009F1660">
        <w:rPr>
          <w:lang w:val="en-GB"/>
        </w:rPr>
        <w:t>; Yan et al., 20</w:t>
      </w:r>
      <w:r w:rsidR="005A01F0" w:rsidRPr="009F1660">
        <w:rPr>
          <w:lang w:val="en-GB"/>
        </w:rPr>
        <w:t>1</w:t>
      </w:r>
      <w:r w:rsidR="00334A59" w:rsidRPr="009F1660">
        <w:rPr>
          <w:lang w:val="en-GB"/>
        </w:rPr>
        <w:t>5</w:t>
      </w:r>
      <w:r w:rsidR="002C6C97" w:rsidRPr="009F1660">
        <w:rPr>
          <w:lang w:val="en-GB"/>
        </w:rPr>
        <w:t>)</w:t>
      </w:r>
      <w:r w:rsidR="006D1C61" w:rsidRPr="009F1660">
        <w:t xml:space="preserve">, </w:t>
      </w:r>
      <w:r w:rsidR="00B95E1F" w:rsidRPr="009F1660">
        <w:t>the</w:t>
      </w:r>
      <w:r w:rsidR="006D1C61">
        <w:t xml:space="preserve"> data pre-selection procedure </w:t>
      </w:r>
      <w:r w:rsidR="00AA46BD" w:rsidRPr="00AA46BD">
        <w:t xml:space="preserve">was based on </w:t>
      </w:r>
      <w:r w:rsidR="00896577">
        <w:t>a multi-step approach with the aim</w:t>
      </w:r>
      <w:r w:rsidR="00AA46BD" w:rsidRPr="00AA46BD">
        <w:t xml:space="preserve"> to detect and quantify these disturbances.</w:t>
      </w:r>
    </w:p>
    <w:p w14:paraId="14A33D6E" w14:textId="77777777" w:rsidR="000C2FBE" w:rsidRDefault="000C2FBE">
      <w:pPr>
        <w:pStyle w:val="CETBodytext"/>
        <w:rPr>
          <w:b/>
          <w:lang w:val="en-GB"/>
        </w:rPr>
      </w:pPr>
    </w:p>
    <w:p w14:paraId="2CBFF6F3" w14:textId="3C096197" w:rsidR="000A10ED" w:rsidRPr="000C2FBE" w:rsidRDefault="000C2FBE">
      <w:pPr>
        <w:pStyle w:val="CETBodytext"/>
        <w:rPr>
          <w:b/>
        </w:rPr>
      </w:pPr>
      <w:r w:rsidRPr="000C2FBE">
        <w:rPr>
          <w:b/>
        </w:rPr>
        <w:t>2.2.1</w:t>
      </w:r>
      <w:r>
        <w:rPr>
          <w:b/>
        </w:rPr>
        <w:t xml:space="preserve"> Pre</w:t>
      </w:r>
      <w:r w:rsidR="00896577">
        <w:rPr>
          <w:b/>
        </w:rPr>
        <w:t xml:space="preserve"> </w:t>
      </w:r>
      <w:r>
        <w:rPr>
          <w:b/>
        </w:rPr>
        <w:t>-</w:t>
      </w:r>
      <w:r w:rsidR="00896577">
        <w:rPr>
          <w:b/>
        </w:rPr>
        <w:t xml:space="preserve"> </w:t>
      </w:r>
      <w:r>
        <w:rPr>
          <w:b/>
        </w:rPr>
        <w:t>processing data</w:t>
      </w:r>
      <w:r w:rsidR="008517E4">
        <w:rPr>
          <w:b/>
        </w:rPr>
        <w:t xml:space="preserve"> analysis</w:t>
      </w:r>
    </w:p>
    <w:p w14:paraId="40AB6D59" w14:textId="26890405" w:rsidR="005A7610" w:rsidRDefault="0062214E" w:rsidP="0062214E">
      <w:pPr>
        <w:pStyle w:val="CETBodytext"/>
      </w:pPr>
      <w:r w:rsidRPr="0062214E">
        <w:rPr>
          <w:lang w:val="en-GB"/>
        </w:rPr>
        <w:t>The data pre-processing procedure was developed based on the analysis of the IOMS sensor array, with specific reference to the response behaviour of polymer-based sensors, which typically exhibit heterogeneous sensitivity within the array</w:t>
      </w:r>
      <w:r w:rsidR="00AA46BD" w:rsidRPr="000A10ED">
        <w:rPr>
          <w:lang w:val="en-GB"/>
        </w:rPr>
        <w:t xml:space="preserve">. </w:t>
      </w:r>
      <w:r w:rsidRPr="0062214E">
        <w:rPr>
          <w:lang w:val="en-GB"/>
        </w:rPr>
        <w:t>Accordingly, a stepwise filtering approach was implemented to identify robust and representative observations prior to Bland–Altman analysis.</w:t>
      </w:r>
    </w:p>
    <w:p w14:paraId="21CD0B57" w14:textId="797CEA7F" w:rsidR="000A10ED" w:rsidRDefault="000A10ED" w:rsidP="00896577">
      <w:pPr>
        <w:pStyle w:val="CETBodytext"/>
      </w:pPr>
      <w:r w:rsidRPr="0062214E">
        <w:rPr>
          <w:b/>
          <w:bCs/>
          <w:i/>
          <w:iCs/>
        </w:rPr>
        <w:t>Active sensor selection</w:t>
      </w:r>
      <w:r>
        <w:t xml:space="preserve">. For each sensor and each </w:t>
      </w:r>
      <w:r w:rsidR="00502872">
        <w:t>exposure</w:t>
      </w:r>
      <w:r>
        <w:t xml:space="preserve"> event, a response amplitude </w:t>
      </w:r>
      <w:r w:rsidR="000C2FBE">
        <w:t>was computed</w:t>
      </w:r>
      <w:r w:rsidR="0062214E">
        <w:t xml:space="preserve"> as</w:t>
      </w:r>
      <w:r w:rsidR="000C2FBE">
        <w:t>:</w:t>
      </w:r>
    </w:p>
    <w:p w14:paraId="68D2FDEC" w14:textId="299EBAF5" w:rsidR="000A10ED" w:rsidRPr="00AC7E4F" w:rsidRDefault="000A10ED" w:rsidP="000A10ED">
      <w:pPr>
        <w:pStyle w:val="CETBodytext"/>
        <w:rPr>
          <w:rFonts w:cs="Arial"/>
          <w:iCs/>
        </w:rPr>
      </w:pPr>
      <m:oMath>
        <m:r>
          <w:rPr>
            <w:rFonts w:ascii="Cambria Math" w:hAnsi="Cambria Math" w:cs="Arial"/>
          </w:rPr>
          <m:t xml:space="preserve">∆S=B- </m:t>
        </m:r>
        <m:sSub>
          <m:sSubPr>
            <m:ctrlPr>
              <w:rPr>
                <w:rFonts w:ascii="Cambria Math" w:hAnsi="Cambria Math" w:cs="Arial"/>
                <w:i/>
              </w:rPr>
            </m:ctrlPr>
          </m:sSubPr>
          <m:e>
            <m:r>
              <w:rPr>
                <w:rFonts w:ascii="Cambria Math" w:hAnsi="Cambria Math" w:cs="Arial"/>
              </w:rPr>
              <m:t>S</m:t>
            </m:r>
          </m:e>
          <m:sub>
            <m:r>
              <w:rPr>
                <w:rFonts w:ascii="Cambria Math" w:hAnsi="Cambria Math" w:cs="Arial"/>
              </w:rPr>
              <m:t>min</m:t>
            </m:r>
          </m:sub>
        </m:sSub>
      </m:oMath>
      <w:r w:rsidR="00AC7E4F">
        <w:rPr>
          <w:rFonts w:cs="Arial"/>
          <w:i/>
        </w:rPr>
        <w:tab/>
      </w:r>
      <w:r w:rsidR="00AC7E4F" w:rsidRPr="00AC7E4F">
        <w:rPr>
          <w:rFonts w:cs="Arial"/>
          <w:iCs/>
        </w:rPr>
        <w:t>(1)</w:t>
      </w:r>
    </w:p>
    <w:p w14:paraId="58FB9BB6" w14:textId="3CD875D9" w:rsidR="00560488" w:rsidRDefault="000A10ED" w:rsidP="000A10ED">
      <w:pPr>
        <w:pStyle w:val="CETBodytext"/>
      </w:pPr>
      <w:r>
        <w:lastRenderedPageBreak/>
        <w:t xml:space="preserve">where B is the baseline average </w:t>
      </w:r>
      <w:r w:rsidR="0062214E">
        <w:t>over</w:t>
      </w:r>
      <w:r>
        <w:t xml:space="preserve"> the 120 s preceding the </w:t>
      </w:r>
      <w:r w:rsidR="004065C3">
        <w:t xml:space="preserve">sample </w:t>
      </w:r>
      <w:r w:rsidR="00502872">
        <w:t>presentation</w:t>
      </w:r>
      <w:r>
        <w:t xml:space="preserve"> and </w:t>
      </w:r>
      <w:proofErr w:type="spellStart"/>
      <w:r>
        <w:t>S</w:t>
      </w:r>
      <w:r>
        <w:rPr>
          <w:vertAlign w:val="subscript"/>
        </w:rPr>
        <w:t>min</w:t>
      </w:r>
      <w:proofErr w:type="spellEnd"/>
      <w:r>
        <w:t xml:space="preserve"> is the minimum signal recorded</w:t>
      </w:r>
      <w:r w:rsidR="00502872">
        <w:t xml:space="preserve"> during the exposure</w:t>
      </w:r>
      <w:r w:rsidR="00560488">
        <w:t xml:space="preserve">, </w:t>
      </w:r>
      <w:r w:rsidR="00560488" w:rsidRPr="00560488">
        <w:rPr>
          <w:lang w:val="en-GB"/>
        </w:rPr>
        <w:t>reflecting the downward (negative) response of the sensor</w:t>
      </w:r>
      <w:r w:rsidR="00560488">
        <w:rPr>
          <w:lang w:val="en-GB"/>
        </w:rPr>
        <w:t>.</w:t>
      </w:r>
      <w:r>
        <w:t xml:space="preserve"> </w:t>
      </w:r>
      <w:r w:rsidR="0062214E" w:rsidRPr="0062214E">
        <w:rPr>
          <w:lang w:val="en-GB"/>
        </w:rPr>
        <w:t>A sensor was classified as active when the following conditions were simultaneously satisfied</w:t>
      </w:r>
      <w:r>
        <w:t>:</w:t>
      </w:r>
    </w:p>
    <w:p w14:paraId="1AAE811B" w14:textId="475B7F52" w:rsidR="00AC7E4F" w:rsidRDefault="000A10ED" w:rsidP="000A10ED">
      <w:pPr>
        <w:pStyle w:val="CETBodytext"/>
      </w:pPr>
      <w:r>
        <w:t>(</w:t>
      </w:r>
      <w:proofErr w:type="spellStart"/>
      <w:r>
        <w:t>i</w:t>
      </w:r>
      <w:proofErr w:type="spellEnd"/>
      <w:r>
        <w:t>) signal-to-noise ratio ΔS/</w:t>
      </w:r>
      <w:proofErr w:type="spellStart"/>
      <w:r>
        <w:t>σ</w:t>
      </w:r>
      <w:r>
        <w:rPr>
          <w:vertAlign w:val="subscript"/>
        </w:rPr>
        <w:t>B</w:t>
      </w:r>
      <w:proofErr w:type="spellEnd"/>
      <w:r>
        <w:t xml:space="preserve"> ≥ 3, where </w:t>
      </w:r>
      <w:proofErr w:type="spellStart"/>
      <w:r>
        <w:t>σ</w:t>
      </w:r>
      <w:r>
        <w:rPr>
          <w:vertAlign w:val="subscript"/>
        </w:rPr>
        <w:t>B</w:t>
      </w:r>
      <w:proofErr w:type="spellEnd"/>
      <w:r>
        <w:t xml:space="preserve"> is the standard deviation of the baseline signal; </w:t>
      </w:r>
    </w:p>
    <w:p w14:paraId="743D48E3" w14:textId="21FDA08C" w:rsidR="00AC7E4F" w:rsidRDefault="000A10ED" w:rsidP="000A10ED">
      <w:pPr>
        <w:pStyle w:val="CETBodytext"/>
      </w:pPr>
      <w:r>
        <w:t>(i</w:t>
      </w:r>
      <w:r w:rsidR="00896577">
        <w:t>i</w:t>
      </w:r>
      <w:r>
        <w:t>) relative response ΔS/B ≥ 0.10.</w:t>
      </w:r>
      <w:r w:rsidR="008125E9">
        <w:t xml:space="preserve"> </w:t>
      </w:r>
      <w:r w:rsidR="002C6C97" w:rsidRPr="002C6C97">
        <w:rPr>
          <w:lang w:val="en-GB"/>
        </w:rPr>
        <w:t xml:space="preserve">This threshold was introduced as a pragmatic criterion to exclude small signal variations likely dominated by noise and short-term </w:t>
      </w:r>
      <w:r w:rsidR="002C6C97" w:rsidRPr="009F1660">
        <w:rPr>
          <w:lang w:val="en-GB"/>
        </w:rPr>
        <w:t>drift</w:t>
      </w:r>
      <w:r w:rsidR="005A01F0" w:rsidRPr="009F1660">
        <w:rPr>
          <w:lang w:val="en-GB"/>
        </w:rPr>
        <w:t xml:space="preserve"> (Padilla, 2010)</w:t>
      </w:r>
      <w:r w:rsidR="002C6C97" w:rsidRPr="009F1660">
        <w:rPr>
          <w:lang w:val="en-GB"/>
        </w:rPr>
        <w:t>.</w:t>
      </w:r>
      <w:r w:rsidR="002C6C97" w:rsidRPr="002C6C97">
        <w:rPr>
          <w:lang w:val="en-GB"/>
        </w:rPr>
        <w:t xml:space="preserve"> </w:t>
      </w:r>
    </w:p>
    <w:p w14:paraId="0E115CB6" w14:textId="339B9F5C" w:rsidR="000A10ED" w:rsidRDefault="000A10ED" w:rsidP="000A10ED">
      <w:pPr>
        <w:pStyle w:val="CETBodytext"/>
      </w:pPr>
      <w:r>
        <w:t>Only active sensors contributed to the subsequent indicators.</w:t>
      </w:r>
    </w:p>
    <w:p w14:paraId="4B1E7747" w14:textId="0E4D3C21" w:rsidR="000A10ED" w:rsidRDefault="000A10ED" w:rsidP="000A10ED">
      <w:pPr>
        <w:pStyle w:val="CETBodytext"/>
      </w:pPr>
      <w:r w:rsidRPr="00F33ED9">
        <w:rPr>
          <w:b/>
          <w:bCs/>
          <w:i/>
          <w:iCs/>
        </w:rPr>
        <w:t>Carry-over criterion</w:t>
      </w:r>
      <w:r>
        <w:t xml:space="preserve">. To account for sensor memory effects, particularly relevant when a high-concentration sample is followed by a lower-concentration one, a carry-over index was </w:t>
      </w:r>
      <w:r w:rsidR="0062214E">
        <w:t xml:space="preserve">defined as: </w:t>
      </w:r>
    </w:p>
    <w:p w14:paraId="6CC96392" w14:textId="7BDE6217" w:rsidR="00AC7E4F" w:rsidRPr="00AC7E4F" w:rsidRDefault="00AC7E4F" w:rsidP="00AC7E4F">
      <w:pPr>
        <w:pStyle w:val="CETEquation"/>
      </w:pPr>
      <m:oMath>
        <m:r>
          <w:rPr>
            <w:rFonts w:ascii="Cambria Math" w:hAnsi="Cambria Math" w:cs="Arial"/>
          </w:rPr>
          <m:t>Carry over=</m:t>
        </m:r>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B</m:t>
                </m:r>
              </m:e>
              <m:sub>
                <m:r>
                  <w:rPr>
                    <w:rFonts w:ascii="Cambria Math" w:hAnsi="Cambria Math" w:cs="Arial"/>
                  </w:rPr>
                  <m:t>A</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S</m:t>
                </m:r>
              </m:e>
              <m:sub>
                <m:r>
                  <w:rPr>
                    <w:rFonts w:ascii="Cambria Math" w:hAnsi="Cambria Math" w:cs="Arial"/>
                  </w:rPr>
                  <m:t>pre, B</m:t>
                </m:r>
              </m:sub>
            </m:sSub>
            <m:r>
              <w:rPr>
                <w:rFonts w:ascii="Cambria Math" w:hAnsi="Cambria Math" w:cs="Arial"/>
              </w:rPr>
              <m:t>|</m:t>
            </m:r>
          </m:num>
          <m:den>
            <m:sSub>
              <m:sSubPr>
                <m:ctrlPr>
                  <w:rPr>
                    <w:rFonts w:ascii="Cambria Math" w:hAnsi="Cambria Math" w:cs="Arial"/>
                    <w:i/>
                  </w:rPr>
                </m:ctrlPr>
              </m:sSubPr>
              <m:e>
                <m:r>
                  <m:rPr>
                    <m:sty m:val="p"/>
                  </m:rPr>
                  <w:rPr>
                    <w:rFonts w:ascii="Cambria Math" w:hAnsi="Cambria Math"/>
                  </w:rPr>
                  <m:t>Δ</m:t>
                </m:r>
                <m:r>
                  <m:rPr>
                    <m:sty m:val="p"/>
                  </m:rPr>
                  <w:rPr>
                    <w:rFonts w:ascii="Cambria Math"/>
                  </w:rPr>
                  <m:t>S</m:t>
                </m:r>
              </m:e>
              <m:sub>
                <m:r>
                  <w:rPr>
                    <w:rFonts w:ascii="Cambria Math" w:hAnsi="Cambria Math" w:cs="Arial"/>
                  </w:rPr>
                  <m:t>A</m:t>
                </m:r>
              </m:sub>
            </m:sSub>
          </m:den>
        </m:f>
      </m:oMath>
      <w:r>
        <w:t xml:space="preserve"> </w:t>
      </w:r>
      <w:r>
        <w:tab/>
        <w:t>(2)</w:t>
      </w:r>
    </w:p>
    <w:p w14:paraId="2F05276A" w14:textId="70A3E5DC" w:rsidR="000A10ED" w:rsidRDefault="000A10ED" w:rsidP="000A10ED">
      <w:pPr>
        <w:pStyle w:val="CETBodytext"/>
      </w:pPr>
      <w:r>
        <w:t>where B</w:t>
      </w:r>
      <w:r>
        <w:rPr>
          <w:vertAlign w:val="subscript"/>
        </w:rPr>
        <w:t>A</w:t>
      </w:r>
      <w:r>
        <w:t xml:space="preserve"> is the baseline average of the previous event, </w:t>
      </w:r>
      <w:proofErr w:type="spellStart"/>
      <w:proofErr w:type="gramStart"/>
      <w:r>
        <w:t>S</w:t>
      </w:r>
      <w:r>
        <w:rPr>
          <w:vertAlign w:val="subscript"/>
        </w:rPr>
        <w:t>pre,B</w:t>
      </w:r>
      <w:proofErr w:type="spellEnd"/>
      <w:proofErr w:type="gramEnd"/>
      <w:r>
        <w:t xml:space="preserve"> is the signal immediately preceding the current event, and ΔS</w:t>
      </w:r>
      <w:r>
        <w:rPr>
          <w:vertAlign w:val="subscript"/>
        </w:rPr>
        <w:t>A</w:t>
      </w:r>
      <w:r>
        <w:t xml:space="preserve"> is the response amplitude of the previous event. The evaluation was performed on sensors active in both events A and B. </w:t>
      </w:r>
      <w:r w:rsidR="0062214E">
        <w:t>A</w:t>
      </w:r>
      <w:r>
        <w:t xml:space="preserve"> transition was considered acceptable when </w:t>
      </w:r>
      <w:r w:rsidR="000C2FBE">
        <w:t>c</w:t>
      </w:r>
      <w:r>
        <w:t xml:space="preserve">arry </w:t>
      </w:r>
      <w:r w:rsidR="00AC7E4F">
        <w:t xml:space="preserve">over </w:t>
      </w:r>
      <w:r>
        <w:t xml:space="preserve">≤ 0.25 was satisfied by at least 70% of the sensors in the evaluation pool. Figure </w:t>
      </w:r>
      <w:r w:rsidR="00D75069">
        <w:t xml:space="preserve">1 </w:t>
      </w:r>
      <w:r>
        <w:t xml:space="preserve">illustrates examples of acceptable and non-acceptable carry-over conditions between consecutive </w:t>
      </w:r>
      <w:r w:rsidR="004065C3">
        <w:t xml:space="preserve">sample </w:t>
      </w:r>
      <w:r w:rsidR="00502872">
        <w:t>presentations</w:t>
      </w:r>
      <w:r>
        <w:t>.</w:t>
      </w:r>
    </w:p>
    <w:p w14:paraId="654C6D50" w14:textId="77777777" w:rsidR="00AC7E4F" w:rsidRDefault="00AC7E4F" w:rsidP="00AC7E4F">
      <w:pPr>
        <w:pStyle w:val="CETBodytext"/>
        <w:jc w:val="center"/>
      </w:pPr>
    </w:p>
    <w:p w14:paraId="1FC67309" w14:textId="5B27C9BE" w:rsidR="00DE48CC" w:rsidRDefault="000C2FBE" w:rsidP="004C79BF">
      <w:pPr>
        <w:pStyle w:val="CETBodytext"/>
        <w:jc w:val="left"/>
      </w:pPr>
      <w:r>
        <w:rPr>
          <w:noProof/>
          <w:lang w:val="en-GB"/>
        </w:rPr>
        <w:drawing>
          <wp:inline distT="0" distB="0" distL="0" distR="0" wp14:anchorId="2073667A" wp14:editId="7B225019">
            <wp:extent cx="5019151" cy="1819278"/>
            <wp:effectExtent l="0" t="0" r="0" b="0"/>
            <wp:docPr id="1423691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6919" name="Immagine 14236919"/>
                    <pic:cNvPicPr/>
                  </pic:nvPicPr>
                  <pic:blipFill>
                    <a:blip r:embed="rId10"/>
                    <a:stretch>
                      <a:fillRect/>
                    </a:stretch>
                  </pic:blipFill>
                  <pic:spPr>
                    <a:xfrm>
                      <a:off x="0" y="0"/>
                      <a:ext cx="5055663" cy="1832512"/>
                    </a:xfrm>
                    <a:prstGeom prst="rect">
                      <a:avLst/>
                    </a:prstGeom>
                  </pic:spPr>
                </pic:pic>
              </a:graphicData>
            </a:graphic>
          </wp:inline>
        </w:drawing>
      </w:r>
    </w:p>
    <w:p w14:paraId="400A8EB3" w14:textId="74606409" w:rsidR="00AC7E4F" w:rsidRDefault="00AC7E4F" w:rsidP="00AC7E4F">
      <w:pPr>
        <w:pStyle w:val="CETCaption"/>
      </w:pPr>
      <w:r>
        <w:t xml:space="preserve">Figure </w:t>
      </w:r>
      <w:r w:rsidR="00D75069">
        <w:t>1</w:t>
      </w:r>
      <w:r>
        <w:t xml:space="preserve">: </w:t>
      </w:r>
      <w:r w:rsidR="006D1C61" w:rsidRPr="006D1C61">
        <w:t xml:space="preserve">Array-mean sensor responses during two consecutive </w:t>
      </w:r>
      <w:r w:rsidR="004065C3">
        <w:t xml:space="preserve">sample </w:t>
      </w:r>
      <w:r w:rsidR="00502872">
        <w:t>presentations</w:t>
      </w:r>
      <w:r w:rsidR="006D1C61" w:rsidRPr="006D1C61">
        <w:t>: (a) acceptable carry-over; (b) non-acceptable carry-over.</w:t>
      </w:r>
    </w:p>
    <w:p w14:paraId="230FFF70" w14:textId="32CF8566" w:rsidR="004323C7" w:rsidRDefault="004323C7" w:rsidP="004323C7">
      <w:pPr>
        <w:pStyle w:val="CETBodytext"/>
      </w:pPr>
      <w:r w:rsidRPr="005F1FE1">
        <w:rPr>
          <w:b/>
          <w:bCs/>
          <w:i/>
          <w:iCs/>
        </w:rPr>
        <w:t>Replicate consisten</w:t>
      </w:r>
      <w:r w:rsidR="00502872">
        <w:rPr>
          <w:b/>
          <w:bCs/>
          <w:i/>
          <w:iCs/>
        </w:rPr>
        <w:t>cy</w:t>
      </w:r>
      <w:r>
        <w:t>. When two replicate</w:t>
      </w:r>
      <w:r w:rsidR="00502872">
        <w:t>s</w:t>
      </w:r>
      <w:r>
        <w:t xml:space="preserve"> of the same sample were available, their </w:t>
      </w:r>
      <w:r w:rsidR="0062214E">
        <w:t>consistenc</w:t>
      </w:r>
      <w:r w:rsidR="00BA2AC5">
        <w:t>y</w:t>
      </w:r>
      <w:r w:rsidR="0062214E">
        <w:t xml:space="preserve"> </w:t>
      </w:r>
      <w:r>
        <w:t xml:space="preserve">was </w:t>
      </w:r>
      <w:r w:rsidR="0062214E">
        <w:t>evaluated through the ratio</w:t>
      </w:r>
      <w:r>
        <w:t>:</w:t>
      </w:r>
    </w:p>
    <w:p w14:paraId="37C73857" w14:textId="4D0C18B8" w:rsidR="004323C7" w:rsidRPr="0062214E" w:rsidRDefault="0062214E" w:rsidP="004323C7">
      <w:pPr>
        <w:pStyle w:val="CETEquation"/>
        <w:rPr>
          <w:lang w:val="en-US"/>
        </w:rPr>
      </w:pPr>
      <m:oMath>
        <m:r>
          <w:rPr>
            <w:rFonts w:ascii="Cambria Math" w:hAnsi="Cambria Math" w:cs="Arial"/>
          </w:rPr>
          <m:t>Rs</m:t>
        </m:r>
        <m:r>
          <w:rPr>
            <w:rFonts w:ascii="Cambria Math" w:hAnsi="Cambria Math" w:cs="Arial"/>
            <w:lang w:val="en-US"/>
          </w:rPr>
          <m:t>=</m:t>
        </m:r>
        <m:f>
          <m:fPr>
            <m:ctrlPr>
              <w:rPr>
                <w:rFonts w:ascii="Cambria Math" w:hAnsi="Cambria Math" w:cs="Arial"/>
                <w:i/>
              </w:rPr>
            </m:ctrlPr>
          </m:fPr>
          <m:num>
            <m:r>
              <m:rPr>
                <m:sty m:val="p"/>
              </m:rPr>
              <w:rPr>
                <w:rFonts w:ascii="Cambria Math" w:hAnsi="Cambria Math" w:cs="Arial"/>
                <w:lang w:val="en-US"/>
              </w:rPr>
              <m:t>max⁡</m:t>
            </m:r>
            <m:r>
              <w:rPr>
                <w:rFonts w:ascii="Cambria Math" w:hAnsi="Cambria Math" w:cs="Arial"/>
                <w:lang w:val="en-US"/>
              </w:rPr>
              <m:t>(</m:t>
            </m:r>
            <m:sSub>
              <m:sSubPr>
                <m:ctrlPr>
                  <w:rPr>
                    <w:rFonts w:ascii="Cambria Math" w:hAnsi="Cambria Math" w:cs="Arial"/>
                    <w:i/>
                  </w:rPr>
                </m:ctrlPr>
              </m:sSubPr>
              <m:e>
                <m:r>
                  <m:rPr>
                    <m:sty m:val="p"/>
                  </m:rPr>
                  <w:rPr>
                    <w:rFonts w:ascii="Cambria Math" w:hAnsi="Cambria Math"/>
                  </w:rPr>
                  <m:t>ΔS</m:t>
                </m:r>
              </m:e>
              <m:sub>
                <m:r>
                  <w:rPr>
                    <w:rFonts w:ascii="Cambria Math" w:hAnsi="Cambria Math" w:cs="Arial"/>
                  </w:rPr>
                  <m:t>s,S</m:t>
                </m:r>
                <m:r>
                  <w:rPr>
                    <w:rFonts w:ascii="Cambria Math" w:hAnsi="Cambria Math" w:cs="Arial"/>
                    <w:lang w:val="en-US"/>
                  </w:rPr>
                  <m:t>1</m:t>
                </m:r>
              </m:sub>
            </m:sSub>
            <m:r>
              <w:rPr>
                <w:rFonts w:ascii="Cambria Math" w:hAnsi="Cambria Math" w:cs="Arial"/>
                <w:lang w:val="en-US"/>
              </w:rPr>
              <m:t xml:space="preserve">,   </m:t>
            </m:r>
            <m:sSub>
              <m:sSubPr>
                <m:ctrlPr>
                  <w:rPr>
                    <w:rFonts w:ascii="Cambria Math" w:hAnsi="Cambria Math" w:cs="Arial"/>
                    <w:i/>
                    <w:lang w:val="da-DK"/>
                  </w:rPr>
                </m:ctrlPr>
              </m:sSubPr>
              <m:e>
                <m:r>
                  <m:rPr>
                    <m:sty m:val="p"/>
                  </m:rPr>
                  <w:rPr>
                    <w:rFonts w:ascii="Cambria Math" w:hAnsi="Cambria Math"/>
                  </w:rPr>
                  <m:t>ΔS</m:t>
                </m:r>
              </m:e>
              <m:sub>
                <m:r>
                  <w:rPr>
                    <w:rFonts w:ascii="Cambria Math" w:hAnsi="Cambria Math" w:cs="Arial"/>
                    <w:lang w:val="da-DK"/>
                  </w:rPr>
                  <m:t>s</m:t>
                </m:r>
                <m:r>
                  <w:rPr>
                    <w:rFonts w:ascii="Cambria Math" w:hAnsi="Cambria Math" w:cs="Arial"/>
                    <w:lang w:val="en-US"/>
                  </w:rPr>
                  <m:t>,</m:t>
                </m:r>
                <m:r>
                  <w:rPr>
                    <w:rFonts w:ascii="Cambria Math" w:hAnsi="Cambria Math" w:cs="Arial"/>
                    <w:lang w:val="da-DK"/>
                  </w:rPr>
                  <m:t>S</m:t>
                </m:r>
                <m:r>
                  <w:rPr>
                    <w:rFonts w:ascii="Cambria Math" w:hAnsi="Cambria Math" w:cs="Arial"/>
                    <w:lang w:val="en-US"/>
                  </w:rPr>
                  <m:t>2</m:t>
                </m:r>
              </m:sub>
            </m:sSub>
            <m:r>
              <w:rPr>
                <w:rFonts w:ascii="Cambria Math" w:hAnsi="Cambria Math" w:cs="Arial"/>
                <w:lang w:val="en-US"/>
              </w:rPr>
              <m:t>)</m:t>
            </m:r>
          </m:num>
          <m:den>
            <m:r>
              <m:rPr>
                <m:sty m:val="p"/>
              </m:rPr>
              <w:rPr>
                <w:rFonts w:ascii="Cambria Math" w:hAnsi="Cambria Math" w:cs="Arial"/>
                <w:lang w:val="en-US"/>
              </w:rPr>
              <m:t>min⁡</m:t>
            </m:r>
            <m:r>
              <w:rPr>
                <w:rFonts w:ascii="Cambria Math" w:hAnsi="Cambria Math" w:cs="Arial"/>
                <w:lang w:val="en-US"/>
              </w:rPr>
              <m:t>(</m:t>
            </m:r>
            <m:sSub>
              <m:sSubPr>
                <m:ctrlPr>
                  <w:rPr>
                    <w:rFonts w:ascii="Cambria Math" w:hAnsi="Cambria Math" w:cs="Arial"/>
                    <w:i/>
                  </w:rPr>
                </m:ctrlPr>
              </m:sSubPr>
              <m:e>
                <m:r>
                  <m:rPr>
                    <m:sty m:val="p"/>
                  </m:rPr>
                  <w:rPr>
                    <w:rFonts w:ascii="Cambria Math" w:hAnsi="Cambria Math"/>
                  </w:rPr>
                  <m:t>ΔS</m:t>
                </m:r>
              </m:e>
              <m:sub>
                <m:r>
                  <w:rPr>
                    <w:rFonts w:ascii="Cambria Math" w:hAnsi="Cambria Math" w:cs="Arial"/>
                  </w:rPr>
                  <m:t>s,S</m:t>
                </m:r>
                <m:r>
                  <w:rPr>
                    <w:rFonts w:ascii="Cambria Math" w:hAnsi="Cambria Math" w:cs="Arial"/>
                    <w:lang w:val="en-US"/>
                  </w:rPr>
                  <m:t>1</m:t>
                </m:r>
              </m:sub>
            </m:sSub>
            <m:r>
              <w:rPr>
                <w:rFonts w:ascii="Cambria Math" w:hAnsi="Cambria Math" w:cs="Arial"/>
                <w:lang w:val="en-US"/>
              </w:rPr>
              <m:t xml:space="preserve">,   </m:t>
            </m:r>
            <m:sSub>
              <m:sSubPr>
                <m:ctrlPr>
                  <w:rPr>
                    <w:rFonts w:ascii="Cambria Math" w:hAnsi="Cambria Math" w:cs="Arial"/>
                    <w:i/>
                    <w:lang w:val="da-DK"/>
                  </w:rPr>
                </m:ctrlPr>
              </m:sSubPr>
              <m:e>
                <m:r>
                  <m:rPr>
                    <m:sty m:val="p"/>
                  </m:rPr>
                  <w:rPr>
                    <w:rFonts w:ascii="Cambria Math" w:hAnsi="Cambria Math"/>
                  </w:rPr>
                  <m:t>ΔS</m:t>
                </m:r>
              </m:e>
              <m:sub>
                <m:r>
                  <w:rPr>
                    <w:rFonts w:ascii="Cambria Math" w:hAnsi="Cambria Math" w:cs="Arial"/>
                    <w:lang w:val="da-DK"/>
                  </w:rPr>
                  <m:t>s</m:t>
                </m:r>
                <m:r>
                  <w:rPr>
                    <w:rFonts w:ascii="Cambria Math" w:hAnsi="Cambria Math" w:cs="Arial"/>
                    <w:lang w:val="en-US"/>
                  </w:rPr>
                  <m:t>,</m:t>
                </m:r>
                <m:r>
                  <w:rPr>
                    <w:rFonts w:ascii="Cambria Math" w:hAnsi="Cambria Math" w:cs="Arial"/>
                    <w:lang w:val="da-DK"/>
                  </w:rPr>
                  <m:t>S</m:t>
                </m:r>
                <m:r>
                  <w:rPr>
                    <w:rFonts w:ascii="Cambria Math" w:hAnsi="Cambria Math" w:cs="Arial"/>
                    <w:lang w:val="en-US"/>
                  </w:rPr>
                  <m:t>2</m:t>
                </m:r>
              </m:sub>
            </m:sSub>
            <m:r>
              <w:rPr>
                <w:rFonts w:ascii="Cambria Math" w:hAnsi="Cambria Math" w:cs="Arial"/>
                <w:lang w:val="en-US"/>
              </w:rPr>
              <m:t>)</m:t>
            </m:r>
          </m:den>
        </m:f>
      </m:oMath>
      <w:r w:rsidR="004323C7" w:rsidRPr="0062214E">
        <w:rPr>
          <w:lang w:val="en-US"/>
        </w:rPr>
        <w:t xml:space="preserve">                                                                        </w:t>
      </w:r>
      <w:r w:rsidR="00610DA0" w:rsidRPr="0062214E">
        <w:rPr>
          <w:lang w:val="en-US"/>
        </w:rPr>
        <w:tab/>
      </w:r>
      <w:r>
        <w:rPr>
          <w:lang w:val="en-US"/>
        </w:rPr>
        <w:t>(</w:t>
      </w:r>
      <w:r w:rsidR="004323C7" w:rsidRPr="0062214E">
        <w:rPr>
          <w:lang w:val="en-US"/>
        </w:rPr>
        <w:t>3)</w:t>
      </w:r>
    </w:p>
    <w:p w14:paraId="23338EB8" w14:textId="2A5BF281" w:rsidR="009A0F4E" w:rsidRDefault="0062214E" w:rsidP="00154085">
      <w:pPr>
        <w:pStyle w:val="CETEquation"/>
        <w:spacing w:before="0" w:after="0"/>
        <w:jc w:val="both"/>
      </w:pPr>
      <w:r w:rsidRPr="0062214E">
        <w:t xml:space="preserve">where </w:t>
      </w:r>
      <w:r w:rsidR="005163CD">
        <w:rPr>
          <w:rFonts w:ascii="Calibri" w:hAnsi="Calibri" w:cs="Calibri"/>
        </w:rPr>
        <w:t>∆</w:t>
      </w:r>
      <w:proofErr w:type="gramStart"/>
      <w:r w:rsidR="005163CD">
        <w:rPr>
          <w:rFonts w:ascii="Calibri" w:hAnsi="Calibri" w:cs="Calibri"/>
        </w:rPr>
        <w:t>S</w:t>
      </w:r>
      <w:r w:rsidR="005163CD" w:rsidRPr="005163CD">
        <w:rPr>
          <w:rFonts w:ascii="Calibri" w:hAnsi="Calibri" w:cs="Calibri"/>
          <w:vertAlign w:val="subscript"/>
        </w:rPr>
        <w:t>s,S</w:t>
      </w:r>
      <w:proofErr w:type="gramEnd"/>
      <w:r w:rsidR="005163CD" w:rsidRPr="005163CD">
        <w:rPr>
          <w:rFonts w:ascii="Calibri" w:hAnsi="Calibri" w:cs="Calibri"/>
          <w:vertAlign w:val="subscript"/>
        </w:rPr>
        <w:t>1</w:t>
      </w:r>
      <w:r w:rsidR="005163CD">
        <w:rPr>
          <w:rFonts w:ascii="Calibri" w:hAnsi="Calibri" w:cs="Calibri"/>
          <w:vertAlign w:val="subscript"/>
        </w:rPr>
        <w:t xml:space="preserve"> </w:t>
      </w:r>
      <w:proofErr w:type="gramStart"/>
      <w:r w:rsidR="005163CD" w:rsidRPr="005163CD">
        <w:rPr>
          <w:rFonts w:ascii="Calibri" w:hAnsi="Calibri" w:cs="Calibri"/>
        </w:rPr>
        <w:t>and</w:t>
      </w:r>
      <w:r w:rsidR="005163CD">
        <w:rPr>
          <w:rFonts w:ascii="Calibri" w:hAnsi="Calibri" w:cs="Calibri"/>
          <w:vertAlign w:val="subscript"/>
        </w:rPr>
        <w:t xml:space="preserve">  </w:t>
      </w:r>
      <w:r w:rsidR="005163CD">
        <w:rPr>
          <w:rFonts w:ascii="Calibri" w:hAnsi="Calibri" w:cs="Calibri"/>
        </w:rPr>
        <w:t>∆S</w:t>
      </w:r>
      <w:r w:rsidR="005163CD" w:rsidRPr="005163CD">
        <w:rPr>
          <w:rFonts w:ascii="Calibri" w:hAnsi="Calibri" w:cs="Calibri"/>
          <w:vertAlign w:val="subscript"/>
        </w:rPr>
        <w:t>s,S</w:t>
      </w:r>
      <w:proofErr w:type="gramEnd"/>
      <w:r w:rsidR="005163CD">
        <w:rPr>
          <w:rFonts w:ascii="Calibri" w:hAnsi="Calibri" w:cs="Calibri"/>
          <w:vertAlign w:val="subscript"/>
        </w:rPr>
        <w:t xml:space="preserve">2 </w:t>
      </w:r>
      <w:r w:rsidR="005163CD" w:rsidRPr="005163CD">
        <w:t>are the response amplitudes of sensor in the first and second replicate, respectively</w:t>
      </w:r>
      <w:r w:rsidR="005163CD">
        <w:t xml:space="preserve">. </w:t>
      </w:r>
      <w:r w:rsidR="005163CD" w:rsidRPr="005163CD">
        <w:t>A sensor was considered compliant when</w:t>
      </w:r>
      <w:r w:rsidR="005163CD">
        <w:t xml:space="preserve"> Rs </w:t>
      </w:r>
      <w:r w:rsidR="005163CD">
        <w:rPr>
          <w:rFonts w:cs="Arial"/>
        </w:rPr>
        <w:t>≤</w:t>
      </w:r>
      <w:r w:rsidR="005163CD">
        <w:t xml:space="preserve"> 1</w:t>
      </w:r>
      <w:r w:rsidR="004C79BF">
        <w:t>.</w:t>
      </w:r>
      <w:r w:rsidR="005163CD">
        <w:t>5.</w:t>
      </w:r>
      <w:r w:rsidR="007603C3">
        <w:t xml:space="preserve"> </w:t>
      </w:r>
      <w:r w:rsidR="007F2A45" w:rsidRPr="007F2A45">
        <w:t>The use of absolute response amplitudes rather than normalised values was adopted to avoid masking differences between replicate</w:t>
      </w:r>
      <w:r w:rsidR="00BA2AC5">
        <w:t xml:space="preserve">s </w:t>
      </w:r>
      <w:r w:rsidR="007F2A45" w:rsidRPr="007F2A45">
        <w:t>under varying baseline conditions.</w:t>
      </w:r>
      <w:r w:rsidR="009A0F4E" w:rsidRPr="009A0F4E">
        <w:t xml:space="preserve"> The sample was classified as consistent when at least 70</w:t>
      </w:r>
      <w:r w:rsidR="00C05FEF">
        <w:t xml:space="preserve"> </w:t>
      </w:r>
      <w:r w:rsidR="009A0F4E" w:rsidRPr="009A0F4E">
        <w:t>% of the common active sensors satisfied the compliance condition. Otherwise, the sample was rejected due to insufficient replicate agreement.</w:t>
      </w:r>
    </w:p>
    <w:p w14:paraId="667C8A6A" w14:textId="205786C6" w:rsidR="006D1C61" w:rsidRDefault="003C7B01" w:rsidP="00154085">
      <w:pPr>
        <w:pStyle w:val="CETBodytext"/>
      </w:pPr>
      <w:r w:rsidRPr="005F1FE1">
        <w:rPr>
          <w:b/>
          <w:bCs/>
          <w:i/>
          <w:iCs/>
        </w:rPr>
        <w:t>B</w:t>
      </w:r>
      <w:r w:rsidR="006D1C61" w:rsidRPr="005F1FE1">
        <w:rPr>
          <w:b/>
          <w:bCs/>
          <w:i/>
          <w:iCs/>
        </w:rPr>
        <w:t>ypass rule</w:t>
      </w:r>
      <w:r w:rsidR="006D1C61">
        <w:t>. A bypass condition was introduced to handle cases where the first replicate (S</w:t>
      </w:r>
      <w:r w:rsidR="006D1C61" w:rsidRPr="005F1FE1">
        <w:rPr>
          <w:vertAlign w:val="subscript"/>
        </w:rPr>
        <w:t>1</w:t>
      </w:r>
      <w:r w:rsidR="006D1C61">
        <w:t xml:space="preserve">) was </w:t>
      </w:r>
      <w:r w:rsidR="00140D43">
        <w:t>rejected because</w:t>
      </w:r>
      <w:r w:rsidR="006D1C61">
        <w:t xml:space="preserve"> of carry-over from a previous </w:t>
      </w:r>
      <w:r w:rsidR="00BA2AC5">
        <w:t>presentation</w:t>
      </w:r>
      <w:r w:rsidR="006D1C61">
        <w:t>. In such cases, the second replicate (S</w:t>
      </w:r>
      <w:r w:rsidR="006D1C61" w:rsidRPr="005F1FE1">
        <w:rPr>
          <w:vertAlign w:val="subscript"/>
        </w:rPr>
        <w:t>2</w:t>
      </w:r>
      <w:r w:rsidR="006D1C61">
        <w:t xml:space="preserve">) was re-evaluated by computing the carry-over index of the transition from the event that preceded S1 directly to S2. </w:t>
      </w:r>
    </w:p>
    <w:p w14:paraId="7930EB9F" w14:textId="5678B8BB" w:rsidR="004323C7" w:rsidRDefault="00A0267C" w:rsidP="00A0267C">
      <w:pPr>
        <w:pStyle w:val="CETBodytext"/>
      </w:pPr>
      <w:r>
        <w:t>P</w:t>
      </w:r>
      <w:r w:rsidR="004323C7">
        <w:t xml:space="preserve">arameters and thresholds are </w:t>
      </w:r>
      <w:proofErr w:type="spellStart"/>
      <w:r w:rsidR="004323C7">
        <w:t>summarised</w:t>
      </w:r>
      <w:proofErr w:type="spellEnd"/>
      <w:r w:rsidR="004323C7">
        <w:t xml:space="preserve"> in Table 2.</w:t>
      </w:r>
    </w:p>
    <w:p w14:paraId="6A57A332" w14:textId="77777777" w:rsidR="005A7610" w:rsidRDefault="00000000">
      <w:pPr>
        <w:pStyle w:val="CETTabletitle"/>
      </w:pPr>
      <w:r>
        <w:t>Table 2: Parameters and acceptance thresholds of the Level 2 pre-selection procedure.</w:t>
      </w:r>
    </w:p>
    <w:tbl>
      <w:tblPr>
        <w:tblW w:w="0" w:type="auto"/>
        <w:tblLook w:val="04A0" w:firstRow="1" w:lastRow="0" w:firstColumn="1" w:lastColumn="0" w:noHBand="0" w:noVBand="1"/>
      </w:tblPr>
      <w:tblGrid>
        <w:gridCol w:w="1984"/>
        <w:gridCol w:w="2154"/>
        <w:gridCol w:w="2211"/>
        <w:gridCol w:w="1870"/>
      </w:tblGrid>
      <w:tr w:rsidR="005A7610" w14:paraId="3C5371C6" w14:textId="77777777">
        <w:tc>
          <w:tcPr>
            <w:tcW w:w="1984" w:type="dxa"/>
            <w:tcBorders>
              <w:top w:val="single" w:sz="8" w:space="0" w:color="006633"/>
              <w:bottom w:val="single" w:sz="8" w:space="0" w:color="006633"/>
            </w:tcBorders>
          </w:tcPr>
          <w:p w14:paraId="3F1C9526" w14:textId="77777777" w:rsidR="005A7610" w:rsidRDefault="00000000">
            <w:pPr>
              <w:pStyle w:val="CETBodytext"/>
              <w:jc w:val="left"/>
            </w:pPr>
            <w:r>
              <w:t>Step</w:t>
            </w:r>
          </w:p>
        </w:tc>
        <w:tc>
          <w:tcPr>
            <w:tcW w:w="2154" w:type="dxa"/>
            <w:tcBorders>
              <w:top w:val="single" w:sz="8" w:space="0" w:color="006633"/>
              <w:bottom w:val="single" w:sz="8" w:space="0" w:color="006633"/>
            </w:tcBorders>
          </w:tcPr>
          <w:p w14:paraId="4692A06E" w14:textId="77777777" w:rsidR="005A7610" w:rsidRDefault="00000000">
            <w:pPr>
              <w:pStyle w:val="CETBodytext"/>
              <w:jc w:val="left"/>
            </w:pPr>
            <w:r>
              <w:t>Indicator</w:t>
            </w:r>
          </w:p>
        </w:tc>
        <w:tc>
          <w:tcPr>
            <w:tcW w:w="2211" w:type="dxa"/>
            <w:tcBorders>
              <w:top w:val="single" w:sz="8" w:space="0" w:color="006633"/>
              <w:bottom w:val="single" w:sz="8" w:space="0" w:color="006633"/>
            </w:tcBorders>
          </w:tcPr>
          <w:p w14:paraId="02217CB3" w14:textId="77777777" w:rsidR="005A7610" w:rsidRDefault="00000000">
            <w:pPr>
              <w:pStyle w:val="CETBodytext"/>
              <w:jc w:val="left"/>
            </w:pPr>
            <w:r>
              <w:t>Definition</w:t>
            </w:r>
          </w:p>
        </w:tc>
        <w:tc>
          <w:tcPr>
            <w:tcW w:w="1870" w:type="dxa"/>
            <w:tcBorders>
              <w:top w:val="single" w:sz="8" w:space="0" w:color="006633"/>
              <w:bottom w:val="single" w:sz="8" w:space="0" w:color="006633"/>
            </w:tcBorders>
          </w:tcPr>
          <w:p w14:paraId="59B97F3F" w14:textId="77777777" w:rsidR="005A7610" w:rsidRDefault="00000000">
            <w:pPr>
              <w:pStyle w:val="CETBodytext"/>
              <w:jc w:val="left"/>
            </w:pPr>
            <w:r>
              <w:t>Threshold</w:t>
            </w:r>
          </w:p>
        </w:tc>
      </w:tr>
      <w:tr w:rsidR="005A7610" w14:paraId="020D856F" w14:textId="77777777">
        <w:tc>
          <w:tcPr>
            <w:tcW w:w="1984" w:type="dxa"/>
          </w:tcPr>
          <w:p w14:paraId="68409A42" w14:textId="77777777" w:rsidR="005A7610" w:rsidRDefault="00000000">
            <w:pPr>
              <w:pStyle w:val="CETBodytext"/>
              <w:jc w:val="left"/>
            </w:pPr>
            <w:r>
              <w:t>Sensor response</w:t>
            </w:r>
          </w:p>
        </w:tc>
        <w:tc>
          <w:tcPr>
            <w:tcW w:w="2154" w:type="dxa"/>
          </w:tcPr>
          <w:p w14:paraId="116AD44F" w14:textId="77777777" w:rsidR="005A7610" w:rsidRDefault="00000000">
            <w:pPr>
              <w:pStyle w:val="CETBodytext"/>
              <w:jc w:val="left"/>
            </w:pPr>
            <w:r>
              <w:t>Response amplitude</w:t>
            </w:r>
          </w:p>
        </w:tc>
        <w:tc>
          <w:tcPr>
            <w:tcW w:w="2211" w:type="dxa"/>
          </w:tcPr>
          <w:p w14:paraId="4A5F979E" w14:textId="77777777" w:rsidR="005A7610" w:rsidRDefault="00000000">
            <w:pPr>
              <w:pStyle w:val="CETBodytext"/>
              <w:jc w:val="left"/>
            </w:pPr>
            <w:r>
              <w:t xml:space="preserve">ΔS = B − </w:t>
            </w:r>
            <w:proofErr w:type="spellStart"/>
            <w:r>
              <w:t>S</w:t>
            </w:r>
            <w:r>
              <w:rPr>
                <w:vertAlign w:val="subscript"/>
              </w:rPr>
              <w:t>min</w:t>
            </w:r>
            <w:proofErr w:type="spellEnd"/>
          </w:p>
        </w:tc>
        <w:tc>
          <w:tcPr>
            <w:tcW w:w="1870" w:type="dxa"/>
          </w:tcPr>
          <w:p w14:paraId="504855B9" w14:textId="77777777" w:rsidR="005A7610" w:rsidRDefault="00000000">
            <w:pPr>
              <w:pStyle w:val="CETBodytext"/>
              <w:jc w:val="left"/>
            </w:pPr>
            <w:r>
              <w:t>–</w:t>
            </w:r>
          </w:p>
        </w:tc>
      </w:tr>
      <w:tr w:rsidR="005A7610" w14:paraId="6C4ED2D7" w14:textId="77777777">
        <w:tc>
          <w:tcPr>
            <w:tcW w:w="1984" w:type="dxa"/>
          </w:tcPr>
          <w:p w14:paraId="5BC4A407" w14:textId="77777777" w:rsidR="005A7610" w:rsidRDefault="00000000">
            <w:pPr>
              <w:pStyle w:val="CETBodytext"/>
              <w:jc w:val="left"/>
            </w:pPr>
            <w:r>
              <w:t>Signal quality</w:t>
            </w:r>
          </w:p>
        </w:tc>
        <w:tc>
          <w:tcPr>
            <w:tcW w:w="2154" w:type="dxa"/>
          </w:tcPr>
          <w:p w14:paraId="21D57CEF" w14:textId="77777777" w:rsidR="005A7610" w:rsidRDefault="00000000">
            <w:pPr>
              <w:pStyle w:val="CETBodytext"/>
              <w:jc w:val="left"/>
            </w:pPr>
            <w:r>
              <w:t>Signal-to-noise ratio</w:t>
            </w:r>
          </w:p>
        </w:tc>
        <w:tc>
          <w:tcPr>
            <w:tcW w:w="2211" w:type="dxa"/>
          </w:tcPr>
          <w:p w14:paraId="1626A5E2" w14:textId="77777777" w:rsidR="005A7610" w:rsidRDefault="00000000">
            <w:pPr>
              <w:pStyle w:val="CETBodytext"/>
              <w:jc w:val="left"/>
            </w:pPr>
            <w:r>
              <w:t xml:space="preserve">ΔS / </w:t>
            </w:r>
            <w:proofErr w:type="spellStart"/>
            <w:r>
              <w:t>σ</w:t>
            </w:r>
            <w:r>
              <w:rPr>
                <w:vertAlign w:val="subscript"/>
              </w:rPr>
              <w:t>B</w:t>
            </w:r>
            <w:proofErr w:type="spellEnd"/>
          </w:p>
        </w:tc>
        <w:tc>
          <w:tcPr>
            <w:tcW w:w="1870" w:type="dxa"/>
          </w:tcPr>
          <w:p w14:paraId="63B68666" w14:textId="77777777" w:rsidR="005A7610" w:rsidRDefault="00000000">
            <w:pPr>
              <w:pStyle w:val="CETBodytext"/>
              <w:jc w:val="left"/>
            </w:pPr>
            <w:r>
              <w:t>≥ 3</w:t>
            </w:r>
          </w:p>
        </w:tc>
      </w:tr>
      <w:tr w:rsidR="005A7610" w14:paraId="7EC45093" w14:textId="77777777">
        <w:tc>
          <w:tcPr>
            <w:tcW w:w="1984" w:type="dxa"/>
          </w:tcPr>
          <w:p w14:paraId="26FB6F81" w14:textId="77777777" w:rsidR="005A7610" w:rsidRDefault="00000000">
            <w:pPr>
              <w:pStyle w:val="CETBodytext"/>
              <w:jc w:val="left"/>
            </w:pPr>
            <w:r>
              <w:t>Signal relevance</w:t>
            </w:r>
          </w:p>
        </w:tc>
        <w:tc>
          <w:tcPr>
            <w:tcW w:w="2154" w:type="dxa"/>
          </w:tcPr>
          <w:p w14:paraId="16F162D6" w14:textId="77777777" w:rsidR="005A7610" w:rsidRDefault="00000000">
            <w:pPr>
              <w:pStyle w:val="CETBodytext"/>
              <w:jc w:val="left"/>
            </w:pPr>
            <w:r>
              <w:t>Relative response</w:t>
            </w:r>
          </w:p>
        </w:tc>
        <w:tc>
          <w:tcPr>
            <w:tcW w:w="2211" w:type="dxa"/>
          </w:tcPr>
          <w:p w14:paraId="45695D58" w14:textId="77777777" w:rsidR="005A7610" w:rsidRDefault="00000000">
            <w:pPr>
              <w:pStyle w:val="CETBodytext"/>
              <w:jc w:val="left"/>
            </w:pPr>
            <w:r>
              <w:t>ΔS / B</w:t>
            </w:r>
          </w:p>
        </w:tc>
        <w:tc>
          <w:tcPr>
            <w:tcW w:w="1870" w:type="dxa"/>
          </w:tcPr>
          <w:p w14:paraId="762EDC3F" w14:textId="77777777" w:rsidR="005A7610" w:rsidRDefault="00000000">
            <w:pPr>
              <w:pStyle w:val="CETBodytext"/>
              <w:jc w:val="left"/>
            </w:pPr>
            <w:r>
              <w:t>≥ 0.10</w:t>
            </w:r>
          </w:p>
        </w:tc>
      </w:tr>
      <w:tr w:rsidR="005A7610" w14:paraId="52BBB220" w14:textId="77777777">
        <w:tc>
          <w:tcPr>
            <w:tcW w:w="1984" w:type="dxa"/>
          </w:tcPr>
          <w:p w14:paraId="4C5402A0" w14:textId="77777777" w:rsidR="005A7610" w:rsidRDefault="00000000">
            <w:pPr>
              <w:pStyle w:val="CETBodytext"/>
              <w:jc w:val="left"/>
            </w:pPr>
            <w:r>
              <w:t>Memory effect</w:t>
            </w:r>
          </w:p>
        </w:tc>
        <w:tc>
          <w:tcPr>
            <w:tcW w:w="2154" w:type="dxa"/>
          </w:tcPr>
          <w:p w14:paraId="4DF58B44" w14:textId="77777777" w:rsidR="005A7610" w:rsidRDefault="00000000">
            <w:pPr>
              <w:pStyle w:val="CETBodytext"/>
              <w:jc w:val="left"/>
            </w:pPr>
            <w:r>
              <w:t>Carry-over index</w:t>
            </w:r>
          </w:p>
        </w:tc>
        <w:tc>
          <w:tcPr>
            <w:tcW w:w="2211" w:type="dxa"/>
          </w:tcPr>
          <w:p w14:paraId="5FEC930E" w14:textId="77777777" w:rsidR="005A7610" w:rsidRDefault="00000000">
            <w:pPr>
              <w:pStyle w:val="CETBodytext"/>
              <w:jc w:val="left"/>
            </w:pPr>
            <w:r>
              <w:t>|B</w:t>
            </w:r>
            <w:r>
              <w:rPr>
                <w:vertAlign w:val="subscript"/>
              </w:rPr>
              <w:t>A</w:t>
            </w:r>
            <w:r>
              <w:t xml:space="preserve"> − </w:t>
            </w:r>
            <w:proofErr w:type="spellStart"/>
            <w:proofErr w:type="gramStart"/>
            <w:r>
              <w:t>S</w:t>
            </w:r>
            <w:r>
              <w:rPr>
                <w:vertAlign w:val="subscript"/>
              </w:rPr>
              <w:t>pre,B</w:t>
            </w:r>
            <w:proofErr w:type="spellEnd"/>
            <w:proofErr w:type="gramEnd"/>
            <w:r>
              <w:t>| / ΔS</w:t>
            </w:r>
            <w:r>
              <w:rPr>
                <w:vertAlign w:val="subscript"/>
              </w:rPr>
              <w:t>A</w:t>
            </w:r>
          </w:p>
        </w:tc>
        <w:tc>
          <w:tcPr>
            <w:tcW w:w="1870" w:type="dxa"/>
          </w:tcPr>
          <w:p w14:paraId="11D27ABF" w14:textId="77777777" w:rsidR="005A7610" w:rsidRDefault="00000000">
            <w:pPr>
              <w:pStyle w:val="CETBodytext"/>
              <w:jc w:val="left"/>
            </w:pPr>
            <w:r>
              <w:t>≤ 0.25</w:t>
            </w:r>
          </w:p>
        </w:tc>
      </w:tr>
      <w:tr w:rsidR="005A7610" w14:paraId="59A0B905" w14:textId="77777777">
        <w:tc>
          <w:tcPr>
            <w:tcW w:w="1984" w:type="dxa"/>
          </w:tcPr>
          <w:p w14:paraId="12438D2C" w14:textId="77777777" w:rsidR="005A7610" w:rsidRDefault="00000000">
            <w:pPr>
              <w:pStyle w:val="CETBodytext"/>
              <w:jc w:val="left"/>
            </w:pPr>
            <w:r>
              <w:t>Sensor agreement</w:t>
            </w:r>
          </w:p>
        </w:tc>
        <w:tc>
          <w:tcPr>
            <w:tcW w:w="2154" w:type="dxa"/>
          </w:tcPr>
          <w:p w14:paraId="448B8D01" w14:textId="741A1920" w:rsidR="005A7610" w:rsidRDefault="00000000">
            <w:pPr>
              <w:pStyle w:val="CETBodytext"/>
              <w:jc w:val="left"/>
            </w:pPr>
            <w:r>
              <w:t xml:space="preserve">Fraction of compliant </w:t>
            </w:r>
            <w:r w:rsidR="00115EF1">
              <w:t xml:space="preserve">active </w:t>
            </w:r>
            <w:r>
              <w:t>sensors</w:t>
            </w:r>
          </w:p>
        </w:tc>
        <w:tc>
          <w:tcPr>
            <w:tcW w:w="2211" w:type="dxa"/>
          </w:tcPr>
          <w:p w14:paraId="38AD25CC" w14:textId="77777777" w:rsidR="005A7610" w:rsidRDefault="00000000">
            <w:pPr>
              <w:pStyle w:val="CETBodytext"/>
              <w:jc w:val="left"/>
            </w:pPr>
            <w:r>
              <w:t>–</w:t>
            </w:r>
          </w:p>
        </w:tc>
        <w:tc>
          <w:tcPr>
            <w:tcW w:w="1870" w:type="dxa"/>
          </w:tcPr>
          <w:p w14:paraId="658FD30E" w14:textId="77777777" w:rsidR="005A7610" w:rsidRDefault="00000000">
            <w:pPr>
              <w:pStyle w:val="CETBodytext"/>
              <w:jc w:val="left"/>
            </w:pPr>
            <w:r>
              <w:t>≥ 70 %</w:t>
            </w:r>
          </w:p>
        </w:tc>
      </w:tr>
      <w:tr w:rsidR="005A7610" w:rsidRPr="003C7B01" w14:paraId="71F0F796" w14:textId="77777777">
        <w:tc>
          <w:tcPr>
            <w:tcW w:w="1984" w:type="dxa"/>
            <w:tcBorders>
              <w:bottom w:val="single" w:sz="8" w:space="0" w:color="006633"/>
            </w:tcBorders>
          </w:tcPr>
          <w:p w14:paraId="05E6D51A" w14:textId="77777777" w:rsidR="005A7610" w:rsidRDefault="00000000">
            <w:pPr>
              <w:pStyle w:val="CETBodytext"/>
              <w:jc w:val="left"/>
            </w:pPr>
            <w:r>
              <w:t>Replicate consistency</w:t>
            </w:r>
          </w:p>
        </w:tc>
        <w:tc>
          <w:tcPr>
            <w:tcW w:w="2154" w:type="dxa"/>
            <w:tcBorders>
              <w:bottom w:val="single" w:sz="8" w:space="0" w:color="006633"/>
            </w:tcBorders>
          </w:tcPr>
          <w:p w14:paraId="038A0996" w14:textId="77777777" w:rsidR="005A7610" w:rsidRDefault="00000000">
            <w:pPr>
              <w:pStyle w:val="CETBodytext"/>
              <w:jc w:val="left"/>
            </w:pPr>
            <w:r>
              <w:t>Ratio R</w:t>
            </w:r>
          </w:p>
        </w:tc>
        <w:tc>
          <w:tcPr>
            <w:tcW w:w="2211" w:type="dxa"/>
            <w:tcBorders>
              <w:bottom w:val="single" w:sz="8" w:space="0" w:color="006633"/>
            </w:tcBorders>
          </w:tcPr>
          <w:p w14:paraId="619E6960" w14:textId="77777777" w:rsidR="005A7610" w:rsidRDefault="00000000">
            <w:pPr>
              <w:pStyle w:val="CETBodytext"/>
              <w:jc w:val="left"/>
            </w:pPr>
            <w:r>
              <w:t>max(F) / min(F)</w:t>
            </w:r>
          </w:p>
        </w:tc>
        <w:tc>
          <w:tcPr>
            <w:tcW w:w="1870" w:type="dxa"/>
            <w:tcBorders>
              <w:bottom w:val="single" w:sz="8" w:space="0" w:color="006633"/>
            </w:tcBorders>
          </w:tcPr>
          <w:p w14:paraId="153D7652" w14:textId="556168AE" w:rsidR="005A7610" w:rsidRPr="00D05DFA" w:rsidRDefault="00000000">
            <w:pPr>
              <w:pStyle w:val="CETBodytext"/>
              <w:jc w:val="left"/>
            </w:pPr>
            <w:r>
              <w:t xml:space="preserve">≤ 1.5  </w:t>
            </w:r>
          </w:p>
        </w:tc>
      </w:tr>
    </w:tbl>
    <w:p w14:paraId="2CDE2F24" w14:textId="40602E3F" w:rsidR="006D1C61" w:rsidRDefault="006D1C61" w:rsidP="006D1C61">
      <w:pPr>
        <w:pStyle w:val="CETBodytext"/>
        <w:rPr>
          <w:lang w:val="en-GB"/>
        </w:rPr>
      </w:pPr>
      <w:r w:rsidRPr="005F1FE1">
        <w:rPr>
          <w:b/>
          <w:bCs/>
          <w:i/>
          <w:iCs/>
        </w:rPr>
        <w:lastRenderedPageBreak/>
        <w:t>Applicability check</w:t>
      </w:r>
      <w:r>
        <w:t xml:space="preserve">. </w:t>
      </w:r>
      <w:r w:rsidRPr="006D1C61">
        <w:t xml:space="preserve">As a final gate, </w:t>
      </w:r>
      <w:r w:rsidR="003C7B01">
        <w:rPr>
          <w:lang w:val="en-GB"/>
        </w:rPr>
        <w:t>o</w:t>
      </w:r>
      <w:r w:rsidR="003C7B01" w:rsidRPr="003C7B01">
        <w:rPr>
          <w:lang w:val="en-GB"/>
        </w:rPr>
        <w:t xml:space="preserve">nly samples within the IOMS measurement range (80–1,800 </w:t>
      </w:r>
      <w:proofErr w:type="spellStart"/>
      <w:r w:rsidR="003C7B01" w:rsidRPr="003C7B01">
        <w:rPr>
          <w:lang w:val="en-GB"/>
        </w:rPr>
        <w:t>ou</w:t>
      </w:r>
      <w:r w:rsidR="003C7B01" w:rsidRPr="003C7B01">
        <w:rPr>
          <w:vertAlign w:val="subscript"/>
          <w:lang w:val="en-GB"/>
        </w:rPr>
        <w:t>E</w:t>
      </w:r>
      <w:proofErr w:type="spellEnd"/>
      <w:r w:rsidR="003C7B01" w:rsidRPr="003C7B01">
        <w:rPr>
          <w:lang w:val="en-GB"/>
        </w:rPr>
        <w:t>/m³) were retained.</w:t>
      </w:r>
      <w:r w:rsidR="005F1FE1">
        <w:rPr>
          <w:lang w:val="en-GB"/>
        </w:rPr>
        <w:t xml:space="preserve"> </w:t>
      </w:r>
      <w:r w:rsidR="003C7B01" w:rsidRPr="003C7B01">
        <w:rPr>
          <w:lang w:val="en-GB"/>
        </w:rPr>
        <w:t>Out-of-range samples were excluded from further analysis.</w:t>
      </w:r>
    </w:p>
    <w:p w14:paraId="6659BCB3" w14:textId="130F92BE" w:rsidR="001D6C9D" w:rsidRDefault="00000000" w:rsidP="00ED5328">
      <w:pPr>
        <w:pStyle w:val="CETBodytext"/>
        <w:rPr>
          <w:lang w:val="en-GB"/>
        </w:rPr>
      </w:pPr>
      <w:r w:rsidRPr="005F1FE1">
        <w:rPr>
          <w:b/>
          <w:bCs/>
          <w:i/>
          <w:iCs/>
        </w:rPr>
        <w:t>Bland-Altman analysis and decision criteria</w:t>
      </w:r>
      <w:r>
        <w:t xml:space="preserve">. </w:t>
      </w:r>
      <w:r w:rsidR="003C7B01">
        <w:t>Validated s</w:t>
      </w:r>
      <w:r>
        <w:t xml:space="preserve">amples were compared to olfactometry outputs through </w:t>
      </w:r>
      <w:r w:rsidRPr="00DD4266">
        <w:t xml:space="preserve">Bland-Altman analysis (Bland </w:t>
      </w:r>
      <w:r w:rsidRPr="00A0267C">
        <w:t xml:space="preserve">and Altman, 1986), applied in logarithmic scale. </w:t>
      </w:r>
      <w:r w:rsidR="00ED5328" w:rsidRPr="00A0267C">
        <w:rPr>
          <w:lang w:val="en-GB"/>
        </w:rPr>
        <w:t xml:space="preserve">The standard does not provide explicit acceptability criteria for this test. </w:t>
      </w:r>
      <w:r w:rsidR="001D6C9D" w:rsidRPr="00A0267C">
        <w:rPr>
          <w:lang w:val="en-GB"/>
        </w:rPr>
        <w:t>According to EN 13725:2022, olfactometry accuracy is defined by a logarithmic bias lower than 0.217 and an intermediate precision corresponding to a factor of 3. Field studies have shown that the agreement between IOMS and dynamic olfactometry typically falls within a factor of 3–4 under real operating conditions (</w:t>
      </w:r>
      <w:proofErr w:type="spellStart"/>
      <w:r w:rsidR="001D6C9D" w:rsidRPr="00A0267C">
        <w:rPr>
          <w:lang w:val="en-GB"/>
        </w:rPr>
        <w:t>Burgués</w:t>
      </w:r>
      <w:proofErr w:type="spellEnd"/>
      <w:r w:rsidR="001D6C9D" w:rsidRPr="00A0267C">
        <w:rPr>
          <w:lang w:val="en-GB"/>
        </w:rPr>
        <w:t xml:space="preserve"> et al., 2022; Ratti et al., 2024). On this basis, acceptability limits were set at ±0.602 (log units), corresponding to a factor of 4, while the bias criterion was aligned with that of dynamic olfactometry.</w:t>
      </w:r>
      <w:r w:rsidR="00A540F3" w:rsidRPr="00A0267C">
        <w:rPr>
          <w:lang w:val="en-GB"/>
        </w:rPr>
        <w:t xml:space="preserve"> This choice reflects a conservative approach, acknowledging that the overall agreement achievable by the measurement system is inherently constrained by the uncertainty of the reference method.</w:t>
      </w:r>
    </w:p>
    <w:p w14:paraId="4457207D" w14:textId="55B39B4D" w:rsidR="005A7610" w:rsidRDefault="003C7B01" w:rsidP="00ED5328">
      <w:pPr>
        <w:pStyle w:val="CETBodytext"/>
      </w:pPr>
      <w:r w:rsidRPr="003C7B01">
        <w:rPr>
          <w:lang w:val="en-GB"/>
        </w:rPr>
        <w:t xml:space="preserve">As a decision rule, performance was evaluated based on the </w:t>
      </w:r>
      <w:r w:rsidR="005F1FE1">
        <w:rPr>
          <w:lang w:val="en-GB"/>
        </w:rPr>
        <w:t>percentage</w:t>
      </w:r>
      <w:r w:rsidRPr="003C7B01">
        <w:rPr>
          <w:lang w:val="en-GB"/>
        </w:rPr>
        <w:t xml:space="preserve"> of compliant observations within the defined acceptability limits</w:t>
      </w:r>
      <w:r w:rsidR="00DD4266">
        <w:rPr>
          <w:lang w:val="en-GB"/>
        </w:rPr>
        <w:t xml:space="preserve"> </w:t>
      </w:r>
      <w:r w:rsidRPr="003C7B01">
        <w:rPr>
          <w:lang w:val="en-GB"/>
        </w:rPr>
        <w:t xml:space="preserve">to determine whether the verification outcome is acceptable, requires repetition, or </w:t>
      </w:r>
      <w:r w:rsidR="00DD4266">
        <w:rPr>
          <w:lang w:val="en-GB"/>
        </w:rPr>
        <w:t>requires to plan a new training (</w:t>
      </w:r>
      <w:r w:rsidRPr="003C7B01">
        <w:rPr>
          <w:lang w:val="en-GB"/>
        </w:rPr>
        <w:t>Table 3</w:t>
      </w:r>
      <w:r w:rsidR="00DD4266">
        <w:rPr>
          <w:lang w:val="en-GB"/>
        </w:rPr>
        <w:t>)</w:t>
      </w:r>
      <w:r w:rsidRPr="003C7B01">
        <w:rPr>
          <w:lang w:val="en-GB"/>
        </w:rPr>
        <w:t>.</w:t>
      </w:r>
    </w:p>
    <w:p w14:paraId="5D8643EF" w14:textId="36BF8E6A" w:rsidR="005A7610" w:rsidRDefault="00000000">
      <w:pPr>
        <w:pStyle w:val="CETTabletitle"/>
      </w:pPr>
      <w:r>
        <w:t>Table 3: Classification criteria for Level 2 verification based on Bland-Altman compliance</w:t>
      </w:r>
    </w:p>
    <w:tbl>
      <w:tblPr>
        <w:tblW w:w="0" w:type="auto"/>
        <w:tblLook w:val="04A0" w:firstRow="1" w:lastRow="0" w:firstColumn="1" w:lastColumn="0" w:noHBand="0" w:noVBand="1"/>
      </w:tblPr>
      <w:tblGrid>
        <w:gridCol w:w="2834"/>
        <w:gridCol w:w="2834"/>
        <w:gridCol w:w="2551"/>
      </w:tblGrid>
      <w:tr w:rsidR="005A7610" w14:paraId="55778346" w14:textId="77777777">
        <w:tc>
          <w:tcPr>
            <w:tcW w:w="2834" w:type="dxa"/>
            <w:tcBorders>
              <w:top w:val="single" w:sz="8" w:space="0" w:color="006633"/>
              <w:bottom w:val="single" w:sz="8" w:space="0" w:color="006633"/>
            </w:tcBorders>
          </w:tcPr>
          <w:p w14:paraId="02E91094" w14:textId="77777777" w:rsidR="005A7610" w:rsidRDefault="00000000">
            <w:pPr>
              <w:pStyle w:val="CETBodytext"/>
              <w:jc w:val="left"/>
            </w:pPr>
            <w:r>
              <w:t>Compliant observations (%)</w:t>
            </w:r>
          </w:p>
        </w:tc>
        <w:tc>
          <w:tcPr>
            <w:tcW w:w="2834" w:type="dxa"/>
            <w:tcBorders>
              <w:top w:val="single" w:sz="8" w:space="0" w:color="006633"/>
              <w:bottom w:val="single" w:sz="8" w:space="0" w:color="006633"/>
            </w:tcBorders>
          </w:tcPr>
          <w:p w14:paraId="422DAEB2" w14:textId="77777777" w:rsidR="005A7610" w:rsidRDefault="00000000">
            <w:pPr>
              <w:pStyle w:val="CETBodytext"/>
              <w:jc w:val="left"/>
            </w:pPr>
            <w:r>
              <w:t>Performance classification</w:t>
            </w:r>
          </w:p>
        </w:tc>
        <w:tc>
          <w:tcPr>
            <w:tcW w:w="2551" w:type="dxa"/>
            <w:tcBorders>
              <w:top w:val="single" w:sz="8" w:space="0" w:color="006633"/>
              <w:bottom w:val="single" w:sz="8" w:space="0" w:color="006633"/>
            </w:tcBorders>
          </w:tcPr>
          <w:p w14:paraId="6D93AD98" w14:textId="77777777" w:rsidR="005A7610" w:rsidRDefault="00000000">
            <w:pPr>
              <w:pStyle w:val="CETBodytext"/>
              <w:jc w:val="left"/>
            </w:pPr>
            <w:r>
              <w:t>Action</w:t>
            </w:r>
          </w:p>
        </w:tc>
      </w:tr>
      <w:tr w:rsidR="005A7610" w14:paraId="603B18CF" w14:textId="77777777">
        <w:tc>
          <w:tcPr>
            <w:tcW w:w="2834" w:type="dxa"/>
          </w:tcPr>
          <w:p w14:paraId="64F3F35D" w14:textId="77777777" w:rsidR="005A7610" w:rsidRDefault="00000000">
            <w:pPr>
              <w:pStyle w:val="CETBodytext"/>
              <w:jc w:val="left"/>
            </w:pPr>
            <w:r>
              <w:t>≥ 90 %</w:t>
            </w:r>
          </w:p>
        </w:tc>
        <w:tc>
          <w:tcPr>
            <w:tcW w:w="2834" w:type="dxa"/>
          </w:tcPr>
          <w:p w14:paraId="7DCC15F1" w14:textId="77777777" w:rsidR="005A7610" w:rsidRDefault="00000000">
            <w:pPr>
              <w:pStyle w:val="CETBodytext"/>
              <w:jc w:val="left"/>
            </w:pPr>
            <w:r>
              <w:t>Acceptable</w:t>
            </w:r>
          </w:p>
        </w:tc>
        <w:tc>
          <w:tcPr>
            <w:tcW w:w="2551" w:type="dxa"/>
          </w:tcPr>
          <w:p w14:paraId="1972B29E" w14:textId="77777777" w:rsidR="005A7610" w:rsidRDefault="00000000">
            <w:pPr>
              <w:pStyle w:val="CETBodytext"/>
              <w:jc w:val="left"/>
            </w:pPr>
            <w:r>
              <w:t>No action required</w:t>
            </w:r>
          </w:p>
        </w:tc>
      </w:tr>
      <w:tr w:rsidR="005A7610" w14:paraId="0EC4CA36" w14:textId="77777777">
        <w:tc>
          <w:tcPr>
            <w:tcW w:w="2834" w:type="dxa"/>
          </w:tcPr>
          <w:p w14:paraId="5633ACFE" w14:textId="77777777" w:rsidR="005A7610" w:rsidRDefault="00000000">
            <w:pPr>
              <w:pStyle w:val="CETBodytext"/>
              <w:jc w:val="left"/>
            </w:pPr>
            <w:r>
              <w:t>70 – 90 %</w:t>
            </w:r>
          </w:p>
        </w:tc>
        <w:tc>
          <w:tcPr>
            <w:tcW w:w="2834" w:type="dxa"/>
          </w:tcPr>
          <w:p w14:paraId="1780666A" w14:textId="77777777" w:rsidR="005A7610" w:rsidRDefault="00000000">
            <w:pPr>
              <w:pStyle w:val="CETBodytext"/>
              <w:jc w:val="left"/>
            </w:pPr>
            <w:r>
              <w:t>To be verified</w:t>
            </w:r>
          </w:p>
        </w:tc>
        <w:tc>
          <w:tcPr>
            <w:tcW w:w="2551" w:type="dxa"/>
          </w:tcPr>
          <w:p w14:paraId="33E5B7B1" w14:textId="77777777" w:rsidR="005A7610" w:rsidRDefault="00000000">
            <w:pPr>
              <w:pStyle w:val="CETBodytext"/>
              <w:jc w:val="left"/>
            </w:pPr>
            <w:r>
              <w:t>Repeat verification</w:t>
            </w:r>
          </w:p>
        </w:tc>
      </w:tr>
      <w:tr w:rsidR="005A7610" w14:paraId="5FB891B2" w14:textId="77777777">
        <w:tc>
          <w:tcPr>
            <w:tcW w:w="2834" w:type="dxa"/>
            <w:tcBorders>
              <w:bottom w:val="single" w:sz="8" w:space="0" w:color="006633"/>
            </w:tcBorders>
          </w:tcPr>
          <w:p w14:paraId="2E8E22FB" w14:textId="77777777" w:rsidR="005A7610" w:rsidRDefault="00000000">
            <w:pPr>
              <w:pStyle w:val="CETBodytext"/>
              <w:jc w:val="left"/>
            </w:pPr>
            <w:r>
              <w:t>&lt; 70 %</w:t>
            </w:r>
          </w:p>
        </w:tc>
        <w:tc>
          <w:tcPr>
            <w:tcW w:w="2834" w:type="dxa"/>
            <w:tcBorders>
              <w:bottom w:val="single" w:sz="8" w:space="0" w:color="006633"/>
            </w:tcBorders>
          </w:tcPr>
          <w:p w14:paraId="1DE0B4DA" w14:textId="77777777" w:rsidR="005A7610" w:rsidRDefault="00000000">
            <w:pPr>
              <w:pStyle w:val="CETBodytext"/>
              <w:jc w:val="left"/>
            </w:pPr>
            <w:r>
              <w:t>Not acceptable</w:t>
            </w:r>
          </w:p>
        </w:tc>
        <w:tc>
          <w:tcPr>
            <w:tcW w:w="2551" w:type="dxa"/>
            <w:tcBorders>
              <w:bottom w:val="single" w:sz="8" w:space="0" w:color="006633"/>
            </w:tcBorders>
          </w:tcPr>
          <w:p w14:paraId="5086D57A" w14:textId="77777777" w:rsidR="005A7610" w:rsidRDefault="00000000">
            <w:pPr>
              <w:pStyle w:val="CETBodytext"/>
              <w:jc w:val="left"/>
            </w:pPr>
            <w:r>
              <w:t>Retraining required</w:t>
            </w:r>
          </w:p>
        </w:tc>
      </w:tr>
    </w:tbl>
    <w:p w14:paraId="46BA347A" w14:textId="17C2CC5D" w:rsidR="005A7610" w:rsidRDefault="00000000" w:rsidP="00115EF1">
      <w:pPr>
        <w:pStyle w:val="CETheadingx"/>
      </w:pPr>
      <w:r>
        <w:t>Level 3 verification</w:t>
      </w:r>
    </w:p>
    <w:p w14:paraId="707C0BDA" w14:textId="558BE086" w:rsidR="005A7610" w:rsidRDefault="00000000">
      <w:pPr>
        <w:pStyle w:val="CETBodytext"/>
      </w:pPr>
      <w:r>
        <w:t>Level 3 verification assesses the stability of the IOMS during field operati</w:t>
      </w:r>
      <w:r w:rsidR="00DD4266">
        <w:t>ng conditions</w:t>
      </w:r>
      <w:r>
        <w:t xml:space="preserve"> and detects drift or performance degradation over time. The procedure is </w:t>
      </w:r>
      <w:r w:rsidR="00DD4266">
        <w:t>performed</w:t>
      </w:r>
      <w:r>
        <w:t xml:space="preserve"> periodically (quarterly frequency adopted in this study) using zero gas and n-butanol as span gas, ensuring consistency with dynamic olfactometry (CEN, 2022). </w:t>
      </w:r>
      <w:r w:rsidR="00DD4266" w:rsidRPr="00DD4266">
        <w:rPr>
          <w:lang w:val="en-GB"/>
        </w:rPr>
        <w:t xml:space="preserve">Prior to field deployment, the </w:t>
      </w:r>
      <w:r w:rsidR="00DD4266">
        <w:rPr>
          <w:lang w:val="en-GB"/>
        </w:rPr>
        <w:t>IOMS</w:t>
      </w:r>
      <w:r w:rsidR="00DD4266" w:rsidRPr="00DD4266">
        <w:rPr>
          <w:lang w:val="en-GB"/>
        </w:rPr>
        <w:t xml:space="preserve"> is trained using </w:t>
      </w:r>
      <w:r w:rsidR="00DD4266" w:rsidRPr="00DD4266">
        <w:rPr>
          <w:i/>
          <w:iCs/>
          <w:lang w:val="en-GB"/>
        </w:rPr>
        <w:t>n</w:t>
      </w:r>
      <w:r w:rsidR="00DD4266" w:rsidRPr="00DD4266">
        <w:rPr>
          <w:lang w:val="en-GB"/>
        </w:rPr>
        <w:t xml:space="preserve">-butanol at a minimum of three concentration levels. During routine Level 3 verification, at least two concentration levels are tested. </w:t>
      </w:r>
      <w:r>
        <w:t xml:space="preserve">For each condition, two indicators are </w:t>
      </w:r>
      <w:r w:rsidR="00DD4266">
        <w:t>calculated</w:t>
      </w:r>
      <w:r>
        <w:t xml:space="preserve">: the percentage deviation from the reference concentration </w:t>
      </w:r>
      <w:r w:rsidR="006D1C61">
        <w:t xml:space="preserve">(DEV%) </w:t>
      </w:r>
      <w:r>
        <w:t>(</w:t>
      </w:r>
      <w:proofErr w:type="gramStart"/>
      <w:r>
        <w:t>Eq</w:t>
      </w:r>
      <w:r w:rsidR="004C79BF">
        <w:t>(</w:t>
      </w:r>
      <w:proofErr w:type="gramEnd"/>
      <w:r>
        <w:t>5</w:t>
      </w:r>
      <w:r w:rsidR="004C79BF">
        <w:t>)</w:t>
      </w:r>
      <w:r>
        <w:t xml:space="preserve">) and the coefficient of variation of the replicates </w:t>
      </w:r>
      <w:r w:rsidR="006D1C61">
        <w:t xml:space="preserve">(CV%) </w:t>
      </w:r>
      <w:r>
        <w:t>(</w:t>
      </w:r>
      <w:proofErr w:type="gramStart"/>
      <w:r>
        <w:t>Eq</w:t>
      </w:r>
      <w:r w:rsidR="004C79BF">
        <w:t>(</w:t>
      </w:r>
      <w:proofErr w:type="gramEnd"/>
      <w:r>
        <w:t>6</w:t>
      </w:r>
      <w:r w:rsidR="004C79BF">
        <w:t>)</w:t>
      </w:r>
      <w:r>
        <w:t>):</w:t>
      </w:r>
    </w:p>
    <w:p w14:paraId="3D3AAC1A" w14:textId="44D6CEB9" w:rsidR="00EC181B" w:rsidRPr="00EC181B" w:rsidRDefault="00C41532" w:rsidP="00EC181B">
      <w:pPr>
        <w:pStyle w:val="CETEquation"/>
        <w:rPr>
          <w:lang w:val="en-US"/>
        </w:rPr>
      </w:pPr>
      <m:oMath>
        <m:r>
          <w:rPr>
            <w:rFonts w:ascii="Cambria Math" w:hAnsi="Cambria Math" w:cs="Arial"/>
          </w:rPr>
          <m:t>DEV</m:t>
        </m:r>
        <m:d>
          <m:dPr>
            <m:ctrlPr>
              <w:rPr>
                <w:rFonts w:ascii="Cambria Math" w:hAnsi="Cambria Math" w:cs="Arial"/>
                <w:i/>
              </w:rPr>
            </m:ctrlPr>
          </m:dPr>
          <m:e>
            <m:r>
              <w:rPr>
                <w:rFonts w:ascii="Cambria Math" w:hAnsi="Cambria Math" w:cs="Arial"/>
              </w:rPr>
              <m:t>%</m:t>
            </m:r>
          </m:e>
        </m:d>
        <m:r>
          <w:rPr>
            <w:rFonts w:ascii="Cambria Math" w:hAnsi="Cambria Math" w:cs="Arial"/>
            <w:lang w:val="en-US"/>
          </w:rPr>
          <m:t>=</m:t>
        </m:r>
        <m:f>
          <m:fPr>
            <m:ctrlPr>
              <w:rPr>
                <w:rFonts w:ascii="Cambria Math" w:hAnsi="Cambria Math" w:cs="Arial"/>
                <w:i/>
              </w:rPr>
            </m:ctrlPr>
          </m:fPr>
          <m:num>
            <m:r>
              <w:rPr>
                <w:rFonts w:ascii="Cambria Math" w:hAnsi="Cambria Math" w:cs="Arial"/>
              </w:rPr>
              <m:t>mean IOMS readings-nominal span gas value</m:t>
            </m:r>
          </m:num>
          <m:den>
            <m:r>
              <w:rPr>
                <w:rFonts w:ascii="Cambria Math" w:hAnsi="Cambria Math" w:cs="Arial"/>
              </w:rPr>
              <m:t>nominal span gas value</m:t>
            </m:r>
          </m:den>
        </m:f>
        <m:r>
          <w:rPr>
            <w:rFonts w:ascii="Cambria Math" w:hAnsi="Cambria Math" w:cs="Arial"/>
          </w:rPr>
          <m:t>*100</m:t>
        </m:r>
      </m:oMath>
      <w:r w:rsidR="00DD4266" w:rsidRPr="00C41532">
        <w:rPr>
          <w:lang w:val="en-US"/>
        </w:rPr>
        <w:t xml:space="preserve">             </w:t>
      </w:r>
      <w:r w:rsidR="00EC181B">
        <w:rPr>
          <w:lang w:val="en-US"/>
        </w:rPr>
        <w:t xml:space="preserve"> </w:t>
      </w:r>
      <w:r w:rsidR="00DD4266" w:rsidRPr="00C41532">
        <w:rPr>
          <w:lang w:val="en-US"/>
        </w:rPr>
        <w:t xml:space="preserve">                                    </w:t>
      </w:r>
      <w:r w:rsidRPr="00C41532">
        <w:rPr>
          <w:lang w:val="en-US"/>
        </w:rPr>
        <w:t xml:space="preserve">  (5)</w:t>
      </w:r>
    </w:p>
    <w:p w14:paraId="5A4017E7" w14:textId="6BB073BA" w:rsidR="005A7610" w:rsidRPr="00984DB4" w:rsidRDefault="00C41532">
      <w:pPr>
        <w:pStyle w:val="CETEquation"/>
        <w:rPr>
          <w:lang w:val="en-US"/>
        </w:rPr>
      </w:pPr>
      <m:oMath>
        <m:r>
          <w:rPr>
            <w:rFonts w:ascii="Cambria Math" w:hAnsi="Cambria Math" w:cs="Arial"/>
          </w:rPr>
          <m:t>CV</m:t>
        </m:r>
        <m:d>
          <m:dPr>
            <m:ctrlPr>
              <w:rPr>
                <w:rFonts w:ascii="Cambria Math" w:hAnsi="Cambria Math" w:cs="Arial"/>
                <w:i/>
              </w:rPr>
            </m:ctrlPr>
          </m:dPr>
          <m:e>
            <m:r>
              <w:rPr>
                <w:rFonts w:ascii="Cambria Math" w:hAnsi="Cambria Math" w:cs="Arial"/>
              </w:rPr>
              <m:t>%</m:t>
            </m:r>
          </m:e>
        </m:d>
        <m:r>
          <w:rPr>
            <w:rFonts w:ascii="Cambria Math" w:hAnsi="Cambria Math" w:cs="Arial"/>
            <w:lang w:val="en-US"/>
          </w:rPr>
          <m:t>=</m:t>
        </m:r>
        <m:f>
          <m:fPr>
            <m:ctrlPr>
              <w:rPr>
                <w:rFonts w:ascii="Cambria Math" w:hAnsi="Cambria Math" w:cs="Arial"/>
                <w:i/>
              </w:rPr>
            </m:ctrlPr>
          </m:fPr>
          <m:num>
            <m:r>
              <w:rPr>
                <w:rFonts w:ascii="Cambria Math" w:hAnsi="Cambria Math" w:cs="Arial"/>
              </w:rPr>
              <m:t>standard deviation of IOMS readings</m:t>
            </m:r>
          </m:num>
          <m:den>
            <m:r>
              <w:rPr>
                <w:rFonts w:ascii="Cambria Math" w:hAnsi="Cambria Math" w:cs="Arial"/>
              </w:rPr>
              <m:t>mean IOMS reading</m:t>
            </m:r>
          </m:den>
        </m:f>
        <m:r>
          <w:rPr>
            <w:rFonts w:ascii="Cambria Math" w:hAnsi="Cambria Math" w:cs="Arial"/>
          </w:rPr>
          <m:t>*100</m:t>
        </m:r>
      </m:oMath>
      <w:r w:rsidRPr="00984DB4">
        <w:rPr>
          <w:lang w:val="en-US"/>
        </w:rPr>
        <w:t xml:space="preserve">                                                                 </w:t>
      </w:r>
      <w:r w:rsidR="00EC181B">
        <w:rPr>
          <w:lang w:val="en-US"/>
        </w:rPr>
        <w:t xml:space="preserve"> </w:t>
      </w:r>
      <w:r w:rsidRPr="00984DB4">
        <w:rPr>
          <w:lang w:val="en-US"/>
        </w:rPr>
        <w:t>(6)</w:t>
      </w:r>
    </w:p>
    <w:p w14:paraId="67E1F18D" w14:textId="04DEC89D" w:rsidR="005A7610" w:rsidRDefault="00984DB4">
      <w:pPr>
        <w:pStyle w:val="CETBodytext"/>
      </w:pPr>
      <w:r w:rsidRPr="00984DB4">
        <w:rPr>
          <w:lang w:val="en-GB"/>
        </w:rPr>
        <w:t>The acceptance criteria reported in Table 4 were developed in this study</w:t>
      </w:r>
      <w:r w:rsidR="00EC181B">
        <w:rPr>
          <w:lang w:val="en-GB"/>
        </w:rPr>
        <w:t xml:space="preserve"> based on </w:t>
      </w:r>
      <w:r w:rsidRPr="00984DB4">
        <w:rPr>
          <w:lang w:val="en-GB"/>
        </w:rPr>
        <w:t xml:space="preserve">field experience </w:t>
      </w:r>
      <w:r w:rsidR="00EC181B">
        <w:rPr>
          <w:lang w:val="en-GB"/>
        </w:rPr>
        <w:t>and</w:t>
      </w:r>
      <w:r w:rsidRPr="00984DB4">
        <w:rPr>
          <w:lang w:val="en-GB"/>
        </w:rPr>
        <w:t xml:space="preserve"> long-term operational data, provid</w:t>
      </w:r>
      <w:r w:rsidR="00EC181B">
        <w:rPr>
          <w:lang w:val="en-GB"/>
        </w:rPr>
        <w:t>ing</w:t>
      </w:r>
      <w:r w:rsidRPr="00984DB4">
        <w:rPr>
          <w:lang w:val="en-GB"/>
        </w:rPr>
        <w:t xml:space="preserve"> practical decision thresholds for Level 3 verification.</w:t>
      </w:r>
      <w:r>
        <w:rPr>
          <w:lang w:val="en-GB"/>
        </w:rPr>
        <w:t xml:space="preserve"> </w:t>
      </w:r>
      <w:r>
        <w:t xml:space="preserve">The outcome is considered positive when at least one of the two indicators is not classified as “not acceptable”, and negative only when both indicators simultaneously exceed the rejection thresholds. The results are tracked over time through a </w:t>
      </w:r>
      <w:proofErr w:type="spellStart"/>
      <w:r>
        <w:t>Shewart</w:t>
      </w:r>
      <w:proofErr w:type="spellEnd"/>
      <w:r>
        <w:t xml:space="preserve"> control chart, enabling early detection of systematic drift.</w:t>
      </w:r>
    </w:p>
    <w:p w14:paraId="61FC98FE" w14:textId="77777777" w:rsidR="005A7610" w:rsidRDefault="00000000">
      <w:pPr>
        <w:pStyle w:val="CETTabletitle"/>
      </w:pPr>
      <w:r>
        <w:t>Table 4: Acceptance criteria for Level 3 verification indicators.</w:t>
      </w:r>
    </w:p>
    <w:tbl>
      <w:tblPr>
        <w:tblW w:w="0" w:type="auto"/>
        <w:tblLook w:val="04A0" w:firstRow="1" w:lastRow="0" w:firstColumn="1" w:lastColumn="0" w:noHBand="0" w:noVBand="1"/>
      </w:tblPr>
      <w:tblGrid>
        <w:gridCol w:w="1984"/>
        <w:gridCol w:w="1984"/>
        <w:gridCol w:w="2267"/>
        <w:gridCol w:w="1984"/>
      </w:tblGrid>
      <w:tr w:rsidR="005A7610" w14:paraId="7D38BCAB" w14:textId="77777777">
        <w:tc>
          <w:tcPr>
            <w:tcW w:w="1984" w:type="dxa"/>
            <w:tcBorders>
              <w:top w:val="single" w:sz="8" w:space="0" w:color="006633"/>
              <w:bottom w:val="single" w:sz="8" w:space="0" w:color="006633"/>
            </w:tcBorders>
          </w:tcPr>
          <w:p w14:paraId="32864242" w14:textId="77777777" w:rsidR="005A7610" w:rsidRDefault="00000000">
            <w:pPr>
              <w:pStyle w:val="CETBodytext"/>
              <w:jc w:val="left"/>
            </w:pPr>
            <w:r>
              <w:t>Indicator</w:t>
            </w:r>
          </w:p>
        </w:tc>
        <w:tc>
          <w:tcPr>
            <w:tcW w:w="1984" w:type="dxa"/>
            <w:tcBorders>
              <w:top w:val="single" w:sz="8" w:space="0" w:color="006633"/>
              <w:bottom w:val="single" w:sz="8" w:space="0" w:color="006633"/>
            </w:tcBorders>
          </w:tcPr>
          <w:p w14:paraId="63A8ACB9" w14:textId="77777777" w:rsidR="005A7610" w:rsidRDefault="00000000">
            <w:pPr>
              <w:pStyle w:val="CETBodytext"/>
              <w:jc w:val="left"/>
            </w:pPr>
            <w:r>
              <w:t>Acceptable</w:t>
            </w:r>
          </w:p>
        </w:tc>
        <w:tc>
          <w:tcPr>
            <w:tcW w:w="2267" w:type="dxa"/>
            <w:tcBorders>
              <w:top w:val="single" w:sz="8" w:space="0" w:color="006633"/>
              <w:bottom w:val="single" w:sz="8" w:space="0" w:color="006633"/>
            </w:tcBorders>
          </w:tcPr>
          <w:p w14:paraId="58F731BD" w14:textId="77777777" w:rsidR="005A7610" w:rsidRDefault="00000000">
            <w:pPr>
              <w:pStyle w:val="CETBodytext"/>
              <w:jc w:val="left"/>
            </w:pPr>
            <w:r>
              <w:t>To be monitored</w:t>
            </w:r>
          </w:p>
        </w:tc>
        <w:tc>
          <w:tcPr>
            <w:tcW w:w="1984" w:type="dxa"/>
            <w:tcBorders>
              <w:top w:val="single" w:sz="8" w:space="0" w:color="006633"/>
              <w:bottom w:val="single" w:sz="8" w:space="0" w:color="006633"/>
            </w:tcBorders>
          </w:tcPr>
          <w:p w14:paraId="1E3BF528" w14:textId="77777777" w:rsidR="005A7610" w:rsidRDefault="00000000">
            <w:pPr>
              <w:pStyle w:val="CETBodytext"/>
              <w:jc w:val="left"/>
            </w:pPr>
            <w:r>
              <w:t>Not acceptable</w:t>
            </w:r>
          </w:p>
        </w:tc>
      </w:tr>
      <w:tr w:rsidR="005A7610" w14:paraId="1A7F2CFE" w14:textId="77777777">
        <w:tc>
          <w:tcPr>
            <w:tcW w:w="1984" w:type="dxa"/>
          </w:tcPr>
          <w:p w14:paraId="04AAF4B8" w14:textId="02802982" w:rsidR="005A7610" w:rsidRDefault="003C7162">
            <w:pPr>
              <w:pStyle w:val="CETBodytext"/>
              <w:jc w:val="left"/>
            </w:pPr>
            <w:r>
              <w:t>DEV%</w:t>
            </w:r>
          </w:p>
        </w:tc>
        <w:tc>
          <w:tcPr>
            <w:tcW w:w="1984" w:type="dxa"/>
          </w:tcPr>
          <w:p w14:paraId="2D7AEF6B" w14:textId="77777777" w:rsidR="005A7610" w:rsidRDefault="00000000">
            <w:pPr>
              <w:pStyle w:val="CETBodytext"/>
              <w:jc w:val="left"/>
            </w:pPr>
            <w:r>
              <w:t>≤ 25 %</w:t>
            </w:r>
          </w:p>
        </w:tc>
        <w:tc>
          <w:tcPr>
            <w:tcW w:w="2267" w:type="dxa"/>
          </w:tcPr>
          <w:p w14:paraId="603F94AA" w14:textId="77777777" w:rsidR="005A7610" w:rsidRDefault="00000000">
            <w:pPr>
              <w:pStyle w:val="CETBodytext"/>
              <w:jc w:val="left"/>
            </w:pPr>
            <w:r>
              <w:t>25 – 35 %</w:t>
            </w:r>
          </w:p>
        </w:tc>
        <w:tc>
          <w:tcPr>
            <w:tcW w:w="1984" w:type="dxa"/>
          </w:tcPr>
          <w:p w14:paraId="023731D3" w14:textId="77777777" w:rsidR="005A7610" w:rsidRDefault="00000000">
            <w:pPr>
              <w:pStyle w:val="CETBodytext"/>
              <w:jc w:val="left"/>
            </w:pPr>
            <w:r>
              <w:t>&gt; 35 %</w:t>
            </w:r>
          </w:p>
        </w:tc>
      </w:tr>
      <w:tr w:rsidR="005A7610" w14:paraId="0FC08A80" w14:textId="77777777">
        <w:tc>
          <w:tcPr>
            <w:tcW w:w="1984" w:type="dxa"/>
            <w:tcBorders>
              <w:bottom w:val="single" w:sz="8" w:space="0" w:color="006633"/>
            </w:tcBorders>
          </w:tcPr>
          <w:p w14:paraId="1BEDCEBD" w14:textId="77777777" w:rsidR="005A7610" w:rsidRDefault="00000000">
            <w:pPr>
              <w:pStyle w:val="CETBodytext"/>
              <w:jc w:val="left"/>
            </w:pPr>
            <w:r>
              <w:t>CV%</w:t>
            </w:r>
          </w:p>
        </w:tc>
        <w:tc>
          <w:tcPr>
            <w:tcW w:w="1984" w:type="dxa"/>
            <w:tcBorders>
              <w:bottom w:val="single" w:sz="8" w:space="0" w:color="006633"/>
            </w:tcBorders>
          </w:tcPr>
          <w:p w14:paraId="0D20F790" w14:textId="77777777" w:rsidR="005A7610" w:rsidRDefault="00000000">
            <w:pPr>
              <w:pStyle w:val="CETBodytext"/>
              <w:jc w:val="left"/>
            </w:pPr>
            <w:r>
              <w:t>≤ 20 %</w:t>
            </w:r>
          </w:p>
        </w:tc>
        <w:tc>
          <w:tcPr>
            <w:tcW w:w="2267" w:type="dxa"/>
            <w:tcBorders>
              <w:bottom w:val="single" w:sz="8" w:space="0" w:color="006633"/>
            </w:tcBorders>
          </w:tcPr>
          <w:p w14:paraId="44C60D0E" w14:textId="77777777" w:rsidR="005A7610" w:rsidRDefault="00000000">
            <w:pPr>
              <w:pStyle w:val="CETBodytext"/>
              <w:jc w:val="left"/>
            </w:pPr>
            <w:r>
              <w:t>20 – 30 %</w:t>
            </w:r>
          </w:p>
        </w:tc>
        <w:tc>
          <w:tcPr>
            <w:tcW w:w="1984" w:type="dxa"/>
            <w:tcBorders>
              <w:bottom w:val="single" w:sz="8" w:space="0" w:color="006633"/>
            </w:tcBorders>
          </w:tcPr>
          <w:p w14:paraId="7CEF9F55" w14:textId="77777777" w:rsidR="005A7610" w:rsidRDefault="00000000">
            <w:pPr>
              <w:pStyle w:val="CETBodytext"/>
              <w:jc w:val="left"/>
            </w:pPr>
            <w:r>
              <w:t>&gt; 30 %</w:t>
            </w:r>
          </w:p>
        </w:tc>
      </w:tr>
    </w:tbl>
    <w:p w14:paraId="688E0579" w14:textId="77777777" w:rsidR="005A7610" w:rsidRDefault="00000000">
      <w:pPr>
        <w:pStyle w:val="CETHeading1"/>
      </w:pPr>
      <w:r>
        <w:t>Results and discussion</w:t>
      </w:r>
    </w:p>
    <w:p w14:paraId="2B74DCE8" w14:textId="0E02BC90" w:rsidR="005A7610" w:rsidRDefault="00000000">
      <w:pPr>
        <w:pStyle w:val="CETheadingx"/>
      </w:pPr>
      <w:r>
        <w:t>Case study</w:t>
      </w:r>
      <w:r w:rsidR="00010A86">
        <w:t>: example of application</w:t>
      </w:r>
    </w:p>
    <w:p w14:paraId="3D4B83FA" w14:textId="42E1C231" w:rsidR="005A7610" w:rsidRDefault="00000000">
      <w:pPr>
        <w:pStyle w:val="CETBodytext"/>
      </w:pPr>
      <w:r>
        <w:t xml:space="preserve">The operational protocol </w:t>
      </w:r>
      <w:r w:rsidR="00C41532">
        <w:t xml:space="preserve">described in </w:t>
      </w:r>
      <w:r w:rsidR="00984DB4">
        <w:t xml:space="preserve">Sections </w:t>
      </w:r>
      <w:r w:rsidR="00C41532">
        <w:t xml:space="preserve">2.2 e 2.3 </w:t>
      </w:r>
      <w:r>
        <w:t xml:space="preserve">was applied to an IOMS installed at the fenceline of a waste treatment facility. Level 2 verification was performed through multi-day sampling sessions, covering different operating </w:t>
      </w:r>
      <w:r w:rsidR="00984DB4">
        <w:t>conditions</w:t>
      </w:r>
      <w:r>
        <w:t>. For each sample, two replicate</w:t>
      </w:r>
      <w:r w:rsidR="00BA2AC5">
        <w:t>s</w:t>
      </w:r>
      <w:r>
        <w:t xml:space="preserve"> were performed and </w:t>
      </w:r>
      <w:proofErr w:type="spellStart"/>
      <w:r>
        <w:t>odour</w:t>
      </w:r>
      <w:proofErr w:type="spellEnd"/>
      <w:r>
        <w:t xml:space="preserve"> concentration was determined by dynamic olfactometry (CEN, 2022). Level 3 verification was performed at quarterly frequency</w:t>
      </w:r>
      <w:r w:rsidR="00010A86">
        <w:t>.</w:t>
      </w:r>
      <w:r>
        <w:t xml:space="preserve"> Results are presented here as an illustrative case study of the operational framework.</w:t>
      </w:r>
    </w:p>
    <w:p w14:paraId="1512E38B" w14:textId="77777777" w:rsidR="005A7610" w:rsidRDefault="00000000">
      <w:pPr>
        <w:pStyle w:val="CETheadingx"/>
      </w:pPr>
      <w:r>
        <w:t>Level 2 outcomes</w:t>
      </w:r>
    </w:p>
    <w:p w14:paraId="10AFF72F" w14:textId="4CB1F378" w:rsidR="005A7610" w:rsidRDefault="00000000">
      <w:pPr>
        <w:pStyle w:val="CETBodytext"/>
      </w:pPr>
      <w:r>
        <w:t xml:space="preserve">A total of 19 samples were </w:t>
      </w:r>
      <w:r w:rsidR="00984DB4">
        <w:t>processed</w:t>
      </w:r>
      <w:r>
        <w:t xml:space="preserve"> through the pre-</w:t>
      </w:r>
      <w:r w:rsidR="00C41532">
        <w:t xml:space="preserve">processing </w:t>
      </w:r>
      <w:r w:rsidR="00984DB4">
        <w:t>procedure</w:t>
      </w:r>
      <w:r w:rsidR="00C41532">
        <w:t xml:space="preserve"> (</w:t>
      </w:r>
      <w:r w:rsidR="00984DB4">
        <w:t xml:space="preserve">Section </w:t>
      </w:r>
      <w:r w:rsidR="00C41532">
        <w:t>2.2).</w:t>
      </w:r>
      <w:r>
        <w:t xml:space="preserve"> The outcome of each step is </w:t>
      </w:r>
      <w:proofErr w:type="spellStart"/>
      <w:r>
        <w:t>summarised</w:t>
      </w:r>
      <w:proofErr w:type="spellEnd"/>
      <w:r>
        <w:t xml:space="preserve"> in Table 5.</w:t>
      </w:r>
    </w:p>
    <w:p w14:paraId="49AA7594" w14:textId="5EC98A01" w:rsidR="005A7610" w:rsidRDefault="00000000">
      <w:pPr>
        <w:pStyle w:val="CETTabletitle"/>
      </w:pPr>
      <w:r>
        <w:lastRenderedPageBreak/>
        <w:t xml:space="preserve">Table 5: Level 2 pre-selection outcomes for </w:t>
      </w:r>
      <w:r w:rsidR="00C41532">
        <w:t xml:space="preserve">a real </w:t>
      </w:r>
      <w:r>
        <w:t>case study</w:t>
      </w:r>
    </w:p>
    <w:tbl>
      <w:tblPr>
        <w:tblW w:w="0" w:type="auto"/>
        <w:tblLook w:val="04A0" w:firstRow="1" w:lastRow="0" w:firstColumn="1" w:lastColumn="0" w:noHBand="0" w:noVBand="1"/>
      </w:tblPr>
      <w:tblGrid>
        <w:gridCol w:w="4818"/>
        <w:gridCol w:w="1417"/>
        <w:gridCol w:w="1700"/>
      </w:tblGrid>
      <w:tr w:rsidR="005A7610" w14:paraId="2C3CAF42" w14:textId="77777777">
        <w:tc>
          <w:tcPr>
            <w:tcW w:w="4818" w:type="dxa"/>
            <w:tcBorders>
              <w:top w:val="single" w:sz="8" w:space="0" w:color="006633"/>
              <w:bottom w:val="single" w:sz="8" w:space="0" w:color="006633"/>
            </w:tcBorders>
          </w:tcPr>
          <w:p w14:paraId="2B6D8EC0" w14:textId="77777777" w:rsidR="005A7610" w:rsidRDefault="00000000">
            <w:pPr>
              <w:pStyle w:val="CETBodytext"/>
              <w:jc w:val="left"/>
            </w:pPr>
            <w:r>
              <w:t>Category</w:t>
            </w:r>
          </w:p>
        </w:tc>
        <w:tc>
          <w:tcPr>
            <w:tcW w:w="1417" w:type="dxa"/>
            <w:tcBorders>
              <w:top w:val="single" w:sz="8" w:space="0" w:color="006633"/>
              <w:bottom w:val="single" w:sz="8" w:space="0" w:color="006633"/>
            </w:tcBorders>
          </w:tcPr>
          <w:p w14:paraId="250A2961" w14:textId="77777777" w:rsidR="005A7610" w:rsidRDefault="00000000">
            <w:pPr>
              <w:pStyle w:val="CETBodytext"/>
              <w:jc w:val="left"/>
            </w:pPr>
            <w:r>
              <w:t>n</w:t>
            </w:r>
          </w:p>
        </w:tc>
        <w:tc>
          <w:tcPr>
            <w:tcW w:w="1700" w:type="dxa"/>
            <w:tcBorders>
              <w:top w:val="single" w:sz="8" w:space="0" w:color="006633"/>
              <w:bottom w:val="single" w:sz="8" w:space="0" w:color="006633"/>
            </w:tcBorders>
          </w:tcPr>
          <w:p w14:paraId="11E2289C" w14:textId="77777777" w:rsidR="005A7610" w:rsidRDefault="00000000">
            <w:pPr>
              <w:pStyle w:val="CETBodytext"/>
              <w:jc w:val="left"/>
            </w:pPr>
            <w:r>
              <w:t>%</w:t>
            </w:r>
          </w:p>
        </w:tc>
      </w:tr>
      <w:tr w:rsidR="00010A86" w14:paraId="62999AD0" w14:textId="77777777" w:rsidTr="00603BBE">
        <w:tc>
          <w:tcPr>
            <w:tcW w:w="4818" w:type="dxa"/>
          </w:tcPr>
          <w:p w14:paraId="2F1C2E80" w14:textId="77777777" w:rsidR="00010A86" w:rsidRDefault="00010A86" w:rsidP="00010A86">
            <w:pPr>
              <w:pStyle w:val="CETBodytext"/>
              <w:jc w:val="left"/>
            </w:pPr>
            <w:r>
              <w:t>Initial samples</w:t>
            </w:r>
          </w:p>
        </w:tc>
        <w:tc>
          <w:tcPr>
            <w:tcW w:w="1417" w:type="dxa"/>
          </w:tcPr>
          <w:p w14:paraId="6730AED4" w14:textId="77777777" w:rsidR="00010A86" w:rsidRDefault="00010A86" w:rsidP="00010A86">
            <w:pPr>
              <w:pStyle w:val="CETBodytext"/>
              <w:jc w:val="left"/>
            </w:pPr>
            <w:r>
              <w:t>19</w:t>
            </w:r>
          </w:p>
        </w:tc>
        <w:tc>
          <w:tcPr>
            <w:tcW w:w="1700" w:type="dxa"/>
            <w:vAlign w:val="center"/>
          </w:tcPr>
          <w:p w14:paraId="51AFDC0C" w14:textId="4F1ECA5D" w:rsidR="00010A86" w:rsidRDefault="00010A86" w:rsidP="00010A86">
            <w:pPr>
              <w:pStyle w:val="CETBodytext"/>
              <w:jc w:val="left"/>
            </w:pPr>
            <w:r w:rsidRPr="006F1D95">
              <w:rPr>
                <w:lang w:val="it-IT"/>
              </w:rPr>
              <w:t>100</w:t>
            </w:r>
          </w:p>
        </w:tc>
      </w:tr>
      <w:tr w:rsidR="00010A86" w14:paraId="0BA7EEC6" w14:textId="77777777" w:rsidTr="00603BBE">
        <w:tc>
          <w:tcPr>
            <w:tcW w:w="4818" w:type="dxa"/>
          </w:tcPr>
          <w:p w14:paraId="39D51154" w14:textId="77777777" w:rsidR="00010A86" w:rsidRDefault="00010A86" w:rsidP="00010A86">
            <w:pPr>
              <w:pStyle w:val="CETBodytext"/>
              <w:jc w:val="left"/>
            </w:pPr>
            <w:r>
              <w:t>Excluded (out of IOMS range)</w:t>
            </w:r>
          </w:p>
        </w:tc>
        <w:tc>
          <w:tcPr>
            <w:tcW w:w="1417" w:type="dxa"/>
          </w:tcPr>
          <w:p w14:paraId="3E068F58" w14:textId="77777777" w:rsidR="00010A86" w:rsidRDefault="00010A86" w:rsidP="00010A86">
            <w:pPr>
              <w:pStyle w:val="CETBodytext"/>
              <w:jc w:val="left"/>
            </w:pPr>
            <w:r>
              <w:t>1</w:t>
            </w:r>
          </w:p>
        </w:tc>
        <w:tc>
          <w:tcPr>
            <w:tcW w:w="1700" w:type="dxa"/>
            <w:vAlign w:val="center"/>
          </w:tcPr>
          <w:p w14:paraId="1CB5F5EB" w14:textId="7DD0AD1F" w:rsidR="00010A86" w:rsidRDefault="00010A86" w:rsidP="00010A86">
            <w:pPr>
              <w:pStyle w:val="CETBodytext"/>
              <w:jc w:val="left"/>
            </w:pPr>
            <w:r w:rsidRPr="006F1D95">
              <w:rPr>
                <w:lang w:val="it-IT"/>
              </w:rPr>
              <w:t>5.3</w:t>
            </w:r>
          </w:p>
        </w:tc>
      </w:tr>
      <w:tr w:rsidR="00010A86" w14:paraId="7670F952" w14:textId="77777777" w:rsidTr="00603BBE">
        <w:tc>
          <w:tcPr>
            <w:tcW w:w="4818" w:type="dxa"/>
          </w:tcPr>
          <w:p w14:paraId="447FD076" w14:textId="77777777" w:rsidR="00010A86" w:rsidRDefault="00010A86" w:rsidP="00010A86">
            <w:pPr>
              <w:pStyle w:val="CETBodytext"/>
              <w:jc w:val="left"/>
            </w:pPr>
            <w:r>
              <w:t>Rejected (carry-over)</w:t>
            </w:r>
          </w:p>
        </w:tc>
        <w:tc>
          <w:tcPr>
            <w:tcW w:w="1417" w:type="dxa"/>
          </w:tcPr>
          <w:p w14:paraId="766D10FC" w14:textId="5C0D0499" w:rsidR="00010A86" w:rsidRDefault="00010A86" w:rsidP="00010A86">
            <w:pPr>
              <w:pStyle w:val="CETBodytext"/>
              <w:jc w:val="left"/>
            </w:pPr>
            <w:r>
              <w:t>3</w:t>
            </w:r>
          </w:p>
        </w:tc>
        <w:tc>
          <w:tcPr>
            <w:tcW w:w="1700" w:type="dxa"/>
            <w:vAlign w:val="center"/>
          </w:tcPr>
          <w:p w14:paraId="513196BF" w14:textId="7A237226" w:rsidR="00010A86" w:rsidRDefault="00010A86" w:rsidP="00010A86">
            <w:pPr>
              <w:pStyle w:val="CETBodytext"/>
              <w:jc w:val="left"/>
            </w:pPr>
            <w:r w:rsidRPr="006F1D95">
              <w:rPr>
                <w:lang w:val="it-IT"/>
              </w:rPr>
              <w:t>15.8</w:t>
            </w:r>
          </w:p>
        </w:tc>
      </w:tr>
      <w:tr w:rsidR="00010A86" w14:paraId="506ADD29" w14:textId="77777777" w:rsidTr="00603BBE">
        <w:tc>
          <w:tcPr>
            <w:tcW w:w="4818" w:type="dxa"/>
          </w:tcPr>
          <w:p w14:paraId="6719BA1E" w14:textId="77777777" w:rsidR="00010A86" w:rsidRDefault="00010A86" w:rsidP="00010A86">
            <w:pPr>
              <w:pStyle w:val="CETBodytext"/>
              <w:jc w:val="left"/>
            </w:pPr>
            <w:r>
              <w:t>Rejected (replicate inconsistency)</w:t>
            </w:r>
          </w:p>
        </w:tc>
        <w:tc>
          <w:tcPr>
            <w:tcW w:w="1417" w:type="dxa"/>
          </w:tcPr>
          <w:p w14:paraId="61061080" w14:textId="243CF6A2" w:rsidR="00010A86" w:rsidRDefault="00010A86" w:rsidP="00010A86">
            <w:pPr>
              <w:pStyle w:val="CETBodytext"/>
              <w:jc w:val="left"/>
            </w:pPr>
            <w:r>
              <w:t>2</w:t>
            </w:r>
          </w:p>
        </w:tc>
        <w:tc>
          <w:tcPr>
            <w:tcW w:w="1700" w:type="dxa"/>
            <w:vAlign w:val="center"/>
          </w:tcPr>
          <w:p w14:paraId="40B3E527" w14:textId="53318DDA" w:rsidR="00010A86" w:rsidRDefault="00010A86" w:rsidP="00010A86">
            <w:pPr>
              <w:pStyle w:val="CETBodytext"/>
              <w:jc w:val="left"/>
            </w:pPr>
            <w:r w:rsidRPr="006F1D95">
              <w:rPr>
                <w:lang w:val="it-IT"/>
              </w:rPr>
              <w:t>10.5</w:t>
            </w:r>
          </w:p>
        </w:tc>
      </w:tr>
      <w:tr w:rsidR="00010A86" w14:paraId="552BD28C" w14:textId="77777777" w:rsidTr="00603BBE">
        <w:tc>
          <w:tcPr>
            <w:tcW w:w="4818" w:type="dxa"/>
            <w:tcBorders>
              <w:bottom w:val="single" w:sz="8" w:space="0" w:color="006633"/>
            </w:tcBorders>
          </w:tcPr>
          <w:p w14:paraId="2EB35F7D" w14:textId="77777777" w:rsidR="00010A86" w:rsidRDefault="00010A86" w:rsidP="00010A86">
            <w:pPr>
              <w:pStyle w:val="CETBodytext"/>
              <w:jc w:val="left"/>
            </w:pPr>
            <w:r>
              <w:t>Retained for Bland-Altman analysis</w:t>
            </w:r>
          </w:p>
        </w:tc>
        <w:tc>
          <w:tcPr>
            <w:tcW w:w="1417" w:type="dxa"/>
            <w:tcBorders>
              <w:bottom w:val="single" w:sz="8" w:space="0" w:color="006633"/>
            </w:tcBorders>
          </w:tcPr>
          <w:p w14:paraId="3262FFF9" w14:textId="777239E7" w:rsidR="00010A86" w:rsidRDefault="00010A86" w:rsidP="00010A86">
            <w:pPr>
              <w:pStyle w:val="CETBodytext"/>
              <w:jc w:val="left"/>
            </w:pPr>
            <w:r>
              <w:t>13</w:t>
            </w:r>
          </w:p>
        </w:tc>
        <w:tc>
          <w:tcPr>
            <w:tcW w:w="1700" w:type="dxa"/>
            <w:tcBorders>
              <w:bottom w:val="single" w:sz="8" w:space="0" w:color="006633"/>
            </w:tcBorders>
            <w:vAlign w:val="center"/>
          </w:tcPr>
          <w:p w14:paraId="1B02CAD3" w14:textId="5A3BA410" w:rsidR="00010A86" w:rsidRDefault="00010A86" w:rsidP="00010A86">
            <w:pPr>
              <w:pStyle w:val="CETBodytext"/>
              <w:jc w:val="left"/>
            </w:pPr>
            <w:r w:rsidRPr="006F1D95">
              <w:rPr>
                <w:lang w:val="it-IT"/>
              </w:rPr>
              <w:t>68.4</w:t>
            </w:r>
          </w:p>
        </w:tc>
      </w:tr>
    </w:tbl>
    <w:p w14:paraId="1D8C07C7" w14:textId="77777777" w:rsidR="00C05FEF" w:rsidRDefault="00C05FEF" w:rsidP="00010A86">
      <w:pPr>
        <w:pStyle w:val="CETBodytext"/>
        <w:rPr>
          <w:lang w:val="en-GB"/>
        </w:rPr>
      </w:pPr>
    </w:p>
    <w:p w14:paraId="4EADFFD9" w14:textId="57E594D8" w:rsidR="00010A86" w:rsidRDefault="00984DB4" w:rsidP="00010A86">
      <w:pPr>
        <w:pStyle w:val="CETBodytext"/>
        <w:rPr>
          <w:lang w:val="en-GB"/>
        </w:rPr>
      </w:pPr>
      <w:r w:rsidRPr="00984DB4">
        <w:rPr>
          <w:lang w:val="en-GB"/>
        </w:rPr>
        <w:t>Overall, 68.4</w:t>
      </w:r>
      <w:r w:rsidR="00C05FEF">
        <w:rPr>
          <w:lang w:val="en-GB"/>
        </w:rPr>
        <w:t xml:space="preserve"> </w:t>
      </w:r>
      <w:r w:rsidRPr="00984DB4">
        <w:rPr>
          <w:lang w:val="en-GB"/>
        </w:rPr>
        <w:t>% of the samples were retained after application of the filtering criteria, while 26.3% were excluded due to memory effects or replicate inconsistency. The proportion of rejected samples confirms that raw field data may include a non-negligible fraction of unreliable observations, supporting the need for structured pre-selection criteria prior to statistical validation</w:t>
      </w:r>
      <w:r>
        <w:rPr>
          <w:lang w:val="en-GB"/>
        </w:rPr>
        <w:t xml:space="preserve">. </w:t>
      </w:r>
      <w:r w:rsidRPr="00984DB4">
        <w:rPr>
          <w:lang w:val="en-GB"/>
        </w:rPr>
        <w:t xml:space="preserve">The Bland–Altman plot of the retained samples is shown in Figure </w:t>
      </w:r>
      <w:r w:rsidR="00D75069">
        <w:rPr>
          <w:lang w:val="en-GB"/>
        </w:rPr>
        <w:t>2</w:t>
      </w:r>
      <w:r w:rsidRPr="00984DB4">
        <w:rPr>
          <w:lang w:val="en-GB"/>
        </w:rPr>
        <w:t>.</w:t>
      </w:r>
    </w:p>
    <w:p w14:paraId="73D8258F" w14:textId="77777777" w:rsidR="004C79BF" w:rsidRPr="00010A86" w:rsidRDefault="004C79BF" w:rsidP="00010A86">
      <w:pPr>
        <w:pStyle w:val="CETBodytext"/>
        <w:rPr>
          <w:lang w:val="en-GB"/>
        </w:rPr>
      </w:pPr>
    </w:p>
    <w:p w14:paraId="79A655B2" w14:textId="7F146EDB" w:rsidR="00B80B5E" w:rsidRDefault="00331570" w:rsidP="004C79BF">
      <w:pPr>
        <w:pStyle w:val="CETBodytext"/>
        <w:jc w:val="left"/>
      </w:pPr>
      <w:r>
        <w:rPr>
          <w:noProof/>
        </w:rPr>
        <w:drawing>
          <wp:inline distT="0" distB="0" distL="0" distR="0" wp14:anchorId="1CA87AA7" wp14:editId="62B670F1">
            <wp:extent cx="4464360" cy="2279176"/>
            <wp:effectExtent l="0" t="0" r="0" b="6985"/>
            <wp:docPr id="119864128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41285" name="Immagine 1198641285"/>
                    <pic:cNvPicPr/>
                  </pic:nvPicPr>
                  <pic:blipFill>
                    <a:blip r:embed="rId11"/>
                    <a:stretch>
                      <a:fillRect/>
                    </a:stretch>
                  </pic:blipFill>
                  <pic:spPr>
                    <a:xfrm>
                      <a:off x="0" y="0"/>
                      <a:ext cx="4523893" cy="2309569"/>
                    </a:xfrm>
                    <a:prstGeom prst="rect">
                      <a:avLst/>
                    </a:prstGeom>
                  </pic:spPr>
                </pic:pic>
              </a:graphicData>
            </a:graphic>
          </wp:inline>
        </w:drawing>
      </w:r>
    </w:p>
    <w:p w14:paraId="62FBBA91" w14:textId="696AB4FC" w:rsidR="005A7610" w:rsidRDefault="00000000">
      <w:pPr>
        <w:pStyle w:val="CETCaption"/>
      </w:pPr>
      <w:r>
        <w:t xml:space="preserve">Figure </w:t>
      </w:r>
      <w:r w:rsidR="00D75069">
        <w:t>2:</w:t>
      </w:r>
      <w:r>
        <w:t xml:space="preserve"> Bland-Altman plot of the 1</w:t>
      </w:r>
      <w:r w:rsidR="00B80B5E">
        <w:t>3</w:t>
      </w:r>
      <w:r>
        <w:t xml:space="preserve"> retained samples. </w:t>
      </w:r>
    </w:p>
    <w:p w14:paraId="4B446547" w14:textId="4D10682D" w:rsidR="00984DB4" w:rsidRPr="00984DB4" w:rsidRDefault="00984DB4">
      <w:pPr>
        <w:pStyle w:val="CETCaption"/>
        <w:rPr>
          <w:i w:val="0"/>
          <w:lang w:val="en-US"/>
        </w:rPr>
      </w:pPr>
      <w:r w:rsidRPr="00984DB4">
        <w:rPr>
          <w:i w:val="0"/>
          <w:lang w:val="en-US"/>
        </w:rPr>
        <w:t>Most observations fall within the predefined acceptability limits, indicating a satisfactory agreement between IOMS outputs and dynamic olfactometry measurements</w:t>
      </w:r>
      <w:r>
        <w:rPr>
          <w:i w:val="0"/>
          <w:lang w:val="en-US"/>
        </w:rPr>
        <w:t xml:space="preserve"> while o</w:t>
      </w:r>
      <w:r w:rsidRPr="00984DB4">
        <w:rPr>
          <w:i w:val="0"/>
          <w:lang w:val="en-US"/>
        </w:rPr>
        <w:t xml:space="preserve">ne observation falls outside </w:t>
      </w:r>
      <w:r>
        <w:rPr>
          <w:i w:val="0"/>
          <w:lang w:val="en-US"/>
        </w:rPr>
        <w:t xml:space="preserve">them. </w:t>
      </w:r>
      <w:r w:rsidRPr="00984DB4">
        <w:rPr>
          <w:i w:val="0"/>
          <w:lang w:val="en-US"/>
        </w:rPr>
        <w:t>According to the proposed decision criteria, the system performance is therefore classified as acceptable.</w:t>
      </w:r>
    </w:p>
    <w:p w14:paraId="6E313473" w14:textId="77777777" w:rsidR="005A7610" w:rsidRDefault="00000000">
      <w:pPr>
        <w:pStyle w:val="CETheadingx"/>
      </w:pPr>
      <w:r>
        <w:t>Level 3 outcomes</w:t>
      </w:r>
    </w:p>
    <w:p w14:paraId="6EA0EE2B" w14:textId="6A676EBF" w:rsidR="00F03872" w:rsidRPr="00F03872" w:rsidRDefault="00984DB4" w:rsidP="00F03872">
      <w:pPr>
        <w:pStyle w:val="CETBodytext"/>
      </w:pPr>
      <w:r>
        <w:t>In Table 6</w:t>
      </w:r>
      <w:r w:rsidR="00F03872">
        <w:t>,</w:t>
      </w:r>
      <w:r>
        <w:t xml:space="preserve"> DEV% and CV% </w:t>
      </w:r>
      <w:r w:rsidR="00F03872">
        <w:t xml:space="preserve">values </w:t>
      </w:r>
      <w:r>
        <w:t xml:space="preserve">are </w:t>
      </w:r>
      <w:r w:rsidR="00F03872">
        <w:t xml:space="preserve">reported </w:t>
      </w:r>
      <w:r>
        <w:t xml:space="preserve">for two </w:t>
      </w:r>
      <w:r w:rsidR="00F03872">
        <w:t>consecutive</w:t>
      </w:r>
      <w:r>
        <w:t xml:space="preserve"> Level 3 verifications</w:t>
      </w:r>
      <w:r w:rsidR="00F03872">
        <w:t xml:space="preserve"> campaigns</w:t>
      </w:r>
      <w:r>
        <w:t xml:space="preserve">. </w:t>
      </w:r>
      <w:r w:rsidR="00F03872">
        <w:t xml:space="preserve">DEV% values range </w:t>
      </w:r>
      <w:proofErr w:type="spellStart"/>
      <w:r w:rsidR="00F03872">
        <w:t>betwen</w:t>
      </w:r>
      <w:proofErr w:type="spellEnd"/>
      <w:r>
        <w:t xml:space="preserve"> 0.99</w:t>
      </w:r>
      <w:r w:rsidR="00C05FEF">
        <w:t xml:space="preserve"> </w:t>
      </w:r>
      <w:r w:rsidR="00F03872">
        <w:t>%</w:t>
      </w:r>
      <w:r>
        <w:t xml:space="preserve"> </w:t>
      </w:r>
      <w:r w:rsidR="00F03872">
        <w:t>and</w:t>
      </w:r>
      <w:r>
        <w:t xml:space="preserve"> 4.90</w:t>
      </w:r>
      <w:r w:rsidR="00C05FEF">
        <w:t xml:space="preserve"> </w:t>
      </w:r>
      <w:r>
        <w:t xml:space="preserve">% </w:t>
      </w:r>
      <w:r w:rsidR="00F03872">
        <w:t>while CV</w:t>
      </w:r>
      <w:r>
        <w:t xml:space="preserve">% </w:t>
      </w:r>
      <w:r w:rsidR="00F03872" w:rsidRPr="00F03872">
        <w:rPr>
          <w:lang w:val="en-GB"/>
        </w:rPr>
        <w:t>values range between 0.05</w:t>
      </w:r>
      <w:r w:rsidR="00C05FEF">
        <w:rPr>
          <w:lang w:val="en-GB"/>
        </w:rPr>
        <w:t xml:space="preserve"> </w:t>
      </w:r>
      <w:r w:rsidR="00F03872" w:rsidRPr="00F03872">
        <w:rPr>
          <w:lang w:val="en-GB"/>
        </w:rPr>
        <w:t>% and 4.32</w:t>
      </w:r>
      <w:r w:rsidR="00C05FEF">
        <w:rPr>
          <w:lang w:val="en-GB"/>
        </w:rPr>
        <w:t xml:space="preserve"> </w:t>
      </w:r>
      <w:r w:rsidR="00F03872" w:rsidRPr="00F03872">
        <w:rPr>
          <w:lang w:val="en-GB"/>
        </w:rPr>
        <w:t>%, all well below the acceptability thresholds defined in Table 4.</w:t>
      </w:r>
      <w:r>
        <w:t xml:space="preserve"> </w:t>
      </w:r>
      <w:r w:rsidR="00F03872" w:rsidRPr="00F03872">
        <w:t>These results indicate a high level of instrumental stability, with no evidence of systematic drift over the three-month interval. The consistently low variability across all concentration levels further confirms the robustness of the system under real operating conditions.</w:t>
      </w:r>
    </w:p>
    <w:p w14:paraId="2EDDCFFF" w14:textId="77777777" w:rsidR="00F03872" w:rsidRDefault="00F03872" w:rsidP="00F03872">
      <w:pPr>
        <w:pStyle w:val="CETBodytext"/>
      </w:pPr>
      <w:r w:rsidRPr="00F03872">
        <w:t>The continuous tracking of these indicators through Shewhart control charts enables early identification of potential deterioration trends, supporting timely implementation of corrective actions before the acceptance limits are exceeded.</w:t>
      </w:r>
    </w:p>
    <w:p w14:paraId="650DFE5F" w14:textId="77777777" w:rsidR="00430774" w:rsidRPr="00F03872" w:rsidRDefault="00430774" w:rsidP="00F03872">
      <w:pPr>
        <w:pStyle w:val="CETBodytext"/>
      </w:pPr>
    </w:p>
    <w:p w14:paraId="13802E2E" w14:textId="0E814487" w:rsidR="005A7610" w:rsidRPr="00430774" w:rsidRDefault="00000000" w:rsidP="00F03872">
      <w:pPr>
        <w:pStyle w:val="CETBodytext"/>
        <w:rPr>
          <w:i/>
          <w:iCs/>
        </w:rPr>
      </w:pPr>
      <w:r w:rsidRPr="00430774">
        <w:rPr>
          <w:i/>
          <w:iCs/>
        </w:rPr>
        <w:t>Table 6: Level 3 verification results for n-butanol span gas</w:t>
      </w:r>
    </w:p>
    <w:tbl>
      <w:tblPr>
        <w:tblW w:w="0" w:type="auto"/>
        <w:tblLook w:val="04A0" w:firstRow="1" w:lastRow="0" w:firstColumn="1" w:lastColumn="0" w:noHBand="0" w:noVBand="1"/>
      </w:tblPr>
      <w:tblGrid>
        <w:gridCol w:w="1587"/>
        <w:gridCol w:w="1247"/>
        <w:gridCol w:w="1927"/>
        <w:gridCol w:w="1360"/>
        <w:gridCol w:w="1814"/>
      </w:tblGrid>
      <w:tr w:rsidR="005A7610" w14:paraId="0F3C96BF" w14:textId="77777777">
        <w:tc>
          <w:tcPr>
            <w:tcW w:w="1587" w:type="dxa"/>
            <w:tcBorders>
              <w:top w:val="single" w:sz="8" w:space="0" w:color="006633"/>
              <w:bottom w:val="single" w:sz="8" w:space="0" w:color="006633"/>
            </w:tcBorders>
          </w:tcPr>
          <w:p w14:paraId="377861F8" w14:textId="77777777" w:rsidR="005A7610" w:rsidRDefault="00000000">
            <w:pPr>
              <w:pStyle w:val="CETBodytext"/>
              <w:jc w:val="left"/>
            </w:pPr>
            <w:r>
              <w:t>Date</w:t>
            </w:r>
          </w:p>
        </w:tc>
        <w:tc>
          <w:tcPr>
            <w:tcW w:w="1247" w:type="dxa"/>
            <w:tcBorders>
              <w:top w:val="single" w:sz="8" w:space="0" w:color="006633"/>
              <w:bottom w:val="single" w:sz="8" w:space="0" w:color="006633"/>
            </w:tcBorders>
          </w:tcPr>
          <w:p w14:paraId="205336F8" w14:textId="77777777" w:rsidR="005A7610" w:rsidRDefault="00000000">
            <w:pPr>
              <w:pStyle w:val="CETBodytext"/>
              <w:jc w:val="left"/>
            </w:pPr>
            <w:r>
              <w:t>Dilution</w:t>
            </w:r>
          </w:p>
        </w:tc>
        <w:tc>
          <w:tcPr>
            <w:tcW w:w="1927" w:type="dxa"/>
            <w:tcBorders>
              <w:top w:val="single" w:sz="8" w:space="0" w:color="006633"/>
              <w:bottom w:val="single" w:sz="8" w:space="0" w:color="006633"/>
            </w:tcBorders>
          </w:tcPr>
          <w:p w14:paraId="337093B3" w14:textId="760AF865" w:rsidR="005A7610" w:rsidRDefault="00F03872">
            <w:pPr>
              <w:pStyle w:val="CETBodytext"/>
              <w:jc w:val="left"/>
            </w:pPr>
            <w:r>
              <w:t>DEV%</w:t>
            </w:r>
          </w:p>
        </w:tc>
        <w:tc>
          <w:tcPr>
            <w:tcW w:w="1360" w:type="dxa"/>
            <w:tcBorders>
              <w:top w:val="single" w:sz="8" w:space="0" w:color="006633"/>
              <w:bottom w:val="single" w:sz="8" w:space="0" w:color="006633"/>
            </w:tcBorders>
          </w:tcPr>
          <w:p w14:paraId="00DEF812" w14:textId="77777777" w:rsidR="005A7610" w:rsidRDefault="00000000">
            <w:pPr>
              <w:pStyle w:val="CETBodytext"/>
              <w:jc w:val="left"/>
            </w:pPr>
            <w:r>
              <w:t>CV%</w:t>
            </w:r>
          </w:p>
        </w:tc>
        <w:tc>
          <w:tcPr>
            <w:tcW w:w="1814" w:type="dxa"/>
            <w:tcBorders>
              <w:top w:val="single" w:sz="8" w:space="0" w:color="006633"/>
              <w:bottom w:val="single" w:sz="8" w:space="0" w:color="006633"/>
            </w:tcBorders>
          </w:tcPr>
          <w:p w14:paraId="04DF8D4E" w14:textId="77777777" w:rsidR="005A7610" w:rsidRDefault="00000000">
            <w:pPr>
              <w:pStyle w:val="CETBodytext"/>
              <w:jc w:val="left"/>
            </w:pPr>
            <w:r>
              <w:t>Outcome</w:t>
            </w:r>
          </w:p>
        </w:tc>
      </w:tr>
      <w:tr w:rsidR="005A7610" w14:paraId="14AE6785" w14:textId="77777777">
        <w:tc>
          <w:tcPr>
            <w:tcW w:w="1587" w:type="dxa"/>
          </w:tcPr>
          <w:p w14:paraId="226FDF35" w14:textId="77777777" w:rsidR="005A7610" w:rsidRDefault="00000000">
            <w:pPr>
              <w:pStyle w:val="CETBodytext"/>
              <w:jc w:val="left"/>
            </w:pPr>
            <w:r>
              <w:t>30/10/2025</w:t>
            </w:r>
          </w:p>
        </w:tc>
        <w:tc>
          <w:tcPr>
            <w:tcW w:w="1247" w:type="dxa"/>
          </w:tcPr>
          <w:p w14:paraId="38D2C934" w14:textId="77777777" w:rsidR="005A7610" w:rsidRDefault="00000000">
            <w:pPr>
              <w:pStyle w:val="CETBodytext"/>
              <w:jc w:val="left"/>
            </w:pPr>
            <w:r>
              <w:t>1:10</w:t>
            </w:r>
          </w:p>
        </w:tc>
        <w:tc>
          <w:tcPr>
            <w:tcW w:w="1927" w:type="dxa"/>
          </w:tcPr>
          <w:p w14:paraId="097DB0DA" w14:textId="77777777" w:rsidR="005A7610" w:rsidRDefault="00000000">
            <w:pPr>
              <w:pStyle w:val="CETBodytext"/>
              <w:jc w:val="left"/>
            </w:pPr>
            <w:r>
              <w:t>4.90</w:t>
            </w:r>
          </w:p>
        </w:tc>
        <w:tc>
          <w:tcPr>
            <w:tcW w:w="1360" w:type="dxa"/>
          </w:tcPr>
          <w:p w14:paraId="35F65052" w14:textId="77777777" w:rsidR="005A7610" w:rsidRDefault="00000000">
            <w:pPr>
              <w:pStyle w:val="CETBodytext"/>
              <w:jc w:val="left"/>
            </w:pPr>
            <w:r>
              <w:t>0.05</w:t>
            </w:r>
          </w:p>
        </w:tc>
        <w:tc>
          <w:tcPr>
            <w:tcW w:w="1814" w:type="dxa"/>
          </w:tcPr>
          <w:p w14:paraId="45742B50" w14:textId="77777777" w:rsidR="005A7610" w:rsidRDefault="00000000">
            <w:pPr>
              <w:pStyle w:val="CETBodytext"/>
              <w:jc w:val="left"/>
            </w:pPr>
            <w:r>
              <w:t>Acceptable</w:t>
            </w:r>
          </w:p>
        </w:tc>
      </w:tr>
      <w:tr w:rsidR="005A7610" w14:paraId="348C1A95" w14:textId="77777777">
        <w:tc>
          <w:tcPr>
            <w:tcW w:w="1587" w:type="dxa"/>
          </w:tcPr>
          <w:p w14:paraId="01C6096D" w14:textId="77777777" w:rsidR="005A7610" w:rsidRDefault="00000000">
            <w:pPr>
              <w:pStyle w:val="CETBodytext"/>
              <w:jc w:val="left"/>
            </w:pPr>
            <w:r>
              <w:t>30/10/2025</w:t>
            </w:r>
          </w:p>
        </w:tc>
        <w:tc>
          <w:tcPr>
            <w:tcW w:w="1247" w:type="dxa"/>
          </w:tcPr>
          <w:p w14:paraId="25643F3D" w14:textId="77777777" w:rsidR="005A7610" w:rsidRDefault="00000000">
            <w:pPr>
              <w:pStyle w:val="CETBodytext"/>
              <w:jc w:val="left"/>
            </w:pPr>
            <w:r>
              <w:t>1:3</w:t>
            </w:r>
          </w:p>
        </w:tc>
        <w:tc>
          <w:tcPr>
            <w:tcW w:w="1927" w:type="dxa"/>
          </w:tcPr>
          <w:p w14:paraId="11DADA30" w14:textId="77777777" w:rsidR="005A7610" w:rsidRDefault="00000000">
            <w:pPr>
              <w:pStyle w:val="CETBodytext"/>
              <w:jc w:val="left"/>
            </w:pPr>
            <w:r>
              <w:t>3.64</w:t>
            </w:r>
          </w:p>
        </w:tc>
        <w:tc>
          <w:tcPr>
            <w:tcW w:w="1360" w:type="dxa"/>
          </w:tcPr>
          <w:p w14:paraId="13F11172" w14:textId="77777777" w:rsidR="005A7610" w:rsidRDefault="00000000">
            <w:pPr>
              <w:pStyle w:val="CETBodytext"/>
              <w:jc w:val="left"/>
            </w:pPr>
            <w:r>
              <w:t>0.08</w:t>
            </w:r>
          </w:p>
        </w:tc>
        <w:tc>
          <w:tcPr>
            <w:tcW w:w="1814" w:type="dxa"/>
          </w:tcPr>
          <w:p w14:paraId="22370A1F" w14:textId="77777777" w:rsidR="005A7610" w:rsidRDefault="00000000">
            <w:pPr>
              <w:pStyle w:val="CETBodytext"/>
              <w:jc w:val="left"/>
            </w:pPr>
            <w:r>
              <w:t>Acceptable</w:t>
            </w:r>
          </w:p>
        </w:tc>
      </w:tr>
      <w:tr w:rsidR="005A7610" w14:paraId="4574B6C1" w14:textId="77777777">
        <w:tc>
          <w:tcPr>
            <w:tcW w:w="1587" w:type="dxa"/>
          </w:tcPr>
          <w:p w14:paraId="7DE49F5D" w14:textId="77777777" w:rsidR="005A7610" w:rsidRDefault="00000000">
            <w:pPr>
              <w:pStyle w:val="CETBodytext"/>
              <w:jc w:val="left"/>
            </w:pPr>
            <w:r>
              <w:t>30/10/2025</w:t>
            </w:r>
          </w:p>
        </w:tc>
        <w:tc>
          <w:tcPr>
            <w:tcW w:w="1247" w:type="dxa"/>
          </w:tcPr>
          <w:p w14:paraId="46C2BFCD" w14:textId="578376BC" w:rsidR="005A7610" w:rsidRDefault="00F03872">
            <w:pPr>
              <w:pStyle w:val="CETBodytext"/>
              <w:jc w:val="left"/>
            </w:pPr>
            <w:r>
              <w:t>Not diluted</w:t>
            </w:r>
          </w:p>
        </w:tc>
        <w:tc>
          <w:tcPr>
            <w:tcW w:w="1927" w:type="dxa"/>
          </w:tcPr>
          <w:p w14:paraId="3844EF9E" w14:textId="77777777" w:rsidR="005A7610" w:rsidRDefault="00000000">
            <w:pPr>
              <w:pStyle w:val="CETBodytext"/>
              <w:jc w:val="left"/>
            </w:pPr>
            <w:r>
              <w:t>4.23</w:t>
            </w:r>
          </w:p>
        </w:tc>
        <w:tc>
          <w:tcPr>
            <w:tcW w:w="1360" w:type="dxa"/>
          </w:tcPr>
          <w:p w14:paraId="47A95990" w14:textId="77777777" w:rsidR="005A7610" w:rsidRDefault="00000000">
            <w:pPr>
              <w:pStyle w:val="CETBodytext"/>
              <w:jc w:val="left"/>
            </w:pPr>
            <w:r>
              <w:t>0.23</w:t>
            </w:r>
          </w:p>
        </w:tc>
        <w:tc>
          <w:tcPr>
            <w:tcW w:w="1814" w:type="dxa"/>
          </w:tcPr>
          <w:p w14:paraId="46DDC8FF" w14:textId="77777777" w:rsidR="005A7610" w:rsidRDefault="00000000">
            <w:pPr>
              <w:pStyle w:val="CETBodytext"/>
              <w:jc w:val="left"/>
            </w:pPr>
            <w:r>
              <w:t>Acceptable</w:t>
            </w:r>
          </w:p>
        </w:tc>
      </w:tr>
      <w:tr w:rsidR="005A7610" w14:paraId="4AA0E8AF" w14:textId="77777777">
        <w:tc>
          <w:tcPr>
            <w:tcW w:w="1587" w:type="dxa"/>
          </w:tcPr>
          <w:p w14:paraId="2993D4F8" w14:textId="77777777" w:rsidR="005A7610" w:rsidRDefault="00000000">
            <w:pPr>
              <w:pStyle w:val="CETBodytext"/>
              <w:jc w:val="left"/>
            </w:pPr>
            <w:r>
              <w:t>22/01/2026</w:t>
            </w:r>
          </w:p>
        </w:tc>
        <w:tc>
          <w:tcPr>
            <w:tcW w:w="1247" w:type="dxa"/>
          </w:tcPr>
          <w:p w14:paraId="275DF32E" w14:textId="77777777" w:rsidR="005A7610" w:rsidRDefault="00000000">
            <w:pPr>
              <w:pStyle w:val="CETBodytext"/>
              <w:jc w:val="left"/>
            </w:pPr>
            <w:r>
              <w:t>1:10</w:t>
            </w:r>
          </w:p>
        </w:tc>
        <w:tc>
          <w:tcPr>
            <w:tcW w:w="1927" w:type="dxa"/>
          </w:tcPr>
          <w:p w14:paraId="5A46F151" w14:textId="77777777" w:rsidR="005A7610" w:rsidRDefault="00000000">
            <w:pPr>
              <w:pStyle w:val="CETBodytext"/>
              <w:jc w:val="left"/>
            </w:pPr>
            <w:r>
              <w:t>4.10</w:t>
            </w:r>
          </w:p>
        </w:tc>
        <w:tc>
          <w:tcPr>
            <w:tcW w:w="1360" w:type="dxa"/>
          </w:tcPr>
          <w:p w14:paraId="6EA4A6CF" w14:textId="77777777" w:rsidR="005A7610" w:rsidRDefault="00000000">
            <w:pPr>
              <w:pStyle w:val="CETBodytext"/>
              <w:jc w:val="left"/>
            </w:pPr>
            <w:r>
              <w:t>0.06</w:t>
            </w:r>
          </w:p>
        </w:tc>
        <w:tc>
          <w:tcPr>
            <w:tcW w:w="1814" w:type="dxa"/>
          </w:tcPr>
          <w:p w14:paraId="3DA0531A" w14:textId="77777777" w:rsidR="005A7610" w:rsidRDefault="00000000">
            <w:pPr>
              <w:pStyle w:val="CETBodytext"/>
              <w:jc w:val="left"/>
            </w:pPr>
            <w:r>
              <w:t>Acceptable</w:t>
            </w:r>
          </w:p>
        </w:tc>
      </w:tr>
      <w:tr w:rsidR="005A7610" w14:paraId="6329DA51" w14:textId="77777777">
        <w:tc>
          <w:tcPr>
            <w:tcW w:w="1587" w:type="dxa"/>
          </w:tcPr>
          <w:p w14:paraId="1A0B4C0E" w14:textId="77777777" w:rsidR="005A7610" w:rsidRDefault="00000000">
            <w:pPr>
              <w:pStyle w:val="CETBodytext"/>
              <w:jc w:val="left"/>
            </w:pPr>
            <w:r>
              <w:t>22/01/2026</w:t>
            </w:r>
          </w:p>
        </w:tc>
        <w:tc>
          <w:tcPr>
            <w:tcW w:w="1247" w:type="dxa"/>
          </w:tcPr>
          <w:p w14:paraId="3E717DB1" w14:textId="77777777" w:rsidR="005A7610" w:rsidRDefault="00000000">
            <w:pPr>
              <w:pStyle w:val="CETBodytext"/>
              <w:jc w:val="left"/>
            </w:pPr>
            <w:r>
              <w:t>1:3</w:t>
            </w:r>
          </w:p>
        </w:tc>
        <w:tc>
          <w:tcPr>
            <w:tcW w:w="1927" w:type="dxa"/>
          </w:tcPr>
          <w:p w14:paraId="22EFC984" w14:textId="77777777" w:rsidR="005A7610" w:rsidRDefault="00000000">
            <w:pPr>
              <w:pStyle w:val="CETBodytext"/>
              <w:jc w:val="left"/>
            </w:pPr>
            <w:r>
              <w:t>2.59</w:t>
            </w:r>
          </w:p>
        </w:tc>
        <w:tc>
          <w:tcPr>
            <w:tcW w:w="1360" w:type="dxa"/>
          </w:tcPr>
          <w:p w14:paraId="64129B1A" w14:textId="77777777" w:rsidR="005A7610" w:rsidRDefault="00000000">
            <w:pPr>
              <w:pStyle w:val="CETBodytext"/>
              <w:jc w:val="left"/>
            </w:pPr>
            <w:r>
              <w:t>0.86</w:t>
            </w:r>
          </w:p>
        </w:tc>
        <w:tc>
          <w:tcPr>
            <w:tcW w:w="1814" w:type="dxa"/>
          </w:tcPr>
          <w:p w14:paraId="38D51F98" w14:textId="77777777" w:rsidR="005A7610" w:rsidRDefault="00000000">
            <w:pPr>
              <w:pStyle w:val="CETBodytext"/>
              <w:jc w:val="left"/>
            </w:pPr>
            <w:r>
              <w:t>Acceptable</w:t>
            </w:r>
          </w:p>
        </w:tc>
      </w:tr>
      <w:tr w:rsidR="005A7610" w14:paraId="537AC980" w14:textId="77777777">
        <w:tc>
          <w:tcPr>
            <w:tcW w:w="1587" w:type="dxa"/>
            <w:tcBorders>
              <w:bottom w:val="single" w:sz="8" w:space="0" w:color="006633"/>
            </w:tcBorders>
          </w:tcPr>
          <w:p w14:paraId="57A935EF" w14:textId="77777777" w:rsidR="005A7610" w:rsidRDefault="00000000">
            <w:pPr>
              <w:pStyle w:val="CETBodytext"/>
              <w:jc w:val="left"/>
            </w:pPr>
            <w:r>
              <w:t>22/01/2026</w:t>
            </w:r>
          </w:p>
        </w:tc>
        <w:tc>
          <w:tcPr>
            <w:tcW w:w="1247" w:type="dxa"/>
            <w:tcBorders>
              <w:bottom w:val="single" w:sz="8" w:space="0" w:color="006633"/>
            </w:tcBorders>
          </w:tcPr>
          <w:p w14:paraId="1186E9DE" w14:textId="0433C510" w:rsidR="005A7610" w:rsidRDefault="00F03872">
            <w:pPr>
              <w:pStyle w:val="CETBodytext"/>
              <w:jc w:val="left"/>
            </w:pPr>
            <w:r>
              <w:t>Not diluted</w:t>
            </w:r>
          </w:p>
        </w:tc>
        <w:tc>
          <w:tcPr>
            <w:tcW w:w="1927" w:type="dxa"/>
            <w:tcBorders>
              <w:bottom w:val="single" w:sz="8" w:space="0" w:color="006633"/>
            </w:tcBorders>
          </w:tcPr>
          <w:p w14:paraId="7FC6AD88" w14:textId="77777777" w:rsidR="005A7610" w:rsidRDefault="00000000">
            <w:pPr>
              <w:pStyle w:val="CETBodytext"/>
              <w:jc w:val="left"/>
            </w:pPr>
            <w:r>
              <w:t>0.99</w:t>
            </w:r>
          </w:p>
        </w:tc>
        <w:tc>
          <w:tcPr>
            <w:tcW w:w="1360" w:type="dxa"/>
            <w:tcBorders>
              <w:bottom w:val="single" w:sz="8" w:space="0" w:color="006633"/>
            </w:tcBorders>
          </w:tcPr>
          <w:p w14:paraId="03FC29FA" w14:textId="77777777" w:rsidR="005A7610" w:rsidRDefault="00000000">
            <w:pPr>
              <w:pStyle w:val="CETBodytext"/>
              <w:jc w:val="left"/>
            </w:pPr>
            <w:r>
              <w:t>4.32</w:t>
            </w:r>
          </w:p>
        </w:tc>
        <w:tc>
          <w:tcPr>
            <w:tcW w:w="1814" w:type="dxa"/>
            <w:tcBorders>
              <w:bottom w:val="single" w:sz="8" w:space="0" w:color="006633"/>
            </w:tcBorders>
          </w:tcPr>
          <w:p w14:paraId="7BE32120" w14:textId="77777777" w:rsidR="005A7610" w:rsidRDefault="00000000">
            <w:pPr>
              <w:pStyle w:val="CETBodytext"/>
              <w:jc w:val="left"/>
            </w:pPr>
            <w:r>
              <w:t>Acceptable</w:t>
            </w:r>
          </w:p>
        </w:tc>
      </w:tr>
    </w:tbl>
    <w:p w14:paraId="28911D86" w14:textId="77777777" w:rsidR="005A7610" w:rsidRDefault="00000000">
      <w:pPr>
        <w:pStyle w:val="CETHeading1"/>
      </w:pPr>
      <w:r>
        <w:lastRenderedPageBreak/>
        <w:t>Conclusions</w:t>
      </w:r>
    </w:p>
    <w:p w14:paraId="74333F8B" w14:textId="2A94427E" w:rsidR="00EC181B" w:rsidRDefault="00F03872" w:rsidP="00F03872">
      <w:pPr>
        <w:pStyle w:val="CETBodytext"/>
      </w:pPr>
      <w:r>
        <w:t>The Italian technical standard UNI 11761:2023 defines verification procedures for IOMS but does not provide quantitative acceptance criteria for the resulting performance indicators. In this study, an operational quality assurance protocol was developed, covering Level 2 and Level 3 periodic verificatio</w:t>
      </w:r>
      <w:r w:rsidR="00EC181B">
        <w:t>ns</w:t>
      </w:r>
      <w:r>
        <w:t xml:space="preserve">. </w:t>
      </w:r>
      <w:r w:rsidR="00EC181B" w:rsidRPr="00EC181B">
        <w:rPr>
          <w:lang w:val="en-GB"/>
        </w:rPr>
        <w:t>The protocol was designed to balance metrological robustness with the practical constraints of field operation, ensuring reliable performance assessment while maintaining a feasible and sustainable verification framework.</w:t>
      </w:r>
    </w:p>
    <w:p w14:paraId="5567F48C" w14:textId="0829F328" w:rsidR="009A2C6D" w:rsidRPr="009A2C6D" w:rsidRDefault="00F03872" w:rsidP="00F03872">
      <w:pPr>
        <w:pStyle w:val="CETBodytext"/>
      </w:pPr>
      <w:r>
        <w:t xml:space="preserve">The protocol includes a structured pre-selection procedure prior to Bland–Altman analysis, based on sequential criteria addressing sensor activity, memory effects (through a carry-over index), replicate consistency and decision thresholds defined according to the proportion of compliant observations in Bland–Altman </w:t>
      </w:r>
      <w:r w:rsidR="00EC181B">
        <w:t>analysi</w:t>
      </w:r>
      <w:r w:rsidR="00C74429">
        <w:t>s</w:t>
      </w:r>
      <w:r>
        <w:t xml:space="preserve">. </w:t>
      </w:r>
      <w:r w:rsidR="009A2C6D">
        <w:t xml:space="preserve">In addition, </w:t>
      </w:r>
      <w:r w:rsidR="009A2C6D" w:rsidRPr="009A2C6D">
        <w:rPr>
          <w:lang w:val="en-GB"/>
        </w:rPr>
        <w:t>quantitative acceptance criteria are proposed for Level 3 accuracy indicators. The decision-making framework embedded in the proposed protocol was illustrated through the evaluation of a real case study, demonstrating its practical applicability and effectiveness under real operating conditions.</w:t>
      </w:r>
    </w:p>
    <w:p w14:paraId="4E872219" w14:textId="26B2A499" w:rsidR="005A7610" w:rsidRDefault="009A2C6D">
      <w:pPr>
        <w:pStyle w:val="CETBodytext"/>
        <w:sectPr w:rsidR="005A7610">
          <w:type w:val="continuous"/>
          <w:pgSz w:w="11906" w:h="16838" w:code="9"/>
          <w:pgMar w:top="1701" w:right="1418" w:bottom="1701" w:left="1701" w:header="1701" w:footer="0" w:gutter="0"/>
          <w:cols w:space="708"/>
          <w:formProt w:val="0"/>
          <w:titlePg/>
          <w:docGrid w:linePitch="360"/>
        </w:sectPr>
      </w:pPr>
      <w:r w:rsidRPr="009A2C6D">
        <w:t xml:space="preserve">Overall, the protocol </w:t>
      </w:r>
      <w:r w:rsidR="00F07EDB" w:rsidRPr="009A2C6D">
        <w:t>interprets</w:t>
      </w:r>
      <w:r w:rsidRPr="009A2C6D">
        <w:t xml:space="preserve"> the procedural requirements of UNI 11761:2023 into an operational decision tool, is reproducible and auditable, and contributes to the definition of shared quantitative thresholds for the regulatory use of IOMS data.</w:t>
      </w:r>
    </w:p>
    <w:p w14:paraId="38679A21" w14:textId="77777777" w:rsidR="005A7610" w:rsidRDefault="00000000">
      <w:pPr>
        <w:pStyle w:val="CETReference"/>
      </w:pPr>
      <w:r>
        <w:t>References</w:t>
      </w:r>
    </w:p>
    <w:p w14:paraId="7990C012" w14:textId="77777777" w:rsidR="005A7610" w:rsidRPr="0083112B" w:rsidRDefault="00000000">
      <w:pPr>
        <w:pStyle w:val="CETReferencetext"/>
      </w:pPr>
      <w:r w:rsidRPr="0083112B">
        <w:t>Bland J.M., Altman D.G., 1986, Statistical methods for assessing agreement between two methods of clinical measurement, The Lancet, 327, 307–310.</w:t>
      </w:r>
    </w:p>
    <w:p w14:paraId="560B850C" w14:textId="77777777" w:rsidR="005A7610" w:rsidRPr="0083112B" w:rsidRDefault="00000000">
      <w:pPr>
        <w:pStyle w:val="CETReferencetext"/>
      </w:pPr>
      <w:proofErr w:type="spellStart"/>
      <w:r w:rsidRPr="0083112B">
        <w:t>Burgués</w:t>
      </w:r>
      <w:proofErr w:type="spellEnd"/>
      <w:r w:rsidRPr="0083112B">
        <w:t xml:space="preserve"> J., </w:t>
      </w:r>
      <w:proofErr w:type="spellStart"/>
      <w:r w:rsidRPr="0083112B">
        <w:t>Doñate</w:t>
      </w:r>
      <w:proofErr w:type="spellEnd"/>
      <w:r w:rsidRPr="0083112B">
        <w:t xml:space="preserve"> S., </w:t>
      </w:r>
      <w:proofErr w:type="spellStart"/>
      <w:r w:rsidRPr="0083112B">
        <w:t>Esclapez</w:t>
      </w:r>
      <w:proofErr w:type="spellEnd"/>
      <w:r w:rsidRPr="0083112B">
        <w:t xml:space="preserve"> M.D., </w:t>
      </w:r>
      <w:proofErr w:type="spellStart"/>
      <w:r w:rsidRPr="0083112B">
        <w:t>Saúco</w:t>
      </w:r>
      <w:proofErr w:type="spellEnd"/>
      <w:r w:rsidRPr="0083112B">
        <w:t xml:space="preserve"> L., Marco S., 2022, Characterization of odour emissions in a wastewater treatment plant using a drone-based chemical sensor system, Science of the Total Environment, 846, 157290.</w:t>
      </w:r>
    </w:p>
    <w:p w14:paraId="09D73978" w14:textId="77777777" w:rsidR="005A7610" w:rsidRPr="0083112B" w:rsidRDefault="00000000">
      <w:pPr>
        <w:pStyle w:val="CETReferencetext"/>
      </w:pPr>
      <w:r w:rsidRPr="0083112B">
        <w:t>CEN (European Committee for Standardization), 2022, EN 13725 – Stationary source emissions. Determination of odour concentration by dynamic olfactometry and odour emission rate, CEN, Brussels, Belgium.</w:t>
      </w:r>
    </w:p>
    <w:p w14:paraId="20C45696" w14:textId="77777777" w:rsidR="005A7610" w:rsidRPr="00A0267C" w:rsidRDefault="00000000">
      <w:pPr>
        <w:pStyle w:val="CETReferencetext"/>
      </w:pPr>
      <w:r w:rsidRPr="00A0267C">
        <w:t>Cipriano D., Capelli L., 2019, Evolution of electronic noses from research objects to engineered environmental odour monitoring systems: a review of standardization approaches, Biosensors, 9(2), 75.</w:t>
      </w:r>
    </w:p>
    <w:p w14:paraId="41A47F8F" w14:textId="77777777" w:rsidR="000C6E36" w:rsidRDefault="000C6E36" w:rsidP="002C6C97">
      <w:pPr>
        <w:pStyle w:val="CETReferencetext"/>
        <w:rPr>
          <w:lang w:val="en-US"/>
        </w:rPr>
      </w:pPr>
      <w:r w:rsidRPr="000C6E36">
        <w:rPr>
          <w:lang w:val="en-US"/>
        </w:rPr>
        <w:t xml:space="preserve">Deshmukh S., Bandyopadhyay R., Bhattacharyya N., Pandey R.A., Jana A., 2015, Application of electronic nose for industrial odors and gaseous emissions measurement and monitoring – An overview, </w:t>
      </w:r>
      <w:proofErr w:type="spellStart"/>
      <w:r w:rsidRPr="000C6E36">
        <w:rPr>
          <w:lang w:val="en-US"/>
        </w:rPr>
        <w:t>Talanta</w:t>
      </w:r>
      <w:proofErr w:type="spellEnd"/>
      <w:r w:rsidRPr="000C6E36">
        <w:rPr>
          <w:lang w:val="en-US"/>
        </w:rPr>
        <w:t>, 144, 329–340</w:t>
      </w:r>
    </w:p>
    <w:p w14:paraId="3BE98ABF" w14:textId="77777777" w:rsidR="009F1660" w:rsidRDefault="009F1660" w:rsidP="009F1660">
      <w:pPr>
        <w:pStyle w:val="CETReferencetext"/>
      </w:pPr>
      <w:r w:rsidRPr="0083112B">
        <w:t>Director Decree No. 309</w:t>
      </w:r>
      <w:r>
        <w:t xml:space="preserve">, </w:t>
      </w:r>
      <w:r w:rsidRPr="0083112B">
        <w:t>2023</w:t>
      </w:r>
      <w:r>
        <w:t>,</w:t>
      </w:r>
      <w:r w:rsidRPr="0083112B">
        <w:t xml:space="preserve"> Italian Ministry of Environment and Energy Security, </w:t>
      </w:r>
      <w:r w:rsidRPr="009F1660">
        <w:t>Guidance for the application of Article 272-bis of Legislative Decree 152/2006 on odour emissions from industrial plants and activities</w:t>
      </w:r>
      <w:r>
        <w:t xml:space="preserve">, </w:t>
      </w:r>
      <w:r w:rsidRPr="009F1660">
        <w:t>&lt;</w:t>
      </w:r>
      <w:hyperlink r:id="rId12" w:history="1">
        <w:r w:rsidRPr="009F1660">
          <w:rPr>
            <w:rStyle w:val="Collegamentoipertestuale"/>
            <w:color w:val="auto"/>
            <w:u w:val="none"/>
          </w:rPr>
          <w:t>https://www.mase.gov.it/portale/indirizzi-per-l-applicazione-dell-articolo-272-bis-del-d-lgs-152-2006-in-materia-di-emissioni-odorigene-di-impianti-e-attivit%C3%A0</w:t>
        </w:r>
      </w:hyperlink>
      <w:r w:rsidRPr="006B4888">
        <w:t>&gt;</w:t>
      </w:r>
      <w:r>
        <w:t xml:space="preserve"> </w:t>
      </w:r>
      <w:r w:rsidRPr="006B4888">
        <w:t xml:space="preserve">accessed </w:t>
      </w:r>
      <w:r>
        <w:t>22</w:t>
      </w:r>
      <w:r w:rsidRPr="006B4888">
        <w:t>.</w:t>
      </w:r>
      <w:r>
        <w:t>04.2026,</w:t>
      </w:r>
      <w:r w:rsidRPr="009F1660">
        <w:t xml:space="preserve"> </w:t>
      </w:r>
      <w:r>
        <w:t>(in Italian).</w:t>
      </w:r>
    </w:p>
    <w:p w14:paraId="47768A1A" w14:textId="5096BB83" w:rsidR="002C6C97" w:rsidRPr="002C6C97" w:rsidRDefault="002C6C97" w:rsidP="002C6C97">
      <w:pPr>
        <w:pStyle w:val="CETReferencetext"/>
        <w:rPr>
          <w:lang w:val="en-US"/>
        </w:rPr>
      </w:pPr>
      <w:r w:rsidRPr="002C6C97">
        <w:rPr>
          <w:lang w:val="en-US"/>
        </w:rPr>
        <w:t>Gardner J.W.</w:t>
      </w:r>
      <w:r>
        <w:rPr>
          <w:lang w:val="en-US"/>
        </w:rPr>
        <w:t>,</w:t>
      </w:r>
      <w:r w:rsidRPr="002C6C97">
        <w:rPr>
          <w:lang w:val="en-US"/>
        </w:rPr>
        <w:t xml:space="preserve"> Bartlett P.N.</w:t>
      </w:r>
      <w:r>
        <w:rPr>
          <w:lang w:val="en-US"/>
        </w:rPr>
        <w:t>, 1999,</w:t>
      </w:r>
      <w:r w:rsidRPr="002C6C97">
        <w:rPr>
          <w:lang w:val="en-US"/>
        </w:rPr>
        <w:t xml:space="preserve"> Electronic Noses: Principles and Applications</w:t>
      </w:r>
      <w:r>
        <w:rPr>
          <w:lang w:val="en-US"/>
        </w:rPr>
        <w:t>,</w:t>
      </w:r>
      <w:r w:rsidRPr="002C6C97">
        <w:rPr>
          <w:lang w:val="en-US"/>
        </w:rPr>
        <w:t xml:space="preserve"> Oxford University Press:</w:t>
      </w:r>
      <w:r>
        <w:rPr>
          <w:lang w:val="en-US"/>
        </w:rPr>
        <w:t xml:space="preserve"> </w:t>
      </w:r>
      <w:r w:rsidRPr="002C6C97">
        <w:rPr>
          <w:lang w:val="en-US"/>
        </w:rPr>
        <w:t>New York, NY, USA.</w:t>
      </w:r>
    </w:p>
    <w:p w14:paraId="6D60616D" w14:textId="0115B704" w:rsidR="000C6E36" w:rsidRPr="000C6E36" w:rsidRDefault="000C6E36" w:rsidP="000C6E36">
      <w:pPr>
        <w:pStyle w:val="CETReferencetext"/>
      </w:pPr>
      <w:r w:rsidRPr="000C6E36">
        <w:rPr>
          <w:lang w:val="en-US"/>
        </w:rPr>
        <w:t>Padilla M., Perera A., Montoliu I., Chaudry A., Persaud K., Marco S., 2010,</w:t>
      </w:r>
      <w:r>
        <w:rPr>
          <w:lang w:val="en-US"/>
        </w:rPr>
        <w:t xml:space="preserve"> </w:t>
      </w:r>
      <w:r w:rsidRPr="000C6E36">
        <w:t>Drift compensation of gas sensor array data by orthogonal signal correction</w:t>
      </w:r>
      <w:r>
        <w:rPr>
          <w:i/>
          <w:iCs/>
        </w:rPr>
        <w:t xml:space="preserve">, </w:t>
      </w:r>
      <w:r w:rsidRPr="000C6E36">
        <w:t>Chemometrics and Intelligent Laboratory Systems, 100(1), 28–35.</w:t>
      </w:r>
    </w:p>
    <w:p w14:paraId="7715D0F9" w14:textId="1BAD9601" w:rsidR="005A7610" w:rsidRPr="0083112B" w:rsidRDefault="00000000">
      <w:pPr>
        <w:pStyle w:val="CETReferencetext"/>
      </w:pPr>
      <w:r w:rsidRPr="0083112B">
        <w:t xml:space="preserve">Ratti C., Bax C., </w:t>
      </w:r>
      <w:proofErr w:type="spellStart"/>
      <w:r w:rsidRPr="0083112B">
        <w:t>Lotesoriere</w:t>
      </w:r>
      <w:proofErr w:type="spellEnd"/>
      <w:r w:rsidRPr="0083112B">
        <w:t xml:space="preserve"> B.J., Capelli L., 2024, Real-time monitoring of odour emissions at the fenceline of a waste treatment plant by instrumental odour monitoring systems: focus on training methods, Sensors, 24, 3506.</w:t>
      </w:r>
    </w:p>
    <w:p w14:paraId="1AFEC683" w14:textId="1180B482" w:rsidR="005A7610" w:rsidRPr="00154085" w:rsidRDefault="00000000">
      <w:pPr>
        <w:pStyle w:val="CETReferencetext"/>
        <w:rPr>
          <w:lang w:val="en-US"/>
        </w:rPr>
      </w:pPr>
      <w:r w:rsidRPr="0083112B">
        <w:rPr>
          <w:lang w:val="it-IT"/>
        </w:rPr>
        <w:t xml:space="preserve">UNI (Ente Italiano di Normazione), 2023, UNI 11761:2023 – </w:t>
      </w:r>
      <w:proofErr w:type="spellStart"/>
      <w:r w:rsidR="00154085" w:rsidRPr="00154085">
        <w:rPr>
          <w:lang w:val="it-IT"/>
        </w:rPr>
        <w:t>Odour</w:t>
      </w:r>
      <w:proofErr w:type="spellEnd"/>
      <w:r w:rsidR="00154085" w:rsidRPr="00154085">
        <w:rPr>
          <w:lang w:val="it-IT"/>
        </w:rPr>
        <w:t xml:space="preserve"> </w:t>
      </w:r>
      <w:proofErr w:type="spellStart"/>
      <w:r w:rsidR="00154085" w:rsidRPr="00154085">
        <w:rPr>
          <w:lang w:val="it-IT"/>
        </w:rPr>
        <w:t>emissions</w:t>
      </w:r>
      <w:proofErr w:type="spellEnd"/>
      <w:r w:rsidR="00154085" w:rsidRPr="00154085">
        <w:rPr>
          <w:lang w:val="it-IT"/>
        </w:rPr>
        <w:t xml:space="preserve">. </w:t>
      </w:r>
      <w:r w:rsidR="00154085" w:rsidRPr="00154085">
        <w:t>Determination of odour concentration using a continuous monitoring system</w:t>
      </w:r>
      <w:r w:rsidRPr="00154085">
        <w:rPr>
          <w:lang w:val="en-US"/>
        </w:rPr>
        <w:t xml:space="preserve">, </w:t>
      </w:r>
      <w:r w:rsidR="00154085">
        <w:rPr>
          <w:lang w:val="en-US"/>
        </w:rPr>
        <w:t>(in Italian).</w:t>
      </w:r>
    </w:p>
    <w:p w14:paraId="3B12525A" w14:textId="71CB422B" w:rsidR="005A7610" w:rsidRPr="009F1660" w:rsidRDefault="004010F5">
      <w:pPr>
        <w:pStyle w:val="CETReferencetext"/>
        <w:rPr>
          <w:color w:val="EE0000"/>
          <w:lang w:val="en-US"/>
        </w:rPr>
      </w:pPr>
      <w:r w:rsidRPr="004010F5">
        <w:rPr>
          <w:lang w:val="en-US"/>
        </w:rPr>
        <w:t>Y</w:t>
      </w:r>
      <w:r w:rsidRPr="009F1660">
        <w:rPr>
          <w:lang w:val="en-US"/>
        </w:rPr>
        <w:t>an, J., Guo, X., Duan, S., Jia, P., Wang, L., Peng, C., Zhang, S., 2015, Electronic Nose Feature Extraction Methods: A Review, Sensors, 15, 27804-27831</w:t>
      </w:r>
      <w:r w:rsidR="00D4484A" w:rsidRPr="009F1660">
        <w:rPr>
          <w:lang w:val="en-US"/>
        </w:rPr>
        <w:t>.</w:t>
      </w:r>
    </w:p>
    <w:sectPr w:rsidR="005A7610" w:rsidRPr="009F1660"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77817" w14:textId="77777777" w:rsidR="00060740" w:rsidRDefault="00060740" w:rsidP="004F5E36">
      <w:r>
        <w:separator/>
      </w:r>
    </w:p>
  </w:endnote>
  <w:endnote w:type="continuationSeparator" w:id="0">
    <w:p w14:paraId="4CB1E691" w14:textId="77777777" w:rsidR="00060740" w:rsidRDefault="00060740"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7EB26" w14:textId="77777777" w:rsidR="00060740" w:rsidRDefault="00060740" w:rsidP="004F5E36">
      <w:r>
        <w:separator/>
      </w:r>
    </w:p>
  </w:footnote>
  <w:footnote w:type="continuationSeparator" w:id="0">
    <w:p w14:paraId="5CDB6543" w14:textId="77777777" w:rsidR="00060740" w:rsidRDefault="00060740"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3CFA7346"/>
    <w:multiLevelType w:val="hybridMultilevel"/>
    <w:tmpl w:val="20ACBC32"/>
    <w:lvl w:ilvl="0" w:tplc="713C9CA0">
      <w:start w:val="1"/>
      <w:numFmt w:val="lowerLetter"/>
      <w:lvlText w:val="%1."/>
      <w:lvlJc w:val="left"/>
      <w:pPr>
        <w:ind w:left="720" w:hanging="360"/>
      </w:pPr>
      <w:rPr>
        <w:rFonts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9"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8"/>
  </w:num>
  <w:num w:numId="13" w16cid:durableId="695733619">
    <w:abstractNumId w:val="12"/>
  </w:num>
  <w:num w:numId="14" w16cid:durableId="145903400">
    <w:abstractNumId w:val="19"/>
  </w:num>
  <w:num w:numId="15" w16cid:durableId="19162326">
    <w:abstractNumId w:val="21"/>
  </w:num>
  <w:num w:numId="16" w16cid:durableId="1977102699">
    <w:abstractNumId w:val="20"/>
  </w:num>
  <w:num w:numId="17" w16cid:durableId="860774865">
    <w:abstractNumId w:val="11"/>
  </w:num>
  <w:num w:numId="18" w16cid:durableId="313221457">
    <w:abstractNumId w:val="12"/>
    <w:lvlOverride w:ilvl="0">
      <w:startOverride w:val="1"/>
    </w:lvlOverride>
  </w:num>
  <w:num w:numId="19" w16cid:durableId="534971577">
    <w:abstractNumId w:val="17"/>
  </w:num>
  <w:num w:numId="20" w16cid:durableId="1150947773">
    <w:abstractNumId w:val="16"/>
  </w:num>
  <w:num w:numId="21" w16cid:durableId="124660497">
    <w:abstractNumId w:val="14"/>
  </w:num>
  <w:num w:numId="22" w16cid:durableId="2099861471">
    <w:abstractNumId w:val="13"/>
  </w:num>
  <w:num w:numId="23" w16cid:durableId="17816042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0A86"/>
    <w:rsid w:val="000117CB"/>
    <w:rsid w:val="0003148D"/>
    <w:rsid w:val="00031EEC"/>
    <w:rsid w:val="00051566"/>
    <w:rsid w:val="000562A9"/>
    <w:rsid w:val="00060740"/>
    <w:rsid w:val="00061910"/>
    <w:rsid w:val="00061B6E"/>
    <w:rsid w:val="00062A9A"/>
    <w:rsid w:val="00065058"/>
    <w:rsid w:val="00086C39"/>
    <w:rsid w:val="000A03B2"/>
    <w:rsid w:val="000A10ED"/>
    <w:rsid w:val="000C2FBE"/>
    <w:rsid w:val="000C6E36"/>
    <w:rsid w:val="000D0268"/>
    <w:rsid w:val="000D34BE"/>
    <w:rsid w:val="000E102F"/>
    <w:rsid w:val="000E36F1"/>
    <w:rsid w:val="000E3A73"/>
    <w:rsid w:val="000E414A"/>
    <w:rsid w:val="000E75FD"/>
    <w:rsid w:val="000F093C"/>
    <w:rsid w:val="000F787B"/>
    <w:rsid w:val="00115EF1"/>
    <w:rsid w:val="0012091F"/>
    <w:rsid w:val="00124AAD"/>
    <w:rsid w:val="00126BC2"/>
    <w:rsid w:val="001308B6"/>
    <w:rsid w:val="0013121F"/>
    <w:rsid w:val="00131FE6"/>
    <w:rsid w:val="0013263F"/>
    <w:rsid w:val="001331DF"/>
    <w:rsid w:val="00134DE4"/>
    <w:rsid w:val="0014034D"/>
    <w:rsid w:val="00140D43"/>
    <w:rsid w:val="00140FE3"/>
    <w:rsid w:val="00144D16"/>
    <w:rsid w:val="00150E59"/>
    <w:rsid w:val="00152DE3"/>
    <w:rsid w:val="00154085"/>
    <w:rsid w:val="001548A9"/>
    <w:rsid w:val="00157E53"/>
    <w:rsid w:val="00164CF9"/>
    <w:rsid w:val="001667A6"/>
    <w:rsid w:val="00184AD6"/>
    <w:rsid w:val="00195431"/>
    <w:rsid w:val="001A0154"/>
    <w:rsid w:val="001A4AF7"/>
    <w:rsid w:val="001B0349"/>
    <w:rsid w:val="001B0F04"/>
    <w:rsid w:val="001B1E93"/>
    <w:rsid w:val="001B65C1"/>
    <w:rsid w:val="001C260F"/>
    <w:rsid w:val="001C33F1"/>
    <w:rsid w:val="001C684B"/>
    <w:rsid w:val="001D0CFB"/>
    <w:rsid w:val="001D21AF"/>
    <w:rsid w:val="001D53FC"/>
    <w:rsid w:val="001D6C9D"/>
    <w:rsid w:val="001F42A5"/>
    <w:rsid w:val="001F7B9D"/>
    <w:rsid w:val="00201C93"/>
    <w:rsid w:val="0021613E"/>
    <w:rsid w:val="00217F82"/>
    <w:rsid w:val="002224B4"/>
    <w:rsid w:val="0022510D"/>
    <w:rsid w:val="00230841"/>
    <w:rsid w:val="002447EF"/>
    <w:rsid w:val="00251550"/>
    <w:rsid w:val="00263B05"/>
    <w:rsid w:val="0027221A"/>
    <w:rsid w:val="00275533"/>
    <w:rsid w:val="00275B61"/>
    <w:rsid w:val="00280FAF"/>
    <w:rsid w:val="00282656"/>
    <w:rsid w:val="00296B83"/>
    <w:rsid w:val="002B4015"/>
    <w:rsid w:val="002B78CE"/>
    <w:rsid w:val="002C2FB6"/>
    <w:rsid w:val="002C6C97"/>
    <w:rsid w:val="002D0FBB"/>
    <w:rsid w:val="002E5FA7"/>
    <w:rsid w:val="002F3309"/>
    <w:rsid w:val="002F69CC"/>
    <w:rsid w:val="002F7A05"/>
    <w:rsid w:val="003008CE"/>
    <w:rsid w:val="003009B7"/>
    <w:rsid w:val="00300E56"/>
    <w:rsid w:val="0030152C"/>
    <w:rsid w:val="0030469C"/>
    <w:rsid w:val="00321CA6"/>
    <w:rsid w:val="00323763"/>
    <w:rsid w:val="00323C5F"/>
    <w:rsid w:val="00331570"/>
    <w:rsid w:val="00334A59"/>
    <w:rsid w:val="00334C09"/>
    <w:rsid w:val="003723D4"/>
    <w:rsid w:val="00381905"/>
    <w:rsid w:val="00384CC8"/>
    <w:rsid w:val="003871FD"/>
    <w:rsid w:val="003A1E30"/>
    <w:rsid w:val="003A2829"/>
    <w:rsid w:val="003A7D1C"/>
    <w:rsid w:val="003B304B"/>
    <w:rsid w:val="003B3146"/>
    <w:rsid w:val="003C7162"/>
    <w:rsid w:val="003C7B01"/>
    <w:rsid w:val="003D1E02"/>
    <w:rsid w:val="003E1135"/>
    <w:rsid w:val="003F015E"/>
    <w:rsid w:val="00400414"/>
    <w:rsid w:val="004010F5"/>
    <w:rsid w:val="004065C3"/>
    <w:rsid w:val="0041446B"/>
    <w:rsid w:val="00430774"/>
    <w:rsid w:val="004323C7"/>
    <w:rsid w:val="0044071E"/>
    <w:rsid w:val="0044329C"/>
    <w:rsid w:val="00453E24"/>
    <w:rsid w:val="00457456"/>
    <w:rsid w:val="004577FE"/>
    <w:rsid w:val="00457B9C"/>
    <w:rsid w:val="0046164A"/>
    <w:rsid w:val="004628D2"/>
    <w:rsid w:val="00462DCD"/>
    <w:rsid w:val="004648AD"/>
    <w:rsid w:val="004703A9"/>
    <w:rsid w:val="004760DE"/>
    <w:rsid w:val="004763D7"/>
    <w:rsid w:val="004A004E"/>
    <w:rsid w:val="004A24CF"/>
    <w:rsid w:val="004A5E57"/>
    <w:rsid w:val="004C194F"/>
    <w:rsid w:val="004C3D1D"/>
    <w:rsid w:val="004C3D84"/>
    <w:rsid w:val="004C7913"/>
    <w:rsid w:val="004C79BF"/>
    <w:rsid w:val="004E4DD6"/>
    <w:rsid w:val="004F5E36"/>
    <w:rsid w:val="00502872"/>
    <w:rsid w:val="00505AFA"/>
    <w:rsid w:val="00507B47"/>
    <w:rsid w:val="00507BEF"/>
    <w:rsid w:val="00507CC9"/>
    <w:rsid w:val="005119A5"/>
    <w:rsid w:val="005163CD"/>
    <w:rsid w:val="005278B7"/>
    <w:rsid w:val="00532016"/>
    <w:rsid w:val="005346C8"/>
    <w:rsid w:val="00543E7D"/>
    <w:rsid w:val="00546413"/>
    <w:rsid w:val="00547003"/>
    <w:rsid w:val="00547A68"/>
    <w:rsid w:val="00550D01"/>
    <w:rsid w:val="005531C9"/>
    <w:rsid w:val="00560488"/>
    <w:rsid w:val="00560B92"/>
    <w:rsid w:val="00567F0F"/>
    <w:rsid w:val="00570C43"/>
    <w:rsid w:val="00592274"/>
    <w:rsid w:val="00595009"/>
    <w:rsid w:val="005972F6"/>
    <w:rsid w:val="005A01F0"/>
    <w:rsid w:val="005A7610"/>
    <w:rsid w:val="005B2110"/>
    <w:rsid w:val="005B61E6"/>
    <w:rsid w:val="005C77E1"/>
    <w:rsid w:val="005D668A"/>
    <w:rsid w:val="005D6A2F"/>
    <w:rsid w:val="005E0592"/>
    <w:rsid w:val="005E1A82"/>
    <w:rsid w:val="005E794C"/>
    <w:rsid w:val="005F0A28"/>
    <w:rsid w:val="005F0E5E"/>
    <w:rsid w:val="005F1FE1"/>
    <w:rsid w:val="00600535"/>
    <w:rsid w:val="00610CD6"/>
    <w:rsid w:val="00610DA0"/>
    <w:rsid w:val="00620DEE"/>
    <w:rsid w:val="00621F92"/>
    <w:rsid w:val="0062214E"/>
    <w:rsid w:val="0062280A"/>
    <w:rsid w:val="006231E1"/>
    <w:rsid w:val="00625639"/>
    <w:rsid w:val="00631B33"/>
    <w:rsid w:val="0064184D"/>
    <w:rsid w:val="006422CC"/>
    <w:rsid w:val="00651D18"/>
    <w:rsid w:val="00660E3E"/>
    <w:rsid w:val="00662E74"/>
    <w:rsid w:val="00675442"/>
    <w:rsid w:val="00680C23"/>
    <w:rsid w:val="00683E23"/>
    <w:rsid w:val="00693766"/>
    <w:rsid w:val="006A3281"/>
    <w:rsid w:val="006B4888"/>
    <w:rsid w:val="006C2E45"/>
    <w:rsid w:val="006C359C"/>
    <w:rsid w:val="006C5579"/>
    <w:rsid w:val="006D1C61"/>
    <w:rsid w:val="006D3725"/>
    <w:rsid w:val="006D3A58"/>
    <w:rsid w:val="006D6E8B"/>
    <w:rsid w:val="006D7209"/>
    <w:rsid w:val="006E737D"/>
    <w:rsid w:val="00707DD1"/>
    <w:rsid w:val="00713973"/>
    <w:rsid w:val="00720A24"/>
    <w:rsid w:val="00732386"/>
    <w:rsid w:val="0073514D"/>
    <w:rsid w:val="00737D6D"/>
    <w:rsid w:val="007447F3"/>
    <w:rsid w:val="0075499F"/>
    <w:rsid w:val="007603C3"/>
    <w:rsid w:val="007617CC"/>
    <w:rsid w:val="007661C8"/>
    <w:rsid w:val="0077098D"/>
    <w:rsid w:val="00785BF9"/>
    <w:rsid w:val="007931FA"/>
    <w:rsid w:val="007A4861"/>
    <w:rsid w:val="007A7BBA"/>
    <w:rsid w:val="007B0C50"/>
    <w:rsid w:val="007B48F9"/>
    <w:rsid w:val="007C1A43"/>
    <w:rsid w:val="007C6F25"/>
    <w:rsid w:val="007D0951"/>
    <w:rsid w:val="007D6920"/>
    <w:rsid w:val="007F1D5B"/>
    <w:rsid w:val="007F27C8"/>
    <w:rsid w:val="007F2A45"/>
    <w:rsid w:val="0080013E"/>
    <w:rsid w:val="0080184B"/>
    <w:rsid w:val="008125E9"/>
    <w:rsid w:val="00813268"/>
    <w:rsid w:val="00813288"/>
    <w:rsid w:val="008168FC"/>
    <w:rsid w:val="00826CDA"/>
    <w:rsid w:val="00830996"/>
    <w:rsid w:val="0083112B"/>
    <w:rsid w:val="008314D7"/>
    <w:rsid w:val="008345F1"/>
    <w:rsid w:val="008517E4"/>
    <w:rsid w:val="00865B07"/>
    <w:rsid w:val="008667EA"/>
    <w:rsid w:val="0087618F"/>
    <w:rsid w:val="0087637F"/>
    <w:rsid w:val="00892AD5"/>
    <w:rsid w:val="00896577"/>
    <w:rsid w:val="008A1512"/>
    <w:rsid w:val="008D32B9"/>
    <w:rsid w:val="008D433B"/>
    <w:rsid w:val="008D4A16"/>
    <w:rsid w:val="008E209A"/>
    <w:rsid w:val="008E45BC"/>
    <w:rsid w:val="008E566E"/>
    <w:rsid w:val="0090161A"/>
    <w:rsid w:val="00901EB6"/>
    <w:rsid w:val="009041F8"/>
    <w:rsid w:val="00904C62"/>
    <w:rsid w:val="009147F1"/>
    <w:rsid w:val="00915AFB"/>
    <w:rsid w:val="00922BA8"/>
    <w:rsid w:val="00924DAC"/>
    <w:rsid w:val="00927058"/>
    <w:rsid w:val="00942750"/>
    <w:rsid w:val="009450CE"/>
    <w:rsid w:val="009459BB"/>
    <w:rsid w:val="00947179"/>
    <w:rsid w:val="0095164B"/>
    <w:rsid w:val="00954090"/>
    <w:rsid w:val="009573E7"/>
    <w:rsid w:val="00957EE1"/>
    <w:rsid w:val="00961D3D"/>
    <w:rsid w:val="00963E05"/>
    <w:rsid w:val="00964A45"/>
    <w:rsid w:val="00967843"/>
    <w:rsid w:val="00967D54"/>
    <w:rsid w:val="00971028"/>
    <w:rsid w:val="009721A7"/>
    <w:rsid w:val="00974817"/>
    <w:rsid w:val="00984DB4"/>
    <w:rsid w:val="00993B84"/>
    <w:rsid w:val="0099612F"/>
    <w:rsid w:val="00996483"/>
    <w:rsid w:val="00996F5A"/>
    <w:rsid w:val="009A0F4E"/>
    <w:rsid w:val="009A2C6D"/>
    <w:rsid w:val="009B041A"/>
    <w:rsid w:val="009B0F2A"/>
    <w:rsid w:val="009C37C3"/>
    <w:rsid w:val="009C7C86"/>
    <w:rsid w:val="009D2FF7"/>
    <w:rsid w:val="009E7884"/>
    <w:rsid w:val="009E788A"/>
    <w:rsid w:val="009F0E08"/>
    <w:rsid w:val="009F1660"/>
    <w:rsid w:val="00A0267C"/>
    <w:rsid w:val="00A079AE"/>
    <w:rsid w:val="00A1462A"/>
    <w:rsid w:val="00A1763D"/>
    <w:rsid w:val="00A179FE"/>
    <w:rsid w:val="00A17CEC"/>
    <w:rsid w:val="00A26CBB"/>
    <w:rsid w:val="00A27EF0"/>
    <w:rsid w:val="00A42361"/>
    <w:rsid w:val="00A50B20"/>
    <w:rsid w:val="00A51390"/>
    <w:rsid w:val="00A51FB6"/>
    <w:rsid w:val="00A540F3"/>
    <w:rsid w:val="00A60D13"/>
    <w:rsid w:val="00A7223D"/>
    <w:rsid w:val="00A72745"/>
    <w:rsid w:val="00A76EFC"/>
    <w:rsid w:val="00A87D50"/>
    <w:rsid w:val="00A91010"/>
    <w:rsid w:val="00A97F29"/>
    <w:rsid w:val="00AA46BD"/>
    <w:rsid w:val="00AA702E"/>
    <w:rsid w:val="00AA7CBF"/>
    <w:rsid w:val="00AA7D26"/>
    <w:rsid w:val="00AB0964"/>
    <w:rsid w:val="00AB5011"/>
    <w:rsid w:val="00AC7368"/>
    <w:rsid w:val="00AC7E4F"/>
    <w:rsid w:val="00AD0278"/>
    <w:rsid w:val="00AD16B9"/>
    <w:rsid w:val="00AE377D"/>
    <w:rsid w:val="00AF0EBA"/>
    <w:rsid w:val="00B02C8A"/>
    <w:rsid w:val="00B17FBD"/>
    <w:rsid w:val="00B315A6"/>
    <w:rsid w:val="00B31813"/>
    <w:rsid w:val="00B33365"/>
    <w:rsid w:val="00B57B36"/>
    <w:rsid w:val="00B57E6F"/>
    <w:rsid w:val="00B70323"/>
    <w:rsid w:val="00B80B5E"/>
    <w:rsid w:val="00B8686D"/>
    <w:rsid w:val="00B93F69"/>
    <w:rsid w:val="00B95E1F"/>
    <w:rsid w:val="00B97494"/>
    <w:rsid w:val="00BA2AC5"/>
    <w:rsid w:val="00BA50F6"/>
    <w:rsid w:val="00BB1DDC"/>
    <w:rsid w:val="00BC30C9"/>
    <w:rsid w:val="00BD077D"/>
    <w:rsid w:val="00BE3E58"/>
    <w:rsid w:val="00C01616"/>
    <w:rsid w:val="00C0162B"/>
    <w:rsid w:val="00C05FEF"/>
    <w:rsid w:val="00C068ED"/>
    <w:rsid w:val="00C208E9"/>
    <w:rsid w:val="00C22E0C"/>
    <w:rsid w:val="00C345B1"/>
    <w:rsid w:val="00C40142"/>
    <w:rsid w:val="00C41532"/>
    <w:rsid w:val="00C52C3C"/>
    <w:rsid w:val="00C57182"/>
    <w:rsid w:val="00C57863"/>
    <w:rsid w:val="00C640AF"/>
    <w:rsid w:val="00C655FD"/>
    <w:rsid w:val="00C74429"/>
    <w:rsid w:val="00C75407"/>
    <w:rsid w:val="00C841C6"/>
    <w:rsid w:val="00C870A8"/>
    <w:rsid w:val="00C94434"/>
    <w:rsid w:val="00CA0D75"/>
    <w:rsid w:val="00CA1C95"/>
    <w:rsid w:val="00CA5A9C"/>
    <w:rsid w:val="00CC4C20"/>
    <w:rsid w:val="00CD3517"/>
    <w:rsid w:val="00CD5C46"/>
    <w:rsid w:val="00CD5FE2"/>
    <w:rsid w:val="00CE7C68"/>
    <w:rsid w:val="00D02B4C"/>
    <w:rsid w:val="00D040C4"/>
    <w:rsid w:val="00D05DFA"/>
    <w:rsid w:val="00D20AD1"/>
    <w:rsid w:val="00D2582C"/>
    <w:rsid w:val="00D40412"/>
    <w:rsid w:val="00D4484A"/>
    <w:rsid w:val="00D45F8B"/>
    <w:rsid w:val="00D46B7E"/>
    <w:rsid w:val="00D57C84"/>
    <w:rsid w:val="00D6057D"/>
    <w:rsid w:val="00D660B4"/>
    <w:rsid w:val="00D71640"/>
    <w:rsid w:val="00D75069"/>
    <w:rsid w:val="00D770B1"/>
    <w:rsid w:val="00D836C5"/>
    <w:rsid w:val="00D84576"/>
    <w:rsid w:val="00DA1399"/>
    <w:rsid w:val="00DA24C6"/>
    <w:rsid w:val="00DA4D7B"/>
    <w:rsid w:val="00DD271C"/>
    <w:rsid w:val="00DD4266"/>
    <w:rsid w:val="00DD6D99"/>
    <w:rsid w:val="00DE264A"/>
    <w:rsid w:val="00DE48CC"/>
    <w:rsid w:val="00DF5072"/>
    <w:rsid w:val="00E02D18"/>
    <w:rsid w:val="00E041E7"/>
    <w:rsid w:val="00E23CA1"/>
    <w:rsid w:val="00E409A8"/>
    <w:rsid w:val="00E47D61"/>
    <w:rsid w:val="00E50C12"/>
    <w:rsid w:val="00E51D12"/>
    <w:rsid w:val="00E65B91"/>
    <w:rsid w:val="00E7209D"/>
    <w:rsid w:val="00E72EAD"/>
    <w:rsid w:val="00E77223"/>
    <w:rsid w:val="00E8528B"/>
    <w:rsid w:val="00E85B94"/>
    <w:rsid w:val="00E86188"/>
    <w:rsid w:val="00E978D0"/>
    <w:rsid w:val="00EA4613"/>
    <w:rsid w:val="00EA7F91"/>
    <w:rsid w:val="00EB1523"/>
    <w:rsid w:val="00EC0E49"/>
    <w:rsid w:val="00EC101F"/>
    <w:rsid w:val="00EC181B"/>
    <w:rsid w:val="00EC1D9F"/>
    <w:rsid w:val="00ED5328"/>
    <w:rsid w:val="00EE0131"/>
    <w:rsid w:val="00EE17B0"/>
    <w:rsid w:val="00EF06D9"/>
    <w:rsid w:val="00EF0982"/>
    <w:rsid w:val="00F03872"/>
    <w:rsid w:val="00F07EDB"/>
    <w:rsid w:val="00F3049E"/>
    <w:rsid w:val="00F30C64"/>
    <w:rsid w:val="00F32BA2"/>
    <w:rsid w:val="00F32CDB"/>
    <w:rsid w:val="00F3348F"/>
    <w:rsid w:val="00F33ED9"/>
    <w:rsid w:val="00F37280"/>
    <w:rsid w:val="00F41EE4"/>
    <w:rsid w:val="00F565FE"/>
    <w:rsid w:val="00F63A70"/>
    <w:rsid w:val="00F63D8C"/>
    <w:rsid w:val="00F72590"/>
    <w:rsid w:val="00F7534E"/>
    <w:rsid w:val="00F93EDF"/>
    <w:rsid w:val="00FA1802"/>
    <w:rsid w:val="00FA21D0"/>
    <w:rsid w:val="00FA53CF"/>
    <w:rsid w:val="00FA5F5F"/>
    <w:rsid w:val="00FB730C"/>
    <w:rsid w:val="00FC2695"/>
    <w:rsid w:val="00FC3E03"/>
    <w:rsid w:val="00FC3FC1"/>
    <w:rsid w:val="00FF697B"/>
  </w:rsids>
  <m:mathPr>
    <m:mathFont m:val="Cambria Math"/>
    <m:brkBin m:val="before"/>
    <m:brkBinSub m:val="--"/>
    <m:smallFrac m:val="0"/>
    <m:dispDef/>
    <m:lMargin m:val="0"/>
    <m:rMargin m:val="0"/>
    <m:defJc m:val="centerGroup"/>
    <m:wrapIndent m:val="1440"/>
    <m:intLim m:val="subSup"/>
    <m:naryLim m:val="undOvr"/>
  </m:mathPr>
  <w:themeFontLang w:val="it-IT" w:eastAsia="zh-CN"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957479"/>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semiHidden/>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character" w:styleId="Testosegnaposto">
    <w:name w:val="Placeholder Text"/>
    <w:basedOn w:val="Carpredefinitoparagrafo"/>
    <w:uiPriority w:val="99"/>
    <w:semiHidden/>
    <w:rsid w:val="009A0F4E"/>
    <w:rPr>
      <w:color w:val="666666"/>
    </w:rPr>
  </w:style>
  <w:style w:type="character" w:styleId="Menzionenonrisolta">
    <w:name w:val="Unresolved Mention"/>
    <w:basedOn w:val="Carpredefinitoparagrafo"/>
    <w:uiPriority w:val="99"/>
    <w:semiHidden/>
    <w:unhideWhenUsed/>
    <w:rsid w:val="009F1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e.gov.it/portale/indirizzi-per-l-applicazione-dell-articolo-272-bis-del-d-lgs-152-2006-in-materia-di-emissioni-odorigene-di-impianti-e-attivit%C3%A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6</Pages>
  <Words>3324</Words>
  <Characters>18950</Characters>
  <Application>Microsoft Office Word</Application>
  <DocSecurity>0</DocSecurity>
  <Lines>157</Lines>
  <Paragraphs>44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22230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TeA Tecnologia e Ambiente Srl</cp:lastModifiedBy>
  <cp:revision>42</cp:revision>
  <cp:lastPrinted>2015-05-12T18:31:00Z</cp:lastPrinted>
  <dcterms:created xsi:type="dcterms:W3CDTF">2026-04-19T19:27:00Z</dcterms:created>
  <dcterms:modified xsi:type="dcterms:W3CDTF">2026-04-24T10:26:00Z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