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0A5D73" w14:paraId="2A131A54" w14:textId="77777777" w:rsidTr="02836CD0">
        <w:trPr>
          <w:trHeight w:val="852"/>
          <w:jc w:val="center"/>
        </w:trPr>
        <w:tc>
          <w:tcPr>
            <w:tcW w:w="6946" w:type="dxa"/>
            <w:vMerge w:val="restart"/>
            <w:tcBorders>
              <w:right w:val="single" w:sz="4" w:space="0" w:color="auto"/>
            </w:tcBorders>
          </w:tcPr>
          <w:p w14:paraId="38C3D2BA" w14:textId="77777777" w:rsidR="000A03B2" w:rsidRPr="000A5D73" w:rsidRDefault="000A03B2" w:rsidP="00DE264A">
            <w:pPr>
              <w:tabs>
                <w:tab w:val="left" w:pos="-108"/>
              </w:tabs>
              <w:ind w:left="-108"/>
              <w:jc w:val="left"/>
              <w:rPr>
                <w:rFonts w:cs="Arial"/>
                <w:b/>
                <w:bCs/>
                <w:i/>
                <w:iCs/>
                <w:color w:val="000066"/>
                <w:sz w:val="12"/>
                <w:szCs w:val="12"/>
                <w:lang w:eastAsia="it-IT"/>
              </w:rPr>
            </w:pPr>
            <w:bookmarkStart w:id="0" w:name="_Hlk145068772"/>
            <w:r>
              <w:rPr>
                <w:noProof/>
              </w:rPr>
              <w:drawing>
                <wp:inline distT="0" distB="0" distL="0" distR="0" wp14:anchorId="02B7C3D3" wp14:editId="7DD0D084">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2836CD0">
              <w:rPr>
                <w:rFonts w:ascii="AdvP6960" w:hAnsi="AdvP6960" w:cs="AdvP6960"/>
                <w:color w:val="241F20"/>
                <w:lang w:eastAsia="it-IT"/>
              </w:rPr>
              <w:t xml:space="preserve"> </w:t>
            </w:r>
            <w:r w:rsidRPr="02836CD0">
              <w:rPr>
                <w:rFonts w:cs="Arial"/>
                <w:b/>
                <w:bCs/>
                <w:i/>
                <w:iCs/>
                <w:color w:val="000066"/>
                <w:sz w:val="24"/>
                <w:szCs w:val="24"/>
                <w:lang w:eastAsia="it-IT"/>
              </w:rPr>
              <w:t>CHEMICAL ENGINEERING</w:t>
            </w:r>
            <w:r w:rsidRPr="02836CD0">
              <w:rPr>
                <w:rFonts w:cs="Arial"/>
                <w:b/>
                <w:bCs/>
                <w:i/>
                <w:iCs/>
                <w:color w:val="0033FF"/>
                <w:sz w:val="24"/>
                <w:szCs w:val="24"/>
                <w:lang w:eastAsia="it-IT"/>
              </w:rPr>
              <w:t xml:space="preserve"> </w:t>
            </w:r>
            <w:r w:rsidRPr="02836CD0">
              <w:rPr>
                <w:rFonts w:cs="Arial"/>
                <w:b/>
                <w:bCs/>
                <w:i/>
                <w:iCs/>
                <w:color w:val="666666"/>
                <w:sz w:val="24"/>
                <w:szCs w:val="24"/>
                <w:lang w:eastAsia="it-IT"/>
              </w:rPr>
              <w:t>TRANSACTIONS</w:t>
            </w:r>
            <w:r w:rsidRPr="02836CD0">
              <w:rPr>
                <w:color w:val="333333"/>
                <w:sz w:val="24"/>
                <w:szCs w:val="24"/>
                <w:lang w:eastAsia="it-IT"/>
              </w:rPr>
              <w:t xml:space="preserve"> </w:t>
            </w:r>
            <w:r>
              <w:br/>
            </w:r>
          </w:p>
          <w:p w14:paraId="4B780582" w14:textId="753620B8" w:rsidR="000A03B2" w:rsidRPr="000A5D73" w:rsidRDefault="00A76EFC" w:rsidP="001D21AF">
            <w:pPr>
              <w:tabs>
                <w:tab w:val="left" w:pos="-108"/>
              </w:tabs>
              <w:ind w:left="-108"/>
              <w:rPr>
                <w:rFonts w:cs="Arial"/>
                <w:b/>
                <w:bCs/>
                <w:i/>
                <w:iCs/>
                <w:color w:val="000066"/>
                <w:sz w:val="22"/>
                <w:szCs w:val="22"/>
                <w:lang w:eastAsia="it-IT"/>
              </w:rPr>
            </w:pPr>
            <w:r w:rsidRPr="000A5D73">
              <w:rPr>
                <w:rFonts w:cs="Arial"/>
                <w:b/>
                <w:bCs/>
                <w:i/>
                <w:iCs/>
                <w:color w:val="000066"/>
                <w:sz w:val="22"/>
                <w:szCs w:val="22"/>
                <w:lang w:eastAsia="it-IT"/>
              </w:rPr>
              <w:t>VOL.</w:t>
            </w:r>
            <w:r w:rsidR="00785BF9" w:rsidRPr="000A5D73">
              <w:rPr>
                <w:rFonts w:cs="Arial"/>
                <w:b/>
                <w:bCs/>
                <w:i/>
                <w:iCs/>
                <w:color w:val="000066"/>
                <w:sz w:val="22"/>
                <w:szCs w:val="22"/>
                <w:lang w:eastAsia="it-IT"/>
              </w:rPr>
              <w:t xml:space="preserve"> </w:t>
            </w:r>
            <w:r w:rsidR="00AD0278" w:rsidRPr="000A5D73">
              <w:rPr>
                <w:rFonts w:cs="Arial"/>
                <w:b/>
                <w:bCs/>
                <w:i/>
                <w:iCs/>
                <w:color w:val="000066"/>
                <w:sz w:val="22"/>
                <w:szCs w:val="22"/>
                <w:lang w:eastAsia="it-IT"/>
              </w:rPr>
              <w:t>xxx</w:t>
            </w:r>
            <w:r w:rsidR="007B48F9" w:rsidRPr="000A5D73">
              <w:rPr>
                <w:rFonts w:cs="Arial"/>
                <w:b/>
                <w:bCs/>
                <w:i/>
                <w:iCs/>
                <w:color w:val="000066"/>
                <w:sz w:val="22"/>
                <w:szCs w:val="22"/>
                <w:lang w:eastAsia="it-IT"/>
              </w:rPr>
              <w:t>,</w:t>
            </w:r>
            <w:r w:rsidR="00FA5F5F" w:rsidRPr="000A5D73">
              <w:rPr>
                <w:rFonts w:cs="Arial"/>
                <w:b/>
                <w:bCs/>
                <w:i/>
                <w:iCs/>
                <w:color w:val="000066"/>
                <w:sz w:val="22"/>
                <w:szCs w:val="22"/>
                <w:lang w:eastAsia="it-IT"/>
              </w:rPr>
              <w:t xml:space="preserve"> </w:t>
            </w:r>
            <w:r w:rsidR="0030152C" w:rsidRPr="000A5D73">
              <w:rPr>
                <w:rFonts w:cs="Arial"/>
                <w:b/>
                <w:bCs/>
                <w:i/>
                <w:iCs/>
                <w:color w:val="000066"/>
                <w:sz w:val="22"/>
                <w:szCs w:val="22"/>
                <w:lang w:eastAsia="it-IT"/>
              </w:rPr>
              <w:t>202</w:t>
            </w:r>
            <w:r w:rsidR="00AD0278" w:rsidRPr="000A5D73">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0A5D73" w:rsidRDefault="000A03B2" w:rsidP="00CD5FE2">
            <w:pPr>
              <w:spacing w:line="140" w:lineRule="atLeast"/>
              <w:jc w:val="right"/>
              <w:rPr>
                <w:rFonts w:cs="Arial"/>
                <w:sz w:val="14"/>
                <w:szCs w:val="14"/>
              </w:rPr>
            </w:pPr>
            <w:r w:rsidRPr="000A5D73">
              <w:rPr>
                <w:rFonts w:cs="Arial"/>
                <w:sz w:val="14"/>
                <w:szCs w:val="14"/>
              </w:rPr>
              <w:t>A publication of</w:t>
            </w:r>
          </w:p>
          <w:p w14:paraId="599E5441" w14:textId="77777777" w:rsidR="000A03B2" w:rsidRPr="000A5D73" w:rsidRDefault="000A03B2" w:rsidP="00CD5FE2">
            <w:pPr>
              <w:jc w:val="right"/>
            </w:pPr>
            <w:r w:rsidRPr="000A5D73">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0A5D73" w14:paraId="380FA3CD" w14:textId="77777777" w:rsidTr="02836CD0">
        <w:trPr>
          <w:trHeight w:val="567"/>
          <w:jc w:val="center"/>
        </w:trPr>
        <w:tc>
          <w:tcPr>
            <w:tcW w:w="6946" w:type="dxa"/>
            <w:vMerge/>
          </w:tcPr>
          <w:p w14:paraId="39E5E4C1" w14:textId="77777777" w:rsidR="000A03B2" w:rsidRPr="000A5D73"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0A5D73" w:rsidRDefault="000A03B2" w:rsidP="00CD5FE2">
            <w:pPr>
              <w:spacing w:line="140" w:lineRule="atLeast"/>
              <w:jc w:val="right"/>
              <w:rPr>
                <w:rFonts w:cs="Arial"/>
                <w:sz w:val="14"/>
                <w:szCs w:val="14"/>
              </w:rPr>
            </w:pPr>
            <w:r w:rsidRPr="000A5D73">
              <w:rPr>
                <w:rFonts w:cs="Arial"/>
                <w:sz w:val="14"/>
                <w:szCs w:val="14"/>
              </w:rPr>
              <w:t>The Italian Association</w:t>
            </w:r>
          </w:p>
          <w:p w14:paraId="7522B1D2" w14:textId="77777777" w:rsidR="000A03B2" w:rsidRPr="000A5D73" w:rsidRDefault="000A03B2" w:rsidP="00CD5FE2">
            <w:pPr>
              <w:spacing w:line="140" w:lineRule="atLeast"/>
              <w:jc w:val="right"/>
              <w:rPr>
                <w:rFonts w:cs="Arial"/>
                <w:sz w:val="14"/>
                <w:szCs w:val="14"/>
              </w:rPr>
            </w:pPr>
            <w:r w:rsidRPr="000A5D73">
              <w:rPr>
                <w:rFonts w:cs="Arial"/>
                <w:sz w:val="14"/>
                <w:szCs w:val="14"/>
              </w:rPr>
              <w:t>of Chemical Engineering</w:t>
            </w:r>
          </w:p>
          <w:p w14:paraId="4F0CC5DE" w14:textId="47FDB2FC" w:rsidR="000A03B2" w:rsidRPr="000A5D73" w:rsidRDefault="000D0268" w:rsidP="00CD5FE2">
            <w:pPr>
              <w:spacing w:line="140" w:lineRule="atLeast"/>
              <w:jc w:val="right"/>
              <w:rPr>
                <w:rFonts w:cs="Arial"/>
                <w:sz w:val="13"/>
                <w:szCs w:val="13"/>
              </w:rPr>
            </w:pPr>
            <w:r w:rsidRPr="000A5D73">
              <w:rPr>
                <w:rFonts w:cs="Arial"/>
                <w:sz w:val="13"/>
                <w:szCs w:val="13"/>
              </w:rPr>
              <w:t>Online at www.cetjournal.it</w:t>
            </w:r>
          </w:p>
        </w:tc>
      </w:tr>
      <w:tr w:rsidR="000A03B2" w:rsidRPr="000A5D73" w14:paraId="2D1B7169" w14:textId="77777777" w:rsidTr="02836CD0">
        <w:trPr>
          <w:trHeight w:val="68"/>
          <w:jc w:val="center"/>
        </w:trPr>
        <w:tc>
          <w:tcPr>
            <w:tcW w:w="8789" w:type="dxa"/>
            <w:gridSpan w:val="2"/>
          </w:tcPr>
          <w:p w14:paraId="1D8DD3C9" w14:textId="354DD23C" w:rsidR="00AA7D26" w:rsidRPr="000A5D73" w:rsidRDefault="004A5E57" w:rsidP="004A5E57">
            <w:pPr>
              <w:ind w:left="-107"/>
              <w:outlineLvl w:val="2"/>
              <w:rPr>
                <w:rFonts w:ascii="Tahoma" w:hAnsi="Tahoma" w:cs="Tahoma"/>
                <w:bCs/>
                <w:color w:val="000000"/>
                <w:sz w:val="14"/>
                <w:szCs w:val="14"/>
                <w:lang w:val="it-IT" w:eastAsia="it-IT"/>
              </w:rPr>
            </w:pPr>
            <w:r w:rsidRPr="000A5D73">
              <w:rPr>
                <w:rFonts w:ascii="Tahoma" w:hAnsi="Tahoma" w:cs="Tahoma"/>
                <w:iCs/>
                <w:color w:val="333333"/>
                <w:sz w:val="14"/>
                <w:szCs w:val="14"/>
                <w:lang w:val="it-IT" w:eastAsia="it-IT"/>
              </w:rPr>
              <w:t>Guest Editors:</w:t>
            </w:r>
            <w:r w:rsidRPr="000A5D73">
              <w:rPr>
                <w:rFonts w:ascii="Tahoma" w:hAnsi="Tahoma" w:cs="Tahoma"/>
                <w:color w:val="000000"/>
                <w:sz w:val="14"/>
                <w:szCs w:val="14"/>
                <w:shd w:val="clear" w:color="auto" w:fill="FFFFFF"/>
                <w:lang w:val="it-IT"/>
              </w:rPr>
              <w:t xml:space="preserve"> </w:t>
            </w:r>
            <w:r w:rsidR="00550D01" w:rsidRPr="000A5D73">
              <w:rPr>
                <w:rFonts w:ascii="Tahoma" w:hAnsi="Tahoma" w:cs="Tahoma"/>
                <w:color w:val="000000"/>
                <w:sz w:val="14"/>
                <w:szCs w:val="14"/>
                <w:shd w:val="clear" w:color="auto" w:fill="FFFFFF"/>
                <w:lang w:val="it-IT"/>
              </w:rPr>
              <w:t>Laura Capelli, Marzio Invernizzi, Selena Sironi</w:t>
            </w:r>
          </w:p>
          <w:p w14:paraId="1B0F1814" w14:textId="710B7B96" w:rsidR="000A03B2" w:rsidRPr="000A5D73" w:rsidRDefault="00AA7D26" w:rsidP="00AA7D26">
            <w:pPr>
              <w:tabs>
                <w:tab w:val="left" w:pos="-108"/>
              </w:tabs>
              <w:spacing w:line="140" w:lineRule="atLeast"/>
              <w:ind w:left="-107"/>
              <w:jc w:val="left"/>
            </w:pPr>
            <w:r w:rsidRPr="000A5D73">
              <w:rPr>
                <w:rFonts w:ascii="Tahoma" w:hAnsi="Tahoma" w:cs="Tahoma"/>
                <w:iCs/>
                <w:color w:val="333333"/>
                <w:sz w:val="14"/>
                <w:szCs w:val="14"/>
                <w:lang w:eastAsia="it-IT"/>
              </w:rPr>
              <w:t>Copyright © 202</w:t>
            </w:r>
            <w:r w:rsidR="00005884" w:rsidRPr="000A5D73">
              <w:rPr>
                <w:rFonts w:ascii="Tahoma" w:hAnsi="Tahoma" w:cs="Tahoma"/>
                <w:iCs/>
                <w:color w:val="333333"/>
                <w:sz w:val="14"/>
                <w:szCs w:val="14"/>
                <w:lang w:eastAsia="it-IT"/>
              </w:rPr>
              <w:t>6</w:t>
            </w:r>
            <w:r w:rsidRPr="000A5D73">
              <w:rPr>
                <w:rFonts w:ascii="Tahoma" w:hAnsi="Tahoma" w:cs="Tahoma"/>
                <w:iCs/>
                <w:color w:val="333333"/>
                <w:sz w:val="14"/>
                <w:szCs w:val="14"/>
                <w:lang w:eastAsia="it-IT"/>
              </w:rPr>
              <w:t xml:space="preserve">, AIDIC Servizi </w:t>
            </w:r>
            <w:proofErr w:type="spellStart"/>
            <w:r w:rsidRPr="000A5D73">
              <w:rPr>
                <w:rFonts w:ascii="Tahoma" w:hAnsi="Tahoma" w:cs="Tahoma"/>
                <w:iCs/>
                <w:color w:val="333333"/>
                <w:sz w:val="14"/>
                <w:szCs w:val="14"/>
                <w:lang w:eastAsia="it-IT"/>
              </w:rPr>
              <w:t>S.r.l</w:t>
            </w:r>
            <w:proofErr w:type="spellEnd"/>
            <w:r w:rsidRPr="000A5D73">
              <w:rPr>
                <w:rFonts w:ascii="Tahoma" w:hAnsi="Tahoma" w:cs="Tahoma"/>
                <w:iCs/>
                <w:color w:val="333333"/>
                <w:sz w:val="14"/>
                <w:szCs w:val="14"/>
                <w:lang w:eastAsia="it-IT"/>
              </w:rPr>
              <w:t>.</w:t>
            </w:r>
            <w:r w:rsidRPr="000A5D73">
              <w:rPr>
                <w:rFonts w:ascii="Tahoma" w:hAnsi="Tahoma" w:cs="Tahoma"/>
                <w:iCs/>
                <w:color w:val="333333"/>
                <w:sz w:val="14"/>
                <w:szCs w:val="14"/>
                <w:lang w:eastAsia="it-IT"/>
              </w:rPr>
              <w:br/>
            </w:r>
            <w:r w:rsidRPr="000A5D73">
              <w:rPr>
                <w:rFonts w:ascii="Tahoma" w:hAnsi="Tahoma" w:cs="Tahoma"/>
                <w:b/>
                <w:iCs/>
                <w:color w:val="000000"/>
                <w:sz w:val="14"/>
                <w:szCs w:val="14"/>
                <w:lang w:eastAsia="it-IT"/>
              </w:rPr>
              <w:t>ISBN</w:t>
            </w:r>
            <w:r w:rsidRPr="000A5D73">
              <w:rPr>
                <w:rFonts w:ascii="Tahoma" w:hAnsi="Tahoma" w:cs="Tahoma"/>
                <w:iCs/>
                <w:color w:val="000000"/>
                <w:sz w:val="14"/>
                <w:szCs w:val="14"/>
                <w:lang w:eastAsia="it-IT"/>
              </w:rPr>
              <w:t xml:space="preserve"> </w:t>
            </w:r>
            <w:r w:rsidR="00D2582C" w:rsidRPr="000A5D73">
              <w:rPr>
                <w:rFonts w:ascii="Tahoma" w:hAnsi="Tahoma" w:cs="Tahoma"/>
                <w:sz w:val="14"/>
                <w:szCs w:val="14"/>
              </w:rPr>
              <w:t>979-12-81206-</w:t>
            </w:r>
            <w:r w:rsidR="00005884" w:rsidRPr="000A5D73">
              <w:rPr>
                <w:rFonts w:ascii="Tahoma" w:hAnsi="Tahoma" w:cs="Tahoma"/>
                <w:sz w:val="14"/>
                <w:szCs w:val="14"/>
              </w:rPr>
              <w:t>xx</w:t>
            </w:r>
            <w:r w:rsidR="009041F8" w:rsidRPr="000A5D73">
              <w:rPr>
                <w:rFonts w:ascii="Tahoma" w:hAnsi="Tahoma" w:cs="Tahoma"/>
                <w:sz w:val="14"/>
                <w:szCs w:val="14"/>
              </w:rPr>
              <w:t>-</w:t>
            </w:r>
            <w:r w:rsidR="00005884" w:rsidRPr="000A5D73">
              <w:rPr>
                <w:rFonts w:ascii="Tahoma" w:hAnsi="Tahoma" w:cs="Tahoma"/>
                <w:sz w:val="14"/>
                <w:szCs w:val="14"/>
              </w:rPr>
              <w:t>x</w:t>
            </w:r>
            <w:r w:rsidRPr="000A5D73">
              <w:rPr>
                <w:rFonts w:ascii="Tahoma" w:hAnsi="Tahoma" w:cs="Tahoma"/>
                <w:iCs/>
                <w:color w:val="333333"/>
                <w:sz w:val="14"/>
                <w:szCs w:val="14"/>
                <w:lang w:eastAsia="it-IT"/>
              </w:rPr>
              <w:t xml:space="preserve">; </w:t>
            </w:r>
            <w:r w:rsidRPr="000A5D73">
              <w:rPr>
                <w:rFonts w:ascii="Tahoma" w:hAnsi="Tahoma" w:cs="Tahoma"/>
                <w:b/>
                <w:iCs/>
                <w:color w:val="333333"/>
                <w:sz w:val="14"/>
                <w:szCs w:val="14"/>
                <w:lang w:eastAsia="it-IT"/>
              </w:rPr>
              <w:t>ISSN</w:t>
            </w:r>
            <w:r w:rsidRPr="000A5D73">
              <w:rPr>
                <w:rFonts w:ascii="Tahoma" w:hAnsi="Tahoma" w:cs="Tahoma"/>
                <w:iCs/>
                <w:color w:val="333333"/>
                <w:sz w:val="14"/>
                <w:szCs w:val="14"/>
                <w:lang w:eastAsia="it-IT"/>
              </w:rPr>
              <w:t xml:space="preserve"> 2283-9216</w:t>
            </w:r>
          </w:p>
        </w:tc>
      </w:tr>
    </w:tbl>
    <w:bookmarkEnd w:id="0"/>
    <w:p w14:paraId="7BBAB03A" w14:textId="5A6F8864" w:rsidR="00E63A85" w:rsidRPr="000A5D73" w:rsidRDefault="00E63A85" w:rsidP="00DD17C9">
      <w:pPr>
        <w:pStyle w:val="CETTitle"/>
      </w:pPr>
      <w:r w:rsidRPr="000A5D73">
        <w:t>eNose Technolog</w:t>
      </w:r>
      <w:r w:rsidR="00DD17C9" w:rsidRPr="000A5D73">
        <w:t>y: Advantages and Operational Benefits in Refinery Applications</w:t>
      </w:r>
    </w:p>
    <w:p w14:paraId="25034514" w14:textId="77777777" w:rsidR="003F651B" w:rsidRPr="000A5D73" w:rsidRDefault="003F651B" w:rsidP="003F651B">
      <w:pPr>
        <w:pStyle w:val="CETAuthors"/>
        <w:rPr>
          <w:lang w:val="it-IT"/>
        </w:rPr>
      </w:pPr>
      <w:r w:rsidRPr="000A5D73">
        <w:rPr>
          <w:lang w:val="it-IT"/>
        </w:rPr>
        <w:t>Michele Antonino Ilacqua</w:t>
      </w:r>
      <w:r w:rsidRPr="000A5D73">
        <w:rPr>
          <w:vertAlign w:val="superscript"/>
          <w:lang w:val="it-IT"/>
        </w:rPr>
        <w:t>a</w:t>
      </w:r>
      <w:r w:rsidRPr="000A5D73">
        <w:rPr>
          <w:lang w:val="it-IT"/>
        </w:rPr>
        <w:t>, Nicoletta Lotrecchiano</w:t>
      </w:r>
      <w:r w:rsidRPr="000A5D73">
        <w:rPr>
          <w:vertAlign w:val="superscript"/>
          <w:lang w:val="it-IT"/>
        </w:rPr>
        <w:t>a,</w:t>
      </w:r>
      <w:r w:rsidRPr="000A5D73">
        <w:rPr>
          <w:lang w:val="it-IT"/>
        </w:rPr>
        <w:t>*, Angelo Pecci</w:t>
      </w:r>
      <w:r w:rsidRPr="000A5D73">
        <w:rPr>
          <w:vertAlign w:val="superscript"/>
          <w:lang w:val="it-IT"/>
        </w:rPr>
        <w:t>a</w:t>
      </w:r>
      <w:r w:rsidRPr="000A5D73">
        <w:rPr>
          <w:lang w:val="it-IT"/>
        </w:rPr>
        <w:t>, Nicola Zappimbulso</w:t>
      </w:r>
      <w:r w:rsidRPr="000A5D73">
        <w:rPr>
          <w:vertAlign w:val="superscript"/>
          <w:lang w:val="it-IT"/>
        </w:rPr>
        <w:t>a</w:t>
      </w:r>
      <w:r w:rsidRPr="000A5D73">
        <w:rPr>
          <w:lang w:val="it-IT"/>
        </w:rPr>
        <w:t>, Fabio Ferranti</w:t>
      </w:r>
      <w:r w:rsidRPr="000A5D73">
        <w:rPr>
          <w:vertAlign w:val="superscript"/>
          <w:lang w:val="it-IT"/>
        </w:rPr>
        <w:t>a</w:t>
      </w:r>
    </w:p>
    <w:p w14:paraId="62A5B5E7" w14:textId="77777777" w:rsidR="00AE386C" w:rsidRPr="000A5D73" w:rsidRDefault="00AE386C" w:rsidP="00AE386C">
      <w:pPr>
        <w:pStyle w:val="CETAddress"/>
        <w:jc w:val="both"/>
      </w:pPr>
      <w:r w:rsidRPr="000A5D73">
        <w:rPr>
          <w:vertAlign w:val="superscript"/>
        </w:rPr>
        <w:t xml:space="preserve">a </w:t>
      </w:r>
      <w:r w:rsidRPr="000A5D73">
        <w:t xml:space="preserve">Department of Environmental Assessment, Controls and Sustainability Service for Risks and Environmental Sustainability of Technologies, Chemical Substances, Production Cycles and Water Services and for Inspection Activities, ISPRA - Institute for Environmental Protection and Research, Via V. Brancati 48, 00144 Rome, Italy </w:t>
      </w:r>
    </w:p>
    <w:p w14:paraId="0A403B62" w14:textId="7EAFF122" w:rsidR="00AE386C" w:rsidRPr="000A5D73" w:rsidRDefault="00AE386C" w:rsidP="00AE386C">
      <w:pPr>
        <w:pStyle w:val="CETemail"/>
        <w:jc w:val="both"/>
      </w:pPr>
      <w:r w:rsidRPr="000A5D73">
        <w:t>nicoletta.lotrecchiano@isprambiente.it</w:t>
      </w:r>
    </w:p>
    <w:p w14:paraId="7ED746CC" w14:textId="414729A3" w:rsidR="005B6B47" w:rsidRPr="000A5D73" w:rsidRDefault="005B6B47" w:rsidP="005B6B47">
      <w:pPr>
        <w:pStyle w:val="CETnumberingbullets"/>
        <w:numPr>
          <w:ilvl w:val="0"/>
          <w:numId w:val="0"/>
        </w:numPr>
        <w:jc w:val="both"/>
      </w:pPr>
      <w:bookmarkStart w:id="1" w:name="_Hlk495475023"/>
      <w:r w:rsidRPr="000A5D73">
        <w:t>Odour emissions represent a significant environmental and social challenge for refineries and chemical plants operating under the Industrial Emissions Directive (IED)</w:t>
      </w:r>
      <w:r w:rsidR="00E44FBE" w:rsidRPr="000A5D73">
        <w:t xml:space="preserve"> </w:t>
      </w:r>
      <w:r w:rsidR="00F078AA">
        <w:t>which</w:t>
      </w:r>
      <w:r w:rsidR="00F078AA" w:rsidRPr="000A5D73">
        <w:t xml:space="preserve"> </w:t>
      </w:r>
      <w:r w:rsidRPr="000A5D73">
        <w:t>often handle volatile organic compounds and many other odorous substances that, even at low concentrations, can lead to nuisance and complaints from surrounding communities.</w:t>
      </w:r>
      <w:r w:rsidR="00A80066" w:rsidRPr="000A5D73">
        <w:t xml:space="preserve"> </w:t>
      </w:r>
      <w:r w:rsidRPr="000A5D73">
        <w:t>The IED requires installations to apply Best Available Techniques (BAT) to prevent or, where that is not practicable, to reduce emissions, including odours. The BAT Conclusions for the refining and chemical sectors emphasize integrated approaches such as improved process control, optimized storage and handling of raw materials, and the adoption of advanced abatement technologies.</w:t>
      </w:r>
    </w:p>
    <w:p w14:paraId="30AEB5D9" w14:textId="6133C7A9" w:rsidR="005B6B47" w:rsidRPr="000A5D73" w:rsidRDefault="005B6B47" w:rsidP="005B6B47">
      <w:pPr>
        <w:pStyle w:val="CETnumberingbullets"/>
        <w:numPr>
          <w:ilvl w:val="0"/>
          <w:numId w:val="0"/>
        </w:numPr>
        <w:jc w:val="both"/>
      </w:pPr>
      <w:r w:rsidRPr="000A5D73">
        <w:t xml:space="preserve">Italy has implemented the provisions of the IED through the Directorial Decree n. 309/2023, which defines the guidelines for odour emissions from plants and activities, giving effect to article 272-bis of </w:t>
      </w:r>
      <w:proofErr w:type="spellStart"/>
      <w:proofErr w:type="gramStart"/>
      <w:r w:rsidR="002E6EE1" w:rsidRPr="000A5D73">
        <w:t>D.Lgs</w:t>
      </w:r>
      <w:proofErr w:type="spellEnd"/>
      <w:proofErr w:type="gramEnd"/>
      <w:r w:rsidR="002E6EE1" w:rsidRPr="000A5D73">
        <w:t>.</w:t>
      </w:r>
      <w:r w:rsidRPr="000A5D73">
        <w:t xml:space="preserve"> 152/2006. In Annex 5, the decree defines the application fields of Instrumental Odo</w:t>
      </w:r>
      <w:r w:rsidR="001466DD">
        <w:t>u</w:t>
      </w:r>
      <w:r w:rsidRPr="000A5D73">
        <w:t>r Monitoring Systems - IOMS</w:t>
      </w:r>
      <w:r w:rsidR="00951067">
        <w:t xml:space="preserve"> (i.e. </w:t>
      </w:r>
      <w:r w:rsidR="00951067" w:rsidRPr="000A5D73">
        <w:t>electronic noses</w:t>
      </w:r>
      <w:r w:rsidR="00951067">
        <w:t>)</w:t>
      </w:r>
      <w:r w:rsidRPr="000A5D73">
        <w:t>, for which the reference technical standard is UNI EN 11761.</w:t>
      </w:r>
    </w:p>
    <w:p w14:paraId="75CA8202" w14:textId="62B1048B" w:rsidR="005B6B47" w:rsidRPr="000A5D73" w:rsidRDefault="007B07FB" w:rsidP="005B6B47">
      <w:pPr>
        <w:pStyle w:val="CETnumberingbullets"/>
        <w:numPr>
          <w:ilvl w:val="0"/>
          <w:numId w:val="0"/>
        </w:numPr>
        <w:jc w:val="both"/>
      </w:pPr>
      <w:r>
        <w:t>IOMS</w:t>
      </w:r>
      <w:r w:rsidR="005B6B47" w:rsidRPr="000A5D73">
        <w:t xml:space="preserve"> have recently become widely used as continuous odour monitoring tools</w:t>
      </w:r>
      <w:r w:rsidR="00760AAF" w:rsidRPr="000A5D73">
        <w:t xml:space="preserve">; </w:t>
      </w:r>
      <w:r w:rsidR="005B6B47" w:rsidRPr="000A5D73">
        <w:t xml:space="preserve">after an appropriate training period, can detect any changes </w:t>
      </w:r>
      <w:r w:rsidR="00B60201">
        <w:t>of</w:t>
      </w:r>
      <w:r w:rsidR="00B60201" w:rsidRPr="000A5D73">
        <w:t xml:space="preserve"> </w:t>
      </w:r>
      <w:r w:rsidR="005B6B47" w:rsidRPr="000A5D73">
        <w:t xml:space="preserve">air composition, including </w:t>
      </w:r>
      <w:r w:rsidR="008223C0">
        <w:t xml:space="preserve">the presence of </w:t>
      </w:r>
      <w:r w:rsidR="005B6B47" w:rsidRPr="000A5D73">
        <w:t>odorous compounds.</w:t>
      </w:r>
    </w:p>
    <w:p w14:paraId="37A61FCE" w14:textId="3501D7CB" w:rsidR="00DA24C6" w:rsidRPr="000A5D73" w:rsidRDefault="005B6B47" w:rsidP="005B6B47">
      <w:pPr>
        <w:pStyle w:val="CETnumberingbullets"/>
        <w:numPr>
          <w:ilvl w:val="0"/>
          <w:numId w:val="0"/>
        </w:numPr>
        <w:jc w:val="both"/>
      </w:pPr>
      <w:r w:rsidRPr="000A5D73">
        <w:t xml:space="preserve">This study analyses </w:t>
      </w:r>
      <w:r w:rsidR="00762617">
        <w:t xml:space="preserve">electronic </w:t>
      </w:r>
      <w:r w:rsidR="00865FB1" w:rsidRPr="000A5D73">
        <w:t>Noses</w:t>
      </w:r>
      <w:r w:rsidR="00762617">
        <w:t xml:space="preserve"> - eNoses</w:t>
      </w:r>
      <w:r w:rsidRPr="000A5D73">
        <w:t xml:space="preserve"> networks installed in </w:t>
      </w:r>
      <w:r w:rsidR="00BA141E">
        <w:t>Italian</w:t>
      </w:r>
      <w:r w:rsidRPr="000A5D73">
        <w:t xml:space="preserve"> refineries, highlighting how these instruments can detect any </w:t>
      </w:r>
      <w:r w:rsidR="00EA1621" w:rsidRPr="000A5D73">
        <w:t xml:space="preserve">real time </w:t>
      </w:r>
      <w:r w:rsidRPr="000A5D73">
        <w:t xml:space="preserve">changes in odorous emissions, activating process control to restore the </w:t>
      </w:r>
      <w:r w:rsidR="00B045D6">
        <w:t>normal operating</w:t>
      </w:r>
      <w:r w:rsidR="00B045D6" w:rsidRPr="000A5D73">
        <w:t xml:space="preserve"> </w:t>
      </w:r>
      <w:r w:rsidRPr="000A5D73">
        <w:t>conditions.</w:t>
      </w:r>
      <w:bookmarkEnd w:id="1"/>
    </w:p>
    <w:p w14:paraId="476B2F2E" w14:textId="77777777" w:rsidR="00600535" w:rsidRPr="000A5D73" w:rsidRDefault="00600535" w:rsidP="00600535">
      <w:pPr>
        <w:pStyle w:val="CETHeading1"/>
        <w:rPr>
          <w:lang w:val="en-GB"/>
        </w:rPr>
      </w:pPr>
      <w:r w:rsidRPr="000A5D73">
        <w:rPr>
          <w:lang w:val="en-GB"/>
        </w:rPr>
        <w:t>Introduction</w:t>
      </w:r>
    </w:p>
    <w:p w14:paraId="7426E6EF" w14:textId="25D76218" w:rsidR="00AF67BD" w:rsidRPr="000A5D73" w:rsidRDefault="0083677C" w:rsidP="007B687D">
      <w:pPr>
        <w:pStyle w:val="CETnumberingbullets"/>
        <w:numPr>
          <w:ilvl w:val="0"/>
          <w:numId w:val="0"/>
        </w:numPr>
        <w:jc w:val="both"/>
      </w:pPr>
      <w:r>
        <w:t xml:space="preserve">Since the full implementation </w:t>
      </w:r>
      <w:r w:rsidR="000F1020">
        <w:t>of the European IED</w:t>
      </w:r>
      <w:r>
        <w:t xml:space="preserve"> Directive</w:t>
      </w:r>
      <w:r w:rsidR="00AF67BD" w:rsidRPr="000A5D73">
        <w:t xml:space="preserve">, there has been a growing focus on odour emissions, both in terms of regulatory requirements and in response to reports from residents living </w:t>
      </w:r>
      <w:r w:rsidR="00A00796" w:rsidRPr="000A5D73">
        <w:t>in the industrial plant neighbourhood</w:t>
      </w:r>
      <w:r w:rsidR="00AF67BD" w:rsidRPr="000A5D73">
        <w:t>. In this context, odour measurement is a key tool for assessing environmental impact, verifying compliance with regulatory requirements and developing mitigation strategies.</w:t>
      </w:r>
    </w:p>
    <w:p w14:paraId="566DC9B9" w14:textId="0037B4FC" w:rsidR="007B687D" w:rsidRPr="000A5D73" w:rsidRDefault="007B687D" w:rsidP="007B687D">
      <w:pPr>
        <w:pStyle w:val="CETnumberingbullets"/>
        <w:numPr>
          <w:ilvl w:val="0"/>
          <w:numId w:val="0"/>
        </w:numPr>
        <w:jc w:val="both"/>
      </w:pPr>
      <w:r w:rsidRPr="000A5D73">
        <w:t xml:space="preserve">The </w:t>
      </w:r>
      <w:r w:rsidR="00E2446D" w:rsidRPr="000A5D73">
        <w:t xml:space="preserve">European </w:t>
      </w:r>
      <w:r w:rsidR="00E2446D" w:rsidRPr="000A5D73">
        <w:rPr>
          <w:color w:val="000000" w:themeColor="text1"/>
        </w:rPr>
        <w:t>Decision 2014/738/EU</w:t>
      </w:r>
      <w:r w:rsidR="00E2446D" w:rsidRPr="000A5D73">
        <w:t xml:space="preserve"> on </w:t>
      </w:r>
      <w:r w:rsidRPr="000A5D73">
        <w:t xml:space="preserve">BAT Conclusions for the refining </w:t>
      </w:r>
      <w:r w:rsidR="00487D7C" w:rsidRPr="000A5D73">
        <w:t>oil and gas</w:t>
      </w:r>
      <w:r w:rsidR="00555048" w:rsidRPr="000A5D73">
        <w:t>,</w:t>
      </w:r>
      <w:r w:rsidR="007A7FFE" w:rsidRPr="000A5D73">
        <w:t xml:space="preserve"> </w:t>
      </w:r>
      <w:r w:rsidRPr="000A5D73">
        <w:t xml:space="preserve">provide specific guidance on odorous streams monitoring, containment, and treatment. </w:t>
      </w:r>
      <w:r w:rsidR="00AF64D7" w:rsidRPr="000A5D73">
        <w:t xml:space="preserve">BATs </w:t>
      </w:r>
      <w:r w:rsidRPr="000A5D73">
        <w:t>emphasize integrated approaches such as improved process control, optimized storage and handling of raw materials, and the adoption of advanced abatement technologies</w:t>
      </w:r>
      <w:r w:rsidR="00AF64D7" w:rsidRPr="000A5D73">
        <w:t xml:space="preserve"> (</w:t>
      </w:r>
      <w:r w:rsidR="00555048" w:rsidRPr="000A5D73">
        <w:t>European Parliament, 2014)</w:t>
      </w:r>
      <w:r w:rsidRPr="000A5D73">
        <w:t>.</w:t>
      </w:r>
    </w:p>
    <w:p w14:paraId="415F2AAC" w14:textId="097C480C" w:rsidR="009030A9" w:rsidRPr="000A5D73" w:rsidRDefault="009030A9" w:rsidP="009030A9">
      <w:pPr>
        <w:pStyle w:val="CETnumberingbullets"/>
        <w:numPr>
          <w:ilvl w:val="0"/>
          <w:numId w:val="0"/>
        </w:numPr>
        <w:jc w:val="both"/>
      </w:pPr>
      <w:r w:rsidRPr="000A5D73">
        <w:t xml:space="preserve">Recent technological </w:t>
      </w:r>
      <w:r w:rsidR="00F433CF">
        <w:t>evolution</w:t>
      </w:r>
      <w:r w:rsidR="00F433CF" w:rsidRPr="000A5D73">
        <w:t xml:space="preserve"> </w:t>
      </w:r>
      <w:r w:rsidR="00C437A2" w:rsidRPr="000A5D73">
        <w:t>has</w:t>
      </w:r>
      <w:r w:rsidRPr="000A5D73">
        <w:t xml:space="preserve"> enabled the development of </w:t>
      </w:r>
      <w:r w:rsidR="00396DAC" w:rsidRPr="000A5D73">
        <w:t>Instrumental Odo</w:t>
      </w:r>
      <w:r w:rsidR="00396DAC">
        <w:t>u</w:t>
      </w:r>
      <w:r w:rsidR="00396DAC" w:rsidRPr="000A5D73">
        <w:t>r Monitoring Systems</w:t>
      </w:r>
      <w:r w:rsidR="00396DAC">
        <w:t xml:space="preserve"> </w:t>
      </w:r>
      <w:r w:rsidR="00F12195">
        <w:t>–</w:t>
      </w:r>
      <w:r w:rsidR="00396DAC">
        <w:t xml:space="preserve"> IOMS</w:t>
      </w:r>
      <w:r w:rsidR="00F12195">
        <w:t xml:space="preserve"> (eNose)</w:t>
      </w:r>
      <w:r w:rsidR="00396DAC" w:rsidRPr="000A5D73">
        <w:t xml:space="preserve"> </w:t>
      </w:r>
      <w:r w:rsidRPr="000A5D73">
        <w:t xml:space="preserve">for the continuous monitoring of </w:t>
      </w:r>
      <w:r w:rsidR="007B687D" w:rsidRPr="000A5D73">
        <w:t>odour</w:t>
      </w:r>
      <w:r w:rsidRPr="000A5D73">
        <w:t xml:space="preserve"> compounds.</w:t>
      </w:r>
      <w:r w:rsidR="00EA12C3">
        <w:t xml:space="preserve"> IOMS (eNoses)</w:t>
      </w:r>
      <w:r w:rsidRPr="000A5D73">
        <w:t xml:space="preserve">, are tools that work similarly to the human olfactory system. They can detect the odour fallout (emission) at sensitive receptors located at a certain distance from a production facility. Different </w:t>
      </w:r>
      <w:r w:rsidR="00E5040B">
        <w:t xml:space="preserve">commercial </w:t>
      </w:r>
      <w:r w:rsidR="00EA12C3">
        <w:t>IOMS</w:t>
      </w:r>
      <w:r w:rsidRPr="000A5D73">
        <w:t xml:space="preserve"> trained to recognize the characteristic odours of </w:t>
      </w:r>
      <w:r w:rsidR="00E5040B">
        <w:t>complex industrial</w:t>
      </w:r>
      <w:r w:rsidR="00E5040B" w:rsidRPr="000A5D73">
        <w:t xml:space="preserve"> </w:t>
      </w:r>
      <w:r w:rsidRPr="000A5D73">
        <w:t>plants considered on the territory, are particularly useful to determine which source has the greatest impact on a specific receptor.</w:t>
      </w:r>
      <w:r w:rsidR="00BA141E">
        <w:t xml:space="preserve"> </w:t>
      </w:r>
      <w:r w:rsidRPr="000A5D73">
        <w:t xml:space="preserve">The remote system performs real-time processing of </w:t>
      </w:r>
      <w:r w:rsidR="00EA12C3">
        <w:t>IOMS</w:t>
      </w:r>
      <w:r w:rsidR="00EA12C3" w:rsidRPr="000A5D73">
        <w:t xml:space="preserve"> </w:t>
      </w:r>
      <w:r w:rsidRPr="000A5D73">
        <w:t>signal streams. An automated detection agent issues immediate alerts upon identification of deviations in air composition profiles indicative of odour events or gas-related safety hazards.</w:t>
      </w:r>
    </w:p>
    <w:p w14:paraId="0AEB3677" w14:textId="77777777" w:rsidR="00C437A2" w:rsidRDefault="000907F9" w:rsidP="00C437A2">
      <w:pPr>
        <w:pBdr>
          <w:top w:val="nil"/>
          <w:left w:val="nil"/>
          <w:bottom w:val="nil"/>
          <w:right w:val="nil"/>
          <w:between w:val="nil"/>
        </w:pBdr>
      </w:pPr>
      <w:r w:rsidRPr="00C437A2">
        <w:rPr>
          <w:rFonts w:eastAsia="Arial" w:cs="Arial"/>
          <w:color w:val="000000"/>
          <w:szCs w:val="18"/>
        </w:rPr>
        <w:lastRenderedPageBreak/>
        <w:t xml:space="preserve">Settimo and Avino (2024), </w:t>
      </w:r>
      <w:r w:rsidR="00E64C95" w:rsidRPr="00C437A2">
        <w:rPr>
          <w:rFonts w:eastAsia="Arial" w:cs="Arial"/>
          <w:color w:val="000000"/>
          <w:szCs w:val="18"/>
        </w:rPr>
        <w:t>review the state-of-art of the European legislation for the odour pollution determination and management</w:t>
      </w:r>
      <w:r w:rsidR="00E64C95">
        <w:rPr>
          <w:rFonts w:eastAsia="Arial" w:cs="Arial"/>
          <w:color w:val="000000"/>
          <w:szCs w:val="18"/>
        </w:rPr>
        <w:t xml:space="preserve"> </w:t>
      </w:r>
      <w:r w:rsidR="0008717A" w:rsidRPr="00C437A2">
        <w:rPr>
          <w:rFonts w:eastAsia="Arial" w:cs="Arial"/>
          <w:color w:val="000000"/>
          <w:szCs w:val="18"/>
        </w:rPr>
        <w:t>with a focus on the</w:t>
      </w:r>
      <w:r w:rsidR="00E64C95">
        <w:rPr>
          <w:rFonts w:eastAsia="Arial" w:cs="Arial"/>
          <w:color w:val="000000"/>
          <w:szCs w:val="18"/>
        </w:rPr>
        <w:t xml:space="preserve"> </w:t>
      </w:r>
      <w:r w:rsidR="0008717A" w:rsidRPr="0008717A">
        <w:rPr>
          <w:rFonts w:eastAsia="Arial" w:cs="Arial"/>
          <w:color w:val="000000"/>
          <w:szCs w:val="18"/>
        </w:rPr>
        <w:t xml:space="preserve">Italian </w:t>
      </w:r>
      <w:r w:rsidR="00201345">
        <w:rPr>
          <w:rFonts w:eastAsia="Arial" w:cs="Arial"/>
          <w:color w:val="000000"/>
          <w:szCs w:val="18"/>
        </w:rPr>
        <w:t>situation</w:t>
      </w:r>
      <w:r w:rsidR="00FE2D40">
        <w:rPr>
          <w:rFonts w:eastAsia="Arial" w:cs="Arial"/>
          <w:color w:val="000000"/>
          <w:szCs w:val="18"/>
        </w:rPr>
        <w:t xml:space="preserve">. </w:t>
      </w:r>
      <w:r w:rsidR="00A10695">
        <w:rPr>
          <w:rFonts w:eastAsia="Arial" w:cs="Arial"/>
          <w:color w:val="000000"/>
          <w:szCs w:val="18"/>
        </w:rPr>
        <w:t>In Italy, analysing</w:t>
      </w:r>
      <w:r w:rsidR="00AD6CB0">
        <w:rPr>
          <w:rFonts w:eastAsia="Arial" w:cs="Arial"/>
          <w:color w:val="000000"/>
          <w:szCs w:val="18"/>
        </w:rPr>
        <w:t xml:space="preserve"> the</w:t>
      </w:r>
      <w:r w:rsidR="00A10695">
        <w:rPr>
          <w:rFonts w:eastAsia="Arial" w:cs="Arial"/>
          <w:color w:val="000000"/>
          <w:szCs w:val="18"/>
        </w:rPr>
        <w:t xml:space="preserve"> </w:t>
      </w:r>
      <w:r w:rsidR="00AD6CB0" w:rsidRPr="000A5D73">
        <w:t>Integrated Environmental Authorization (IEA)</w:t>
      </w:r>
      <w:r w:rsidR="00ED6F26">
        <w:t>, currently, there are only three IOMS networks installed.</w:t>
      </w:r>
    </w:p>
    <w:p w14:paraId="5BEEF087" w14:textId="77777777" w:rsidR="009541D9" w:rsidRDefault="00545DEA" w:rsidP="00C437A2">
      <w:pPr>
        <w:pBdr>
          <w:top w:val="nil"/>
          <w:left w:val="nil"/>
          <w:bottom w:val="nil"/>
          <w:right w:val="nil"/>
          <w:between w:val="nil"/>
        </w:pBdr>
      </w:pPr>
      <w:r w:rsidRPr="00545DEA">
        <w:t xml:space="preserve">This study analyses </w:t>
      </w:r>
      <w:r>
        <w:t>IOMSs</w:t>
      </w:r>
      <w:r w:rsidRPr="00545DEA">
        <w:t xml:space="preserve"> network installed in </w:t>
      </w:r>
      <w:r>
        <w:t>Italian</w:t>
      </w:r>
      <w:r w:rsidRPr="00545DEA">
        <w:t xml:space="preserve"> refineries, highlighting how these </w:t>
      </w:r>
      <w:r w:rsidR="00726D91">
        <w:t>real-time monitoring instruments</w:t>
      </w:r>
      <w:r w:rsidRPr="00545DEA">
        <w:t xml:space="preserve"> can detect any changes in odorous emissions, activating </w:t>
      </w:r>
      <w:r w:rsidR="003E3C71">
        <w:t xml:space="preserve">internal </w:t>
      </w:r>
      <w:r w:rsidRPr="00545DEA">
        <w:t xml:space="preserve">process control to restore the </w:t>
      </w:r>
      <w:r w:rsidR="00CC5DF1">
        <w:t>normal operating</w:t>
      </w:r>
      <w:r w:rsidRPr="00545DEA">
        <w:t xml:space="preserve"> conditions.</w:t>
      </w:r>
    </w:p>
    <w:p w14:paraId="5741900F" w14:textId="788E573C" w:rsidR="00453E24" w:rsidRPr="000A5D73" w:rsidRDefault="008A65E0" w:rsidP="009541D9">
      <w:pPr>
        <w:pStyle w:val="CETHeading1"/>
      </w:pPr>
      <w:r w:rsidRPr="000A5D73">
        <w:t>Materials and Methods</w:t>
      </w:r>
    </w:p>
    <w:p w14:paraId="09406386" w14:textId="39695EE9" w:rsidR="00453E24" w:rsidRPr="000A5D73" w:rsidRDefault="00E44C4D" w:rsidP="00453E24">
      <w:pPr>
        <w:pStyle w:val="CETBodytext"/>
      </w:pPr>
      <w:r w:rsidRPr="000A5D73">
        <w:t>IOMS - Instrumental Odor Monitoring System</w:t>
      </w:r>
      <w:r w:rsidR="006C30CA" w:rsidRPr="000A5D73">
        <w:t xml:space="preserve"> </w:t>
      </w:r>
      <w:r w:rsidR="002428F5">
        <w:t>–</w:t>
      </w:r>
      <w:r w:rsidRPr="000A5D73">
        <w:t xml:space="preserve"> </w:t>
      </w:r>
      <w:r w:rsidR="0048441F">
        <w:t>defines</w:t>
      </w:r>
      <w:r w:rsidR="002428F5">
        <w:t xml:space="preserve"> </w:t>
      </w:r>
      <w:r w:rsidRPr="000A5D73">
        <w:t>any instrument capable of continuously monitoring air quality and producing an odor-related metric. It includes electronic noses</w:t>
      </w:r>
      <w:r w:rsidR="006C30CA" w:rsidRPr="000A5D73">
        <w:t xml:space="preserve"> – eNoses -</w:t>
      </w:r>
      <w:r w:rsidRPr="000A5D73">
        <w:t xml:space="preserve"> as well as monitoring instruments based on different operating principles, such as chemical analyzers and gas chromatography</w:t>
      </w:r>
      <w:r w:rsidR="0071602B" w:rsidRPr="000A5D73">
        <w:t xml:space="preserve"> (</w:t>
      </w:r>
      <w:r w:rsidR="00BD661E" w:rsidRPr="000A5D73">
        <w:t>Capelli et al., 2020</w:t>
      </w:r>
      <w:r w:rsidR="0071602B" w:rsidRPr="000A5D73">
        <w:t>)</w:t>
      </w:r>
      <w:r w:rsidRPr="000A5D73">
        <w:t>.</w:t>
      </w:r>
    </w:p>
    <w:p w14:paraId="0636B784" w14:textId="00EB725F" w:rsidR="00453E24" w:rsidRPr="000A5D73" w:rsidRDefault="001A3D5F" w:rsidP="00453E24">
      <w:pPr>
        <w:pStyle w:val="CETheadingx"/>
      </w:pPr>
      <w:r>
        <w:t xml:space="preserve">IOMS - </w:t>
      </w:r>
      <w:r w:rsidR="00FE5A92">
        <w:t>Electr</w:t>
      </w:r>
      <w:r w:rsidR="00A20906">
        <w:t>oni</w:t>
      </w:r>
      <w:r w:rsidR="00FE5A92">
        <w:t>c Nose</w:t>
      </w:r>
    </w:p>
    <w:p w14:paraId="0C82EC59" w14:textId="121A0F93" w:rsidR="00DC113E" w:rsidRPr="000A5D73" w:rsidRDefault="00A27EF6" w:rsidP="00DC113E">
      <w:pPr>
        <w:pStyle w:val="Paragrafoelenco"/>
        <w:pBdr>
          <w:top w:val="nil"/>
          <w:left w:val="nil"/>
          <w:bottom w:val="nil"/>
          <w:right w:val="nil"/>
          <w:between w:val="nil"/>
        </w:pBdr>
        <w:ind w:left="0"/>
        <w:rPr>
          <w:rFonts w:eastAsia="Arial" w:cs="Arial"/>
          <w:color w:val="000000"/>
          <w:szCs w:val="18"/>
        </w:rPr>
      </w:pPr>
      <w:r>
        <w:rPr>
          <w:rFonts w:eastAsia="Arial" w:cs="Arial"/>
          <w:color w:val="000000"/>
          <w:szCs w:val="18"/>
        </w:rPr>
        <w:t xml:space="preserve">IOMSs are defined </w:t>
      </w:r>
      <w:r w:rsidR="00A44F2C">
        <w:rPr>
          <w:rFonts w:eastAsia="Arial" w:cs="Arial"/>
          <w:color w:val="000000"/>
          <w:szCs w:val="18"/>
        </w:rPr>
        <w:t>according to</w:t>
      </w:r>
      <w:r>
        <w:rPr>
          <w:rFonts w:eastAsia="Arial" w:cs="Arial"/>
          <w:color w:val="000000"/>
          <w:szCs w:val="18"/>
        </w:rPr>
        <w:t xml:space="preserve"> the UNI EN 11</w:t>
      </w:r>
      <w:r w:rsidR="00AA0FBE">
        <w:rPr>
          <w:rFonts w:eastAsia="Arial" w:cs="Arial"/>
          <w:color w:val="000000"/>
          <w:szCs w:val="18"/>
        </w:rPr>
        <w:t>761:2019</w:t>
      </w:r>
      <w:r w:rsidR="00B3532D">
        <w:rPr>
          <w:rFonts w:eastAsia="Arial" w:cs="Arial"/>
          <w:color w:val="000000"/>
          <w:szCs w:val="18"/>
        </w:rPr>
        <w:t xml:space="preserve"> as an </w:t>
      </w:r>
      <w:r w:rsidR="00841F0D">
        <w:rPr>
          <w:rFonts w:eastAsia="Arial" w:cs="Arial"/>
          <w:color w:val="000000"/>
          <w:szCs w:val="18"/>
        </w:rPr>
        <w:t>automatic instrument</w:t>
      </w:r>
      <w:r w:rsidR="00B3532D">
        <w:rPr>
          <w:rFonts w:eastAsia="Arial" w:cs="Arial"/>
          <w:color w:val="000000"/>
          <w:szCs w:val="18"/>
        </w:rPr>
        <w:t xml:space="preserve"> capable to detect </w:t>
      </w:r>
      <w:r w:rsidR="004E5081">
        <w:rPr>
          <w:rFonts w:eastAsia="Arial" w:cs="Arial"/>
          <w:color w:val="000000"/>
          <w:szCs w:val="18"/>
        </w:rPr>
        <w:t xml:space="preserve">qualitative information and, in some cases, </w:t>
      </w:r>
      <w:r w:rsidR="00104D1C">
        <w:rPr>
          <w:rFonts w:eastAsia="Arial" w:cs="Arial"/>
          <w:color w:val="000000"/>
          <w:szCs w:val="18"/>
        </w:rPr>
        <w:t>quantitative information of a gas mix</w:t>
      </w:r>
      <w:r w:rsidR="00EB5D85">
        <w:rPr>
          <w:rFonts w:eastAsia="Arial" w:cs="Arial"/>
          <w:color w:val="000000"/>
          <w:szCs w:val="18"/>
        </w:rPr>
        <w:t>ture</w:t>
      </w:r>
      <w:r w:rsidR="00104D1C">
        <w:rPr>
          <w:rFonts w:eastAsia="Arial" w:cs="Arial"/>
          <w:color w:val="000000"/>
          <w:szCs w:val="18"/>
        </w:rPr>
        <w:t xml:space="preserve"> using odour reference </w:t>
      </w:r>
      <w:r w:rsidR="00B3164C">
        <w:rPr>
          <w:rFonts w:eastAsia="Arial" w:cs="Arial"/>
          <w:color w:val="000000"/>
          <w:szCs w:val="18"/>
        </w:rPr>
        <w:t>data.</w:t>
      </w:r>
    </w:p>
    <w:p w14:paraId="15F610D2" w14:textId="04290B61" w:rsidR="00D16F66" w:rsidRPr="000A5D73" w:rsidRDefault="00A47EEE" w:rsidP="00D16F66">
      <w:pPr>
        <w:pStyle w:val="CETBodytext"/>
      </w:pPr>
      <w:r>
        <w:t>IOMSs (eNoses)</w:t>
      </w:r>
      <w:r w:rsidRPr="000A5D73">
        <w:t xml:space="preserve"> </w:t>
      </w:r>
      <w:r w:rsidR="00EB07DB" w:rsidRPr="000A5D73">
        <w:t xml:space="preserve">instrumentally perform the functions of the human sense of smell. The gas detection system simulates the receptors and responds to a wide range of </w:t>
      </w:r>
      <w:r w:rsidR="001466DD">
        <w:t>odor</w:t>
      </w:r>
      <w:r w:rsidR="00EB07DB" w:rsidRPr="000A5D73">
        <w:t>ants. The sensor signal processing system compresses the signal, simulating the action of the human olfactor</w:t>
      </w:r>
      <w:r w:rsidR="007C7AE3" w:rsidRPr="000A5D73">
        <w:t>y system</w:t>
      </w:r>
      <w:r w:rsidR="00EB07DB" w:rsidRPr="000A5D73">
        <w:t>. Meanwhile, the odo</w:t>
      </w:r>
      <w:r w:rsidR="008413A9" w:rsidRPr="000A5D73">
        <w:t>u</w:t>
      </w:r>
      <w:r w:rsidR="00EB07DB" w:rsidRPr="000A5D73">
        <w:t>r identification and recognition system uses decision support to identify the odo</w:t>
      </w:r>
      <w:r w:rsidR="008413A9" w:rsidRPr="000A5D73">
        <w:t>u</w:t>
      </w:r>
      <w:r w:rsidR="00EB07DB" w:rsidRPr="000A5D73">
        <w:t xml:space="preserve">r source (PCA - Principal Component Analysis), simulating </w:t>
      </w:r>
      <w:r w:rsidR="00F51D2F" w:rsidRPr="000A5D73">
        <w:t>brain</w:t>
      </w:r>
      <w:r w:rsidR="007C7AE3" w:rsidRPr="000A5D73">
        <w:t xml:space="preserve"> </w:t>
      </w:r>
      <w:r w:rsidR="00EB07DB" w:rsidRPr="000A5D73">
        <w:t>action</w:t>
      </w:r>
      <w:r w:rsidR="00836498" w:rsidRPr="000A5D73">
        <w:t xml:space="preserve"> (Vitali et al., 2018)</w:t>
      </w:r>
      <w:r w:rsidR="00EB07DB" w:rsidRPr="000A5D73">
        <w:t>.</w:t>
      </w:r>
    </w:p>
    <w:p w14:paraId="5EC5BCE7" w14:textId="77777777" w:rsidR="00572253" w:rsidRDefault="00A47EEE" w:rsidP="00063AA8">
      <w:pPr>
        <w:pStyle w:val="CETBodytext"/>
        <w:rPr>
          <w:lang w:val="en-GB"/>
        </w:rPr>
      </w:pPr>
      <w:r>
        <w:t>IOMS</w:t>
      </w:r>
      <w:r w:rsidRPr="000A5D73">
        <w:t xml:space="preserve"> </w:t>
      </w:r>
      <w:r w:rsidR="00480F05" w:rsidRPr="000A5D73">
        <w:t xml:space="preserve">give the possibility of </w:t>
      </w:r>
      <w:r w:rsidR="00457FAB">
        <w:t>real-time</w:t>
      </w:r>
      <w:r w:rsidR="00457FAB" w:rsidRPr="000A5D73">
        <w:t xml:space="preserve"> </w:t>
      </w:r>
      <w:r w:rsidR="00480F05" w:rsidRPr="000A5D73">
        <w:t>monitoring odo</w:t>
      </w:r>
      <w:r w:rsidR="00836498" w:rsidRPr="000A5D73">
        <w:t>u</w:t>
      </w:r>
      <w:r w:rsidR="00480F05" w:rsidRPr="000A5D73">
        <w:t xml:space="preserve">r emissions from an industrial </w:t>
      </w:r>
      <w:r w:rsidR="00836498" w:rsidRPr="000A5D73">
        <w:t>plant</w:t>
      </w:r>
      <w:r w:rsidR="00480F05" w:rsidRPr="000A5D73">
        <w:t>, acting as an alarm system in the event of exceedances</w:t>
      </w:r>
      <w:r w:rsidR="00836498" w:rsidRPr="000A5D73">
        <w:t xml:space="preserve"> not necessarily related to an accident</w:t>
      </w:r>
      <w:r w:rsidR="00480F05" w:rsidRPr="000A5D73">
        <w:t>.</w:t>
      </w:r>
      <w:r w:rsidR="0060347A">
        <w:t xml:space="preserve"> </w:t>
      </w:r>
      <w:r w:rsidR="0060347A" w:rsidRPr="0060347A">
        <w:rPr>
          <w:lang w:val="en-GB"/>
        </w:rPr>
        <w:t xml:space="preserve">The effectiveness of </w:t>
      </w:r>
      <w:r>
        <w:rPr>
          <w:lang w:val="en-GB"/>
        </w:rPr>
        <w:t>IOMS</w:t>
      </w:r>
      <w:r w:rsidRPr="0060347A">
        <w:rPr>
          <w:lang w:val="en-GB"/>
        </w:rPr>
        <w:t xml:space="preserve"> </w:t>
      </w:r>
      <w:r w:rsidR="0060347A" w:rsidRPr="0060347A">
        <w:rPr>
          <w:lang w:val="en-GB"/>
        </w:rPr>
        <w:t>systems in monitoring odourous emissions has been thoroughly analysed by Naddeo et al. (2016), who compared the performance of a new e-nose prototype with European and Japanese reference methods at a wastewater treatment plant.</w:t>
      </w:r>
      <w:r w:rsidR="00572253">
        <w:rPr>
          <w:lang w:val="en-GB"/>
        </w:rPr>
        <w:t xml:space="preserve"> </w:t>
      </w:r>
    </w:p>
    <w:p w14:paraId="663A6F5E" w14:textId="7A385946" w:rsidR="00063AA8" w:rsidRPr="000A5D73" w:rsidRDefault="00965B2C" w:rsidP="00063AA8">
      <w:pPr>
        <w:pStyle w:val="CETBodytext"/>
      </w:pPr>
      <w:r>
        <w:t>Since 2018</w:t>
      </w:r>
      <w:r w:rsidR="00B47BBC" w:rsidRPr="000A5D73">
        <w:t xml:space="preserve">, </w:t>
      </w:r>
      <w:r w:rsidR="00133184">
        <w:t>IOMS (</w:t>
      </w:r>
      <w:r w:rsidR="00682CDE" w:rsidRPr="000A5D73">
        <w:t>eNose</w:t>
      </w:r>
      <w:r w:rsidR="00133184">
        <w:t>)</w:t>
      </w:r>
      <w:r w:rsidR="00682CDE" w:rsidRPr="000A5D73">
        <w:t xml:space="preserve"> network installation is mandatory of the </w:t>
      </w:r>
      <w:r w:rsidR="00265A5C" w:rsidRPr="000A5D73">
        <w:t xml:space="preserve">Integrated Environmental Authorization (IEA) </w:t>
      </w:r>
      <w:r w:rsidR="00682CDE" w:rsidRPr="000A5D73">
        <w:t>specific prescription</w:t>
      </w:r>
      <w:r w:rsidR="0033596D" w:rsidRPr="000A5D73">
        <w:t xml:space="preserve">, to complement the </w:t>
      </w:r>
      <w:r w:rsidR="0091222B" w:rsidRPr="000A5D73">
        <w:t>usual</w:t>
      </w:r>
      <w:r w:rsidR="007D14E0" w:rsidRPr="000A5D73">
        <w:t xml:space="preserve"> yet</w:t>
      </w:r>
      <w:r w:rsidR="0091222B" w:rsidRPr="000A5D73">
        <w:t xml:space="preserve"> implemented odour management plan (OMP).</w:t>
      </w:r>
      <w:r w:rsidR="00572253">
        <w:t xml:space="preserve"> </w:t>
      </w:r>
      <w:r w:rsidR="00063AA8" w:rsidRPr="000A5D73">
        <w:t>The IOMS installation requires several steps that must be followed, including performance verification through laboratory analysis, a training phase during which it must be exposed to the same diluted samples analyzed by dynamic olfactometry, a field-testing phase, and subsequent effective monitoring with continuous analysis of the data obtained.</w:t>
      </w:r>
    </w:p>
    <w:p w14:paraId="5037E779" w14:textId="6DECCA26" w:rsidR="00E7097B" w:rsidRPr="000A5D73" w:rsidRDefault="00E7097B" w:rsidP="00E7097B">
      <w:pPr>
        <w:pStyle w:val="CETBodytext"/>
        <w:rPr>
          <w:lang w:val="en-GB"/>
        </w:rPr>
      </w:pPr>
      <w:r w:rsidRPr="000A5D73">
        <w:t xml:space="preserve">The </w:t>
      </w:r>
      <w:r w:rsidR="00C166D8">
        <w:t>IOMSs (</w:t>
      </w:r>
      <w:r w:rsidRPr="000A5D73">
        <w:t>eNoses</w:t>
      </w:r>
      <w:r w:rsidR="00C166D8">
        <w:t>)</w:t>
      </w:r>
      <w:r w:rsidRPr="000A5D73">
        <w:t xml:space="preserve"> require a training period to adapt to the context in which they are installed; In this case, both electronic nose networks were trained through a period of field training and by the parent company using pollutant information provided by the refineries.</w:t>
      </w:r>
      <w:r w:rsidR="009541D9">
        <w:t xml:space="preserve"> </w:t>
      </w:r>
      <w:r w:rsidRPr="000A5D73">
        <w:t xml:space="preserve">The instruments detect </w:t>
      </w:r>
      <w:r w:rsidR="00A46C34" w:rsidRPr="000A5D73">
        <w:t>instantaneous</w:t>
      </w:r>
      <w:r w:rsidRPr="000A5D73">
        <w:t xml:space="preserve"> deviation from the zero set during the training phase.</w:t>
      </w:r>
      <w:r w:rsidR="00572253">
        <w:t xml:space="preserve"> </w:t>
      </w:r>
      <w:r w:rsidRPr="000A5D73">
        <w:rPr>
          <w:lang w:val="en-GB"/>
        </w:rPr>
        <w:t>Following the sensor training period, thresholds are defined for the various concentration levels</w:t>
      </w:r>
      <w:r w:rsidR="000F34DA">
        <w:rPr>
          <w:lang w:val="en-GB"/>
        </w:rPr>
        <w:t xml:space="preserve"> </w:t>
      </w:r>
      <w:r w:rsidR="00C94E26">
        <w:rPr>
          <w:lang w:val="en-GB"/>
        </w:rPr>
        <w:t>in accordance with the baseline concentration</w:t>
      </w:r>
      <w:r w:rsidR="004A618A">
        <w:rPr>
          <w:lang w:val="en-GB"/>
        </w:rPr>
        <w:t xml:space="preserve"> </w:t>
      </w:r>
      <w:r w:rsidRPr="000A5D73">
        <w:rPr>
          <w:lang w:val="en-GB"/>
        </w:rPr>
        <w:t>defined as the 98</w:t>
      </w:r>
      <w:r w:rsidRPr="000A5D73">
        <w:rPr>
          <w:vertAlign w:val="superscript"/>
          <w:lang w:val="en-GB"/>
        </w:rPr>
        <w:t>th</w:t>
      </w:r>
      <w:r w:rsidRPr="000A5D73">
        <w:rPr>
          <w:lang w:val="en-GB"/>
        </w:rPr>
        <w:t xml:space="preserve"> percentile of the values measured during a period of continuous operation representative of the production site’s entire operational activity. Three alert levels are then defined, each associated with a different colour: red for values measured during the training period that exceed the 99.9</w:t>
      </w:r>
      <w:r w:rsidRPr="000A5D73">
        <w:rPr>
          <w:vertAlign w:val="superscript"/>
          <w:lang w:val="en-GB"/>
        </w:rPr>
        <w:t>th</w:t>
      </w:r>
      <w:r w:rsidRPr="000A5D73">
        <w:rPr>
          <w:lang w:val="en-GB"/>
        </w:rPr>
        <w:t xml:space="preserve"> percentile, orange for values between the 99</w:t>
      </w:r>
      <w:r w:rsidRPr="000A5D73">
        <w:rPr>
          <w:vertAlign w:val="superscript"/>
          <w:lang w:val="en-GB"/>
        </w:rPr>
        <w:t>th</w:t>
      </w:r>
      <w:r w:rsidRPr="000A5D73">
        <w:rPr>
          <w:lang w:val="en-GB"/>
        </w:rPr>
        <w:t xml:space="preserve"> and 99.9</w:t>
      </w:r>
      <w:r w:rsidRPr="000A5D73">
        <w:rPr>
          <w:vertAlign w:val="superscript"/>
          <w:lang w:val="en-GB"/>
        </w:rPr>
        <w:t>th</w:t>
      </w:r>
      <w:r w:rsidRPr="000A5D73">
        <w:rPr>
          <w:lang w:val="en-GB"/>
        </w:rPr>
        <w:t xml:space="preserve"> percentiles, and yellow for values between the 98</w:t>
      </w:r>
      <w:r w:rsidRPr="000A5D73">
        <w:rPr>
          <w:vertAlign w:val="superscript"/>
          <w:lang w:val="en-GB"/>
        </w:rPr>
        <w:t>th</w:t>
      </w:r>
      <w:r w:rsidRPr="000A5D73">
        <w:rPr>
          <w:lang w:val="en-GB"/>
        </w:rPr>
        <w:t xml:space="preserve"> and 99</w:t>
      </w:r>
      <w:r w:rsidRPr="000A5D73">
        <w:rPr>
          <w:vertAlign w:val="superscript"/>
          <w:lang w:val="en-GB"/>
        </w:rPr>
        <w:t>th</w:t>
      </w:r>
      <w:r w:rsidRPr="000A5D73">
        <w:rPr>
          <w:lang w:val="en-GB"/>
        </w:rPr>
        <w:t xml:space="preserve"> percentiles.</w:t>
      </w:r>
    </w:p>
    <w:p w14:paraId="595A41B3" w14:textId="4A071575" w:rsidR="00742974" w:rsidRPr="000A5D73" w:rsidRDefault="00742974" w:rsidP="00742974">
      <w:pPr>
        <w:pStyle w:val="CETBodytext"/>
        <w:rPr>
          <w:lang w:val="en-GB"/>
        </w:rPr>
      </w:pPr>
      <w:r w:rsidRPr="000A5D73">
        <w:rPr>
          <w:lang w:val="en-GB"/>
        </w:rPr>
        <w:t xml:space="preserve">The yellow threshold corresponds to a perception-based attention level. This threshold represents the first significant deviation from background noise or the instrumental baseline and indicates that the </w:t>
      </w:r>
      <w:r w:rsidR="00C94E26">
        <w:rPr>
          <w:lang w:val="en-GB"/>
        </w:rPr>
        <w:t>IOMS</w:t>
      </w:r>
      <w:r w:rsidRPr="000A5D73">
        <w:rPr>
          <w:lang w:val="en-GB"/>
        </w:rPr>
        <w:t xml:space="preserve"> has begun to simulate human receptors by reacting to an initial concentration of odorants. The BATs suggest that this level signals the need to monitor the</w:t>
      </w:r>
      <w:r w:rsidR="00D378F6" w:rsidRPr="000A5D73">
        <w:rPr>
          <w:lang w:val="en-GB"/>
        </w:rPr>
        <w:t xml:space="preserve"> phenomenon</w:t>
      </w:r>
      <w:r w:rsidRPr="000A5D73">
        <w:rPr>
          <w:lang w:val="en-GB"/>
        </w:rPr>
        <w:t xml:space="preserve"> development, particularly in the presence of diffuse emissions.</w:t>
      </w:r>
    </w:p>
    <w:p w14:paraId="28ED6DCD" w14:textId="53578731" w:rsidR="00742974" w:rsidRPr="000A5D73" w:rsidRDefault="00742974" w:rsidP="00742974">
      <w:pPr>
        <w:pStyle w:val="CETBodytext"/>
        <w:rPr>
          <w:lang w:val="en-GB"/>
        </w:rPr>
      </w:pPr>
      <w:r w:rsidRPr="000A5D73">
        <w:rPr>
          <w:lang w:val="en-GB"/>
        </w:rPr>
        <w:t xml:space="preserve">The </w:t>
      </w:r>
      <w:r w:rsidR="00D378F6" w:rsidRPr="000A5D73">
        <w:rPr>
          <w:lang w:val="en-GB"/>
        </w:rPr>
        <w:t>o</w:t>
      </w:r>
      <w:r w:rsidRPr="000A5D73">
        <w:rPr>
          <w:lang w:val="en-GB"/>
        </w:rPr>
        <w:t xml:space="preserve">range threshold corresponds to an alert or pre-alert level. At this level, the signal indicates a sustained and clearly distinguishable presence of </w:t>
      </w:r>
      <w:r w:rsidR="00D378F6" w:rsidRPr="000A5D73">
        <w:rPr>
          <w:lang w:val="en-GB"/>
        </w:rPr>
        <w:t>VOCs</w:t>
      </w:r>
      <w:r w:rsidRPr="000A5D73">
        <w:rPr>
          <w:lang w:val="en-GB"/>
        </w:rPr>
        <w:t xml:space="preserve">. The signal processing system is detecting an input that requires the activation of the decision support system (PCA) to identify the </w:t>
      </w:r>
      <w:r w:rsidR="00D378F6" w:rsidRPr="000A5D73">
        <w:rPr>
          <w:lang w:val="en-GB"/>
        </w:rPr>
        <w:t xml:space="preserve">odour </w:t>
      </w:r>
      <w:r w:rsidRPr="000A5D73">
        <w:rPr>
          <w:lang w:val="en-GB"/>
        </w:rPr>
        <w:t>source. It represents a phase in which environmental management procedures should include operational checks to prevent regulatory limits from being exceeded.</w:t>
      </w:r>
      <w:r w:rsidR="001F059C" w:rsidRPr="000A5D73">
        <w:rPr>
          <w:lang w:val="en-GB"/>
        </w:rPr>
        <w:t xml:space="preserve"> </w:t>
      </w:r>
      <w:r w:rsidRPr="000A5D73">
        <w:rPr>
          <w:lang w:val="en-GB"/>
        </w:rPr>
        <w:t xml:space="preserve">The </w:t>
      </w:r>
      <w:r w:rsidR="00B424C5" w:rsidRPr="000A5D73">
        <w:rPr>
          <w:lang w:val="en-GB"/>
        </w:rPr>
        <w:t>r</w:t>
      </w:r>
      <w:r w:rsidRPr="000A5D73">
        <w:rPr>
          <w:lang w:val="en-GB"/>
        </w:rPr>
        <w:t xml:space="preserve">ed threshold corresponds to an </w:t>
      </w:r>
      <w:r w:rsidR="001F059C" w:rsidRPr="000A5D73">
        <w:rPr>
          <w:lang w:val="en-GB"/>
        </w:rPr>
        <w:t>a</w:t>
      </w:r>
      <w:r w:rsidRPr="000A5D73">
        <w:rPr>
          <w:lang w:val="en-GB"/>
        </w:rPr>
        <w:t>larm level and triggers an intervention phase. This is the critical threshold indicating a significant emission event</w:t>
      </w:r>
      <w:r w:rsidR="001F059C" w:rsidRPr="000A5D73">
        <w:rPr>
          <w:lang w:val="en-GB"/>
        </w:rPr>
        <w:t xml:space="preserve"> (</w:t>
      </w:r>
      <w:r w:rsidRPr="000A5D73">
        <w:rPr>
          <w:lang w:val="en-GB"/>
        </w:rPr>
        <w:t>such as the clearly visible impulsive event in Figure 2b</w:t>
      </w:r>
      <w:r w:rsidR="001F059C" w:rsidRPr="000A5D73">
        <w:rPr>
          <w:lang w:val="en-GB"/>
        </w:rPr>
        <w:t>)</w:t>
      </w:r>
      <w:r w:rsidRPr="000A5D73">
        <w:rPr>
          <w:lang w:val="en-GB"/>
        </w:rPr>
        <w:t>. This level represents the exceeding of the acceptability limits defined by the BREF documents for channelled or fugitive emissions. Reaching this threshold usually requires immediate mitigation action to reduce the odour impact and return to compliance parameters.</w:t>
      </w:r>
    </w:p>
    <w:p w14:paraId="452BEA1E" w14:textId="65137B63" w:rsidR="00F63B4D" w:rsidRPr="000A5D73" w:rsidRDefault="007A6E08" w:rsidP="00F63B4D">
      <w:pPr>
        <w:pStyle w:val="CETBodytext"/>
        <w:rPr>
          <w:lang w:val="en-GB"/>
        </w:rPr>
      </w:pPr>
      <w:r w:rsidRPr="000A5D73">
        <w:rPr>
          <w:lang w:val="en-GB"/>
        </w:rPr>
        <w:t xml:space="preserve">Information on odour-emitting phenomena can be used to calculate back-trajectories. </w:t>
      </w:r>
      <w:r w:rsidR="00F63B4D" w:rsidRPr="000A5D73">
        <w:rPr>
          <w:lang w:val="en-GB"/>
        </w:rPr>
        <w:t>The back-trajectories calculation for odour emissions is used to define the path from a point where the odour is detected (the receptor) back to possible source areas, using meteorological data and atmospheric dispersion/transport models.</w:t>
      </w:r>
    </w:p>
    <w:p w14:paraId="015FB973" w14:textId="6A98B1C0" w:rsidR="00176B42" w:rsidRDefault="00B22107" w:rsidP="00176B42">
      <w:pPr>
        <w:pStyle w:val="CETBodytext"/>
        <w:rPr>
          <w:lang w:val="en-GB"/>
        </w:rPr>
      </w:pPr>
      <w:r w:rsidRPr="000A5D73">
        <w:rPr>
          <w:lang w:val="en-GB"/>
        </w:rPr>
        <w:lastRenderedPageBreak/>
        <w:t>As reported in the SNPA guidelines (SNPA, 2025), using data obtained from eNoses, modelling based on the reconstruction of meteorological fields is able to provide, in real time, the best approximation of the trajectories taken by air masses in the atmosphere, tracing their path backwards from the exact moment and georeferenced location of the reports. Back-trajectories can be particularly significant in areas where there are many industrial activities.</w:t>
      </w:r>
      <w:r w:rsidR="00572253">
        <w:rPr>
          <w:lang w:val="en-GB"/>
        </w:rPr>
        <w:t xml:space="preserve"> </w:t>
      </w:r>
      <w:r w:rsidR="007A6E08" w:rsidRPr="000A5D73">
        <w:rPr>
          <w:lang w:val="en-GB"/>
        </w:rPr>
        <w:t xml:space="preserve">Atmospheric back-trajectories can be calculated using a </w:t>
      </w:r>
      <w:proofErr w:type="spellStart"/>
      <w:r w:rsidR="007A6E08" w:rsidRPr="000A5D73">
        <w:rPr>
          <w:lang w:val="en-GB"/>
        </w:rPr>
        <w:t>Lagrangian</w:t>
      </w:r>
      <w:proofErr w:type="spellEnd"/>
      <w:r w:rsidR="007A6E08" w:rsidRPr="000A5D73">
        <w:rPr>
          <w:lang w:val="en-GB"/>
        </w:rPr>
        <w:t xml:space="preserve"> model, in accordance with the approach described by Stein et al. (2015), which is widely used for the analysis of source–receptor relationships (Stein et al., 2015).</w:t>
      </w:r>
      <w:r w:rsidR="00542A7E" w:rsidRPr="000A5D73">
        <w:rPr>
          <w:lang w:val="en-GB"/>
        </w:rPr>
        <w:t xml:space="preserve"> </w:t>
      </w:r>
      <w:r w:rsidR="00176B42" w:rsidRPr="000A5D73">
        <w:rPr>
          <w:lang w:val="en-GB"/>
        </w:rPr>
        <w:t>Deterministic backward air-mass trajectories can be computed also using the MOLOCH non-hydrostatic meteorological model, following the approach described by Trini Castelli et al. (2022).</w:t>
      </w:r>
    </w:p>
    <w:p w14:paraId="7E08B483" w14:textId="17122BF4" w:rsidR="00DE0C67" w:rsidRPr="000A5D73" w:rsidRDefault="00DE0C67" w:rsidP="00176B42">
      <w:pPr>
        <w:pStyle w:val="CETBodytext"/>
        <w:rPr>
          <w:lang w:val="en-GB"/>
        </w:rPr>
      </w:pPr>
      <w:r w:rsidRPr="00DE0C67">
        <w:rPr>
          <w:lang w:val="en-GB"/>
        </w:rPr>
        <w:t>By correlating citizen reports submitted through a dedicated web app, IOMS measurements, and wind speed, it is possible to clearly determine the</w:t>
      </w:r>
      <w:r>
        <w:rPr>
          <w:lang w:val="en-GB"/>
        </w:rPr>
        <w:t xml:space="preserve"> eventual</w:t>
      </w:r>
      <w:r w:rsidRPr="00DE0C67">
        <w:rPr>
          <w:lang w:val="en-GB"/>
        </w:rPr>
        <w:t xml:space="preserve"> refinery’s contribution</w:t>
      </w:r>
      <w:r w:rsidR="00524838">
        <w:rPr>
          <w:lang w:val="en-GB"/>
        </w:rPr>
        <w:t xml:space="preserve"> to </w:t>
      </w:r>
      <w:r w:rsidR="00524838" w:rsidRPr="00C437A2">
        <w:rPr>
          <w:lang w:val="en-GB"/>
        </w:rPr>
        <w:t>olfactory nuisance perceived by citizens</w:t>
      </w:r>
      <w:r w:rsidR="00524838">
        <w:rPr>
          <w:lang w:val="en-GB"/>
        </w:rPr>
        <w:t xml:space="preserve"> (</w:t>
      </w:r>
      <w:r w:rsidR="00324C76">
        <w:rPr>
          <w:lang w:val="en-GB"/>
        </w:rPr>
        <w:t>Cangialosi et al., 2022</w:t>
      </w:r>
      <w:r w:rsidR="00524838">
        <w:rPr>
          <w:lang w:val="en-GB"/>
        </w:rPr>
        <w:t>)</w:t>
      </w:r>
      <w:r w:rsidR="00524838" w:rsidRPr="00C437A2">
        <w:rPr>
          <w:lang w:val="en-GB"/>
        </w:rPr>
        <w:t>.</w:t>
      </w:r>
    </w:p>
    <w:p w14:paraId="18BAFA6F" w14:textId="0CCF0658" w:rsidR="00453E24" w:rsidRPr="000A5D73" w:rsidRDefault="00DB7348" w:rsidP="00453E24">
      <w:pPr>
        <w:pStyle w:val="CETheadingx"/>
      </w:pPr>
      <w:r>
        <w:t>Odour Measurements</w:t>
      </w:r>
    </w:p>
    <w:p w14:paraId="6796F5D4" w14:textId="5FCDAC25" w:rsidR="00572253" w:rsidRDefault="00893BC3" w:rsidP="00AA4294">
      <w:pPr>
        <w:pStyle w:val="CETBodytext"/>
      </w:pPr>
      <w:r w:rsidRPr="000A5D73">
        <w:rPr>
          <w:lang w:val="en-GB"/>
        </w:rPr>
        <w:t>The UNI EN 11761 standard defines the technical and management requirements for IOMS or electronic noses - eNoses. It regulates the measurement and continuous or periodic environmental monitoring, emission, and indoor odours. This standard defines the eNose as an automatic instrument capable of periodically producing information on the odour of a gaseous mixture using reference data obtained from sensorial measurements of odour (by a panel of examiners).</w:t>
      </w:r>
      <w:r w:rsidR="009541D9">
        <w:rPr>
          <w:lang w:val="en-GB"/>
        </w:rPr>
        <w:t xml:space="preserve"> </w:t>
      </w:r>
      <w:r w:rsidR="00645D5F">
        <w:rPr>
          <w:lang w:val="en-GB"/>
        </w:rPr>
        <w:t xml:space="preserve">As reported in the reference UNI EN standard, IOMS can be installed </w:t>
      </w:r>
      <w:r w:rsidR="009F1CBB">
        <w:rPr>
          <w:lang w:val="en-GB"/>
        </w:rPr>
        <w:t>al the receptors</w:t>
      </w:r>
      <w:r w:rsidR="00B40C78">
        <w:rPr>
          <w:lang w:val="en-GB"/>
        </w:rPr>
        <w:t xml:space="preserve"> (ambient air)</w:t>
      </w:r>
      <w:r w:rsidR="003C4581">
        <w:rPr>
          <w:lang w:val="en-GB"/>
        </w:rPr>
        <w:t xml:space="preserve"> </w:t>
      </w:r>
      <w:r w:rsidR="009E0D41">
        <w:rPr>
          <w:lang w:val="en-GB"/>
        </w:rPr>
        <w:t xml:space="preserve">as example to evaluate </w:t>
      </w:r>
      <w:r w:rsidR="00645D5F">
        <w:rPr>
          <w:lang w:val="en-GB"/>
        </w:rPr>
        <w:t xml:space="preserve">the odour abatement efficiency </w:t>
      </w:r>
      <w:r w:rsidR="00AC626C">
        <w:rPr>
          <w:lang w:val="en-GB"/>
        </w:rPr>
        <w:t>of an end of pipe treatment</w:t>
      </w:r>
      <w:r w:rsidR="007A22BB">
        <w:rPr>
          <w:lang w:val="en-GB"/>
        </w:rPr>
        <w:t xml:space="preserve">, </w:t>
      </w:r>
      <w:r w:rsidR="00C06AF7">
        <w:rPr>
          <w:lang w:val="en-GB"/>
        </w:rPr>
        <w:t xml:space="preserve">at </w:t>
      </w:r>
      <w:r w:rsidR="005F4583">
        <w:rPr>
          <w:lang w:val="en-GB"/>
        </w:rPr>
        <w:t>the single source</w:t>
      </w:r>
      <w:r w:rsidR="00DE11FB">
        <w:rPr>
          <w:lang w:val="en-GB"/>
        </w:rPr>
        <w:t xml:space="preserve"> </w:t>
      </w:r>
      <w:r w:rsidR="00A061EF">
        <w:rPr>
          <w:lang w:val="en-GB"/>
        </w:rPr>
        <w:t xml:space="preserve">generally </w:t>
      </w:r>
      <w:r w:rsidR="001B274F">
        <w:rPr>
          <w:lang w:val="en-GB"/>
        </w:rPr>
        <w:t>for the process control</w:t>
      </w:r>
      <w:r w:rsidR="00CD523C">
        <w:rPr>
          <w:lang w:val="en-GB"/>
        </w:rPr>
        <w:t xml:space="preserve"> to </w:t>
      </w:r>
      <w:r w:rsidR="003E3F0E">
        <w:rPr>
          <w:lang w:val="en-GB"/>
        </w:rPr>
        <w:t>prevent the odour diffusion</w:t>
      </w:r>
      <w:r w:rsidR="00506684">
        <w:rPr>
          <w:lang w:val="en-GB"/>
        </w:rPr>
        <w:t xml:space="preserve"> al receptors after an anomaly, at the plant boundary </w:t>
      </w:r>
      <w:r w:rsidR="00A2451E">
        <w:rPr>
          <w:lang w:val="en-GB"/>
        </w:rPr>
        <w:t xml:space="preserve">or for a process control or </w:t>
      </w:r>
      <w:r w:rsidR="00C72731">
        <w:rPr>
          <w:lang w:val="en-GB"/>
        </w:rPr>
        <w:t xml:space="preserve">together with the </w:t>
      </w:r>
      <w:r w:rsidR="000448A1">
        <w:rPr>
          <w:lang w:val="en-GB"/>
        </w:rPr>
        <w:t>automatic</w:t>
      </w:r>
      <w:r w:rsidR="00627E3F">
        <w:rPr>
          <w:lang w:val="en-GB"/>
        </w:rPr>
        <w:t xml:space="preserve"> sampl</w:t>
      </w:r>
      <w:r w:rsidR="002D4C16">
        <w:rPr>
          <w:lang w:val="en-GB"/>
        </w:rPr>
        <w:t xml:space="preserve">ers </w:t>
      </w:r>
      <w:r w:rsidR="008D7E37">
        <w:rPr>
          <w:lang w:val="en-GB"/>
        </w:rPr>
        <w:t xml:space="preserve">after the </w:t>
      </w:r>
      <w:r w:rsidR="00DE1BB5">
        <w:rPr>
          <w:lang w:val="en-GB"/>
        </w:rPr>
        <w:t>exceeding</w:t>
      </w:r>
      <w:r w:rsidR="00AA7C58">
        <w:rPr>
          <w:lang w:val="en-GB"/>
        </w:rPr>
        <w:t xml:space="preserve"> of a predefined odour</w:t>
      </w:r>
      <w:r w:rsidR="000E2FF9">
        <w:rPr>
          <w:lang w:val="en-GB"/>
        </w:rPr>
        <w:t xml:space="preserve"> threshold</w:t>
      </w:r>
      <w:r w:rsidR="004E277C">
        <w:rPr>
          <w:lang w:val="en-GB"/>
        </w:rPr>
        <w:t xml:space="preserve"> and</w:t>
      </w:r>
      <w:r w:rsidR="00E25DB0">
        <w:rPr>
          <w:lang w:val="en-GB"/>
        </w:rPr>
        <w:t>/or</w:t>
      </w:r>
      <w:r w:rsidR="004E277C">
        <w:rPr>
          <w:lang w:val="en-GB"/>
        </w:rPr>
        <w:t xml:space="preserve"> in case </w:t>
      </w:r>
      <w:r w:rsidR="00ED4924">
        <w:rPr>
          <w:lang w:val="en-GB"/>
        </w:rPr>
        <w:t xml:space="preserve">of </w:t>
      </w:r>
      <w:r w:rsidR="00DE1BB5">
        <w:rPr>
          <w:lang w:val="en-GB"/>
        </w:rPr>
        <w:t>citizens’ report</w:t>
      </w:r>
      <w:r w:rsidR="008B2157">
        <w:rPr>
          <w:lang w:val="en-GB"/>
        </w:rPr>
        <w:t xml:space="preserve"> </w:t>
      </w:r>
      <w:r w:rsidR="00065436">
        <w:rPr>
          <w:lang w:val="en-GB"/>
        </w:rPr>
        <w:t xml:space="preserve">even collected </w:t>
      </w:r>
      <w:r w:rsidR="00815EC9">
        <w:rPr>
          <w:lang w:val="en-GB"/>
        </w:rPr>
        <w:t xml:space="preserve">by a specific </w:t>
      </w:r>
      <w:r w:rsidR="00065436">
        <w:rPr>
          <w:lang w:val="en-GB"/>
        </w:rPr>
        <w:t>citizen science</w:t>
      </w:r>
      <w:r w:rsidR="00815EC9">
        <w:rPr>
          <w:lang w:val="en-GB"/>
        </w:rPr>
        <w:t>-</w:t>
      </w:r>
      <w:r w:rsidR="00065436">
        <w:rPr>
          <w:lang w:val="en-GB"/>
        </w:rPr>
        <w:t>based app (</w:t>
      </w:r>
      <w:r w:rsidR="003465D2">
        <w:rPr>
          <w:lang w:val="en-GB"/>
        </w:rPr>
        <w:t>Oliva et al., 2024</w:t>
      </w:r>
      <w:r w:rsidR="00065436">
        <w:rPr>
          <w:lang w:val="en-GB"/>
        </w:rPr>
        <w:t>)</w:t>
      </w:r>
      <w:r w:rsidR="00DE1BB5">
        <w:rPr>
          <w:lang w:val="en-GB"/>
        </w:rPr>
        <w:t>.</w:t>
      </w:r>
      <w:r w:rsidR="00572253">
        <w:rPr>
          <w:lang w:val="en-GB"/>
        </w:rPr>
        <w:t xml:space="preserve"> </w:t>
      </w:r>
      <w:r w:rsidR="009A063F">
        <w:t xml:space="preserve">The UNI EN 11761 </w:t>
      </w:r>
      <w:r w:rsidR="00850320">
        <w:t xml:space="preserve">standard </w:t>
      </w:r>
      <w:r w:rsidR="008F0AFC">
        <w:t>defines</w:t>
      </w:r>
      <w:r w:rsidR="00482B50">
        <w:t xml:space="preserve"> three different types of measurement: </w:t>
      </w:r>
      <w:r w:rsidR="00E5133C">
        <w:t>odour presence or absence (type A)</w:t>
      </w:r>
      <w:r w:rsidR="00BE7138">
        <w:t xml:space="preserve">, </w:t>
      </w:r>
      <w:r w:rsidR="00944DE5">
        <w:t xml:space="preserve">odour class </w:t>
      </w:r>
      <w:r w:rsidR="00850320">
        <w:t>measurements</w:t>
      </w:r>
      <w:r w:rsidR="00C16FB7">
        <w:t xml:space="preserve"> </w:t>
      </w:r>
      <w:r w:rsidR="00850320">
        <w:t xml:space="preserve">for the odour </w:t>
      </w:r>
      <w:r w:rsidR="00AD061D">
        <w:t>qualitative</w:t>
      </w:r>
      <w:r w:rsidR="00850320">
        <w:t xml:space="preserve"> evaluation (type B)</w:t>
      </w:r>
      <w:r w:rsidR="00A3286E">
        <w:t xml:space="preserve">, and the </w:t>
      </w:r>
      <w:r w:rsidR="00EB4F70">
        <w:t xml:space="preserve">measurement of </w:t>
      </w:r>
      <w:r w:rsidR="00CA11EE">
        <w:t>odour quant</w:t>
      </w:r>
      <w:r w:rsidR="00EB4F70">
        <w:t>i</w:t>
      </w:r>
      <w:r w:rsidR="00CA11EE">
        <w:t>ty</w:t>
      </w:r>
      <w:r w:rsidR="00A15267">
        <w:t xml:space="preserve"> </w:t>
      </w:r>
      <w:r w:rsidR="006F45EB">
        <w:t>defining</w:t>
      </w:r>
      <w:r w:rsidR="00A15267">
        <w:t xml:space="preserve"> an odour concentration</w:t>
      </w:r>
      <w:r w:rsidR="006F45EB">
        <w:t xml:space="preserve"> determined </w:t>
      </w:r>
      <w:r w:rsidR="002C14BE">
        <w:t>according to</w:t>
      </w:r>
      <w:r w:rsidR="006F45EB">
        <w:t xml:space="preserve"> the UNI EN 13725 standard (type C).</w:t>
      </w:r>
      <w:r w:rsidR="00572253">
        <w:t xml:space="preserve"> </w:t>
      </w:r>
    </w:p>
    <w:p w14:paraId="297E3521" w14:textId="0C0CF16F" w:rsidR="00AA4294" w:rsidRPr="000A5D73" w:rsidRDefault="00374AE8" w:rsidP="00AA4294">
      <w:pPr>
        <w:pStyle w:val="CETBodytext"/>
        <w:rPr>
          <w:lang w:val="en-GB"/>
        </w:rPr>
      </w:pPr>
      <w:r w:rsidRPr="000A5D73">
        <w:t xml:space="preserve">UNI </w:t>
      </w:r>
      <w:r w:rsidR="003F5379" w:rsidRPr="000A5D73">
        <w:t>EN 13725 is the European standard for determining odour concentration using dynamic olfactometry and for estimating odour emission rates from fixed sources. It applies to point sources such as chimneys or flues, active area sources, and passive area sources such as API tanks.</w:t>
      </w:r>
      <w:r w:rsidR="00572253">
        <w:t xml:space="preserve"> </w:t>
      </w:r>
      <w:r w:rsidR="00273B3C" w:rsidRPr="000A5D73">
        <w:rPr>
          <w:lang w:val="en-GB"/>
        </w:rPr>
        <w:t>It is</w:t>
      </w:r>
      <w:r w:rsidR="00AA4294" w:rsidRPr="000A5D73">
        <w:rPr>
          <w:lang w:val="en-GB"/>
        </w:rPr>
        <w:t xml:space="preserve"> based </w:t>
      </w:r>
      <w:r w:rsidR="00273B3C" w:rsidRPr="000A5D73">
        <w:rPr>
          <w:lang w:val="en-GB"/>
        </w:rPr>
        <w:t xml:space="preserve">on </w:t>
      </w:r>
      <w:r w:rsidR="00AA4294" w:rsidRPr="000A5D73">
        <w:rPr>
          <w:lang w:val="en-GB"/>
        </w:rPr>
        <w:t>that the odour concentration is proportional to the dilution factor required for the odour to no longer be detected by a group of suitably selected and trained human assessors.</w:t>
      </w:r>
      <w:r w:rsidR="009541D9">
        <w:rPr>
          <w:lang w:val="en-GB"/>
        </w:rPr>
        <w:t xml:space="preserve"> </w:t>
      </w:r>
      <w:r w:rsidR="00AA4294" w:rsidRPr="000A5D73">
        <w:rPr>
          <w:lang w:val="en-GB"/>
        </w:rPr>
        <w:t>The measurement result is expressed in European odour units per cubic metre (</w:t>
      </w:r>
      <w:proofErr w:type="spellStart"/>
      <w:r w:rsidR="00AA4294" w:rsidRPr="000A5D73">
        <w:rPr>
          <w:lang w:val="en-GB"/>
        </w:rPr>
        <w:t>ouE</w:t>
      </w:r>
      <w:proofErr w:type="spellEnd"/>
      <w:r w:rsidR="00AA4294" w:rsidRPr="000A5D73">
        <w:rPr>
          <w:lang w:val="en-GB"/>
        </w:rPr>
        <w:t xml:space="preserve">/m³), where 1 </w:t>
      </w:r>
      <w:proofErr w:type="spellStart"/>
      <w:r w:rsidR="00AA4294" w:rsidRPr="000A5D73">
        <w:rPr>
          <w:lang w:val="en-GB"/>
        </w:rPr>
        <w:t>ouE</w:t>
      </w:r>
      <w:proofErr w:type="spellEnd"/>
      <w:r w:rsidR="00AA4294" w:rsidRPr="000A5D73">
        <w:rPr>
          <w:lang w:val="en-GB"/>
        </w:rPr>
        <w:t>/m³ corresponds, by definition, to the odour detection threshold.</w:t>
      </w:r>
    </w:p>
    <w:p w14:paraId="193095B9" w14:textId="07D15681" w:rsidR="00203392" w:rsidRPr="000A5D73" w:rsidRDefault="00203392" w:rsidP="00203392">
      <w:pPr>
        <w:pStyle w:val="CETBodytext"/>
        <w:rPr>
          <w:lang w:val="en-GB"/>
        </w:rPr>
      </w:pPr>
      <w:r w:rsidRPr="000A5D73">
        <w:rPr>
          <w:lang w:val="en-GB"/>
        </w:rPr>
        <w:t>Odour Field Inspection is a monitoring technique that objectively measures the extent and frequency of odour perception across a given area. It involves the odours assessment in ambient air by selected and trained odour assessors, who carry out measurement surveys at specified times, locations and routes, recording the presence and odours quality attributable to the plant considered. The procedure for carrying out odour field inspection is set out in the UNI EN 16841-1 standard, which is based on the German VDI 3940 Part 1 standard.</w:t>
      </w:r>
    </w:p>
    <w:p w14:paraId="2C316EA8" w14:textId="19E3FBB6" w:rsidR="001503D3" w:rsidRPr="000A5D73" w:rsidRDefault="001503D3" w:rsidP="001503D3">
      <w:pPr>
        <w:pStyle w:val="CETBodytext"/>
        <w:rPr>
          <w:lang w:val="en-GB"/>
        </w:rPr>
      </w:pPr>
      <w:r w:rsidRPr="000A5D73">
        <w:rPr>
          <w:lang w:val="en-GB"/>
        </w:rPr>
        <w:t xml:space="preserve">In addition to dynamic olfactometry, chemical analysis techniques provide essential support for odour monitoring in refineries, as they enable the identification and quantification of the individual compounds responsible for odour emissions. Among </w:t>
      </w:r>
      <w:r w:rsidRPr="001805CB">
        <w:rPr>
          <w:lang w:val="en-GB"/>
        </w:rPr>
        <w:t>these, gas chromatography is widely used and is often combined with mass spectrometry (GC-MS)</w:t>
      </w:r>
      <w:r w:rsidR="00770794" w:rsidRPr="001805CB">
        <w:rPr>
          <w:lang w:val="en-GB"/>
        </w:rPr>
        <w:t xml:space="preserve"> and </w:t>
      </w:r>
      <w:r w:rsidR="00273FCE" w:rsidRPr="001805CB">
        <w:rPr>
          <w:lang w:val="en-GB"/>
        </w:rPr>
        <w:t>Gas Chromatography - Ion Mobility Spectrometer</w:t>
      </w:r>
      <w:r w:rsidR="00833BC0" w:rsidRPr="001805CB">
        <w:rPr>
          <w:lang w:val="en-GB"/>
        </w:rPr>
        <w:t xml:space="preserve"> </w:t>
      </w:r>
      <w:r w:rsidR="00ED5CB8">
        <w:rPr>
          <w:lang w:val="en-GB"/>
        </w:rPr>
        <w:t xml:space="preserve">(GC-IMS) </w:t>
      </w:r>
      <w:r w:rsidR="00833BC0" w:rsidRPr="001805CB">
        <w:rPr>
          <w:lang w:val="en-GB"/>
        </w:rPr>
        <w:t>(Vera</w:t>
      </w:r>
      <w:r w:rsidR="00833BC0">
        <w:rPr>
          <w:lang w:val="en-GB"/>
        </w:rPr>
        <w:t xml:space="preserve"> et al. </w:t>
      </w:r>
      <w:r w:rsidR="001805CB">
        <w:rPr>
          <w:lang w:val="en-GB"/>
        </w:rPr>
        <w:t>2016</w:t>
      </w:r>
      <w:r w:rsidR="00833BC0">
        <w:rPr>
          <w:lang w:val="en-GB"/>
        </w:rPr>
        <w:t>)</w:t>
      </w:r>
      <w:r w:rsidR="007C5EAE" w:rsidRPr="00833BC0">
        <w:rPr>
          <w:lang w:val="en-GB"/>
        </w:rPr>
        <w:t>.</w:t>
      </w:r>
      <w:r w:rsidR="00273FCE" w:rsidRPr="00273FCE">
        <w:rPr>
          <w:lang w:val="en-GB"/>
        </w:rPr>
        <w:t xml:space="preserve"> </w:t>
      </w:r>
      <w:r w:rsidRPr="000A5D73">
        <w:rPr>
          <w:lang w:val="en-GB"/>
        </w:rPr>
        <w:t>Continuous analysers are also used for specific compounds, such as H</w:t>
      </w:r>
      <w:r w:rsidRPr="000A5D73">
        <w:rPr>
          <w:rFonts w:ascii="Cambria Math" w:hAnsi="Cambria Math" w:cs="Cambria Math"/>
          <w:lang w:val="en-GB"/>
        </w:rPr>
        <w:t>₂</w:t>
      </w:r>
      <w:r w:rsidRPr="000A5D73">
        <w:rPr>
          <w:lang w:val="en-GB"/>
        </w:rPr>
        <w:t>S and SO</w:t>
      </w:r>
      <w:r w:rsidRPr="000A5D73">
        <w:rPr>
          <w:rFonts w:ascii="Cambria Math" w:hAnsi="Cambria Math" w:cs="Cambria Math"/>
          <w:lang w:val="en-GB"/>
        </w:rPr>
        <w:t>₂</w:t>
      </w:r>
      <w:r w:rsidRPr="000A5D73">
        <w:rPr>
          <w:lang w:val="en-GB"/>
        </w:rPr>
        <w:t>, and sampling systems for volatile organic compounds (VOCs).</w:t>
      </w:r>
    </w:p>
    <w:p w14:paraId="5CC5CCC4" w14:textId="77777777" w:rsidR="001503D3" w:rsidRPr="000A5D73" w:rsidRDefault="001503D3" w:rsidP="001503D3">
      <w:pPr>
        <w:pStyle w:val="CETBodytext"/>
        <w:rPr>
          <w:lang w:val="en-GB"/>
        </w:rPr>
      </w:pPr>
      <w:r w:rsidRPr="000A5D73">
        <w:rPr>
          <w:lang w:val="en-GB"/>
        </w:rPr>
        <w:t xml:space="preserve">These methods offer high analytical precision and are widely used for process control and to verify compliance with the emission limits set by the IEA. </w:t>
      </w:r>
    </w:p>
    <w:p w14:paraId="13021451" w14:textId="1B408B3F" w:rsidR="00514F6E" w:rsidRPr="000A5D73" w:rsidRDefault="00514F6E" w:rsidP="00514F6E">
      <w:pPr>
        <w:pStyle w:val="CETBodytext"/>
        <w:rPr>
          <w:lang w:val="en-GB"/>
        </w:rPr>
      </w:pPr>
      <w:r w:rsidRPr="000A5D73">
        <w:rPr>
          <w:lang w:val="en-GB"/>
        </w:rPr>
        <w:t>The olfactometric and chemical measurements</w:t>
      </w:r>
      <w:r w:rsidR="00FD0F07" w:rsidRPr="000A5D73">
        <w:rPr>
          <w:lang w:val="en-GB"/>
        </w:rPr>
        <w:t xml:space="preserve"> results</w:t>
      </w:r>
      <w:r w:rsidRPr="000A5D73">
        <w:rPr>
          <w:lang w:val="en-GB"/>
        </w:rPr>
        <w:t xml:space="preserve"> are often used as input for dispersion models, </w:t>
      </w:r>
      <w:r w:rsidR="00AC3A6D" w:rsidRPr="000A5D73">
        <w:rPr>
          <w:lang w:val="en-GB"/>
        </w:rPr>
        <w:t>to</w:t>
      </w:r>
      <w:r w:rsidRPr="000A5D73">
        <w:rPr>
          <w:lang w:val="en-GB"/>
        </w:rPr>
        <w:t xml:space="preserve"> estimat</w:t>
      </w:r>
      <w:r w:rsidR="00AC3A6D" w:rsidRPr="000A5D73">
        <w:rPr>
          <w:lang w:val="en-GB"/>
        </w:rPr>
        <w:t>e</w:t>
      </w:r>
      <w:r w:rsidRPr="000A5D73">
        <w:rPr>
          <w:lang w:val="en-GB"/>
        </w:rPr>
        <w:t xml:space="preserve"> the odour impact on the surrounding area. This approach </w:t>
      </w:r>
      <w:r w:rsidR="00AC3A6D" w:rsidRPr="000A5D73">
        <w:rPr>
          <w:lang w:val="en-GB"/>
        </w:rPr>
        <w:t>allows the identification of</w:t>
      </w:r>
      <w:r w:rsidRPr="000A5D73">
        <w:rPr>
          <w:lang w:val="en-GB"/>
        </w:rPr>
        <w:t xml:space="preserve"> the most exposed areas, evaluate alternative operational scenarios and support decision-making during the permitting phase.</w:t>
      </w:r>
    </w:p>
    <w:p w14:paraId="0436A368" w14:textId="77777777" w:rsidR="00514F6E" w:rsidRPr="000A5D73" w:rsidRDefault="00514F6E" w:rsidP="00514F6E">
      <w:pPr>
        <w:pStyle w:val="CETBodytext"/>
        <w:rPr>
          <w:lang w:val="en-GB"/>
        </w:rPr>
      </w:pPr>
      <w:r w:rsidRPr="000A5D73">
        <w:rPr>
          <w:lang w:val="en-GB"/>
        </w:rPr>
        <w:t>In industrial practice, odour management in refineries is based on an integrated approach, combining direct measurements, continuous monitoring, modelling and environmental management systems.</w:t>
      </w:r>
    </w:p>
    <w:p w14:paraId="55E41D32" w14:textId="6EA212EB" w:rsidR="008005FF" w:rsidRPr="000A5D73" w:rsidRDefault="008005FF" w:rsidP="00453E24">
      <w:pPr>
        <w:pStyle w:val="CETBodytext"/>
        <w:rPr>
          <w:lang w:val="en-GB"/>
        </w:rPr>
      </w:pPr>
      <w:r>
        <w:rPr>
          <w:lang w:val="en-GB"/>
        </w:rPr>
        <w:t xml:space="preserve">Among the Italian regulation the </w:t>
      </w:r>
      <w:r w:rsidR="00EF3137" w:rsidRPr="00725B3E">
        <w:t xml:space="preserve">Ministry of the Environment </w:t>
      </w:r>
      <w:r>
        <w:rPr>
          <w:lang w:val="en-GB"/>
        </w:rPr>
        <w:t xml:space="preserve">Directorial Decree </w:t>
      </w:r>
      <w:r w:rsidR="00DB3B9B" w:rsidRPr="00725B3E">
        <w:rPr>
          <w:lang w:val="en-GB"/>
        </w:rPr>
        <w:t>n. 309 of 28/06/2023</w:t>
      </w:r>
      <w:r w:rsidR="00EF3137">
        <w:rPr>
          <w:lang w:val="en-GB"/>
        </w:rPr>
        <w:t xml:space="preserve"> (</w:t>
      </w:r>
      <w:r w:rsidR="00710467">
        <w:rPr>
          <w:lang w:val="en-GB"/>
        </w:rPr>
        <w:t xml:space="preserve">MASE, </w:t>
      </w:r>
      <w:r w:rsidR="00EF3137">
        <w:rPr>
          <w:lang w:val="en-GB"/>
        </w:rPr>
        <w:t xml:space="preserve">2023), </w:t>
      </w:r>
      <w:r w:rsidR="00D80F89">
        <w:rPr>
          <w:lang w:val="en-GB"/>
        </w:rPr>
        <w:t xml:space="preserve">in Addendum n. 5 </w:t>
      </w:r>
      <w:r w:rsidR="004C3E7D">
        <w:rPr>
          <w:lang w:val="en-GB"/>
        </w:rPr>
        <w:t>report</w:t>
      </w:r>
      <w:r w:rsidR="003B0202">
        <w:rPr>
          <w:lang w:val="en-GB"/>
        </w:rPr>
        <w:t xml:space="preserve">s </w:t>
      </w:r>
      <w:r w:rsidR="00B56695">
        <w:rPr>
          <w:lang w:val="en-GB"/>
        </w:rPr>
        <w:t xml:space="preserve">useful information on </w:t>
      </w:r>
      <w:r w:rsidR="008742D2">
        <w:rPr>
          <w:lang w:val="en-GB"/>
        </w:rPr>
        <w:t>how to correctly implement and use a IOMS network in the industrial field.</w:t>
      </w:r>
    </w:p>
    <w:p w14:paraId="22F37CC8" w14:textId="22ED1654" w:rsidR="001206B3" w:rsidRPr="000A5D73" w:rsidRDefault="00572253" w:rsidP="00031428">
      <w:pPr>
        <w:pStyle w:val="CETheadingx"/>
        <w:rPr>
          <w:lang w:val="it-IT"/>
        </w:rPr>
      </w:pPr>
      <w:proofErr w:type="spellStart"/>
      <w:r>
        <w:rPr>
          <w:lang w:val="it-IT"/>
        </w:rPr>
        <w:t>IOMS</w:t>
      </w:r>
      <w:r w:rsidR="008D1889">
        <w:rPr>
          <w:lang w:val="it-IT"/>
        </w:rPr>
        <w:t>s</w:t>
      </w:r>
      <w:proofErr w:type="spellEnd"/>
      <w:r w:rsidR="00031428" w:rsidRPr="000A5D73">
        <w:rPr>
          <w:lang w:val="it-IT"/>
        </w:rPr>
        <w:t xml:space="preserve"> network</w:t>
      </w:r>
    </w:p>
    <w:p w14:paraId="64CA8FA2" w14:textId="14CE74FA" w:rsidR="00D16F66" w:rsidRPr="000A5D73" w:rsidRDefault="00D16F66" w:rsidP="00D16F66">
      <w:pPr>
        <w:pStyle w:val="CETBodytext"/>
      </w:pPr>
      <w:r w:rsidRPr="000A5D73">
        <w:t xml:space="preserve">The </w:t>
      </w:r>
      <w:r w:rsidR="00D317B6">
        <w:t>IOMS</w:t>
      </w:r>
      <w:r w:rsidR="008D1889">
        <w:t>s</w:t>
      </w:r>
      <w:r w:rsidR="00D317B6">
        <w:t xml:space="preserve"> </w:t>
      </w:r>
      <w:r w:rsidRPr="000A5D73">
        <w:t>network is designed to promptly detect any changes in ambient air composition before they can potentially cause olfactory disturbances outside the plant.</w:t>
      </w:r>
      <w:r w:rsidR="005C0BEB">
        <w:t xml:space="preserve"> </w:t>
      </w:r>
      <w:r w:rsidRPr="000A5D73">
        <w:t>Generally, th</w:t>
      </w:r>
      <w:r w:rsidR="005C0BEB">
        <w:t>at</w:t>
      </w:r>
      <w:r w:rsidRPr="000A5D73">
        <w:t xml:space="preserve"> network is complemented by instruments for measuring meteorological conditions, such as wind direction and intensity, given that they have a significant impact on VOC dispersion.</w:t>
      </w:r>
    </w:p>
    <w:p w14:paraId="7C409C4C" w14:textId="4F7D0EAB" w:rsidR="00534111" w:rsidRPr="000A5D73" w:rsidRDefault="00D16F66" w:rsidP="00534111">
      <w:pPr>
        <w:pStyle w:val="CETBodytext"/>
        <w:rPr>
          <w:lang w:val="en-GB"/>
        </w:rPr>
      </w:pPr>
      <w:r w:rsidRPr="000A5D73">
        <w:lastRenderedPageBreak/>
        <w:t xml:space="preserve">In the </w:t>
      </w:r>
      <w:r w:rsidR="00295561" w:rsidRPr="000A5D73">
        <w:t>three</w:t>
      </w:r>
      <w:r w:rsidRPr="000A5D73">
        <w:t xml:space="preserve"> Italian refineries considered, the networks respectively consist</w:t>
      </w:r>
      <w:r w:rsidR="006B3B89" w:rsidRPr="000A5D73">
        <w:t xml:space="preserve"> in a certain number of </w:t>
      </w:r>
      <w:r w:rsidR="00C302BA" w:rsidRPr="000A5D73">
        <w:t>eNoses,</w:t>
      </w:r>
      <w:r w:rsidR="006B3B89" w:rsidRPr="000A5D73">
        <w:t xml:space="preserve"> and anemometers as described in Table </w:t>
      </w:r>
      <w:r w:rsidR="001D2871" w:rsidRPr="000A5D73">
        <w:t>1</w:t>
      </w:r>
      <w:r w:rsidRPr="000A5D73">
        <w:t>, installed 4 meters above the ground on lighting towers or electrical substations, positioned to fully cover the plant perimeter and ensure network redundancy; anemometers are used to measure wind direction and intensity.</w:t>
      </w:r>
      <w:r w:rsidR="005C0BEB">
        <w:t xml:space="preserve"> </w:t>
      </w:r>
      <w:r w:rsidR="00534111" w:rsidRPr="000A5D73">
        <w:rPr>
          <w:lang w:val="en-GB"/>
        </w:rPr>
        <w:t xml:space="preserve">The </w:t>
      </w:r>
      <w:r w:rsidR="00C302BA" w:rsidRPr="000A5D73">
        <w:rPr>
          <w:lang w:val="en-GB"/>
        </w:rPr>
        <w:t>analysers</w:t>
      </w:r>
      <w:r w:rsidR="00534111" w:rsidRPr="000A5D73">
        <w:rPr>
          <w:lang w:val="en-GB"/>
        </w:rPr>
        <w:t xml:space="preserve"> positioning is planned considering the meteorological conditions and area topography, </w:t>
      </w:r>
      <w:r w:rsidR="00C302BA" w:rsidRPr="000A5D73">
        <w:rPr>
          <w:lang w:val="en-GB"/>
        </w:rPr>
        <w:t>considering</w:t>
      </w:r>
      <w:r w:rsidR="00534111" w:rsidRPr="000A5D73">
        <w:rPr>
          <w:lang w:val="en-GB"/>
        </w:rPr>
        <w:t xml:space="preserve"> wind </w:t>
      </w:r>
      <w:r w:rsidR="00C302BA" w:rsidRPr="000A5D73">
        <w:rPr>
          <w:lang w:val="en-GB"/>
        </w:rPr>
        <w:t>tunnelling</w:t>
      </w:r>
      <w:r w:rsidR="00534111" w:rsidRPr="000A5D73">
        <w:rPr>
          <w:lang w:val="en-GB"/>
        </w:rPr>
        <w:t xml:space="preserve"> effects, and is generally </w:t>
      </w:r>
      <w:r w:rsidR="005C0700" w:rsidRPr="000A5D73">
        <w:rPr>
          <w:lang w:val="en-GB"/>
        </w:rPr>
        <w:t>defined</w:t>
      </w:r>
      <w:r w:rsidR="00534111" w:rsidRPr="000A5D73">
        <w:rPr>
          <w:lang w:val="en-GB"/>
        </w:rPr>
        <w:t xml:space="preserve"> to ensure the protection of the main sensitive receptors</w:t>
      </w:r>
      <w:r w:rsidR="005C0700" w:rsidRPr="000A5D73">
        <w:rPr>
          <w:lang w:val="en-GB"/>
        </w:rPr>
        <w:t xml:space="preserve"> </w:t>
      </w:r>
      <w:r w:rsidR="00534111" w:rsidRPr="000A5D73">
        <w:rPr>
          <w:lang w:val="en-GB"/>
        </w:rPr>
        <w:t>located along these wind paths.</w:t>
      </w:r>
    </w:p>
    <w:p w14:paraId="33BC2693" w14:textId="6EEF1E30" w:rsidR="001D2871" w:rsidRPr="000A5D73" w:rsidRDefault="001D2871" w:rsidP="001D2871">
      <w:pPr>
        <w:pStyle w:val="CETTabletitle"/>
      </w:pPr>
      <w:r w:rsidRPr="000A5D73">
        <w:t xml:space="preserve">Table 1: Characteristics of </w:t>
      </w:r>
      <w:r w:rsidR="005C0BEB">
        <w:t>IOMSs</w:t>
      </w:r>
      <w:r w:rsidRPr="000A5D73">
        <w:t xml:space="preserve"> networks.</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134"/>
        <w:gridCol w:w="1134"/>
        <w:gridCol w:w="1134"/>
        <w:gridCol w:w="1701"/>
      </w:tblGrid>
      <w:tr w:rsidR="003E1CF4" w:rsidRPr="000A5D73" w14:paraId="7471328C" w14:textId="77777777" w:rsidTr="00524878">
        <w:tc>
          <w:tcPr>
            <w:tcW w:w="1134" w:type="dxa"/>
            <w:tcBorders>
              <w:top w:val="single" w:sz="12" w:space="0" w:color="008000"/>
              <w:bottom w:val="single" w:sz="6" w:space="0" w:color="008000"/>
            </w:tcBorders>
            <w:shd w:val="clear" w:color="auto" w:fill="FFFFFF"/>
          </w:tcPr>
          <w:p w14:paraId="54209B76" w14:textId="418970B0" w:rsidR="003E1CF4" w:rsidRPr="000A5D73" w:rsidRDefault="003E1CF4">
            <w:pPr>
              <w:pStyle w:val="CETBodytext"/>
              <w:rPr>
                <w:lang w:val="en-GB"/>
              </w:rPr>
            </w:pPr>
            <w:r w:rsidRPr="000A5D73">
              <w:rPr>
                <w:lang w:val="en-GB"/>
              </w:rPr>
              <w:t>Network</w:t>
            </w:r>
          </w:p>
        </w:tc>
        <w:tc>
          <w:tcPr>
            <w:tcW w:w="1134" w:type="dxa"/>
            <w:tcBorders>
              <w:top w:val="single" w:sz="12" w:space="0" w:color="008000"/>
              <w:bottom w:val="single" w:sz="6" w:space="0" w:color="008000"/>
            </w:tcBorders>
            <w:shd w:val="clear" w:color="auto" w:fill="FFFFFF"/>
          </w:tcPr>
          <w:p w14:paraId="5A44DCA2" w14:textId="39FCF29A" w:rsidR="003E1CF4" w:rsidRPr="000A5D73" w:rsidRDefault="00A46D3D">
            <w:pPr>
              <w:pStyle w:val="CETBodytext"/>
              <w:rPr>
                <w:lang w:val="en-GB"/>
              </w:rPr>
            </w:pPr>
            <w:r>
              <w:rPr>
                <w:lang w:val="en-GB"/>
              </w:rPr>
              <w:t>#</w:t>
            </w:r>
            <w:r w:rsidR="005C0BEB">
              <w:rPr>
                <w:lang w:val="en-GB"/>
              </w:rPr>
              <w:t>IOMS</w:t>
            </w:r>
          </w:p>
        </w:tc>
        <w:tc>
          <w:tcPr>
            <w:tcW w:w="1134" w:type="dxa"/>
            <w:tcBorders>
              <w:top w:val="single" w:sz="12" w:space="0" w:color="008000"/>
              <w:bottom w:val="single" w:sz="6" w:space="0" w:color="008000"/>
            </w:tcBorders>
            <w:shd w:val="clear" w:color="auto" w:fill="FFFFFF"/>
          </w:tcPr>
          <w:p w14:paraId="01F8D157" w14:textId="0319F542" w:rsidR="003E1CF4" w:rsidRPr="000A5D73" w:rsidRDefault="003E1CF4">
            <w:pPr>
              <w:pStyle w:val="CETBodytext"/>
              <w:rPr>
                <w:lang w:val="en-GB"/>
              </w:rPr>
            </w:pPr>
            <w:r w:rsidRPr="000A5D73">
              <w:rPr>
                <w:lang w:val="en-GB"/>
              </w:rPr>
              <w:t>Anemometer</w:t>
            </w:r>
          </w:p>
        </w:tc>
        <w:tc>
          <w:tcPr>
            <w:tcW w:w="1701" w:type="dxa"/>
            <w:tcBorders>
              <w:top w:val="single" w:sz="12" w:space="0" w:color="008000"/>
              <w:bottom w:val="single" w:sz="6" w:space="0" w:color="008000"/>
            </w:tcBorders>
            <w:shd w:val="clear" w:color="auto" w:fill="FFFFFF"/>
          </w:tcPr>
          <w:p w14:paraId="4183B76B" w14:textId="3D1D82A7" w:rsidR="003E1CF4" w:rsidRPr="000A5D73" w:rsidRDefault="00D924E5">
            <w:pPr>
              <w:pStyle w:val="CETBodytext"/>
              <w:rPr>
                <w:lang w:val="en-GB"/>
              </w:rPr>
            </w:pPr>
            <w:r w:rsidRPr="000A5D73">
              <w:rPr>
                <w:lang w:val="en-GB"/>
              </w:rPr>
              <w:t xml:space="preserve">Sensitive </w:t>
            </w:r>
            <w:r w:rsidR="003E1CF4" w:rsidRPr="000A5D73">
              <w:rPr>
                <w:lang w:val="en-GB"/>
              </w:rPr>
              <w:t>Receptor</w:t>
            </w:r>
          </w:p>
        </w:tc>
      </w:tr>
      <w:tr w:rsidR="003E1CF4" w:rsidRPr="000A5D73" w14:paraId="1BDCFF88" w14:textId="77777777" w:rsidTr="00524878">
        <w:tc>
          <w:tcPr>
            <w:tcW w:w="1134" w:type="dxa"/>
            <w:shd w:val="clear" w:color="auto" w:fill="FFFFFF"/>
          </w:tcPr>
          <w:p w14:paraId="35AD18C6" w14:textId="0CAC25DA" w:rsidR="003E1CF4" w:rsidRPr="000A5D73" w:rsidRDefault="003E1CF4">
            <w:pPr>
              <w:pStyle w:val="CETBodytext"/>
              <w:rPr>
                <w:lang w:val="en-GB"/>
              </w:rPr>
            </w:pPr>
            <w:r w:rsidRPr="000A5D73">
              <w:rPr>
                <w:lang w:val="en-GB"/>
              </w:rPr>
              <w:t>1</w:t>
            </w:r>
          </w:p>
        </w:tc>
        <w:tc>
          <w:tcPr>
            <w:tcW w:w="1134" w:type="dxa"/>
            <w:shd w:val="clear" w:color="auto" w:fill="FFFFFF"/>
          </w:tcPr>
          <w:p w14:paraId="3BCAA52E" w14:textId="6BFD0258" w:rsidR="003E1CF4" w:rsidRPr="000A5D73" w:rsidRDefault="003E1CF4">
            <w:pPr>
              <w:pStyle w:val="CETBodytext"/>
              <w:rPr>
                <w:lang w:val="en-GB"/>
              </w:rPr>
            </w:pPr>
            <w:r w:rsidRPr="000A5D73">
              <w:rPr>
                <w:lang w:val="en-GB"/>
              </w:rPr>
              <w:t>19</w:t>
            </w:r>
          </w:p>
        </w:tc>
        <w:tc>
          <w:tcPr>
            <w:tcW w:w="1134" w:type="dxa"/>
            <w:shd w:val="clear" w:color="auto" w:fill="FFFFFF"/>
          </w:tcPr>
          <w:p w14:paraId="4C9C3DC5" w14:textId="644FE9A5" w:rsidR="003E1CF4" w:rsidRPr="000A5D73" w:rsidRDefault="003E1CF4">
            <w:pPr>
              <w:pStyle w:val="CETBodytext"/>
              <w:rPr>
                <w:lang w:val="en-GB"/>
              </w:rPr>
            </w:pPr>
            <w:r w:rsidRPr="000A5D73">
              <w:rPr>
                <w:lang w:val="en-GB"/>
              </w:rPr>
              <w:t>6</w:t>
            </w:r>
          </w:p>
        </w:tc>
        <w:tc>
          <w:tcPr>
            <w:tcW w:w="1701" w:type="dxa"/>
            <w:shd w:val="clear" w:color="auto" w:fill="FFFFFF"/>
          </w:tcPr>
          <w:p w14:paraId="20FA803E" w14:textId="07B2FA59" w:rsidR="003E1CF4" w:rsidRPr="000A5D73" w:rsidRDefault="00D924E5">
            <w:pPr>
              <w:pStyle w:val="CETBodytext"/>
              <w:rPr>
                <w:lang w:val="en-GB"/>
              </w:rPr>
            </w:pPr>
            <w:r w:rsidRPr="000A5D73">
              <w:rPr>
                <w:lang w:val="en-GB"/>
              </w:rPr>
              <w:t>14</w:t>
            </w:r>
          </w:p>
        </w:tc>
      </w:tr>
      <w:tr w:rsidR="003E1CF4" w:rsidRPr="000A5D73" w14:paraId="17529FA4" w14:textId="77777777" w:rsidTr="00524878">
        <w:tc>
          <w:tcPr>
            <w:tcW w:w="1134" w:type="dxa"/>
            <w:shd w:val="clear" w:color="auto" w:fill="FFFFFF"/>
          </w:tcPr>
          <w:p w14:paraId="0843D063" w14:textId="7D9AF9ED" w:rsidR="003E1CF4" w:rsidRPr="000A5D73" w:rsidRDefault="003E1CF4">
            <w:pPr>
              <w:pStyle w:val="CETBodytext"/>
              <w:ind w:right="-1"/>
              <w:rPr>
                <w:rFonts w:cs="Arial"/>
                <w:szCs w:val="18"/>
                <w:lang w:val="en-GB"/>
              </w:rPr>
            </w:pPr>
            <w:r w:rsidRPr="000A5D73">
              <w:rPr>
                <w:rFonts w:cs="Arial"/>
                <w:szCs w:val="18"/>
                <w:lang w:val="en-GB"/>
              </w:rPr>
              <w:t xml:space="preserve">2 </w:t>
            </w:r>
          </w:p>
        </w:tc>
        <w:tc>
          <w:tcPr>
            <w:tcW w:w="1134" w:type="dxa"/>
            <w:shd w:val="clear" w:color="auto" w:fill="FFFFFF"/>
          </w:tcPr>
          <w:p w14:paraId="554D68C8" w14:textId="7D5F6A53" w:rsidR="003E1CF4" w:rsidRPr="000A5D73" w:rsidRDefault="003E1CF4">
            <w:pPr>
              <w:pStyle w:val="CETBodytext"/>
              <w:ind w:right="-1"/>
              <w:rPr>
                <w:rFonts w:cs="Arial"/>
                <w:szCs w:val="18"/>
                <w:lang w:val="en-GB"/>
              </w:rPr>
            </w:pPr>
            <w:r w:rsidRPr="000A5D73">
              <w:rPr>
                <w:rFonts w:cs="Arial"/>
                <w:szCs w:val="18"/>
                <w:lang w:val="en-GB"/>
              </w:rPr>
              <w:t>13</w:t>
            </w:r>
          </w:p>
        </w:tc>
        <w:tc>
          <w:tcPr>
            <w:tcW w:w="1134" w:type="dxa"/>
            <w:shd w:val="clear" w:color="auto" w:fill="FFFFFF"/>
          </w:tcPr>
          <w:p w14:paraId="2C9E207C" w14:textId="507EF474" w:rsidR="003E1CF4" w:rsidRPr="000A5D73" w:rsidRDefault="003E1CF4">
            <w:pPr>
              <w:pStyle w:val="CETBodytext"/>
              <w:ind w:right="-1"/>
              <w:rPr>
                <w:rFonts w:cs="Arial"/>
                <w:szCs w:val="18"/>
                <w:lang w:val="en-GB"/>
              </w:rPr>
            </w:pPr>
            <w:r w:rsidRPr="000A5D73">
              <w:rPr>
                <w:rFonts w:cs="Arial"/>
                <w:szCs w:val="18"/>
                <w:lang w:val="en-GB"/>
              </w:rPr>
              <w:t>2</w:t>
            </w:r>
          </w:p>
        </w:tc>
        <w:tc>
          <w:tcPr>
            <w:tcW w:w="1701" w:type="dxa"/>
            <w:shd w:val="clear" w:color="auto" w:fill="FFFFFF"/>
          </w:tcPr>
          <w:p w14:paraId="49510991" w14:textId="55BC4079" w:rsidR="003E1CF4" w:rsidRPr="000A5D73" w:rsidRDefault="00E50AE0">
            <w:pPr>
              <w:pStyle w:val="CETBodytext"/>
              <w:ind w:right="-1"/>
              <w:rPr>
                <w:rFonts w:cs="Arial"/>
                <w:szCs w:val="18"/>
                <w:lang w:val="en-GB"/>
              </w:rPr>
            </w:pPr>
            <w:r>
              <w:rPr>
                <w:rFonts w:cs="Arial"/>
                <w:szCs w:val="18"/>
                <w:lang w:val="en-GB"/>
              </w:rPr>
              <w:t>-</w:t>
            </w:r>
          </w:p>
        </w:tc>
      </w:tr>
      <w:tr w:rsidR="003E1CF4" w:rsidRPr="000A5D73" w14:paraId="6B441F10" w14:textId="77777777" w:rsidTr="00524878">
        <w:tc>
          <w:tcPr>
            <w:tcW w:w="1134" w:type="dxa"/>
            <w:shd w:val="clear" w:color="auto" w:fill="FFFFFF"/>
          </w:tcPr>
          <w:p w14:paraId="38323B2B" w14:textId="63819578" w:rsidR="003E1CF4" w:rsidRPr="000A5D73" w:rsidRDefault="003E1CF4">
            <w:pPr>
              <w:pStyle w:val="CETBodytext"/>
              <w:ind w:right="-1"/>
              <w:rPr>
                <w:rFonts w:cs="Arial"/>
                <w:szCs w:val="18"/>
                <w:lang w:val="en-GB"/>
              </w:rPr>
            </w:pPr>
            <w:r w:rsidRPr="000A5D73">
              <w:rPr>
                <w:rFonts w:cs="Arial"/>
                <w:szCs w:val="18"/>
                <w:lang w:val="en-GB"/>
              </w:rPr>
              <w:t xml:space="preserve">3 </w:t>
            </w:r>
          </w:p>
        </w:tc>
        <w:tc>
          <w:tcPr>
            <w:tcW w:w="1134" w:type="dxa"/>
            <w:shd w:val="clear" w:color="auto" w:fill="FFFFFF"/>
          </w:tcPr>
          <w:p w14:paraId="7A14BD01" w14:textId="3174DB2F" w:rsidR="003E1CF4" w:rsidRPr="000A5D73" w:rsidRDefault="003E1CF4">
            <w:pPr>
              <w:pStyle w:val="CETBodytext"/>
              <w:ind w:right="-1"/>
              <w:rPr>
                <w:rFonts w:cs="Arial"/>
                <w:szCs w:val="18"/>
                <w:lang w:val="en-GB"/>
              </w:rPr>
            </w:pPr>
            <w:r w:rsidRPr="000A5D73">
              <w:rPr>
                <w:rFonts w:cs="Arial"/>
                <w:szCs w:val="18"/>
                <w:lang w:val="en-GB"/>
              </w:rPr>
              <w:t>2</w:t>
            </w:r>
          </w:p>
        </w:tc>
        <w:tc>
          <w:tcPr>
            <w:tcW w:w="1134" w:type="dxa"/>
            <w:shd w:val="clear" w:color="auto" w:fill="FFFFFF"/>
          </w:tcPr>
          <w:p w14:paraId="08A3CE25" w14:textId="6B097A21" w:rsidR="003E1CF4" w:rsidRPr="000A5D73" w:rsidRDefault="003E1CF4">
            <w:pPr>
              <w:pStyle w:val="CETBodytext"/>
              <w:ind w:right="-1"/>
              <w:rPr>
                <w:rFonts w:cs="Arial"/>
                <w:szCs w:val="18"/>
                <w:lang w:val="en-GB"/>
              </w:rPr>
            </w:pPr>
            <w:r w:rsidRPr="000A5D73">
              <w:rPr>
                <w:rFonts w:cs="Arial"/>
                <w:szCs w:val="18"/>
                <w:lang w:val="en-GB"/>
              </w:rPr>
              <w:t>1</w:t>
            </w:r>
          </w:p>
        </w:tc>
        <w:tc>
          <w:tcPr>
            <w:tcW w:w="1701" w:type="dxa"/>
            <w:shd w:val="clear" w:color="auto" w:fill="FFFFFF"/>
          </w:tcPr>
          <w:p w14:paraId="0F2821CF" w14:textId="7DE7ED02" w:rsidR="003E1CF4" w:rsidRPr="000A5D73" w:rsidRDefault="00F86E4F">
            <w:pPr>
              <w:pStyle w:val="CETBodytext"/>
              <w:ind w:right="-1"/>
              <w:rPr>
                <w:rFonts w:cs="Arial"/>
                <w:szCs w:val="18"/>
                <w:lang w:val="en-GB"/>
              </w:rPr>
            </w:pPr>
            <w:r w:rsidRPr="000A5D73">
              <w:rPr>
                <w:rFonts w:cs="Arial"/>
                <w:szCs w:val="18"/>
                <w:lang w:val="en-GB"/>
              </w:rPr>
              <w:t>8</w:t>
            </w:r>
          </w:p>
        </w:tc>
      </w:tr>
    </w:tbl>
    <w:p w14:paraId="056486C2" w14:textId="77777777" w:rsidR="001D2871" w:rsidRPr="000A5D73" w:rsidRDefault="001D2871" w:rsidP="00D16F66">
      <w:pPr>
        <w:pStyle w:val="CETBodytext"/>
      </w:pPr>
    </w:p>
    <w:p w14:paraId="50E15A68" w14:textId="1E8BB633" w:rsidR="008B3048" w:rsidRPr="000A5D73" w:rsidRDefault="006B5C0A" w:rsidP="006B5C0A">
      <w:pPr>
        <w:pStyle w:val="CETBodytext"/>
        <w:jc w:val="left"/>
      </w:pPr>
      <w:r w:rsidRPr="000A5D73">
        <w:rPr>
          <w:noProof/>
        </w:rPr>
        <w:drawing>
          <wp:inline distT="0" distB="0" distL="0" distR="0" wp14:anchorId="74767085" wp14:editId="130D1E11">
            <wp:extent cx="4617716" cy="3265170"/>
            <wp:effectExtent l="0" t="0" r="0" b="0"/>
            <wp:docPr id="5409511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51180" name="Immagine 1"/>
                    <pic:cNvPicPr>
                      <a:picLocks noChangeAspect="1" noChangeArrowheads="1"/>
                    </pic:cNvPicPr>
                  </pic:nvPicPr>
                  <pic:blipFill>
                    <a:blip r:embed="rId10"/>
                    <a:stretch>
                      <a:fillRect/>
                    </a:stretch>
                  </pic:blipFill>
                  <pic:spPr bwMode="auto">
                    <a:xfrm>
                      <a:off x="0" y="0"/>
                      <a:ext cx="4629254" cy="3273328"/>
                    </a:xfrm>
                    <a:prstGeom prst="rect">
                      <a:avLst/>
                    </a:prstGeom>
                    <a:noFill/>
                    <a:ln>
                      <a:noFill/>
                    </a:ln>
                  </pic:spPr>
                </pic:pic>
              </a:graphicData>
            </a:graphic>
          </wp:inline>
        </w:drawing>
      </w:r>
    </w:p>
    <w:p w14:paraId="718A4984" w14:textId="07B2D5B2" w:rsidR="00683673" w:rsidRPr="000A5D73" w:rsidRDefault="006B5C0A" w:rsidP="00683673">
      <w:pPr>
        <w:pStyle w:val="CETCaption"/>
      </w:pPr>
      <w:r w:rsidRPr="000A5D73">
        <w:rPr>
          <w:rStyle w:val="CETCaptionCarattere"/>
          <w:i/>
        </w:rPr>
        <w:t xml:space="preserve">Figure 1: </w:t>
      </w:r>
      <w:r w:rsidR="005C0BEB">
        <w:rPr>
          <w:rStyle w:val="CETCaptionCarattere"/>
          <w:i/>
        </w:rPr>
        <w:t>IOMSs</w:t>
      </w:r>
      <w:r w:rsidR="00B859B9" w:rsidRPr="000A5D73">
        <w:rPr>
          <w:rStyle w:val="CETCaptionCarattere"/>
          <w:i/>
        </w:rPr>
        <w:t xml:space="preserve"> network of </w:t>
      </w:r>
      <w:r w:rsidR="007F69D8" w:rsidRPr="000A5D73">
        <w:rPr>
          <w:rStyle w:val="CETCaptionCarattere"/>
          <w:i/>
        </w:rPr>
        <w:t xml:space="preserve">an </w:t>
      </w:r>
      <w:r w:rsidR="00B859B9" w:rsidRPr="000A5D73">
        <w:rPr>
          <w:rStyle w:val="CETCaptionCarattere"/>
          <w:i/>
        </w:rPr>
        <w:t xml:space="preserve">Italian refinery </w:t>
      </w:r>
      <w:r w:rsidR="002B7319" w:rsidRPr="000A5D73">
        <w:rPr>
          <w:rStyle w:val="CETCaptionCarattere"/>
          <w:i/>
        </w:rPr>
        <w:t xml:space="preserve">including the refinery </w:t>
      </w:r>
      <w:r w:rsidR="002B7319" w:rsidRPr="000A5D73">
        <w:t>sensitive receptors</w:t>
      </w:r>
      <w:r w:rsidR="00FC7B64" w:rsidRPr="000A5D73">
        <w:rPr>
          <w:rStyle w:val="CETCaptionCarattere"/>
          <w:i/>
        </w:rPr>
        <w:t xml:space="preserve">. In the </w:t>
      </w:r>
      <w:r w:rsidR="001259E9" w:rsidRPr="000A5D73">
        <w:rPr>
          <w:rStyle w:val="CETCaptionCarattere"/>
          <w:i/>
        </w:rPr>
        <w:t xml:space="preserve">bottom-right-hand corner is reported </w:t>
      </w:r>
      <w:r w:rsidR="000C2A3A" w:rsidRPr="000A5D73">
        <w:rPr>
          <w:rStyle w:val="CETCaptionCarattere"/>
          <w:i/>
        </w:rPr>
        <w:t xml:space="preserve">the highlights </w:t>
      </w:r>
      <w:r w:rsidR="00A46D3D">
        <w:rPr>
          <w:rStyle w:val="CETCaptionCarattere"/>
          <w:i/>
        </w:rPr>
        <w:t xml:space="preserve">of </w:t>
      </w:r>
      <w:r w:rsidR="001259E9" w:rsidRPr="000A5D73">
        <w:rPr>
          <w:rStyle w:val="CETCaptionCarattere"/>
          <w:i/>
        </w:rPr>
        <w:t>the IOM</w:t>
      </w:r>
      <w:r w:rsidR="005C0BEB">
        <w:rPr>
          <w:rStyle w:val="CETCaptionCarattere"/>
          <w:i/>
        </w:rPr>
        <w:t>S</w:t>
      </w:r>
      <w:r w:rsidR="00A46D3D">
        <w:rPr>
          <w:rStyle w:val="CETCaptionCarattere"/>
          <w:i/>
        </w:rPr>
        <w:t>s</w:t>
      </w:r>
      <w:r w:rsidR="001259E9" w:rsidRPr="000A5D73">
        <w:rPr>
          <w:rStyle w:val="CETCaptionCarattere"/>
          <w:i/>
        </w:rPr>
        <w:t xml:space="preserve"> positions</w:t>
      </w:r>
      <w:r w:rsidR="00683673" w:rsidRPr="000A5D73">
        <w:t>.</w:t>
      </w:r>
    </w:p>
    <w:p w14:paraId="2F692910" w14:textId="20F52549" w:rsidR="006F1F75" w:rsidRPr="000A5D73" w:rsidRDefault="006F1F75" w:rsidP="006F1F75">
      <w:pPr>
        <w:pStyle w:val="CETBodytext"/>
        <w:rPr>
          <w:lang w:val="en-GB"/>
        </w:rPr>
      </w:pPr>
      <w:r w:rsidRPr="000A5D73">
        <w:rPr>
          <w:lang w:val="en-GB"/>
        </w:rPr>
        <w:t xml:space="preserve">The </w:t>
      </w:r>
      <w:r w:rsidR="00D317B6">
        <w:rPr>
          <w:lang w:val="en-GB"/>
        </w:rPr>
        <w:t>IOMS (</w:t>
      </w:r>
      <w:r w:rsidRPr="000A5D73">
        <w:rPr>
          <w:lang w:val="en-GB"/>
        </w:rPr>
        <w:t>eNose</w:t>
      </w:r>
      <w:r w:rsidR="00D317B6">
        <w:rPr>
          <w:lang w:val="en-GB"/>
        </w:rPr>
        <w:t>)</w:t>
      </w:r>
      <w:r w:rsidRPr="000A5D73">
        <w:rPr>
          <w:lang w:val="en-GB"/>
        </w:rPr>
        <w:t xml:space="preserve"> installed in the network shown in Figure 1 consists of</w:t>
      </w:r>
      <w:r w:rsidR="007E336D">
        <w:rPr>
          <w:lang w:val="en-GB"/>
        </w:rPr>
        <w:t xml:space="preserve"> an array of</w:t>
      </w:r>
      <w:r w:rsidRPr="000A5D73">
        <w:rPr>
          <w:lang w:val="en-GB"/>
        </w:rPr>
        <w:t xml:space="preserve"> four semiconductor sensors that react differently depending on the reactive molecules present in the ambient air</w:t>
      </w:r>
      <w:r w:rsidR="00304546">
        <w:rPr>
          <w:lang w:val="en-GB"/>
        </w:rPr>
        <w:t xml:space="preserve">, </w:t>
      </w:r>
      <w:r w:rsidR="00304546" w:rsidRPr="00304546">
        <w:rPr>
          <w:lang w:val="en-GB"/>
        </w:rPr>
        <w:t>creat</w:t>
      </w:r>
      <w:r w:rsidR="00304546">
        <w:rPr>
          <w:lang w:val="en-GB"/>
        </w:rPr>
        <w:t>ing</w:t>
      </w:r>
      <w:r w:rsidR="00304546" w:rsidRPr="00304546">
        <w:rPr>
          <w:lang w:val="en-GB"/>
        </w:rPr>
        <w:t xml:space="preserve"> a pattern that correlates</w:t>
      </w:r>
      <w:r w:rsidR="00304546">
        <w:rPr>
          <w:lang w:val="en-GB"/>
        </w:rPr>
        <w:t xml:space="preserve"> the signal</w:t>
      </w:r>
      <w:r w:rsidR="00304546" w:rsidRPr="00304546">
        <w:rPr>
          <w:lang w:val="en-GB"/>
        </w:rPr>
        <w:t xml:space="preserve"> to the exposed gas mixture</w:t>
      </w:r>
      <w:r w:rsidR="00771BD3">
        <w:rPr>
          <w:lang w:val="en-GB"/>
        </w:rPr>
        <w:t xml:space="preserve"> (Bootsma et al., 2014)</w:t>
      </w:r>
      <w:r w:rsidRPr="000A5D73">
        <w:rPr>
          <w:lang w:val="en-GB"/>
        </w:rPr>
        <w:t xml:space="preserve">. </w:t>
      </w:r>
      <w:r w:rsidR="00A465D7">
        <w:rPr>
          <w:lang w:val="en-GB"/>
        </w:rPr>
        <w:t>O</w:t>
      </w:r>
      <w:r w:rsidR="00A465D7" w:rsidRPr="000A5D73">
        <w:rPr>
          <w:lang w:val="en-GB"/>
        </w:rPr>
        <w:t xml:space="preserve">xygen </w:t>
      </w:r>
      <w:r w:rsidRPr="000A5D73">
        <w:rPr>
          <w:lang w:val="en-GB"/>
        </w:rPr>
        <w:t>molecules are adsorbed onto the sensing material, capture electrons and increase the electrical resistance. Reducing gas molecules react with the adsorbed oxygen, release electrons and reduce the electrical resistance. The sensor support material acts as a catalyst for the oxidation-reduction reaction.</w:t>
      </w:r>
      <w:r w:rsidR="00A46D3D">
        <w:rPr>
          <w:lang w:val="en-GB"/>
        </w:rPr>
        <w:t xml:space="preserve"> </w:t>
      </w:r>
      <w:r w:rsidRPr="000A5D73">
        <w:rPr>
          <w:lang w:val="en-GB"/>
        </w:rPr>
        <w:t xml:space="preserve">The response of the four sensors varies depending on the </w:t>
      </w:r>
      <w:r w:rsidR="00187C97" w:rsidRPr="000A5D73">
        <w:rPr>
          <w:lang w:val="en-GB"/>
        </w:rPr>
        <w:t xml:space="preserve">air </w:t>
      </w:r>
      <w:r w:rsidRPr="000A5D73">
        <w:rPr>
          <w:lang w:val="en-GB"/>
        </w:rPr>
        <w:t xml:space="preserve">composition, and the device </w:t>
      </w:r>
      <w:r w:rsidR="00A24687" w:rsidRPr="000A5D73">
        <w:rPr>
          <w:lang w:val="en-GB"/>
        </w:rPr>
        <w:t>can detect</w:t>
      </w:r>
      <w:r w:rsidRPr="000A5D73">
        <w:rPr>
          <w:lang w:val="en-GB"/>
        </w:rPr>
        <w:t xml:space="preserve"> aromatic and sulphur-containing compounds, straight-chain aliphatic hydrocarbons, hydrogen and CO, and methane. </w:t>
      </w:r>
      <w:r w:rsidR="00E25E74" w:rsidRPr="000A5D73">
        <w:rPr>
          <w:lang w:val="en-GB"/>
        </w:rPr>
        <w:t>The measure</w:t>
      </w:r>
      <w:r w:rsidRPr="000A5D73">
        <w:rPr>
          <w:lang w:val="en-GB"/>
        </w:rPr>
        <w:t xml:space="preserve"> is the relative deviation of the actual concentration of all chemically reactive substances present in the air from the background concentration prevailing in the </w:t>
      </w:r>
      <w:r w:rsidR="00E25E74" w:rsidRPr="000A5D73">
        <w:rPr>
          <w:lang w:val="en-GB"/>
        </w:rPr>
        <w:t>neighbourhood</w:t>
      </w:r>
      <w:r w:rsidRPr="000A5D73">
        <w:rPr>
          <w:lang w:val="en-GB"/>
        </w:rPr>
        <w:t xml:space="preserve"> of that eNose.</w:t>
      </w:r>
      <w:r w:rsidR="00AB3D4D" w:rsidRPr="00AB3D4D">
        <w:t xml:space="preserve"> </w:t>
      </w:r>
      <w:r w:rsidR="00E977D5">
        <w:t xml:space="preserve">eNose real time data </w:t>
      </w:r>
      <w:r w:rsidR="00AB3D4D">
        <w:t>are available</w:t>
      </w:r>
      <w:r w:rsidR="00E977D5">
        <w:t xml:space="preserve"> on a web</w:t>
      </w:r>
      <w:r w:rsidR="009541D9">
        <w:t>-</w:t>
      </w:r>
      <w:r w:rsidR="00E977D5">
        <w:t>suite that</w:t>
      </w:r>
      <w:r w:rsidR="00AB3D4D" w:rsidRPr="00AB3D4D">
        <w:rPr>
          <w:lang w:val="en-GB"/>
        </w:rPr>
        <w:t xml:space="preserve"> updates automatically with a one-minute refresh rate.</w:t>
      </w:r>
      <w:r w:rsidR="00A46D3D">
        <w:rPr>
          <w:lang w:val="en-GB"/>
        </w:rPr>
        <w:t xml:space="preserve"> </w:t>
      </w:r>
      <w:r w:rsidRPr="000A5D73">
        <w:rPr>
          <w:lang w:val="en-GB"/>
        </w:rPr>
        <w:t>The values are conventionally associated with the unit of measurement dB, which does not correspond to physical quantities</w:t>
      </w:r>
      <w:r w:rsidR="004113A7">
        <w:rPr>
          <w:lang w:val="en-GB"/>
        </w:rPr>
        <w:t xml:space="preserve"> but define an electric signal</w:t>
      </w:r>
      <w:r w:rsidRPr="000A5D73">
        <w:rPr>
          <w:lang w:val="en-GB"/>
        </w:rPr>
        <w:t>.</w:t>
      </w:r>
    </w:p>
    <w:p w14:paraId="677EBFF0" w14:textId="3851AD6A" w:rsidR="00600535" w:rsidRPr="000A5D73" w:rsidRDefault="00031428" w:rsidP="00600535">
      <w:pPr>
        <w:pStyle w:val="CETHeading1"/>
        <w:tabs>
          <w:tab w:val="right" w:pos="7100"/>
        </w:tabs>
        <w:jc w:val="both"/>
        <w:rPr>
          <w:lang w:val="en-GB"/>
        </w:rPr>
      </w:pPr>
      <w:r w:rsidRPr="000A5D73">
        <w:rPr>
          <w:lang w:val="en-GB"/>
        </w:rPr>
        <w:t>Results and discussion</w:t>
      </w:r>
    </w:p>
    <w:p w14:paraId="4B62D824" w14:textId="0F904997" w:rsidR="00A24687" w:rsidRPr="000A5D73" w:rsidRDefault="00A24687" w:rsidP="00A24687">
      <w:pPr>
        <w:pStyle w:val="CETBodytext"/>
        <w:rPr>
          <w:noProof/>
          <w:lang w:val="en-GB"/>
        </w:rPr>
      </w:pPr>
      <w:r w:rsidRPr="000A5D73">
        <w:rPr>
          <w:noProof/>
          <w:lang w:val="en-GB"/>
        </w:rPr>
        <w:t xml:space="preserve">Figure 2 shows three graphs (a, b, c) representing the time-series of the signal measured </w:t>
      </w:r>
      <w:r w:rsidR="00FF484F">
        <w:rPr>
          <w:noProof/>
          <w:lang w:val="en-GB"/>
        </w:rPr>
        <w:t>every minute</w:t>
      </w:r>
      <w:r w:rsidR="00FF484F" w:rsidRPr="000A5D73">
        <w:rPr>
          <w:noProof/>
          <w:lang w:val="en-GB"/>
        </w:rPr>
        <w:t xml:space="preserve"> </w:t>
      </w:r>
      <w:r w:rsidRPr="000A5D73">
        <w:rPr>
          <w:noProof/>
          <w:lang w:val="en-GB"/>
        </w:rPr>
        <w:t xml:space="preserve">by the typical installed </w:t>
      </w:r>
      <w:r w:rsidR="00512A9B">
        <w:rPr>
          <w:noProof/>
          <w:lang w:val="en-GB"/>
        </w:rPr>
        <w:t>IOMSs (</w:t>
      </w:r>
      <w:r w:rsidRPr="000A5D73">
        <w:rPr>
          <w:noProof/>
          <w:lang w:val="en-GB"/>
        </w:rPr>
        <w:t>eNoses</w:t>
      </w:r>
      <w:r w:rsidR="00512A9B">
        <w:rPr>
          <w:noProof/>
          <w:lang w:val="en-GB"/>
        </w:rPr>
        <w:t>)</w:t>
      </w:r>
      <w:r w:rsidRPr="000A5D73">
        <w:rPr>
          <w:noProof/>
          <w:lang w:val="en-GB"/>
        </w:rPr>
        <w:t xml:space="preserve"> network</w:t>
      </w:r>
      <w:r w:rsidR="00FF484F">
        <w:rPr>
          <w:noProof/>
          <w:lang w:val="en-GB"/>
        </w:rPr>
        <w:t xml:space="preserve"> and reported </w:t>
      </w:r>
      <w:r w:rsidR="00FF484F" w:rsidRPr="000A5D73">
        <w:rPr>
          <w:noProof/>
          <w:lang w:val="en-GB"/>
        </w:rPr>
        <w:t>in decibels (dB)</w:t>
      </w:r>
      <w:r w:rsidRPr="000A5D73">
        <w:rPr>
          <w:noProof/>
          <w:lang w:val="en-GB"/>
        </w:rPr>
        <w:t>.</w:t>
      </w:r>
      <w:r w:rsidR="00264A9E" w:rsidRPr="000A5D73">
        <w:rPr>
          <w:noProof/>
          <w:lang w:val="en-GB"/>
        </w:rPr>
        <w:t xml:space="preserve"> </w:t>
      </w:r>
      <w:r w:rsidRPr="000A5D73">
        <w:rPr>
          <w:noProof/>
          <w:lang w:val="en-GB"/>
        </w:rPr>
        <w:t>In the network considered, the thresholds - defined as described in section 2.1 - were set at 10 dB (yellow), 15 dB (orange) and 20 dB (red).</w:t>
      </w:r>
      <w:r w:rsidR="00405BEA">
        <w:rPr>
          <w:noProof/>
          <w:lang w:val="en-GB"/>
        </w:rPr>
        <w:t xml:space="preserve"> </w:t>
      </w:r>
      <w:r w:rsidR="00405BEA">
        <w:rPr>
          <w:noProof/>
          <w:lang w:val="en-GB"/>
        </w:rPr>
        <w:lastRenderedPageBreak/>
        <w:t xml:space="preserve">The </w:t>
      </w:r>
      <w:r w:rsidR="005F702E">
        <w:rPr>
          <w:noProof/>
          <w:lang w:val="en-GB"/>
        </w:rPr>
        <w:t xml:space="preserve">days selected </w:t>
      </w:r>
      <w:r w:rsidR="0070324F">
        <w:rPr>
          <w:noProof/>
          <w:lang w:val="en-GB"/>
        </w:rPr>
        <w:t>refers to</w:t>
      </w:r>
      <w:r w:rsidR="005F702E">
        <w:rPr>
          <w:noProof/>
          <w:lang w:val="en-GB"/>
        </w:rPr>
        <w:t xml:space="preserve"> three</w:t>
      </w:r>
      <w:r w:rsidR="0070324F">
        <w:rPr>
          <w:noProof/>
          <w:lang w:val="en-GB"/>
        </w:rPr>
        <w:t xml:space="preserve"> typical</w:t>
      </w:r>
      <w:r w:rsidR="005F702E">
        <w:rPr>
          <w:noProof/>
          <w:lang w:val="en-GB"/>
        </w:rPr>
        <w:t xml:space="preserve"> situation </w:t>
      </w:r>
      <w:r w:rsidR="00AB2C69">
        <w:rPr>
          <w:noProof/>
          <w:lang w:val="en-GB"/>
        </w:rPr>
        <w:t xml:space="preserve">that </w:t>
      </w:r>
      <w:r w:rsidR="0070324F">
        <w:rPr>
          <w:noProof/>
          <w:lang w:val="en-GB"/>
        </w:rPr>
        <w:t xml:space="preserve">are representative </w:t>
      </w:r>
      <w:r w:rsidR="00BC553F">
        <w:rPr>
          <w:noProof/>
          <w:lang w:val="en-GB"/>
        </w:rPr>
        <w:t xml:space="preserve">of the </w:t>
      </w:r>
      <w:r w:rsidR="006E4BE8">
        <w:rPr>
          <w:noProof/>
          <w:lang w:val="en-GB"/>
        </w:rPr>
        <w:t xml:space="preserve">IOMS </w:t>
      </w:r>
      <w:r w:rsidR="00BC553F">
        <w:rPr>
          <w:noProof/>
          <w:lang w:val="en-GB"/>
        </w:rPr>
        <w:t xml:space="preserve">response pattern during </w:t>
      </w:r>
      <w:r w:rsidR="00AB2C69">
        <w:rPr>
          <w:noProof/>
          <w:lang w:val="en-GB"/>
        </w:rPr>
        <w:t xml:space="preserve">the </w:t>
      </w:r>
      <w:r w:rsidR="006E4BE8">
        <w:rPr>
          <w:noProof/>
          <w:lang w:val="en-GB"/>
        </w:rPr>
        <w:t xml:space="preserve">normal </w:t>
      </w:r>
      <w:r w:rsidR="00BE26F1">
        <w:rPr>
          <w:noProof/>
          <w:lang w:val="en-GB"/>
        </w:rPr>
        <w:t xml:space="preserve">refinery </w:t>
      </w:r>
      <w:r w:rsidR="00AB2C69">
        <w:rPr>
          <w:noProof/>
          <w:lang w:val="en-GB"/>
        </w:rPr>
        <w:t>operation</w:t>
      </w:r>
      <w:r w:rsidR="00BE26F1">
        <w:rPr>
          <w:noProof/>
          <w:lang w:val="en-GB"/>
        </w:rPr>
        <w:t>al</w:t>
      </w:r>
      <w:r w:rsidR="00721C65">
        <w:rPr>
          <w:noProof/>
          <w:lang w:val="en-GB"/>
        </w:rPr>
        <w:t xml:space="preserve"> </w:t>
      </w:r>
      <w:r w:rsidR="006E4BE8">
        <w:rPr>
          <w:noProof/>
          <w:lang w:val="en-GB"/>
        </w:rPr>
        <w:t>condition</w:t>
      </w:r>
      <w:r w:rsidR="00BE26F1">
        <w:rPr>
          <w:noProof/>
          <w:lang w:val="en-GB"/>
        </w:rPr>
        <w:t>s</w:t>
      </w:r>
      <w:r w:rsidR="00AB2C69">
        <w:rPr>
          <w:noProof/>
          <w:lang w:val="en-GB"/>
        </w:rPr>
        <w:t>.</w:t>
      </w:r>
    </w:p>
    <w:p w14:paraId="638B18AA" w14:textId="7D2ACB3E" w:rsidR="00CC25A8" w:rsidRPr="000A5D73" w:rsidRDefault="004D7E2B" w:rsidP="00AA2589">
      <w:pPr>
        <w:pStyle w:val="CETBodytext"/>
        <w:rPr>
          <w:lang w:val="en-GB"/>
        </w:rPr>
      </w:pPr>
      <w:r w:rsidRPr="000A5D73">
        <w:rPr>
          <w:lang w:val="en-GB"/>
        </w:rPr>
        <w:t xml:space="preserve">In the </w:t>
      </w:r>
      <w:r w:rsidR="00512A9B">
        <w:rPr>
          <w:lang w:val="en-GB"/>
        </w:rPr>
        <w:t xml:space="preserve">three </w:t>
      </w:r>
      <w:r w:rsidRPr="000A5D73">
        <w:rPr>
          <w:lang w:val="en-GB"/>
        </w:rPr>
        <w:t>case</w:t>
      </w:r>
      <w:r w:rsidR="00512A9B">
        <w:rPr>
          <w:lang w:val="en-GB"/>
        </w:rPr>
        <w:t>s</w:t>
      </w:r>
      <w:r w:rsidRPr="000A5D73">
        <w:rPr>
          <w:lang w:val="en-GB"/>
        </w:rPr>
        <w:t xml:space="preserve"> considered, an event in which the threshold at the 99.9</w:t>
      </w:r>
      <w:r w:rsidRPr="000A5D73">
        <w:rPr>
          <w:vertAlign w:val="superscript"/>
          <w:lang w:val="en-GB"/>
        </w:rPr>
        <w:t>th</w:t>
      </w:r>
      <w:r w:rsidRPr="000A5D73">
        <w:rPr>
          <w:lang w:val="en-GB"/>
        </w:rPr>
        <w:t xml:space="preserve"> percentile (red) is exceeded for more than three minutes is considered significant.</w:t>
      </w:r>
    </w:p>
    <w:p w14:paraId="0415E409" w14:textId="528A4DD2" w:rsidR="006C3BF1" w:rsidRPr="000A5D73" w:rsidRDefault="006C3BF1" w:rsidP="00CC25A8">
      <w:pPr>
        <w:pStyle w:val="CETBodytext"/>
        <w:rPr>
          <w:lang w:val="en-GB"/>
        </w:rPr>
      </w:pPr>
    </w:p>
    <w:p w14:paraId="7BF5FFD8" w14:textId="0062AC6C" w:rsidR="006C3BF1" w:rsidRPr="000A5D73" w:rsidRDefault="003C5215" w:rsidP="006812E7">
      <w:pPr>
        <w:pStyle w:val="CETBodytext"/>
        <w:jc w:val="left"/>
        <w:rPr>
          <w:noProof/>
        </w:rPr>
      </w:pPr>
      <w:r w:rsidRPr="000A5D73">
        <w:rPr>
          <w:noProof/>
        </w:rPr>
        <w:drawing>
          <wp:inline distT="0" distB="0" distL="0" distR="0" wp14:anchorId="3B97B314" wp14:editId="01FA3E59">
            <wp:extent cx="4610100" cy="3626175"/>
            <wp:effectExtent l="0" t="0" r="0" b="0"/>
            <wp:docPr id="15348036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8858" cy="3680258"/>
                    </a:xfrm>
                    <a:prstGeom prst="rect">
                      <a:avLst/>
                    </a:prstGeom>
                    <a:noFill/>
                  </pic:spPr>
                </pic:pic>
              </a:graphicData>
            </a:graphic>
          </wp:inline>
        </w:drawing>
      </w:r>
    </w:p>
    <w:p w14:paraId="7292DED5" w14:textId="121E9918" w:rsidR="0063538D" w:rsidRPr="000A5D73" w:rsidRDefault="00A46C34" w:rsidP="00A46C34">
      <w:pPr>
        <w:pStyle w:val="CETCaption"/>
        <w:rPr>
          <w:noProof/>
          <w:lang w:val="en-US"/>
        </w:rPr>
      </w:pPr>
      <w:r w:rsidRPr="000A5D73">
        <w:rPr>
          <w:noProof/>
        </w:rPr>
        <w:t>Figure 2. Time-series trend of the eNose signal measured in decibels (dB). Attention level at 10 dB (yellow), pre-alert level at 15 dB (orange) and alarm level at 20 dB (red).</w:t>
      </w:r>
    </w:p>
    <w:p w14:paraId="769244C4" w14:textId="6D0DC719" w:rsidR="0007622C" w:rsidRPr="000A5D73" w:rsidRDefault="0007622C" w:rsidP="0007622C">
      <w:pPr>
        <w:pStyle w:val="CETBodytext"/>
        <w:rPr>
          <w:noProof/>
          <w:lang w:val="en-GB"/>
        </w:rPr>
      </w:pPr>
      <w:r w:rsidRPr="000A5D73">
        <w:rPr>
          <w:noProof/>
          <w:lang w:val="en-GB"/>
        </w:rPr>
        <w:t xml:space="preserve">The </w:t>
      </w:r>
      <w:r w:rsidR="00512A9B">
        <w:rPr>
          <w:noProof/>
          <w:lang w:val="en-GB"/>
        </w:rPr>
        <w:t>IOMS</w:t>
      </w:r>
      <w:r w:rsidR="00512A9B" w:rsidRPr="000A5D73">
        <w:rPr>
          <w:noProof/>
          <w:lang w:val="en-GB"/>
        </w:rPr>
        <w:t xml:space="preserve"> </w:t>
      </w:r>
      <w:r w:rsidRPr="000A5D73">
        <w:rPr>
          <w:noProof/>
          <w:lang w:val="en-GB"/>
        </w:rPr>
        <w:t>signal shown in Figure 2</w:t>
      </w:r>
      <w:r w:rsidR="00512A9B">
        <w:rPr>
          <w:noProof/>
          <w:lang w:val="en-GB"/>
        </w:rPr>
        <w:t>a</w:t>
      </w:r>
      <w:r w:rsidRPr="000A5D73">
        <w:rPr>
          <w:noProof/>
          <w:lang w:val="en-GB"/>
        </w:rPr>
        <w:t xml:space="preserve"> </w:t>
      </w:r>
      <w:r w:rsidR="00DB0059" w:rsidRPr="000A5D73">
        <w:rPr>
          <w:noProof/>
          <w:lang w:val="en-GB"/>
        </w:rPr>
        <w:t>shows</w:t>
      </w:r>
      <w:r w:rsidRPr="000A5D73">
        <w:rPr>
          <w:noProof/>
          <w:lang w:val="en-GB"/>
        </w:rPr>
        <w:t xml:space="preserve"> a trend that begins to rise around 8 am, reaching a peak of sustained activity between 10 am and 2 pm. Despite the increase, the signal remains predominantly below the yellow threshold of 10 dB, subsequently stabilising at minimum values in the afternoon and evening. </w:t>
      </w:r>
      <w:r w:rsidR="00DB0059" w:rsidRPr="000A5D73">
        <w:rPr>
          <w:noProof/>
          <w:lang w:val="en-GB"/>
        </w:rPr>
        <w:t>This</w:t>
      </w:r>
      <w:r w:rsidRPr="000A5D73">
        <w:rPr>
          <w:noProof/>
          <w:lang w:val="en-GB"/>
        </w:rPr>
        <w:t xml:space="preserve"> </w:t>
      </w:r>
      <w:r w:rsidR="00512A9B">
        <w:rPr>
          <w:noProof/>
          <w:lang w:val="en-GB"/>
        </w:rPr>
        <w:t>IOMS</w:t>
      </w:r>
      <w:r w:rsidRPr="000A5D73">
        <w:rPr>
          <w:noProof/>
          <w:lang w:val="en-GB"/>
        </w:rPr>
        <w:t xml:space="preserve"> is positioned on the </w:t>
      </w:r>
      <w:r w:rsidR="00DB0059" w:rsidRPr="000A5D73">
        <w:rPr>
          <w:noProof/>
          <w:lang w:val="en-GB"/>
        </w:rPr>
        <w:t xml:space="preserve">refinery </w:t>
      </w:r>
      <w:r w:rsidRPr="000A5D73">
        <w:rPr>
          <w:noProof/>
          <w:lang w:val="en-GB"/>
        </w:rPr>
        <w:t xml:space="preserve">perimeter near the crude oil storage tanks. The increase in the measured signal is linked to the crude oil </w:t>
      </w:r>
      <w:r w:rsidR="00837CA8" w:rsidRPr="000A5D73">
        <w:rPr>
          <w:noProof/>
          <w:lang w:val="en-GB"/>
        </w:rPr>
        <w:t xml:space="preserve">movement </w:t>
      </w:r>
      <w:r w:rsidRPr="000A5D73">
        <w:rPr>
          <w:noProof/>
          <w:lang w:val="en-GB"/>
        </w:rPr>
        <w:t>following loading from the tanker.</w:t>
      </w:r>
    </w:p>
    <w:p w14:paraId="3E76C44F" w14:textId="5AA5E524" w:rsidR="001C5B74" w:rsidRPr="000A5D73" w:rsidRDefault="0007622C" w:rsidP="001C5B74">
      <w:pPr>
        <w:pStyle w:val="CETBodytext"/>
        <w:rPr>
          <w:noProof/>
          <w:lang w:val="en-GB"/>
        </w:rPr>
      </w:pPr>
      <w:r w:rsidRPr="000A5D73">
        <w:rPr>
          <w:noProof/>
          <w:lang w:val="en-GB"/>
        </w:rPr>
        <w:t>The graph shown in Figure 2b is associated with a</w:t>
      </w:r>
      <w:r w:rsidR="00512A9B">
        <w:rPr>
          <w:noProof/>
          <w:lang w:val="en-GB"/>
        </w:rPr>
        <w:t xml:space="preserve"> IOMS</w:t>
      </w:r>
      <w:r w:rsidRPr="000A5D73">
        <w:rPr>
          <w:noProof/>
          <w:lang w:val="en-GB"/>
        </w:rPr>
        <w:t xml:space="preserve">located on the sea-facing </w:t>
      </w:r>
      <w:r w:rsidR="00837CA8" w:rsidRPr="000A5D73">
        <w:rPr>
          <w:noProof/>
          <w:lang w:val="en-GB"/>
        </w:rPr>
        <w:t xml:space="preserve">refinery </w:t>
      </w:r>
      <w:r w:rsidRPr="000A5D73">
        <w:rPr>
          <w:noProof/>
          <w:lang w:val="en-GB"/>
        </w:rPr>
        <w:t>perimeter, at the loading bay. The signal trend is characteri</w:t>
      </w:r>
      <w:r w:rsidR="00837CA8" w:rsidRPr="000A5D73">
        <w:rPr>
          <w:noProof/>
          <w:lang w:val="en-GB"/>
        </w:rPr>
        <w:t>z</w:t>
      </w:r>
      <w:r w:rsidRPr="000A5D73">
        <w:rPr>
          <w:noProof/>
          <w:lang w:val="en-GB"/>
        </w:rPr>
        <w:t xml:space="preserve">ed by a very significant impulsive event; the signal undergoes a sudden peak exceeding the red threshold of 20 dB, then decreases rapidly, and for the rest of the day, the signal fluctuates at low levels below 5 dB, with some small peaks detected around 8 pm. As the </w:t>
      </w:r>
      <w:r w:rsidR="000A0B94">
        <w:rPr>
          <w:noProof/>
          <w:lang w:val="en-GB"/>
        </w:rPr>
        <w:t xml:space="preserve">eNose </w:t>
      </w:r>
      <w:r w:rsidRPr="000A5D73">
        <w:rPr>
          <w:noProof/>
          <w:lang w:val="en-GB"/>
        </w:rPr>
        <w:t xml:space="preserve">red alarm signal lasted for more than 3 minutes, </w:t>
      </w:r>
      <w:r w:rsidR="00F621E8">
        <w:rPr>
          <w:noProof/>
          <w:lang w:val="en-GB"/>
        </w:rPr>
        <w:t>the</w:t>
      </w:r>
      <w:r w:rsidR="00F621E8" w:rsidRPr="000A5D73">
        <w:rPr>
          <w:noProof/>
          <w:lang w:val="en-GB"/>
        </w:rPr>
        <w:t xml:space="preserve"> </w:t>
      </w:r>
      <w:r w:rsidRPr="000A5D73">
        <w:rPr>
          <w:noProof/>
          <w:lang w:val="en-GB"/>
        </w:rPr>
        <w:t xml:space="preserve">refinery </w:t>
      </w:r>
      <w:r w:rsidR="00A31627">
        <w:rPr>
          <w:noProof/>
          <w:lang w:val="en-GB"/>
        </w:rPr>
        <w:t xml:space="preserve">specific </w:t>
      </w:r>
      <w:r w:rsidRPr="000A5D73">
        <w:rPr>
          <w:noProof/>
          <w:lang w:val="en-GB"/>
        </w:rPr>
        <w:t xml:space="preserve">procedures for managing the </w:t>
      </w:r>
      <w:r w:rsidR="00935905">
        <w:rPr>
          <w:noProof/>
          <w:lang w:val="en-GB"/>
        </w:rPr>
        <w:t>alert</w:t>
      </w:r>
      <w:r w:rsidR="0010121A">
        <w:rPr>
          <w:noProof/>
          <w:lang w:val="en-GB"/>
        </w:rPr>
        <w:t xml:space="preserve"> </w:t>
      </w:r>
      <w:r w:rsidRPr="000A5D73">
        <w:rPr>
          <w:noProof/>
          <w:lang w:val="en-GB"/>
        </w:rPr>
        <w:t>were activated</w:t>
      </w:r>
      <w:r w:rsidR="00837CA8" w:rsidRPr="000A5D73">
        <w:rPr>
          <w:noProof/>
          <w:lang w:val="en-GB"/>
        </w:rPr>
        <w:t>.</w:t>
      </w:r>
      <w:r w:rsidR="00A159CC" w:rsidRPr="000A5D73">
        <w:rPr>
          <w:noProof/>
          <w:lang w:val="en-GB"/>
        </w:rPr>
        <w:t xml:space="preserve"> </w:t>
      </w:r>
      <w:r w:rsidR="00A159CC" w:rsidRPr="000A5D73">
        <w:rPr>
          <w:noProof/>
        </w:rPr>
        <w:t>Each refinery establishes an internal procedure for managing alerts. For example, a checklist may be drawn up to serve as a guideline to assist the operator during an on-site inspection following the eNose activation.</w:t>
      </w:r>
      <w:r w:rsidR="005C0472" w:rsidRPr="000A5D73">
        <w:rPr>
          <w:noProof/>
        </w:rPr>
        <w:t xml:space="preserve"> </w:t>
      </w:r>
      <w:r w:rsidR="00593DF9" w:rsidRPr="000A5D73">
        <w:rPr>
          <w:noProof/>
        </w:rPr>
        <w:t>After the event reported in Figure 2b, analyzing the refinery oper</w:t>
      </w:r>
      <w:r w:rsidR="00963936" w:rsidRPr="000A5D73">
        <w:rPr>
          <w:noProof/>
        </w:rPr>
        <w:t>a</w:t>
      </w:r>
      <w:r w:rsidR="00593DF9" w:rsidRPr="000A5D73">
        <w:rPr>
          <w:noProof/>
        </w:rPr>
        <w:t>t</w:t>
      </w:r>
      <w:r w:rsidR="00963936" w:rsidRPr="000A5D73">
        <w:rPr>
          <w:noProof/>
        </w:rPr>
        <w:t>io</w:t>
      </w:r>
      <w:r w:rsidR="00593DF9" w:rsidRPr="000A5D73">
        <w:rPr>
          <w:noProof/>
        </w:rPr>
        <w:t xml:space="preserve">nal conditions that were </w:t>
      </w:r>
      <w:r w:rsidR="00963936" w:rsidRPr="000A5D73">
        <w:rPr>
          <w:noProof/>
        </w:rPr>
        <w:t>foun</w:t>
      </w:r>
      <w:r w:rsidR="00C77CDD">
        <w:rPr>
          <w:noProof/>
        </w:rPr>
        <w:t>d</w:t>
      </w:r>
      <w:r w:rsidR="00963936" w:rsidRPr="000A5D73">
        <w:rPr>
          <w:noProof/>
        </w:rPr>
        <w:t xml:space="preserve"> to be stable and the wind direction detected by the anemometer </w:t>
      </w:r>
      <w:r w:rsidR="00CD5B79" w:rsidRPr="000A5D73">
        <w:rPr>
          <w:noProof/>
        </w:rPr>
        <w:t xml:space="preserve">on the eNose, the peak registered </w:t>
      </w:r>
      <w:r w:rsidR="00DB02D1" w:rsidRPr="000A5D73">
        <w:rPr>
          <w:noProof/>
        </w:rPr>
        <w:t xml:space="preserve">has been associated with an external event, specifically due to the </w:t>
      </w:r>
      <w:r w:rsidR="001C5B74" w:rsidRPr="000A5D73">
        <w:rPr>
          <w:noProof/>
          <w:lang w:val="en-GB"/>
        </w:rPr>
        <w:t>passage of a tanker.</w:t>
      </w:r>
    </w:p>
    <w:p w14:paraId="1AF47FA2" w14:textId="20471062" w:rsidR="00064B69" w:rsidRDefault="00064B69" w:rsidP="00064B69">
      <w:pPr>
        <w:pStyle w:val="CETBodytext"/>
        <w:rPr>
          <w:noProof/>
          <w:lang w:val="en-GB"/>
        </w:rPr>
      </w:pPr>
      <w:r w:rsidRPr="000A5D73">
        <w:rPr>
          <w:noProof/>
          <w:lang w:val="en-GB"/>
        </w:rPr>
        <w:t xml:space="preserve">The signal shown in Figure 2c is associated with an eNose located on the seaward refinery perimeter, near a </w:t>
      </w:r>
      <w:r w:rsidR="000535FF" w:rsidRPr="000A5D73">
        <w:rPr>
          <w:noProof/>
          <w:lang w:val="en-GB"/>
        </w:rPr>
        <w:t xml:space="preserve">the </w:t>
      </w:r>
      <w:r w:rsidR="00BB5A95" w:rsidRPr="000A5D73">
        <w:rPr>
          <w:noProof/>
          <w:lang w:val="en-GB"/>
        </w:rPr>
        <w:t>wastewater treatment plant</w:t>
      </w:r>
      <w:r w:rsidRPr="000A5D73">
        <w:rPr>
          <w:noProof/>
          <w:lang w:val="en-GB"/>
        </w:rPr>
        <w:t>. It represents the most stable conditions recorded on a day when the refinery was operating at full capacity. The signal remains virtually flat at zero for almost the entire duration of the monitoring, with only very slight fluctuations observed around 4 am and after 8 pm, but these remain well below all alert thresholds.</w:t>
      </w:r>
    </w:p>
    <w:p w14:paraId="68D26B83" w14:textId="77777777" w:rsidR="00600535" w:rsidRPr="000A5D73" w:rsidRDefault="00600535" w:rsidP="00CC25A8">
      <w:pPr>
        <w:pStyle w:val="CETHeading1"/>
        <w:tabs>
          <w:tab w:val="right" w:pos="7100"/>
        </w:tabs>
        <w:jc w:val="both"/>
        <w:rPr>
          <w:lang w:val="en-GB"/>
        </w:rPr>
      </w:pPr>
      <w:r w:rsidRPr="000A5D73">
        <w:rPr>
          <w:lang w:val="en-GB"/>
        </w:rPr>
        <w:t>Conclusions</w:t>
      </w:r>
    </w:p>
    <w:p w14:paraId="57A0A033" w14:textId="55033560" w:rsidR="00600647" w:rsidRPr="000A5D73" w:rsidRDefault="005B399F" w:rsidP="00BA141E">
      <w:pPr>
        <w:pStyle w:val="CETBodytext"/>
      </w:pPr>
      <w:r w:rsidRPr="000A5D73">
        <w:rPr>
          <w:lang w:val="en-GB"/>
        </w:rPr>
        <w:t xml:space="preserve">The </w:t>
      </w:r>
      <w:r w:rsidR="00400252">
        <w:rPr>
          <w:lang w:val="en-GB"/>
        </w:rPr>
        <w:t>IOMS</w:t>
      </w:r>
      <w:r w:rsidR="00400252" w:rsidRPr="000A5D73">
        <w:rPr>
          <w:lang w:val="en-GB"/>
        </w:rPr>
        <w:t xml:space="preserve"> </w:t>
      </w:r>
      <w:r w:rsidRPr="000A5D73">
        <w:rPr>
          <w:lang w:val="en-GB"/>
        </w:rPr>
        <w:t xml:space="preserve">is not a gas analyser, but a </w:t>
      </w:r>
      <w:r w:rsidR="00400252">
        <w:rPr>
          <w:lang w:val="en-GB"/>
        </w:rPr>
        <w:t>sensor</w:t>
      </w:r>
      <w:r w:rsidR="00400252" w:rsidRPr="000A5D73">
        <w:rPr>
          <w:lang w:val="en-GB"/>
        </w:rPr>
        <w:t xml:space="preserve"> </w:t>
      </w:r>
      <w:r w:rsidRPr="000A5D73">
        <w:rPr>
          <w:lang w:val="en-GB"/>
        </w:rPr>
        <w:t xml:space="preserve">that </w:t>
      </w:r>
      <w:r w:rsidR="002D6867">
        <w:rPr>
          <w:lang w:val="en-GB"/>
        </w:rPr>
        <w:t>detect</w:t>
      </w:r>
      <w:r w:rsidR="002C01AA">
        <w:rPr>
          <w:lang w:val="en-GB"/>
        </w:rPr>
        <w:t>s</w:t>
      </w:r>
      <w:r w:rsidR="002D6867" w:rsidRPr="000A5D73">
        <w:rPr>
          <w:lang w:val="en-GB"/>
        </w:rPr>
        <w:t xml:space="preserve"> </w:t>
      </w:r>
      <w:r w:rsidRPr="000A5D73">
        <w:rPr>
          <w:lang w:val="en-GB"/>
        </w:rPr>
        <w:t>changes in the composition of the air.</w:t>
      </w:r>
      <w:r w:rsidR="00CC746C" w:rsidRPr="000A5D73">
        <w:rPr>
          <w:lang w:val="en-GB"/>
        </w:rPr>
        <w:t xml:space="preserve"> The results obtained from the eNoses implementation can be used to define certain operational guidelines, such as the </w:t>
      </w:r>
      <w:r w:rsidR="00CC746C" w:rsidRPr="000A5D73">
        <w:rPr>
          <w:lang w:val="en-GB"/>
        </w:rPr>
        <w:lastRenderedPageBreak/>
        <w:t>optimisation of the early warning system. The threshold</w:t>
      </w:r>
      <w:r w:rsidR="003A7EAD">
        <w:rPr>
          <w:lang w:val="en-GB"/>
        </w:rPr>
        <w:t xml:space="preserve"> defined as reported in </w:t>
      </w:r>
      <w:r w:rsidR="003A7EAD" w:rsidRPr="000A5D73">
        <w:rPr>
          <w:noProof/>
          <w:lang w:val="en-GB"/>
        </w:rPr>
        <w:t xml:space="preserve">section 2.1 </w:t>
      </w:r>
      <w:r w:rsidR="002F4FD3">
        <w:rPr>
          <w:lang w:val="en-GB"/>
        </w:rPr>
        <w:t>can be an</w:t>
      </w:r>
      <w:r w:rsidR="00CC746C" w:rsidRPr="000A5D73">
        <w:rPr>
          <w:lang w:val="en-GB"/>
        </w:rPr>
        <w:t xml:space="preserve"> effective operational filter</w:t>
      </w:r>
      <w:r w:rsidR="00411D89">
        <w:rPr>
          <w:lang w:val="en-GB"/>
        </w:rPr>
        <w:t xml:space="preserve"> for the case considered</w:t>
      </w:r>
      <w:r w:rsidR="00CC746C" w:rsidRPr="000A5D73">
        <w:rPr>
          <w:lang w:val="en-GB"/>
        </w:rPr>
        <w:t xml:space="preserve">. The </w:t>
      </w:r>
      <w:r w:rsidR="003A7EAD">
        <w:rPr>
          <w:lang w:val="en-GB"/>
        </w:rPr>
        <w:t>red</w:t>
      </w:r>
      <w:r w:rsidR="00CC746C" w:rsidRPr="000A5D73">
        <w:rPr>
          <w:lang w:val="en-GB"/>
        </w:rPr>
        <w:t xml:space="preserve"> threshold</w:t>
      </w:r>
      <w:r w:rsidR="00FC03FC" w:rsidRPr="000A5D73">
        <w:rPr>
          <w:lang w:val="en-GB"/>
        </w:rPr>
        <w:t xml:space="preserve"> acts</w:t>
      </w:r>
      <w:r w:rsidR="00CC746C" w:rsidRPr="000A5D73">
        <w:rPr>
          <w:lang w:val="en-GB"/>
        </w:rPr>
        <w:t xml:space="preserve"> as a strategic trigger to prevent unnecessary chemical sampling, thereby reducing operational costs whilst ensuring maximum safety.</w:t>
      </w:r>
      <w:r w:rsidR="00BA141E">
        <w:rPr>
          <w:lang w:val="en-GB"/>
        </w:rPr>
        <w:t xml:space="preserve"> </w:t>
      </w:r>
      <w:r w:rsidR="00FC03FC" w:rsidRPr="000A5D73">
        <w:rPr>
          <w:lang w:val="en-GB"/>
        </w:rPr>
        <w:t>As strategy, up</w:t>
      </w:r>
      <w:r w:rsidR="00CC746C" w:rsidRPr="000A5D73">
        <w:rPr>
          <w:lang w:val="en-GB"/>
        </w:rPr>
        <w:t xml:space="preserve">on exceeding the </w:t>
      </w:r>
      <w:r w:rsidR="00177F24">
        <w:rPr>
          <w:lang w:val="en-GB"/>
        </w:rPr>
        <w:t>red</w:t>
      </w:r>
      <w:r w:rsidR="00CC746C" w:rsidRPr="000A5D73">
        <w:rPr>
          <w:lang w:val="en-GB"/>
        </w:rPr>
        <w:t xml:space="preserve"> threshold, the automatic activation of samplers for GC-MS (Gas Chromatography-Mass Spectrometry) analysis could be implemented</w:t>
      </w:r>
      <w:r w:rsidR="00FC03FC" w:rsidRPr="000A5D73">
        <w:rPr>
          <w:lang w:val="en-GB"/>
        </w:rPr>
        <w:t xml:space="preserve"> </w:t>
      </w:r>
      <w:r w:rsidR="00CC746C" w:rsidRPr="000A5D73">
        <w:rPr>
          <w:lang w:val="en-GB"/>
        </w:rPr>
        <w:t>to comply with BREF requirements regarding the characterisation of unknown odour sources.</w:t>
      </w:r>
      <w:r w:rsidR="007D617B" w:rsidRPr="007D617B">
        <w:rPr>
          <w:lang w:val="en-GB"/>
        </w:rPr>
        <w:t xml:space="preserve"> </w:t>
      </w:r>
      <w:r w:rsidR="007D617B" w:rsidRPr="000A5D73">
        <w:rPr>
          <w:lang w:val="en-GB"/>
        </w:rPr>
        <w:t>Measuring odours in refineries presents a complex technical challenge, due to the different type of emission sources and the subjective nature of olfactory perception. No single method, taken on its own, can provide a comprehensive description of the odour phenomenon.</w:t>
      </w:r>
      <w:r w:rsidR="007D617B">
        <w:rPr>
          <w:lang w:val="en-GB"/>
        </w:rPr>
        <w:t xml:space="preserve"> </w:t>
      </w:r>
      <w:r w:rsidR="007D617B" w:rsidRPr="000A5D73">
        <w:rPr>
          <w:lang w:val="en-GB"/>
        </w:rPr>
        <w:t>Therefore, only an integrated and multidisciplinary approach, combining dynamic olfactometry, chemical analysis, IOMS systems and modelling,</w:t>
      </w:r>
      <w:r w:rsidR="007D617B">
        <w:rPr>
          <w:lang w:val="en-GB"/>
        </w:rPr>
        <w:t xml:space="preserve"> and citizen science contribution,</w:t>
      </w:r>
      <w:r w:rsidR="007D617B" w:rsidRPr="000A5D73">
        <w:rPr>
          <w:lang w:val="en-GB"/>
        </w:rPr>
        <w:t xml:space="preserve"> allows for an effective assessment and sustainable management of the odour impact of refineries.</w:t>
      </w:r>
      <w:r w:rsidR="00BA141E">
        <w:rPr>
          <w:lang w:val="en-GB"/>
        </w:rPr>
        <w:t xml:space="preserve"> </w:t>
      </w:r>
      <w:r w:rsidR="00600647" w:rsidRPr="000A5D73">
        <w:t>By aligning operational practices with BAT Conclusions, operators can not only ensure regulatory compliance but also significantly mitigate odour impacts, fostering better relationships with local communities and enhancing overall environmental performance.</w:t>
      </w:r>
    </w:p>
    <w:p w14:paraId="4F1327F8" w14:textId="77777777" w:rsidR="00600535" w:rsidRPr="000A5D73" w:rsidRDefault="00600535" w:rsidP="00600535">
      <w:pPr>
        <w:pStyle w:val="CETReference"/>
      </w:pPr>
      <w:r w:rsidRPr="000A5D73">
        <w:t>References</w:t>
      </w:r>
    </w:p>
    <w:p w14:paraId="382973E1" w14:textId="2E2771C7" w:rsidR="00421CC6" w:rsidRDefault="00421CC6" w:rsidP="00BD661E">
      <w:pPr>
        <w:pStyle w:val="CETReferencetext"/>
      </w:pPr>
      <w:r w:rsidRPr="00421CC6">
        <w:t xml:space="preserve">Bootsma S., </w:t>
      </w:r>
      <w:proofErr w:type="spellStart"/>
      <w:r w:rsidRPr="00421CC6">
        <w:t>Leuwerink</w:t>
      </w:r>
      <w:proofErr w:type="spellEnd"/>
      <w:r w:rsidRPr="00421CC6">
        <w:t xml:space="preserve"> T., Bilsen I., 2014, Online air monitoring with </w:t>
      </w:r>
      <w:proofErr w:type="spellStart"/>
      <w:r w:rsidRPr="00421CC6">
        <w:t>enoses</w:t>
      </w:r>
      <w:proofErr w:type="spellEnd"/>
      <w:r w:rsidRPr="00421CC6">
        <w:t xml:space="preserve"> at the tata steel plant in the </w:t>
      </w:r>
      <w:proofErr w:type="spellStart"/>
      <w:r w:rsidRPr="00421CC6">
        <w:t>netherlands</w:t>
      </w:r>
      <w:proofErr w:type="spellEnd"/>
      <w:r w:rsidRPr="00421CC6">
        <w:t>, Chemical Engineering Transactions, 40, 79-84 DOI: 10.3303/CET1440014</w:t>
      </w:r>
      <w:r>
        <w:t>.</w:t>
      </w:r>
    </w:p>
    <w:p w14:paraId="53FC4390" w14:textId="2210FC81" w:rsidR="00FF706E" w:rsidRDefault="00324C76" w:rsidP="00BD661E">
      <w:pPr>
        <w:pStyle w:val="CETReferencetext"/>
      </w:pPr>
      <w:r w:rsidRPr="00324C76">
        <w:t>Cangialosi</w:t>
      </w:r>
      <w:r>
        <w:t xml:space="preserve"> F.</w:t>
      </w:r>
      <w:r w:rsidRPr="00324C76">
        <w:t>, Bruno</w:t>
      </w:r>
      <w:r>
        <w:t xml:space="preserve"> E.</w:t>
      </w:r>
      <w:r w:rsidRPr="00324C76">
        <w:t>, Fornaro</w:t>
      </w:r>
      <w:r>
        <w:t xml:space="preserve"> A.,</w:t>
      </w:r>
      <w:r w:rsidR="00771B67">
        <w:t xml:space="preserve"> 2022,</w:t>
      </w:r>
      <w:r>
        <w:t xml:space="preserve"> </w:t>
      </w:r>
      <w:r w:rsidR="00771B67">
        <w:t>Integrating citizen science and in</w:t>
      </w:r>
      <w:r w:rsidR="00FF706E">
        <w:t>s</w:t>
      </w:r>
      <w:r w:rsidR="00771B67">
        <w:t>trumental monitoring</w:t>
      </w:r>
      <w:r w:rsidR="00FF706E">
        <w:t xml:space="preserve"> </w:t>
      </w:r>
      <w:r w:rsidR="00771B67">
        <w:t>for the recognition</w:t>
      </w:r>
      <w:r w:rsidR="00FF706E">
        <w:t xml:space="preserve"> </w:t>
      </w:r>
      <w:r w:rsidR="00771B67">
        <w:t xml:space="preserve">of </w:t>
      </w:r>
      <w:proofErr w:type="spellStart"/>
      <w:r w:rsidR="00771B67">
        <w:t>odor</w:t>
      </w:r>
      <w:proofErr w:type="spellEnd"/>
      <w:r w:rsidR="00771B67">
        <w:t xml:space="preserve"> classes nearby</w:t>
      </w:r>
      <w:r w:rsidR="00FF706E">
        <w:t xml:space="preserve"> </w:t>
      </w:r>
      <w:r w:rsidR="00771B67">
        <w:t>a wastewater treatment plant</w:t>
      </w:r>
      <w:r w:rsidR="00FF706E">
        <w:t xml:space="preserve">, </w:t>
      </w:r>
      <w:proofErr w:type="spellStart"/>
      <w:r w:rsidR="00FF706E" w:rsidRPr="00FF706E">
        <w:t>Ingegneria</w:t>
      </w:r>
      <w:proofErr w:type="spellEnd"/>
      <w:r w:rsidR="00FF706E" w:rsidRPr="00FF706E">
        <w:t xml:space="preserve"> </w:t>
      </w:r>
      <w:proofErr w:type="spellStart"/>
      <w:r w:rsidR="00FF706E" w:rsidRPr="00FF706E">
        <w:t>dell’Ambiente</w:t>
      </w:r>
      <w:proofErr w:type="spellEnd"/>
      <w:r w:rsidR="00FF706E">
        <w:t xml:space="preserve">, </w:t>
      </w:r>
      <w:r w:rsidR="00FF706E" w:rsidRPr="00FF706E">
        <w:t>9.</w:t>
      </w:r>
      <w:r w:rsidR="00AA3673">
        <w:t xml:space="preserve">1, </w:t>
      </w:r>
      <w:r w:rsidR="00AA3673" w:rsidRPr="00AA3673">
        <w:t>dx.doi.org/10.32024/</w:t>
      </w:r>
      <w:proofErr w:type="gramStart"/>
      <w:r w:rsidR="00AA3673" w:rsidRPr="00AA3673">
        <w:t>ida.v</w:t>
      </w:r>
      <w:proofErr w:type="gramEnd"/>
      <w:r w:rsidR="00AA3673" w:rsidRPr="00AA3673">
        <w:t>9i1.399</w:t>
      </w:r>
      <w:r w:rsidR="00AA3673">
        <w:t>.</w:t>
      </w:r>
    </w:p>
    <w:p w14:paraId="0FC909BC" w14:textId="2000A665" w:rsidR="00BD661E" w:rsidRPr="000A5D73" w:rsidRDefault="00BD661E" w:rsidP="00BD661E">
      <w:pPr>
        <w:pStyle w:val="CETReferencetext"/>
      </w:pPr>
      <w:r w:rsidRPr="000A5D73">
        <w:t>Capelli L., Sironi S., Bax C.</w:t>
      </w:r>
      <w:r w:rsidR="00545B90" w:rsidRPr="000A5D73">
        <w:t xml:space="preserve">, </w:t>
      </w:r>
      <w:r w:rsidRPr="000A5D73">
        <w:t>2020</w:t>
      </w:r>
      <w:r w:rsidR="00545B90" w:rsidRPr="000A5D73">
        <w:t>,</w:t>
      </w:r>
      <w:r w:rsidRPr="000A5D73">
        <w:t xml:space="preserve"> Definition and application of a protocol for electronic nose field performance testing: Example of </w:t>
      </w:r>
      <w:proofErr w:type="spellStart"/>
      <w:r w:rsidRPr="000A5D73">
        <w:t>odor</w:t>
      </w:r>
      <w:proofErr w:type="spellEnd"/>
      <w:r w:rsidRPr="000A5D73">
        <w:t xml:space="preserve"> monitoring from a tire storage area</w:t>
      </w:r>
      <w:r w:rsidR="00545B90" w:rsidRPr="000A5D73">
        <w:t xml:space="preserve">, </w:t>
      </w:r>
      <w:r w:rsidRPr="000A5D73">
        <w:t>Atmosphere, 11, 426</w:t>
      </w:r>
      <w:r w:rsidR="00545B90" w:rsidRPr="000A5D73">
        <w:t>,</w:t>
      </w:r>
      <w:r w:rsidRPr="000A5D73">
        <w:t xml:space="preserve"> https://doi.org/10.3390/atmos11040426</w:t>
      </w:r>
      <w:r w:rsidR="00545B90" w:rsidRPr="000A5D73">
        <w:t>.</w:t>
      </w:r>
    </w:p>
    <w:p w14:paraId="1BBB3982" w14:textId="77777777" w:rsidR="00784958" w:rsidRPr="00725B3E" w:rsidRDefault="00784958" w:rsidP="00784958">
      <w:pPr>
        <w:pStyle w:val="CETReferencetext"/>
      </w:pPr>
      <w:r w:rsidRPr="00725B3E">
        <w:t>Directive Decree of the Ministry of the Environment No. 309 of June 28, 2023</w:t>
      </w:r>
      <w:r>
        <w:t>,</w:t>
      </w:r>
      <w:r w:rsidRPr="00725B3E">
        <w:t xml:space="preserve"> Approval of guidelines for the application of Article 272-bis of Legislative Decree 152/2006 regarding </w:t>
      </w:r>
      <w:r>
        <w:t>odour</w:t>
      </w:r>
      <w:r w:rsidRPr="00725B3E">
        <w:t xml:space="preserve"> emissions from facilities and activities, prepared by the “Emissions Coordination Group”; </w:t>
      </w:r>
    </w:p>
    <w:p w14:paraId="6A50AB66" w14:textId="77777777" w:rsidR="00784958" w:rsidRPr="000A5D73" w:rsidRDefault="00784958" w:rsidP="00784958">
      <w:pPr>
        <w:pStyle w:val="CETReferencetext"/>
      </w:pPr>
      <w:r>
        <w:t xml:space="preserve">European Parliament, 2014, </w:t>
      </w:r>
      <w:r w:rsidRPr="000A5D73">
        <w:t>Commission Implementing Decision 2014/738/EU of 9 October 2014 establishing best available techniques (BAT) conclusions for the refining of mineral oil and gas under Directive 2010/75/EU of the European Parliament and of the Council (OJ L 307, 28.10.2014, p. 38).</w:t>
      </w:r>
    </w:p>
    <w:p w14:paraId="7998FF3F" w14:textId="77777777" w:rsidR="007B687D" w:rsidRPr="000A5D73" w:rsidRDefault="007B687D" w:rsidP="007B687D">
      <w:pPr>
        <w:pStyle w:val="CETReferencetext"/>
      </w:pPr>
      <w:r w:rsidRPr="000A5D73">
        <w:t>Lotrecchiano N., Pecci A., Zappimbulso N., Ilacqua M.A., Ferranti F., 2025, Efficacy of the Leak Detection and</w:t>
      </w:r>
    </w:p>
    <w:p w14:paraId="5A13856B" w14:textId="722CE876" w:rsidR="006B4888" w:rsidRPr="000A5D73" w:rsidRDefault="007B687D" w:rsidP="003559AE">
      <w:pPr>
        <w:pStyle w:val="CETReferencetext"/>
        <w:ind w:firstLine="0"/>
      </w:pPr>
      <w:r w:rsidRPr="000A5D73">
        <w:t>Repair Program in the Italian Industrial Plants, Chemical Engineering Transactions, 116, 823-828</w:t>
      </w:r>
      <w:r w:rsidR="00534389">
        <w:t>,</w:t>
      </w:r>
      <w:r w:rsidRPr="000A5D73">
        <w:t xml:space="preserve"> DOI:10.3303/CET25116138</w:t>
      </w:r>
      <w:r w:rsidR="00652A52" w:rsidRPr="000A5D73">
        <w:t>.</w:t>
      </w:r>
    </w:p>
    <w:p w14:paraId="36993307" w14:textId="772C81FC" w:rsidR="00CC003D" w:rsidRPr="00CC003D" w:rsidRDefault="00CC003D" w:rsidP="00CC003D">
      <w:pPr>
        <w:pStyle w:val="CETReferencetext"/>
      </w:pPr>
      <w:r w:rsidRPr="00CC003D">
        <w:t>Naddeo V., Zarra T., Oliva G., Kubo A., Uchida N., Higuchi T., 2016, Odour measurement in wastewater treatment</w:t>
      </w:r>
      <w:r>
        <w:t xml:space="preserve"> </w:t>
      </w:r>
      <w:r w:rsidRPr="00CC003D">
        <w:t xml:space="preserve">plant by a new prototype of </w:t>
      </w:r>
      <w:proofErr w:type="spellStart"/>
      <w:proofErr w:type="gramStart"/>
      <w:r w:rsidRPr="00CC003D">
        <w:t>e.nose</w:t>
      </w:r>
      <w:proofErr w:type="spellEnd"/>
      <w:proofErr w:type="gramEnd"/>
      <w:r w:rsidRPr="00CC003D">
        <w:t xml:space="preserve">: correlation and comparison study with reference to both </w:t>
      </w:r>
      <w:proofErr w:type="spellStart"/>
      <w:r w:rsidRPr="00CC003D">
        <w:t>european</w:t>
      </w:r>
      <w:proofErr w:type="spellEnd"/>
      <w:r w:rsidRPr="00CC003D">
        <w:t xml:space="preserve"> and </w:t>
      </w:r>
      <w:proofErr w:type="spellStart"/>
      <w:r w:rsidRPr="00CC003D">
        <w:t>japanese</w:t>
      </w:r>
      <w:proofErr w:type="spellEnd"/>
      <w:r w:rsidRPr="00CC003D">
        <w:t xml:space="preserve"> approaches, Chemical</w:t>
      </w:r>
      <w:r>
        <w:t xml:space="preserve"> </w:t>
      </w:r>
      <w:r w:rsidRPr="00CC003D">
        <w:t>Engineering Transactions, 54, 85-90</w:t>
      </w:r>
      <w:r w:rsidR="00534389">
        <w:t xml:space="preserve">, </w:t>
      </w:r>
      <w:r w:rsidRPr="00CC003D">
        <w:t>DOI: 10.3303/CET1654015</w:t>
      </w:r>
      <w:r>
        <w:t>.</w:t>
      </w:r>
    </w:p>
    <w:p w14:paraId="2817ED91" w14:textId="71F12197" w:rsidR="003465D2" w:rsidRDefault="009514E2" w:rsidP="009514E2">
      <w:pPr>
        <w:pStyle w:val="CETReferencetext"/>
      </w:pPr>
      <w:r w:rsidRPr="009514E2">
        <w:t xml:space="preserve">Oliva G., Cangialosi F., Grimaldi M., Fasolino I., </w:t>
      </w:r>
      <w:proofErr w:type="spellStart"/>
      <w:r w:rsidRPr="009514E2">
        <w:t>Belgiorno</w:t>
      </w:r>
      <w:proofErr w:type="spellEnd"/>
      <w:r w:rsidRPr="009514E2">
        <w:t xml:space="preserve"> V., Zarra T, </w:t>
      </w:r>
      <w:r>
        <w:t>2024, Urban odour annoyance management: An advanced embedded system for real-time monitoring enhanced by citizen science, Case Studies</w:t>
      </w:r>
      <w:r w:rsidR="00AB38AC">
        <w:t xml:space="preserve">, </w:t>
      </w:r>
      <w:r>
        <w:t>Chemical and Environmental Engineering, 9,</w:t>
      </w:r>
      <w:r w:rsidR="003465D2">
        <w:t xml:space="preserve"> </w:t>
      </w:r>
      <w:r w:rsidR="003465D2" w:rsidRPr="003465D2">
        <w:t>https://doi.org/10.1016/j.cscee.2024.100712</w:t>
      </w:r>
      <w:r>
        <w:t>.</w:t>
      </w:r>
    </w:p>
    <w:p w14:paraId="381ACB76" w14:textId="19B0A0DD" w:rsidR="00792A21" w:rsidRDefault="00792A21" w:rsidP="009514E2">
      <w:pPr>
        <w:pStyle w:val="CETReferencetext"/>
      </w:pPr>
      <w:r>
        <w:t>Settimo</w:t>
      </w:r>
      <w:r w:rsidR="004A52E3">
        <w:t xml:space="preserve"> G.</w:t>
      </w:r>
      <w:r>
        <w:t xml:space="preserve">, </w:t>
      </w:r>
      <w:r w:rsidR="004A52E3">
        <w:t>A</w:t>
      </w:r>
      <w:r>
        <w:t>vino</w:t>
      </w:r>
      <w:r w:rsidR="004A52E3">
        <w:t xml:space="preserve"> P.</w:t>
      </w:r>
      <w:r>
        <w:t>,</w:t>
      </w:r>
      <w:r w:rsidR="004A52E3">
        <w:t xml:space="preserve"> 2024, </w:t>
      </w:r>
      <w:r>
        <w:t>State-of-art of the legislation on odour emissions with a focus on the Italian studies,</w:t>
      </w:r>
      <w:r w:rsidR="004A52E3">
        <w:t xml:space="preserve"> </w:t>
      </w:r>
      <w:r>
        <w:t>Environmental Pollution,</w:t>
      </w:r>
      <w:r w:rsidR="004A52E3">
        <w:t xml:space="preserve"> </w:t>
      </w:r>
      <w:r>
        <w:t>348,</w:t>
      </w:r>
      <w:r w:rsidR="00903A9A">
        <w:t xml:space="preserve"> </w:t>
      </w:r>
      <w:r>
        <w:t>https://doi.org/10.1016/j.envpol.2024.123525.</w:t>
      </w:r>
    </w:p>
    <w:p w14:paraId="3B256D16" w14:textId="70243539" w:rsidR="003559AE" w:rsidRPr="000A5D73" w:rsidRDefault="003559AE" w:rsidP="003559AE">
      <w:pPr>
        <w:pStyle w:val="CETReferencetext"/>
      </w:pPr>
      <w:r w:rsidRPr="000A5D73">
        <w:t>SNPA, 2025. Odour emissions: reference elements and methodological approaches for monitoring, Italian National System for Environmental Protection.</w:t>
      </w:r>
    </w:p>
    <w:p w14:paraId="4C12BD35" w14:textId="1C52326E" w:rsidR="00912878" w:rsidRPr="00534389" w:rsidRDefault="006700EB" w:rsidP="00D864DA">
      <w:pPr>
        <w:pStyle w:val="CETReferencetext"/>
        <w:rPr>
          <w:color w:val="000000" w:themeColor="text1"/>
        </w:rPr>
      </w:pPr>
      <w:r w:rsidRPr="000A5D73">
        <w:t xml:space="preserve">Stein, A. F., Draxler R. R., Rolph G. D., </w:t>
      </w:r>
      <w:proofErr w:type="spellStart"/>
      <w:r w:rsidRPr="000A5D73">
        <w:t>Stunder</w:t>
      </w:r>
      <w:proofErr w:type="spellEnd"/>
      <w:r w:rsidRPr="000A5D73">
        <w:t xml:space="preserve"> B. J. B., Cohen M. D., Ngan F., 2015, NOAA’s HYSPLIT Atmospheric Transport and Dispersion </w:t>
      </w:r>
      <w:proofErr w:type="spellStart"/>
      <w:r w:rsidRPr="000A5D73">
        <w:t>Modeling</w:t>
      </w:r>
      <w:proofErr w:type="spellEnd"/>
      <w:r w:rsidRPr="000A5D73">
        <w:t xml:space="preserve"> System</w:t>
      </w:r>
      <w:r w:rsidR="00D864DA" w:rsidRPr="000A5D73">
        <w:t xml:space="preserve">, Bulletin of the American Meteorological Society </w:t>
      </w:r>
      <w:r w:rsidRPr="000A5D73">
        <w:t>96, 2059</w:t>
      </w:r>
      <w:r w:rsidR="00D864DA" w:rsidRPr="000A5D73">
        <w:t>-</w:t>
      </w:r>
      <w:r w:rsidRPr="00534389">
        <w:rPr>
          <w:color w:val="000000" w:themeColor="text1"/>
        </w:rPr>
        <w:t>2077,</w:t>
      </w:r>
      <w:r w:rsidR="00534389" w:rsidRPr="00534389">
        <w:rPr>
          <w:color w:val="000000" w:themeColor="text1"/>
        </w:rPr>
        <w:t xml:space="preserve"> </w:t>
      </w:r>
      <w:hyperlink r:id="rId12" w:history="1">
        <w:r w:rsidR="00534389" w:rsidRPr="00534389">
          <w:rPr>
            <w:rStyle w:val="Collegamentoipertestuale"/>
            <w:color w:val="000000" w:themeColor="text1"/>
            <w:u w:val="none"/>
          </w:rPr>
          <w:t>https://doi.org/10.1175/BAMS-D-14-00110.1</w:t>
        </w:r>
      </w:hyperlink>
      <w:r w:rsidRPr="00534389">
        <w:rPr>
          <w:color w:val="000000" w:themeColor="text1"/>
        </w:rPr>
        <w:t>.</w:t>
      </w:r>
    </w:p>
    <w:p w14:paraId="0BEC7063" w14:textId="021E1128" w:rsidR="00784958" w:rsidRPr="000A5D73" w:rsidRDefault="00784958" w:rsidP="00784958">
      <w:pPr>
        <w:pStyle w:val="CETReferencetext"/>
      </w:pPr>
      <w:r w:rsidRPr="000A5D73">
        <w:t xml:space="preserve">Trini Castelli S., </w:t>
      </w:r>
      <w:proofErr w:type="spellStart"/>
      <w:r w:rsidRPr="000A5D73">
        <w:t>Tinarelli</w:t>
      </w:r>
      <w:proofErr w:type="spellEnd"/>
      <w:r w:rsidRPr="000A5D73">
        <w:t xml:space="preserve"> G., Uboldi F., </w:t>
      </w:r>
      <w:proofErr w:type="spellStart"/>
      <w:r w:rsidRPr="000A5D73">
        <w:t>Malguzzi</w:t>
      </w:r>
      <w:proofErr w:type="spellEnd"/>
      <w:r w:rsidRPr="000A5D73">
        <w:t xml:space="preserve"> P., </w:t>
      </w:r>
      <w:proofErr w:type="spellStart"/>
      <w:r w:rsidRPr="000A5D73">
        <w:t>Bonasoni</w:t>
      </w:r>
      <w:proofErr w:type="spellEnd"/>
      <w:r w:rsidRPr="000A5D73">
        <w:t xml:space="preserve"> P., 2022, Developments of SPRAY </w:t>
      </w:r>
      <w:proofErr w:type="spellStart"/>
      <w:r w:rsidRPr="000A5D73">
        <w:t>Lagrangian</w:t>
      </w:r>
      <w:proofErr w:type="spellEnd"/>
      <w:r w:rsidRPr="000A5D73">
        <w:t xml:space="preserve"> Particle Dispersion Model for Tracing the Origin of Odour Nuisance. In: Mensink, C., Jorba, O. (eds) Air Pollution </w:t>
      </w:r>
      <w:proofErr w:type="spellStart"/>
      <w:r w:rsidRPr="000A5D73">
        <w:t>Modeling</w:t>
      </w:r>
      <w:proofErr w:type="spellEnd"/>
      <w:r w:rsidRPr="000A5D73">
        <w:t xml:space="preserve"> and its Application XXVIII. ITM 2021, Springer Proceedings in Complexity, Springer, Cham, https://doi.org/10.1007/978-3-031-12786-1_5</w:t>
      </w:r>
      <w:r w:rsidR="00595184">
        <w:t>.</w:t>
      </w:r>
    </w:p>
    <w:p w14:paraId="0B83DC01" w14:textId="77BD85FC" w:rsidR="00534389" w:rsidRPr="000D56D6" w:rsidRDefault="00534389" w:rsidP="00923302">
      <w:pPr>
        <w:pStyle w:val="CETReferencetext"/>
      </w:pPr>
      <w:r w:rsidRPr="00CE055C">
        <w:t>Vera L., Companioni E., Meacham A., Gygax H., 2016, Real Time Monitoring of VOC and Odours Based on GC-IMS at Wastewater Treatment Plants, Chemical Engineering Transaction, 54, 79-84</w:t>
      </w:r>
      <w:r>
        <w:t>,</w:t>
      </w:r>
      <w:r w:rsidRPr="00CE055C">
        <w:t xml:space="preserve"> DOI: 10.3303/CET1654014</w:t>
      </w:r>
      <w:r>
        <w:t>.</w:t>
      </w:r>
    </w:p>
    <w:p w14:paraId="1AEC6085" w14:textId="10F4D341" w:rsidR="00534389" w:rsidRPr="000D56D6" w:rsidRDefault="00836498">
      <w:pPr>
        <w:pStyle w:val="CETReferencetext"/>
      </w:pPr>
      <w:r w:rsidRPr="000A5D73">
        <w:t>Vitali S., Bax C., Sironi S., Capelli L., 2018, Investigation of electronic nose sensor drift correction methods and their application to environmental samples, Chemical Engineering Transactions, 68, 289-</w:t>
      </w:r>
      <w:r w:rsidR="00264A9E" w:rsidRPr="000A5D73">
        <w:t>294</w:t>
      </w:r>
      <w:r w:rsidR="00534389">
        <w:t>,</w:t>
      </w:r>
      <w:r w:rsidR="00264A9E" w:rsidRPr="000A5D73">
        <w:t xml:space="preserve"> DOI</w:t>
      </w:r>
      <w:r w:rsidRPr="000A5D73">
        <w:t xml:space="preserve">: </w:t>
      </w:r>
      <w:r w:rsidRPr="00CE055C">
        <w:t>10.3303/CET1868049.</w:t>
      </w:r>
    </w:p>
    <w:sectPr w:rsidR="00534389" w:rsidRPr="000D56D6"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1E3F7" w14:textId="77777777" w:rsidR="00C70B3F" w:rsidRDefault="00C70B3F" w:rsidP="004F5E36">
      <w:r>
        <w:separator/>
      </w:r>
    </w:p>
  </w:endnote>
  <w:endnote w:type="continuationSeparator" w:id="0">
    <w:p w14:paraId="5756669A" w14:textId="77777777" w:rsidR="00C70B3F" w:rsidRDefault="00C70B3F"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Times New Roman"/>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CD2C" w14:textId="77777777" w:rsidR="00C70B3F" w:rsidRDefault="00C70B3F" w:rsidP="004F5E36">
      <w:r>
        <w:separator/>
      </w:r>
    </w:p>
  </w:footnote>
  <w:footnote w:type="continuationSeparator" w:id="0">
    <w:p w14:paraId="20AE9ED1" w14:textId="77777777" w:rsidR="00C70B3F" w:rsidRDefault="00C70B3F"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7"/>
  </w:num>
  <w:num w:numId="13" w16cid:durableId="695733619">
    <w:abstractNumId w:val="12"/>
  </w:num>
  <w:num w:numId="14" w16cid:durableId="145903400">
    <w:abstractNumId w:val="18"/>
  </w:num>
  <w:num w:numId="15" w16cid:durableId="19162326">
    <w:abstractNumId w:val="20"/>
  </w:num>
  <w:num w:numId="16" w16cid:durableId="1977102699">
    <w:abstractNumId w:val="19"/>
  </w:num>
  <w:num w:numId="17" w16cid:durableId="860774865">
    <w:abstractNumId w:val="11"/>
  </w:num>
  <w:num w:numId="18" w16cid:durableId="313221457">
    <w:abstractNumId w:val="12"/>
    <w:lvlOverride w:ilvl="0">
      <w:startOverride w:val="1"/>
    </w:lvlOverride>
  </w:num>
  <w:num w:numId="19" w16cid:durableId="534971577">
    <w:abstractNumId w:val="16"/>
  </w:num>
  <w:num w:numId="20" w16cid:durableId="1150947773">
    <w:abstractNumId w:val="15"/>
  </w:num>
  <w:num w:numId="21" w16cid:durableId="124660497">
    <w:abstractNumId w:val="14"/>
  </w:num>
  <w:num w:numId="22" w16cid:durableId="2099861471">
    <w:abstractNumId w:val="13"/>
  </w:num>
  <w:num w:numId="23" w16cid:durableId="907301815">
    <w:abstractNumId w:val="10"/>
  </w:num>
  <w:num w:numId="24" w16cid:durableId="16244613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0E46"/>
    <w:rsid w:val="000117CB"/>
    <w:rsid w:val="00015C08"/>
    <w:rsid w:val="00021BD3"/>
    <w:rsid w:val="00031428"/>
    <w:rsid w:val="0003148D"/>
    <w:rsid w:val="00031EEC"/>
    <w:rsid w:val="000356A3"/>
    <w:rsid w:val="00040ECB"/>
    <w:rsid w:val="000448A1"/>
    <w:rsid w:val="00046475"/>
    <w:rsid w:val="00051566"/>
    <w:rsid w:val="000535FF"/>
    <w:rsid w:val="00053C14"/>
    <w:rsid w:val="00053FB6"/>
    <w:rsid w:val="000562A9"/>
    <w:rsid w:val="00061B6E"/>
    <w:rsid w:val="00062A9A"/>
    <w:rsid w:val="00063AA8"/>
    <w:rsid w:val="00064B69"/>
    <w:rsid w:val="00065058"/>
    <w:rsid w:val="00065436"/>
    <w:rsid w:val="000657CD"/>
    <w:rsid w:val="0007622C"/>
    <w:rsid w:val="00081AB0"/>
    <w:rsid w:val="00086C39"/>
    <w:rsid w:val="0008717A"/>
    <w:rsid w:val="000904E6"/>
    <w:rsid w:val="000907F9"/>
    <w:rsid w:val="000A03B2"/>
    <w:rsid w:val="000A09E7"/>
    <w:rsid w:val="000A0B94"/>
    <w:rsid w:val="000A5D73"/>
    <w:rsid w:val="000A615E"/>
    <w:rsid w:val="000B15AC"/>
    <w:rsid w:val="000B1F71"/>
    <w:rsid w:val="000C0D7A"/>
    <w:rsid w:val="000C2A3A"/>
    <w:rsid w:val="000C45A2"/>
    <w:rsid w:val="000D00BC"/>
    <w:rsid w:val="000D0268"/>
    <w:rsid w:val="000D34BE"/>
    <w:rsid w:val="000D3D26"/>
    <w:rsid w:val="000D4239"/>
    <w:rsid w:val="000D7070"/>
    <w:rsid w:val="000E102F"/>
    <w:rsid w:val="000E2FF9"/>
    <w:rsid w:val="000E36F1"/>
    <w:rsid w:val="000E3A73"/>
    <w:rsid w:val="000E414A"/>
    <w:rsid w:val="000E46D6"/>
    <w:rsid w:val="000E5691"/>
    <w:rsid w:val="000E75FD"/>
    <w:rsid w:val="000F093C"/>
    <w:rsid w:val="000F1020"/>
    <w:rsid w:val="000F34DA"/>
    <w:rsid w:val="000F787B"/>
    <w:rsid w:val="0010121A"/>
    <w:rsid w:val="001012A2"/>
    <w:rsid w:val="00104D1C"/>
    <w:rsid w:val="0011216D"/>
    <w:rsid w:val="001206B3"/>
    <w:rsid w:val="0012091F"/>
    <w:rsid w:val="00124397"/>
    <w:rsid w:val="00124AAD"/>
    <w:rsid w:val="001259E9"/>
    <w:rsid w:val="00126BC2"/>
    <w:rsid w:val="001308B6"/>
    <w:rsid w:val="0013121F"/>
    <w:rsid w:val="00131FE6"/>
    <w:rsid w:val="0013263F"/>
    <w:rsid w:val="00133184"/>
    <w:rsid w:val="001331DF"/>
    <w:rsid w:val="0013385F"/>
    <w:rsid w:val="00134DE4"/>
    <w:rsid w:val="001365A9"/>
    <w:rsid w:val="0014034D"/>
    <w:rsid w:val="00140FE3"/>
    <w:rsid w:val="0014170C"/>
    <w:rsid w:val="00144D16"/>
    <w:rsid w:val="00145934"/>
    <w:rsid w:val="00146490"/>
    <w:rsid w:val="001466DD"/>
    <w:rsid w:val="001469FA"/>
    <w:rsid w:val="00147D9B"/>
    <w:rsid w:val="001503D3"/>
    <w:rsid w:val="00150E59"/>
    <w:rsid w:val="00152DE3"/>
    <w:rsid w:val="00153F2D"/>
    <w:rsid w:val="001621DD"/>
    <w:rsid w:val="0016260D"/>
    <w:rsid w:val="00164CF9"/>
    <w:rsid w:val="001667A6"/>
    <w:rsid w:val="00167351"/>
    <w:rsid w:val="00176B42"/>
    <w:rsid w:val="00177F24"/>
    <w:rsid w:val="001805CB"/>
    <w:rsid w:val="00184A97"/>
    <w:rsid w:val="00184AD6"/>
    <w:rsid w:val="00187C97"/>
    <w:rsid w:val="001A0154"/>
    <w:rsid w:val="001A0602"/>
    <w:rsid w:val="001A3D5F"/>
    <w:rsid w:val="001A4AF7"/>
    <w:rsid w:val="001B0349"/>
    <w:rsid w:val="001B1E93"/>
    <w:rsid w:val="001B274F"/>
    <w:rsid w:val="001B65C1"/>
    <w:rsid w:val="001C260F"/>
    <w:rsid w:val="001C33F1"/>
    <w:rsid w:val="001C5A62"/>
    <w:rsid w:val="001C5B74"/>
    <w:rsid w:val="001C684B"/>
    <w:rsid w:val="001D0CFB"/>
    <w:rsid w:val="001D21AF"/>
    <w:rsid w:val="001D2871"/>
    <w:rsid w:val="001D53FC"/>
    <w:rsid w:val="001E7671"/>
    <w:rsid w:val="001F059C"/>
    <w:rsid w:val="001F3CBF"/>
    <w:rsid w:val="001F42A5"/>
    <w:rsid w:val="001F7893"/>
    <w:rsid w:val="001F7B9D"/>
    <w:rsid w:val="00201345"/>
    <w:rsid w:val="00201C93"/>
    <w:rsid w:val="00202495"/>
    <w:rsid w:val="00203392"/>
    <w:rsid w:val="00205209"/>
    <w:rsid w:val="00206AF3"/>
    <w:rsid w:val="00214C3B"/>
    <w:rsid w:val="0021613E"/>
    <w:rsid w:val="002224B4"/>
    <w:rsid w:val="002428F5"/>
    <w:rsid w:val="002447EF"/>
    <w:rsid w:val="0024662A"/>
    <w:rsid w:val="00251550"/>
    <w:rsid w:val="002568AE"/>
    <w:rsid w:val="00263B05"/>
    <w:rsid w:val="00264A9E"/>
    <w:rsid w:val="00265A5C"/>
    <w:rsid w:val="002670C4"/>
    <w:rsid w:val="0027221A"/>
    <w:rsid w:val="00273B3C"/>
    <w:rsid w:val="00273FCE"/>
    <w:rsid w:val="00275B61"/>
    <w:rsid w:val="00280FAF"/>
    <w:rsid w:val="002819E0"/>
    <w:rsid w:val="00282656"/>
    <w:rsid w:val="00295561"/>
    <w:rsid w:val="00296B83"/>
    <w:rsid w:val="0029790C"/>
    <w:rsid w:val="002A4137"/>
    <w:rsid w:val="002B4015"/>
    <w:rsid w:val="002B7319"/>
    <w:rsid w:val="002B78CE"/>
    <w:rsid w:val="002C01AA"/>
    <w:rsid w:val="002C14BE"/>
    <w:rsid w:val="002C2FB6"/>
    <w:rsid w:val="002C7EB6"/>
    <w:rsid w:val="002D4C16"/>
    <w:rsid w:val="002D6867"/>
    <w:rsid w:val="002E1045"/>
    <w:rsid w:val="002E5386"/>
    <w:rsid w:val="002E5FA7"/>
    <w:rsid w:val="002E6EE1"/>
    <w:rsid w:val="002F03CD"/>
    <w:rsid w:val="002F1C1A"/>
    <w:rsid w:val="002F3309"/>
    <w:rsid w:val="002F4FD3"/>
    <w:rsid w:val="002F79BA"/>
    <w:rsid w:val="003008CE"/>
    <w:rsid w:val="003009B7"/>
    <w:rsid w:val="00300E56"/>
    <w:rsid w:val="0030152C"/>
    <w:rsid w:val="00304546"/>
    <w:rsid w:val="0030469C"/>
    <w:rsid w:val="00311425"/>
    <w:rsid w:val="00315ACA"/>
    <w:rsid w:val="00321CA6"/>
    <w:rsid w:val="00323763"/>
    <w:rsid w:val="00323B51"/>
    <w:rsid w:val="00323C5F"/>
    <w:rsid w:val="00324C76"/>
    <w:rsid w:val="00324E8C"/>
    <w:rsid w:val="00332F8E"/>
    <w:rsid w:val="00334C09"/>
    <w:rsid w:val="0033596D"/>
    <w:rsid w:val="003465D2"/>
    <w:rsid w:val="003559AE"/>
    <w:rsid w:val="00370D66"/>
    <w:rsid w:val="003723D4"/>
    <w:rsid w:val="00374AE8"/>
    <w:rsid w:val="00381905"/>
    <w:rsid w:val="003834E7"/>
    <w:rsid w:val="00384CC8"/>
    <w:rsid w:val="003871FD"/>
    <w:rsid w:val="003905B2"/>
    <w:rsid w:val="00396DAC"/>
    <w:rsid w:val="0039758D"/>
    <w:rsid w:val="00397F45"/>
    <w:rsid w:val="003A1142"/>
    <w:rsid w:val="003A1E30"/>
    <w:rsid w:val="003A22E4"/>
    <w:rsid w:val="003A2829"/>
    <w:rsid w:val="003A6769"/>
    <w:rsid w:val="003A7D1C"/>
    <w:rsid w:val="003A7EAD"/>
    <w:rsid w:val="003B0202"/>
    <w:rsid w:val="003B304B"/>
    <w:rsid w:val="003B3146"/>
    <w:rsid w:val="003B536F"/>
    <w:rsid w:val="003C410C"/>
    <w:rsid w:val="003C4581"/>
    <w:rsid w:val="003C5215"/>
    <w:rsid w:val="003D1E02"/>
    <w:rsid w:val="003D5A52"/>
    <w:rsid w:val="003E1135"/>
    <w:rsid w:val="003E1CF4"/>
    <w:rsid w:val="003E3C71"/>
    <w:rsid w:val="003E3F0E"/>
    <w:rsid w:val="003E60DE"/>
    <w:rsid w:val="003F015E"/>
    <w:rsid w:val="003F3847"/>
    <w:rsid w:val="003F47D6"/>
    <w:rsid w:val="003F5379"/>
    <w:rsid w:val="003F651B"/>
    <w:rsid w:val="003F7A20"/>
    <w:rsid w:val="00400252"/>
    <w:rsid w:val="00400414"/>
    <w:rsid w:val="004038FC"/>
    <w:rsid w:val="00405BEA"/>
    <w:rsid w:val="00406C11"/>
    <w:rsid w:val="004113A7"/>
    <w:rsid w:val="00411D89"/>
    <w:rsid w:val="0041446B"/>
    <w:rsid w:val="00421CC6"/>
    <w:rsid w:val="00423549"/>
    <w:rsid w:val="00437D37"/>
    <w:rsid w:val="0044071E"/>
    <w:rsid w:val="0044329C"/>
    <w:rsid w:val="00452938"/>
    <w:rsid w:val="00453E24"/>
    <w:rsid w:val="00457456"/>
    <w:rsid w:val="004577FE"/>
    <w:rsid w:val="00457B9C"/>
    <w:rsid w:val="00457FAB"/>
    <w:rsid w:val="0046164A"/>
    <w:rsid w:val="00462827"/>
    <w:rsid w:val="004628D2"/>
    <w:rsid w:val="00462DCD"/>
    <w:rsid w:val="004648AD"/>
    <w:rsid w:val="004703A9"/>
    <w:rsid w:val="0047172E"/>
    <w:rsid w:val="004760DE"/>
    <w:rsid w:val="004760FB"/>
    <w:rsid w:val="004763D7"/>
    <w:rsid w:val="00480F05"/>
    <w:rsid w:val="004824E1"/>
    <w:rsid w:val="004827D4"/>
    <w:rsid w:val="00482B50"/>
    <w:rsid w:val="0048431D"/>
    <w:rsid w:val="0048441F"/>
    <w:rsid w:val="00487D7C"/>
    <w:rsid w:val="0049135F"/>
    <w:rsid w:val="0049576D"/>
    <w:rsid w:val="004A004E"/>
    <w:rsid w:val="004A24CF"/>
    <w:rsid w:val="004A52E3"/>
    <w:rsid w:val="004A5E57"/>
    <w:rsid w:val="004A618A"/>
    <w:rsid w:val="004B04FC"/>
    <w:rsid w:val="004B0AB1"/>
    <w:rsid w:val="004C194F"/>
    <w:rsid w:val="004C3D1D"/>
    <w:rsid w:val="004C3D84"/>
    <w:rsid w:val="004C3E7D"/>
    <w:rsid w:val="004C7913"/>
    <w:rsid w:val="004C7E0A"/>
    <w:rsid w:val="004D01D1"/>
    <w:rsid w:val="004D7E2B"/>
    <w:rsid w:val="004E277C"/>
    <w:rsid w:val="004E47EC"/>
    <w:rsid w:val="004E4DD6"/>
    <w:rsid w:val="004E5081"/>
    <w:rsid w:val="004F1057"/>
    <w:rsid w:val="004F38E1"/>
    <w:rsid w:val="004F398F"/>
    <w:rsid w:val="004F5E36"/>
    <w:rsid w:val="004F6020"/>
    <w:rsid w:val="005039FC"/>
    <w:rsid w:val="00506684"/>
    <w:rsid w:val="00507B47"/>
    <w:rsid w:val="00507BEF"/>
    <w:rsid w:val="00507CC9"/>
    <w:rsid w:val="005119A5"/>
    <w:rsid w:val="00512A9B"/>
    <w:rsid w:val="00513604"/>
    <w:rsid w:val="00514F6E"/>
    <w:rsid w:val="00524838"/>
    <w:rsid w:val="00524878"/>
    <w:rsid w:val="00526E38"/>
    <w:rsid w:val="005278B7"/>
    <w:rsid w:val="00532016"/>
    <w:rsid w:val="00534111"/>
    <w:rsid w:val="00534389"/>
    <w:rsid w:val="005346C8"/>
    <w:rsid w:val="00534CAF"/>
    <w:rsid w:val="005353B2"/>
    <w:rsid w:val="00542A7E"/>
    <w:rsid w:val="00543E7D"/>
    <w:rsid w:val="00544C8D"/>
    <w:rsid w:val="00545B90"/>
    <w:rsid w:val="00545DEA"/>
    <w:rsid w:val="00547A68"/>
    <w:rsid w:val="00550D01"/>
    <w:rsid w:val="005531C9"/>
    <w:rsid w:val="00555048"/>
    <w:rsid w:val="00555F2E"/>
    <w:rsid w:val="00564749"/>
    <w:rsid w:val="00566D2A"/>
    <w:rsid w:val="00570C43"/>
    <w:rsid w:val="00572253"/>
    <w:rsid w:val="00587240"/>
    <w:rsid w:val="00592274"/>
    <w:rsid w:val="00593DF9"/>
    <w:rsid w:val="00595009"/>
    <w:rsid w:val="00595184"/>
    <w:rsid w:val="0059675B"/>
    <w:rsid w:val="00596C52"/>
    <w:rsid w:val="005A5F54"/>
    <w:rsid w:val="005B2110"/>
    <w:rsid w:val="005B399F"/>
    <w:rsid w:val="005B5102"/>
    <w:rsid w:val="005B5127"/>
    <w:rsid w:val="005B61E6"/>
    <w:rsid w:val="005B6B47"/>
    <w:rsid w:val="005C0472"/>
    <w:rsid w:val="005C0700"/>
    <w:rsid w:val="005C0BBC"/>
    <w:rsid w:val="005C0BEB"/>
    <w:rsid w:val="005C77E1"/>
    <w:rsid w:val="005D33C3"/>
    <w:rsid w:val="005D3C7C"/>
    <w:rsid w:val="005D42A4"/>
    <w:rsid w:val="005D668A"/>
    <w:rsid w:val="005D6A2F"/>
    <w:rsid w:val="005E0592"/>
    <w:rsid w:val="005E1A82"/>
    <w:rsid w:val="005E794C"/>
    <w:rsid w:val="005F0A28"/>
    <w:rsid w:val="005F0E5E"/>
    <w:rsid w:val="005F3E4E"/>
    <w:rsid w:val="005F4583"/>
    <w:rsid w:val="005F702E"/>
    <w:rsid w:val="00600535"/>
    <w:rsid w:val="00600647"/>
    <w:rsid w:val="0060347A"/>
    <w:rsid w:val="00610CD6"/>
    <w:rsid w:val="00615270"/>
    <w:rsid w:val="0061775F"/>
    <w:rsid w:val="00620DEE"/>
    <w:rsid w:val="00621F92"/>
    <w:rsid w:val="0062280A"/>
    <w:rsid w:val="006231E1"/>
    <w:rsid w:val="00625639"/>
    <w:rsid w:val="00627E3F"/>
    <w:rsid w:val="006300CE"/>
    <w:rsid w:val="00631B33"/>
    <w:rsid w:val="0063538D"/>
    <w:rsid w:val="0064184D"/>
    <w:rsid w:val="006422CC"/>
    <w:rsid w:val="00643028"/>
    <w:rsid w:val="0064385B"/>
    <w:rsid w:val="00645D5F"/>
    <w:rsid w:val="00651D18"/>
    <w:rsid w:val="00652A52"/>
    <w:rsid w:val="00655A71"/>
    <w:rsid w:val="00660E3E"/>
    <w:rsid w:val="00662E74"/>
    <w:rsid w:val="006700EB"/>
    <w:rsid w:val="006751EB"/>
    <w:rsid w:val="00680C23"/>
    <w:rsid w:val="006812E7"/>
    <w:rsid w:val="00682CDE"/>
    <w:rsid w:val="00683673"/>
    <w:rsid w:val="00683E23"/>
    <w:rsid w:val="006866F8"/>
    <w:rsid w:val="00687ADC"/>
    <w:rsid w:val="00693766"/>
    <w:rsid w:val="006A3281"/>
    <w:rsid w:val="006A4F91"/>
    <w:rsid w:val="006B3B89"/>
    <w:rsid w:val="006B4888"/>
    <w:rsid w:val="006B5C0A"/>
    <w:rsid w:val="006B7BD9"/>
    <w:rsid w:val="006C2E45"/>
    <w:rsid w:val="006C30CA"/>
    <w:rsid w:val="006C359C"/>
    <w:rsid w:val="006C3BF1"/>
    <w:rsid w:val="006C5579"/>
    <w:rsid w:val="006D6E06"/>
    <w:rsid w:val="006D6E8B"/>
    <w:rsid w:val="006D7209"/>
    <w:rsid w:val="006E4BE8"/>
    <w:rsid w:val="006E737D"/>
    <w:rsid w:val="006F1979"/>
    <w:rsid w:val="006F1F75"/>
    <w:rsid w:val="006F20E2"/>
    <w:rsid w:val="006F45EB"/>
    <w:rsid w:val="007005DA"/>
    <w:rsid w:val="00701DD8"/>
    <w:rsid w:val="0070324F"/>
    <w:rsid w:val="0070417E"/>
    <w:rsid w:val="007075CB"/>
    <w:rsid w:val="00707DD1"/>
    <w:rsid w:val="00710467"/>
    <w:rsid w:val="00712F16"/>
    <w:rsid w:val="00713973"/>
    <w:rsid w:val="0071602B"/>
    <w:rsid w:val="007166D3"/>
    <w:rsid w:val="00720A24"/>
    <w:rsid w:val="00721C65"/>
    <w:rsid w:val="00726D91"/>
    <w:rsid w:val="00732129"/>
    <w:rsid w:val="00732386"/>
    <w:rsid w:val="00732540"/>
    <w:rsid w:val="0073514D"/>
    <w:rsid w:val="00742974"/>
    <w:rsid w:val="007447F3"/>
    <w:rsid w:val="0075499F"/>
    <w:rsid w:val="00760AAF"/>
    <w:rsid w:val="007617CC"/>
    <w:rsid w:val="00762617"/>
    <w:rsid w:val="007661C8"/>
    <w:rsid w:val="00770794"/>
    <w:rsid w:val="0077098D"/>
    <w:rsid w:val="00771B67"/>
    <w:rsid w:val="00771BD3"/>
    <w:rsid w:val="00784958"/>
    <w:rsid w:val="00785BF9"/>
    <w:rsid w:val="00792316"/>
    <w:rsid w:val="00792A21"/>
    <w:rsid w:val="007931FA"/>
    <w:rsid w:val="007A22BB"/>
    <w:rsid w:val="007A37A1"/>
    <w:rsid w:val="007A4861"/>
    <w:rsid w:val="007A6E08"/>
    <w:rsid w:val="007A7BBA"/>
    <w:rsid w:val="007A7FFE"/>
    <w:rsid w:val="007B07FB"/>
    <w:rsid w:val="007B0C50"/>
    <w:rsid w:val="007B43AE"/>
    <w:rsid w:val="007B48F9"/>
    <w:rsid w:val="007B687D"/>
    <w:rsid w:val="007C1A43"/>
    <w:rsid w:val="007C5EAE"/>
    <w:rsid w:val="007C7AE3"/>
    <w:rsid w:val="007D014C"/>
    <w:rsid w:val="007D0951"/>
    <w:rsid w:val="007D14E0"/>
    <w:rsid w:val="007D617B"/>
    <w:rsid w:val="007E336D"/>
    <w:rsid w:val="007F17E9"/>
    <w:rsid w:val="007F22FD"/>
    <w:rsid w:val="007F27C8"/>
    <w:rsid w:val="007F43A1"/>
    <w:rsid w:val="007F69D8"/>
    <w:rsid w:val="007F6E02"/>
    <w:rsid w:val="0080013E"/>
    <w:rsid w:val="008005FF"/>
    <w:rsid w:val="0080184B"/>
    <w:rsid w:val="00807B5A"/>
    <w:rsid w:val="00813288"/>
    <w:rsid w:val="00815EC9"/>
    <w:rsid w:val="008167E1"/>
    <w:rsid w:val="008168FC"/>
    <w:rsid w:val="008223C0"/>
    <w:rsid w:val="00822625"/>
    <w:rsid w:val="00824FD9"/>
    <w:rsid w:val="008259B8"/>
    <w:rsid w:val="00830996"/>
    <w:rsid w:val="00831487"/>
    <w:rsid w:val="008314D7"/>
    <w:rsid w:val="00833BC0"/>
    <w:rsid w:val="008345F1"/>
    <w:rsid w:val="00836498"/>
    <w:rsid w:val="0083677C"/>
    <w:rsid w:val="008369B2"/>
    <w:rsid w:val="00837CA8"/>
    <w:rsid w:val="00837D56"/>
    <w:rsid w:val="008413A9"/>
    <w:rsid w:val="00841F0D"/>
    <w:rsid w:val="008455E0"/>
    <w:rsid w:val="00846EC6"/>
    <w:rsid w:val="00850320"/>
    <w:rsid w:val="00855D58"/>
    <w:rsid w:val="00865B07"/>
    <w:rsid w:val="00865FB1"/>
    <w:rsid w:val="008667EA"/>
    <w:rsid w:val="008742D2"/>
    <w:rsid w:val="0087637F"/>
    <w:rsid w:val="00877419"/>
    <w:rsid w:val="008828A4"/>
    <w:rsid w:val="00886B1B"/>
    <w:rsid w:val="00887BAE"/>
    <w:rsid w:val="00890FBB"/>
    <w:rsid w:val="00892AD5"/>
    <w:rsid w:val="00893BC3"/>
    <w:rsid w:val="008A1512"/>
    <w:rsid w:val="008A65E0"/>
    <w:rsid w:val="008B2157"/>
    <w:rsid w:val="008B3048"/>
    <w:rsid w:val="008B7FD0"/>
    <w:rsid w:val="008C68D1"/>
    <w:rsid w:val="008D1889"/>
    <w:rsid w:val="008D32B9"/>
    <w:rsid w:val="008D433B"/>
    <w:rsid w:val="008D4A16"/>
    <w:rsid w:val="008D7E37"/>
    <w:rsid w:val="008E0268"/>
    <w:rsid w:val="008E209A"/>
    <w:rsid w:val="008E45BC"/>
    <w:rsid w:val="008E566E"/>
    <w:rsid w:val="008F0AFC"/>
    <w:rsid w:val="0090161A"/>
    <w:rsid w:val="00901B80"/>
    <w:rsid w:val="00901EB6"/>
    <w:rsid w:val="009030A9"/>
    <w:rsid w:val="00903A9A"/>
    <w:rsid w:val="009041F8"/>
    <w:rsid w:val="00904C62"/>
    <w:rsid w:val="00907918"/>
    <w:rsid w:val="0091222B"/>
    <w:rsid w:val="00912878"/>
    <w:rsid w:val="00922BA8"/>
    <w:rsid w:val="00923302"/>
    <w:rsid w:val="00924DAC"/>
    <w:rsid w:val="00927058"/>
    <w:rsid w:val="00935905"/>
    <w:rsid w:val="009376AB"/>
    <w:rsid w:val="00942750"/>
    <w:rsid w:val="00944ACB"/>
    <w:rsid w:val="00944DE5"/>
    <w:rsid w:val="009450CE"/>
    <w:rsid w:val="009459BB"/>
    <w:rsid w:val="00947179"/>
    <w:rsid w:val="00951067"/>
    <w:rsid w:val="009514E2"/>
    <w:rsid w:val="0095164B"/>
    <w:rsid w:val="00954090"/>
    <w:rsid w:val="009541D9"/>
    <w:rsid w:val="00955967"/>
    <w:rsid w:val="00955A6A"/>
    <w:rsid w:val="009573E7"/>
    <w:rsid w:val="00963936"/>
    <w:rsid w:val="00963E05"/>
    <w:rsid w:val="00964A45"/>
    <w:rsid w:val="00965B2C"/>
    <w:rsid w:val="00967843"/>
    <w:rsid w:val="00967D54"/>
    <w:rsid w:val="00971028"/>
    <w:rsid w:val="00973BFF"/>
    <w:rsid w:val="0099204B"/>
    <w:rsid w:val="00993B84"/>
    <w:rsid w:val="00996483"/>
    <w:rsid w:val="00996F5A"/>
    <w:rsid w:val="009A063F"/>
    <w:rsid w:val="009A2A4B"/>
    <w:rsid w:val="009A59EF"/>
    <w:rsid w:val="009B041A"/>
    <w:rsid w:val="009B1140"/>
    <w:rsid w:val="009B72E0"/>
    <w:rsid w:val="009C34F9"/>
    <w:rsid w:val="009C37C3"/>
    <w:rsid w:val="009C7C86"/>
    <w:rsid w:val="009D2FF7"/>
    <w:rsid w:val="009D6B27"/>
    <w:rsid w:val="009E0D41"/>
    <w:rsid w:val="009E4BD3"/>
    <w:rsid w:val="009E7884"/>
    <w:rsid w:val="009E788A"/>
    <w:rsid w:val="009F0E08"/>
    <w:rsid w:val="009F1CBB"/>
    <w:rsid w:val="009F3399"/>
    <w:rsid w:val="00A00796"/>
    <w:rsid w:val="00A061EF"/>
    <w:rsid w:val="00A079AE"/>
    <w:rsid w:val="00A10695"/>
    <w:rsid w:val="00A11D4F"/>
    <w:rsid w:val="00A14334"/>
    <w:rsid w:val="00A1462A"/>
    <w:rsid w:val="00A15267"/>
    <w:rsid w:val="00A159CC"/>
    <w:rsid w:val="00A1763D"/>
    <w:rsid w:val="00A17CEC"/>
    <w:rsid w:val="00A20233"/>
    <w:rsid w:val="00A20906"/>
    <w:rsid w:val="00A22FC4"/>
    <w:rsid w:val="00A2451E"/>
    <w:rsid w:val="00A24687"/>
    <w:rsid w:val="00A24A29"/>
    <w:rsid w:val="00A253C0"/>
    <w:rsid w:val="00A25E8A"/>
    <w:rsid w:val="00A26CBB"/>
    <w:rsid w:val="00A27E8C"/>
    <w:rsid w:val="00A27EF0"/>
    <w:rsid w:val="00A27EF6"/>
    <w:rsid w:val="00A315C0"/>
    <w:rsid w:val="00A31627"/>
    <w:rsid w:val="00A3286E"/>
    <w:rsid w:val="00A42361"/>
    <w:rsid w:val="00A44F2C"/>
    <w:rsid w:val="00A465D7"/>
    <w:rsid w:val="00A46C34"/>
    <w:rsid w:val="00A46D3D"/>
    <w:rsid w:val="00A47EEE"/>
    <w:rsid w:val="00A50B20"/>
    <w:rsid w:val="00A51390"/>
    <w:rsid w:val="00A51F09"/>
    <w:rsid w:val="00A60D13"/>
    <w:rsid w:val="00A7223D"/>
    <w:rsid w:val="00A72745"/>
    <w:rsid w:val="00A76EFC"/>
    <w:rsid w:val="00A80066"/>
    <w:rsid w:val="00A87D50"/>
    <w:rsid w:val="00A91010"/>
    <w:rsid w:val="00A97F29"/>
    <w:rsid w:val="00AA0FBE"/>
    <w:rsid w:val="00AA2589"/>
    <w:rsid w:val="00AA3673"/>
    <w:rsid w:val="00AA4294"/>
    <w:rsid w:val="00AA46D4"/>
    <w:rsid w:val="00AA702E"/>
    <w:rsid w:val="00AA7C58"/>
    <w:rsid w:val="00AA7D26"/>
    <w:rsid w:val="00AB0964"/>
    <w:rsid w:val="00AB2524"/>
    <w:rsid w:val="00AB2C69"/>
    <w:rsid w:val="00AB38AC"/>
    <w:rsid w:val="00AB3D4D"/>
    <w:rsid w:val="00AB5011"/>
    <w:rsid w:val="00AB7205"/>
    <w:rsid w:val="00AC1398"/>
    <w:rsid w:val="00AC221A"/>
    <w:rsid w:val="00AC3A6D"/>
    <w:rsid w:val="00AC47DF"/>
    <w:rsid w:val="00AC626C"/>
    <w:rsid w:val="00AC7368"/>
    <w:rsid w:val="00AD0278"/>
    <w:rsid w:val="00AD061D"/>
    <w:rsid w:val="00AD16B9"/>
    <w:rsid w:val="00AD6CB0"/>
    <w:rsid w:val="00AE0AC2"/>
    <w:rsid w:val="00AE377D"/>
    <w:rsid w:val="00AE386C"/>
    <w:rsid w:val="00AE4A8E"/>
    <w:rsid w:val="00AF0EBA"/>
    <w:rsid w:val="00AF64D7"/>
    <w:rsid w:val="00AF67BD"/>
    <w:rsid w:val="00B0230F"/>
    <w:rsid w:val="00B02C8A"/>
    <w:rsid w:val="00B045D6"/>
    <w:rsid w:val="00B17FBD"/>
    <w:rsid w:val="00B22107"/>
    <w:rsid w:val="00B315A6"/>
    <w:rsid w:val="00B3164C"/>
    <w:rsid w:val="00B31813"/>
    <w:rsid w:val="00B3217E"/>
    <w:rsid w:val="00B33365"/>
    <w:rsid w:val="00B33892"/>
    <w:rsid w:val="00B3532D"/>
    <w:rsid w:val="00B375E9"/>
    <w:rsid w:val="00B3796B"/>
    <w:rsid w:val="00B40C78"/>
    <w:rsid w:val="00B424C5"/>
    <w:rsid w:val="00B47362"/>
    <w:rsid w:val="00B47BBC"/>
    <w:rsid w:val="00B536F2"/>
    <w:rsid w:val="00B559CF"/>
    <w:rsid w:val="00B56695"/>
    <w:rsid w:val="00B57B36"/>
    <w:rsid w:val="00B57E6F"/>
    <w:rsid w:val="00B60201"/>
    <w:rsid w:val="00B607A2"/>
    <w:rsid w:val="00B859B9"/>
    <w:rsid w:val="00B8686D"/>
    <w:rsid w:val="00B86E14"/>
    <w:rsid w:val="00B93F69"/>
    <w:rsid w:val="00BA141E"/>
    <w:rsid w:val="00BA213D"/>
    <w:rsid w:val="00BB1DDC"/>
    <w:rsid w:val="00BB1EC3"/>
    <w:rsid w:val="00BB5A95"/>
    <w:rsid w:val="00BC30C9"/>
    <w:rsid w:val="00BC553F"/>
    <w:rsid w:val="00BD077D"/>
    <w:rsid w:val="00BD5615"/>
    <w:rsid w:val="00BD661E"/>
    <w:rsid w:val="00BE26F1"/>
    <w:rsid w:val="00BE3E58"/>
    <w:rsid w:val="00BE7138"/>
    <w:rsid w:val="00BE7A0C"/>
    <w:rsid w:val="00BF246D"/>
    <w:rsid w:val="00C002F6"/>
    <w:rsid w:val="00C01616"/>
    <w:rsid w:val="00C0162B"/>
    <w:rsid w:val="00C03AD0"/>
    <w:rsid w:val="00C068ED"/>
    <w:rsid w:val="00C06AF7"/>
    <w:rsid w:val="00C12801"/>
    <w:rsid w:val="00C15F03"/>
    <w:rsid w:val="00C166D8"/>
    <w:rsid w:val="00C16FB7"/>
    <w:rsid w:val="00C208E9"/>
    <w:rsid w:val="00C22E0C"/>
    <w:rsid w:val="00C24AF5"/>
    <w:rsid w:val="00C302BA"/>
    <w:rsid w:val="00C30CB7"/>
    <w:rsid w:val="00C345B1"/>
    <w:rsid w:val="00C37524"/>
    <w:rsid w:val="00C40142"/>
    <w:rsid w:val="00C42860"/>
    <w:rsid w:val="00C437A2"/>
    <w:rsid w:val="00C52C3C"/>
    <w:rsid w:val="00C56DB2"/>
    <w:rsid w:val="00C57182"/>
    <w:rsid w:val="00C57863"/>
    <w:rsid w:val="00C6248C"/>
    <w:rsid w:val="00C640AF"/>
    <w:rsid w:val="00C655FD"/>
    <w:rsid w:val="00C65ECC"/>
    <w:rsid w:val="00C70B3F"/>
    <w:rsid w:val="00C72731"/>
    <w:rsid w:val="00C75407"/>
    <w:rsid w:val="00C757F3"/>
    <w:rsid w:val="00C75FFA"/>
    <w:rsid w:val="00C77CDD"/>
    <w:rsid w:val="00C81C22"/>
    <w:rsid w:val="00C8385E"/>
    <w:rsid w:val="00C841C6"/>
    <w:rsid w:val="00C870A8"/>
    <w:rsid w:val="00C87CC0"/>
    <w:rsid w:val="00C94434"/>
    <w:rsid w:val="00C94E26"/>
    <w:rsid w:val="00CA0931"/>
    <w:rsid w:val="00CA0D75"/>
    <w:rsid w:val="00CA11EE"/>
    <w:rsid w:val="00CA1C95"/>
    <w:rsid w:val="00CA5A9C"/>
    <w:rsid w:val="00CC003D"/>
    <w:rsid w:val="00CC25A8"/>
    <w:rsid w:val="00CC4C20"/>
    <w:rsid w:val="00CC5DF1"/>
    <w:rsid w:val="00CC746C"/>
    <w:rsid w:val="00CD3517"/>
    <w:rsid w:val="00CD523C"/>
    <w:rsid w:val="00CD5B79"/>
    <w:rsid w:val="00CD5C46"/>
    <w:rsid w:val="00CD5FE2"/>
    <w:rsid w:val="00CE055C"/>
    <w:rsid w:val="00CE192D"/>
    <w:rsid w:val="00CE39A3"/>
    <w:rsid w:val="00CE7C68"/>
    <w:rsid w:val="00D02B4C"/>
    <w:rsid w:val="00D040C4"/>
    <w:rsid w:val="00D06CCA"/>
    <w:rsid w:val="00D108A0"/>
    <w:rsid w:val="00D15E11"/>
    <w:rsid w:val="00D16C62"/>
    <w:rsid w:val="00D16F66"/>
    <w:rsid w:val="00D20AD1"/>
    <w:rsid w:val="00D2582C"/>
    <w:rsid w:val="00D317B6"/>
    <w:rsid w:val="00D317EE"/>
    <w:rsid w:val="00D343DC"/>
    <w:rsid w:val="00D378F6"/>
    <w:rsid w:val="00D42725"/>
    <w:rsid w:val="00D449B4"/>
    <w:rsid w:val="00D46B7E"/>
    <w:rsid w:val="00D477F2"/>
    <w:rsid w:val="00D50E18"/>
    <w:rsid w:val="00D560AE"/>
    <w:rsid w:val="00D56277"/>
    <w:rsid w:val="00D57C84"/>
    <w:rsid w:val="00D6057D"/>
    <w:rsid w:val="00D67BEB"/>
    <w:rsid w:val="00D71640"/>
    <w:rsid w:val="00D71B79"/>
    <w:rsid w:val="00D74EBD"/>
    <w:rsid w:val="00D80F89"/>
    <w:rsid w:val="00D836C5"/>
    <w:rsid w:val="00D84576"/>
    <w:rsid w:val="00D8610F"/>
    <w:rsid w:val="00D864DA"/>
    <w:rsid w:val="00D924E5"/>
    <w:rsid w:val="00D9380B"/>
    <w:rsid w:val="00DA1399"/>
    <w:rsid w:val="00DA24C6"/>
    <w:rsid w:val="00DA4D7B"/>
    <w:rsid w:val="00DA6FEE"/>
    <w:rsid w:val="00DB0059"/>
    <w:rsid w:val="00DB02D1"/>
    <w:rsid w:val="00DB3B9B"/>
    <w:rsid w:val="00DB4B7D"/>
    <w:rsid w:val="00DB61C8"/>
    <w:rsid w:val="00DB7348"/>
    <w:rsid w:val="00DC113E"/>
    <w:rsid w:val="00DD17C9"/>
    <w:rsid w:val="00DD271C"/>
    <w:rsid w:val="00DD3FB5"/>
    <w:rsid w:val="00DD5421"/>
    <w:rsid w:val="00DD57CF"/>
    <w:rsid w:val="00DE0C67"/>
    <w:rsid w:val="00DE11FB"/>
    <w:rsid w:val="00DE1BB5"/>
    <w:rsid w:val="00DE264A"/>
    <w:rsid w:val="00DF5072"/>
    <w:rsid w:val="00E00B4B"/>
    <w:rsid w:val="00E02D18"/>
    <w:rsid w:val="00E041E7"/>
    <w:rsid w:val="00E23CA1"/>
    <w:rsid w:val="00E2446D"/>
    <w:rsid w:val="00E25DB0"/>
    <w:rsid w:val="00E25E74"/>
    <w:rsid w:val="00E30305"/>
    <w:rsid w:val="00E33703"/>
    <w:rsid w:val="00E40172"/>
    <w:rsid w:val="00E409A8"/>
    <w:rsid w:val="00E42955"/>
    <w:rsid w:val="00E44C4D"/>
    <w:rsid w:val="00E44FBE"/>
    <w:rsid w:val="00E47D61"/>
    <w:rsid w:val="00E5040B"/>
    <w:rsid w:val="00E50AE0"/>
    <w:rsid w:val="00E50C12"/>
    <w:rsid w:val="00E5133C"/>
    <w:rsid w:val="00E61C62"/>
    <w:rsid w:val="00E6276E"/>
    <w:rsid w:val="00E63A85"/>
    <w:rsid w:val="00E64471"/>
    <w:rsid w:val="00E64C95"/>
    <w:rsid w:val="00E65B91"/>
    <w:rsid w:val="00E67D01"/>
    <w:rsid w:val="00E7097B"/>
    <w:rsid w:val="00E71314"/>
    <w:rsid w:val="00E7209D"/>
    <w:rsid w:val="00E72EAD"/>
    <w:rsid w:val="00E77223"/>
    <w:rsid w:val="00E8528B"/>
    <w:rsid w:val="00E85B94"/>
    <w:rsid w:val="00E977D5"/>
    <w:rsid w:val="00E978D0"/>
    <w:rsid w:val="00EA12C3"/>
    <w:rsid w:val="00EA1621"/>
    <w:rsid w:val="00EA4613"/>
    <w:rsid w:val="00EA6F9F"/>
    <w:rsid w:val="00EA7F91"/>
    <w:rsid w:val="00EB07DB"/>
    <w:rsid w:val="00EB0C7B"/>
    <w:rsid w:val="00EB1523"/>
    <w:rsid w:val="00EB4AEF"/>
    <w:rsid w:val="00EB4F70"/>
    <w:rsid w:val="00EB5D85"/>
    <w:rsid w:val="00EC0E49"/>
    <w:rsid w:val="00EC101F"/>
    <w:rsid w:val="00EC1D9F"/>
    <w:rsid w:val="00ED4924"/>
    <w:rsid w:val="00ED5CB8"/>
    <w:rsid w:val="00ED6891"/>
    <w:rsid w:val="00ED6F26"/>
    <w:rsid w:val="00EE0131"/>
    <w:rsid w:val="00EE17B0"/>
    <w:rsid w:val="00EF06D9"/>
    <w:rsid w:val="00EF0982"/>
    <w:rsid w:val="00EF3137"/>
    <w:rsid w:val="00EF38D1"/>
    <w:rsid w:val="00F078AA"/>
    <w:rsid w:val="00F12195"/>
    <w:rsid w:val="00F27142"/>
    <w:rsid w:val="00F3049E"/>
    <w:rsid w:val="00F30C64"/>
    <w:rsid w:val="00F32BA2"/>
    <w:rsid w:val="00F32CDB"/>
    <w:rsid w:val="00F3348F"/>
    <w:rsid w:val="00F37280"/>
    <w:rsid w:val="00F41EE4"/>
    <w:rsid w:val="00F433CF"/>
    <w:rsid w:val="00F465BD"/>
    <w:rsid w:val="00F4709C"/>
    <w:rsid w:val="00F51D2F"/>
    <w:rsid w:val="00F565FE"/>
    <w:rsid w:val="00F621E8"/>
    <w:rsid w:val="00F63A70"/>
    <w:rsid w:val="00F63B4D"/>
    <w:rsid w:val="00F63D8C"/>
    <w:rsid w:val="00F7534E"/>
    <w:rsid w:val="00F807E7"/>
    <w:rsid w:val="00F8273A"/>
    <w:rsid w:val="00F86E4F"/>
    <w:rsid w:val="00F876F2"/>
    <w:rsid w:val="00F93EDF"/>
    <w:rsid w:val="00F94519"/>
    <w:rsid w:val="00F95CD4"/>
    <w:rsid w:val="00FA1802"/>
    <w:rsid w:val="00FA21D0"/>
    <w:rsid w:val="00FA287A"/>
    <w:rsid w:val="00FA5807"/>
    <w:rsid w:val="00FA5F5F"/>
    <w:rsid w:val="00FB730C"/>
    <w:rsid w:val="00FC03FC"/>
    <w:rsid w:val="00FC2695"/>
    <w:rsid w:val="00FC3E03"/>
    <w:rsid w:val="00FC3FC1"/>
    <w:rsid w:val="00FC7B64"/>
    <w:rsid w:val="00FC7BB2"/>
    <w:rsid w:val="00FD0F07"/>
    <w:rsid w:val="00FD15AE"/>
    <w:rsid w:val="00FD309F"/>
    <w:rsid w:val="00FE1D50"/>
    <w:rsid w:val="00FE2505"/>
    <w:rsid w:val="00FE2D40"/>
    <w:rsid w:val="00FE5A92"/>
    <w:rsid w:val="00FF484F"/>
    <w:rsid w:val="00FF5582"/>
    <w:rsid w:val="00FF706E"/>
    <w:rsid w:val="02836CD0"/>
    <w:rsid w:val="2A257A90"/>
    <w:rsid w:val="40F477B8"/>
    <w:rsid w:val="50E997E9"/>
    <w:rsid w:val="56AB42BD"/>
    <w:rsid w:val="77C8D445"/>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22779058-0552-4B83-85F9-C1A9B70D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semiHidden/>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Menzionenonrisolta">
    <w:name w:val="Unresolved Mention"/>
    <w:basedOn w:val="Carpredefinitoparagrafo"/>
    <w:uiPriority w:val="99"/>
    <w:semiHidden/>
    <w:unhideWhenUsed/>
    <w:rsid w:val="00912878"/>
    <w:rPr>
      <w:color w:val="605E5C"/>
      <w:shd w:val="clear" w:color="auto" w:fill="E1DFDD"/>
    </w:rPr>
  </w:style>
  <w:style w:type="paragraph" w:styleId="Revisione">
    <w:name w:val="Revision"/>
    <w:hidden/>
    <w:uiPriority w:val="99"/>
    <w:semiHidden/>
    <w:rsid w:val="00951067"/>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75/BAMS-D-14-0011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3735</Words>
  <Characters>21293</Characters>
  <Application>Microsoft Office Word</Application>
  <DocSecurity>0</DocSecurity>
  <Lines>177</Lines>
  <Paragraphs>49</Paragraphs>
  <ScaleCrop>false</ScaleCrop>
  <Company>Dipartimento CMIC - Politecnico di Milano</Company>
  <LinksUpToDate>false</LinksUpToDate>
  <CharactersWithSpaces>24979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cp:lastModifiedBy>Lotrecchiano Nicoletta</cp:lastModifiedBy>
  <cp:revision>474</cp:revision>
  <cp:lastPrinted>2015-05-13T21:31:00Z</cp:lastPrinted>
  <dcterms:created xsi:type="dcterms:W3CDTF">2026-03-27T09:59:00Z</dcterms:created>
  <dcterms:modified xsi:type="dcterms:W3CDTF">2026-06-21T19:57:00Z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