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405395" w14:paraId="2A131A54" w14:textId="77777777" w:rsidTr="00D5522D">
        <w:trPr>
          <w:trHeight w:val="852"/>
          <w:jc w:val="center"/>
        </w:trPr>
        <w:tc>
          <w:tcPr>
            <w:tcW w:w="6940" w:type="dxa"/>
            <w:vMerge w:val="restart"/>
            <w:tcBorders>
              <w:right w:val="single" w:sz="4" w:space="0" w:color="auto"/>
            </w:tcBorders>
          </w:tcPr>
          <w:p w14:paraId="38C3D2BA" w14:textId="77777777" w:rsidR="000A03B2" w:rsidRPr="00405395" w:rsidRDefault="000A03B2" w:rsidP="001B64DE">
            <w:pPr>
              <w:tabs>
                <w:tab w:val="left" w:pos="-108"/>
              </w:tabs>
              <w:jc w:val="left"/>
              <w:rPr>
                <w:rFonts w:cs="Arial"/>
                <w:b/>
                <w:bCs/>
                <w:i/>
                <w:iCs/>
                <w:color w:val="000066"/>
                <w:sz w:val="12"/>
                <w:szCs w:val="12"/>
                <w:lang w:eastAsia="it-IT"/>
              </w:rPr>
            </w:pPr>
            <w:r w:rsidRPr="00405395">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405395">
              <w:rPr>
                <w:rFonts w:ascii="AdvP6960" w:hAnsi="AdvP6960" w:cs="AdvP6960"/>
                <w:color w:val="241F20"/>
                <w:szCs w:val="18"/>
                <w:lang w:eastAsia="it-IT"/>
              </w:rPr>
              <w:t xml:space="preserve"> </w:t>
            </w:r>
            <w:r w:rsidRPr="00405395">
              <w:rPr>
                <w:rFonts w:cs="Arial"/>
                <w:b/>
                <w:bCs/>
                <w:i/>
                <w:iCs/>
                <w:color w:val="000066"/>
                <w:sz w:val="24"/>
                <w:szCs w:val="24"/>
                <w:lang w:eastAsia="it-IT"/>
              </w:rPr>
              <w:t>CHEMICAL ENGINEERING</w:t>
            </w:r>
            <w:r w:rsidRPr="00405395">
              <w:rPr>
                <w:rFonts w:cs="Arial"/>
                <w:b/>
                <w:bCs/>
                <w:i/>
                <w:iCs/>
                <w:color w:val="0033FF"/>
                <w:sz w:val="24"/>
                <w:szCs w:val="24"/>
                <w:lang w:eastAsia="it-IT"/>
              </w:rPr>
              <w:t xml:space="preserve"> </w:t>
            </w:r>
            <w:r w:rsidRPr="00405395">
              <w:rPr>
                <w:rFonts w:cs="Arial"/>
                <w:b/>
                <w:bCs/>
                <w:i/>
                <w:iCs/>
                <w:color w:val="666666"/>
                <w:sz w:val="24"/>
                <w:szCs w:val="24"/>
                <w:lang w:eastAsia="it-IT"/>
              </w:rPr>
              <w:t>TRANSACTIONS</w:t>
            </w:r>
            <w:r w:rsidRPr="00405395">
              <w:rPr>
                <w:color w:val="333333"/>
                <w:sz w:val="24"/>
                <w:szCs w:val="24"/>
                <w:lang w:eastAsia="it-IT"/>
              </w:rPr>
              <w:t xml:space="preserve"> </w:t>
            </w:r>
            <w:r w:rsidRPr="00405395">
              <w:rPr>
                <w:rFonts w:cs="Arial"/>
                <w:b/>
                <w:bCs/>
                <w:i/>
                <w:iCs/>
                <w:color w:val="000066"/>
                <w:sz w:val="27"/>
                <w:szCs w:val="27"/>
                <w:lang w:eastAsia="it-IT"/>
              </w:rPr>
              <w:br/>
            </w:r>
          </w:p>
          <w:p w14:paraId="4B780582" w14:textId="4625AB41" w:rsidR="000A03B2" w:rsidRPr="00405395" w:rsidRDefault="00A76EFC" w:rsidP="001D21AF">
            <w:pPr>
              <w:tabs>
                <w:tab w:val="left" w:pos="-108"/>
              </w:tabs>
              <w:ind w:left="-108"/>
              <w:rPr>
                <w:rFonts w:cs="Arial"/>
                <w:b/>
                <w:bCs/>
                <w:i/>
                <w:iCs/>
                <w:color w:val="000066"/>
                <w:sz w:val="22"/>
                <w:szCs w:val="22"/>
                <w:lang w:eastAsia="it-IT"/>
              </w:rPr>
            </w:pPr>
            <w:r w:rsidRPr="00405395">
              <w:rPr>
                <w:rFonts w:cs="Arial"/>
                <w:b/>
                <w:bCs/>
                <w:i/>
                <w:iCs/>
                <w:color w:val="000066"/>
                <w:sz w:val="22"/>
                <w:szCs w:val="22"/>
                <w:lang w:eastAsia="it-IT"/>
              </w:rPr>
              <w:t xml:space="preserve">VOL. </w:t>
            </w:r>
            <w:r w:rsidR="001B64DE" w:rsidRPr="000D74A3">
              <w:rPr>
                <w:rFonts w:cs="Arial"/>
                <w:b/>
                <w:bCs/>
                <w:i/>
                <w:iCs/>
                <w:color w:val="000066"/>
                <w:sz w:val="22"/>
                <w:szCs w:val="22"/>
                <w:lang w:eastAsia="it-IT"/>
              </w:rPr>
              <w:t>xxx, 202</w:t>
            </w:r>
            <w:r w:rsidR="00D5522D">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405395" w:rsidRDefault="000A03B2" w:rsidP="00CD5FE2">
            <w:pPr>
              <w:spacing w:line="140" w:lineRule="atLeast"/>
              <w:jc w:val="right"/>
              <w:rPr>
                <w:rFonts w:cs="Arial"/>
                <w:sz w:val="14"/>
                <w:szCs w:val="14"/>
              </w:rPr>
            </w:pPr>
            <w:r w:rsidRPr="00405395">
              <w:rPr>
                <w:rFonts w:cs="Arial"/>
                <w:sz w:val="14"/>
                <w:szCs w:val="14"/>
              </w:rPr>
              <w:t>A publication of</w:t>
            </w:r>
          </w:p>
          <w:p w14:paraId="599E5441" w14:textId="77777777" w:rsidR="000A03B2" w:rsidRPr="00405395" w:rsidRDefault="000A03B2" w:rsidP="00CD5FE2">
            <w:pPr>
              <w:jc w:val="right"/>
            </w:pPr>
            <w:r w:rsidRPr="00405395">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405395" w14:paraId="380FA3CD" w14:textId="77777777" w:rsidTr="00D5522D">
        <w:trPr>
          <w:trHeight w:val="567"/>
          <w:jc w:val="center"/>
        </w:trPr>
        <w:tc>
          <w:tcPr>
            <w:tcW w:w="6940" w:type="dxa"/>
            <w:vMerge/>
            <w:tcBorders>
              <w:right w:val="single" w:sz="4" w:space="0" w:color="auto"/>
            </w:tcBorders>
          </w:tcPr>
          <w:p w14:paraId="39E5E4C1" w14:textId="77777777" w:rsidR="000A03B2" w:rsidRPr="00405395"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405395" w:rsidRDefault="000A03B2" w:rsidP="00CD5FE2">
            <w:pPr>
              <w:spacing w:line="140" w:lineRule="atLeast"/>
              <w:jc w:val="right"/>
              <w:rPr>
                <w:rFonts w:cs="Arial"/>
                <w:sz w:val="14"/>
                <w:szCs w:val="14"/>
              </w:rPr>
            </w:pPr>
            <w:r w:rsidRPr="00405395">
              <w:rPr>
                <w:rFonts w:cs="Arial"/>
                <w:sz w:val="14"/>
                <w:szCs w:val="14"/>
              </w:rPr>
              <w:t>The Italian Association</w:t>
            </w:r>
          </w:p>
          <w:p w14:paraId="7522B1D2" w14:textId="77777777" w:rsidR="000A03B2" w:rsidRPr="00405395" w:rsidRDefault="000A03B2" w:rsidP="00CD5FE2">
            <w:pPr>
              <w:spacing w:line="140" w:lineRule="atLeast"/>
              <w:jc w:val="right"/>
              <w:rPr>
                <w:rFonts w:cs="Arial"/>
                <w:sz w:val="14"/>
                <w:szCs w:val="14"/>
              </w:rPr>
            </w:pPr>
            <w:r w:rsidRPr="00405395">
              <w:rPr>
                <w:rFonts w:cs="Arial"/>
                <w:sz w:val="14"/>
                <w:szCs w:val="14"/>
              </w:rPr>
              <w:t>of Chemical Engineering</w:t>
            </w:r>
          </w:p>
          <w:p w14:paraId="4F0CC5DE" w14:textId="47FDB2FC" w:rsidR="000A03B2" w:rsidRPr="00405395" w:rsidRDefault="000D0268" w:rsidP="00CD5FE2">
            <w:pPr>
              <w:spacing w:line="140" w:lineRule="atLeast"/>
              <w:jc w:val="right"/>
              <w:rPr>
                <w:rFonts w:cs="Arial"/>
                <w:sz w:val="13"/>
                <w:szCs w:val="13"/>
              </w:rPr>
            </w:pPr>
            <w:r w:rsidRPr="00405395">
              <w:rPr>
                <w:rFonts w:cs="Arial"/>
                <w:sz w:val="13"/>
                <w:szCs w:val="13"/>
              </w:rPr>
              <w:t>Online at www.cetjournal.it</w:t>
            </w:r>
          </w:p>
        </w:tc>
      </w:tr>
      <w:tr w:rsidR="000A03B2" w:rsidRPr="00405395" w14:paraId="2D1B7169" w14:textId="77777777" w:rsidTr="00D5522D">
        <w:trPr>
          <w:trHeight w:val="68"/>
          <w:jc w:val="center"/>
        </w:trPr>
        <w:tc>
          <w:tcPr>
            <w:tcW w:w="8782" w:type="dxa"/>
            <w:gridSpan w:val="2"/>
          </w:tcPr>
          <w:p w14:paraId="4B0BB442" w14:textId="1EC8AE73" w:rsidR="00300E56" w:rsidRPr="00E6330D" w:rsidRDefault="00300E56" w:rsidP="00B57E6F">
            <w:pPr>
              <w:ind w:left="-107"/>
              <w:outlineLvl w:val="2"/>
              <w:rPr>
                <w:rFonts w:ascii="Tahoma" w:hAnsi="Tahoma" w:cs="Tahoma"/>
                <w:bCs/>
                <w:color w:val="000000"/>
                <w:sz w:val="14"/>
                <w:szCs w:val="14"/>
                <w:lang w:val="it-IT" w:eastAsia="it-IT"/>
              </w:rPr>
            </w:pPr>
            <w:r w:rsidRPr="00E6330D">
              <w:rPr>
                <w:rFonts w:ascii="Tahoma" w:hAnsi="Tahoma" w:cs="Tahoma"/>
                <w:iCs/>
                <w:color w:val="333333"/>
                <w:sz w:val="14"/>
                <w:szCs w:val="14"/>
                <w:lang w:val="it-IT" w:eastAsia="it-IT"/>
              </w:rPr>
              <w:t>Guest Editors:</w:t>
            </w:r>
            <w:r w:rsidR="001D21AF" w:rsidRPr="00E6330D">
              <w:rPr>
                <w:rFonts w:ascii="Tahoma" w:hAnsi="Tahoma" w:cs="Tahoma"/>
                <w:color w:val="000000"/>
                <w:sz w:val="14"/>
                <w:szCs w:val="14"/>
                <w:shd w:val="clear" w:color="auto" w:fill="FFFFFF"/>
                <w:lang w:val="it-IT"/>
              </w:rPr>
              <w:t xml:space="preserve"> </w:t>
            </w:r>
            <w:r w:rsidR="00323C5F" w:rsidRPr="00E6330D">
              <w:rPr>
                <w:sz w:val="14"/>
                <w:szCs w:val="14"/>
                <w:lang w:val="it-IT"/>
              </w:rPr>
              <w:t>Selena Sironi, Laura Capelli</w:t>
            </w:r>
          </w:p>
          <w:p w14:paraId="1B0F1814" w14:textId="1C3DE831" w:rsidR="000A03B2" w:rsidRPr="00405395" w:rsidRDefault="00FA5F5F" w:rsidP="001D21AF">
            <w:pPr>
              <w:tabs>
                <w:tab w:val="left" w:pos="-108"/>
              </w:tabs>
              <w:spacing w:line="140" w:lineRule="atLeast"/>
              <w:ind w:left="-107"/>
              <w:jc w:val="left"/>
            </w:pPr>
            <w:r w:rsidRPr="00405395">
              <w:rPr>
                <w:rFonts w:ascii="Tahoma" w:hAnsi="Tahoma" w:cs="Tahoma"/>
                <w:iCs/>
                <w:color w:val="333333"/>
                <w:sz w:val="14"/>
                <w:szCs w:val="14"/>
                <w:lang w:eastAsia="it-IT"/>
              </w:rPr>
              <w:t>Copyright © 20</w:t>
            </w:r>
            <w:r w:rsidR="00DF5072" w:rsidRPr="00405395">
              <w:rPr>
                <w:rFonts w:ascii="Tahoma" w:hAnsi="Tahoma" w:cs="Tahoma"/>
                <w:iCs/>
                <w:color w:val="333333"/>
                <w:sz w:val="14"/>
                <w:szCs w:val="14"/>
                <w:lang w:eastAsia="it-IT"/>
              </w:rPr>
              <w:t>2</w:t>
            </w:r>
            <w:r w:rsidR="00E72EAD" w:rsidRPr="00405395">
              <w:rPr>
                <w:rFonts w:ascii="Tahoma" w:hAnsi="Tahoma" w:cs="Tahoma"/>
                <w:iCs/>
                <w:color w:val="333333"/>
                <w:sz w:val="14"/>
                <w:szCs w:val="14"/>
                <w:lang w:eastAsia="it-IT"/>
              </w:rPr>
              <w:t>2</w:t>
            </w:r>
            <w:r w:rsidR="00904C62" w:rsidRPr="00405395">
              <w:rPr>
                <w:rFonts w:ascii="Tahoma" w:hAnsi="Tahoma" w:cs="Tahoma"/>
                <w:iCs/>
                <w:color w:val="333333"/>
                <w:sz w:val="14"/>
                <w:szCs w:val="14"/>
                <w:lang w:eastAsia="it-IT"/>
              </w:rPr>
              <w:t xml:space="preserve">, AIDIC </w:t>
            </w:r>
            <w:proofErr w:type="spellStart"/>
            <w:r w:rsidR="00904C62" w:rsidRPr="00405395">
              <w:rPr>
                <w:rFonts w:ascii="Tahoma" w:hAnsi="Tahoma" w:cs="Tahoma"/>
                <w:iCs/>
                <w:color w:val="333333"/>
                <w:sz w:val="14"/>
                <w:szCs w:val="14"/>
                <w:lang w:eastAsia="it-IT"/>
              </w:rPr>
              <w:t>Servizi</w:t>
            </w:r>
            <w:proofErr w:type="spellEnd"/>
            <w:r w:rsidR="00904C62" w:rsidRPr="00405395">
              <w:rPr>
                <w:rFonts w:ascii="Tahoma" w:hAnsi="Tahoma" w:cs="Tahoma"/>
                <w:iCs/>
                <w:color w:val="333333"/>
                <w:sz w:val="14"/>
                <w:szCs w:val="14"/>
                <w:lang w:eastAsia="it-IT"/>
              </w:rPr>
              <w:t xml:space="preserve"> </w:t>
            </w:r>
            <w:proofErr w:type="spellStart"/>
            <w:r w:rsidR="00904C62" w:rsidRPr="00405395">
              <w:rPr>
                <w:rFonts w:ascii="Tahoma" w:hAnsi="Tahoma" w:cs="Tahoma"/>
                <w:iCs/>
                <w:color w:val="333333"/>
                <w:sz w:val="14"/>
                <w:szCs w:val="14"/>
                <w:lang w:eastAsia="it-IT"/>
              </w:rPr>
              <w:t>S.r.l</w:t>
            </w:r>
            <w:proofErr w:type="spellEnd"/>
            <w:r w:rsidR="00904C62" w:rsidRPr="00405395">
              <w:rPr>
                <w:rFonts w:ascii="Tahoma" w:hAnsi="Tahoma" w:cs="Tahoma"/>
                <w:iCs/>
                <w:color w:val="333333"/>
                <w:sz w:val="14"/>
                <w:szCs w:val="14"/>
                <w:lang w:eastAsia="it-IT"/>
              </w:rPr>
              <w:t>.</w:t>
            </w:r>
            <w:r w:rsidR="00300E56" w:rsidRPr="00405395">
              <w:rPr>
                <w:rFonts w:ascii="Tahoma" w:hAnsi="Tahoma" w:cs="Tahoma"/>
                <w:iCs/>
                <w:color w:val="333333"/>
                <w:sz w:val="14"/>
                <w:szCs w:val="14"/>
                <w:lang w:eastAsia="it-IT"/>
              </w:rPr>
              <w:br/>
            </w:r>
            <w:r w:rsidR="00300E56" w:rsidRPr="00405395">
              <w:rPr>
                <w:rFonts w:ascii="Tahoma" w:hAnsi="Tahoma" w:cs="Tahoma"/>
                <w:b/>
                <w:iCs/>
                <w:color w:val="000000"/>
                <w:sz w:val="14"/>
                <w:szCs w:val="14"/>
                <w:lang w:eastAsia="it-IT"/>
              </w:rPr>
              <w:t>ISBN</w:t>
            </w:r>
            <w:r w:rsidR="00300E56" w:rsidRPr="00405395">
              <w:rPr>
                <w:rFonts w:ascii="Tahoma" w:hAnsi="Tahoma" w:cs="Tahoma"/>
                <w:iCs/>
                <w:color w:val="000000"/>
                <w:sz w:val="14"/>
                <w:szCs w:val="14"/>
                <w:lang w:eastAsia="it-IT"/>
              </w:rPr>
              <w:t xml:space="preserve"> </w:t>
            </w:r>
            <w:r w:rsidR="008D32B9" w:rsidRPr="00405395">
              <w:rPr>
                <w:rFonts w:ascii="Tahoma" w:hAnsi="Tahoma" w:cs="Tahoma"/>
                <w:sz w:val="14"/>
                <w:szCs w:val="14"/>
              </w:rPr>
              <w:t>978-88-95608</w:t>
            </w:r>
            <w:r w:rsidR="00D46B7E" w:rsidRPr="00405395">
              <w:rPr>
                <w:rFonts w:ascii="Tahoma" w:hAnsi="Tahoma" w:cs="Tahoma"/>
                <w:sz w:val="14"/>
                <w:szCs w:val="14"/>
              </w:rPr>
              <w:t>-</w:t>
            </w:r>
            <w:r w:rsidR="001D21AF" w:rsidRPr="00405395">
              <w:rPr>
                <w:rFonts w:ascii="Tahoma" w:hAnsi="Tahoma" w:cs="Tahoma"/>
                <w:sz w:val="14"/>
                <w:szCs w:val="14"/>
              </w:rPr>
              <w:t>9</w:t>
            </w:r>
            <w:r w:rsidR="00323C5F" w:rsidRPr="00405395">
              <w:rPr>
                <w:rFonts w:ascii="Tahoma" w:hAnsi="Tahoma" w:cs="Tahoma"/>
                <w:sz w:val="14"/>
                <w:szCs w:val="14"/>
              </w:rPr>
              <w:t>4</w:t>
            </w:r>
            <w:r w:rsidR="00D46B7E" w:rsidRPr="00405395">
              <w:rPr>
                <w:rFonts w:ascii="Tahoma" w:hAnsi="Tahoma" w:cs="Tahoma"/>
                <w:sz w:val="14"/>
                <w:szCs w:val="14"/>
              </w:rPr>
              <w:t>-</w:t>
            </w:r>
            <w:r w:rsidR="00323C5F" w:rsidRPr="00405395">
              <w:rPr>
                <w:rFonts w:ascii="Tahoma" w:hAnsi="Tahoma" w:cs="Tahoma"/>
                <w:sz w:val="14"/>
                <w:szCs w:val="14"/>
              </w:rPr>
              <w:t>5</w:t>
            </w:r>
            <w:r w:rsidR="007B48F9" w:rsidRPr="00405395">
              <w:rPr>
                <w:rFonts w:ascii="Tahoma" w:hAnsi="Tahoma" w:cs="Tahoma"/>
                <w:iCs/>
                <w:color w:val="333333"/>
                <w:sz w:val="14"/>
                <w:szCs w:val="14"/>
                <w:lang w:eastAsia="it-IT"/>
              </w:rPr>
              <w:t>;</w:t>
            </w:r>
            <w:r w:rsidR="00300E56" w:rsidRPr="00405395">
              <w:rPr>
                <w:rFonts w:ascii="Tahoma" w:hAnsi="Tahoma" w:cs="Tahoma"/>
                <w:iCs/>
                <w:color w:val="333333"/>
                <w:sz w:val="14"/>
                <w:szCs w:val="14"/>
                <w:lang w:eastAsia="it-IT"/>
              </w:rPr>
              <w:t xml:space="preserve"> </w:t>
            </w:r>
            <w:r w:rsidR="00300E56" w:rsidRPr="00405395">
              <w:rPr>
                <w:rFonts w:ascii="Tahoma" w:hAnsi="Tahoma" w:cs="Tahoma"/>
                <w:b/>
                <w:iCs/>
                <w:color w:val="333333"/>
                <w:sz w:val="14"/>
                <w:szCs w:val="14"/>
                <w:lang w:eastAsia="it-IT"/>
              </w:rPr>
              <w:t>ISSN</w:t>
            </w:r>
            <w:r w:rsidR="00300E56" w:rsidRPr="00405395">
              <w:rPr>
                <w:rFonts w:ascii="Tahoma" w:hAnsi="Tahoma" w:cs="Tahoma"/>
                <w:iCs/>
                <w:color w:val="333333"/>
                <w:sz w:val="14"/>
                <w:szCs w:val="14"/>
                <w:lang w:eastAsia="it-IT"/>
              </w:rPr>
              <w:t xml:space="preserve"> 2283-9216</w:t>
            </w:r>
          </w:p>
        </w:tc>
      </w:tr>
    </w:tbl>
    <w:p w14:paraId="6EA6C78A" w14:textId="6F415086" w:rsidR="003923A6" w:rsidRDefault="003923A6" w:rsidP="00C71217">
      <w:pPr>
        <w:pStyle w:val="CETAuthors"/>
        <w:spacing w:before="480"/>
        <w:jc w:val="center"/>
        <w:rPr>
          <w:noProof w:val="0"/>
          <w:sz w:val="32"/>
        </w:rPr>
      </w:pPr>
      <w:r w:rsidRPr="003923A6">
        <w:rPr>
          <w:noProof w:val="0"/>
          <w:sz w:val="32"/>
        </w:rPr>
        <w:t xml:space="preserve">A </w:t>
      </w:r>
      <w:r>
        <w:rPr>
          <w:noProof w:val="0"/>
          <w:sz w:val="32"/>
        </w:rPr>
        <w:t>m</w:t>
      </w:r>
      <w:r w:rsidRPr="003923A6">
        <w:rPr>
          <w:noProof w:val="0"/>
          <w:sz w:val="32"/>
        </w:rPr>
        <w:t xml:space="preserve">ethodological </w:t>
      </w:r>
      <w:r>
        <w:rPr>
          <w:noProof w:val="0"/>
          <w:sz w:val="32"/>
        </w:rPr>
        <w:t>f</w:t>
      </w:r>
      <w:r w:rsidRPr="003923A6">
        <w:rPr>
          <w:noProof w:val="0"/>
          <w:sz w:val="32"/>
        </w:rPr>
        <w:t xml:space="preserve">ramework for the </w:t>
      </w:r>
      <w:r>
        <w:rPr>
          <w:noProof w:val="0"/>
          <w:sz w:val="32"/>
        </w:rPr>
        <w:t>q</w:t>
      </w:r>
      <w:r w:rsidRPr="003923A6">
        <w:rPr>
          <w:noProof w:val="0"/>
          <w:sz w:val="32"/>
        </w:rPr>
        <w:t xml:space="preserve">uantification of </w:t>
      </w:r>
      <w:r>
        <w:rPr>
          <w:noProof w:val="0"/>
          <w:sz w:val="32"/>
        </w:rPr>
        <w:t>o</w:t>
      </w:r>
      <w:r w:rsidRPr="003923A6">
        <w:rPr>
          <w:noProof w:val="0"/>
          <w:sz w:val="32"/>
        </w:rPr>
        <w:t xml:space="preserve">dour </w:t>
      </w:r>
      <w:r>
        <w:rPr>
          <w:noProof w:val="0"/>
          <w:sz w:val="32"/>
        </w:rPr>
        <w:t>e</w:t>
      </w:r>
      <w:r w:rsidRPr="003923A6">
        <w:rPr>
          <w:noProof w:val="0"/>
          <w:sz w:val="32"/>
        </w:rPr>
        <w:t xml:space="preserve">missions from </w:t>
      </w:r>
      <w:r>
        <w:rPr>
          <w:noProof w:val="0"/>
          <w:sz w:val="32"/>
        </w:rPr>
        <w:t>c</w:t>
      </w:r>
      <w:r w:rsidRPr="003923A6">
        <w:rPr>
          <w:noProof w:val="0"/>
          <w:sz w:val="32"/>
        </w:rPr>
        <w:t xml:space="preserve">overed </w:t>
      </w:r>
      <w:r>
        <w:rPr>
          <w:noProof w:val="0"/>
          <w:sz w:val="32"/>
        </w:rPr>
        <w:t>i</w:t>
      </w:r>
      <w:r w:rsidRPr="003923A6">
        <w:rPr>
          <w:noProof w:val="0"/>
          <w:sz w:val="32"/>
        </w:rPr>
        <w:t xml:space="preserve">ndustrial </w:t>
      </w:r>
      <w:r>
        <w:rPr>
          <w:noProof w:val="0"/>
          <w:sz w:val="32"/>
        </w:rPr>
        <w:t>b</w:t>
      </w:r>
      <w:r w:rsidRPr="003923A6">
        <w:rPr>
          <w:noProof w:val="0"/>
          <w:sz w:val="32"/>
        </w:rPr>
        <w:t>asins</w:t>
      </w:r>
    </w:p>
    <w:p w14:paraId="7F44AA42" w14:textId="5C0E0D8C" w:rsidR="00D5522D" w:rsidRPr="00E6330D" w:rsidRDefault="00783B5F" w:rsidP="00D5522D">
      <w:pPr>
        <w:pStyle w:val="CETAuthors"/>
        <w:rPr>
          <w:lang w:val="it-IT"/>
        </w:rPr>
      </w:pPr>
      <w:r w:rsidRPr="00E6330D">
        <w:rPr>
          <w:lang w:val="it-IT"/>
        </w:rPr>
        <w:t xml:space="preserve">Francesca Tagliaferri*, </w:t>
      </w:r>
      <w:r w:rsidR="009C3024">
        <w:rPr>
          <w:lang w:val="it-IT"/>
        </w:rPr>
        <w:t xml:space="preserve">Giacomo Domenico Scolieri, </w:t>
      </w:r>
      <w:r w:rsidR="00416D7A">
        <w:rPr>
          <w:lang w:val="it-IT"/>
        </w:rPr>
        <w:t xml:space="preserve">Selena Sironi, </w:t>
      </w:r>
      <w:r w:rsidRPr="00E6330D">
        <w:rPr>
          <w:lang w:val="it-IT"/>
        </w:rPr>
        <w:t>Marzio Invernizzi</w:t>
      </w:r>
    </w:p>
    <w:p w14:paraId="7758B96F" w14:textId="5EC9D030" w:rsidR="00783B5F" w:rsidRPr="00E6330D" w:rsidRDefault="00783B5F" w:rsidP="00D5522D">
      <w:pPr>
        <w:pStyle w:val="CETAuthors"/>
        <w:rPr>
          <w:sz w:val="16"/>
          <w:lang w:val="it-IT"/>
        </w:rPr>
      </w:pPr>
      <w:r w:rsidRPr="00E6330D">
        <w:rPr>
          <w:sz w:val="16"/>
          <w:lang w:val="it-IT"/>
        </w:rPr>
        <w:t>Politecnico di Milano, Department of Chemistry, Materials and Chemical Engineering “Giulio Natta”</w:t>
      </w:r>
      <w:r w:rsidR="00866DCE" w:rsidRPr="00E6330D">
        <w:rPr>
          <w:sz w:val="16"/>
          <w:lang w:val="it-IT"/>
        </w:rPr>
        <w:t xml:space="preserve"> - </w:t>
      </w:r>
      <w:r w:rsidRPr="00E6330D">
        <w:rPr>
          <w:sz w:val="16"/>
          <w:lang w:val="it-IT"/>
        </w:rPr>
        <w:t>Piazza Leonardo da Vinci 32, 20133 Milano, Italy</w:t>
      </w:r>
    </w:p>
    <w:p w14:paraId="44C4CDEF" w14:textId="77777777" w:rsidR="001B64DE" w:rsidRPr="00E6330D" w:rsidRDefault="001B64DE" w:rsidP="00783B5F">
      <w:pPr>
        <w:rPr>
          <w:noProof/>
          <w:sz w:val="16"/>
          <w:lang w:val="it-IT"/>
        </w:rPr>
      </w:pPr>
    </w:p>
    <w:p w14:paraId="7949BB56" w14:textId="120FD433" w:rsidR="001B64DE" w:rsidRPr="00E6330D" w:rsidRDefault="001B64DE" w:rsidP="001B64DE">
      <w:pPr>
        <w:rPr>
          <w:lang w:val="it-IT"/>
        </w:rPr>
      </w:pPr>
      <w:r w:rsidRPr="00E6330D">
        <w:rPr>
          <w:lang w:val="it-IT"/>
        </w:rPr>
        <w:t>*</w:t>
      </w:r>
      <w:proofErr w:type="spellStart"/>
      <w:r w:rsidRPr="00E6330D">
        <w:rPr>
          <w:lang w:val="it-IT"/>
        </w:rPr>
        <w:t>Corresponding</w:t>
      </w:r>
      <w:proofErr w:type="spellEnd"/>
      <w:r w:rsidRPr="00E6330D">
        <w:rPr>
          <w:lang w:val="it-IT"/>
        </w:rPr>
        <w:t xml:space="preserve"> </w:t>
      </w:r>
      <w:proofErr w:type="spellStart"/>
      <w:r w:rsidRPr="00E6330D">
        <w:rPr>
          <w:lang w:val="it-IT"/>
        </w:rPr>
        <w:t>author</w:t>
      </w:r>
      <w:proofErr w:type="spellEnd"/>
      <w:r w:rsidRPr="00E6330D">
        <w:rPr>
          <w:lang w:val="it-IT"/>
        </w:rPr>
        <w:t xml:space="preserve">: Francesca Tagliaferri, </w:t>
      </w:r>
      <w:hyperlink r:id="rId10" w:history="1">
        <w:proofErr w:type="spellStart"/>
        <w:proofErr w:type="gramStart"/>
        <w:r w:rsidRPr="00E6330D">
          <w:rPr>
            <w:rStyle w:val="Collegamentoipertestuale"/>
            <w:color w:val="auto"/>
            <w:lang w:val="it-IT"/>
          </w:rPr>
          <w:t>francesca.tagliaferri</w:t>
        </w:r>
        <w:proofErr w:type="spellEnd"/>
        <w:proofErr w:type="gramEnd"/>
        <w:r w:rsidRPr="00E6330D">
          <w:rPr>
            <w:rStyle w:val="Collegamentoipertestuale"/>
            <w:color w:val="auto"/>
            <w:lang w:val="it-IT"/>
          </w:rPr>
          <w:t xml:space="preserve"> @polimi.it</w:t>
        </w:r>
      </w:hyperlink>
      <w:r w:rsidRPr="00E6330D">
        <w:rPr>
          <w:u w:val="single"/>
          <w:lang w:val="it-IT"/>
        </w:rPr>
        <w:t>;</w:t>
      </w:r>
      <w:r w:rsidRPr="00E6330D">
        <w:rPr>
          <w:lang w:val="it-IT"/>
        </w:rPr>
        <w:t xml:space="preserve"> +39 02 2399 3149</w:t>
      </w:r>
    </w:p>
    <w:p w14:paraId="064663B7" w14:textId="77777777" w:rsidR="001B64DE" w:rsidRPr="00E6330D" w:rsidRDefault="001B64DE" w:rsidP="001B64DE">
      <w:pPr>
        <w:rPr>
          <w:noProof/>
          <w:sz w:val="16"/>
          <w:lang w:val="it-IT"/>
        </w:rPr>
      </w:pPr>
    </w:p>
    <w:p w14:paraId="08E8FCC4" w14:textId="5FAA6C90" w:rsidR="00D36C8A" w:rsidRPr="00D5522D" w:rsidRDefault="00A40B3E" w:rsidP="00A40B3E">
      <w:pPr>
        <w:pStyle w:val="CETemail"/>
        <w:jc w:val="both"/>
        <w:rPr>
          <w:rFonts w:cs="Arial"/>
          <w:sz w:val="18"/>
          <w:szCs w:val="18"/>
        </w:rPr>
      </w:pPr>
      <w:r w:rsidRPr="00A40B3E">
        <w:rPr>
          <w:rFonts w:cs="Arial"/>
          <w:sz w:val="18"/>
          <w:szCs w:val="18"/>
        </w:rPr>
        <w:t>Reliable estimation of odour emission rates is essential for environmental permitting and dispersion modelling</w:t>
      </w:r>
      <w:r w:rsidR="00C71217" w:rsidRPr="00C71217">
        <w:rPr>
          <w:rFonts w:cs="Arial"/>
          <w:sz w:val="18"/>
          <w:szCs w:val="18"/>
        </w:rPr>
        <w:t>.</w:t>
      </w:r>
      <w:r w:rsidR="00C71217">
        <w:rPr>
          <w:rFonts w:cs="Arial"/>
          <w:sz w:val="18"/>
          <w:szCs w:val="18"/>
        </w:rPr>
        <w:t xml:space="preserve"> </w:t>
      </w:r>
      <w:r w:rsidR="00C71217" w:rsidRPr="00C71217">
        <w:rPr>
          <w:rFonts w:cs="Arial"/>
          <w:sz w:val="18"/>
          <w:szCs w:val="18"/>
        </w:rPr>
        <w:t xml:space="preserve">This study addresses the specific challenge of evaluating odour fluxes from industrial </w:t>
      </w:r>
      <w:r w:rsidR="008A5916">
        <w:rPr>
          <w:rFonts w:cs="Arial"/>
          <w:sz w:val="18"/>
          <w:szCs w:val="18"/>
        </w:rPr>
        <w:t>basins</w:t>
      </w:r>
      <w:r w:rsidR="00C71217" w:rsidRPr="00C71217">
        <w:rPr>
          <w:rFonts w:cs="Arial"/>
          <w:sz w:val="18"/>
          <w:szCs w:val="18"/>
        </w:rPr>
        <w:t xml:space="preserve"> and inspection pits that are covered by metal grates, which prevent the direct application of conventional sampling hoods such as wind tunnels or flux chambers. In such configurations, the physical obstruction of the emitting surface makes direct sampling at the liquid–air interface unfeasible, thereby limiting the applicability of standard methodologies typically recommended for area sources.</w:t>
      </w:r>
      <w:r w:rsidR="00C71217">
        <w:rPr>
          <w:rFonts w:cs="Arial"/>
          <w:sz w:val="18"/>
          <w:szCs w:val="18"/>
        </w:rPr>
        <w:t xml:space="preserve"> </w:t>
      </w:r>
      <w:r w:rsidR="00C71217" w:rsidRPr="00C71217">
        <w:rPr>
          <w:rFonts w:cs="Arial"/>
          <w:sz w:val="18"/>
          <w:szCs w:val="18"/>
        </w:rPr>
        <w:t>To overcome these constraints, this study proposes an alternative methodological framework that integrates in situ field measurements with theoretical estimations of mass transfer processes. The approach combines measurements of odour concentration within the air layer above the covered source with parameterizations of mass transfer coefficients derived from established formulations in the scientific literature and expressed as functions of meteorological and micrometeorological variables.</w:t>
      </w:r>
      <w:r>
        <w:rPr>
          <w:rFonts w:cs="Arial"/>
          <w:sz w:val="18"/>
          <w:szCs w:val="18"/>
        </w:rPr>
        <w:t xml:space="preserve"> </w:t>
      </w:r>
      <w:r w:rsidRPr="00A40B3E">
        <w:rPr>
          <w:rFonts w:cs="Arial"/>
          <w:sz w:val="18"/>
          <w:szCs w:val="18"/>
        </w:rPr>
        <w:t>The proposed method was evaluated through comparison with alternative approaches, including a headspace-based method coupled with mass transfer correlations and wind tunnel measurements performed on liquid samples. The comparison, carried out in terms of specific odour emission rates, showed consistent results between the in situ-based method and the wind tunnel approach, while the headspace-based method yielded lower SOER estimates</w:t>
      </w:r>
      <w:r w:rsidR="00C71217" w:rsidRPr="00C71217">
        <w:rPr>
          <w:rFonts w:cs="Arial"/>
          <w:sz w:val="18"/>
          <w:szCs w:val="18"/>
        </w:rPr>
        <w:t>.</w:t>
      </w:r>
      <w:r w:rsidR="00C71217">
        <w:rPr>
          <w:rFonts w:cs="Arial"/>
          <w:sz w:val="18"/>
          <w:szCs w:val="18"/>
        </w:rPr>
        <w:t xml:space="preserve"> </w:t>
      </w:r>
      <w:r w:rsidRPr="00A40B3E">
        <w:rPr>
          <w:rFonts w:cs="Arial"/>
          <w:sz w:val="18"/>
          <w:szCs w:val="18"/>
        </w:rPr>
        <w:t>Notably, the proposed approach is the only one based on direct sampling performed under real field conditions, allowing emission estimates to be derived without the need for liquid collection or laboratory reconstruction of the source. This practical advantage, combined with the observed consistency with wind tunnel results, supports its applicability for the assessment of geometrically constrained sources under real operating conditions.</w:t>
      </w:r>
    </w:p>
    <w:p w14:paraId="1B854B23" w14:textId="289E78E2" w:rsidR="00D5522D" w:rsidRPr="00A37197" w:rsidRDefault="00600535" w:rsidP="00E354BD">
      <w:pPr>
        <w:pStyle w:val="CETHeading1"/>
        <w:rPr>
          <w:lang w:val="en-GB"/>
        </w:rPr>
      </w:pPr>
      <w:r w:rsidRPr="00405395">
        <w:rPr>
          <w:lang w:val="en-GB"/>
        </w:rPr>
        <w:t>Introduction</w:t>
      </w:r>
    </w:p>
    <w:p w14:paraId="395AEF11" w14:textId="560FDAAD" w:rsidR="009C3024" w:rsidRPr="009C3024" w:rsidRDefault="009C3024" w:rsidP="009C3024">
      <w:pPr>
        <w:pStyle w:val="CETBodytext"/>
        <w:rPr>
          <w:lang w:val="en-GB"/>
        </w:rPr>
      </w:pPr>
      <w:r w:rsidRPr="009C3024">
        <w:rPr>
          <w:lang w:val="en-GB"/>
        </w:rPr>
        <w:t>Atmospheric dispersion modelling is widely applied to assess the impact of odour emissions from industrial activities, and its reliability largely depends on the accuracy of the emission input data</w:t>
      </w:r>
      <w:sdt>
        <w:sdtPr>
          <w:rPr>
            <w:rFonts w:cs="Arial"/>
            <w:color w:val="000000"/>
            <w:lang w:val="en-GB"/>
          </w:rPr>
          <w:tag w:val="MENDELEY_CITATION_v3_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"/>
          <w:id w:val="829640972"/>
          <w:placeholder>
            <w:docPart w:val="DefaultPlaceholder_-1854013440"/>
          </w:placeholder>
        </w:sdtPr>
        <w:sdtEndPr/>
        <w:sdtContent>
          <w:r w:rsidR="00C17668">
            <w:rPr>
              <w:rFonts w:cs="Arial"/>
              <w:color w:val="000000"/>
              <w:lang w:val="en-GB"/>
            </w:rPr>
            <w:t xml:space="preserve"> </w:t>
          </w:r>
          <w:r w:rsidR="003974E1" w:rsidRPr="003974E1">
            <w:rPr>
              <w:rFonts w:cs="Arial"/>
              <w:color w:val="000000"/>
              <w:lang w:val="en-GB"/>
            </w:rPr>
            <w:t>(</w:t>
          </w:r>
          <w:proofErr w:type="spellStart"/>
          <w:r w:rsidR="003974E1" w:rsidRPr="003974E1">
            <w:rPr>
              <w:rFonts w:cs="Arial"/>
              <w:color w:val="000000"/>
              <w:lang w:val="en-GB"/>
            </w:rPr>
            <w:t>Dabberdt</w:t>
          </w:r>
          <w:proofErr w:type="spellEnd"/>
          <w:r w:rsidR="003974E1" w:rsidRPr="003974E1">
            <w:rPr>
              <w:rFonts w:cs="Arial"/>
              <w:color w:val="000000"/>
              <w:lang w:val="en-GB"/>
            </w:rPr>
            <w:t xml:space="preserve"> and Miller, 2000; </w:t>
          </w:r>
          <w:proofErr w:type="spellStart"/>
          <w:r w:rsidR="003974E1" w:rsidRPr="003974E1">
            <w:rPr>
              <w:rFonts w:cs="Arial"/>
              <w:color w:val="000000"/>
              <w:lang w:val="en-GB"/>
            </w:rPr>
            <w:t>Snoun</w:t>
          </w:r>
          <w:proofErr w:type="spellEnd"/>
          <w:r w:rsidR="003974E1" w:rsidRPr="003974E1">
            <w:rPr>
              <w:rFonts w:cs="Arial"/>
              <w:color w:val="000000"/>
              <w:lang w:val="en-GB"/>
            </w:rPr>
            <w:t xml:space="preserve"> et al., 2023)</w:t>
          </w:r>
        </w:sdtContent>
      </w:sdt>
      <w:r w:rsidRPr="009C3024">
        <w:rPr>
          <w:lang w:val="en-GB"/>
        </w:rPr>
        <w:t xml:space="preserve">. Among these, the estimation of odour emission rates </w:t>
      </w:r>
      <w:r w:rsidR="002C6076">
        <w:rPr>
          <w:lang w:val="en-GB"/>
        </w:rPr>
        <w:t xml:space="preserve">(OERs) </w:t>
      </w:r>
      <w:r w:rsidRPr="009C3024">
        <w:rPr>
          <w:lang w:val="en-GB"/>
        </w:rPr>
        <w:t>represents one of the most critical and uncertain steps, particularly in the case of diffuse sources</w:t>
      </w:r>
      <w:r w:rsidR="00F57B6E">
        <w:rPr>
          <w:lang w:val="en-GB"/>
        </w:rPr>
        <w:t xml:space="preserve"> </w:t>
      </w:r>
      <w:sdt>
        <w:sdtPr>
          <w:rPr>
            <w:rFonts w:cs="Arial"/>
            <w:color w:val="000000"/>
            <w:lang w:val="en-GB"/>
          </w:rPr>
          <w:tag w:val="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"/>
          <w:id w:val="-1379703283"/>
          <w:placeholder>
            <w:docPart w:val="DefaultPlaceholder_-1854013440"/>
          </w:placeholder>
        </w:sdtPr>
        <w:sdtEndPr/>
        <w:sdtContent>
          <w:r w:rsidR="003974E1" w:rsidRPr="003974E1">
            <w:rPr>
              <w:rFonts w:cs="Arial"/>
              <w:color w:val="000000"/>
              <w:lang w:val="en-GB"/>
            </w:rPr>
            <w:t>(Invernizzi et al., 2025; Liu et al., 2024; Tagliaferri et al., 2024)</w:t>
          </w:r>
        </w:sdtContent>
      </w:sdt>
      <w:r w:rsidRPr="009C3024">
        <w:rPr>
          <w:lang w:val="en-GB"/>
        </w:rPr>
        <w:t>. In particular, passive area sources are characterized by the absence of a well-defined airflow and by strong variability driven by environmental and operational factors, making their quantification inherently complex</w:t>
      </w:r>
      <w:r w:rsidR="002C6076">
        <w:rPr>
          <w:lang w:val="en-GB"/>
        </w:rPr>
        <w:t xml:space="preserve">. </w:t>
      </w:r>
      <w:r w:rsidR="00E80B72" w:rsidRPr="00E80B72">
        <w:rPr>
          <w:lang w:val="en-GB"/>
        </w:rPr>
        <w:t>From a physical standpoint</w:t>
      </w:r>
      <w:r w:rsidRPr="009C3024">
        <w:rPr>
          <w:lang w:val="en-GB"/>
        </w:rPr>
        <w:t>, odour emissions from liquid</w:t>
      </w:r>
      <w:r w:rsidR="00E80B72">
        <w:rPr>
          <w:lang w:val="en-GB"/>
        </w:rPr>
        <w:t xml:space="preserve"> surfaces </w:t>
      </w:r>
      <w:r w:rsidRPr="009C3024">
        <w:rPr>
          <w:lang w:val="en-GB"/>
        </w:rPr>
        <w:t>are governed by mass transfer phenomena occurring at the air–surface interface, which are influenced by both operational conditions and</w:t>
      </w:r>
      <w:r w:rsidR="00BA63EE">
        <w:rPr>
          <w:lang w:val="en-GB"/>
        </w:rPr>
        <w:t xml:space="preserve"> </w:t>
      </w:r>
      <w:r w:rsidRPr="009C3024">
        <w:rPr>
          <w:lang w:val="en-GB"/>
        </w:rPr>
        <w:t>meteorological variables</w:t>
      </w:r>
      <w:r w:rsidR="002C6076">
        <w:rPr>
          <w:lang w:val="en-GB"/>
        </w:rPr>
        <w:t xml:space="preserve"> </w:t>
      </w:r>
      <w:sdt>
        <w:sdtPr>
          <w:rPr>
            <w:rFonts w:cs="Arial"/>
            <w:color w:val="000000"/>
            <w:lang w:val="en-GB"/>
          </w:rPr>
          <w:tag w:val="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"/>
          <w:id w:val="1728415514"/>
          <w:placeholder>
            <w:docPart w:val="7B6E15851AA44C90AE26283C744E3B0F"/>
          </w:placeholder>
        </w:sdtPr>
        <w:sdtEndPr/>
        <w:sdtContent>
          <w:r w:rsidR="003974E1" w:rsidRPr="003974E1">
            <w:rPr>
              <w:rFonts w:cs="Arial"/>
              <w:color w:val="000000"/>
            </w:rPr>
            <w:t>(</w:t>
          </w:r>
          <w:proofErr w:type="spellStart"/>
          <w:r w:rsidR="003974E1" w:rsidRPr="003974E1">
            <w:rPr>
              <w:rFonts w:cs="Arial"/>
              <w:color w:val="000000"/>
            </w:rPr>
            <w:t>Bellasio</w:t>
          </w:r>
          <w:proofErr w:type="spellEnd"/>
          <w:r w:rsidR="003974E1" w:rsidRPr="003974E1">
            <w:rPr>
              <w:rFonts w:cs="Arial"/>
              <w:color w:val="000000"/>
            </w:rPr>
            <w:t xml:space="preserve"> and </w:t>
          </w:r>
          <w:proofErr w:type="spellStart"/>
          <w:r w:rsidR="003974E1" w:rsidRPr="003974E1">
            <w:rPr>
              <w:rFonts w:cs="Arial"/>
              <w:color w:val="000000"/>
            </w:rPr>
            <w:t>Bianconi</w:t>
          </w:r>
          <w:proofErr w:type="spellEnd"/>
          <w:r w:rsidR="003974E1" w:rsidRPr="003974E1">
            <w:rPr>
              <w:rFonts w:cs="Arial"/>
              <w:color w:val="000000"/>
            </w:rPr>
            <w:t>, 2022; Invernizzi et al., 2019; Tagliaferri et al., 2023)</w:t>
          </w:r>
        </w:sdtContent>
      </w:sdt>
      <w:r w:rsidRPr="009C3024">
        <w:rPr>
          <w:lang w:val="en-GB"/>
        </w:rPr>
        <w:t xml:space="preserve">. In practical applications, the absence of a well-defined airflow directly associated with passive area sources typically requires the use of enclosure-based sampling techniques, such as wind tunnels or flux chambers, which simulate the convective action of the wind over the emitting surface. However, the application of these methods relies on direct access to the emission interface, making them unsuitable for </w:t>
      </w:r>
      <w:r w:rsidRPr="009C3024">
        <w:rPr>
          <w:lang w:val="en-GB"/>
        </w:rPr>
        <w:lastRenderedPageBreak/>
        <w:t>configurations in which the surface is physically obstructed</w:t>
      </w:r>
      <w:r w:rsidR="000C2C55">
        <w:rPr>
          <w:lang w:val="en-GB"/>
        </w:rPr>
        <w:t xml:space="preserve"> </w:t>
      </w:r>
      <w:sdt>
        <w:sdtPr>
          <w:rPr>
            <w:rFonts w:cs="Arial"/>
            <w:color w:val="000000"/>
            <w:lang w:val="en-GB"/>
          </w:rPr>
          <w:tag w:val="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"/>
          <w:id w:val="-1840997023"/>
          <w:placeholder>
            <w:docPart w:val="DefaultPlaceholder_-1854013440"/>
          </w:placeholder>
        </w:sdtPr>
        <w:sdtEndPr/>
        <w:sdtContent>
          <w:r w:rsidR="003974E1" w:rsidRPr="003974E1">
            <w:rPr>
              <w:rFonts w:cs="Arial"/>
              <w:color w:val="000000"/>
              <w:lang w:val="en-GB"/>
            </w:rPr>
            <w:t>(Carrera et al., 2025; Parker et al., 2013; Parker et al., 2009).</w:t>
          </w:r>
        </w:sdtContent>
      </w:sdt>
    </w:p>
    <w:p w14:paraId="269E5C49" w14:textId="464AA84B" w:rsidR="00A169A9" w:rsidRPr="00A169A9" w:rsidRDefault="009C3024" w:rsidP="00A169A9">
      <w:pPr>
        <w:pStyle w:val="CETBodytext"/>
        <w:rPr>
          <w:lang w:val="en-GB"/>
        </w:rPr>
      </w:pPr>
      <w:r w:rsidRPr="009C3024">
        <w:rPr>
          <w:lang w:val="en-GB"/>
        </w:rPr>
        <w:t xml:space="preserve">These limitations become particularly relevant in the case of industrial tanks and inspection pits covered by walkable metal grates. In such configurations, the emitting surface is not directly accessible, preventing the correct deployment of conventional sampling devices and hindering the direct measurement of </w:t>
      </w:r>
      <w:r w:rsidR="00DA2BD9">
        <w:rPr>
          <w:lang w:val="en-GB"/>
        </w:rPr>
        <w:t>VOCs emission</w:t>
      </w:r>
      <w:r w:rsidRPr="009C3024">
        <w:rPr>
          <w:lang w:val="en-GB"/>
        </w:rPr>
        <w:t xml:space="preserve"> fluxes. </w:t>
      </w:r>
      <w:r w:rsidR="00E453C0" w:rsidRPr="00E453C0">
        <w:rPr>
          <w:lang w:val="en-GB"/>
        </w:rPr>
        <w:t>In addition, the presence of the grating alters the airflow above the liquid surface, partially disrupting the flow and modifying the air–surface exchange conditions and the associated mass transfer processes.</w:t>
      </w:r>
      <w:r w:rsidR="00E453C0">
        <w:rPr>
          <w:lang w:val="en-GB"/>
        </w:rPr>
        <w:t xml:space="preserve"> </w:t>
      </w:r>
      <w:r w:rsidR="00A169A9" w:rsidRPr="00A169A9">
        <w:rPr>
          <w:lang w:val="en-GB"/>
        </w:rPr>
        <w:t>As a consequence, standard methodologies commonly adopted for area sources cannot be applied. Although indirect estimation approaches</w:t>
      </w:r>
      <w:r w:rsidR="00BA63EE">
        <w:rPr>
          <w:lang w:val="en-GB"/>
        </w:rPr>
        <w:t xml:space="preserve">, </w:t>
      </w:r>
      <w:r w:rsidR="00A169A9" w:rsidRPr="00A169A9">
        <w:rPr>
          <w:lang w:val="en-GB"/>
        </w:rPr>
        <w:t xml:space="preserve">such as inverse dispersion modelling, micrometeorological methods and optical remote </w:t>
      </w:r>
      <w:r w:rsidR="00BA63EE">
        <w:rPr>
          <w:lang w:val="en-GB"/>
        </w:rPr>
        <w:t xml:space="preserve">sensing </w:t>
      </w:r>
      <w:r w:rsidR="00A169A9" w:rsidRPr="00A169A9">
        <w:rPr>
          <w:lang w:val="en-GB"/>
        </w:rPr>
        <w:t>may in principle be considered, their application is often limited by methodological complexity, demanding data requirements and relatively high implementation costs, particularly in the context of odour assessment</w:t>
      </w:r>
      <w:r w:rsidR="00A169A9">
        <w:rPr>
          <w:lang w:val="en-GB"/>
        </w:rPr>
        <w:t xml:space="preserve"> </w:t>
      </w:r>
      <w:sdt>
        <w:sdtPr>
          <w:rPr>
            <w:rFonts w:cs="Arial"/>
            <w:color w:val="000000"/>
            <w:lang w:val="en-GB"/>
          </w:rPr>
          <w:tag w:val="MENDELEY_CITATION_v3_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"/>
          <w:id w:val="-1947991165"/>
          <w:placeholder>
            <w:docPart w:val="DefaultPlaceholder_-1854013440"/>
          </w:placeholder>
        </w:sdtPr>
        <w:sdtEndPr/>
        <w:sdtContent>
          <w:r w:rsidR="003974E1" w:rsidRPr="003974E1">
            <w:rPr>
              <w:rFonts w:cs="Arial"/>
              <w:color w:val="000000"/>
            </w:rPr>
            <w:t>(</w:t>
          </w:r>
          <w:proofErr w:type="spellStart"/>
          <w:r w:rsidR="003974E1" w:rsidRPr="003974E1">
            <w:rPr>
              <w:rFonts w:cs="Arial"/>
              <w:color w:val="000000"/>
            </w:rPr>
            <w:t>Bénassy</w:t>
          </w:r>
          <w:proofErr w:type="spellEnd"/>
          <w:r w:rsidR="003974E1" w:rsidRPr="003974E1">
            <w:rPr>
              <w:rFonts w:cs="Arial"/>
              <w:color w:val="000000"/>
            </w:rPr>
            <w:t xml:space="preserve"> and </w:t>
          </w:r>
          <w:proofErr w:type="spellStart"/>
          <w:r w:rsidR="003974E1" w:rsidRPr="003974E1">
            <w:rPr>
              <w:rFonts w:cs="Arial"/>
              <w:color w:val="000000"/>
            </w:rPr>
            <w:t>Bilinska</w:t>
          </w:r>
          <w:proofErr w:type="spellEnd"/>
          <w:r w:rsidR="003974E1" w:rsidRPr="003974E1">
            <w:rPr>
              <w:rFonts w:cs="Arial"/>
              <w:color w:val="000000"/>
            </w:rPr>
            <w:t>, 2008; Tagliaferri et al., 2023)</w:t>
          </w:r>
        </w:sdtContent>
      </w:sdt>
      <w:r w:rsidR="00A169A9" w:rsidRPr="00A169A9">
        <w:rPr>
          <w:lang w:val="en-GB"/>
        </w:rPr>
        <w:t>.</w:t>
      </w:r>
    </w:p>
    <w:p w14:paraId="4C520A33" w14:textId="0F6B7B30" w:rsidR="00CD7344" w:rsidRPr="00C3050B" w:rsidRDefault="00A169A9" w:rsidP="00A169A9">
      <w:pPr>
        <w:pStyle w:val="CETBodytext"/>
        <w:rPr>
          <w:lang w:val="en-GB"/>
        </w:rPr>
      </w:pPr>
      <w:r w:rsidRPr="00A169A9">
        <w:rPr>
          <w:lang w:val="en-GB"/>
        </w:rPr>
        <w:t xml:space="preserve">In light of these challenges, alternative approaches may be needed to estimate </w:t>
      </w:r>
      <w:r w:rsidR="002C6076">
        <w:rPr>
          <w:lang w:val="en-GB"/>
        </w:rPr>
        <w:t>OERs</w:t>
      </w:r>
      <w:r w:rsidRPr="00A169A9">
        <w:rPr>
          <w:lang w:val="en-GB"/>
        </w:rPr>
        <w:t xml:space="preserve"> from geometrically constrained or inaccessible sources.</w:t>
      </w:r>
      <w:r>
        <w:rPr>
          <w:lang w:val="en-GB"/>
        </w:rPr>
        <w:t xml:space="preserve"> </w:t>
      </w:r>
      <w:r w:rsidR="00BA63EE" w:rsidRPr="00BA63EE">
        <w:rPr>
          <w:lang w:val="en-GB"/>
        </w:rPr>
        <w:t>In the present case, the study focused on a wastewater collection basin receiving oily streams within an industrial processing plant, covered by a walkable grating that limits direct access to the emitting surface while still allowing air exchange through its openings.</w:t>
      </w:r>
      <w:r w:rsidR="00BA63EE">
        <w:rPr>
          <w:lang w:val="en-GB"/>
        </w:rPr>
        <w:t xml:space="preserve"> </w:t>
      </w:r>
      <w:r w:rsidR="003923A6" w:rsidRPr="003923A6">
        <w:rPr>
          <w:lang w:val="en-GB"/>
        </w:rPr>
        <w:t xml:space="preserve">The study addresses this issue by proposing a novel methodological framework for the estimation of odour fluxes. The approach integrates </w:t>
      </w:r>
      <w:r w:rsidR="003923A6" w:rsidRPr="00E453C0">
        <w:rPr>
          <w:i/>
          <w:iCs/>
          <w:lang w:val="en-GB"/>
        </w:rPr>
        <w:t>in situ</w:t>
      </w:r>
      <w:r w:rsidR="003923A6" w:rsidRPr="003923A6">
        <w:rPr>
          <w:lang w:val="en-GB"/>
        </w:rPr>
        <w:t xml:space="preserve"> measurements of odour concentration above the </w:t>
      </w:r>
      <w:r w:rsidR="00BA63EE">
        <w:rPr>
          <w:lang w:val="en-GB"/>
        </w:rPr>
        <w:t xml:space="preserve">liquid </w:t>
      </w:r>
      <w:r w:rsidR="003923A6" w:rsidRPr="003923A6">
        <w:rPr>
          <w:lang w:val="en-GB"/>
        </w:rPr>
        <w:t xml:space="preserve">source with theoretical parameterizations of mass transfer processes. The results obtained with the proposed method are also discussed in relation to other approaches available in the scientific literature, in order to provide a broader perspective on its applicability and underlying assumptions. </w:t>
      </w:r>
    </w:p>
    <w:p w14:paraId="29AC30D7" w14:textId="09091031" w:rsidR="0004051F" w:rsidRDefault="00B715C9" w:rsidP="0004051F">
      <w:pPr>
        <w:pStyle w:val="CETHeading1"/>
        <w:rPr>
          <w:lang w:val="en-GB"/>
        </w:rPr>
      </w:pPr>
      <w:bookmarkStart w:id="0" w:name="_Ref228443734"/>
      <w:r w:rsidRPr="00B715C9">
        <w:rPr>
          <w:lang w:val="en-GB"/>
        </w:rPr>
        <w:t>Proposed methodological framework for odour flux estimation</w:t>
      </w:r>
      <w:bookmarkEnd w:id="0"/>
      <w:r w:rsidR="00BA3947">
        <w:rPr>
          <w:lang w:val="en-GB"/>
        </w:rPr>
        <w:t xml:space="preserve"> (Method 1)</w:t>
      </w:r>
    </w:p>
    <w:p w14:paraId="0B59F8E6" w14:textId="5D49F7BE" w:rsidR="00B715C9" w:rsidRPr="00B715C9" w:rsidRDefault="00B715C9" w:rsidP="00B715C9">
      <w:pPr>
        <w:pStyle w:val="CETBodytext"/>
        <w:rPr>
          <w:lang w:val="en-GB"/>
        </w:rPr>
      </w:pPr>
      <w:r w:rsidRPr="00B715C9">
        <w:rPr>
          <w:lang w:val="en-GB"/>
        </w:rPr>
        <w:t xml:space="preserve">In this study, a time-resolved framework for the indirect estimation of </w:t>
      </w:r>
      <w:r w:rsidR="002C6076">
        <w:rPr>
          <w:lang w:val="en-GB"/>
        </w:rPr>
        <w:t>OERs</w:t>
      </w:r>
      <w:r w:rsidRPr="00B715C9">
        <w:rPr>
          <w:lang w:val="en-GB"/>
        </w:rPr>
        <w:t xml:space="preserve"> from geometrically constrained area sources is proposed. </w:t>
      </w:r>
      <w:r w:rsidR="002C6076" w:rsidRPr="002C6076">
        <w:rPr>
          <w:lang w:val="en-GB"/>
        </w:rPr>
        <w:t>The approach combines in situ measurements of odour concentration</w:t>
      </w:r>
      <w:r w:rsidR="002E034B">
        <w:rPr>
          <w:lang w:val="en-GB"/>
        </w:rPr>
        <w:t xml:space="preserve"> C</w:t>
      </w:r>
      <w:r w:rsidR="002E034B" w:rsidRPr="002E034B">
        <w:rPr>
          <w:vertAlign w:val="subscript"/>
          <w:lang w:val="en-GB"/>
        </w:rPr>
        <w:t>od</w:t>
      </w:r>
      <w:r w:rsidR="002C6076" w:rsidRPr="002C6076">
        <w:rPr>
          <w:lang w:val="en-GB"/>
        </w:rPr>
        <w:t xml:space="preserve"> in the air phase with the estimation of the corresponding emission flux based on gas-side mass transfer theory</w:t>
      </w:r>
      <w:r w:rsidRPr="00B715C9">
        <w:rPr>
          <w:lang w:val="en-GB"/>
        </w:rPr>
        <w:t>.</w:t>
      </w:r>
    </w:p>
    <w:p w14:paraId="2030986D" w14:textId="3A3CBD49" w:rsidR="00DD3119" w:rsidRPr="00B715C9" w:rsidRDefault="00B715C9" w:rsidP="00B715C9">
      <w:pPr>
        <w:pStyle w:val="CETBodytext"/>
        <w:rPr>
          <w:lang w:val="en-GB"/>
        </w:rPr>
      </w:pPr>
      <w:r w:rsidRPr="00B715C9">
        <w:rPr>
          <w:lang w:val="en-GB"/>
        </w:rPr>
        <w:t>The OER</w:t>
      </w:r>
      <w:r w:rsidR="002C6076">
        <w:rPr>
          <w:lang w:val="en-GB"/>
        </w:rPr>
        <w:t xml:space="preserve"> </w:t>
      </w:r>
      <w:r w:rsidR="00BC7CCB">
        <w:rPr>
          <w:lang w:val="en-GB"/>
        </w:rPr>
        <w:t>[</w:t>
      </w:r>
      <w:proofErr w:type="spellStart"/>
      <w:r w:rsidR="00BC7CCB">
        <w:rPr>
          <w:lang w:val="en-GB"/>
        </w:rPr>
        <w:t>ou</w:t>
      </w:r>
      <w:r w:rsidR="00BC7CCB" w:rsidRPr="00BC7CCB">
        <w:rPr>
          <w:vertAlign w:val="subscript"/>
          <w:lang w:val="en-GB"/>
        </w:rPr>
        <w:t>E</w:t>
      </w:r>
      <w:proofErr w:type="spellEnd"/>
      <w:r w:rsidR="00BC7CCB">
        <w:rPr>
          <w:lang w:val="en-GB"/>
        </w:rPr>
        <w:t xml:space="preserve">/s] </w:t>
      </w:r>
      <w:r w:rsidRPr="00B715C9">
        <w:rPr>
          <w:lang w:val="en-GB"/>
        </w:rPr>
        <w:t>is expressed as: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DD3119" w14:paraId="4584FFA8" w14:textId="77777777" w:rsidTr="00BA10CB">
        <w:tc>
          <w:tcPr>
            <w:tcW w:w="4388" w:type="dxa"/>
            <w:vAlign w:val="center"/>
          </w:tcPr>
          <w:p w14:paraId="57787186" w14:textId="43AC0B0D" w:rsidR="00DD3119" w:rsidRPr="00390B71" w:rsidRDefault="00390B71" w:rsidP="00DD3119">
            <w:pPr>
              <w:spacing w:before="120" w:after="120"/>
              <w:rPr>
                <w:i/>
                <w:iCs/>
              </w:rPr>
            </w:pPr>
            <m:oMathPara>
              <m:oMathParaPr>
                <m:jc m:val="left"/>
              </m:oMathParaPr>
              <m:oMath>
                <m:r>
                  <w:rPr>
                    <w:rFonts w:ascii="Cambria Math" w:hAnsi="Cambria Math"/>
                  </w:rPr>
                  <m:t>OER=</m:t>
                </m:r>
                <m:sSub>
                  <m:sSubPr>
                    <m:ctrlPr>
                      <w:rPr>
                        <w:rFonts w:ascii="Cambria Math" w:hAnsi="Cambria Math"/>
                        <w:i/>
                        <w:iCs/>
                      </w:rPr>
                    </m:ctrlPr>
                  </m:sSubPr>
                  <m:e>
                    <m:r>
                      <w:rPr>
                        <w:rFonts w:ascii="Cambria Math" w:hAnsi="Cambria Math"/>
                      </w:rPr>
                      <m:t>C</m:t>
                    </m:r>
                  </m:e>
                  <m:sub>
                    <m:r>
                      <w:rPr>
                        <w:rFonts w:ascii="Cambria Math" w:hAnsi="Cambria Math"/>
                      </w:rPr>
                      <m:t>od</m:t>
                    </m:r>
                  </m:sub>
                </m:sSub>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out</m:t>
                    </m:r>
                  </m:sub>
                </m:sSub>
              </m:oMath>
            </m:oMathPara>
          </w:p>
        </w:tc>
        <w:tc>
          <w:tcPr>
            <w:tcW w:w="4389" w:type="dxa"/>
            <w:vAlign w:val="center"/>
          </w:tcPr>
          <w:p w14:paraId="42A816F1" w14:textId="31A55B9F" w:rsidR="00DD3119" w:rsidRDefault="003737DE" w:rsidP="003737DE">
            <w:pPr>
              <w:pStyle w:val="CETBodytext"/>
              <w:jc w:val="right"/>
              <w:rPr>
                <w:lang w:val="en-GB"/>
              </w:rPr>
            </w:pPr>
            <w:r>
              <w:rPr>
                <w:lang w:val="en-GB"/>
              </w:rPr>
              <w:t>(1)</w:t>
            </w:r>
          </w:p>
        </w:tc>
      </w:tr>
    </w:tbl>
    <w:p w14:paraId="4C9FAAED" w14:textId="4032256A" w:rsidR="00DD3119" w:rsidRDefault="00B715C9" w:rsidP="00B715C9">
      <w:pPr>
        <w:pStyle w:val="CETBodytext"/>
        <w:rPr>
          <w:lang w:val="en-GB"/>
        </w:rPr>
      </w:pPr>
      <w:r w:rsidRPr="00B715C9">
        <w:rPr>
          <w:lang w:val="en-GB"/>
        </w:rPr>
        <w:t>where C</w:t>
      </w:r>
      <w:r w:rsidRPr="00DD3119">
        <w:rPr>
          <w:vertAlign w:val="subscript"/>
          <w:lang w:val="en-GB"/>
        </w:rPr>
        <w:t>od</w:t>
      </w:r>
      <w:r w:rsidR="00DD3119">
        <w:rPr>
          <w:lang w:val="en-GB"/>
        </w:rPr>
        <w:t xml:space="preserve"> </w:t>
      </w:r>
      <w:r w:rsidR="00BC7CCB">
        <w:rPr>
          <w:lang w:val="en-GB"/>
        </w:rPr>
        <w:t>[</w:t>
      </w:r>
      <w:proofErr w:type="spellStart"/>
      <w:r w:rsidR="00BC7CCB">
        <w:rPr>
          <w:lang w:val="en-GB"/>
        </w:rPr>
        <w:t>ou</w:t>
      </w:r>
      <w:r w:rsidR="00BC7CCB" w:rsidRPr="00BC7CCB">
        <w:rPr>
          <w:vertAlign w:val="subscript"/>
          <w:lang w:val="en-GB"/>
        </w:rPr>
        <w:t>E</w:t>
      </w:r>
      <w:proofErr w:type="spellEnd"/>
      <w:r w:rsidR="00BC7CCB">
        <w:rPr>
          <w:lang w:val="en-GB"/>
        </w:rPr>
        <w:t>/m</w:t>
      </w:r>
      <w:r w:rsidR="00BC7CCB" w:rsidRPr="00BC7CCB">
        <w:rPr>
          <w:vertAlign w:val="superscript"/>
          <w:lang w:val="en-GB"/>
        </w:rPr>
        <w:t>3</w:t>
      </w:r>
      <w:r w:rsidR="00BC7CCB">
        <w:rPr>
          <w:lang w:val="en-GB"/>
        </w:rPr>
        <w:t xml:space="preserve">] </w:t>
      </w:r>
      <w:r w:rsidRPr="00B715C9">
        <w:rPr>
          <w:lang w:val="en-GB"/>
        </w:rPr>
        <w:t>is the odour concentration measured in the air layer above the source</w:t>
      </w:r>
      <w:r w:rsidR="00875FB0" w:rsidRPr="00875FB0">
        <w:rPr>
          <w:lang w:val="en-GB"/>
        </w:rPr>
        <w:t xml:space="preserve"> at the level of the covering structure (</w:t>
      </w:r>
      <w:proofErr w:type="gramStart"/>
      <w:r w:rsidR="00875FB0" w:rsidRPr="00875FB0">
        <w:rPr>
          <w:lang w:val="en-GB"/>
        </w:rPr>
        <w:t>i.e.</w:t>
      </w:r>
      <w:proofErr w:type="gramEnd"/>
      <w:r w:rsidR="00875FB0" w:rsidRPr="00875FB0">
        <w:rPr>
          <w:lang w:val="en-GB"/>
        </w:rPr>
        <w:t xml:space="preserve"> the grating)</w:t>
      </w:r>
      <w:r w:rsidR="00A5661F">
        <w:rPr>
          <w:lang w:val="en-GB"/>
        </w:rPr>
        <w:t xml:space="preserve"> </w:t>
      </w:r>
      <w:r w:rsidRPr="00B715C9">
        <w:rPr>
          <w:lang w:val="en-GB"/>
        </w:rPr>
        <w:t xml:space="preserve">and </w:t>
      </w:r>
      <w:proofErr w:type="spellStart"/>
      <w:r w:rsidRPr="00B715C9">
        <w:rPr>
          <w:lang w:val="en-GB"/>
        </w:rPr>
        <w:t>Q</w:t>
      </w:r>
      <w:r w:rsidRPr="00DD3119">
        <w:rPr>
          <w:vertAlign w:val="subscript"/>
          <w:lang w:val="en-GB"/>
        </w:rPr>
        <w:t>out</w:t>
      </w:r>
      <w:proofErr w:type="spellEnd"/>
      <w:r w:rsidR="00DD3119">
        <w:rPr>
          <w:lang w:val="en-GB"/>
        </w:rPr>
        <w:t xml:space="preserve"> </w:t>
      </w:r>
      <w:r w:rsidR="00BC7CCB">
        <w:rPr>
          <w:lang w:val="en-GB"/>
        </w:rPr>
        <w:t>[m</w:t>
      </w:r>
      <w:r w:rsidR="00BC7CCB" w:rsidRPr="00BC7CCB">
        <w:rPr>
          <w:vertAlign w:val="superscript"/>
          <w:lang w:val="en-GB"/>
        </w:rPr>
        <w:t>3</w:t>
      </w:r>
      <w:r w:rsidR="00BC7CCB">
        <w:rPr>
          <w:lang w:val="en-GB"/>
        </w:rPr>
        <w:t xml:space="preserve">/h] </w:t>
      </w:r>
      <w:r w:rsidRPr="00B715C9">
        <w:rPr>
          <w:lang w:val="en-GB"/>
        </w:rPr>
        <w:t xml:space="preserve">is </w:t>
      </w:r>
      <w:r w:rsidR="002C6076">
        <w:rPr>
          <w:lang w:val="en-GB"/>
        </w:rPr>
        <w:t xml:space="preserve">the </w:t>
      </w:r>
      <w:r w:rsidRPr="00B715C9">
        <w:rPr>
          <w:lang w:val="en-GB"/>
        </w:rPr>
        <w:t xml:space="preserve">volumetric flow rate associated with the emission. </w:t>
      </w:r>
      <w:r w:rsidR="001C0B3A" w:rsidRPr="001C0B3A">
        <w:rPr>
          <w:lang w:val="en-GB"/>
        </w:rPr>
        <w:t>The latter is expressed as the product of the effective emission area and a characteristic emission velocity</w:t>
      </w:r>
      <w:r w:rsidR="001C0B3A">
        <w:rPr>
          <w:lang w:val="en-GB"/>
        </w:rPr>
        <w:t xml:space="preserve"> </w:t>
      </w:r>
      <w:proofErr w:type="spellStart"/>
      <w:r w:rsidR="001C0B3A" w:rsidRPr="00B715C9">
        <w:rPr>
          <w:lang w:val="en-GB"/>
        </w:rPr>
        <w:t>v</w:t>
      </w:r>
      <w:r w:rsidR="001C0B3A" w:rsidRPr="00DD3119">
        <w:rPr>
          <w:vertAlign w:val="subscript"/>
          <w:lang w:val="en-GB"/>
        </w:rPr>
        <w:t>out</w:t>
      </w:r>
      <w:proofErr w:type="spellEnd"/>
      <w:r w:rsidR="001C0B3A" w:rsidRPr="001C0B3A">
        <w:rPr>
          <w:lang w:val="en-GB"/>
        </w:rPr>
        <w:t>.</w:t>
      </w:r>
      <w:r w:rsidR="001C0B3A">
        <w:rPr>
          <w:lang w:val="en-GB"/>
        </w:rPr>
        <w:t xml:space="preserve"> </w:t>
      </w:r>
      <w:r w:rsidRPr="00B715C9">
        <w:rPr>
          <w:lang w:val="en-GB"/>
        </w:rPr>
        <w:t xml:space="preserve">In the absence of a well-defined bulk flow, </w:t>
      </w:r>
      <w:proofErr w:type="spellStart"/>
      <w:r w:rsidRPr="00B715C9">
        <w:rPr>
          <w:lang w:val="en-GB"/>
        </w:rPr>
        <w:t>v</w:t>
      </w:r>
      <w:r w:rsidRPr="00DD3119">
        <w:rPr>
          <w:vertAlign w:val="subscript"/>
          <w:lang w:val="en-GB"/>
        </w:rPr>
        <w:t>out</w:t>
      </w:r>
      <w:proofErr w:type="spellEnd"/>
      <w:r w:rsidR="00DD3119">
        <w:rPr>
          <w:lang w:val="en-GB"/>
        </w:rPr>
        <w:t xml:space="preserve"> </w:t>
      </w:r>
      <w:r w:rsidRPr="00B715C9">
        <w:rPr>
          <w:lang w:val="en-GB"/>
        </w:rPr>
        <w:t>is approximated, by dimensional analogy, as a gas-side mass transfer coefficient k</w:t>
      </w:r>
      <w:r w:rsidRPr="00DD3119">
        <w:rPr>
          <w:vertAlign w:val="subscript"/>
          <w:lang w:val="en-GB"/>
        </w:rPr>
        <w:t>g</w:t>
      </w:r>
      <w:r w:rsidRPr="00B715C9">
        <w:rPr>
          <w:lang w:val="en-GB"/>
        </w:rPr>
        <w:t>, thus linking the emission flux to the underlying transport processes.</w:t>
      </w:r>
    </w:p>
    <w:p w14:paraId="45A05B55" w14:textId="5D0AAEDE" w:rsidR="00B715C9" w:rsidRPr="00B715C9" w:rsidRDefault="00B715C9" w:rsidP="00B715C9">
      <w:pPr>
        <w:pStyle w:val="CETBodytext"/>
        <w:rPr>
          <w:lang w:val="en-GB"/>
        </w:rPr>
      </w:pPr>
      <w:r w:rsidRPr="00B715C9">
        <w:rPr>
          <w:lang w:val="en-GB"/>
        </w:rPr>
        <w:t>The estimation of k</w:t>
      </w:r>
      <w:r w:rsidRPr="00DD3119">
        <w:rPr>
          <w:vertAlign w:val="subscript"/>
          <w:lang w:val="en-GB"/>
        </w:rPr>
        <w:t>g</w:t>
      </w:r>
      <w:r w:rsidR="00DD3119">
        <w:rPr>
          <w:lang w:val="en-GB"/>
        </w:rPr>
        <w:t xml:space="preserve"> </w:t>
      </w:r>
      <w:r w:rsidR="00BC7CCB">
        <w:rPr>
          <w:lang w:val="en-GB"/>
        </w:rPr>
        <w:t xml:space="preserve">[m/s] </w:t>
      </w:r>
      <w:r w:rsidRPr="00B715C9">
        <w:rPr>
          <w:lang w:val="en-GB"/>
        </w:rPr>
        <w:t>is based on a resistance model in which the overall gas-side mass transfer resistance is expressed as the sum of two contributions in series: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DD3119" w14:paraId="657F5E34" w14:textId="77777777" w:rsidTr="00BA10CB">
        <w:tc>
          <w:tcPr>
            <w:tcW w:w="4388" w:type="dxa"/>
            <w:vAlign w:val="center"/>
          </w:tcPr>
          <w:p w14:paraId="6CAED4B1" w14:textId="5D28B7A6" w:rsidR="00DD3119" w:rsidRPr="00390B71" w:rsidRDefault="00D43A17" w:rsidP="00DD3119">
            <w:pPr>
              <w:spacing w:before="120" w:after="120"/>
              <w:rPr>
                <w:i/>
                <w:iCs/>
              </w:rPr>
            </w:pPr>
            <m:oMathPara>
              <m:oMathParaPr>
                <m:jc m:val="left"/>
              </m:oMathParaPr>
              <m:oMath>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k</m:t>
                        </m:r>
                      </m:e>
                      <m:sub>
                        <m:r>
                          <w:rPr>
                            <w:rFonts w:ascii="Cambria Math" w:hAnsi="Cambria Math"/>
                          </w:rPr>
                          <m:t>g</m:t>
                        </m:r>
                      </m:sub>
                    </m:sSub>
                  </m:den>
                </m:f>
                <m: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tot</m:t>
                    </m:r>
                  </m:sub>
                </m:sSub>
                <m: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m</m:t>
                    </m:r>
                  </m:sub>
                </m:sSub>
              </m:oMath>
            </m:oMathPara>
          </w:p>
        </w:tc>
        <w:tc>
          <w:tcPr>
            <w:tcW w:w="4389" w:type="dxa"/>
            <w:vAlign w:val="center"/>
          </w:tcPr>
          <w:p w14:paraId="0A226B69" w14:textId="66368BA8" w:rsidR="00DD3119" w:rsidRDefault="003737DE" w:rsidP="003737DE">
            <w:pPr>
              <w:pStyle w:val="CETBodytext"/>
              <w:jc w:val="right"/>
              <w:rPr>
                <w:lang w:val="en-GB"/>
              </w:rPr>
            </w:pPr>
            <w:r>
              <w:rPr>
                <w:lang w:val="en-GB"/>
              </w:rPr>
              <w:t>(2)</w:t>
            </w:r>
          </w:p>
        </w:tc>
      </w:tr>
    </w:tbl>
    <w:p w14:paraId="12FC5392" w14:textId="5E70D536" w:rsidR="00B715C9" w:rsidRPr="00B715C9" w:rsidRDefault="00B715C9" w:rsidP="00B715C9">
      <w:pPr>
        <w:pStyle w:val="CETBodytext"/>
        <w:rPr>
          <w:lang w:val="en-GB"/>
        </w:rPr>
      </w:pPr>
      <w:r w:rsidRPr="00B715C9">
        <w:rPr>
          <w:lang w:val="en-GB"/>
        </w:rPr>
        <w:t>where R</w:t>
      </w:r>
      <w:r w:rsidRPr="00DD3119">
        <w:rPr>
          <w:vertAlign w:val="subscript"/>
          <w:lang w:val="en-GB"/>
        </w:rPr>
        <w:t>s</w:t>
      </w:r>
      <w:r w:rsidR="00DD3119">
        <w:rPr>
          <w:lang w:val="en-GB"/>
        </w:rPr>
        <w:t xml:space="preserve"> </w:t>
      </w:r>
      <w:r w:rsidRPr="00B715C9">
        <w:rPr>
          <w:lang w:val="en-GB"/>
        </w:rPr>
        <w:t xml:space="preserve">represents the resistance associated with molecular </w:t>
      </w:r>
      <w:r w:rsidR="002C6076">
        <w:rPr>
          <w:lang w:val="en-GB"/>
        </w:rPr>
        <w:t xml:space="preserve">diffusion </w:t>
      </w:r>
      <w:r w:rsidR="002C6076" w:rsidRPr="002C6076">
        <w:rPr>
          <w:lang w:val="en-GB"/>
        </w:rPr>
        <w:t>across the thin air layer immediately above the liquid surface</w:t>
      </w:r>
      <w:r w:rsidRPr="00B715C9">
        <w:rPr>
          <w:lang w:val="en-GB"/>
        </w:rPr>
        <w:t xml:space="preserve"> </w:t>
      </w:r>
      <w:r w:rsidR="002C6076">
        <w:rPr>
          <w:lang w:val="en-GB"/>
        </w:rPr>
        <w:t>(</w:t>
      </w:r>
      <w:proofErr w:type="gramStart"/>
      <w:r w:rsidR="002C6076">
        <w:rPr>
          <w:lang w:val="en-GB"/>
        </w:rPr>
        <w:t>i.e.</w:t>
      </w:r>
      <w:proofErr w:type="gramEnd"/>
      <w:r w:rsidR="002C6076">
        <w:rPr>
          <w:lang w:val="en-GB"/>
        </w:rPr>
        <w:t xml:space="preserve"> </w:t>
      </w:r>
      <w:r w:rsidRPr="00B715C9">
        <w:rPr>
          <w:lang w:val="en-GB"/>
        </w:rPr>
        <w:t>interfacial sublayer</w:t>
      </w:r>
      <w:r w:rsidR="002C6076">
        <w:rPr>
          <w:lang w:val="en-GB"/>
        </w:rPr>
        <w:t>)</w:t>
      </w:r>
      <w:r w:rsidRPr="00B715C9">
        <w:rPr>
          <w:lang w:val="en-GB"/>
        </w:rPr>
        <w:t>, and R</w:t>
      </w:r>
      <w:r w:rsidRPr="00DD3119">
        <w:rPr>
          <w:vertAlign w:val="subscript"/>
          <w:lang w:val="en-GB"/>
        </w:rPr>
        <w:t>m</w:t>
      </w:r>
      <w:r w:rsidR="00DD3119">
        <w:rPr>
          <w:lang w:val="en-GB"/>
        </w:rPr>
        <w:t xml:space="preserve"> </w:t>
      </w:r>
      <w:r w:rsidRPr="00B715C9">
        <w:rPr>
          <w:lang w:val="en-GB"/>
        </w:rPr>
        <w:t>accounts for turbulent transport between the interfacial sublayer and the sampling height.</w:t>
      </w:r>
    </w:p>
    <w:p w14:paraId="751EB285" w14:textId="7A9399F5" w:rsidR="00B715C9" w:rsidRDefault="00B715C9" w:rsidP="00B715C9">
      <w:pPr>
        <w:pStyle w:val="CETBodytext"/>
        <w:rPr>
          <w:lang w:val="en-GB"/>
        </w:rPr>
      </w:pPr>
      <w:r w:rsidRPr="00B715C9">
        <w:rPr>
          <w:lang w:val="en-GB"/>
        </w:rPr>
        <w:t xml:space="preserve">The interfacial contribution is described using the empirical formulation proposed by </w:t>
      </w:r>
      <w:proofErr w:type="spellStart"/>
      <w:r w:rsidRPr="00B715C9">
        <w:rPr>
          <w:lang w:val="en-GB"/>
        </w:rPr>
        <w:t>Brutsaert</w:t>
      </w:r>
      <w:proofErr w:type="spellEnd"/>
      <w:r w:rsidR="00175C6A">
        <w:rPr>
          <w:lang w:val="en-GB"/>
        </w:rPr>
        <w:t xml:space="preserve"> </w:t>
      </w:r>
      <w:sdt>
        <w:sdtPr>
          <w:rPr>
            <w:rFonts w:cs="Arial"/>
            <w:color w:val="000000"/>
            <w:lang w:val="en-GB"/>
          </w:rPr>
          <w:tag w:val="MENDELEY_CITATION_v3_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"/>
          <w:id w:val="-1501890576"/>
          <w:placeholder>
            <w:docPart w:val="DefaultPlaceholder_-1854013440"/>
          </w:placeholder>
        </w:sdtPr>
        <w:sdtEndPr/>
        <w:sdtContent>
          <w:r w:rsidR="003974E1" w:rsidRPr="003974E1">
            <w:rPr>
              <w:rFonts w:cs="Arial"/>
              <w:color w:val="000000"/>
              <w:lang w:val="en-GB"/>
            </w:rPr>
            <w:t>(</w:t>
          </w:r>
          <w:proofErr w:type="spellStart"/>
          <w:r w:rsidR="003974E1" w:rsidRPr="003974E1">
            <w:rPr>
              <w:rFonts w:cs="Arial"/>
              <w:color w:val="000000"/>
              <w:lang w:val="en-GB"/>
            </w:rPr>
            <w:t>Brutsaert</w:t>
          </w:r>
          <w:proofErr w:type="spellEnd"/>
          <w:r w:rsidR="003974E1" w:rsidRPr="003974E1">
            <w:rPr>
              <w:rFonts w:cs="Arial"/>
              <w:color w:val="000000"/>
              <w:lang w:val="en-GB"/>
            </w:rPr>
            <w:t xml:space="preserve">, 1975; </w:t>
          </w:r>
          <w:proofErr w:type="spellStart"/>
          <w:r w:rsidR="003974E1" w:rsidRPr="003974E1">
            <w:rPr>
              <w:rFonts w:cs="Arial"/>
              <w:color w:val="000000"/>
              <w:lang w:val="en-GB"/>
            </w:rPr>
            <w:t>Prata</w:t>
          </w:r>
          <w:proofErr w:type="spellEnd"/>
          <w:r w:rsidR="003974E1" w:rsidRPr="003974E1">
            <w:rPr>
              <w:rFonts w:cs="Arial"/>
              <w:color w:val="000000"/>
              <w:lang w:val="en-GB"/>
            </w:rPr>
            <w:t xml:space="preserve"> et al., 2018)</w:t>
          </w:r>
        </w:sdtContent>
      </w:sdt>
      <w:r w:rsidRPr="00B715C9">
        <w:rPr>
          <w:lang w:val="en-GB"/>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DD3119" w14:paraId="0DF5ECAD" w14:textId="77777777" w:rsidTr="00BA10CB">
        <w:tc>
          <w:tcPr>
            <w:tcW w:w="4388" w:type="dxa"/>
            <w:vAlign w:val="center"/>
          </w:tcPr>
          <w:p w14:paraId="24B07A31" w14:textId="5162D538" w:rsidR="00DD3119" w:rsidRPr="00390B71" w:rsidRDefault="00D43A17" w:rsidP="00911B69">
            <w:pPr>
              <w:spacing w:before="120" w:after="120"/>
              <w:rPr>
                <w:i/>
              </w:rPr>
            </w:pPr>
            <m:oMathPara>
              <m:oMathParaPr>
                <m:jc m:val="left"/>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s</m:t>
                        </m:r>
                      </m:sub>
                    </m:sSub>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G,s</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m:t>
                    </m:r>
                  </m:sub>
                </m:sSub>
                <m:r>
                  <w:rPr>
                    <w:rFonts w:ascii="Cambria Math" w:hAnsi="Cambria Math"/>
                  </w:rPr>
                  <m:t>∙</m:t>
                </m:r>
                <m:sSubSup>
                  <m:sSubSupPr>
                    <m:ctrlPr>
                      <w:rPr>
                        <w:rFonts w:ascii="Cambria Math" w:hAnsi="Cambria Math"/>
                        <w:i/>
                      </w:rPr>
                    </m:ctrlPr>
                  </m:sSubSupPr>
                  <m:e>
                    <m:r>
                      <w:rPr>
                        <w:rFonts w:ascii="Cambria Math" w:hAnsi="Cambria Math"/>
                      </w:rPr>
                      <m:t>Sc</m:t>
                    </m:r>
                  </m:e>
                  <m:sub>
                    <m:r>
                      <w:rPr>
                        <w:rFonts w:ascii="Cambria Math" w:hAnsi="Cambria Math"/>
                      </w:rPr>
                      <m:t>G</m:t>
                    </m:r>
                  </m:sub>
                  <m: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sup>
                </m:sSubSup>
              </m:oMath>
            </m:oMathPara>
          </w:p>
        </w:tc>
        <w:tc>
          <w:tcPr>
            <w:tcW w:w="4389" w:type="dxa"/>
            <w:vAlign w:val="center"/>
          </w:tcPr>
          <w:p w14:paraId="214C7A20" w14:textId="23CCD650" w:rsidR="00DD3119" w:rsidRDefault="003737DE" w:rsidP="003737DE">
            <w:pPr>
              <w:pStyle w:val="CETBodytext"/>
              <w:jc w:val="right"/>
              <w:rPr>
                <w:lang w:val="en-GB"/>
              </w:rPr>
            </w:pPr>
            <w:r>
              <w:rPr>
                <w:lang w:val="en-GB"/>
              </w:rPr>
              <w:t>(3)</w:t>
            </w:r>
          </w:p>
        </w:tc>
      </w:tr>
    </w:tbl>
    <w:p w14:paraId="4EA715B9" w14:textId="2F4F2D09" w:rsidR="00B715C9" w:rsidRPr="00B715C9" w:rsidRDefault="00B715C9" w:rsidP="00B715C9">
      <w:pPr>
        <w:pStyle w:val="CETBodytext"/>
        <w:rPr>
          <w:lang w:val="en-GB"/>
        </w:rPr>
      </w:pPr>
      <w:r w:rsidRPr="00B715C9">
        <w:rPr>
          <w:lang w:val="en-GB"/>
        </w:rPr>
        <w:t>where c</w:t>
      </w:r>
      <w:r w:rsidRPr="00DD3119">
        <w:rPr>
          <w:vertAlign w:val="subscript"/>
          <w:lang w:val="en-GB"/>
        </w:rPr>
        <w:t>s</w:t>
      </w:r>
      <w:r w:rsidR="00DD3119">
        <w:rPr>
          <w:lang w:val="en-GB"/>
        </w:rPr>
        <w:t xml:space="preserve"> </w:t>
      </w:r>
      <w:r w:rsidR="00BC7CCB">
        <w:rPr>
          <w:lang w:val="en-GB"/>
        </w:rPr>
        <w:t xml:space="preserve">[-] </w:t>
      </w:r>
      <w:r w:rsidRPr="00B715C9">
        <w:rPr>
          <w:lang w:val="en-GB"/>
        </w:rPr>
        <w:t>is an empirical constant</w:t>
      </w:r>
      <w:r w:rsidR="00CF4278">
        <w:rPr>
          <w:lang w:val="en-GB"/>
        </w:rPr>
        <w:t xml:space="preserve"> equal to 0.0735</w:t>
      </w:r>
      <w:r w:rsidRPr="00B715C9">
        <w:rPr>
          <w:lang w:val="en-GB"/>
        </w:rPr>
        <w:t>, u</w:t>
      </w:r>
      <w:r w:rsidRPr="00DD3119">
        <w:rPr>
          <w:rFonts w:ascii="Cambria Math" w:hAnsi="Cambria Math" w:cs="Cambria Math"/>
          <w:vertAlign w:val="superscript"/>
          <w:lang w:val="en-GB"/>
        </w:rPr>
        <w:t>∗</w:t>
      </w:r>
      <w:r w:rsidR="00DD3119">
        <w:rPr>
          <w:lang w:val="en-GB"/>
        </w:rPr>
        <w:t xml:space="preserve"> </w:t>
      </w:r>
      <w:r w:rsidR="00BC7CCB">
        <w:rPr>
          <w:lang w:val="en-GB"/>
        </w:rPr>
        <w:t xml:space="preserve">[m/s] </w:t>
      </w:r>
      <w:r w:rsidRPr="00B715C9">
        <w:rPr>
          <w:lang w:val="en-GB"/>
        </w:rPr>
        <w:t xml:space="preserve">is the friction velocity, and </w:t>
      </w:r>
      <w:proofErr w:type="spellStart"/>
      <w:r w:rsidRPr="00B715C9">
        <w:rPr>
          <w:lang w:val="en-GB"/>
        </w:rPr>
        <w:t>S</w:t>
      </w:r>
      <w:r w:rsidR="00DD3119">
        <w:rPr>
          <w:lang w:val="en-GB"/>
        </w:rPr>
        <w:t>c</w:t>
      </w:r>
      <w:r w:rsidRPr="00DD3119">
        <w:rPr>
          <w:vertAlign w:val="subscript"/>
          <w:lang w:val="en-GB"/>
        </w:rPr>
        <w:t>G</w:t>
      </w:r>
      <w:proofErr w:type="spellEnd"/>
      <w:r w:rsidRPr="00B715C9">
        <w:rPr>
          <w:lang w:val="en-GB"/>
        </w:rPr>
        <w:t xml:space="preserve"> </w:t>
      </w:r>
      <w:r w:rsidR="00BC7CCB">
        <w:rPr>
          <w:lang w:val="en-GB"/>
        </w:rPr>
        <w:t xml:space="preserve">[-] </w:t>
      </w:r>
      <w:r w:rsidRPr="00B715C9">
        <w:rPr>
          <w:lang w:val="en-GB"/>
        </w:rPr>
        <w:t>is the Schmidt number</w:t>
      </w:r>
      <w:r w:rsidR="00DD3119">
        <w:rPr>
          <w:lang w:val="en-GB"/>
        </w:rPr>
        <w:t>.</w:t>
      </w:r>
    </w:p>
    <w:p w14:paraId="7AF93A09" w14:textId="77777777" w:rsidR="00B715C9" w:rsidRPr="00B715C9" w:rsidRDefault="00B715C9" w:rsidP="00B715C9">
      <w:pPr>
        <w:pStyle w:val="CETBodytext"/>
        <w:rPr>
          <w:lang w:val="en-GB"/>
        </w:rPr>
      </w:pPr>
      <w:r w:rsidRPr="00B715C9">
        <w:rPr>
          <w:lang w:val="en-GB"/>
        </w:rPr>
        <w:t>The turbulent contribution is evaluated using a logarithmic profile formulation:</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DD3119" w14:paraId="24F7BFC5" w14:textId="77777777" w:rsidTr="00BA10CB">
        <w:tc>
          <w:tcPr>
            <w:tcW w:w="4388" w:type="dxa"/>
            <w:vAlign w:val="center"/>
          </w:tcPr>
          <w:p w14:paraId="5CC27669" w14:textId="1E0FF7E0" w:rsidR="00DD3119" w:rsidRPr="00390B71" w:rsidRDefault="00D43A17" w:rsidP="00911B69">
            <w:pPr>
              <w:spacing w:before="120" w:after="120"/>
              <w:rPr>
                <w:i/>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G,m</m:t>
                        </m:r>
                      </m:sub>
                    </m:sSub>
                  </m:den>
                </m:f>
                <m:r>
                  <w:rPr>
                    <w:rFonts w:ascii="Cambria Math" w:hAnsi="Cambria Math"/>
                  </w:rPr>
                  <m:t>=S</m:t>
                </m:r>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k∙</m:t>
                    </m:r>
                    <m:sSub>
                      <m:sSubPr>
                        <m:ctrlPr>
                          <w:rPr>
                            <w:rFonts w:ascii="Cambria Math" w:hAnsi="Cambria Math"/>
                            <w:i/>
                          </w:rPr>
                        </m:ctrlPr>
                      </m:sSubPr>
                      <m:e>
                        <m:r>
                          <w:rPr>
                            <w:rFonts w:ascii="Cambria Math" w:hAnsi="Cambria Math"/>
                          </w:rPr>
                          <m:t>u</m:t>
                        </m:r>
                      </m:e>
                      <m:sub>
                        <m:r>
                          <w:rPr>
                            <w:rFonts w:ascii="Cambria Math" w:hAnsi="Cambria Math"/>
                          </w:rPr>
                          <m:t>*</m:t>
                        </m:r>
                      </m:sub>
                    </m:sSub>
                  </m:den>
                </m:f>
                <m:r>
                  <w:rPr>
                    <w:rFonts w:ascii="Cambria Math" w:hAnsi="Cambria Math"/>
                  </w:rPr>
                  <m:t>∙</m:t>
                </m:r>
                <m:func>
                  <m:funcPr>
                    <m:ctrlPr>
                      <w:rPr>
                        <w:rFonts w:ascii="Cambria Math" w:hAnsi="Cambria Math"/>
                        <w:i/>
                      </w:rPr>
                    </m:ctrlPr>
                  </m:funcPr>
                  <m:fName>
                    <m: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m</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den>
                        </m:f>
                      </m:e>
                    </m:d>
                  </m:e>
                </m:func>
              </m:oMath>
            </m:oMathPara>
          </w:p>
        </w:tc>
        <w:tc>
          <w:tcPr>
            <w:tcW w:w="4389" w:type="dxa"/>
            <w:vAlign w:val="center"/>
          </w:tcPr>
          <w:p w14:paraId="2B458478" w14:textId="2DC4AFD5" w:rsidR="00DD3119" w:rsidRDefault="003737DE" w:rsidP="003737DE">
            <w:pPr>
              <w:pStyle w:val="CETBodytext"/>
              <w:jc w:val="right"/>
              <w:rPr>
                <w:lang w:val="en-GB"/>
              </w:rPr>
            </w:pPr>
            <w:r>
              <w:rPr>
                <w:lang w:val="en-GB"/>
              </w:rPr>
              <w:t>(4)</w:t>
            </w:r>
          </w:p>
        </w:tc>
      </w:tr>
    </w:tbl>
    <w:p w14:paraId="0419D1A5" w14:textId="1C7ACBEF" w:rsidR="00B715C9" w:rsidRPr="00B715C9" w:rsidRDefault="00B715C9" w:rsidP="00B715C9">
      <w:pPr>
        <w:pStyle w:val="CETBodytext"/>
        <w:rPr>
          <w:lang w:val="en-GB"/>
        </w:rPr>
      </w:pPr>
      <w:r w:rsidRPr="00B715C9">
        <w:rPr>
          <w:lang w:val="en-GB"/>
        </w:rPr>
        <w:t xml:space="preserve">where k </w:t>
      </w:r>
      <w:r w:rsidR="00BC7CCB">
        <w:rPr>
          <w:lang w:val="en-GB"/>
        </w:rPr>
        <w:t xml:space="preserve">[-] </w:t>
      </w:r>
      <w:r w:rsidRPr="00B715C9">
        <w:rPr>
          <w:lang w:val="en-GB"/>
        </w:rPr>
        <w:t xml:space="preserve">is the von Kármán constant, </w:t>
      </w:r>
      <w:proofErr w:type="spellStart"/>
      <w:r w:rsidRPr="00B715C9">
        <w:rPr>
          <w:lang w:val="en-GB"/>
        </w:rPr>
        <w:t>z</w:t>
      </w:r>
      <w:r w:rsidRPr="00DD3119">
        <w:rPr>
          <w:vertAlign w:val="subscript"/>
          <w:lang w:val="en-GB"/>
        </w:rPr>
        <w:t>m</w:t>
      </w:r>
      <w:proofErr w:type="spellEnd"/>
      <w:r w:rsidR="00DD3119">
        <w:rPr>
          <w:lang w:val="en-GB"/>
        </w:rPr>
        <w:t xml:space="preserve"> </w:t>
      </w:r>
      <w:r w:rsidR="00BC7CCB">
        <w:rPr>
          <w:lang w:val="en-GB"/>
        </w:rPr>
        <w:t xml:space="preserve">[m] </w:t>
      </w:r>
      <w:r w:rsidRPr="00B715C9">
        <w:rPr>
          <w:lang w:val="en-GB"/>
        </w:rPr>
        <w:t>is th</w:t>
      </w:r>
      <w:r w:rsidRPr="00175C6A">
        <w:rPr>
          <w:lang w:val="en-GB"/>
        </w:rPr>
        <w:t xml:space="preserve">e sampling height, </w:t>
      </w:r>
      <w:proofErr w:type="spellStart"/>
      <w:r w:rsidRPr="00175C6A">
        <w:rPr>
          <w:lang w:val="en-GB"/>
        </w:rPr>
        <w:t>z</w:t>
      </w:r>
      <w:r w:rsidRPr="00175C6A">
        <w:rPr>
          <w:vertAlign w:val="subscript"/>
          <w:lang w:val="en-GB"/>
        </w:rPr>
        <w:t>s</w:t>
      </w:r>
      <w:proofErr w:type="spellEnd"/>
      <w:r w:rsidRPr="00175C6A">
        <w:rPr>
          <w:lang w:val="en-GB"/>
        </w:rPr>
        <w:t xml:space="preserve"> </w:t>
      </w:r>
      <w:r w:rsidR="00BC7CCB">
        <w:rPr>
          <w:lang w:val="en-GB"/>
        </w:rPr>
        <w:t xml:space="preserve">[m] </w:t>
      </w:r>
      <w:r w:rsidRPr="00175C6A">
        <w:rPr>
          <w:lang w:val="en-GB"/>
        </w:rPr>
        <w:t>is the thickness of the interfacial sublayer</w:t>
      </w:r>
      <w:r w:rsidR="00B901D9" w:rsidRPr="00175C6A">
        <w:rPr>
          <w:lang w:val="en-GB"/>
        </w:rPr>
        <w:t>,</w:t>
      </w:r>
      <w:r w:rsidR="00B901D9">
        <w:rPr>
          <w:lang w:val="en-GB"/>
        </w:rPr>
        <w:t xml:space="preserve"> </w:t>
      </w:r>
      <w:r w:rsidR="00B901D9" w:rsidRPr="00B901D9">
        <w:rPr>
          <w:lang w:val="en-GB"/>
        </w:rPr>
        <w:t>computed according to the correlation proposed by</w:t>
      </w:r>
      <w:r w:rsidR="00B901D9">
        <w:rPr>
          <w:lang w:val="en-GB"/>
        </w:rPr>
        <w:t xml:space="preserve"> </w:t>
      </w:r>
      <w:sdt>
        <w:sdtPr>
          <w:rPr>
            <w:rFonts w:cs="Arial"/>
            <w:color w:val="000000"/>
            <w:lang w:val="en-GB"/>
          </w:rPr>
          <w:tag w:val="MENDELEY_CITATION_v3_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"/>
          <w:id w:val="1493376592"/>
          <w:placeholder>
            <w:docPart w:val="DefaultPlaceholder_-1854013440"/>
          </w:placeholder>
        </w:sdtPr>
        <w:sdtEndPr/>
        <w:sdtContent>
          <w:proofErr w:type="spellStart"/>
          <w:r w:rsidR="003974E1" w:rsidRPr="003974E1">
            <w:rPr>
              <w:rFonts w:cs="Arial"/>
              <w:color w:val="000000"/>
              <w:lang w:val="en-GB"/>
            </w:rPr>
            <w:t>Prata</w:t>
          </w:r>
          <w:proofErr w:type="spellEnd"/>
          <w:r w:rsidR="003974E1" w:rsidRPr="003974E1">
            <w:rPr>
              <w:rFonts w:cs="Arial"/>
              <w:color w:val="000000"/>
              <w:lang w:val="en-GB"/>
            </w:rPr>
            <w:t xml:space="preserve"> et al. (2018)</w:t>
          </w:r>
        </w:sdtContent>
      </w:sdt>
      <w:r w:rsidRPr="00B715C9">
        <w:rPr>
          <w:lang w:val="en-GB"/>
        </w:rPr>
        <w:t xml:space="preserve">, and </w:t>
      </w:r>
      <w:proofErr w:type="spellStart"/>
      <w:r w:rsidRPr="00B715C9">
        <w:rPr>
          <w:lang w:val="en-GB"/>
        </w:rPr>
        <w:t>Sc</w:t>
      </w:r>
      <w:r w:rsidRPr="00DD3119">
        <w:rPr>
          <w:vertAlign w:val="subscript"/>
          <w:lang w:val="en-GB"/>
        </w:rPr>
        <w:t>t</w:t>
      </w:r>
      <w:proofErr w:type="spellEnd"/>
      <w:r w:rsidR="00DD3119">
        <w:rPr>
          <w:lang w:val="en-GB"/>
        </w:rPr>
        <w:t xml:space="preserve"> </w:t>
      </w:r>
      <w:r w:rsidRPr="00B715C9">
        <w:rPr>
          <w:lang w:val="en-GB"/>
        </w:rPr>
        <w:t>is the turbulent Schmidt number.</w:t>
      </w:r>
    </w:p>
    <w:p w14:paraId="6470E3F9" w14:textId="5C582FAD" w:rsidR="00B715C9" w:rsidRPr="00B715C9" w:rsidRDefault="00B715C9" w:rsidP="003737DE">
      <w:pPr>
        <w:pStyle w:val="CETBodytext"/>
        <w:rPr>
          <w:lang w:val="en-GB"/>
        </w:rPr>
      </w:pPr>
      <w:r w:rsidRPr="00B715C9">
        <w:rPr>
          <w:lang w:val="en-GB"/>
        </w:rPr>
        <w:t>Within this framework, the friction velocity u</w:t>
      </w:r>
      <w:r w:rsidRPr="00DD3119">
        <w:rPr>
          <w:rFonts w:ascii="Cambria Math" w:hAnsi="Cambria Math" w:cs="Cambria Math"/>
          <w:vertAlign w:val="superscript"/>
          <w:lang w:val="en-GB"/>
        </w:rPr>
        <w:t>∗</w:t>
      </w:r>
      <w:r w:rsidR="00DD3119">
        <w:rPr>
          <w:lang w:val="en-GB"/>
        </w:rPr>
        <w:t xml:space="preserve"> </w:t>
      </w:r>
      <w:r w:rsidR="006F5AEE">
        <w:rPr>
          <w:lang w:val="en-GB"/>
        </w:rPr>
        <w:t>can be considered as</w:t>
      </w:r>
      <w:r w:rsidRPr="00B715C9">
        <w:rPr>
          <w:lang w:val="en-GB"/>
        </w:rPr>
        <w:t xml:space="preserve"> </w:t>
      </w:r>
      <w:r w:rsidR="002C6076">
        <w:rPr>
          <w:lang w:val="en-GB"/>
        </w:rPr>
        <w:t xml:space="preserve">a </w:t>
      </w:r>
      <w:r w:rsidRPr="00B715C9">
        <w:rPr>
          <w:lang w:val="en-GB"/>
        </w:rPr>
        <w:t>time-dependent micrometeorological variable, allowing both resistances and, consequently, the overall mass transfer coefficient to be evaluated on an hourly basis</w:t>
      </w:r>
      <w:r w:rsidR="006F5AEE">
        <w:rPr>
          <w:lang w:val="en-GB"/>
        </w:rPr>
        <w:t>.</w:t>
      </w:r>
    </w:p>
    <w:p w14:paraId="59E6A9C3" w14:textId="6AA477A9" w:rsidR="00B715C9" w:rsidRDefault="00B715C9" w:rsidP="00B715C9">
      <w:pPr>
        <w:pStyle w:val="CETBodytext"/>
        <w:rPr>
          <w:lang w:val="en-GB"/>
        </w:rPr>
      </w:pPr>
      <w:r w:rsidRPr="00B715C9">
        <w:rPr>
          <w:lang w:val="en-GB"/>
        </w:rPr>
        <w:t>The resulting coefficient is then used to estimate a dynamic emission rate: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3737DE" w14:paraId="6DAF1D86" w14:textId="77777777" w:rsidTr="00BA10CB">
        <w:tc>
          <w:tcPr>
            <w:tcW w:w="4388" w:type="dxa"/>
            <w:vAlign w:val="center"/>
          </w:tcPr>
          <w:p w14:paraId="4B2CBF87" w14:textId="54C68BEE" w:rsidR="003737DE" w:rsidRPr="00390B71" w:rsidRDefault="00390B71" w:rsidP="00911B69">
            <w:pPr>
              <w:spacing w:before="120" w:after="120"/>
              <w:rPr>
                <w:i/>
                <w:iCs/>
              </w:rPr>
            </w:pPr>
            <m:oMathPara>
              <m:oMathParaPr>
                <m:jc m:val="left"/>
              </m:oMathParaPr>
              <m:oMath>
                <m:r>
                  <w:rPr>
                    <w:rFonts w:ascii="Cambria Math" w:hAnsi="Cambria Math"/>
                  </w:rPr>
                  <m:t>OER=</m:t>
                </m:r>
                <m:sSub>
                  <m:sSubPr>
                    <m:ctrlPr>
                      <w:rPr>
                        <w:rFonts w:ascii="Cambria Math" w:hAnsi="Cambria Math"/>
                        <w:i/>
                        <w:iCs/>
                      </w:rPr>
                    </m:ctrlPr>
                  </m:sSubPr>
                  <m:e>
                    <m:r>
                      <w:rPr>
                        <w:rFonts w:ascii="Cambria Math" w:hAnsi="Cambria Math"/>
                      </w:rPr>
                      <m:t>C</m:t>
                    </m:r>
                  </m:e>
                  <m:sub>
                    <m:r>
                      <w:rPr>
                        <w:rFonts w:ascii="Cambria Math" w:hAnsi="Cambria Math"/>
                      </w:rPr>
                      <m:t>od</m:t>
                    </m:r>
                  </m:sub>
                </m:sSub>
                <m:r>
                  <w:rPr>
                    <w:rFonts w:ascii="Cambria Math" w:hAnsi="Cambria Math"/>
                  </w:rPr>
                  <m:t>∙A∙</m:t>
                </m:r>
                <m:sSub>
                  <m:sSubPr>
                    <m:ctrlPr>
                      <w:rPr>
                        <w:rFonts w:ascii="Cambria Math" w:hAnsi="Cambria Math"/>
                        <w:i/>
                        <w:iCs/>
                      </w:rPr>
                    </m:ctrlPr>
                  </m:sSubPr>
                  <m:e>
                    <m:r>
                      <w:rPr>
                        <w:rFonts w:ascii="Cambria Math" w:hAnsi="Cambria Math"/>
                      </w:rPr>
                      <m:t>k</m:t>
                    </m:r>
                  </m:e>
                  <m:sub>
                    <m:r>
                      <w:rPr>
                        <w:rFonts w:ascii="Cambria Math" w:hAnsi="Cambria Math"/>
                      </w:rPr>
                      <m:t>G</m:t>
                    </m:r>
                  </m:sub>
                </m:sSub>
              </m:oMath>
            </m:oMathPara>
          </w:p>
        </w:tc>
        <w:tc>
          <w:tcPr>
            <w:tcW w:w="4389" w:type="dxa"/>
            <w:vAlign w:val="center"/>
          </w:tcPr>
          <w:p w14:paraId="0EBC6D05" w14:textId="702704D6" w:rsidR="003737DE" w:rsidRDefault="003737DE" w:rsidP="003737DE">
            <w:pPr>
              <w:pStyle w:val="CETBodytext"/>
              <w:jc w:val="right"/>
              <w:rPr>
                <w:lang w:val="en-GB"/>
              </w:rPr>
            </w:pPr>
            <w:r>
              <w:rPr>
                <w:lang w:val="en-GB"/>
              </w:rPr>
              <w:t>(5)</w:t>
            </w:r>
          </w:p>
        </w:tc>
      </w:tr>
    </w:tbl>
    <w:p w14:paraId="47CB354B" w14:textId="5CB6563E" w:rsidR="00BC7CCB" w:rsidRDefault="00BC7CCB" w:rsidP="00B715C9">
      <w:pPr>
        <w:pStyle w:val="CETBodytext"/>
        <w:rPr>
          <w:lang w:val="en-GB"/>
        </w:rPr>
      </w:pPr>
      <w:r w:rsidRPr="00BC7CCB">
        <w:rPr>
          <w:lang w:val="en-GB"/>
        </w:rPr>
        <w:t>where A [m²] represents the effective emission area of the source</w:t>
      </w:r>
      <w:r>
        <w:rPr>
          <w:lang w:val="en-GB"/>
        </w:rPr>
        <w:t>.</w:t>
      </w:r>
    </w:p>
    <w:p w14:paraId="3F9BE4F8" w14:textId="6BA3CE8E" w:rsidR="001C0B3A" w:rsidRPr="00562B6B" w:rsidRDefault="00562B6B" w:rsidP="00562B6B">
      <w:pPr>
        <w:pStyle w:val="CETHeading1"/>
      </w:pPr>
      <w:r>
        <w:t>Application and comparative evaluation of emission estimation methods</w:t>
      </w:r>
    </w:p>
    <w:p w14:paraId="799DCE02" w14:textId="3CFC831C" w:rsidR="00BD1AD4" w:rsidRPr="00BD1AD4" w:rsidRDefault="00BD1AD4" w:rsidP="00BD1AD4">
      <w:pPr>
        <w:pStyle w:val="CETHeading1"/>
        <w:numPr>
          <w:ilvl w:val="0"/>
          <w:numId w:val="0"/>
        </w:numPr>
      </w:pPr>
      <w:r w:rsidRPr="00BD1AD4">
        <w:t xml:space="preserve">3.1 </w:t>
      </w:r>
      <w:r w:rsidR="007B1EE5">
        <w:t xml:space="preserve">Method </w:t>
      </w:r>
      <w:r w:rsidR="00BA3947">
        <w:t>2</w:t>
      </w:r>
      <w:r w:rsidR="007B1EE5">
        <w:t>: h</w:t>
      </w:r>
      <w:r w:rsidRPr="00BD1AD4">
        <w:t xml:space="preserve">eadspace-based concentration coupled with </w:t>
      </w:r>
      <w:r w:rsidR="00875FB0">
        <w:t>mass-transfer</w:t>
      </w:r>
      <w:r w:rsidRPr="00BD1AD4">
        <w:t xml:space="preserve"> correlation</w:t>
      </w:r>
    </w:p>
    <w:p w14:paraId="73621B08" w14:textId="355795AF" w:rsidR="00BD1AD4" w:rsidRPr="00BD1AD4" w:rsidRDefault="00BD1AD4" w:rsidP="00BD1AD4">
      <w:pPr>
        <w:pStyle w:val="CETBodytext"/>
        <w:rPr>
          <w:lang w:val="en-GB"/>
        </w:rPr>
      </w:pPr>
      <w:r w:rsidRPr="00BD1AD4">
        <w:rPr>
          <w:lang w:val="en-GB"/>
        </w:rPr>
        <w:t>The first comparison approach combines experimental determination of</w:t>
      </w:r>
      <w:r w:rsidR="002E034B">
        <w:rPr>
          <w:lang w:val="en-GB"/>
        </w:rPr>
        <w:t xml:space="preserve"> C</w:t>
      </w:r>
      <w:r w:rsidR="002E034B" w:rsidRPr="002E034B">
        <w:rPr>
          <w:vertAlign w:val="subscript"/>
          <w:lang w:val="en-GB"/>
        </w:rPr>
        <w:t>od</w:t>
      </w:r>
      <w:r w:rsidRPr="00BD1AD4">
        <w:rPr>
          <w:lang w:val="en-GB"/>
        </w:rPr>
        <w:t xml:space="preserve"> with a literature-based formulation for mass transfer.</w:t>
      </w:r>
      <w:r>
        <w:rPr>
          <w:lang w:val="en-GB"/>
        </w:rPr>
        <w:t xml:space="preserve"> </w:t>
      </w:r>
      <w:r w:rsidRPr="00BD1AD4">
        <w:rPr>
          <w:lang w:val="en-GB"/>
        </w:rPr>
        <w:t xml:space="preserve">A liquid sample collected from the basin was used to generate a gas-phase headspace under controlled conditions. In this procedure, </w:t>
      </w:r>
      <w:r w:rsidR="002E034B" w:rsidRPr="002E034B">
        <w:rPr>
          <w:lang w:val="en-GB"/>
        </w:rPr>
        <w:t>a known volume of liquid is enclosed in a sealed container with a defined headspace,</w:t>
      </w:r>
      <w:r w:rsidRPr="00BD1AD4">
        <w:rPr>
          <w:lang w:val="en-GB"/>
        </w:rPr>
        <w:t xml:space="preserve"> allowing volatile compounds to partition between the liquid and gas phases until equilibrium is reached under controlled temperature conditions.</w:t>
      </w:r>
      <w:r>
        <w:rPr>
          <w:lang w:val="en-GB"/>
        </w:rPr>
        <w:t xml:space="preserve"> </w:t>
      </w:r>
      <w:r w:rsidRPr="00BD1AD4">
        <w:rPr>
          <w:lang w:val="en-GB"/>
        </w:rPr>
        <w:t>After a conditioning period, the gas phase, enriched with volatile odorants transferred from the liquid, is sampled and analysed by dynamic olfactometry</w:t>
      </w:r>
      <w:r>
        <w:rPr>
          <w:lang w:val="en-GB"/>
        </w:rPr>
        <w:t xml:space="preserve"> to </w:t>
      </w:r>
      <w:r w:rsidRPr="00BD1AD4">
        <w:rPr>
          <w:lang w:val="en-GB"/>
        </w:rPr>
        <w:t>provide an estimate of the C</w:t>
      </w:r>
      <w:r w:rsidRPr="00BD1AD4">
        <w:rPr>
          <w:vertAlign w:val="subscript"/>
          <w:lang w:val="en-GB"/>
        </w:rPr>
        <w:t>od</w:t>
      </w:r>
      <w:r w:rsidRPr="00BD1AD4">
        <w:rPr>
          <w:lang w:val="en-GB"/>
        </w:rPr>
        <w:t>.</w:t>
      </w:r>
    </w:p>
    <w:p w14:paraId="7A3CB117" w14:textId="5E2C78A8" w:rsidR="007F5481" w:rsidRPr="007F5481" w:rsidRDefault="007F5481" w:rsidP="007F5481">
      <w:pPr>
        <w:pStyle w:val="CETBodytext"/>
        <w:rPr>
          <w:lang w:val="en-GB"/>
        </w:rPr>
      </w:pPr>
      <w:r w:rsidRPr="007F5481">
        <w:rPr>
          <w:lang w:val="en-GB"/>
        </w:rPr>
        <w:t xml:space="preserve">The </w:t>
      </w:r>
      <w:r>
        <w:rPr>
          <w:lang w:val="en-GB"/>
        </w:rPr>
        <w:t xml:space="preserve">OER </w:t>
      </w:r>
      <w:r w:rsidRPr="007F5481">
        <w:rPr>
          <w:lang w:val="en-GB"/>
        </w:rPr>
        <w:t>is then estimated consistently w</w:t>
      </w:r>
      <w:r w:rsidRPr="00283033">
        <w:rPr>
          <w:lang w:val="en-GB"/>
        </w:rPr>
        <w:t>ith Eq. (5),</w:t>
      </w:r>
      <w:r w:rsidRPr="007F5481">
        <w:rPr>
          <w:lang w:val="en-GB"/>
        </w:rPr>
        <w:t xml:space="preserve"> where the gas-side mass transfer coefficient is derived from an analytical formulation based on mass transfer theory, as proposed by </w:t>
      </w:r>
      <w:sdt>
        <w:sdtPr>
          <w:rPr>
            <w:rFonts w:cs="Arial"/>
            <w:color w:val="000000"/>
            <w:lang w:val="en-GB"/>
          </w:rPr>
          <w:tag w:val="MENDELEY_CITATION_v3_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"/>
          <w:id w:val="-1545586035"/>
          <w:placeholder>
            <w:docPart w:val="DefaultPlaceholder_-1854013440"/>
          </w:placeholder>
        </w:sdtPr>
        <w:sdtEndPr/>
        <w:sdtContent>
          <w:r w:rsidR="003974E1" w:rsidRPr="003974E1">
            <w:rPr>
              <w:rFonts w:cs="Arial"/>
              <w:color w:val="000000"/>
              <w:lang w:val="en-GB"/>
            </w:rPr>
            <w:t>Macias et al. (2025)</w:t>
          </w:r>
        </w:sdtContent>
      </w:sdt>
      <w:r w:rsidR="00283033">
        <w:rPr>
          <w:rFonts w:cs="Arial"/>
          <w:color w:val="000000"/>
          <w:lang w:val="en-GB"/>
        </w:rPr>
        <w:t>.</w:t>
      </w:r>
      <w:r w:rsidRPr="007F5481">
        <w:rPr>
          <w:lang w:val="en-GB"/>
        </w:rPr>
        <w:t xml:space="preserve"> In this framework, </w:t>
      </w:r>
      <w:proofErr w:type="spellStart"/>
      <w:r w:rsidRPr="007F5481">
        <w:rPr>
          <w:lang w:val="en-GB"/>
        </w:rPr>
        <w:t>k</w:t>
      </w:r>
      <w:r w:rsidRPr="007F5481">
        <w:rPr>
          <w:vertAlign w:val="subscript"/>
          <w:lang w:val="en-GB"/>
        </w:rPr>
        <w:t>G</w:t>
      </w:r>
      <w:proofErr w:type="spellEnd"/>
      <w:r>
        <w:rPr>
          <w:lang w:val="en-GB"/>
        </w:rPr>
        <w:t xml:space="preserve"> i</w:t>
      </w:r>
      <w:r w:rsidRPr="007F5481">
        <w:rPr>
          <w:lang w:val="en-GB"/>
        </w:rPr>
        <w:t xml:space="preserve">s obtained through a Sherwood number correlation derived </w:t>
      </w:r>
      <w:r>
        <w:rPr>
          <w:lang w:val="en-GB"/>
        </w:rPr>
        <w:t xml:space="preserve">from </w:t>
      </w:r>
      <w:r w:rsidRPr="007F5481">
        <w:rPr>
          <w:lang w:val="en-GB"/>
        </w:rPr>
        <w:t>an extensive database of CFD simulations of cavity-type geometries representative of wastewater basins</w:t>
      </w:r>
      <w:r>
        <w:rPr>
          <w:lang w:val="en-GB"/>
        </w:rPr>
        <w:t>.</w:t>
      </w:r>
    </w:p>
    <w:p w14:paraId="15B3F333" w14:textId="6662F3F3" w:rsidR="00BD1AD4" w:rsidRPr="00BD1AD4" w:rsidRDefault="007F5481" w:rsidP="007F5481">
      <w:pPr>
        <w:pStyle w:val="CETBodytext"/>
        <w:rPr>
          <w:lang w:val="en-GB"/>
        </w:rPr>
      </w:pPr>
      <w:r w:rsidRPr="007F5481">
        <w:rPr>
          <w:lang w:val="en-GB"/>
        </w:rPr>
        <w:t>The Sherwood number is defined as:</w:t>
      </w:r>
      <w:r w:rsidR="00BD1AD4" w:rsidRPr="00BD1AD4">
        <w:rPr>
          <w:lang w:val="en-GB"/>
        </w:rPr>
        <w:tab/>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7F5481" w14:paraId="1534201A" w14:textId="77777777" w:rsidTr="00350DFB">
        <w:tc>
          <w:tcPr>
            <w:tcW w:w="4388" w:type="dxa"/>
            <w:vAlign w:val="center"/>
          </w:tcPr>
          <w:p w14:paraId="5A3CCEEC" w14:textId="5E76B491" w:rsidR="007F5481" w:rsidRPr="00390B71" w:rsidRDefault="00390B71" w:rsidP="00350DFB">
            <w:pPr>
              <w:spacing w:before="120" w:after="120"/>
              <w:rPr>
                <w:i/>
                <w:iCs/>
              </w:rPr>
            </w:pPr>
            <m:oMathPara>
              <m:oMathParaPr>
                <m:jc m:val="left"/>
              </m:oMathParaPr>
              <m:oMath>
                <m:r>
                  <w:rPr>
                    <w:rFonts w:ascii="Cambria Math" w:hAnsi="Cambria Math"/>
                  </w:rPr>
                  <m:t>Sh=</m:t>
                </m:r>
                <m:f>
                  <m:fPr>
                    <m:ctrlPr>
                      <w:rPr>
                        <w:rFonts w:ascii="Cambria Math" w:hAnsi="Cambria Math"/>
                        <w:i/>
                        <w:iCs/>
                      </w:rPr>
                    </m:ctrlPr>
                  </m:fPr>
                  <m:num>
                    <m:sSub>
                      <m:sSubPr>
                        <m:ctrlPr>
                          <w:rPr>
                            <w:rFonts w:ascii="Cambria Math" w:hAnsi="Cambria Math"/>
                            <w:i/>
                            <w:iCs/>
                          </w:rPr>
                        </m:ctrlPr>
                      </m:sSubPr>
                      <m:e>
                        <m:r>
                          <w:rPr>
                            <w:rFonts w:ascii="Cambria Math" w:hAnsi="Cambria Math"/>
                          </w:rPr>
                          <m:t>k</m:t>
                        </m:r>
                      </m:e>
                      <m:sub>
                        <m:r>
                          <w:rPr>
                            <w:rFonts w:ascii="Cambria Math" w:hAnsi="Cambria Math"/>
                          </w:rPr>
                          <m:t>G</m:t>
                        </m:r>
                      </m:sub>
                    </m:sSub>
                    <m:r>
                      <w:rPr>
                        <w:rFonts w:ascii="Cambria Math" w:hAnsi="Cambria Math"/>
                      </w:rPr>
                      <m:t>∙L</m:t>
                    </m:r>
                  </m:num>
                  <m:den>
                    <m:sSub>
                      <m:sSubPr>
                        <m:ctrlPr>
                          <w:rPr>
                            <w:rFonts w:ascii="Cambria Math" w:hAnsi="Cambria Math"/>
                            <w:i/>
                            <w:iCs/>
                          </w:rPr>
                        </m:ctrlPr>
                      </m:sSubPr>
                      <m:e>
                        <m:r>
                          <w:rPr>
                            <w:rFonts w:ascii="Cambria Math" w:hAnsi="Cambria Math"/>
                          </w:rPr>
                          <m:t>D</m:t>
                        </m:r>
                      </m:e>
                      <m:sub>
                        <m:r>
                          <w:rPr>
                            <w:rFonts w:ascii="Cambria Math" w:hAnsi="Cambria Math"/>
                          </w:rPr>
                          <m:t>m</m:t>
                        </m:r>
                      </m:sub>
                    </m:sSub>
                  </m:den>
                </m:f>
              </m:oMath>
            </m:oMathPara>
          </w:p>
        </w:tc>
        <w:tc>
          <w:tcPr>
            <w:tcW w:w="4389" w:type="dxa"/>
            <w:vAlign w:val="center"/>
          </w:tcPr>
          <w:p w14:paraId="69DB17FC" w14:textId="68A7E3A7" w:rsidR="007F5481" w:rsidRDefault="007F5481" w:rsidP="00350DFB">
            <w:pPr>
              <w:pStyle w:val="CETBodytext"/>
              <w:jc w:val="right"/>
              <w:rPr>
                <w:lang w:val="en-GB"/>
              </w:rPr>
            </w:pPr>
            <w:r>
              <w:rPr>
                <w:lang w:val="en-GB"/>
              </w:rPr>
              <w:t>(6)</w:t>
            </w:r>
          </w:p>
        </w:tc>
      </w:tr>
    </w:tbl>
    <w:p w14:paraId="0ADFCD54" w14:textId="53713C13" w:rsidR="00417A0F" w:rsidRDefault="00417A0F" w:rsidP="00417A0F">
      <w:pPr>
        <w:pStyle w:val="CETBodytext"/>
        <w:rPr>
          <w:lang w:val="en-GB"/>
        </w:rPr>
      </w:pPr>
      <w:r>
        <w:rPr>
          <w:lang w:val="en-GB"/>
        </w:rPr>
        <w:t xml:space="preserve">where </w:t>
      </w:r>
      <w:r w:rsidRPr="000871CB">
        <w:rPr>
          <w:lang w:val="en-GB"/>
        </w:rPr>
        <w:t>L</w:t>
      </w:r>
      <w:r w:rsidR="000871CB">
        <w:rPr>
          <w:lang w:val="en-GB"/>
        </w:rPr>
        <w:t xml:space="preserve"> [m]</w:t>
      </w:r>
      <w:r w:rsidRPr="00417A0F">
        <w:rPr>
          <w:lang w:val="en-GB"/>
        </w:rPr>
        <w:t xml:space="preserve"> is a characteristic length scale of the source, and D</w:t>
      </w:r>
      <w:r w:rsidRPr="00417A0F">
        <w:rPr>
          <w:vertAlign w:val="subscript"/>
          <w:lang w:val="en-GB"/>
        </w:rPr>
        <w:t>m</w:t>
      </w:r>
      <w:r>
        <w:rPr>
          <w:vertAlign w:val="subscript"/>
          <w:lang w:val="en-GB"/>
        </w:rPr>
        <w:t xml:space="preserve"> </w:t>
      </w:r>
      <w:r w:rsidR="000871CB" w:rsidRPr="000871CB">
        <w:rPr>
          <w:lang w:val="en-GB"/>
        </w:rPr>
        <w:t>[m</w:t>
      </w:r>
      <w:r w:rsidR="000871CB" w:rsidRPr="000871CB">
        <w:rPr>
          <w:vertAlign w:val="superscript"/>
          <w:lang w:val="en-GB"/>
        </w:rPr>
        <w:t>2</w:t>
      </w:r>
      <w:r w:rsidR="000871CB" w:rsidRPr="000871CB">
        <w:rPr>
          <w:lang w:val="en-GB"/>
        </w:rPr>
        <w:t xml:space="preserve">/s] </w:t>
      </w:r>
      <w:r w:rsidRPr="00417A0F">
        <w:rPr>
          <w:lang w:val="en-GB"/>
        </w:rPr>
        <w:t>is the molecular diffusivity of the compound in ai</w:t>
      </w:r>
      <w:r>
        <w:rPr>
          <w:lang w:val="en-GB"/>
        </w:rPr>
        <w:t xml:space="preserve">r. </w:t>
      </w:r>
    </w:p>
    <w:p w14:paraId="1FF1213F" w14:textId="673863EF" w:rsidR="00BD1AD4" w:rsidRDefault="00417A0F" w:rsidP="00BD1AD4">
      <w:pPr>
        <w:pStyle w:val="CETBodytext"/>
        <w:rPr>
          <w:lang w:val="en-GB"/>
        </w:rPr>
      </w:pPr>
      <w:r w:rsidRPr="00417A0F">
        <w:rPr>
          <w:lang w:val="en-GB"/>
        </w:rPr>
        <w:t>In this study,</w:t>
      </w:r>
      <w:r>
        <w:rPr>
          <w:lang w:val="en-GB"/>
        </w:rPr>
        <w:t xml:space="preserve"> </w:t>
      </w:r>
      <w:proofErr w:type="spellStart"/>
      <w:r>
        <w:rPr>
          <w:lang w:val="en-GB"/>
        </w:rPr>
        <w:t>Sh</w:t>
      </w:r>
      <w:proofErr w:type="spellEnd"/>
      <w:r>
        <w:rPr>
          <w:lang w:val="en-GB"/>
        </w:rPr>
        <w:t xml:space="preserve"> i</w:t>
      </w:r>
      <w:r w:rsidRPr="00417A0F">
        <w:rPr>
          <w:lang w:val="en-GB"/>
        </w:rPr>
        <w:t>s estimated through a parameterization derived from CFD simulations, expressed as a function of Reynolds number, Schmidt number and geometric aspect ratio</w:t>
      </w:r>
      <w:r w:rsidR="00390B71">
        <w:rPr>
          <w:lang w:val="en-GB"/>
        </w:rPr>
        <w:t xml:space="preserve">, </w:t>
      </w:r>
      <w:r w:rsidR="00390B71">
        <w:t>defined as the ratio between the characteristic depth and length of the basin (D/L)</w:t>
      </w:r>
      <w:r w:rsidRPr="00417A0F">
        <w:rPr>
          <w:lang w:val="en-GB"/>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7F5481" w14:paraId="51D805C1" w14:textId="77777777" w:rsidTr="00350DFB">
        <w:tc>
          <w:tcPr>
            <w:tcW w:w="4388" w:type="dxa"/>
            <w:vAlign w:val="center"/>
          </w:tcPr>
          <w:p w14:paraId="4433D521" w14:textId="0FE2D580" w:rsidR="007F5481" w:rsidRPr="00390B71" w:rsidRDefault="00390B71" w:rsidP="00350DFB">
            <w:pPr>
              <w:spacing w:before="120" w:after="120"/>
              <w:rPr>
                <w:i/>
                <w:iCs/>
              </w:rPr>
            </w:pPr>
            <m:oMathPara>
              <m:oMathParaPr>
                <m:jc m:val="left"/>
              </m:oMathParaPr>
              <m:oMath>
                <m:r>
                  <w:rPr>
                    <w:rFonts w:ascii="Cambria Math" w:hAnsi="Cambria Math"/>
                  </w:rPr>
                  <m:t>Sh=</m:t>
                </m:r>
                <m:r>
                  <w:rPr>
                    <w:rFonts w:ascii="Cambria Math" w:hAnsi="Cambria Math"/>
                  </w:rPr>
                  <m:t>1.2∙</m:t>
                </m:r>
                <m:sSup>
                  <m:sSupPr>
                    <m:ctrlPr>
                      <w:rPr>
                        <w:rFonts w:ascii="Cambria Math" w:hAnsi="Cambria Math"/>
                        <w:i/>
                        <w:iCs/>
                      </w:rPr>
                    </m:ctrlPr>
                  </m:sSupPr>
                  <m:e>
                    <m:r>
                      <w:rPr>
                        <w:rFonts w:ascii="Cambria Math" w:hAnsi="Cambria Math"/>
                      </w:rPr>
                      <m:t>10</m:t>
                    </m:r>
                  </m:e>
                  <m:sup>
                    <m:r>
                      <w:rPr>
                        <w:rFonts w:ascii="Cambria Math" w:hAnsi="Cambria Math"/>
                      </w:rPr>
                      <m:t>-3</m:t>
                    </m:r>
                  </m:sup>
                </m:sSup>
                <m:r>
                  <w:rPr>
                    <w:rFonts w:ascii="Cambria Math" w:hAnsi="Cambria Math"/>
                  </w:rPr>
                  <m:t>∙</m:t>
                </m:r>
                <m:sSup>
                  <m:sSupPr>
                    <m:ctrlPr>
                      <w:rPr>
                        <w:rFonts w:ascii="Cambria Math" w:hAnsi="Cambria Math"/>
                        <w:i/>
                        <w:iCs/>
                      </w:rPr>
                    </m:ctrlPr>
                  </m:sSupPr>
                  <m:e>
                    <m:r>
                      <w:rPr>
                        <w:rFonts w:ascii="Cambria Math" w:hAnsi="Cambria Math"/>
                      </w:rPr>
                      <m:t>Re</m:t>
                    </m:r>
                  </m:e>
                  <m:sup>
                    <m:r>
                      <w:rPr>
                        <w:rFonts w:ascii="Cambria Math" w:hAnsi="Cambria Math"/>
                      </w:rPr>
                      <m:t>0.85</m:t>
                    </m:r>
                  </m:sup>
                </m:sSup>
                <m:r>
                  <w:rPr>
                    <w:rFonts w:ascii="Cambria Math" w:hAnsi="Cambria Math"/>
                  </w:rPr>
                  <m:t>∙</m:t>
                </m:r>
                <m:sSup>
                  <m:sSupPr>
                    <m:ctrlPr>
                      <w:rPr>
                        <w:rFonts w:ascii="Cambria Math" w:hAnsi="Cambria Math"/>
                        <w:i/>
                        <w:iCs/>
                      </w:rPr>
                    </m:ctrlPr>
                  </m:sSupPr>
                  <m:e>
                    <m:r>
                      <w:rPr>
                        <w:rFonts w:ascii="Cambria Math" w:hAnsi="Cambria Math"/>
                      </w:rPr>
                      <m:t>Sc</m:t>
                    </m:r>
                  </m:e>
                  <m:sup>
                    <m:r>
                      <w:rPr>
                        <w:rFonts w:ascii="Cambria Math" w:hAnsi="Cambria Math"/>
                      </w:rPr>
                      <m:t>1/3</m:t>
                    </m:r>
                  </m:sup>
                </m:sSup>
                <m:r>
                  <w:rPr>
                    <w:rFonts w:ascii="Cambria Math" w:hAnsi="Cambria Math"/>
                  </w:rPr>
                  <m:t>∙</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D</m:t>
                            </m:r>
                          </m:num>
                          <m:den>
                            <m:r>
                              <w:rPr>
                                <w:rFonts w:ascii="Cambria Math" w:hAnsi="Cambria Math"/>
                              </w:rPr>
                              <m:t>L</m:t>
                            </m:r>
                          </m:den>
                        </m:f>
                      </m:e>
                    </m:d>
                  </m:e>
                  <m:sup>
                    <m:r>
                      <w:rPr>
                        <w:rFonts w:ascii="Cambria Math" w:hAnsi="Cambria Math"/>
                      </w:rPr>
                      <m:t>-0.6</m:t>
                    </m:r>
                  </m:sup>
                </m:sSup>
              </m:oMath>
            </m:oMathPara>
          </w:p>
        </w:tc>
        <w:tc>
          <w:tcPr>
            <w:tcW w:w="4389" w:type="dxa"/>
            <w:vAlign w:val="center"/>
          </w:tcPr>
          <w:p w14:paraId="13843453" w14:textId="27531005" w:rsidR="007F5481" w:rsidRDefault="007F5481" w:rsidP="00350DFB">
            <w:pPr>
              <w:pStyle w:val="CETBodytext"/>
              <w:jc w:val="right"/>
              <w:rPr>
                <w:lang w:val="en-GB"/>
              </w:rPr>
            </w:pPr>
            <w:r>
              <w:rPr>
                <w:lang w:val="en-GB"/>
              </w:rPr>
              <w:t>(7)</w:t>
            </w:r>
          </w:p>
        </w:tc>
      </w:tr>
    </w:tbl>
    <w:p w14:paraId="0BA3D3C0" w14:textId="004D7C19" w:rsidR="001C0B3A" w:rsidRDefault="00BD1AD4" w:rsidP="00B715C9">
      <w:pPr>
        <w:pStyle w:val="CETBodytext"/>
        <w:rPr>
          <w:lang w:val="en-GB"/>
        </w:rPr>
      </w:pPr>
      <w:r w:rsidRPr="00BD1AD4">
        <w:rPr>
          <w:lang w:val="en-GB"/>
        </w:rPr>
        <w:t>This approach therefore combines experimentally derived concentration values with a CFD-</w:t>
      </w:r>
      <w:r w:rsidR="002E034B">
        <w:rPr>
          <w:lang w:val="en-GB"/>
        </w:rPr>
        <w:t>based</w:t>
      </w:r>
      <w:r w:rsidRPr="00BD1AD4">
        <w:rPr>
          <w:lang w:val="en-GB"/>
        </w:rPr>
        <w:t xml:space="preserve"> parameterization of gas-side transport processes.</w:t>
      </w:r>
    </w:p>
    <w:p w14:paraId="75971811" w14:textId="0553AC81" w:rsidR="006550C6" w:rsidRPr="00BD1AD4" w:rsidRDefault="006550C6" w:rsidP="006550C6">
      <w:pPr>
        <w:pStyle w:val="CETHeading1"/>
        <w:numPr>
          <w:ilvl w:val="0"/>
          <w:numId w:val="0"/>
        </w:numPr>
      </w:pPr>
      <w:r w:rsidRPr="00BD1AD4">
        <w:t>3.</w:t>
      </w:r>
      <w:r>
        <w:t>2</w:t>
      </w:r>
      <w:r w:rsidRPr="00BD1AD4">
        <w:t xml:space="preserve"> </w:t>
      </w:r>
      <w:r w:rsidR="007B1EE5">
        <w:t xml:space="preserve">Method </w:t>
      </w:r>
      <w:r w:rsidR="00BA3947">
        <w:t>3</w:t>
      </w:r>
      <w:r w:rsidR="007B1EE5">
        <w:t>: w</w:t>
      </w:r>
      <w:r w:rsidRPr="006550C6">
        <w:t xml:space="preserve">ind tunnel measurement on liquid </w:t>
      </w:r>
      <w:r w:rsidR="00875FB0">
        <w:t>sample</w:t>
      </w:r>
    </w:p>
    <w:p w14:paraId="44183A18" w14:textId="7C9B6F19" w:rsidR="006550C6" w:rsidRPr="006550C6" w:rsidRDefault="006550C6" w:rsidP="006550C6">
      <w:pPr>
        <w:pStyle w:val="CETBodytext"/>
        <w:rPr>
          <w:lang w:val="en-GB"/>
        </w:rPr>
      </w:pPr>
      <w:r w:rsidRPr="006550C6">
        <w:rPr>
          <w:lang w:val="en-GB"/>
        </w:rPr>
        <w:t>The second comparison method is based on the wind tunnel (WT) technique, which is widely adopted for the direct estimation of emission fluxes from passive liquid surfaces.</w:t>
      </w:r>
      <w:r>
        <w:rPr>
          <w:lang w:val="en-GB"/>
        </w:rPr>
        <w:t xml:space="preserve"> </w:t>
      </w:r>
      <w:r w:rsidRPr="006550C6">
        <w:rPr>
          <w:lang w:val="en-GB"/>
        </w:rPr>
        <w:t xml:space="preserve">Due to the presence of a metal grating covering the basin, the </w:t>
      </w:r>
      <w:r w:rsidR="002E034B">
        <w:rPr>
          <w:lang w:val="en-GB"/>
        </w:rPr>
        <w:t>WT</w:t>
      </w:r>
      <w:r w:rsidRPr="006550C6">
        <w:rPr>
          <w:lang w:val="en-GB"/>
        </w:rPr>
        <w:t xml:space="preserve"> could not be directly deployed on the liquid surface. Therefore, a representative aliquot of liquid was collected from the basin surface and transferred into a dedicated container. The </w:t>
      </w:r>
      <w:r>
        <w:rPr>
          <w:lang w:val="en-GB"/>
        </w:rPr>
        <w:t xml:space="preserve">WT </w:t>
      </w:r>
      <w:r w:rsidRPr="006550C6">
        <w:rPr>
          <w:lang w:val="en-GB"/>
        </w:rPr>
        <w:t>device was then applied t</w:t>
      </w:r>
      <w:r w:rsidR="00590B2F">
        <w:rPr>
          <w:lang w:val="en-GB"/>
        </w:rPr>
        <w:t>o the</w:t>
      </w:r>
      <w:r w:rsidRPr="006550C6">
        <w:rPr>
          <w:lang w:val="en-GB"/>
        </w:rPr>
        <w:t xml:space="preserve"> liquid </w:t>
      </w:r>
      <w:r w:rsidR="00590B2F">
        <w:rPr>
          <w:lang w:val="en-GB"/>
        </w:rPr>
        <w:t>sample</w:t>
      </w:r>
      <w:r w:rsidRPr="006550C6">
        <w:rPr>
          <w:lang w:val="en-GB"/>
        </w:rPr>
        <w:t xml:space="preserve">, allowing the determination of </w:t>
      </w:r>
      <w:r>
        <w:rPr>
          <w:lang w:val="en-GB"/>
        </w:rPr>
        <w:t>C</w:t>
      </w:r>
      <w:r w:rsidRPr="006550C6">
        <w:rPr>
          <w:vertAlign w:val="subscript"/>
          <w:lang w:val="en-GB"/>
        </w:rPr>
        <w:t>od</w:t>
      </w:r>
      <w:r w:rsidRPr="006550C6">
        <w:rPr>
          <w:lang w:val="en-GB"/>
        </w:rPr>
        <w:t xml:space="preserve"> in the outlet airflow and the corresponding </w:t>
      </w:r>
      <w:r>
        <w:rPr>
          <w:lang w:val="en-GB"/>
        </w:rPr>
        <w:t>OER</w:t>
      </w:r>
      <w:r w:rsidRPr="006550C6">
        <w:rPr>
          <w:lang w:val="en-GB"/>
        </w:rPr>
        <w:t>.</w:t>
      </w:r>
    </w:p>
    <w:p w14:paraId="799C48F9" w14:textId="4B40BBF2" w:rsidR="006550C6" w:rsidRPr="006550C6" w:rsidRDefault="006550C6" w:rsidP="006550C6">
      <w:pPr>
        <w:pStyle w:val="CETBodytext"/>
        <w:rPr>
          <w:lang w:val="en-GB"/>
        </w:rPr>
      </w:pPr>
      <w:r w:rsidRPr="006550C6">
        <w:rPr>
          <w:lang w:val="en-GB"/>
        </w:rPr>
        <w:t xml:space="preserve">In this framework, the emission is first expressed in terms of Specific Odour Emission Rate (SOER), which represents the odour emission per unit surface area and unit time </w:t>
      </w:r>
      <w:r w:rsidR="000871CB">
        <w:rPr>
          <w:lang w:val="en-GB"/>
        </w:rPr>
        <w:t>[</w:t>
      </w:r>
      <w:proofErr w:type="spellStart"/>
      <w:r w:rsidR="000871CB">
        <w:rPr>
          <w:lang w:val="en-GB"/>
        </w:rPr>
        <w:t>ou</w:t>
      </w:r>
      <w:r w:rsidR="000871CB" w:rsidRPr="000871CB">
        <w:rPr>
          <w:vertAlign w:val="subscript"/>
          <w:lang w:val="en-GB"/>
        </w:rPr>
        <w:t>E</w:t>
      </w:r>
      <w:proofErr w:type="spellEnd"/>
      <w:r w:rsidR="000871CB">
        <w:rPr>
          <w:lang w:val="en-GB"/>
        </w:rPr>
        <w:t>/m</w:t>
      </w:r>
      <w:r w:rsidR="000871CB" w:rsidRPr="000871CB">
        <w:rPr>
          <w:vertAlign w:val="superscript"/>
          <w:lang w:val="en-GB"/>
        </w:rPr>
        <w:t>2</w:t>
      </w:r>
      <w:r w:rsidR="000871CB">
        <w:rPr>
          <w:lang w:val="en-GB"/>
        </w:rPr>
        <w:t xml:space="preserve">/s] </w:t>
      </w:r>
      <w:r w:rsidRPr="006550C6">
        <w:rPr>
          <w:lang w:val="en-GB"/>
        </w:rPr>
        <w:t>for passive area sources without induced airflow</w:t>
      </w:r>
      <w:r>
        <w:rPr>
          <w:lang w:val="en-GB"/>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6550C6" w14:paraId="7A2565A0" w14:textId="77777777" w:rsidTr="00350DFB">
        <w:tc>
          <w:tcPr>
            <w:tcW w:w="4388" w:type="dxa"/>
            <w:vAlign w:val="center"/>
          </w:tcPr>
          <w:p w14:paraId="54B0B749" w14:textId="57334F60" w:rsidR="006550C6" w:rsidRPr="00390B71" w:rsidRDefault="00390B71" w:rsidP="00350DFB">
            <w:pPr>
              <w:spacing w:before="120" w:after="120"/>
              <w:rPr>
                <w:i/>
                <w:iCs/>
              </w:rPr>
            </w:pPr>
            <m:oMathPara>
              <m:oMathParaPr>
                <m:jc m:val="left"/>
              </m:oMathParaPr>
              <m:oMath>
                <m:r>
                  <w:rPr>
                    <w:rFonts w:ascii="Cambria Math" w:hAnsi="Cambria Math"/>
                  </w:rPr>
                  <m:t>SOER=</m:t>
                </m:r>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rPr>
                          <m:t>od</m:t>
                        </m:r>
                      </m:sub>
                    </m:sSub>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out,WT</m:t>
                        </m:r>
                      </m:sub>
                    </m:sSub>
                  </m:num>
                  <m:den>
                    <m:sSub>
                      <m:sSubPr>
                        <m:ctrlPr>
                          <w:rPr>
                            <w:rFonts w:ascii="Cambria Math" w:hAnsi="Cambria Math"/>
                            <w:i/>
                            <w:iCs/>
                          </w:rPr>
                        </m:ctrlPr>
                      </m:sSubPr>
                      <m:e>
                        <m:r>
                          <w:rPr>
                            <w:rFonts w:ascii="Cambria Math" w:hAnsi="Cambria Math"/>
                          </w:rPr>
                          <m:t>A</m:t>
                        </m:r>
                      </m:e>
                      <m:sub>
                        <m:r>
                          <w:rPr>
                            <w:rFonts w:ascii="Cambria Math" w:hAnsi="Cambria Math"/>
                          </w:rPr>
                          <m:t>WT</m:t>
                        </m:r>
                      </m:sub>
                    </m:sSub>
                  </m:den>
                </m:f>
              </m:oMath>
            </m:oMathPara>
          </w:p>
        </w:tc>
        <w:tc>
          <w:tcPr>
            <w:tcW w:w="4389" w:type="dxa"/>
            <w:vAlign w:val="center"/>
          </w:tcPr>
          <w:p w14:paraId="1A74491C" w14:textId="79E12C69" w:rsidR="006550C6" w:rsidRDefault="006550C6" w:rsidP="00350DFB">
            <w:pPr>
              <w:pStyle w:val="CETBodytext"/>
              <w:jc w:val="right"/>
              <w:rPr>
                <w:lang w:val="en-GB"/>
              </w:rPr>
            </w:pPr>
            <w:r>
              <w:rPr>
                <w:lang w:val="en-GB"/>
              </w:rPr>
              <w:t>(8)</w:t>
            </w:r>
          </w:p>
        </w:tc>
      </w:tr>
    </w:tbl>
    <w:p w14:paraId="60302F67" w14:textId="2A2F93D8" w:rsidR="006550C6" w:rsidRPr="006550C6" w:rsidRDefault="006550C6" w:rsidP="006550C6">
      <w:pPr>
        <w:pStyle w:val="CETBodytext"/>
        <w:rPr>
          <w:lang w:val="en-GB"/>
        </w:rPr>
      </w:pPr>
      <w:r w:rsidRPr="006550C6">
        <w:rPr>
          <w:lang w:val="en-GB"/>
        </w:rPr>
        <w:t>where C</w:t>
      </w:r>
      <w:r w:rsidRPr="006550C6">
        <w:rPr>
          <w:vertAlign w:val="subscript"/>
          <w:lang w:val="en-GB"/>
        </w:rPr>
        <w:t>od</w:t>
      </w:r>
      <w:r>
        <w:rPr>
          <w:lang w:val="en-GB"/>
        </w:rPr>
        <w:t xml:space="preserve"> </w:t>
      </w:r>
      <w:r w:rsidR="000871CB">
        <w:rPr>
          <w:lang w:val="en-GB"/>
        </w:rPr>
        <w:t>[</w:t>
      </w:r>
      <w:proofErr w:type="spellStart"/>
      <w:r w:rsidR="000871CB">
        <w:rPr>
          <w:lang w:val="en-GB"/>
        </w:rPr>
        <w:t>ou</w:t>
      </w:r>
      <w:r w:rsidR="000871CB" w:rsidRPr="000871CB">
        <w:rPr>
          <w:vertAlign w:val="subscript"/>
          <w:lang w:val="en-GB"/>
        </w:rPr>
        <w:t>E</w:t>
      </w:r>
      <w:proofErr w:type="spellEnd"/>
      <w:r w:rsidR="000871CB">
        <w:rPr>
          <w:lang w:val="en-GB"/>
        </w:rPr>
        <w:t>/m</w:t>
      </w:r>
      <w:r w:rsidR="000871CB" w:rsidRPr="000871CB">
        <w:rPr>
          <w:vertAlign w:val="superscript"/>
          <w:lang w:val="en-GB"/>
        </w:rPr>
        <w:t>3</w:t>
      </w:r>
      <w:r w:rsidR="000871CB">
        <w:rPr>
          <w:lang w:val="en-GB"/>
        </w:rPr>
        <w:t>] i</w:t>
      </w:r>
      <w:r w:rsidRPr="006550C6">
        <w:rPr>
          <w:lang w:val="en-GB"/>
        </w:rPr>
        <w:t xml:space="preserve">s the odour concentration measured at the outlet of the </w:t>
      </w:r>
      <w:r w:rsidR="00534852">
        <w:rPr>
          <w:lang w:val="en-GB"/>
        </w:rPr>
        <w:t>WT,</w:t>
      </w:r>
      <w:r w:rsidRPr="006550C6">
        <w:rPr>
          <w:lang w:val="en-GB"/>
        </w:rPr>
        <w:t xml:space="preserve"> </w:t>
      </w:r>
      <w:proofErr w:type="spellStart"/>
      <w:proofErr w:type="gramStart"/>
      <w:r w:rsidRPr="006550C6">
        <w:rPr>
          <w:lang w:val="en-GB"/>
        </w:rPr>
        <w:t>Q</w:t>
      </w:r>
      <w:r w:rsidRPr="006550C6">
        <w:rPr>
          <w:vertAlign w:val="subscript"/>
          <w:lang w:val="en-GB"/>
        </w:rPr>
        <w:t>out,WT</w:t>
      </w:r>
      <w:proofErr w:type="spellEnd"/>
      <w:proofErr w:type="gramEnd"/>
      <w:r>
        <w:rPr>
          <w:lang w:val="en-GB"/>
        </w:rPr>
        <w:t xml:space="preserve"> </w:t>
      </w:r>
      <w:r w:rsidR="000871CB">
        <w:rPr>
          <w:lang w:val="en-GB"/>
        </w:rPr>
        <w:t>[m</w:t>
      </w:r>
      <w:r w:rsidR="000871CB" w:rsidRPr="000871CB">
        <w:rPr>
          <w:vertAlign w:val="superscript"/>
          <w:lang w:val="en-GB"/>
        </w:rPr>
        <w:t>3</w:t>
      </w:r>
      <w:r w:rsidR="000871CB">
        <w:rPr>
          <w:lang w:val="en-GB"/>
        </w:rPr>
        <w:t xml:space="preserve">/h] </w:t>
      </w:r>
      <w:r w:rsidRPr="006550C6">
        <w:rPr>
          <w:lang w:val="en-GB"/>
        </w:rPr>
        <w:t>is the airflow rate through the system (typically equal to the neutral air inflow), and A</w:t>
      </w:r>
      <w:r w:rsidRPr="006550C6">
        <w:rPr>
          <w:vertAlign w:val="subscript"/>
          <w:lang w:val="en-GB"/>
        </w:rPr>
        <w:t>WT</w:t>
      </w:r>
      <w:r>
        <w:rPr>
          <w:lang w:val="en-GB"/>
        </w:rPr>
        <w:t xml:space="preserve"> </w:t>
      </w:r>
      <w:r w:rsidR="000871CB">
        <w:rPr>
          <w:lang w:val="en-GB"/>
        </w:rPr>
        <w:t>[m</w:t>
      </w:r>
      <w:r w:rsidR="000871CB" w:rsidRPr="000871CB">
        <w:rPr>
          <w:vertAlign w:val="superscript"/>
          <w:lang w:val="en-GB"/>
        </w:rPr>
        <w:t>2</w:t>
      </w:r>
      <w:r w:rsidR="000871CB">
        <w:rPr>
          <w:lang w:val="en-GB"/>
        </w:rPr>
        <w:t>] i</w:t>
      </w:r>
      <w:r w:rsidRPr="006550C6">
        <w:rPr>
          <w:lang w:val="en-GB"/>
        </w:rPr>
        <w:t>s the base area of the hood.</w:t>
      </w:r>
    </w:p>
    <w:p w14:paraId="70DDE957" w14:textId="2BC8298B" w:rsidR="006550C6" w:rsidRPr="006550C6" w:rsidRDefault="00215CF2" w:rsidP="006550C6">
      <w:pPr>
        <w:pStyle w:val="CETBodytext"/>
        <w:rPr>
          <w:lang w:val="en-GB"/>
        </w:rPr>
      </w:pPr>
      <w:r>
        <w:rPr>
          <w:lang w:val="en-GB"/>
        </w:rPr>
        <w:t>The OER</w:t>
      </w:r>
      <w:r w:rsidR="006550C6" w:rsidRPr="006550C6">
        <w:rPr>
          <w:lang w:val="en-GB"/>
        </w:rPr>
        <w:t xml:space="preserve"> is then obtained by scaling the specific flux to the emitting surface: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215CF2" w14:paraId="5095CC4B" w14:textId="77777777" w:rsidTr="00350DFB">
        <w:tc>
          <w:tcPr>
            <w:tcW w:w="4388" w:type="dxa"/>
            <w:vAlign w:val="center"/>
          </w:tcPr>
          <w:p w14:paraId="5DD59408" w14:textId="4C768447" w:rsidR="00215CF2" w:rsidRPr="00390B71" w:rsidRDefault="00390B71" w:rsidP="00350DFB">
            <w:pPr>
              <w:spacing w:before="120" w:after="120"/>
              <w:rPr>
                <w:i/>
                <w:iCs/>
              </w:rPr>
            </w:pPr>
            <m:oMathPara>
              <m:oMathParaPr>
                <m:jc m:val="left"/>
              </m:oMathParaPr>
              <m:oMath>
                <m:r>
                  <w:rPr>
                    <w:rFonts w:ascii="Cambria Math" w:hAnsi="Cambria Math"/>
                  </w:rPr>
                  <m:t>OER=SOER∙A</m:t>
                </m:r>
              </m:oMath>
            </m:oMathPara>
          </w:p>
        </w:tc>
        <w:tc>
          <w:tcPr>
            <w:tcW w:w="4389" w:type="dxa"/>
            <w:vAlign w:val="center"/>
          </w:tcPr>
          <w:p w14:paraId="659CEF50" w14:textId="5994500B" w:rsidR="00215CF2" w:rsidRDefault="00215CF2" w:rsidP="00350DFB">
            <w:pPr>
              <w:pStyle w:val="CETBodytext"/>
              <w:jc w:val="right"/>
              <w:rPr>
                <w:lang w:val="en-GB"/>
              </w:rPr>
            </w:pPr>
            <w:r>
              <w:rPr>
                <w:lang w:val="en-GB"/>
              </w:rPr>
              <w:t>(9)</w:t>
            </w:r>
          </w:p>
        </w:tc>
      </w:tr>
    </w:tbl>
    <w:p w14:paraId="26C72705" w14:textId="1FD453FE" w:rsidR="006550C6" w:rsidRPr="006550C6" w:rsidRDefault="00215CF2" w:rsidP="006550C6">
      <w:pPr>
        <w:pStyle w:val="CETBodytext"/>
        <w:rPr>
          <w:lang w:val="en-GB"/>
        </w:rPr>
      </w:pPr>
      <w:r>
        <w:rPr>
          <w:lang w:val="en-GB"/>
        </w:rPr>
        <w:t>where A</w:t>
      </w:r>
      <w:r w:rsidRPr="00215CF2">
        <w:rPr>
          <w:vertAlign w:val="subscript"/>
          <w:lang w:val="en-GB"/>
        </w:rPr>
        <w:t xml:space="preserve"> </w:t>
      </w:r>
      <w:r w:rsidR="000871CB" w:rsidRPr="000871CB">
        <w:rPr>
          <w:lang w:val="en-GB"/>
        </w:rPr>
        <w:t>[m</w:t>
      </w:r>
      <w:r w:rsidR="000871CB" w:rsidRPr="000871CB">
        <w:rPr>
          <w:vertAlign w:val="superscript"/>
          <w:lang w:val="en-GB"/>
        </w:rPr>
        <w:t>2</w:t>
      </w:r>
      <w:r w:rsidR="000871CB" w:rsidRPr="000871CB">
        <w:rPr>
          <w:lang w:val="en-GB"/>
        </w:rPr>
        <w:t>]</w:t>
      </w:r>
      <w:r w:rsidR="000871CB">
        <w:rPr>
          <w:vertAlign w:val="subscript"/>
          <w:lang w:val="en-GB"/>
        </w:rPr>
        <w:t xml:space="preserve"> </w:t>
      </w:r>
      <w:r w:rsidR="006550C6" w:rsidRPr="006550C6">
        <w:rPr>
          <w:lang w:val="en-GB"/>
        </w:rPr>
        <w:t>represents the effective surface area of the basin under investigation.</w:t>
      </w:r>
    </w:p>
    <w:p w14:paraId="2E29053B" w14:textId="70A49297" w:rsidR="001C0B3A" w:rsidRDefault="00590B2F" w:rsidP="00B715C9">
      <w:pPr>
        <w:pStyle w:val="CETBodytext"/>
        <w:rPr>
          <w:lang w:val="en-GB"/>
        </w:rPr>
      </w:pPr>
      <w:r w:rsidRPr="00590B2F">
        <w:rPr>
          <w:lang w:val="en-GB"/>
        </w:rPr>
        <w:t>This approach enables the direct quantification of emission fluxes, providing a reference estimate for comparison with model-based methods, although the measurement is performed under free-surface airflow conditions that may differ from the specific aerodynamic configuration of the basin</w:t>
      </w:r>
      <w:r w:rsidR="002E034B">
        <w:rPr>
          <w:lang w:val="en-GB"/>
        </w:rPr>
        <w:t xml:space="preserve">, </w:t>
      </w:r>
      <w:r w:rsidR="002E034B">
        <w:t>which is covered by a grating</w:t>
      </w:r>
      <w:r w:rsidRPr="00590B2F">
        <w:rPr>
          <w:lang w:val="en-GB"/>
        </w:rPr>
        <w:t>.</w:t>
      </w:r>
    </w:p>
    <w:p w14:paraId="7805B06D" w14:textId="460B224E" w:rsidR="005C5C01" w:rsidRPr="005C5C01" w:rsidRDefault="005C5C01" w:rsidP="00B715C9">
      <w:pPr>
        <w:pStyle w:val="CETBodytext"/>
      </w:pPr>
      <w:r>
        <w:t>Nevertheless, this method has been included in the comparison as it represents a widely adopted reference technique in current regulatory frameworks.</w:t>
      </w:r>
    </w:p>
    <w:p w14:paraId="239C7B33" w14:textId="77777777" w:rsidR="002E034B" w:rsidRDefault="002E034B" w:rsidP="00B715C9">
      <w:pPr>
        <w:pStyle w:val="CETBodytext"/>
        <w:rPr>
          <w:lang w:val="en-GB"/>
        </w:rPr>
      </w:pPr>
    </w:p>
    <w:p w14:paraId="5E12E59A" w14:textId="5D393BDD" w:rsidR="001C0B3A" w:rsidRDefault="00875FB0" w:rsidP="00B715C9">
      <w:pPr>
        <w:pStyle w:val="CETBodytext"/>
        <w:rPr>
          <w:lang w:val="en-GB"/>
        </w:rPr>
      </w:pPr>
      <w:r w:rsidRPr="00875FB0">
        <w:rPr>
          <w:lang w:val="en-GB"/>
        </w:rPr>
        <w:t>The emission estimates obtained with the two</w:t>
      </w:r>
      <w:r w:rsidR="00B26BDC">
        <w:rPr>
          <w:lang w:val="en-GB"/>
        </w:rPr>
        <w:t xml:space="preserve"> alternative</w:t>
      </w:r>
      <w:r w:rsidRPr="00875FB0">
        <w:rPr>
          <w:lang w:val="en-GB"/>
        </w:rPr>
        <w:t xml:space="preserve"> approaches described above are compared with those derived from the proposed method</w:t>
      </w:r>
      <w:r>
        <w:rPr>
          <w:lang w:val="en-GB"/>
        </w:rPr>
        <w:t xml:space="preserve"> (Section </w:t>
      </w:r>
      <w:r>
        <w:rPr>
          <w:lang w:val="en-GB"/>
        </w:rPr>
        <w:fldChar w:fldCharType="begin"/>
      </w:r>
      <w:r>
        <w:rPr>
          <w:lang w:val="en-GB"/>
        </w:rPr>
        <w:instrText xml:space="preserve"> REF _Ref228443734 \r \h </w:instrText>
      </w:r>
      <w:r>
        <w:rPr>
          <w:lang w:val="en-GB"/>
        </w:rPr>
      </w:r>
      <w:r>
        <w:rPr>
          <w:lang w:val="en-GB"/>
        </w:rPr>
        <w:fldChar w:fldCharType="separate"/>
      </w:r>
      <w:r>
        <w:rPr>
          <w:lang w:val="en-GB"/>
        </w:rPr>
        <w:t>2</w:t>
      </w:r>
      <w:r>
        <w:rPr>
          <w:lang w:val="en-GB"/>
        </w:rPr>
        <w:fldChar w:fldCharType="end"/>
      </w:r>
      <w:r>
        <w:rPr>
          <w:lang w:val="en-GB"/>
        </w:rPr>
        <w:t>)</w:t>
      </w:r>
      <w:r w:rsidRPr="00875FB0">
        <w:rPr>
          <w:lang w:val="en-GB"/>
        </w:rPr>
        <w:t xml:space="preserve">, which is based on the direct measurement of </w:t>
      </w:r>
      <w:r w:rsidR="002E034B">
        <w:rPr>
          <w:lang w:val="en-GB"/>
        </w:rPr>
        <w:t>C</w:t>
      </w:r>
      <w:r w:rsidR="002E034B" w:rsidRPr="002E034B">
        <w:rPr>
          <w:vertAlign w:val="subscript"/>
          <w:lang w:val="en-GB"/>
        </w:rPr>
        <w:t>od</w:t>
      </w:r>
      <w:r w:rsidRPr="00875FB0">
        <w:rPr>
          <w:lang w:val="en-GB"/>
        </w:rPr>
        <w:t xml:space="preserve"> in the air layer above the covered basin, at the level of the grating, combined with a micrometeorology-based mass transfer model.</w:t>
      </w:r>
    </w:p>
    <w:p w14:paraId="781624A3" w14:textId="63CEACA7" w:rsidR="001C0B3A" w:rsidRDefault="00E36B9D" w:rsidP="00E36B9D">
      <w:pPr>
        <w:pStyle w:val="CETHeading1"/>
        <w:numPr>
          <w:ilvl w:val="0"/>
          <w:numId w:val="0"/>
        </w:numPr>
      </w:pPr>
      <w:r w:rsidRPr="00BD1AD4">
        <w:t>3.</w:t>
      </w:r>
      <w:r>
        <w:t>3</w:t>
      </w:r>
      <w:r w:rsidRPr="00BD1AD4">
        <w:t xml:space="preserve"> </w:t>
      </w:r>
      <w:r w:rsidRPr="00E36B9D">
        <w:t xml:space="preserve">Comparative estimation of </w:t>
      </w:r>
      <w:r w:rsidR="00391244">
        <w:t>S</w:t>
      </w:r>
      <w:r>
        <w:t>OER</w:t>
      </w:r>
    </w:p>
    <w:p w14:paraId="329833FD" w14:textId="0AC26B32" w:rsidR="00E36B9D" w:rsidRDefault="00E36B9D" w:rsidP="00E36B9D">
      <w:pPr>
        <w:pStyle w:val="CETBodytext"/>
      </w:pPr>
      <w:r>
        <w:t xml:space="preserve">The </w:t>
      </w:r>
      <w:r w:rsidR="00391244">
        <w:t>S</w:t>
      </w:r>
      <w:r>
        <w:t>OER obtained with the three approaches described above were estimated and compared on the basis of a</w:t>
      </w:r>
      <w:r w:rsidR="00567098">
        <w:t>n</w:t>
      </w:r>
      <w:r>
        <w:t xml:space="preserve"> experimental dataset collected at an industrial facility. </w:t>
      </w:r>
      <w:r w:rsidRPr="00E36B9D">
        <w:t>The study focused on a wastewater collection basin receiving oily streams within a</w:t>
      </w:r>
      <w:r w:rsidR="00390B71">
        <w:t xml:space="preserve">n industrial </w:t>
      </w:r>
      <w:r w:rsidRPr="00E36B9D">
        <w:t>plant</w:t>
      </w:r>
      <w:r w:rsidR="007B1EE5">
        <w:t>, characterized by an effective emitting surface area of 40 m</w:t>
      </w:r>
      <w:r w:rsidR="007B1EE5" w:rsidRPr="007B1EE5">
        <w:t>²</w:t>
      </w:r>
      <w:r w:rsidR="007B1EE5">
        <w:t>.</w:t>
      </w:r>
    </w:p>
    <w:p w14:paraId="29ADB9AF" w14:textId="6E8F3635" w:rsidR="00E36B9D" w:rsidRDefault="00E36B9D" w:rsidP="00E36B9D">
      <w:pPr>
        <w:pStyle w:val="CETBodytext"/>
      </w:pPr>
      <w:r>
        <w:t>The comparison was carried out using C</w:t>
      </w:r>
      <w:r w:rsidRPr="00567098">
        <w:rPr>
          <w:vertAlign w:val="subscript"/>
        </w:rPr>
        <w:t>od</w:t>
      </w:r>
      <w:r>
        <w:t xml:space="preserve"> measurements obtained through the three different methodologies, namely: (</w:t>
      </w:r>
      <w:proofErr w:type="spellStart"/>
      <w:r>
        <w:t>i</w:t>
      </w:r>
      <w:proofErr w:type="spellEnd"/>
      <w:r>
        <w:t>)</w:t>
      </w:r>
      <w:r w:rsidR="00237AF2">
        <w:t xml:space="preserve"> in situ sampling of the air layer above the basin at the level of the grating</w:t>
      </w:r>
      <w:r w:rsidR="00F050FD">
        <w:t xml:space="preserve"> (Eq. 5)</w:t>
      </w:r>
      <w:r w:rsidR="00237AF2">
        <w:t xml:space="preserve">, </w:t>
      </w:r>
      <w:r>
        <w:t xml:space="preserve">(ii) </w:t>
      </w:r>
      <w:r w:rsidR="00237AF2">
        <w:t>headspace technique</w:t>
      </w:r>
      <w:r w:rsidR="00F050FD">
        <w:t xml:space="preserve"> (Eq. 7)</w:t>
      </w:r>
      <w:r w:rsidR="00237AF2">
        <w:t xml:space="preserve">, and (iii) </w:t>
      </w:r>
      <w:r w:rsidR="00534852">
        <w:t>WT</w:t>
      </w:r>
      <w:r>
        <w:t xml:space="preserve"> measurement on liquid sample</w:t>
      </w:r>
      <w:r w:rsidR="00F050FD">
        <w:t xml:space="preserve"> (Eq. 8)</w:t>
      </w:r>
      <w:r>
        <w:t>.</w:t>
      </w:r>
    </w:p>
    <w:p w14:paraId="4123354F" w14:textId="7F3274CF" w:rsidR="00E36B9D" w:rsidRDefault="001865C5" w:rsidP="00E36B9D">
      <w:pPr>
        <w:pStyle w:val="CETBodytext"/>
      </w:pPr>
      <w:r w:rsidRPr="001865C5">
        <w:rPr>
          <w:i/>
          <w:iCs/>
          <w:highlight w:val="yellow"/>
        </w:rPr>
        <w:fldChar w:fldCharType="begin"/>
      </w:r>
      <w:r w:rsidRPr="001865C5">
        <w:rPr>
          <w:i/>
          <w:iCs/>
        </w:rPr>
        <w:instrText xml:space="preserve"> REF _Ref227055707 \h </w:instrText>
      </w:r>
      <w:r>
        <w:rPr>
          <w:i/>
          <w:iCs/>
          <w:highlight w:val="yellow"/>
        </w:rPr>
        <w:instrText xml:space="preserve"> \* MERGEFORMAT </w:instrText>
      </w:r>
      <w:r w:rsidRPr="001865C5">
        <w:rPr>
          <w:i/>
          <w:iCs/>
          <w:highlight w:val="yellow"/>
        </w:rPr>
      </w:r>
      <w:r w:rsidRPr="001865C5">
        <w:rPr>
          <w:i/>
          <w:iCs/>
          <w:highlight w:val="yellow"/>
        </w:rPr>
        <w:fldChar w:fldCharType="separate"/>
      </w:r>
      <w:r w:rsidRPr="001865C5">
        <w:rPr>
          <w:rStyle w:val="CETCaptionCarattere"/>
          <w:i w:val="0"/>
          <w:iCs/>
        </w:rPr>
        <w:t xml:space="preserve">Table </w:t>
      </w:r>
      <w:r w:rsidRPr="001865C5">
        <w:rPr>
          <w:rStyle w:val="CETCaptionCarattere"/>
          <w:i w:val="0"/>
          <w:iCs/>
          <w:noProof/>
        </w:rPr>
        <w:t>1</w:t>
      </w:r>
      <w:r w:rsidRPr="001865C5">
        <w:rPr>
          <w:i/>
          <w:iCs/>
          <w:highlight w:val="yellow"/>
        </w:rPr>
        <w:fldChar w:fldCharType="end"/>
      </w:r>
      <w:r w:rsidR="00E36B9D">
        <w:t xml:space="preserve"> summarizes </w:t>
      </w:r>
      <w:r w:rsidR="00CC5DF3">
        <w:t xml:space="preserve">the </w:t>
      </w:r>
      <w:r w:rsidR="00E36B9D">
        <w:t>C</w:t>
      </w:r>
      <w:r w:rsidR="00E36B9D" w:rsidRPr="00567098">
        <w:rPr>
          <w:vertAlign w:val="subscript"/>
        </w:rPr>
        <w:t>od</w:t>
      </w:r>
      <w:r w:rsidR="00CC5DF3">
        <w:t xml:space="preserve"> values</w:t>
      </w:r>
      <w:r w:rsidR="00E36B9D">
        <w:t xml:space="preserve"> obtained from the three sampling approaches, together with the corresponding input parameters required for the estimation of </w:t>
      </w:r>
      <w:r w:rsidR="00CC42F5">
        <w:t>S</w:t>
      </w:r>
      <w:r w:rsidR="00E36B9D">
        <w:t>OER according to each method. These include, depending on the approach, geometrical characteristics of the basin, airflow conditions, and parameters related to mass transfer form</w:t>
      </w:r>
      <w:r w:rsidR="00E36B9D" w:rsidRPr="00140AC0">
        <w:t>ulations.</w:t>
      </w:r>
      <w:r w:rsidR="00CC5DF3" w:rsidRPr="00140AC0">
        <w:t xml:space="preserve"> For clarity, the three estimation methods are hereafter referred to as: Method 1, </w:t>
      </w:r>
      <w:r w:rsidR="00BA3947" w:rsidRPr="00CC5DF3">
        <w:t>based on in situ concentration measurements and micrometeorology-driven mass transfer modelling</w:t>
      </w:r>
      <w:r w:rsidR="00BA3947">
        <w:t xml:space="preserve">; </w:t>
      </w:r>
      <w:r w:rsidR="00CC5DF3" w:rsidRPr="00140AC0">
        <w:t xml:space="preserve">Method 2, </w:t>
      </w:r>
      <w:r w:rsidR="00BA3947" w:rsidRPr="00140AC0">
        <w:t>corresponding to the headspace-based concentration coupled with mass-transfer correlation;</w:t>
      </w:r>
      <w:r w:rsidR="00BA3947" w:rsidRPr="00CC5DF3">
        <w:t xml:space="preserve"> and Method 3,</w:t>
      </w:r>
      <w:r w:rsidR="00BA3947">
        <w:t xml:space="preserve"> </w:t>
      </w:r>
      <w:r w:rsidR="00CC5DF3" w:rsidRPr="00140AC0">
        <w:t xml:space="preserve">corresponding to the </w:t>
      </w:r>
      <w:r w:rsidR="00534852">
        <w:t>WT</w:t>
      </w:r>
      <w:r w:rsidR="00CC5DF3" w:rsidRPr="00140AC0">
        <w:t xml:space="preserve"> measurement on liquid s</w:t>
      </w:r>
      <w:r w:rsidR="00CC5DF3" w:rsidRPr="00CC5DF3">
        <w:t>ample.</w:t>
      </w:r>
    </w:p>
    <w:p w14:paraId="779D7890" w14:textId="77777777" w:rsidR="00CF4278" w:rsidRDefault="00CF4278" w:rsidP="00E36B9D">
      <w:pPr>
        <w:pStyle w:val="CETBodytext"/>
      </w:pPr>
    </w:p>
    <w:p w14:paraId="366ECD4E" w14:textId="1A218322" w:rsidR="00802DBF" w:rsidRDefault="00802DBF" w:rsidP="00B0429A">
      <w:pPr>
        <w:pStyle w:val="Didascalia"/>
        <w:rPr>
          <w:rStyle w:val="CETCaptionCarattere"/>
          <w:b w:val="0"/>
          <w:bCs w:val="0"/>
          <w:color w:val="auto"/>
        </w:rPr>
      </w:pPr>
      <w:bookmarkStart w:id="1" w:name="_Ref227055707"/>
      <w:r w:rsidRPr="00802DBF">
        <w:rPr>
          <w:rStyle w:val="CETCaptionCarattere"/>
          <w:b w:val="0"/>
          <w:bCs w:val="0"/>
          <w:color w:val="auto"/>
        </w:rPr>
        <w:t xml:space="preserve">Table </w:t>
      </w:r>
      <w:r w:rsidRPr="00802DBF">
        <w:rPr>
          <w:rStyle w:val="CETCaptionCarattere"/>
          <w:b w:val="0"/>
          <w:bCs w:val="0"/>
          <w:color w:val="auto"/>
        </w:rPr>
        <w:fldChar w:fldCharType="begin"/>
      </w:r>
      <w:r w:rsidRPr="00802DBF">
        <w:rPr>
          <w:rStyle w:val="CETCaptionCarattere"/>
          <w:b w:val="0"/>
          <w:bCs w:val="0"/>
          <w:color w:val="auto"/>
        </w:rPr>
        <w:instrText xml:space="preserve"> SEQ Table \* ARABIC </w:instrText>
      </w:r>
      <w:r w:rsidRPr="00802DBF">
        <w:rPr>
          <w:rStyle w:val="CETCaptionCarattere"/>
          <w:b w:val="0"/>
          <w:bCs w:val="0"/>
          <w:color w:val="auto"/>
        </w:rPr>
        <w:fldChar w:fldCharType="separate"/>
      </w:r>
      <w:r w:rsidR="00B0429A">
        <w:rPr>
          <w:rStyle w:val="CETCaptionCarattere"/>
          <w:b w:val="0"/>
          <w:bCs w:val="0"/>
          <w:noProof/>
          <w:color w:val="auto"/>
        </w:rPr>
        <w:t>1</w:t>
      </w:r>
      <w:r w:rsidRPr="00802DBF">
        <w:rPr>
          <w:rStyle w:val="CETCaptionCarattere"/>
          <w:b w:val="0"/>
          <w:bCs w:val="0"/>
          <w:color w:val="auto"/>
        </w:rPr>
        <w:fldChar w:fldCharType="end"/>
      </w:r>
      <w:bookmarkEnd w:id="1"/>
      <w:r w:rsidR="00453D75">
        <w:rPr>
          <w:rStyle w:val="CETCaptionCarattere"/>
          <w:b w:val="0"/>
          <w:bCs w:val="0"/>
          <w:color w:val="auto"/>
        </w:rPr>
        <w:t>:</w:t>
      </w:r>
      <w:r w:rsidR="00822956">
        <w:rPr>
          <w:rStyle w:val="CETCaptionCarattere"/>
          <w:b w:val="0"/>
          <w:bCs w:val="0"/>
          <w:color w:val="auto"/>
        </w:rPr>
        <w:t xml:space="preserve"> </w:t>
      </w:r>
      <w:r w:rsidR="00B0429A">
        <w:rPr>
          <w:rStyle w:val="CETCaptionCarattere"/>
          <w:b w:val="0"/>
          <w:bCs w:val="0"/>
          <w:color w:val="auto"/>
        </w:rPr>
        <w:t>C</w:t>
      </w:r>
      <w:r w:rsidR="00B0429A" w:rsidRPr="00B0429A">
        <w:rPr>
          <w:rStyle w:val="CETCaptionCarattere"/>
          <w:b w:val="0"/>
          <w:bCs w:val="0"/>
          <w:color w:val="auto"/>
          <w:vertAlign w:val="subscript"/>
        </w:rPr>
        <w:t>od</w:t>
      </w:r>
      <w:r w:rsidR="00B0429A" w:rsidRPr="00B0429A">
        <w:rPr>
          <w:rStyle w:val="CETCaptionCarattere"/>
          <w:b w:val="0"/>
          <w:bCs w:val="0"/>
          <w:color w:val="auto"/>
        </w:rPr>
        <w:t xml:space="preserve"> obtained from the three sampling methods together with the corresponding input parameters used for the estimation of </w:t>
      </w:r>
      <w:r w:rsidR="00390B71">
        <w:rPr>
          <w:rStyle w:val="CETCaptionCarattere"/>
          <w:b w:val="0"/>
          <w:bCs w:val="0"/>
          <w:color w:val="auto"/>
        </w:rPr>
        <w:t>S</w:t>
      </w:r>
      <w:r w:rsidR="00B0429A" w:rsidRPr="00B0429A">
        <w:rPr>
          <w:rStyle w:val="CETCaptionCarattere"/>
          <w:b w:val="0"/>
          <w:bCs w:val="0"/>
          <w:color w:val="auto"/>
        </w:rPr>
        <w:t>OER</w:t>
      </w:r>
    </w:p>
    <w:tbl>
      <w:tblPr>
        <w:tblW w:w="5063" w:type="pct"/>
        <w:jc w:val="center"/>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709"/>
        <w:gridCol w:w="426"/>
        <w:gridCol w:w="853"/>
        <w:gridCol w:w="851"/>
        <w:gridCol w:w="585"/>
        <w:gridCol w:w="233"/>
        <w:gridCol w:w="991"/>
        <w:gridCol w:w="425"/>
        <w:gridCol w:w="427"/>
        <w:gridCol w:w="564"/>
        <w:gridCol w:w="779"/>
        <w:gridCol w:w="103"/>
        <w:gridCol w:w="815"/>
        <w:gridCol w:w="568"/>
        <w:gridCol w:w="569"/>
      </w:tblGrid>
      <w:tr w:rsidR="00390B71" w:rsidRPr="00405395" w14:paraId="302F4BEE" w14:textId="77777777" w:rsidTr="00390B71">
        <w:trPr>
          <w:jc w:val="center"/>
        </w:trPr>
        <w:tc>
          <w:tcPr>
            <w:tcW w:w="1923" w:type="pct"/>
            <w:gridSpan w:val="5"/>
            <w:tcBorders>
              <w:top w:val="single" w:sz="12" w:space="0" w:color="008000"/>
              <w:bottom w:val="single" w:sz="6" w:space="0" w:color="008000"/>
            </w:tcBorders>
            <w:shd w:val="clear" w:color="auto" w:fill="FFFFFF"/>
            <w:vAlign w:val="center"/>
          </w:tcPr>
          <w:p w14:paraId="58F38BD4" w14:textId="34D9B262" w:rsidR="00390B71" w:rsidRDefault="00390B71" w:rsidP="00390B71">
            <w:pPr>
              <w:pStyle w:val="CETBodytext"/>
              <w:jc w:val="center"/>
              <w:rPr>
                <w:rFonts w:cs="Arial"/>
                <w:szCs w:val="18"/>
                <w:lang w:val="en-GB"/>
              </w:rPr>
            </w:pPr>
            <w:r>
              <w:rPr>
                <w:rFonts w:cs="Arial"/>
                <w:szCs w:val="18"/>
                <w:lang w:val="en-GB"/>
              </w:rPr>
              <w:t>Method 1</w:t>
            </w:r>
          </w:p>
        </w:tc>
        <w:tc>
          <w:tcPr>
            <w:tcW w:w="1922" w:type="pct"/>
            <w:gridSpan w:val="6"/>
            <w:tcBorders>
              <w:top w:val="single" w:sz="12" w:space="0" w:color="008000"/>
              <w:bottom w:val="single" w:sz="6" w:space="0" w:color="008000"/>
            </w:tcBorders>
            <w:shd w:val="clear" w:color="auto" w:fill="FFFFFF"/>
            <w:vAlign w:val="center"/>
          </w:tcPr>
          <w:p w14:paraId="2878E4B1" w14:textId="077C0643" w:rsidR="00390B71" w:rsidRDefault="00390B71" w:rsidP="00390B71">
            <w:pPr>
              <w:pStyle w:val="CETBodytext"/>
              <w:jc w:val="center"/>
              <w:rPr>
                <w:rFonts w:cs="Arial"/>
                <w:szCs w:val="18"/>
                <w:lang w:val="en-GB"/>
              </w:rPr>
            </w:pPr>
            <w:r>
              <w:rPr>
                <w:rFonts w:cs="Arial"/>
                <w:szCs w:val="18"/>
                <w:lang w:val="en-GB"/>
              </w:rPr>
              <w:t>Method 2</w:t>
            </w:r>
          </w:p>
        </w:tc>
        <w:tc>
          <w:tcPr>
            <w:tcW w:w="1155" w:type="pct"/>
            <w:gridSpan w:val="4"/>
            <w:tcBorders>
              <w:top w:val="single" w:sz="12" w:space="0" w:color="008000"/>
              <w:bottom w:val="single" w:sz="6" w:space="0" w:color="008000"/>
            </w:tcBorders>
            <w:shd w:val="clear" w:color="auto" w:fill="FFFFFF"/>
            <w:vAlign w:val="center"/>
          </w:tcPr>
          <w:p w14:paraId="45A6EF18" w14:textId="49E161A3" w:rsidR="00390B71" w:rsidRDefault="00390B71" w:rsidP="00390B71">
            <w:pPr>
              <w:pStyle w:val="CETBodytext"/>
              <w:jc w:val="center"/>
              <w:rPr>
                <w:rFonts w:cs="Arial"/>
                <w:szCs w:val="18"/>
                <w:lang w:val="en-GB"/>
              </w:rPr>
            </w:pPr>
            <w:r>
              <w:rPr>
                <w:rFonts w:cs="Arial"/>
                <w:szCs w:val="18"/>
                <w:lang w:val="en-GB"/>
              </w:rPr>
              <w:t>Method 3</w:t>
            </w:r>
          </w:p>
        </w:tc>
      </w:tr>
      <w:tr w:rsidR="00390B71" w:rsidRPr="00405395" w14:paraId="7CF14D5B" w14:textId="77777777" w:rsidTr="00390B71">
        <w:trPr>
          <w:jc w:val="center"/>
        </w:trPr>
        <w:tc>
          <w:tcPr>
            <w:tcW w:w="398" w:type="pct"/>
            <w:tcBorders>
              <w:top w:val="single" w:sz="12" w:space="0" w:color="008000"/>
              <w:bottom w:val="single" w:sz="6" w:space="0" w:color="008000"/>
            </w:tcBorders>
            <w:shd w:val="clear" w:color="auto" w:fill="FFFFFF"/>
          </w:tcPr>
          <w:p w14:paraId="4D552F66" w14:textId="7797BACB" w:rsidR="00390B71" w:rsidRDefault="00390B71" w:rsidP="00390B71">
            <w:pPr>
              <w:pStyle w:val="CETBodytext"/>
              <w:jc w:val="center"/>
              <w:rPr>
                <w:rFonts w:cs="Arial"/>
                <w:szCs w:val="18"/>
                <w:lang w:val="en-GB"/>
              </w:rPr>
            </w:pPr>
            <w:r>
              <w:rPr>
                <w:rFonts w:cs="Arial"/>
                <w:szCs w:val="18"/>
                <w:lang w:val="en-GB"/>
              </w:rPr>
              <w:t>C</w:t>
            </w:r>
            <w:r w:rsidRPr="00BC37D0">
              <w:rPr>
                <w:rFonts w:cs="Arial"/>
                <w:szCs w:val="18"/>
                <w:vertAlign w:val="subscript"/>
                <w:lang w:val="en-GB"/>
              </w:rPr>
              <w:t>od</w:t>
            </w:r>
          </w:p>
          <w:p w14:paraId="5F5EE5DB" w14:textId="58084062" w:rsidR="00390B71" w:rsidRDefault="00390B71" w:rsidP="00390B71">
            <w:pPr>
              <w:pStyle w:val="CETBodytext"/>
              <w:jc w:val="center"/>
              <w:rPr>
                <w:rFonts w:cs="Arial"/>
                <w:szCs w:val="18"/>
                <w:lang w:val="en-GB"/>
              </w:rPr>
            </w:pPr>
            <w:r>
              <w:rPr>
                <w:rFonts w:cs="Arial"/>
                <w:szCs w:val="18"/>
                <w:lang w:val="en-GB"/>
              </w:rPr>
              <w:t>[</w:t>
            </w:r>
            <w:proofErr w:type="spellStart"/>
            <w:r>
              <w:rPr>
                <w:rFonts w:cs="Arial"/>
                <w:szCs w:val="18"/>
                <w:lang w:val="en-GB"/>
              </w:rPr>
              <w:t>ou</w:t>
            </w:r>
            <w:r w:rsidRPr="00CC5DF3">
              <w:rPr>
                <w:rFonts w:cs="Arial"/>
                <w:szCs w:val="18"/>
                <w:vertAlign w:val="subscript"/>
                <w:lang w:val="en-GB"/>
              </w:rPr>
              <w:t>E</w:t>
            </w:r>
            <w:proofErr w:type="spellEnd"/>
            <w:r>
              <w:rPr>
                <w:rFonts w:cs="Arial"/>
                <w:szCs w:val="18"/>
                <w:lang w:val="en-GB"/>
              </w:rPr>
              <w:t>/m</w:t>
            </w:r>
            <w:r w:rsidRPr="00CC5DF3">
              <w:rPr>
                <w:rFonts w:cs="Arial"/>
                <w:szCs w:val="18"/>
                <w:vertAlign w:val="superscript"/>
                <w:lang w:val="en-GB"/>
              </w:rPr>
              <w:t>3</w:t>
            </w:r>
            <w:r>
              <w:rPr>
                <w:rFonts w:cs="Arial"/>
                <w:szCs w:val="18"/>
                <w:lang w:val="en-GB"/>
              </w:rPr>
              <w:t>]</w:t>
            </w:r>
          </w:p>
        </w:tc>
        <w:tc>
          <w:tcPr>
            <w:tcW w:w="239" w:type="pct"/>
            <w:tcBorders>
              <w:top w:val="single" w:sz="12" w:space="0" w:color="008000"/>
              <w:bottom w:val="single" w:sz="6" w:space="0" w:color="008000"/>
            </w:tcBorders>
            <w:shd w:val="clear" w:color="auto" w:fill="FFFFFF"/>
          </w:tcPr>
          <w:p w14:paraId="016DD75F" w14:textId="12E5E467" w:rsidR="00390B71" w:rsidRDefault="00390B71" w:rsidP="00390B71">
            <w:pPr>
              <w:pStyle w:val="CETBodytext"/>
              <w:jc w:val="center"/>
              <w:rPr>
                <w:rFonts w:cs="Arial"/>
                <w:szCs w:val="18"/>
                <w:lang w:val="en-GB"/>
              </w:rPr>
            </w:pPr>
            <w:r>
              <w:rPr>
                <w:rFonts w:cs="Arial"/>
                <w:szCs w:val="18"/>
                <w:lang w:val="en-GB"/>
              </w:rPr>
              <w:t>u*</w:t>
            </w:r>
          </w:p>
          <w:p w14:paraId="10B023D0" w14:textId="6DEC0D75" w:rsidR="00390B71" w:rsidRPr="00822956" w:rsidRDefault="00390B71" w:rsidP="00390B71">
            <w:pPr>
              <w:pStyle w:val="CETBodytext"/>
              <w:jc w:val="center"/>
              <w:rPr>
                <w:rFonts w:cs="Arial"/>
                <w:szCs w:val="18"/>
                <w:lang w:val="en-GB"/>
              </w:rPr>
            </w:pPr>
            <w:r>
              <w:rPr>
                <w:rFonts w:cs="Arial"/>
                <w:szCs w:val="18"/>
                <w:lang w:val="en-GB"/>
              </w:rPr>
              <w:t>[m/s]</w:t>
            </w:r>
          </w:p>
        </w:tc>
        <w:tc>
          <w:tcPr>
            <w:tcW w:w="479" w:type="pct"/>
            <w:tcBorders>
              <w:top w:val="single" w:sz="12" w:space="0" w:color="008000"/>
              <w:bottom w:val="single" w:sz="6" w:space="0" w:color="008000"/>
            </w:tcBorders>
            <w:shd w:val="clear" w:color="auto" w:fill="FFFFFF"/>
          </w:tcPr>
          <w:p w14:paraId="431CA886" w14:textId="77777777" w:rsidR="00390B71" w:rsidRDefault="00390B71" w:rsidP="00390B71">
            <w:pPr>
              <w:pStyle w:val="CETBodytext"/>
              <w:jc w:val="center"/>
              <w:rPr>
                <w:rFonts w:cs="Arial"/>
                <w:szCs w:val="18"/>
                <w:vertAlign w:val="subscript"/>
                <w:lang w:val="en-GB"/>
              </w:rPr>
            </w:pPr>
            <w:proofErr w:type="spellStart"/>
            <w:proofErr w:type="gramStart"/>
            <w:r>
              <w:rPr>
                <w:rFonts w:cs="Arial"/>
                <w:szCs w:val="18"/>
                <w:lang w:val="en-GB"/>
              </w:rPr>
              <w:t>k</w:t>
            </w:r>
            <w:r w:rsidRPr="00BC37D0">
              <w:rPr>
                <w:rFonts w:cs="Arial"/>
                <w:szCs w:val="18"/>
                <w:vertAlign w:val="subscript"/>
                <w:lang w:val="en-GB"/>
              </w:rPr>
              <w:t>G,s</w:t>
            </w:r>
            <w:proofErr w:type="spellEnd"/>
            <w:proofErr w:type="gramEnd"/>
          </w:p>
          <w:p w14:paraId="3E23D057" w14:textId="3D79FD30" w:rsidR="00390B71" w:rsidRDefault="00390B71" w:rsidP="00390B71">
            <w:pPr>
              <w:pStyle w:val="CETBodytext"/>
              <w:jc w:val="center"/>
              <w:rPr>
                <w:rFonts w:cs="Arial"/>
                <w:szCs w:val="18"/>
                <w:lang w:val="en-GB"/>
              </w:rPr>
            </w:pPr>
            <w:r>
              <w:rPr>
                <w:rFonts w:cs="Arial"/>
                <w:szCs w:val="18"/>
                <w:lang w:val="en-GB"/>
              </w:rPr>
              <w:t>[m/s]</w:t>
            </w:r>
          </w:p>
        </w:tc>
        <w:tc>
          <w:tcPr>
            <w:tcW w:w="478" w:type="pct"/>
            <w:tcBorders>
              <w:top w:val="single" w:sz="12" w:space="0" w:color="008000"/>
              <w:bottom w:val="single" w:sz="6" w:space="0" w:color="008000"/>
            </w:tcBorders>
            <w:shd w:val="clear" w:color="auto" w:fill="FFFFFF"/>
          </w:tcPr>
          <w:p w14:paraId="024D1C93" w14:textId="77777777" w:rsidR="00390B71" w:rsidRDefault="00390B71" w:rsidP="00390B71">
            <w:pPr>
              <w:pStyle w:val="CETBodytext"/>
              <w:jc w:val="center"/>
              <w:rPr>
                <w:rFonts w:cs="Arial"/>
                <w:szCs w:val="18"/>
                <w:vertAlign w:val="subscript"/>
                <w:lang w:val="en-GB"/>
              </w:rPr>
            </w:pPr>
            <w:proofErr w:type="spellStart"/>
            <w:r>
              <w:rPr>
                <w:rFonts w:cs="Arial"/>
                <w:szCs w:val="18"/>
                <w:lang w:val="en-GB"/>
              </w:rPr>
              <w:t>k</w:t>
            </w:r>
            <w:r w:rsidRPr="00BC37D0">
              <w:rPr>
                <w:rFonts w:cs="Arial"/>
                <w:szCs w:val="18"/>
                <w:vertAlign w:val="subscript"/>
                <w:lang w:val="en-GB"/>
              </w:rPr>
              <w:t>G.</w:t>
            </w:r>
            <w:r>
              <w:rPr>
                <w:rFonts w:cs="Arial"/>
                <w:szCs w:val="18"/>
                <w:vertAlign w:val="subscript"/>
                <w:lang w:val="en-GB"/>
              </w:rPr>
              <w:t>m</w:t>
            </w:r>
            <w:proofErr w:type="spellEnd"/>
          </w:p>
          <w:p w14:paraId="3505782D" w14:textId="634DD63E" w:rsidR="00390B71" w:rsidRDefault="00390B71" w:rsidP="00390B71">
            <w:pPr>
              <w:pStyle w:val="CETBodytext"/>
              <w:jc w:val="center"/>
              <w:rPr>
                <w:rFonts w:cs="Arial"/>
                <w:szCs w:val="18"/>
                <w:lang w:val="en-GB"/>
              </w:rPr>
            </w:pPr>
            <w:r>
              <w:rPr>
                <w:rFonts w:cs="Arial"/>
                <w:szCs w:val="18"/>
                <w:lang w:val="en-GB"/>
              </w:rPr>
              <w:t>[m/s]</w:t>
            </w:r>
          </w:p>
        </w:tc>
        <w:tc>
          <w:tcPr>
            <w:tcW w:w="460" w:type="pct"/>
            <w:gridSpan w:val="2"/>
            <w:tcBorders>
              <w:top w:val="single" w:sz="12" w:space="0" w:color="008000"/>
              <w:bottom w:val="single" w:sz="6" w:space="0" w:color="008000"/>
              <w:right w:val="single" w:sz="12" w:space="0" w:color="008000"/>
            </w:tcBorders>
            <w:shd w:val="clear" w:color="auto" w:fill="FFFFFF"/>
          </w:tcPr>
          <w:p w14:paraId="574233CF" w14:textId="77777777" w:rsidR="00390B71" w:rsidRDefault="00390B71" w:rsidP="00390B71">
            <w:pPr>
              <w:pStyle w:val="CETBodytext"/>
              <w:jc w:val="center"/>
              <w:rPr>
                <w:rFonts w:cs="Arial"/>
                <w:szCs w:val="18"/>
                <w:vertAlign w:val="subscript"/>
                <w:lang w:val="en-GB"/>
              </w:rPr>
            </w:pPr>
            <w:proofErr w:type="spellStart"/>
            <w:r>
              <w:rPr>
                <w:rFonts w:cs="Arial"/>
                <w:szCs w:val="18"/>
                <w:lang w:val="en-GB"/>
              </w:rPr>
              <w:t>k</w:t>
            </w:r>
            <w:r w:rsidRPr="00BC37D0">
              <w:rPr>
                <w:rFonts w:cs="Arial"/>
                <w:szCs w:val="18"/>
                <w:vertAlign w:val="subscript"/>
                <w:lang w:val="en-GB"/>
              </w:rPr>
              <w:t>G</w:t>
            </w:r>
            <w:proofErr w:type="spellEnd"/>
          </w:p>
          <w:p w14:paraId="09021D04" w14:textId="21CA7148" w:rsidR="00390B71" w:rsidRPr="00822956" w:rsidRDefault="00390B71" w:rsidP="00390B71">
            <w:pPr>
              <w:pStyle w:val="CETBodytext"/>
              <w:jc w:val="center"/>
              <w:rPr>
                <w:rFonts w:cs="Arial"/>
                <w:szCs w:val="18"/>
                <w:lang w:val="en-GB"/>
              </w:rPr>
            </w:pPr>
            <w:r>
              <w:rPr>
                <w:rFonts w:cs="Arial"/>
                <w:szCs w:val="18"/>
                <w:lang w:val="en-GB"/>
              </w:rPr>
              <w:t>[m/s]</w:t>
            </w:r>
          </w:p>
        </w:tc>
        <w:tc>
          <w:tcPr>
            <w:tcW w:w="557" w:type="pct"/>
            <w:tcBorders>
              <w:top w:val="single" w:sz="12" w:space="0" w:color="008000"/>
              <w:left w:val="single" w:sz="12" w:space="0" w:color="008000"/>
              <w:bottom w:val="single" w:sz="6" w:space="0" w:color="008000"/>
            </w:tcBorders>
            <w:shd w:val="clear" w:color="auto" w:fill="FFFFFF"/>
            <w:vAlign w:val="center"/>
          </w:tcPr>
          <w:p w14:paraId="755768E2" w14:textId="3D6F72E6" w:rsidR="00390B71" w:rsidRDefault="00390B71" w:rsidP="00125FDC">
            <w:pPr>
              <w:pStyle w:val="CETBodytext"/>
              <w:jc w:val="center"/>
              <w:rPr>
                <w:rFonts w:cs="Arial"/>
                <w:szCs w:val="18"/>
                <w:lang w:val="en-GB"/>
              </w:rPr>
            </w:pPr>
            <w:r>
              <w:rPr>
                <w:rFonts w:cs="Arial"/>
                <w:szCs w:val="18"/>
                <w:lang w:val="en-GB"/>
              </w:rPr>
              <w:t>C</w:t>
            </w:r>
            <w:r w:rsidRPr="00BC37D0">
              <w:rPr>
                <w:rFonts w:cs="Arial"/>
                <w:szCs w:val="18"/>
                <w:vertAlign w:val="subscript"/>
                <w:lang w:val="en-GB"/>
              </w:rPr>
              <w:t>od</w:t>
            </w:r>
          </w:p>
          <w:p w14:paraId="2C2E2AD8" w14:textId="355F9B11" w:rsidR="00390B71" w:rsidRDefault="00390B71" w:rsidP="00125FDC">
            <w:pPr>
              <w:pStyle w:val="CETBodytext"/>
              <w:jc w:val="center"/>
              <w:rPr>
                <w:rFonts w:cs="Arial"/>
                <w:szCs w:val="18"/>
                <w:lang w:val="en-GB"/>
              </w:rPr>
            </w:pPr>
            <w:r>
              <w:rPr>
                <w:rFonts w:cs="Arial"/>
                <w:szCs w:val="18"/>
                <w:lang w:val="en-GB"/>
              </w:rPr>
              <w:t>[</w:t>
            </w:r>
            <w:proofErr w:type="spellStart"/>
            <w:r>
              <w:rPr>
                <w:rFonts w:cs="Arial"/>
                <w:szCs w:val="18"/>
                <w:lang w:val="en-GB"/>
              </w:rPr>
              <w:t>ou</w:t>
            </w:r>
            <w:r w:rsidRPr="00CC5DF3">
              <w:rPr>
                <w:rFonts w:cs="Arial"/>
                <w:szCs w:val="18"/>
                <w:vertAlign w:val="subscript"/>
                <w:lang w:val="en-GB"/>
              </w:rPr>
              <w:t>E</w:t>
            </w:r>
            <w:proofErr w:type="spellEnd"/>
            <w:r>
              <w:rPr>
                <w:rFonts w:cs="Arial"/>
                <w:szCs w:val="18"/>
                <w:lang w:val="en-GB"/>
              </w:rPr>
              <w:t>/m</w:t>
            </w:r>
            <w:r w:rsidRPr="00CC5DF3">
              <w:rPr>
                <w:rFonts w:cs="Arial"/>
                <w:szCs w:val="18"/>
                <w:vertAlign w:val="superscript"/>
                <w:lang w:val="en-GB"/>
              </w:rPr>
              <w:t>3</w:t>
            </w:r>
            <w:r>
              <w:rPr>
                <w:rFonts w:cs="Arial"/>
                <w:szCs w:val="18"/>
                <w:lang w:val="en-GB"/>
              </w:rPr>
              <w:t>]</w:t>
            </w:r>
          </w:p>
        </w:tc>
        <w:tc>
          <w:tcPr>
            <w:tcW w:w="239" w:type="pct"/>
            <w:tcBorders>
              <w:top w:val="single" w:sz="12" w:space="0" w:color="008000"/>
              <w:bottom w:val="single" w:sz="6" w:space="0" w:color="008000"/>
            </w:tcBorders>
            <w:shd w:val="clear" w:color="auto" w:fill="FFFFFF"/>
            <w:vAlign w:val="bottom"/>
          </w:tcPr>
          <w:p w14:paraId="58A88A63" w14:textId="339CFC20" w:rsidR="00390B71" w:rsidRDefault="00390B71" w:rsidP="00125FDC">
            <w:pPr>
              <w:pStyle w:val="CETBodytext"/>
              <w:jc w:val="center"/>
              <w:rPr>
                <w:rFonts w:cs="Arial"/>
                <w:szCs w:val="18"/>
                <w:lang w:val="en-GB"/>
              </w:rPr>
            </w:pPr>
            <w:r>
              <w:rPr>
                <w:rFonts w:cs="Arial"/>
                <w:szCs w:val="18"/>
                <w:lang w:val="en-GB"/>
              </w:rPr>
              <w:t>L</w:t>
            </w:r>
          </w:p>
          <w:p w14:paraId="487F23C1" w14:textId="54D1D699" w:rsidR="00390B71" w:rsidRPr="00D20F23" w:rsidRDefault="00390B71" w:rsidP="00125FDC">
            <w:pPr>
              <w:pStyle w:val="CETBodytext"/>
              <w:jc w:val="center"/>
              <w:rPr>
                <w:rFonts w:cs="Arial"/>
                <w:szCs w:val="18"/>
                <w:lang w:val="en-GB"/>
              </w:rPr>
            </w:pPr>
            <w:r>
              <w:rPr>
                <w:rFonts w:cs="Arial"/>
                <w:szCs w:val="18"/>
                <w:lang w:val="en-GB"/>
              </w:rPr>
              <w:t>[m]</w:t>
            </w:r>
          </w:p>
        </w:tc>
        <w:tc>
          <w:tcPr>
            <w:tcW w:w="240" w:type="pct"/>
            <w:tcBorders>
              <w:top w:val="single" w:sz="12" w:space="0" w:color="008000"/>
              <w:bottom w:val="single" w:sz="6" w:space="0" w:color="008000"/>
            </w:tcBorders>
            <w:shd w:val="clear" w:color="auto" w:fill="FFFFFF"/>
          </w:tcPr>
          <w:p w14:paraId="76C3D69E" w14:textId="28812960" w:rsidR="00390B71" w:rsidRDefault="00390B71" w:rsidP="00125FDC">
            <w:pPr>
              <w:pStyle w:val="CETBodytext"/>
              <w:jc w:val="center"/>
              <w:rPr>
                <w:rFonts w:cs="Arial"/>
                <w:szCs w:val="18"/>
                <w:lang w:val="en-GB"/>
              </w:rPr>
            </w:pPr>
            <w:r>
              <w:rPr>
                <w:rFonts w:cs="Arial"/>
                <w:szCs w:val="18"/>
                <w:lang w:val="en-GB"/>
              </w:rPr>
              <w:t>D</w:t>
            </w:r>
          </w:p>
          <w:p w14:paraId="145C2D44" w14:textId="520D519A" w:rsidR="00390B71" w:rsidRDefault="00390B71" w:rsidP="00125FDC">
            <w:pPr>
              <w:pStyle w:val="CETBodytext"/>
              <w:jc w:val="center"/>
              <w:rPr>
                <w:rFonts w:cs="Arial"/>
                <w:szCs w:val="18"/>
                <w:lang w:val="en-GB"/>
              </w:rPr>
            </w:pPr>
            <w:r>
              <w:rPr>
                <w:rFonts w:cs="Arial"/>
                <w:szCs w:val="18"/>
                <w:lang w:val="en-GB"/>
              </w:rPr>
              <w:t>[m]</w:t>
            </w:r>
          </w:p>
        </w:tc>
        <w:tc>
          <w:tcPr>
            <w:tcW w:w="317" w:type="pct"/>
            <w:tcBorders>
              <w:top w:val="single" w:sz="12" w:space="0" w:color="008000"/>
              <w:bottom w:val="single" w:sz="6" w:space="0" w:color="008000"/>
            </w:tcBorders>
            <w:shd w:val="clear" w:color="auto" w:fill="FFFFFF"/>
          </w:tcPr>
          <w:p w14:paraId="7B4332B9" w14:textId="7E1D01DE" w:rsidR="00390B71" w:rsidRDefault="00390B71" w:rsidP="00125FDC">
            <w:pPr>
              <w:pStyle w:val="CETBodytext"/>
              <w:jc w:val="center"/>
              <w:rPr>
                <w:rFonts w:cs="Arial"/>
                <w:szCs w:val="18"/>
                <w:lang w:val="en-GB"/>
              </w:rPr>
            </w:pPr>
            <w:r>
              <w:rPr>
                <w:rFonts w:cs="Arial"/>
                <w:szCs w:val="18"/>
                <w:lang w:val="en-GB"/>
              </w:rPr>
              <w:t>u</w:t>
            </w:r>
            <w:r w:rsidRPr="007B1EE5">
              <w:rPr>
                <w:rFonts w:cs="Arial"/>
                <w:szCs w:val="18"/>
                <w:vertAlign w:val="subscript"/>
                <w:lang w:val="en-GB"/>
              </w:rPr>
              <w:t>ref</w:t>
            </w:r>
            <w:r>
              <w:rPr>
                <w:rFonts w:cs="Arial"/>
                <w:szCs w:val="18"/>
                <w:vertAlign w:val="subscript"/>
                <w:lang w:val="en-GB"/>
              </w:rPr>
              <w:t>,1m</w:t>
            </w:r>
          </w:p>
          <w:p w14:paraId="73848E83" w14:textId="5BFDEF3F" w:rsidR="00390B71" w:rsidRDefault="00390B71" w:rsidP="00125FDC">
            <w:pPr>
              <w:pStyle w:val="CETBodytext"/>
              <w:jc w:val="center"/>
              <w:rPr>
                <w:rFonts w:cs="Arial"/>
                <w:szCs w:val="18"/>
                <w:lang w:val="en-GB"/>
              </w:rPr>
            </w:pPr>
            <w:r>
              <w:rPr>
                <w:rFonts w:cs="Arial"/>
                <w:szCs w:val="18"/>
                <w:lang w:val="en-GB"/>
              </w:rPr>
              <w:t>[m/s]</w:t>
            </w:r>
          </w:p>
        </w:tc>
        <w:tc>
          <w:tcPr>
            <w:tcW w:w="496" w:type="pct"/>
            <w:gridSpan w:val="2"/>
            <w:tcBorders>
              <w:top w:val="single" w:sz="12" w:space="0" w:color="008000"/>
              <w:bottom w:val="single" w:sz="6" w:space="0" w:color="008000"/>
              <w:right w:val="single" w:sz="12" w:space="0" w:color="008000"/>
            </w:tcBorders>
            <w:shd w:val="clear" w:color="auto" w:fill="FFFFFF"/>
            <w:vAlign w:val="bottom"/>
          </w:tcPr>
          <w:p w14:paraId="48DFD9E9" w14:textId="39DD921E" w:rsidR="00390B71" w:rsidRDefault="00390B71" w:rsidP="00125FDC">
            <w:pPr>
              <w:pStyle w:val="CETBodytext"/>
              <w:jc w:val="center"/>
              <w:rPr>
                <w:rFonts w:cs="Arial"/>
                <w:szCs w:val="18"/>
                <w:lang w:val="en-GB"/>
              </w:rPr>
            </w:pPr>
            <w:proofErr w:type="spellStart"/>
            <w:r>
              <w:rPr>
                <w:rFonts w:cs="Arial"/>
                <w:szCs w:val="18"/>
                <w:lang w:val="en-GB"/>
              </w:rPr>
              <w:t>k</w:t>
            </w:r>
            <w:r w:rsidRPr="007B1EE5">
              <w:rPr>
                <w:rFonts w:cs="Arial"/>
                <w:szCs w:val="18"/>
                <w:vertAlign w:val="subscript"/>
                <w:lang w:val="en-GB"/>
              </w:rPr>
              <w:t>G</w:t>
            </w:r>
            <w:proofErr w:type="spellEnd"/>
          </w:p>
          <w:p w14:paraId="4D48B5C6" w14:textId="4EB79E94" w:rsidR="00390B71" w:rsidRDefault="00390B71" w:rsidP="00125FDC">
            <w:pPr>
              <w:pStyle w:val="CETBodytext"/>
              <w:jc w:val="center"/>
              <w:rPr>
                <w:rFonts w:cs="Arial"/>
                <w:szCs w:val="18"/>
                <w:lang w:val="en-GB"/>
              </w:rPr>
            </w:pPr>
            <w:r>
              <w:rPr>
                <w:rFonts w:cs="Arial"/>
                <w:szCs w:val="18"/>
                <w:lang w:val="en-GB"/>
              </w:rPr>
              <w:t>[m/s]</w:t>
            </w:r>
          </w:p>
        </w:tc>
        <w:tc>
          <w:tcPr>
            <w:tcW w:w="458" w:type="pct"/>
            <w:tcBorders>
              <w:top w:val="single" w:sz="12" w:space="0" w:color="008000"/>
              <w:left w:val="single" w:sz="12" w:space="0" w:color="008000"/>
              <w:bottom w:val="single" w:sz="6" w:space="0" w:color="008000"/>
            </w:tcBorders>
            <w:shd w:val="clear" w:color="auto" w:fill="FFFFFF"/>
          </w:tcPr>
          <w:p w14:paraId="53D10F10" w14:textId="666B9729" w:rsidR="00390B71" w:rsidRDefault="00390B71" w:rsidP="00390B71">
            <w:pPr>
              <w:pStyle w:val="CETBodytext"/>
              <w:jc w:val="center"/>
              <w:rPr>
                <w:rFonts w:cs="Arial"/>
                <w:szCs w:val="18"/>
                <w:lang w:val="en-GB"/>
              </w:rPr>
            </w:pPr>
            <w:r>
              <w:rPr>
                <w:rFonts w:cs="Arial"/>
                <w:szCs w:val="18"/>
                <w:lang w:val="en-GB"/>
              </w:rPr>
              <w:t>C</w:t>
            </w:r>
            <w:r w:rsidRPr="00BC37D0">
              <w:rPr>
                <w:rFonts w:cs="Arial"/>
                <w:szCs w:val="18"/>
                <w:vertAlign w:val="subscript"/>
                <w:lang w:val="en-GB"/>
              </w:rPr>
              <w:t>od</w:t>
            </w:r>
          </w:p>
          <w:p w14:paraId="3236CC8A" w14:textId="163BC5E9" w:rsidR="00390B71" w:rsidRDefault="00390B71" w:rsidP="00390B71">
            <w:pPr>
              <w:pStyle w:val="CETBodytext"/>
              <w:jc w:val="center"/>
              <w:rPr>
                <w:rFonts w:cs="Arial"/>
                <w:szCs w:val="18"/>
                <w:lang w:val="en-GB"/>
              </w:rPr>
            </w:pPr>
            <w:r>
              <w:rPr>
                <w:rFonts w:cs="Arial"/>
                <w:szCs w:val="18"/>
                <w:lang w:val="en-GB"/>
              </w:rPr>
              <w:t>[</w:t>
            </w:r>
            <w:proofErr w:type="spellStart"/>
            <w:r>
              <w:rPr>
                <w:rFonts w:cs="Arial"/>
                <w:szCs w:val="18"/>
                <w:lang w:val="en-GB"/>
              </w:rPr>
              <w:t>ou</w:t>
            </w:r>
            <w:r w:rsidRPr="00CC5DF3">
              <w:rPr>
                <w:rFonts w:cs="Arial"/>
                <w:szCs w:val="18"/>
                <w:vertAlign w:val="subscript"/>
                <w:lang w:val="en-GB"/>
              </w:rPr>
              <w:t>E</w:t>
            </w:r>
            <w:proofErr w:type="spellEnd"/>
            <w:r>
              <w:rPr>
                <w:rFonts w:cs="Arial"/>
                <w:szCs w:val="18"/>
                <w:lang w:val="en-GB"/>
              </w:rPr>
              <w:t>/m</w:t>
            </w:r>
            <w:r w:rsidRPr="00CC5DF3">
              <w:rPr>
                <w:rFonts w:cs="Arial"/>
                <w:szCs w:val="18"/>
                <w:vertAlign w:val="superscript"/>
                <w:lang w:val="en-GB"/>
              </w:rPr>
              <w:t>3</w:t>
            </w:r>
            <w:r>
              <w:rPr>
                <w:rFonts w:cs="Arial"/>
                <w:szCs w:val="18"/>
                <w:lang w:val="en-GB"/>
              </w:rPr>
              <w:t>]</w:t>
            </w:r>
          </w:p>
        </w:tc>
        <w:tc>
          <w:tcPr>
            <w:tcW w:w="319" w:type="pct"/>
            <w:tcBorders>
              <w:top w:val="single" w:sz="12" w:space="0" w:color="008000"/>
              <w:bottom w:val="single" w:sz="6" w:space="0" w:color="008000"/>
            </w:tcBorders>
            <w:shd w:val="clear" w:color="auto" w:fill="FFFFFF"/>
          </w:tcPr>
          <w:p w14:paraId="0E24411B" w14:textId="77777777" w:rsidR="00390B71" w:rsidRDefault="00390B71" w:rsidP="00390B71">
            <w:pPr>
              <w:pStyle w:val="CETBodytext"/>
              <w:jc w:val="center"/>
              <w:rPr>
                <w:rFonts w:cs="Arial"/>
                <w:szCs w:val="18"/>
                <w:vertAlign w:val="subscript"/>
                <w:lang w:val="en-GB"/>
              </w:rPr>
            </w:pPr>
            <w:r>
              <w:rPr>
                <w:rFonts w:cs="Arial"/>
                <w:szCs w:val="18"/>
                <w:lang w:val="en-GB"/>
              </w:rPr>
              <w:t>Q</w:t>
            </w:r>
            <w:r w:rsidRPr="00D20F23">
              <w:rPr>
                <w:rFonts w:cs="Arial"/>
                <w:szCs w:val="18"/>
                <w:vertAlign w:val="subscript"/>
                <w:lang w:val="en-GB"/>
              </w:rPr>
              <w:t>WT</w:t>
            </w:r>
          </w:p>
          <w:p w14:paraId="03043C0D" w14:textId="1FE26AE6" w:rsidR="00390B71" w:rsidRDefault="00390B71" w:rsidP="00390B71">
            <w:pPr>
              <w:pStyle w:val="CETBodytext"/>
              <w:jc w:val="center"/>
              <w:rPr>
                <w:rFonts w:cs="Arial"/>
                <w:szCs w:val="18"/>
                <w:lang w:val="en-GB"/>
              </w:rPr>
            </w:pPr>
            <w:r w:rsidRPr="00D20F23">
              <w:rPr>
                <w:rFonts w:cs="Arial"/>
                <w:szCs w:val="18"/>
                <w:lang w:val="en-GB"/>
              </w:rPr>
              <w:t>[L/</w:t>
            </w:r>
            <w:r>
              <w:rPr>
                <w:rFonts w:cs="Arial"/>
                <w:szCs w:val="18"/>
                <w:lang w:val="en-GB"/>
              </w:rPr>
              <w:t>h</w:t>
            </w:r>
            <w:r w:rsidRPr="00D20F23">
              <w:rPr>
                <w:rFonts w:cs="Arial"/>
                <w:szCs w:val="18"/>
                <w:lang w:val="en-GB"/>
              </w:rPr>
              <w:t>]</w:t>
            </w:r>
          </w:p>
        </w:tc>
        <w:tc>
          <w:tcPr>
            <w:tcW w:w="320" w:type="pct"/>
            <w:tcBorders>
              <w:top w:val="single" w:sz="12" w:space="0" w:color="008000"/>
              <w:bottom w:val="single" w:sz="6" w:space="0" w:color="008000"/>
            </w:tcBorders>
            <w:shd w:val="clear" w:color="auto" w:fill="FFFFFF"/>
          </w:tcPr>
          <w:p w14:paraId="4C2BB4F9" w14:textId="77777777" w:rsidR="00390B71" w:rsidRDefault="00390B71" w:rsidP="00390B71">
            <w:pPr>
              <w:pStyle w:val="CETBodytext"/>
              <w:jc w:val="center"/>
              <w:rPr>
                <w:rFonts w:cs="Arial"/>
                <w:szCs w:val="18"/>
                <w:vertAlign w:val="subscript"/>
                <w:lang w:val="en-GB"/>
              </w:rPr>
            </w:pPr>
            <w:r>
              <w:rPr>
                <w:rFonts w:cs="Arial"/>
                <w:szCs w:val="18"/>
                <w:lang w:val="en-GB"/>
              </w:rPr>
              <w:t>A</w:t>
            </w:r>
            <w:r w:rsidRPr="00D20F23">
              <w:rPr>
                <w:rFonts w:cs="Arial"/>
                <w:szCs w:val="18"/>
                <w:vertAlign w:val="subscript"/>
                <w:lang w:val="en-GB"/>
              </w:rPr>
              <w:t>WT</w:t>
            </w:r>
          </w:p>
          <w:p w14:paraId="5E9E60B8" w14:textId="43CA8FDF" w:rsidR="00390B71" w:rsidRDefault="00390B71" w:rsidP="00390B71">
            <w:pPr>
              <w:pStyle w:val="CETBodytext"/>
              <w:jc w:val="center"/>
              <w:rPr>
                <w:rFonts w:cs="Arial"/>
                <w:szCs w:val="18"/>
                <w:lang w:val="en-GB"/>
              </w:rPr>
            </w:pPr>
            <w:r>
              <w:rPr>
                <w:rFonts w:cs="Arial"/>
                <w:szCs w:val="18"/>
                <w:lang w:val="en-GB"/>
              </w:rPr>
              <w:t>[m</w:t>
            </w:r>
            <w:r w:rsidRPr="00D20F23">
              <w:rPr>
                <w:rFonts w:cs="Arial"/>
                <w:szCs w:val="18"/>
                <w:vertAlign w:val="superscript"/>
                <w:lang w:val="en-GB"/>
              </w:rPr>
              <w:t>2</w:t>
            </w:r>
            <w:r>
              <w:rPr>
                <w:rFonts w:cs="Arial"/>
                <w:szCs w:val="18"/>
                <w:lang w:val="en-GB"/>
              </w:rPr>
              <w:t>]</w:t>
            </w:r>
          </w:p>
        </w:tc>
      </w:tr>
      <w:tr w:rsidR="00390B71" w:rsidRPr="00405395" w14:paraId="692CA185" w14:textId="77777777" w:rsidTr="00390B71">
        <w:trPr>
          <w:jc w:val="center"/>
        </w:trPr>
        <w:tc>
          <w:tcPr>
            <w:tcW w:w="398" w:type="pct"/>
            <w:shd w:val="clear" w:color="auto" w:fill="FFFFFF"/>
          </w:tcPr>
          <w:p w14:paraId="50318615" w14:textId="3BCC1853" w:rsidR="00390B71" w:rsidRPr="00405395" w:rsidRDefault="00390B71" w:rsidP="004C21D4">
            <w:pPr>
              <w:pStyle w:val="CETBodytext"/>
              <w:jc w:val="center"/>
              <w:rPr>
                <w:rFonts w:cs="Arial"/>
                <w:szCs w:val="18"/>
                <w:lang w:val="en-GB"/>
              </w:rPr>
            </w:pPr>
            <w:r>
              <w:rPr>
                <w:rFonts w:cs="Arial"/>
                <w:szCs w:val="18"/>
                <w:lang w:val="en-GB"/>
              </w:rPr>
              <w:t>120</w:t>
            </w:r>
          </w:p>
        </w:tc>
        <w:tc>
          <w:tcPr>
            <w:tcW w:w="239" w:type="pct"/>
            <w:shd w:val="clear" w:color="auto" w:fill="FFFFFF"/>
          </w:tcPr>
          <w:p w14:paraId="16F1AE5F" w14:textId="3E20B415" w:rsidR="00390B71" w:rsidRPr="00822956" w:rsidRDefault="00390B71" w:rsidP="004C21D4">
            <w:pPr>
              <w:pStyle w:val="CETBodytext"/>
              <w:jc w:val="center"/>
              <w:rPr>
                <w:rFonts w:cs="Arial"/>
                <w:szCs w:val="18"/>
                <w:lang w:val="en-GB"/>
              </w:rPr>
            </w:pPr>
            <w:r>
              <w:rPr>
                <w:rFonts w:cs="Arial"/>
                <w:szCs w:val="18"/>
                <w:lang w:val="en-GB"/>
              </w:rPr>
              <w:t>0.1</w:t>
            </w:r>
          </w:p>
        </w:tc>
        <w:tc>
          <w:tcPr>
            <w:tcW w:w="479" w:type="pct"/>
            <w:shd w:val="clear" w:color="auto" w:fill="FFFFFF"/>
            <w:vAlign w:val="bottom"/>
          </w:tcPr>
          <w:p w14:paraId="50BB24B7" w14:textId="08260699" w:rsidR="00390B71" w:rsidRPr="00822956" w:rsidRDefault="00390B71" w:rsidP="004C21D4">
            <w:pPr>
              <w:pStyle w:val="CETBodytext"/>
              <w:jc w:val="center"/>
              <w:rPr>
                <w:rFonts w:cs="Arial"/>
                <w:szCs w:val="18"/>
                <w:lang w:val="en-GB"/>
              </w:rPr>
            </w:pPr>
            <w:r>
              <w:rPr>
                <w:rFonts w:cs="Arial"/>
                <w:szCs w:val="18"/>
                <w:lang w:val="en-GB"/>
              </w:rPr>
              <w:t>5</w:t>
            </w:r>
            <w:r w:rsidRPr="00822956">
              <w:rPr>
                <w:rFonts w:cs="Arial"/>
                <w:szCs w:val="18"/>
                <w:lang w:val="en-GB"/>
              </w:rPr>
              <w:t>.6</w:t>
            </w:r>
            <w:r>
              <w:rPr>
                <w:rFonts w:cs="Arial"/>
                <w:szCs w:val="18"/>
                <w:lang w:val="en-GB"/>
              </w:rPr>
              <w:t>1</w:t>
            </w:r>
            <w:r>
              <w:rPr>
                <w:rFonts w:cs="Arial"/>
                <w:lang w:val="en-GB"/>
              </w:rPr>
              <w:t>·</w:t>
            </w:r>
            <w:r w:rsidRPr="0083517E">
              <w:rPr>
                <w:color w:val="000000" w:themeColor="text1"/>
                <w:lang w:val="en-GB"/>
              </w:rPr>
              <w:t>10</w:t>
            </w:r>
            <w:r w:rsidRPr="00BC37D0">
              <w:rPr>
                <w:color w:val="000000" w:themeColor="text1"/>
                <w:vertAlign w:val="superscript"/>
                <w:lang w:val="en-GB"/>
              </w:rPr>
              <w:t>-3</w:t>
            </w:r>
          </w:p>
        </w:tc>
        <w:tc>
          <w:tcPr>
            <w:tcW w:w="478" w:type="pct"/>
            <w:shd w:val="clear" w:color="auto" w:fill="FFFFFF"/>
          </w:tcPr>
          <w:p w14:paraId="367C4EC8" w14:textId="32BC494C" w:rsidR="00390B71" w:rsidRPr="00822956" w:rsidRDefault="00390B71" w:rsidP="004C21D4">
            <w:pPr>
              <w:pStyle w:val="CETBodytext"/>
              <w:jc w:val="center"/>
              <w:rPr>
                <w:rFonts w:cs="Arial"/>
                <w:szCs w:val="18"/>
                <w:lang w:val="en-GB"/>
              </w:rPr>
            </w:pPr>
            <w:r>
              <w:rPr>
                <w:rFonts w:cs="Arial"/>
                <w:szCs w:val="18"/>
                <w:lang w:val="en-GB"/>
              </w:rPr>
              <w:t>9</w:t>
            </w:r>
            <w:r w:rsidRPr="00822956">
              <w:rPr>
                <w:rFonts w:cs="Arial"/>
                <w:szCs w:val="18"/>
                <w:lang w:val="en-GB"/>
              </w:rPr>
              <w:t>.</w:t>
            </w:r>
            <w:r>
              <w:rPr>
                <w:rFonts w:cs="Arial"/>
                <w:szCs w:val="18"/>
                <w:lang w:val="en-GB"/>
              </w:rPr>
              <w:t>52</w:t>
            </w:r>
            <w:r>
              <w:rPr>
                <w:rFonts w:cs="Arial"/>
                <w:lang w:val="en-GB"/>
              </w:rPr>
              <w:t>·</w:t>
            </w:r>
            <w:r w:rsidRPr="0083517E">
              <w:rPr>
                <w:color w:val="000000" w:themeColor="text1"/>
                <w:lang w:val="en-GB"/>
              </w:rPr>
              <w:t>10</w:t>
            </w:r>
            <w:r w:rsidRPr="00BC37D0">
              <w:rPr>
                <w:color w:val="000000" w:themeColor="text1"/>
                <w:vertAlign w:val="superscript"/>
                <w:lang w:val="en-GB"/>
              </w:rPr>
              <w:t>-3</w:t>
            </w:r>
          </w:p>
        </w:tc>
        <w:tc>
          <w:tcPr>
            <w:tcW w:w="460" w:type="pct"/>
            <w:gridSpan w:val="2"/>
            <w:tcBorders>
              <w:top w:val="single" w:sz="6" w:space="0" w:color="008000"/>
              <w:bottom w:val="single" w:sz="12" w:space="0" w:color="008000"/>
              <w:right w:val="single" w:sz="12" w:space="0" w:color="008000"/>
            </w:tcBorders>
            <w:shd w:val="clear" w:color="auto" w:fill="FFFFFF"/>
          </w:tcPr>
          <w:p w14:paraId="59E72160" w14:textId="569876C8" w:rsidR="00390B71" w:rsidRPr="00822956" w:rsidRDefault="00390B71" w:rsidP="004C21D4">
            <w:pPr>
              <w:pStyle w:val="CETBodytext"/>
              <w:jc w:val="center"/>
              <w:rPr>
                <w:rFonts w:cs="Arial"/>
                <w:szCs w:val="18"/>
                <w:lang w:val="en-GB"/>
              </w:rPr>
            </w:pPr>
            <w:r>
              <w:rPr>
                <w:rFonts w:cs="Arial"/>
                <w:szCs w:val="18"/>
                <w:lang w:val="en-GB"/>
              </w:rPr>
              <w:t>3</w:t>
            </w:r>
            <w:r w:rsidRPr="00822956">
              <w:rPr>
                <w:rFonts w:cs="Arial"/>
                <w:szCs w:val="18"/>
                <w:lang w:val="en-GB"/>
              </w:rPr>
              <w:t>.</w:t>
            </w:r>
            <w:r>
              <w:rPr>
                <w:rFonts w:cs="Arial"/>
                <w:szCs w:val="18"/>
                <w:lang w:val="en-GB"/>
              </w:rPr>
              <w:t>53</w:t>
            </w:r>
            <w:r>
              <w:rPr>
                <w:rFonts w:cs="Arial"/>
                <w:lang w:val="en-GB"/>
              </w:rPr>
              <w:t>·</w:t>
            </w:r>
            <w:r w:rsidRPr="0083517E">
              <w:rPr>
                <w:color w:val="000000" w:themeColor="text1"/>
                <w:lang w:val="en-GB"/>
              </w:rPr>
              <w:t>10</w:t>
            </w:r>
            <w:r w:rsidRPr="00BC37D0">
              <w:rPr>
                <w:color w:val="000000" w:themeColor="text1"/>
                <w:vertAlign w:val="superscript"/>
                <w:lang w:val="en-GB"/>
              </w:rPr>
              <w:t>-3</w:t>
            </w:r>
          </w:p>
        </w:tc>
        <w:tc>
          <w:tcPr>
            <w:tcW w:w="557" w:type="pct"/>
            <w:tcBorders>
              <w:left w:val="single" w:sz="12" w:space="0" w:color="008000"/>
            </w:tcBorders>
            <w:shd w:val="clear" w:color="auto" w:fill="FFFFFF"/>
            <w:vAlign w:val="center"/>
          </w:tcPr>
          <w:p w14:paraId="12F84E19" w14:textId="6A84BBCC" w:rsidR="00390B71" w:rsidRPr="00822956" w:rsidRDefault="00390B71" w:rsidP="00125FDC">
            <w:pPr>
              <w:pStyle w:val="CETBodytext"/>
              <w:jc w:val="center"/>
              <w:rPr>
                <w:rFonts w:cs="Arial"/>
                <w:szCs w:val="18"/>
                <w:lang w:val="en-GB"/>
              </w:rPr>
            </w:pPr>
            <w:r>
              <w:rPr>
                <w:rFonts w:cs="Arial"/>
                <w:szCs w:val="18"/>
                <w:lang w:val="en-GB"/>
              </w:rPr>
              <w:t>720</w:t>
            </w:r>
          </w:p>
        </w:tc>
        <w:tc>
          <w:tcPr>
            <w:tcW w:w="239" w:type="pct"/>
            <w:shd w:val="clear" w:color="auto" w:fill="FFFFFF"/>
            <w:vAlign w:val="bottom"/>
          </w:tcPr>
          <w:p w14:paraId="5AD8CFF9" w14:textId="133595E6" w:rsidR="00390B71" w:rsidRPr="00822956" w:rsidRDefault="00390B71" w:rsidP="00125FDC">
            <w:pPr>
              <w:pStyle w:val="CETBodytext"/>
              <w:jc w:val="center"/>
              <w:rPr>
                <w:rFonts w:cs="Arial"/>
                <w:szCs w:val="18"/>
                <w:lang w:val="en-GB"/>
              </w:rPr>
            </w:pPr>
            <w:r>
              <w:rPr>
                <w:rFonts w:cs="Arial"/>
                <w:szCs w:val="18"/>
                <w:lang w:val="en-GB"/>
              </w:rPr>
              <w:t>7</w:t>
            </w:r>
          </w:p>
        </w:tc>
        <w:tc>
          <w:tcPr>
            <w:tcW w:w="240" w:type="pct"/>
            <w:shd w:val="clear" w:color="auto" w:fill="FFFFFF"/>
          </w:tcPr>
          <w:p w14:paraId="4AAF7AD1" w14:textId="4AB12B90" w:rsidR="00390B71" w:rsidRPr="00822956" w:rsidRDefault="00390B71" w:rsidP="00125FDC">
            <w:pPr>
              <w:pStyle w:val="CETBodytext"/>
              <w:jc w:val="center"/>
              <w:rPr>
                <w:rFonts w:cs="Arial"/>
                <w:szCs w:val="18"/>
                <w:lang w:val="en-GB"/>
              </w:rPr>
            </w:pPr>
            <w:r>
              <w:rPr>
                <w:rFonts w:cs="Arial"/>
                <w:szCs w:val="18"/>
                <w:lang w:val="en-GB"/>
              </w:rPr>
              <w:t>2</w:t>
            </w:r>
          </w:p>
        </w:tc>
        <w:tc>
          <w:tcPr>
            <w:tcW w:w="317" w:type="pct"/>
            <w:shd w:val="clear" w:color="auto" w:fill="FFFFFF"/>
          </w:tcPr>
          <w:p w14:paraId="49078B54" w14:textId="0E941691" w:rsidR="00390B71" w:rsidRPr="00822956" w:rsidRDefault="00BA52CD" w:rsidP="00125FDC">
            <w:pPr>
              <w:pStyle w:val="CETBodytext"/>
              <w:jc w:val="center"/>
              <w:rPr>
                <w:rFonts w:cs="Arial"/>
                <w:szCs w:val="18"/>
                <w:lang w:val="en-GB"/>
              </w:rPr>
            </w:pPr>
            <w:r>
              <w:rPr>
                <w:rFonts w:cs="Arial"/>
                <w:szCs w:val="18"/>
                <w:lang w:val="en-GB"/>
              </w:rPr>
              <w:t>1</w:t>
            </w:r>
          </w:p>
        </w:tc>
        <w:tc>
          <w:tcPr>
            <w:tcW w:w="496" w:type="pct"/>
            <w:gridSpan w:val="2"/>
            <w:tcBorders>
              <w:top w:val="single" w:sz="6" w:space="0" w:color="008000"/>
              <w:bottom w:val="single" w:sz="12" w:space="0" w:color="008000"/>
              <w:right w:val="single" w:sz="12" w:space="0" w:color="008000"/>
            </w:tcBorders>
            <w:shd w:val="clear" w:color="auto" w:fill="FFFFFF"/>
            <w:vAlign w:val="bottom"/>
          </w:tcPr>
          <w:p w14:paraId="4178E278" w14:textId="5D999273" w:rsidR="00390B71" w:rsidRPr="00822956" w:rsidRDefault="00BA52CD" w:rsidP="00125FDC">
            <w:pPr>
              <w:pStyle w:val="CETBodytext"/>
              <w:jc w:val="center"/>
              <w:rPr>
                <w:rFonts w:cs="Arial"/>
                <w:szCs w:val="18"/>
                <w:lang w:val="en-GB"/>
              </w:rPr>
            </w:pPr>
            <w:r>
              <w:rPr>
                <w:rFonts w:cs="Arial"/>
                <w:szCs w:val="18"/>
                <w:lang w:val="en-GB"/>
              </w:rPr>
              <w:t>2</w:t>
            </w:r>
            <w:r w:rsidR="00390B71">
              <w:rPr>
                <w:rFonts w:cs="Arial"/>
                <w:szCs w:val="18"/>
                <w:lang w:val="en-GB"/>
              </w:rPr>
              <w:t>.</w:t>
            </w:r>
            <w:r>
              <w:rPr>
                <w:rFonts w:cs="Arial"/>
                <w:szCs w:val="18"/>
                <w:lang w:val="en-GB"/>
              </w:rPr>
              <w:t>13</w:t>
            </w:r>
            <w:r w:rsidR="00390B71">
              <w:rPr>
                <w:rFonts w:cs="Arial"/>
                <w:szCs w:val="18"/>
                <w:lang w:val="en-GB"/>
              </w:rPr>
              <w:t>·10</w:t>
            </w:r>
            <w:r w:rsidR="00390B71" w:rsidRPr="00E814E7">
              <w:rPr>
                <w:rFonts w:cs="Arial"/>
                <w:szCs w:val="18"/>
                <w:vertAlign w:val="superscript"/>
                <w:lang w:val="en-GB"/>
              </w:rPr>
              <w:t>-4</w:t>
            </w:r>
          </w:p>
        </w:tc>
        <w:tc>
          <w:tcPr>
            <w:tcW w:w="458" w:type="pct"/>
            <w:tcBorders>
              <w:left w:val="single" w:sz="12" w:space="0" w:color="008000"/>
            </w:tcBorders>
            <w:shd w:val="clear" w:color="auto" w:fill="FFFFFF"/>
          </w:tcPr>
          <w:p w14:paraId="5594DDF9" w14:textId="4CFE2891" w:rsidR="00390B71" w:rsidRPr="00822956" w:rsidRDefault="00390B71" w:rsidP="004C21D4">
            <w:pPr>
              <w:pStyle w:val="CETBodytext"/>
              <w:jc w:val="center"/>
              <w:rPr>
                <w:rFonts w:cs="Arial"/>
                <w:szCs w:val="18"/>
                <w:lang w:val="en-GB"/>
              </w:rPr>
            </w:pPr>
            <w:r>
              <w:rPr>
                <w:rFonts w:cs="Arial"/>
                <w:szCs w:val="18"/>
                <w:lang w:val="en-GB"/>
              </w:rPr>
              <w:t>95</w:t>
            </w:r>
          </w:p>
        </w:tc>
        <w:tc>
          <w:tcPr>
            <w:tcW w:w="319" w:type="pct"/>
            <w:shd w:val="clear" w:color="auto" w:fill="FFFFFF"/>
          </w:tcPr>
          <w:p w14:paraId="4B148521" w14:textId="4D671240" w:rsidR="00390B71" w:rsidRPr="00822956" w:rsidRDefault="00390B71" w:rsidP="004C21D4">
            <w:pPr>
              <w:pStyle w:val="CETBodytext"/>
              <w:jc w:val="center"/>
              <w:rPr>
                <w:rFonts w:cs="Arial"/>
                <w:szCs w:val="18"/>
                <w:lang w:val="en-GB"/>
              </w:rPr>
            </w:pPr>
            <w:r>
              <w:rPr>
                <w:rFonts w:cs="Arial"/>
                <w:szCs w:val="18"/>
                <w:lang w:val="en-GB"/>
              </w:rPr>
              <w:t>2500</w:t>
            </w:r>
          </w:p>
        </w:tc>
        <w:tc>
          <w:tcPr>
            <w:tcW w:w="320" w:type="pct"/>
            <w:shd w:val="clear" w:color="auto" w:fill="FFFFFF"/>
          </w:tcPr>
          <w:p w14:paraId="6D441D80" w14:textId="0633F759" w:rsidR="00390B71" w:rsidRPr="00822956" w:rsidRDefault="00390B71" w:rsidP="004C21D4">
            <w:pPr>
              <w:pStyle w:val="CETBodytext"/>
              <w:jc w:val="center"/>
              <w:rPr>
                <w:rFonts w:cs="Arial"/>
                <w:szCs w:val="18"/>
                <w:lang w:val="en-GB"/>
              </w:rPr>
            </w:pPr>
            <w:r>
              <w:rPr>
                <w:rFonts w:cs="Arial"/>
                <w:szCs w:val="18"/>
                <w:lang w:val="en-GB"/>
              </w:rPr>
              <w:t>0.125</w:t>
            </w:r>
          </w:p>
        </w:tc>
      </w:tr>
    </w:tbl>
    <w:p w14:paraId="17D04556" w14:textId="77777777" w:rsidR="00C551A6" w:rsidRDefault="00C551A6" w:rsidP="00C551A6"/>
    <w:p w14:paraId="4AC27B71" w14:textId="35C8B3BB" w:rsidR="00CF4278" w:rsidRPr="00EB66BF" w:rsidRDefault="00391244" w:rsidP="00CF4278">
      <w:pPr>
        <w:pStyle w:val="CETBodytext"/>
      </w:pPr>
      <w:r w:rsidRPr="00391244">
        <w:t xml:space="preserve">For comparison purposes, the emission estimates were expressed in terms of SOER, which normalizes the emission flux with respect to the emitting surface area and allows a method-consistent evaluation independent of source size. </w:t>
      </w:r>
      <w:r w:rsidR="00CF4278" w:rsidRPr="00EB66BF">
        <w:t xml:space="preserve">The resulting </w:t>
      </w:r>
      <w:r w:rsidR="00C551A6">
        <w:t>S</w:t>
      </w:r>
      <w:r w:rsidR="00CF4278" w:rsidRPr="00EB66BF">
        <w:t>OER values</w:t>
      </w:r>
      <w:r w:rsidR="00B0429A" w:rsidRPr="00EB66BF">
        <w:t xml:space="preserve"> are reported in </w:t>
      </w:r>
      <w:r w:rsidR="00EB66BF" w:rsidRPr="00EB66BF">
        <w:fldChar w:fldCharType="begin"/>
      </w:r>
      <w:r w:rsidR="00EB66BF" w:rsidRPr="00EB66BF">
        <w:instrText xml:space="preserve"> REF _Ref228785086 \h  \* MERGEFORMAT </w:instrText>
      </w:r>
      <w:r w:rsidR="00EB66BF" w:rsidRPr="00EB66BF">
        <w:fldChar w:fldCharType="separate"/>
      </w:r>
      <w:r w:rsidR="00EB66BF" w:rsidRPr="00EB66BF">
        <w:t>Table 2</w:t>
      </w:r>
      <w:r w:rsidR="00EB66BF" w:rsidRPr="00EB66BF">
        <w:fldChar w:fldCharType="end"/>
      </w:r>
      <w:r w:rsidR="00B0429A" w:rsidRPr="00EB66BF">
        <w:t>.</w:t>
      </w:r>
    </w:p>
    <w:p w14:paraId="29F7CD6E" w14:textId="2290CD27" w:rsidR="00CF4278" w:rsidRDefault="00CF4278" w:rsidP="00CF4278">
      <w:pPr>
        <w:pStyle w:val="CETBodytext"/>
        <w:rPr>
          <w:lang w:val="en-GB"/>
        </w:rPr>
      </w:pPr>
    </w:p>
    <w:p w14:paraId="58AB90ED" w14:textId="77EE419B" w:rsidR="00B0429A" w:rsidRPr="00C551A6" w:rsidRDefault="00B0429A" w:rsidP="00B0429A">
      <w:pPr>
        <w:pStyle w:val="Didascalia"/>
        <w:rPr>
          <w:rStyle w:val="CETCaptionCarattere"/>
          <w:b w:val="0"/>
          <w:bCs w:val="0"/>
          <w:color w:val="auto"/>
        </w:rPr>
      </w:pPr>
      <w:bookmarkStart w:id="2" w:name="_Ref228785086"/>
      <w:r w:rsidRPr="00C551A6">
        <w:rPr>
          <w:rStyle w:val="CETCaptionCarattere"/>
          <w:b w:val="0"/>
          <w:bCs w:val="0"/>
          <w:color w:val="auto"/>
        </w:rPr>
        <w:t xml:space="preserve">Table </w:t>
      </w:r>
      <w:r w:rsidRPr="00C551A6">
        <w:rPr>
          <w:rStyle w:val="CETCaptionCarattere"/>
          <w:b w:val="0"/>
          <w:bCs w:val="0"/>
          <w:color w:val="auto"/>
        </w:rPr>
        <w:fldChar w:fldCharType="begin"/>
      </w:r>
      <w:r w:rsidRPr="00C551A6">
        <w:rPr>
          <w:rStyle w:val="CETCaptionCarattere"/>
          <w:b w:val="0"/>
          <w:bCs w:val="0"/>
          <w:color w:val="auto"/>
        </w:rPr>
        <w:instrText xml:space="preserve"> SEQ Table \* ARABIC </w:instrText>
      </w:r>
      <w:r w:rsidRPr="00C551A6">
        <w:rPr>
          <w:rStyle w:val="CETCaptionCarattere"/>
          <w:b w:val="0"/>
          <w:bCs w:val="0"/>
          <w:color w:val="auto"/>
        </w:rPr>
        <w:fldChar w:fldCharType="separate"/>
      </w:r>
      <w:r w:rsidRPr="00C551A6">
        <w:rPr>
          <w:rStyle w:val="CETCaptionCarattere"/>
          <w:b w:val="0"/>
          <w:bCs w:val="0"/>
          <w:color w:val="auto"/>
        </w:rPr>
        <w:t>2</w:t>
      </w:r>
      <w:r w:rsidRPr="00C551A6">
        <w:rPr>
          <w:rStyle w:val="CETCaptionCarattere"/>
          <w:b w:val="0"/>
          <w:bCs w:val="0"/>
          <w:color w:val="auto"/>
        </w:rPr>
        <w:fldChar w:fldCharType="end"/>
      </w:r>
      <w:bookmarkEnd w:id="2"/>
      <w:r w:rsidR="008D0275" w:rsidRPr="00C551A6">
        <w:rPr>
          <w:rStyle w:val="CETCaptionCarattere"/>
          <w:b w:val="0"/>
          <w:bCs w:val="0"/>
          <w:color w:val="auto"/>
        </w:rPr>
        <w:t>:</w:t>
      </w:r>
      <w:r w:rsidR="00EB66BF" w:rsidRPr="00C551A6">
        <w:rPr>
          <w:rStyle w:val="CETCaptionCarattere"/>
          <w:b w:val="0"/>
          <w:bCs w:val="0"/>
          <w:color w:val="auto"/>
        </w:rPr>
        <w:t xml:space="preserve"> </w:t>
      </w:r>
      <w:r w:rsidR="00C551A6" w:rsidRPr="00C551A6">
        <w:rPr>
          <w:rStyle w:val="CETCaptionCarattere"/>
          <w:b w:val="0"/>
          <w:bCs w:val="0"/>
          <w:color w:val="auto"/>
        </w:rPr>
        <w:t>S</w:t>
      </w:r>
      <w:r w:rsidR="00EB66BF" w:rsidRPr="00C551A6">
        <w:rPr>
          <w:rStyle w:val="CETCaptionCarattere"/>
          <w:b w:val="0"/>
          <w:bCs w:val="0"/>
          <w:color w:val="auto"/>
        </w:rPr>
        <w:t>OER estimated with the three methods</w:t>
      </w:r>
    </w:p>
    <w:tbl>
      <w:tblPr>
        <w:tblW w:w="5082" w:type="pct"/>
        <w:tblBorders>
          <w:top w:val="single" w:sz="12" w:space="0" w:color="008000"/>
          <w:bottom w:val="single" w:sz="12" w:space="0" w:color="008000"/>
        </w:tblBorders>
        <w:shd w:val="clear" w:color="auto" w:fill="FFFFFF"/>
        <w:tblLayout w:type="fixed"/>
        <w:tblCellMar>
          <w:left w:w="0" w:type="dxa"/>
          <w:right w:w="0" w:type="dxa"/>
        </w:tblCellMar>
        <w:tblLook w:val="00A0" w:firstRow="1" w:lastRow="0" w:firstColumn="1" w:lastColumn="0" w:noHBand="0" w:noVBand="0"/>
      </w:tblPr>
      <w:tblGrid>
        <w:gridCol w:w="3687"/>
        <w:gridCol w:w="3260"/>
        <w:gridCol w:w="1984"/>
      </w:tblGrid>
      <w:tr w:rsidR="00B0429A" w:rsidRPr="00405395" w14:paraId="3A590777" w14:textId="77777777" w:rsidTr="00390B71">
        <w:tc>
          <w:tcPr>
            <w:tcW w:w="2064" w:type="pct"/>
            <w:tcBorders>
              <w:top w:val="single" w:sz="12" w:space="0" w:color="008000"/>
              <w:bottom w:val="single" w:sz="12" w:space="0" w:color="008000"/>
            </w:tcBorders>
            <w:shd w:val="clear" w:color="auto" w:fill="FFFFFF"/>
            <w:vAlign w:val="center"/>
          </w:tcPr>
          <w:p w14:paraId="080671D9" w14:textId="3C0F87FF" w:rsidR="00626B2E" w:rsidRDefault="00B0429A" w:rsidP="00390B71">
            <w:pPr>
              <w:pStyle w:val="CETBodytext"/>
              <w:jc w:val="center"/>
              <w:rPr>
                <w:rFonts w:cs="Arial"/>
                <w:szCs w:val="18"/>
                <w:lang w:val="en-GB"/>
              </w:rPr>
            </w:pPr>
            <w:r>
              <w:rPr>
                <w:rFonts w:cs="Arial"/>
                <w:szCs w:val="18"/>
                <w:lang w:val="en-GB"/>
              </w:rPr>
              <w:t xml:space="preserve">Method </w:t>
            </w:r>
            <w:r w:rsidR="00C551A6">
              <w:rPr>
                <w:rFonts w:cs="Arial"/>
                <w:szCs w:val="18"/>
                <w:lang w:val="en-GB"/>
              </w:rPr>
              <w:t>1</w:t>
            </w:r>
          </w:p>
          <w:p w14:paraId="5FC75A29" w14:textId="0AB69601" w:rsidR="00B0429A" w:rsidRDefault="008459CD" w:rsidP="00390B71">
            <w:pPr>
              <w:pStyle w:val="CETBodytext"/>
              <w:jc w:val="center"/>
              <w:rPr>
                <w:rFonts w:cs="Arial"/>
                <w:szCs w:val="18"/>
                <w:lang w:val="en-GB"/>
              </w:rPr>
            </w:pPr>
            <w:r>
              <w:rPr>
                <w:rFonts w:cs="Arial"/>
                <w:szCs w:val="18"/>
                <w:lang w:val="en-GB"/>
              </w:rPr>
              <w:t>[</w:t>
            </w:r>
            <w:proofErr w:type="spellStart"/>
            <w:r>
              <w:rPr>
                <w:rFonts w:cs="Arial"/>
                <w:szCs w:val="18"/>
                <w:lang w:val="en-GB"/>
              </w:rPr>
              <w:t>ou</w:t>
            </w:r>
            <w:r w:rsidRPr="008459CD">
              <w:rPr>
                <w:rFonts w:cs="Arial"/>
                <w:szCs w:val="18"/>
                <w:vertAlign w:val="subscript"/>
                <w:lang w:val="en-GB"/>
              </w:rPr>
              <w:t>E</w:t>
            </w:r>
            <w:proofErr w:type="spellEnd"/>
            <w:r>
              <w:rPr>
                <w:rFonts w:cs="Arial"/>
                <w:szCs w:val="18"/>
                <w:lang w:val="en-GB"/>
              </w:rPr>
              <w:t>/</w:t>
            </w:r>
            <w:r w:rsidR="00C551A6">
              <w:rPr>
                <w:rFonts w:cs="Arial"/>
                <w:szCs w:val="18"/>
                <w:lang w:val="en-GB"/>
              </w:rPr>
              <w:t>m</w:t>
            </w:r>
            <w:r w:rsidR="00C551A6" w:rsidRPr="00C551A6">
              <w:rPr>
                <w:rFonts w:cs="Arial"/>
                <w:szCs w:val="18"/>
                <w:vertAlign w:val="superscript"/>
                <w:lang w:val="en-GB"/>
              </w:rPr>
              <w:t>2</w:t>
            </w:r>
            <w:r w:rsidR="00C551A6">
              <w:rPr>
                <w:rFonts w:cs="Arial"/>
                <w:szCs w:val="18"/>
                <w:lang w:val="en-GB"/>
              </w:rPr>
              <w:t>/</w:t>
            </w:r>
            <w:r>
              <w:rPr>
                <w:rFonts w:cs="Arial"/>
                <w:szCs w:val="18"/>
                <w:lang w:val="en-GB"/>
              </w:rPr>
              <w:t>s]</w:t>
            </w:r>
          </w:p>
        </w:tc>
        <w:tc>
          <w:tcPr>
            <w:tcW w:w="1825" w:type="pct"/>
            <w:tcBorders>
              <w:top w:val="single" w:sz="12" w:space="0" w:color="008000"/>
              <w:bottom w:val="single" w:sz="12" w:space="0" w:color="008000"/>
            </w:tcBorders>
            <w:shd w:val="clear" w:color="auto" w:fill="FFFFFF"/>
          </w:tcPr>
          <w:p w14:paraId="434BAA5D" w14:textId="3AE117BB" w:rsidR="00626B2E" w:rsidRDefault="00B0429A" w:rsidP="00390B71">
            <w:pPr>
              <w:pStyle w:val="CETBodytext"/>
              <w:jc w:val="center"/>
              <w:rPr>
                <w:rFonts w:cs="Arial"/>
                <w:szCs w:val="18"/>
                <w:lang w:val="en-GB"/>
              </w:rPr>
            </w:pPr>
            <w:r>
              <w:rPr>
                <w:rFonts w:cs="Arial"/>
                <w:szCs w:val="18"/>
                <w:lang w:val="en-GB"/>
              </w:rPr>
              <w:t xml:space="preserve">Method </w:t>
            </w:r>
            <w:r w:rsidR="00C551A6">
              <w:rPr>
                <w:rFonts w:cs="Arial"/>
                <w:szCs w:val="18"/>
                <w:lang w:val="en-GB"/>
              </w:rPr>
              <w:t>2</w:t>
            </w:r>
          </w:p>
          <w:p w14:paraId="7DDAC75C" w14:textId="420A7FE3" w:rsidR="00B0429A" w:rsidRDefault="008459CD" w:rsidP="00390B71">
            <w:pPr>
              <w:pStyle w:val="CETBodytext"/>
              <w:jc w:val="center"/>
              <w:rPr>
                <w:rFonts w:cs="Arial"/>
                <w:szCs w:val="18"/>
                <w:lang w:val="en-GB"/>
              </w:rPr>
            </w:pPr>
            <w:r>
              <w:rPr>
                <w:rFonts w:cs="Arial"/>
                <w:szCs w:val="18"/>
                <w:lang w:val="en-GB"/>
              </w:rPr>
              <w:t>[</w:t>
            </w:r>
            <w:proofErr w:type="spellStart"/>
            <w:r w:rsidR="00C551A6">
              <w:rPr>
                <w:rFonts w:cs="Arial"/>
                <w:szCs w:val="18"/>
                <w:lang w:val="en-GB"/>
              </w:rPr>
              <w:t>ou</w:t>
            </w:r>
            <w:r w:rsidR="00C551A6" w:rsidRPr="008459CD">
              <w:rPr>
                <w:rFonts w:cs="Arial"/>
                <w:szCs w:val="18"/>
                <w:vertAlign w:val="subscript"/>
                <w:lang w:val="en-GB"/>
              </w:rPr>
              <w:t>E</w:t>
            </w:r>
            <w:proofErr w:type="spellEnd"/>
            <w:r w:rsidR="00C551A6">
              <w:rPr>
                <w:rFonts w:cs="Arial"/>
                <w:szCs w:val="18"/>
                <w:lang w:val="en-GB"/>
              </w:rPr>
              <w:t>/m</w:t>
            </w:r>
            <w:r w:rsidR="00C551A6" w:rsidRPr="00C551A6">
              <w:rPr>
                <w:rFonts w:cs="Arial"/>
                <w:szCs w:val="18"/>
                <w:vertAlign w:val="superscript"/>
                <w:lang w:val="en-GB"/>
              </w:rPr>
              <w:t>2</w:t>
            </w:r>
            <w:r w:rsidR="00C551A6">
              <w:rPr>
                <w:rFonts w:cs="Arial"/>
                <w:szCs w:val="18"/>
                <w:lang w:val="en-GB"/>
              </w:rPr>
              <w:t>/s</w:t>
            </w:r>
            <w:r>
              <w:rPr>
                <w:rFonts w:cs="Arial"/>
                <w:szCs w:val="18"/>
                <w:lang w:val="en-GB"/>
              </w:rPr>
              <w:t>]</w:t>
            </w:r>
          </w:p>
        </w:tc>
        <w:tc>
          <w:tcPr>
            <w:tcW w:w="1111" w:type="pct"/>
            <w:tcBorders>
              <w:top w:val="single" w:sz="12" w:space="0" w:color="008000"/>
              <w:bottom w:val="single" w:sz="12" w:space="0" w:color="008000"/>
            </w:tcBorders>
            <w:shd w:val="clear" w:color="auto" w:fill="FFFFFF"/>
          </w:tcPr>
          <w:p w14:paraId="729B9DCB" w14:textId="68582F75" w:rsidR="00626B2E" w:rsidRDefault="00B0429A" w:rsidP="00390B71">
            <w:pPr>
              <w:pStyle w:val="CETBodytext"/>
              <w:jc w:val="center"/>
              <w:rPr>
                <w:rFonts w:cs="Arial"/>
                <w:szCs w:val="18"/>
                <w:lang w:val="en-GB"/>
              </w:rPr>
            </w:pPr>
            <w:r>
              <w:rPr>
                <w:rFonts w:cs="Arial"/>
                <w:szCs w:val="18"/>
                <w:lang w:val="en-GB"/>
              </w:rPr>
              <w:t xml:space="preserve">Method </w:t>
            </w:r>
            <w:r w:rsidR="00C551A6">
              <w:rPr>
                <w:rFonts w:cs="Arial"/>
                <w:szCs w:val="18"/>
                <w:lang w:val="en-GB"/>
              </w:rPr>
              <w:t>3</w:t>
            </w:r>
          </w:p>
          <w:p w14:paraId="4D1F06E9" w14:textId="4CAC0CA5" w:rsidR="00B0429A" w:rsidRDefault="008459CD" w:rsidP="00390B71">
            <w:pPr>
              <w:pStyle w:val="CETBodytext"/>
              <w:jc w:val="center"/>
              <w:rPr>
                <w:rFonts w:cs="Arial"/>
                <w:szCs w:val="18"/>
                <w:lang w:val="en-GB"/>
              </w:rPr>
            </w:pPr>
            <w:r>
              <w:rPr>
                <w:rFonts w:cs="Arial"/>
                <w:szCs w:val="18"/>
                <w:lang w:val="en-GB"/>
              </w:rPr>
              <w:t>[</w:t>
            </w:r>
            <w:proofErr w:type="spellStart"/>
            <w:r w:rsidR="00C551A6">
              <w:rPr>
                <w:rFonts w:cs="Arial"/>
                <w:szCs w:val="18"/>
                <w:lang w:val="en-GB"/>
              </w:rPr>
              <w:t>ou</w:t>
            </w:r>
            <w:r w:rsidR="00C551A6" w:rsidRPr="008459CD">
              <w:rPr>
                <w:rFonts w:cs="Arial"/>
                <w:szCs w:val="18"/>
                <w:vertAlign w:val="subscript"/>
                <w:lang w:val="en-GB"/>
              </w:rPr>
              <w:t>E</w:t>
            </w:r>
            <w:proofErr w:type="spellEnd"/>
            <w:r w:rsidR="00C551A6">
              <w:rPr>
                <w:rFonts w:cs="Arial"/>
                <w:szCs w:val="18"/>
                <w:lang w:val="en-GB"/>
              </w:rPr>
              <w:t>/m</w:t>
            </w:r>
            <w:r w:rsidR="00C551A6" w:rsidRPr="00C551A6">
              <w:rPr>
                <w:rFonts w:cs="Arial"/>
                <w:szCs w:val="18"/>
                <w:vertAlign w:val="superscript"/>
                <w:lang w:val="en-GB"/>
              </w:rPr>
              <w:t>2</w:t>
            </w:r>
            <w:r w:rsidR="00C551A6">
              <w:rPr>
                <w:rFonts w:cs="Arial"/>
                <w:szCs w:val="18"/>
                <w:lang w:val="en-GB"/>
              </w:rPr>
              <w:t>/s</w:t>
            </w:r>
            <w:r>
              <w:rPr>
                <w:rFonts w:cs="Arial"/>
                <w:szCs w:val="18"/>
                <w:lang w:val="en-GB"/>
              </w:rPr>
              <w:t>]</w:t>
            </w:r>
          </w:p>
        </w:tc>
      </w:tr>
      <w:tr w:rsidR="008459CD" w:rsidRPr="00405395" w14:paraId="5CE796B0" w14:textId="77777777" w:rsidTr="00390B71">
        <w:tc>
          <w:tcPr>
            <w:tcW w:w="2064" w:type="pct"/>
            <w:tcBorders>
              <w:top w:val="single" w:sz="12" w:space="0" w:color="008000"/>
              <w:bottom w:val="single" w:sz="6" w:space="0" w:color="008000"/>
            </w:tcBorders>
            <w:shd w:val="clear" w:color="auto" w:fill="FFFFFF"/>
            <w:vAlign w:val="center"/>
          </w:tcPr>
          <w:p w14:paraId="632EB560" w14:textId="36F13DD2" w:rsidR="008459CD" w:rsidRDefault="00390B71" w:rsidP="00390B71">
            <w:pPr>
              <w:pStyle w:val="CETBodytext"/>
              <w:jc w:val="center"/>
              <w:rPr>
                <w:rFonts w:cs="Arial"/>
                <w:szCs w:val="18"/>
                <w:lang w:val="en-GB"/>
              </w:rPr>
            </w:pPr>
            <w:r>
              <w:rPr>
                <w:rFonts w:cs="Arial"/>
                <w:szCs w:val="18"/>
                <w:lang w:val="en-GB"/>
              </w:rPr>
              <w:t>0.42</w:t>
            </w:r>
          </w:p>
        </w:tc>
        <w:tc>
          <w:tcPr>
            <w:tcW w:w="1825" w:type="pct"/>
            <w:tcBorders>
              <w:top w:val="single" w:sz="12" w:space="0" w:color="008000"/>
              <w:bottom w:val="single" w:sz="6" w:space="0" w:color="008000"/>
            </w:tcBorders>
            <w:shd w:val="clear" w:color="auto" w:fill="FFFFFF"/>
          </w:tcPr>
          <w:p w14:paraId="11F10CB4" w14:textId="3759D2CE" w:rsidR="00390B71" w:rsidRDefault="00390B71" w:rsidP="00390B71">
            <w:pPr>
              <w:pStyle w:val="CETBodytext"/>
              <w:jc w:val="center"/>
              <w:rPr>
                <w:rFonts w:cs="Arial"/>
                <w:szCs w:val="18"/>
                <w:lang w:val="en-GB"/>
              </w:rPr>
            </w:pPr>
            <w:r>
              <w:rPr>
                <w:rFonts w:cs="Arial"/>
                <w:szCs w:val="18"/>
                <w:lang w:val="en-GB"/>
              </w:rPr>
              <w:t>0.15</w:t>
            </w:r>
          </w:p>
        </w:tc>
        <w:tc>
          <w:tcPr>
            <w:tcW w:w="1111" w:type="pct"/>
            <w:tcBorders>
              <w:top w:val="single" w:sz="12" w:space="0" w:color="008000"/>
              <w:bottom w:val="single" w:sz="6" w:space="0" w:color="008000"/>
            </w:tcBorders>
            <w:shd w:val="clear" w:color="auto" w:fill="FFFFFF"/>
          </w:tcPr>
          <w:p w14:paraId="67810D49" w14:textId="6A2F1E62" w:rsidR="008459CD" w:rsidRDefault="00390B71" w:rsidP="00390B71">
            <w:pPr>
              <w:pStyle w:val="CETBodytext"/>
              <w:jc w:val="center"/>
              <w:rPr>
                <w:rFonts w:cs="Arial"/>
                <w:szCs w:val="18"/>
                <w:lang w:val="en-GB"/>
              </w:rPr>
            </w:pPr>
            <w:r>
              <w:rPr>
                <w:rFonts w:cs="Arial"/>
                <w:szCs w:val="18"/>
                <w:lang w:val="en-GB"/>
              </w:rPr>
              <w:t>0.53</w:t>
            </w:r>
          </w:p>
        </w:tc>
      </w:tr>
    </w:tbl>
    <w:p w14:paraId="281B22FE" w14:textId="35295BBF" w:rsidR="00CF4278" w:rsidRDefault="00CF4278" w:rsidP="00CF4278">
      <w:pPr>
        <w:pStyle w:val="CETBodytext"/>
        <w:rPr>
          <w:lang w:val="en-GB"/>
        </w:rPr>
      </w:pPr>
    </w:p>
    <w:p w14:paraId="0EB1829C" w14:textId="2853CFA8" w:rsidR="00EB66BF" w:rsidRPr="00CF4278" w:rsidRDefault="00EB66BF" w:rsidP="00CF4278">
      <w:pPr>
        <w:pStyle w:val="CETBodytext"/>
        <w:rPr>
          <w:lang w:val="en-GB"/>
        </w:rPr>
      </w:pPr>
      <w:r w:rsidRPr="00F050FD">
        <w:rPr>
          <w:lang w:val="en-GB"/>
        </w:rPr>
        <w:t>As expected, the C</w:t>
      </w:r>
      <w:r w:rsidRPr="00F050FD">
        <w:rPr>
          <w:vertAlign w:val="subscript"/>
          <w:lang w:val="en-GB"/>
        </w:rPr>
        <w:t>od</w:t>
      </w:r>
      <w:r w:rsidRPr="00F050FD">
        <w:rPr>
          <w:lang w:val="en-GB"/>
        </w:rPr>
        <w:t xml:space="preserve"> obtained from the headspace method is approximately one order of magnitude higher than those measured with the other techniques, due to the equilibrium conditions established in a confined system, which promote the accumulation of volatile compounds in the gas phase. In contrast, the concentrations measured by the </w:t>
      </w:r>
      <w:r w:rsidR="00534852" w:rsidRPr="00F050FD">
        <w:rPr>
          <w:lang w:val="en-GB"/>
        </w:rPr>
        <w:t>WT</w:t>
      </w:r>
      <w:r w:rsidRPr="00F050FD">
        <w:rPr>
          <w:lang w:val="en-GB"/>
        </w:rPr>
        <w:t xml:space="preserve"> and by in situ sampling at the grating level are comparable</w:t>
      </w:r>
      <w:r w:rsidR="00F36BC8" w:rsidRPr="00F050FD">
        <w:rPr>
          <w:lang w:val="en-GB"/>
        </w:rPr>
        <w:t>.</w:t>
      </w:r>
      <w:r w:rsidRPr="00F050FD">
        <w:rPr>
          <w:lang w:val="en-GB"/>
        </w:rPr>
        <w:t xml:space="preserve"> </w:t>
      </w:r>
      <w:r w:rsidR="00BA52CD" w:rsidRPr="00F050FD">
        <w:rPr>
          <w:lang w:val="en-GB"/>
        </w:rPr>
        <w:t>Consistently, Methods 1 and 3 provide similar SOER estimates, whereas Method 2, despite the higher Cod values, yields lower SOER results. This behaviour may be related to the estimation of the gas-side mass transfer coefficient</w:t>
      </w:r>
      <w:r w:rsidR="006F5AEE" w:rsidRPr="00F050FD">
        <w:rPr>
          <w:lang w:val="en-GB"/>
        </w:rPr>
        <w:t xml:space="preserve"> </w:t>
      </w:r>
      <w:r w:rsidR="00F050FD" w:rsidRPr="00F050FD">
        <w:rPr>
          <w:lang w:val="en-GB"/>
        </w:rPr>
        <w:t>in</w:t>
      </w:r>
      <w:r w:rsidR="006F5AEE" w:rsidRPr="00F050FD">
        <w:rPr>
          <w:lang w:val="en-GB"/>
        </w:rPr>
        <w:t xml:space="preserve"> Method 2</w:t>
      </w:r>
      <w:r w:rsidR="00BA52CD" w:rsidRPr="00F050FD">
        <w:rPr>
          <w:lang w:val="en-GB"/>
        </w:rPr>
        <w:t>, which</w:t>
      </w:r>
      <w:r w:rsidR="00F050FD">
        <w:rPr>
          <w:lang w:val="en-GB"/>
        </w:rPr>
        <w:t xml:space="preserve"> </w:t>
      </w:r>
      <w:r w:rsidR="00BA52CD" w:rsidRPr="00F050FD">
        <w:rPr>
          <w:lang w:val="en-GB"/>
        </w:rPr>
        <w:t>may not fully reflect the actual transfer conditions in the presence of the grating.</w:t>
      </w:r>
    </w:p>
    <w:p w14:paraId="73889F7E" w14:textId="097393E5" w:rsidR="00076029" w:rsidRPr="00CF4278" w:rsidRDefault="00EB66BF" w:rsidP="00CF4278">
      <w:pPr>
        <w:pStyle w:val="CETHeading1"/>
        <w:rPr>
          <w:lang w:val="en-GB"/>
        </w:rPr>
      </w:pPr>
      <w:r>
        <w:rPr>
          <w:lang w:val="en-GB"/>
        </w:rPr>
        <w:t>Discussion</w:t>
      </w:r>
      <w:r w:rsidR="00410465">
        <w:rPr>
          <w:lang w:val="en-GB"/>
        </w:rPr>
        <w:t xml:space="preserve"> and conclusions</w:t>
      </w:r>
    </w:p>
    <w:p w14:paraId="372630EB" w14:textId="41BA6408" w:rsidR="001C1091" w:rsidRPr="001C1091" w:rsidRDefault="001C1091" w:rsidP="001C1091">
      <w:pPr>
        <w:pStyle w:val="CETBodytext"/>
        <w:rPr>
          <w:color w:val="000000" w:themeColor="text1"/>
          <w:lang w:val="en-GB"/>
        </w:rPr>
      </w:pPr>
      <w:r w:rsidRPr="001C1091">
        <w:rPr>
          <w:color w:val="000000" w:themeColor="text1"/>
          <w:lang w:val="en-GB"/>
        </w:rPr>
        <w:t xml:space="preserve">The comparison of the </w:t>
      </w:r>
      <w:r>
        <w:rPr>
          <w:color w:val="000000" w:themeColor="text1"/>
          <w:lang w:val="en-GB"/>
        </w:rPr>
        <w:t>S</w:t>
      </w:r>
      <w:r w:rsidRPr="001C1091">
        <w:rPr>
          <w:color w:val="000000" w:themeColor="text1"/>
          <w:lang w:val="en-GB"/>
        </w:rPr>
        <w:t xml:space="preserve">OER values obtained with the three methods provides insight into both the consistency of the estimates and the influence of methodological assumptions on the resulting emission rates. Although the approaches differ substantially in terms of experimental setup and modelling assumptions, the resulting SOER values for Methods 1 and 3 are similar and, when considering the intrinsic uncertainty associated with olfactometric measurements, can be regarded as practically equivalent. This suggests that these two methods converge toward a consistent estimate of the emission rate for the investigated source. In contrast, Method 2 provides lower SOER estimates, despite being based on higher measured odour concentrations. This behaviour may be related to the estimation of the gas-side mass transfer coefficient. The Sherwood correlation adopted in this approach was developed for free liquid surfaces in open cavity configurations and does not explicitly account for the presence of a covering structure such as a metal grating. In the investigated case, the grating may alter the air exchange and mixing conditions above the liquid surface, including the possible generation of local turbulence, leading to differences in mass transfer compared to the assumptions underlying the correlation. As a result, the </w:t>
      </w:r>
      <w:proofErr w:type="spellStart"/>
      <w:r w:rsidRPr="001C1091">
        <w:rPr>
          <w:color w:val="000000" w:themeColor="text1"/>
          <w:lang w:val="en-GB"/>
        </w:rPr>
        <w:t>k</w:t>
      </w:r>
      <w:r w:rsidRPr="00B34EBE">
        <w:rPr>
          <w:color w:val="000000" w:themeColor="text1"/>
          <w:vertAlign w:val="subscript"/>
          <w:lang w:val="en-GB"/>
        </w:rPr>
        <w:t>G</w:t>
      </w:r>
      <w:proofErr w:type="spellEnd"/>
      <w:r w:rsidRPr="001C1091">
        <w:rPr>
          <w:color w:val="000000" w:themeColor="text1"/>
          <w:lang w:val="en-GB"/>
        </w:rPr>
        <w:t xml:space="preserve"> value estimated with Method 2 may not fully represent the actual transfer conditions.</w:t>
      </w:r>
      <w:r w:rsidR="00844EED">
        <w:rPr>
          <w:color w:val="000000" w:themeColor="text1"/>
          <w:lang w:val="en-GB"/>
        </w:rPr>
        <w:t xml:space="preserve"> </w:t>
      </w:r>
      <w:r w:rsidR="00844EED" w:rsidRPr="001C1091">
        <w:rPr>
          <w:color w:val="000000" w:themeColor="text1"/>
          <w:lang w:val="en-GB"/>
        </w:rPr>
        <w:t>Although Method 1 also relies on parameterizations for the estimation of the mass transfer coefficient and is therefore subject to the assumptions inherent in the adopted formulations, these are based on established interfacial mass transfer formulations and make use of micrometeorological variables</w:t>
      </w:r>
      <w:r w:rsidR="00844EED">
        <w:rPr>
          <w:color w:val="000000" w:themeColor="text1"/>
          <w:lang w:val="en-GB"/>
        </w:rPr>
        <w:t xml:space="preserve"> (</w:t>
      </w:r>
      <w:proofErr w:type="gramStart"/>
      <w:r w:rsidR="00844EED">
        <w:rPr>
          <w:color w:val="000000" w:themeColor="text1"/>
          <w:lang w:val="en-GB"/>
        </w:rPr>
        <w:t>i.e.</w:t>
      </w:r>
      <w:proofErr w:type="gramEnd"/>
      <w:r w:rsidR="00844EED">
        <w:rPr>
          <w:color w:val="000000" w:themeColor="text1"/>
          <w:lang w:val="en-GB"/>
        </w:rPr>
        <w:t xml:space="preserve"> u*)</w:t>
      </w:r>
      <w:r w:rsidR="00844EED" w:rsidRPr="001C1091">
        <w:rPr>
          <w:color w:val="000000" w:themeColor="text1"/>
          <w:lang w:val="en-GB"/>
        </w:rPr>
        <w:t xml:space="preserve"> representative of near-surface conditions, and from a theoretical perspective are expected to reflect the local exchange conditions.</w:t>
      </w:r>
    </w:p>
    <w:p w14:paraId="690D2DDC" w14:textId="7201E884" w:rsidR="001C1091" w:rsidRPr="001C1091" w:rsidRDefault="001C1091" w:rsidP="001C1091">
      <w:pPr>
        <w:pStyle w:val="CETBodytext"/>
        <w:rPr>
          <w:color w:val="000000" w:themeColor="text1"/>
          <w:lang w:val="en-GB"/>
        </w:rPr>
      </w:pPr>
      <w:r w:rsidRPr="001C1091">
        <w:rPr>
          <w:color w:val="000000" w:themeColor="text1"/>
          <w:lang w:val="en-GB"/>
        </w:rPr>
        <w:t>A key difference among the methods emerges in the measured C</w:t>
      </w:r>
      <w:r w:rsidRPr="00B34EBE">
        <w:rPr>
          <w:color w:val="000000" w:themeColor="text1"/>
          <w:vertAlign w:val="subscript"/>
          <w:lang w:val="en-GB"/>
        </w:rPr>
        <w:t>od</w:t>
      </w:r>
      <w:r w:rsidRPr="001C1091">
        <w:rPr>
          <w:color w:val="000000" w:themeColor="text1"/>
          <w:lang w:val="en-GB"/>
        </w:rPr>
        <w:t>. As expected, the concentration derived from the headspace method (Method 2) is approximately one order of magnitude higher than those obtained with the other techniques. This reflects the partitioning conditions in a closed system, which promote elevated gas-phase concentrations of volatile compounds. In contrast, the concentrations measured using the WT (Method 3) and by in situ sampling at the grating level (Method 1) are comparable.</w:t>
      </w:r>
    </w:p>
    <w:p w14:paraId="1905C252" w14:textId="77777777" w:rsidR="00844EED" w:rsidRDefault="001C1091" w:rsidP="001C1091">
      <w:pPr>
        <w:pStyle w:val="CETBodytext"/>
        <w:rPr>
          <w:color w:val="000000" w:themeColor="text1"/>
          <w:lang w:val="en-GB"/>
        </w:rPr>
      </w:pPr>
      <w:r w:rsidRPr="001C1091">
        <w:rPr>
          <w:color w:val="000000" w:themeColor="text1"/>
          <w:lang w:val="en-GB"/>
        </w:rPr>
        <w:t xml:space="preserve">An additional aspect concerns the location and representativeness of the concentration measurements. In the proposed approach (Method 1), Cod is measured directly in the air layer at the level of the grating, </w:t>
      </w:r>
      <w:proofErr w:type="gramStart"/>
      <w:r w:rsidRPr="001C1091">
        <w:rPr>
          <w:color w:val="000000" w:themeColor="text1"/>
          <w:lang w:val="en-GB"/>
        </w:rPr>
        <w:t>i.e.</w:t>
      </w:r>
      <w:proofErr w:type="gramEnd"/>
      <w:r w:rsidRPr="001C1091">
        <w:rPr>
          <w:color w:val="000000" w:themeColor="text1"/>
          <w:lang w:val="en-GB"/>
        </w:rPr>
        <w:t xml:space="preserve"> in correspondence with the actual emission interface as modified by the presence of the cover. In contrast, Methods 2 and 3 rely on measurements performed under controlled or simplified conditions (headspace equilibrium and WT on liquid sample), which may not fully reproduce the geometrical and physical configuration of the source. </w:t>
      </w:r>
    </w:p>
    <w:p w14:paraId="0DB242A1" w14:textId="1B7C0E88" w:rsidR="001C1091" w:rsidRPr="001C1091" w:rsidRDefault="001C1091" w:rsidP="001C1091">
      <w:pPr>
        <w:pStyle w:val="CETBodytext"/>
        <w:rPr>
          <w:color w:val="000000" w:themeColor="text1"/>
          <w:lang w:val="en-GB"/>
        </w:rPr>
      </w:pPr>
      <w:r w:rsidRPr="001C1091">
        <w:rPr>
          <w:color w:val="000000" w:themeColor="text1"/>
          <w:lang w:val="en-GB"/>
        </w:rPr>
        <w:t xml:space="preserve">From a practical perspective, the feasibility of sampling also represents a relevant aspect. In some cases, it may not be possible to collect representative liquid samples for headspace analysis or to transfer them into dedicated containers for wind tunnel measurements. </w:t>
      </w:r>
      <w:r w:rsidR="00844EED" w:rsidRPr="00844EED">
        <w:rPr>
          <w:color w:val="000000" w:themeColor="text1"/>
          <w:lang w:val="en-GB"/>
        </w:rPr>
        <w:t>In such situations, the proposed approach based on in situ air sampling combined with micrometeorological parameterizations enables direct field sampling in proximity to the emission source</w:t>
      </w:r>
      <w:r w:rsidRPr="001C1091">
        <w:rPr>
          <w:color w:val="000000" w:themeColor="text1"/>
          <w:lang w:val="en-GB"/>
        </w:rPr>
        <w:t>.</w:t>
      </w:r>
    </w:p>
    <w:p w14:paraId="09F8BE5F" w14:textId="3E6214DE" w:rsidR="001C1091" w:rsidRPr="001C1091" w:rsidRDefault="001C1091" w:rsidP="001C1091">
      <w:pPr>
        <w:pStyle w:val="CETBodytext"/>
        <w:rPr>
          <w:color w:val="000000" w:themeColor="text1"/>
          <w:lang w:val="en-GB"/>
        </w:rPr>
      </w:pPr>
      <w:r w:rsidRPr="001C1091">
        <w:rPr>
          <w:color w:val="000000" w:themeColor="text1"/>
          <w:lang w:val="en-GB"/>
        </w:rPr>
        <w:t xml:space="preserve">Overall, the results highlight the intrinsic difficulty in estimating OER from geometrically constrained and partially obstructed sources, particularly in cases where standardized methods are not available and existing approaches are not explicitly addressed in current regulatory frameworks. The approaches considered are inherently influenced by method-specific assumptions, related either to the representativeness of the sampling configuration or to the parameterization of transfer processes. In this context, the agreement between Methods 1 and 3 provides </w:t>
      </w:r>
      <w:r>
        <w:rPr>
          <w:color w:val="000000" w:themeColor="text1"/>
          <w:lang w:val="en-GB"/>
        </w:rPr>
        <w:t xml:space="preserve">a certain degree of </w:t>
      </w:r>
      <w:r w:rsidRPr="001C1091">
        <w:rPr>
          <w:color w:val="000000" w:themeColor="text1"/>
          <w:lang w:val="en-GB"/>
        </w:rPr>
        <w:t>confidence in the obtained estimates, while the differences observed with Method 2 suggest that the adopted mass transfer formulation may have limitations in fully representing the exchange processes in configurations characterized by covering structures such as grates.</w:t>
      </w:r>
    </w:p>
    <w:p w14:paraId="7687058D" w14:textId="03477B51" w:rsidR="00F40293" w:rsidRPr="004D39E3" w:rsidRDefault="001C1091" w:rsidP="001C1091">
      <w:pPr>
        <w:pStyle w:val="CETBodytext"/>
        <w:rPr>
          <w:lang w:val="en-GB"/>
        </w:rPr>
      </w:pPr>
      <w:r w:rsidRPr="001C1091">
        <w:rPr>
          <w:color w:val="000000" w:themeColor="text1"/>
          <w:lang w:val="en-GB"/>
        </w:rPr>
        <w:t>Future work should aim to extend this comparative analysis to a broader range of case studies, in particular including sources characterized by higher odour emission potential, in order to assess the robustness of the different approaches under varying conditions. In addition, given that Methods 1 and 2 rely on parameterizations for the estimation of mass transfer coefficients, further investigation should address the sensitivity of the OER estimates to the selected input parameters and correlations.</w:t>
      </w:r>
      <w:r>
        <w:rPr>
          <w:color w:val="000000" w:themeColor="text1"/>
          <w:lang w:val="en-GB"/>
        </w:rPr>
        <w:t xml:space="preserve"> </w:t>
      </w:r>
      <w:r w:rsidRPr="001C1091">
        <w:rPr>
          <w:color w:val="000000" w:themeColor="text1"/>
          <w:lang w:val="en-GB"/>
        </w:rPr>
        <w:t>In this context, extending CFD-based analyses to configurations including covering structures, such as grates, would be particularly relevant to improve the representativeness of mass transfer formulations under real operating conditions.</w:t>
      </w:r>
    </w:p>
    <w:p w14:paraId="5A13856B" w14:textId="4D2448FC" w:rsidR="006B4888" w:rsidRDefault="00582B74" w:rsidP="003753D8">
      <w:pPr>
        <w:pStyle w:val="CETReference"/>
        <w:jc w:val="both"/>
      </w:pPr>
      <w:r w:rsidRPr="00582B74">
        <w:rPr>
          <w:b w:val="0"/>
        </w:rPr>
        <w:t xml:space="preserve"> </w:t>
      </w:r>
      <w:r w:rsidR="00600535" w:rsidRPr="00405395">
        <w:t>References</w:t>
      </w:r>
    </w:p>
    <w:sdt>
      <w:sdtPr>
        <w:rPr>
          <w:rFonts w:cs="Arial"/>
          <w:color w:val="000000"/>
        </w:rPr>
        <w:tag w:val="MENDELEY_BIBLIOGRAPHY"/>
        <w:id w:val="1136757700"/>
        <w:placeholder>
          <w:docPart w:val="DefaultPlaceholder_-1854013440"/>
        </w:placeholder>
      </w:sdtPr>
      <w:sdtEndPr/>
      <w:sdtContent>
        <w:p w14:paraId="2BCA9649" w14:textId="585B1498" w:rsidR="000C2C55" w:rsidRPr="007B41C0" w:rsidRDefault="000C2C55">
          <w:pPr>
            <w:autoSpaceDE w:val="0"/>
            <w:autoSpaceDN w:val="0"/>
            <w:ind w:hanging="480"/>
            <w:divId w:val="2078429204"/>
            <w:rPr>
              <w:rFonts w:cs="Arial"/>
              <w:color w:val="000000"/>
              <w:szCs w:val="24"/>
            </w:rPr>
          </w:pPr>
          <w:proofErr w:type="spellStart"/>
          <w:r w:rsidRPr="000C2C55">
            <w:rPr>
              <w:rFonts w:cs="Arial"/>
              <w:color w:val="000000"/>
            </w:rPr>
            <w:t>Bellasio</w:t>
          </w:r>
          <w:proofErr w:type="spellEnd"/>
          <w:r w:rsidRPr="000C2C55">
            <w:rPr>
              <w:rFonts w:cs="Arial"/>
              <w:color w:val="000000"/>
            </w:rPr>
            <w:t xml:space="preserve"> R., </w:t>
          </w:r>
          <w:proofErr w:type="spellStart"/>
          <w:r w:rsidRPr="000C2C55">
            <w:rPr>
              <w:rFonts w:cs="Arial"/>
              <w:color w:val="000000"/>
            </w:rPr>
            <w:t>Bi</w:t>
          </w:r>
          <w:r w:rsidRPr="007B41C0">
            <w:rPr>
              <w:rFonts w:cs="Arial"/>
              <w:color w:val="000000"/>
            </w:rPr>
            <w:t>anconi</w:t>
          </w:r>
          <w:proofErr w:type="spellEnd"/>
          <w:r w:rsidRPr="007B41C0">
            <w:rPr>
              <w:rFonts w:cs="Arial"/>
              <w:color w:val="000000"/>
            </w:rPr>
            <w:t xml:space="preserve"> R</w:t>
          </w:r>
          <w:r w:rsidR="007B41C0" w:rsidRPr="007B41C0">
            <w:rPr>
              <w:rFonts w:cs="Arial"/>
              <w:color w:val="000000"/>
            </w:rPr>
            <w:t xml:space="preserve">., </w:t>
          </w:r>
          <w:r w:rsidRPr="007B41C0">
            <w:rPr>
              <w:rFonts w:cs="Arial"/>
              <w:color w:val="000000"/>
            </w:rPr>
            <w:t>2022</w:t>
          </w:r>
          <w:r w:rsidR="007B41C0" w:rsidRPr="007B41C0">
            <w:rPr>
              <w:rFonts w:cs="Arial"/>
              <w:color w:val="000000"/>
            </w:rPr>
            <w:t xml:space="preserve">, </w:t>
          </w:r>
          <w:r w:rsidRPr="007B41C0">
            <w:rPr>
              <w:rFonts w:cs="Arial"/>
              <w:color w:val="000000"/>
            </w:rPr>
            <w:t xml:space="preserve">A Heuristic Method for </w:t>
          </w:r>
          <w:proofErr w:type="spellStart"/>
          <w:r w:rsidRPr="007B41C0">
            <w:rPr>
              <w:rFonts w:cs="Arial"/>
              <w:color w:val="000000"/>
            </w:rPr>
            <w:t>Modeling</w:t>
          </w:r>
          <w:proofErr w:type="spellEnd"/>
          <w:r w:rsidRPr="007B41C0">
            <w:rPr>
              <w:rFonts w:cs="Arial"/>
              <w:color w:val="000000"/>
            </w:rPr>
            <w:t xml:space="preserve"> </w:t>
          </w:r>
          <w:proofErr w:type="spellStart"/>
          <w:r w:rsidRPr="007B41C0">
            <w:rPr>
              <w:rFonts w:cs="Arial"/>
              <w:color w:val="000000"/>
            </w:rPr>
            <w:t>Odor</w:t>
          </w:r>
          <w:proofErr w:type="spellEnd"/>
          <w:r w:rsidRPr="007B41C0">
            <w:rPr>
              <w:rFonts w:cs="Arial"/>
              <w:color w:val="000000"/>
            </w:rPr>
            <w:t xml:space="preserve"> Emissions from Open Roof Rectangular Tanks. Atmosphere, 13(3), 1–28. https://doi.org/10.3390/atmos13030367</w:t>
          </w:r>
        </w:p>
        <w:p w14:paraId="15F43BB3" w14:textId="1A08C8FB" w:rsidR="000C2C55" w:rsidRPr="007B41C0" w:rsidRDefault="000C2C55">
          <w:pPr>
            <w:autoSpaceDE w:val="0"/>
            <w:autoSpaceDN w:val="0"/>
            <w:ind w:hanging="480"/>
            <w:divId w:val="990870723"/>
            <w:rPr>
              <w:rFonts w:cs="Arial"/>
              <w:color w:val="000000"/>
            </w:rPr>
          </w:pPr>
          <w:proofErr w:type="spellStart"/>
          <w:r w:rsidRPr="007B41C0">
            <w:rPr>
              <w:rFonts w:cs="Arial"/>
              <w:color w:val="000000"/>
            </w:rPr>
            <w:t>Bénassy</w:t>
          </w:r>
          <w:proofErr w:type="spellEnd"/>
          <w:r w:rsidRPr="007B41C0">
            <w:rPr>
              <w:rFonts w:cs="Arial"/>
              <w:color w:val="000000"/>
            </w:rPr>
            <w:t xml:space="preserve"> M.-F., </w:t>
          </w:r>
          <w:proofErr w:type="spellStart"/>
          <w:r w:rsidRPr="007B41C0">
            <w:rPr>
              <w:rFonts w:cs="Arial"/>
              <w:color w:val="000000"/>
            </w:rPr>
            <w:t>Bilinska</w:t>
          </w:r>
          <w:proofErr w:type="spellEnd"/>
          <w:r w:rsidRPr="007B41C0">
            <w:rPr>
              <w:rFonts w:cs="Arial"/>
              <w:color w:val="000000"/>
            </w:rPr>
            <w:t xml:space="preserve"> K.</w:t>
          </w:r>
          <w:r w:rsidR="007B41C0">
            <w:rPr>
              <w:rFonts w:cs="Arial"/>
              <w:color w:val="000000"/>
            </w:rPr>
            <w:t xml:space="preserve">, </w:t>
          </w:r>
          <w:r w:rsidRPr="007B41C0">
            <w:rPr>
              <w:rFonts w:cs="Arial"/>
              <w:color w:val="000000"/>
            </w:rPr>
            <w:t>2008</w:t>
          </w:r>
          <w:r w:rsidR="007B41C0">
            <w:rPr>
              <w:rFonts w:cs="Arial"/>
              <w:color w:val="000000"/>
            </w:rPr>
            <w:t>,</w:t>
          </w:r>
          <w:r w:rsidRPr="007B41C0">
            <w:rPr>
              <w:rFonts w:cs="Arial"/>
              <w:color w:val="000000"/>
            </w:rPr>
            <w:t xml:space="preserve"> Optical methods for remote measurement of diffuse VOCs: their role in the quantification of annual refinery emissions Prepared by the CONCAWE Air Quality Management Group’s Special Task Force on remote measurement of VOCs (AQ/STF-72). www.concawe.org</w:t>
          </w:r>
        </w:p>
        <w:p w14:paraId="55A2F8F3" w14:textId="6C42B7CC" w:rsidR="000C2C55" w:rsidRPr="007B41C0" w:rsidRDefault="000C2C55">
          <w:pPr>
            <w:autoSpaceDE w:val="0"/>
            <w:autoSpaceDN w:val="0"/>
            <w:ind w:hanging="480"/>
            <w:divId w:val="2053117272"/>
            <w:rPr>
              <w:rFonts w:cs="Arial"/>
              <w:color w:val="000000"/>
            </w:rPr>
          </w:pPr>
          <w:proofErr w:type="spellStart"/>
          <w:r w:rsidRPr="007B41C0">
            <w:rPr>
              <w:rFonts w:cs="Arial"/>
              <w:color w:val="000000"/>
            </w:rPr>
            <w:t>Brutsaert</w:t>
          </w:r>
          <w:proofErr w:type="spellEnd"/>
          <w:r w:rsidRPr="007B41C0">
            <w:rPr>
              <w:rFonts w:cs="Arial"/>
              <w:color w:val="000000"/>
            </w:rPr>
            <w:t xml:space="preserve"> W.</w:t>
          </w:r>
          <w:r w:rsidR="007B41C0">
            <w:rPr>
              <w:rFonts w:cs="Arial"/>
              <w:color w:val="000000"/>
            </w:rPr>
            <w:t xml:space="preserve">, </w:t>
          </w:r>
          <w:r w:rsidRPr="007B41C0">
            <w:rPr>
              <w:rFonts w:cs="Arial"/>
              <w:color w:val="000000"/>
            </w:rPr>
            <w:t>1975</w:t>
          </w:r>
          <w:r w:rsidR="007B41C0">
            <w:rPr>
              <w:rFonts w:cs="Arial"/>
              <w:color w:val="000000"/>
            </w:rPr>
            <w:t>,</w:t>
          </w:r>
          <w:r w:rsidRPr="007B41C0">
            <w:rPr>
              <w:rFonts w:cs="Arial"/>
              <w:color w:val="000000"/>
            </w:rPr>
            <w:t xml:space="preserve"> A Theory for Local Evaporation (or Heat Transfer) From Rough and Smooth Surfaces at Ground Level (Vol. 11).</w:t>
          </w:r>
        </w:p>
        <w:p w14:paraId="68356196" w14:textId="18A14C3E" w:rsidR="000C2C55" w:rsidRPr="007B41C0" w:rsidRDefault="000C2C55">
          <w:pPr>
            <w:autoSpaceDE w:val="0"/>
            <w:autoSpaceDN w:val="0"/>
            <w:ind w:hanging="480"/>
            <w:divId w:val="1806924716"/>
            <w:rPr>
              <w:rFonts w:cs="Arial"/>
              <w:color w:val="000000"/>
            </w:rPr>
          </w:pPr>
          <w:r w:rsidRPr="007B41C0">
            <w:rPr>
              <w:rFonts w:cs="Arial"/>
              <w:color w:val="000000"/>
            </w:rPr>
            <w:t>Carrera L., Tagliaferri F., Albertini A., Sironi S., Invernizzi M.</w:t>
          </w:r>
          <w:r w:rsidR="007B41C0">
            <w:rPr>
              <w:rFonts w:cs="Arial"/>
              <w:color w:val="000000"/>
            </w:rPr>
            <w:t>,</w:t>
          </w:r>
          <w:r w:rsidRPr="007B41C0">
            <w:rPr>
              <w:rFonts w:cs="Arial"/>
              <w:color w:val="000000"/>
            </w:rPr>
            <w:t xml:space="preserve"> 2025</w:t>
          </w:r>
          <w:r w:rsidR="007B41C0">
            <w:rPr>
              <w:rFonts w:cs="Arial"/>
              <w:color w:val="000000"/>
            </w:rPr>
            <w:t>,</w:t>
          </w:r>
          <w:r w:rsidRPr="007B41C0">
            <w:rPr>
              <w:rFonts w:cs="Arial"/>
              <w:color w:val="000000"/>
            </w:rPr>
            <w:t xml:space="preserve"> A comparative study of wind tunnel and flux chamber for diffuse emission sampling: Experimental evaluation and theoretical approach. Chemosphere, 375. https://doi.org/10.1016/j.chemosphere.2025.144242</w:t>
          </w:r>
        </w:p>
        <w:p w14:paraId="62ED9321" w14:textId="4E52B5EC" w:rsidR="000C2C55" w:rsidRPr="007B41C0" w:rsidRDefault="000C2C55">
          <w:pPr>
            <w:autoSpaceDE w:val="0"/>
            <w:autoSpaceDN w:val="0"/>
            <w:ind w:hanging="480"/>
            <w:divId w:val="791020506"/>
            <w:rPr>
              <w:rFonts w:cs="Arial"/>
              <w:color w:val="000000"/>
            </w:rPr>
          </w:pPr>
          <w:proofErr w:type="spellStart"/>
          <w:r w:rsidRPr="007B41C0">
            <w:rPr>
              <w:rFonts w:cs="Arial"/>
              <w:color w:val="000000"/>
            </w:rPr>
            <w:t>Dabberdt</w:t>
          </w:r>
          <w:proofErr w:type="spellEnd"/>
          <w:r w:rsidRPr="007B41C0">
            <w:rPr>
              <w:rFonts w:cs="Arial"/>
              <w:color w:val="000000"/>
            </w:rPr>
            <w:t xml:space="preserve"> W. F., Miller E.</w:t>
          </w:r>
          <w:r w:rsidR="007B41C0">
            <w:rPr>
              <w:rFonts w:cs="Arial"/>
              <w:color w:val="000000"/>
            </w:rPr>
            <w:t xml:space="preserve">, </w:t>
          </w:r>
          <w:r w:rsidRPr="007B41C0">
            <w:rPr>
              <w:rFonts w:cs="Arial"/>
              <w:color w:val="000000"/>
            </w:rPr>
            <w:t>2000</w:t>
          </w:r>
          <w:r w:rsidR="007B41C0">
            <w:rPr>
              <w:rFonts w:cs="Arial"/>
              <w:color w:val="000000"/>
            </w:rPr>
            <w:t>,</w:t>
          </w:r>
          <w:r w:rsidRPr="007B41C0">
            <w:rPr>
              <w:rFonts w:cs="Arial"/>
              <w:color w:val="000000"/>
            </w:rPr>
            <w:t xml:space="preserve"> Uncertainty, ensembles and air quality dispersion </w:t>
          </w:r>
          <w:proofErr w:type="spellStart"/>
          <w:r w:rsidRPr="007B41C0">
            <w:rPr>
              <w:rFonts w:cs="Arial"/>
              <w:color w:val="000000"/>
            </w:rPr>
            <w:t>modeling</w:t>
          </w:r>
          <w:proofErr w:type="spellEnd"/>
          <w:r w:rsidRPr="007B41C0">
            <w:rPr>
              <w:rFonts w:cs="Arial"/>
              <w:color w:val="000000"/>
            </w:rPr>
            <w:t>: applications and challenges. Atmospheric Environment, 34, 4667}4673. http://uswrp.mmm.</w:t>
          </w:r>
        </w:p>
        <w:p w14:paraId="4F323872" w14:textId="329422D6" w:rsidR="000C2C55" w:rsidRPr="007B41C0" w:rsidRDefault="000C2C55">
          <w:pPr>
            <w:autoSpaceDE w:val="0"/>
            <w:autoSpaceDN w:val="0"/>
            <w:ind w:hanging="480"/>
            <w:divId w:val="1479684005"/>
            <w:rPr>
              <w:rFonts w:cs="Arial"/>
              <w:color w:val="000000"/>
            </w:rPr>
          </w:pPr>
          <w:r w:rsidRPr="007B41C0">
            <w:rPr>
              <w:rFonts w:cs="Arial"/>
              <w:color w:val="000000"/>
            </w:rPr>
            <w:t xml:space="preserve">Invernizzi M., Bellini A., </w:t>
          </w:r>
          <w:proofErr w:type="spellStart"/>
          <w:r w:rsidRPr="007B41C0">
            <w:rPr>
              <w:rFonts w:cs="Arial"/>
              <w:color w:val="000000"/>
            </w:rPr>
            <w:t>Miola</w:t>
          </w:r>
          <w:proofErr w:type="spellEnd"/>
          <w:r w:rsidRPr="007B41C0">
            <w:rPr>
              <w:rFonts w:cs="Arial"/>
              <w:color w:val="000000"/>
            </w:rPr>
            <w:t xml:space="preserve"> R., </w:t>
          </w:r>
          <w:proofErr w:type="spellStart"/>
          <w:r w:rsidRPr="007B41C0">
            <w:rPr>
              <w:rFonts w:cs="Arial"/>
              <w:color w:val="000000"/>
            </w:rPr>
            <w:t>Capelli</w:t>
          </w:r>
          <w:proofErr w:type="spellEnd"/>
          <w:r w:rsidRPr="007B41C0">
            <w:rPr>
              <w:rFonts w:cs="Arial"/>
              <w:color w:val="000000"/>
            </w:rPr>
            <w:t xml:space="preserve"> L., </w:t>
          </w:r>
          <w:proofErr w:type="spellStart"/>
          <w:r w:rsidRPr="007B41C0">
            <w:rPr>
              <w:rFonts w:cs="Arial"/>
              <w:color w:val="000000"/>
            </w:rPr>
            <w:t>Busini</w:t>
          </w:r>
          <w:proofErr w:type="spellEnd"/>
          <w:r w:rsidRPr="007B41C0">
            <w:rPr>
              <w:rFonts w:cs="Arial"/>
              <w:color w:val="000000"/>
            </w:rPr>
            <w:t xml:space="preserve"> V., Sironi S.</w:t>
          </w:r>
          <w:r w:rsidR="007B41C0">
            <w:rPr>
              <w:rFonts w:cs="Arial"/>
              <w:color w:val="000000"/>
            </w:rPr>
            <w:t>,</w:t>
          </w:r>
          <w:r w:rsidRPr="007B41C0">
            <w:rPr>
              <w:rFonts w:cs="Arial"/>
              <w:color w:val="000000"/>
            </w:rPr>
            <w:t xml:space="preserve"> 2019</w:t>
          </w:r>
          <w:r w:rsidR="007B41C0">
            <w:rPr>
              <w:rFonts w:cs="Arial"/>
              <w:color w:val="000000"/>
            </w:rPr>
            <w:t>,</w:t>
          </w:r>
          <w:r w:rsidRPr="007B41C0">
            <w:rPr>
              <w:rFonts w:cs="Arial"/>
              <w:color w:val="000000"/>
            </w:rPr>
            <w:t xml:space="preserve"> Assessment of the chemical-physical variables affecting the evaporation of organic compounds from aqueous solutions in a sampling wind tunnel. Chemosphere, 220. https://doi.org/10.1016/j.chemosphere.2018.12.124</w:t>
          </w:r>
        </w:p>
        <w:p w14:paraId="54AC56FD" w14:textId="529ADA47" w:rsidR="000C2C55" w:rsidRPr="007B41C0" w:rsidRDefault="000C2C55">
          <w:pPr>
            <w:autoSpaceDE w:val="0"/>
            <w:autoSpaceDN w:val="0"/>
            <w:ind w:hanging="480"/>
            <w:divId w:val="1474836238"/>
            <w:rPr>
              <w:rFonts w:cs="Arial"/>
              <w:color w:val="000000"/>
            </w:rPr>
          </w:pPr>
          <w:r w:rsidRPr="007B41C0">
            <w:rPr>
              <w:rFonts w:cs="Arial"/>
              <w:color w:val="000000"/>
            </w:rPr>
            <w:t xml:space="preserve">Invernizzi M., Tagliaferri F., </w:t>
          </w:r>
          <w:proofErr w:type="spellStart"/>
          <w:r w:rsidRPr="007B41C0">
            <w:rPr>
              <w:rFonts w:cs="Arial"/>
              <w:color w:val="000000"/>
            </w:rPr>
            <w:t>Manganelli</w:t>
          </w:r>
          <w:proofErr w:type="spellEnd"/>
          <w:r w:rsidRPr="007B41C0">
            <w:rPr>
              <w:rFonts w:cs="Arial"/>
              <w:color w:val="000000"/>
            </w:rPr>
            <w:t xml:space="preserve"> C., Sironi S.</w:t>
          </w:r>
          <w:r w:rsidR="007B41C0">
            <w:rPr>
              <w:rFonts w:cs="Arial"/>
              <w:color w:val="000000"/>
            </w:rPr>
            <w:t xml:space="preserve">, </w:t>
          </w:r>
          <w:r w:rsidRPr="007B41C0">
            <w:rPr>
              <w:rFonts w:cs="Arial"/>
              <w:color w:val="000000"/>
            </w:rPr>
            <w:t>2025</w:t>
          </w:r>
          <w:r w:rsidR="007B41C0">
            <w:rPr>
              <w:rFonts w:cs="Arial"/>
              <w:color w:val="000000"/>
            </w:rPr>
            <w:t>,</w:t>
          </w:r>
          <w:r w:rsidRPr="007B41C0">
            <w:rPr>
              <w:rFonts w:cs="Arial"/>
              <w:color w:val="000000"/>
            </w:rPr>
            <w:t xml:space="preserve"> Quantitative estimation of odorous emissions from heterogeneous area sources via thermal imaging drone. Science of the Total Environment, 1000. https://doi.org/10.1016/j.scitotenv.2025.180415</w:t>
          </w:r>
        </w:p>
        <w:p w14:paraId="7291FF20" w14:textId="56ED7C6B" w:rsidR="000C2C55" w:rsidRPr="007B41C0" w:rsidRDefault="000C2C55">
          <w:pPr>
            <w:autoSpaceDE w:val="0"/>
            <w:autoSpaceDN w:val="0"/>
            <w:ind w:hanging="480"/>
            <w:divId w:val="729422968"/>
            <w:rPr>
              <w:rFonts w:cs="Arial"/>
              <w:color w:val="000000"/>
            </w:rPr>
          </w:pPr>
          <w:r w:rsidRPr="007B41C0">
            <w:rPr>
              <w:rFonts w:cs="Arial"/>
              <w:color w:val="000000"/>
            </w:rPr>
            <w:t xml:space="preserve">Liu L., </w:t>
          </w:r>
          <w:proofErr w:type="spellStart"/>
          <w:r w:rsidRPr="007B41C0">
            <w:rPr>
              <w:rFonts w:cs="Arial"/>
              <w:color w:val="000000"/>
            </w:rPr>
            <w:t>Prata</w:t>
          </w:r>
          <w:proofErr w:type="spellEnd"/>
          <w:r w:rsidRPr="007B41C0">
            <w:rPr>
              <w:rFonts w:cs="Arial"/>
              <w:color w:val="000000"/>
            </w:rPr>
            <w:t xml:space="preserve"> A. A., </w:t>
          </w:r>
          <w:proofErr w:type="spellStart"/>
          <w:r w:rsidRPr="007B41C0">
            <w:rPr>
              <w:rFonts w:cs="Arial"/>
              <w:color w:val="000000"/>
            </w:rPr>
            <w:t>Stuetz</w:t>
          </w:r>
          <w:proofErr w:type="spellEnd"/>
          <w:r w:rsidRPr="007B41C0">
            <w:rPr>
              <w:rFonts w:cs="Arial"/>
              <w:color w:val="000000"/>
            </w:rPr>
            <w:t xml:space="preserve"> R. M., Fisher</w:t>
          </w:r>
          <w:r w:rsidR="007B41C0">
            <w:rPr>
              <w:rFonts w:cs="Arial"/>
              <w:color w:val="000000"/>
            </w:rPr>
            <w:t xml:space="preserve"> </w:t>
          </w:r>
          <w:r w:rsidRPr="007B41C0">
            <w:rPr>
              <w:rFonts w:cs="Arial"/>
              <w:color w:val="000000"/>
            </w:rPr>
            <w:t>R. M.</w:t>
          </w:r>
          <w:r w:rsidR="007B41C0">
            <w:rPr>
              <w:rFonts w:cs="Arial"/>
              <w:color w:val="000000"/>
            </w:rPr>
            <w:t xml:space="preserve">, </w:t>
          </w:r>
          <w:r w:rsidRPr="007B41C0">
            <w:rPr>
              <w:rFonts w:cs="Arial"/>
              <w:color w:val="000000"/>
            </w:rPr>
            <w:t>2024</w:t>
          </w:r>
          <w:r w:rsidR="007B41C0">
            <w:rPr>
              <w:rFonts w:cs="Arial"/>
              <w:color w:val="000000"/>
            </w:rPr>
            <w:t>,</w:t>
          </w:r>
          <w:r w:rsidRPr="007B41C0">
            <w:rPr>
              <w:rFonts w:cs="Arial"/>
              <w:color w:val="000000"/>
            </w:rPr>
            <w:t xml:space="preserve"> Understanding the role of flux chamber configuration in the measurement of VOC emissions from porous media. Chemosphere, 366(April), 143423. https://doi.org/10.1016/j.chemosphere.2024.143423</w:t>
          </w:r>
        </w:p>
        <w:p w14:paraId="65F558F2" w14:textId="1888EC09" w:rsidR="000C2C55" w:rsidRPr="007B41C0" w:rsidRDefault="000C2C55">
          <w:pPr>
            <w:autoSpaceDE w:val="0"/>
            <w:autoSpaceDN w:val="0"/>
            <w:ind w:hanging="480"/>
            <w:divId w:val="1003122173"/>
            <w:rPr>
              <w:rFonts w:cs="Arial"/>
              <w:color w:val="000000"/>
            </w:rPr>
          </w:pPr>
          <w:r w:rsidRPr="007B41C0">
            <w:rPr>
              <w:rFonts w:cs="Arial"/>
              <w:color w:val="000000"/>
            </w:rPr>
            <w:t xml:space="preserve">Macias A., </w:t>
          </w:r>
          <w:proofErr w:type="spellStart"/>
          <w:r w:rsidRPr="007B41C0">
            <w:rPr>
              <w:rFonts w:cs="Arial"/>
              <w:color w:val="000000"/>
            </w:rPr>
            <w:t>Monrós</w:t>
          </w:r>
          <w:proofErr w:type="spellEnd"/>
          <w:r w:rsidRPr="007B41C0">
            <w:rPr>
              <w:rFonts w:cs="Arial"/>
              <w:color w:val="000000"/>
            </w:rPr>
            <w:t xml:space="preserve">-Andreu G., Tagliaferri F., Invernizzi M., Sironi S., Martínez-Cuenca R., </w:t>
          </w:r>
          <w:proofErr w:type="spellStart"/>
          <w:r w:rsidRPr="007B41C0">
            <w:rPr>
              <w:rFonts w:cs="Arial"/>
              <w:color w:val="000000"/>
            </w:rPr>
            <w:t>Chiva</w:t>
          </w:r>
          <w:proofErr w:type="spellEnd"/>
          <w:r w:rsidRPr="007B41C0">
            <w:rPr>
              <w:rFonts w:cs="Arial"/>
              <w:color w:val="000000"/>
            </w:rPr>
            <w:t xml:space="preserve"> S.</w:t>
          </w:r>
          <w:r w:rsidR="007B41C0">
            <w:rPr>
              <w:rFonts w:cs="Arial"/>
              <w:color w:val="000000"/>
            </w:rPr>
            <w:t>,</w:t>
          </w:r>
          <w:r w:rsidRPr="007B41C0">
            <w:rPr>
              <w:rFonts w:cs="Arial"/>
              <w:color w:val="000000"/>
            </w:rPr>
            <w:t xml:space="preserve"> 2025</w:t>
          </w:r>
          <w:r w:rsidR="007B41C0">
            <w:rPr>
              <w:rFonts w:cs="Arial"/>
              <w:color w:val="000000"/>
            </w:rPr>
            <w:t>,</w:t>
          </w:r>
          <w:r w:rsidRPr="007B41C0">
            <w:rPr>
              <w:rFonts w:cs="Arial"/>
              <w:color w:val="000000"/>
            </w:rPr>
            <w:t xml:space="preserve"> Development of an analytical model for contaminant emission rates from passive cavities: CFD-based assessment and application to wastewater facilities. Results in Engineering, 28. https://doi.org/10.1016/j.rineng.2025.107705</w:t>
          </w:r>
        </w:p>
        <w:p w14:paraId="10623287" w14:textId="0BA1DCB3" w:rsidR="000C2C55" w:rsidRPr="007B41C0" w:rsidRDefault="000C2C55">
          <w:pPr>
            <w:autoSpaceDE w:val="0"/>
            <w:autoSpaceDN w:val="0"/>
            <w:ind w:hanging="480"/>
            <w:divId w:val="653872029"/>
            <w:rPr>
              <w:rFonts w:cs="Arial"/>
              <w:color w:val="000000"/>
            </w:rPr>
          </w:pPr>
          <w:r w:rsidRPr="007B41C0">
            <w:rPr>
              <w:rFonts w:cs="Arial"/>
              <w:color w:val="000000"/>
            </w:rPr>
            <w:t xml:space="preserve">Martins R. S., Siqueira M. A., </w:t>
          </w:r>
          <w:proofErr w:type="spellStart"/>
          <w:r w:rsidRPr="007B41C0">
            <w:rPr>
              <w:rFonts w:cs="Arial"/>
              <w:color w:val="000000"/>
            </w:rPr>
            <w:t>Toniato</w:t>
          </w:r>
          <w:proofErr w:type="spellEnd"/>
          <w:r w:rsidRPr="007B41C0">
            <w:rPr>
              <w:rFonts w:cs="Arial"/>
              <w:color w:val="000000"/>
            </w:rPr>
            <w:t xml:space="preserve"> I. V. F., Cupertino K. F., </w:t>
          </w:r>
          <w:proofErr w:type="spellStart"/>
          <w:r w:rsidRPr="007B41C0">
            <w:rPr>
              <w:rFonts w:cs="Arial"/>
              <w:color w:val="000000"/>
            </w:rPr>
            <w:t>Prata</w:t>
          </w:r>
          <w:proofErr w:type="spellEnd"/>
          <w:r w:rsidRPr="007B41C0">
            <w:rPr>
              <w:rFonts w:cs="Arial"/>
              <w:color w:val="000000"/>
            </w:rPr>
            <w:t xml:space="preserve"> A. A., Reis N. C., </w:t>
          </w:r>
          <w:proofErr w:type="spellStart"/>
          <w:r w:rsidRPr="007B41C0">
            <w:rPr>
              <w:rFonts w:cs="Arial"/>
              <w:color w:val="000000"/>
            </w:rPr>
            <w:t>Stuetz</w:t>
          </w:r>
          <w:proofErr w:type="spellEnd"/>
          <w:r w:rsidRPr="007B41C0">
            <w:rPr>
              <w:rFonts w:cs="Arial"/>
              <w:color w:val="000000"/>
            </w:rPr>
            <w:t xml:space="preserve"> R. M., Santos J. M.</w:t>
          </w:r>
          <w:r w:rsidR="007B41C0">
            <w:rPr>
              <w:rFonts w:cs="Arial"/>
              <w:color w:val="000000"/>
            </w:rPr>
            <w:t xml:space="preserve">, </w:t>
          </w:r>
          <w:r w:rsidRPr="007B41C0">
            <w:rPr>
              <w:rFonts w:cs="Arial"/>
              <w:color w:val="000000"/>
            </w:rPr>
            <w:t>2018</w:t>
          </w:r>
          <w:r w:rsidR="007B41C0">
            <w:rPr>
              <w:rFonts w:cs="Arial"/>
              <w:color w:val="000000"/>
            </w:rPr>
            <w:t xml:space="preserve">, </w:t>
          </w:r>
          <w:r w:rsidRPr="007B41C0">
            <w:rPr>
              <w:rFonts w:cs="Arial"/>
              <w:color w:val="000000"/>
            </w:rPr>
            <w:t>Evaluating the flow inside of portable wind tunnels for odour measurements. Chemical Engineering Transactions, 68, 55–60. https://doi.org/10.3303/CET1868010</w:t>
          </w:r>
        </w:p>
        <w:p w14:paraId="22392D20" w14:textId="791CCB19" w:rsidR="000C2C55" w:rsidRPr="007B41C0" w:rsidRDefault="000C2C55">
          <w:pPr>
            <w:autoSpaceDE w:val="0"/>
            <w:autoSpaceDN w:val="0"/>
            <w:ind w:hanging="480"/>
            <w:divId w:val="1984458783"/>
            <w:rPr>
              <w:rFonts w:cs="Arial"/>
              <w:color w:val="000000"/>
            </w:rPr>
          </w:pPr>
          <w:r w:rsidRPr="007B41C0">
            <w:rPr>
              <w:rFonts w:cs="Arial"/>
              <w:color w:val="000000"/>
            </w:rPr>
            <w:t>Parker D. B., Cole N. A., Casey K. D., Galvin G., Ormerod R., Paris C. S., Caraway E. A., Rhoades M. B.</w:t>
          </w:r>
          <w:r w:rsidR="007B41C0">
            <w:rPr>
              <w:rFonts w:cs="Arial"/>
              <w:color w:val="000000"/>
            </w:rPr>
            <w:t>, 2009,</w:t>
          </w:r>
          <w:r w:rsidRPr="007B41C0">
            <w:rPr>
              <w:rFonts w:cs="Arial"/>
              <w:color w:val="000000"/>
            </w:rPr>
            <w:t xml:space="preserve"> </w:t>
          </w:r>
          <w:r w:rsidR="007B41C0" w:rsidRPr="007B41C0">
            <w:rPr>
              <w:rFonts w:cs="Arial"/>
              <w:color w:val="000000"/>
            </w:rPr>
            <w:t xml:space="preserve">Wind tunnels vs. flux chambers: area source emission measurements and the necessity for </w:t>
          </w:r>
          <w:r w:rsidR="007B41C0">
            <w:rPr>
              <w:rFonts w:cs="Arial"/>
              <w:color w:val="000000"/>
            </w:rPr>
            <w:t>VOC</w:t>
          </w:r>
          <w:r w:rsidR="007B41C0" w:rsidRPr="007B41C0">
            <w:rPr>
              <w:rFonts w:cs="Arial"/>
              <w:color w:val="000000"/>
            </w:rPr>
            <w:t xml:space="preserve"> and odour correction factors</w:t>
          </w:r>
          <w:r w:rsidR="007B41C0">
            <w:rPr>
              <w:rFonts w:cs="Arial"/>
              <w:color w:val="000000"/>
            </w:rPr>
            <w:t>, Proceeding</w:t>
          </w:r>
          <w:r w:rsidR="007B41C0" w:rsidRPr="007B41C0">
            <w:rPr>
              <w:rFonts w:cs="Arial"/>
              <w:color w:val="000000"/>
            </w:rPr>
            <w:t xml:space="preserve"> 19th International Clean Air and Environment Conference</w:t>
          </w:r>
          <w:r w:rsidR="007B41C0">
            <w:rPr>
              <w:rFonts w:cs="Arial"/>
              <w:color w:val="000000"/>
            </w:rPr>
            <w:t>, September 6-9, 2009, Perth, Australia</w:t>
          </w:r>
        </w:p>
        <w:p w14:paraId="0684F46D" w14:textId="0AD705B9" w:rsidR="000C2C55" w:rsidRPr="007B41C0" w:rsidRDefault="000C2C55">
          <w:pPr>
            <w:autoSpaceDE w:val="0"/>
            <w:autoSpaceDN w:val="0"/>
            <w:ind w:hanging="480"/>
            <w:divId w:val="37051375"/>
            <w:rPr>
              <w:rFonts w:cs="Arial"/>
              <w:color w:val="000000"/>
            </w:rPr>
          </w:pPr>
          <w:r w:rsidRPr="007B41C0">
            <w:rPr>
              <w:rFonts w:cs="Arial"/>
              <w:color w:val="000000"/>
            </w:rPr>
            <w:t xml:space="preserve">Parker D., Ham J., Woodbury B., Cai L., </w:t>
          </w:r>
          <w:proofErr w:type="spellStart"/>
          <w:r w:rsidRPr="007B41C0">
            <w:rPr>
              <w:rFonts w:cs="Arial"/>
              <w:color w:val="000000"/>
            </w:rPr>
            <w:t>Spiehs</w:t>
          </w:r>
          <w:proofErr w:type="spellEnd"/>
          <w:r w:rsidRPr="007B41C0">
            <w:rPr>
              <w:rFonts w:cs="Arial"/>
              <w:color w:val="000000"/>
            </w:rPr>
            <w:t xml:space="preserve"> M., Rhoades M., </w:t>
          </w:r>
          <w:proofErr w:type="spellStart"/>
          <w:r w:rsidRPr="007B41C0">
            <w:rPr>
              <w:rFonts w:cs="Arial"/>
              <w:color w:val="000000"/>
            </w:rPr>
            <w:t>Trabue</w:t>
          </w:r>
          <w:proofErr w:type="spellEnd"/>
          <w:r w:rsidRPr="007B41C0">
            <w:rPr>
              <w:rFonts w:cs="Arial"/>
              <w:color w:val="000000"/>
            </w:rPr>
            <w:t xml:space="preserve"> S., Casey K., Todd R., Cole A.</w:t>
          </w:r>
          <w:r w:rsidR="007B41C0">
            <w:rPr>
              <w:rFonts w:cs="Arial"/>
              <w:color w:val="000000"/>
            </w:rPr>
            <w:t>,</w:t>
          </w:r>
          <w:r w:rsidRPr="007B41C0">
            <w:rPr>
              <w:rFonts w:cs="Arial"/>
              <w:color w:val="000000"/>
            </w:rPr>
            <w:t xml:space="preserve"> 2013</w:t>
          </w:r>
          <w:r w:rsidR="007B41C0">
            <w:rPr>
              <w:rFonts w:cs="Arial"/>
              <w:color w:val="000000"/>
            </w:rPr>
            <w:t>,</w:t>
          </w:r>
          <w:r w:rsidRPr="007B41C0">
            <w:rPr>
              <w:rFonts w:cs="Arial"/>
              <w:color w:val="000000"/>
            </w:rPr>
            <w:t xml:space="preserve"> Standardization of flux chamber and wind tunnel flux measurements for quantifying volatile organic compound and ammonia emissions from area sources at animal feeding operations. Atmospheric Environment, 66, 72–83. https://doi.org/10.1016/j.atmosenv.2012.03.068</w:t>
          </w:r>
        </w:p>
        <w:p w14:paraId="35A1BE3C" w14:textId="56A27E6C" w:rsidR="000C2C55" w:rsidRPr="007B41C0" w:rsidRDefault="000C2C55">
          <w:pPr>
            <w:autoSpaceDE w:val="0"/>
            <w:autoSpaceDN w:val="0"/>
            <w:ind w:hanging="480"/>
            <w:divId w:val="303630797"/>
            <w:rPr>
              <w:rFonts w:cs="Arial"/>
              <w:color w:val="000000"/>
            </w:rPr>
          </w:pPr>
          <w:proofErr w:type="spellStart"/>
          <w:r w:rsidRPr="007B41C0">
            <w:rPr>
              <w:rFonts w:cs="Arial"/>
              <w:color w:val="000000"/>
            </w:rPr>
            <w:t>Prata</w:t>
          </w:r>
          <w:proofErr w:type="spellEnd"/>
          <w:r w:rsidRPr="007B41C0">
            <w:rPr>
              <w:rFonts w:cs="Arial"/>
              <w:color w:val="000000"/>
            </w:rPr>
            <w:t xml:space="preserve"> A. A., Santos J. M., </w:t>
          </w:r>
          <w:proofErr w:type="spellStart"/>
          <w:r w:rsidRPr="007B41C0">
            <w:rPr>
              <w:rFonts w:cs="Arial"/>
              <w:color w:val="000000"/>
            </w:rPr>
            <w:t>Timchenko</w:t>
          </w:r>
          <w:proofErr w:type="spellEnd"/>
          <w:r w:rsidRPr="007B41C0">
            <w:rPr>
              <w:rFonts w:cs="Arial"/>
              <w:color w:val="000000"/>
            </w:rPr>
            <w:t xml:space="preserve"> V., </w:t>
          </w:r>
          <w:proofErr w:type="spellStart"/>
          <w:r w:rsidRPr="007B41C0">
            <w:rPr>
              <w:rFonts w:cs="Arial"/>
              <w:color w:val="000000"/>
            </w:rPr>
            <w:t>Stuetz</w:t>
          </w:r>
          <w:proofErr w:type="spellEnd"/>
          <w:r w:rsidRPr="007B41C0">
            <w:rPr>
              <w:rFonts w:cs="Arial"/>
              <w:color w:val="000000"/>
            </w:rPr>
            <w:t xml:space="preserve"> R. M.</w:t>
          </w:r>
          <w:r w:rsidR="007B41C0">
            <w:rPr>
              <w:rFonts w:cs="Arial"/>
              <w:color w:val="000000"/>
            </w:rPr>
            <w:t>,</w:t>
          </w:r>
          <w:r w:rsidRPr="007B41C0">
            <w:rPr>
              <w:rFonts w:cs="Arial"/>
              <w:color w:val="000000"/>
            </w:rPr>
            <w:t>2018</w:t>
          </w:r>
          <w:r w:rsidR="007B41C0">
            <w:rPr>
              <w:rFonts w:cs="Arial"/>
              <w:color w:val="000000"/>
            </w:rPr>
            <w:t>,</w:t>
          </w:r>
          <w:r w:rsidRPr="007B41C0">
            <w:rPr>
              <w:rFonts w:cs="Arial"/>
              <w:color w:val="000000"/>
            </w:rPr>
            <w:t xml:space="preserve"> A critical review on liquid-gas mass transfer models for estimating gaseous emissions from passive liquid surfaces in wastewater treatment plants. Water Research, 130, 388–406. https://doi.org/10.1016/j.watres.2017.12.001</w:t>
          </w:r>
        </w:p>
        <w:p w14:paraId="190BC5F6" w14:textId="525E74A7" w:rsidR="000C2C55" w:rsidRPr="007B41C0" w:rsidRDefault="000C2C55">
          <w:pPr>
            <w:autoSpaceDE w:val="0"/>
            <w:autoSpaceDN w:val="0"/>
            <w:ind w:hanging="480"/>
            <w:divId w:val="309021260"/>
            <w:rPr>
              <w:rFonts w:cs="Arial"/>
              <w:color w:val="000000"/>
            </w:rPr>
          </w:pPr>
          <w:proofErr w:type="spellStart"/>
          <w:r w:rsidRPr="007B41C0">
            <w:rPr>
              <w:rFonts w:cs="Arial"/>
              <w:color w:val="000000"/>
            </w:rPr>
            <w:t>Snoun</w:t>
          </w:r>
          <w:proofErr w:type="spellEnd"/>
          <w:r w:rsidRPr="007B41C0">
            <w:rPr>
              <w:rFonts w:cs="Arial"/>
              <w:color w:val="000000"/>
            </w:rPr>
            <w:t xml:space="preserve"> H., </w:t>
          </w:r>
          <w:proofErr w:type="spellStart"/>
          <w:r w:rsidRPr="007B41C0">
            <w:rPr>
              <w:rFonts w:cs="Arial"/>
              <w:color w:val="000000"/>
            </w:rPr>
            <w:t>Krichen</w:t>
          </w:r>
          <w:proofErr w:type="spellEnd"/>
          <w:r w:rsidRPr="007B41C0">
            <w:rPr>
              <w:rFonts w:cs="Arial"/>
              <w:color w:val="000000"/>
            </w:rPr>
            <w:t xml:space="preserve"> M., </w:t>
          </w:r>
          <w:proofErr w:type="spellStart"/>
          <w:r w:rsidRPr="007B41C0">
            <w:rPr>
              <w:rFonts w:cs="Arial"/>
              <w:color w:val="000000"/>
            </w:rPr>
            <w:t>Chérif</w:t>
          </w:r>
          <w:proofErr w:type="spellEnd"/>
          <w:r w:rsidRPr="007B41C0">
            <w:rPr>
              <w:rFonts w:cs="Arial"/>
              <w:color w:val="000000"/>
            </w:rPr>
            <w:t xml:space="preserve"> H.</w:t>
          </w:r>
          <w:r w:rsidR="007B41C0">
            <w:rPr>
              <w:rFonts w:cs="Arial"/>
              <w:color w:val="000000"/>
            </w:rPr>
            <w:t xml:space="preserve">, </w:t>
          </w:r>
          <w:r w:rsidRPr="007B41C0">
            <w:rPr>
              <w:rFonts w:cs="Arial"/>
              <w:color w:val="000000"/>
            </w:rPr>
            <w:t>2023</w:t>
          </w:r>
          <w:r w:rsidR="007B41C0">
            <w:rPr>
              <w:rFonts w:cs="Arial"/>
              <w:color w:val="000000"/>
            </w:rPr>
            <w:t>,</w:t>
          </w:r>
          <w:r w:rsidRPr="007B41C0">
            <w:rPr>
              <w:rFonts w:cs="Arial"/>
              <w:color w:val="000000"/>
            </w:rPr>
            <w:t xml:space="preserve"> A comprehensive review of Gaussian atmospheric dispersion models: current usage and future perspectives. In Euro-Mediterranean Journal for Environmental Integration (Vol. 8, Number 1, pp. 219–242). Springer Nature. https://doi.org/10.1007/s41207-023-00354-6</w:t>
          </w:r>
        </w:p>
        <w:p w14:paraId="73B630C0" w14:textId="0B620B73" w:rsidR="000C2C55" w:rsidRPr="007B41C0" w:rsidRDefault="000C2C55">
          <w:pPr>
            <w:autoSpaceDE w:val="0"/>
            <w:autoSpaceDN w:val="0"/>
            <w:ind w:hanging="480"/>
            <w:divId w:val="1503819549"/>
            <w:rPr>
              <w:rFonts w:cs="Arial"/>
              <w:color w:val="000000"/>
            </w:rPr>
          </w:pPr>
          <w:r w:rsidRPr="007B41C0">
            <w:rPr>
              <w:rFonts w:cs="Arial"/>
              <w:color w:val="000000"/>
            </w:rPr>
            <w:t>Tagliaferri F., Invernizzi M., Capra F., Sironi S.</w:t>
          </w:r>
          <w:r w:rsidR="007B41C0">
            <w:rPr>
              <w:rFonts w:cs="Arial"/>
              <w:color w:val="000000"/>
            </w:rPr>
            <w:t xml:space="preserve">, </w:t>
          </w:r>
          <w:r w:rsidRPr="007B41C0">
            <w:rPr>
              <w:rFonts w:cs="Arial"/>
              <w:color w:val="000000"/>
            </w:rPr>
            <w:t>2023</w:t>
          </w:r>
          <w:r w:rsidR="007B41C0">
            <w:rPr>
              <w:rFonts w:cs="Arial"/>
              <w:color w:val="000000"/>
            </w:rPr>
            <w:t>,</w:t>
          </w:r>
          <w:r w:rsidRPr="007B41C0">
            <w:rPr>
              <w:rFonts w:cs="Arial"/>
              <w:color w:val="000000"/>
            </w:rPr>
            <w:t xml:space="preserve"> Validation study of </w:t>
          </w:r>
          <w:proofErr w:type="spellStart"/>
          <w:r w:rsidRPr="007B41C0">
            <w:rPr>
              <w:rFonts w:cs="Arial"/>
              <w:color w:val="000000"/>
            </w:rPr>
            <w:t>WindTrax</w:t>
          </w:r>
          <w:proofErr w:type="spellEnd"/>
          <w:r w:rsidRPr="007B41C0">
            <w:rPr>
              <w:rFonts w:cs="Arial"/>
              <w:color w:val="000000"/>
            </w:rPr>
            <w:t xml:space="preserve"> reverse dispersion model coupled with a sensitivity analysis of model-specific settings. Environmental Research, 222(January), 115401. https://doi.org/10.1016/j.envres.2023.115401</w:t>
          </w:r>
        </w:p>
        <w:p w14:paraId="2F793368" w14:textId="706CE323" w:rsidR="000C2C55" w:rsidRPr="007B41C0" w:rsidRDefault="000C2C55">
          <w:pPr>
            <w:autoSpaceDE w:val="0"/>
            <w:autoSpaceDN w:val="0"/>
            <w:ind w:hanging="480"/>
            <w:divId w:val="967860967"/>
            <w:rPr>
              <w:rFonts w:cs="Arial"/>
              <w:color w:val="000000"/>
            </w:rPr>
          </w:pPr>
          <w:r w:rsidRPr="007B41C0">
            <w:rPr>
              <w:rFonts w:cs="Arial"/>
              <w:color w:val="000000"/>
            </w:rPr>
            <w:t>Tagliaferri F., Invernizzi M., Sironi S.</w:t>
          </w:r>
          <w:r w:rsidR="007B41C0">
            <w:rPr>
              <w:rFonts w:cs="Arial"/>
              <w:color w:val="000000"/>
            </w:rPr>
            <w:t xml:space="preserve">, </w:t>
          </w:r>
          <w:r w:rsidRPr="007B41C0">
            <w:rPr>
              <w:rFonts w:cs="Arial"/>
              <w:color w:val="000000"/>
            </w:rPr>
            <w:t>2023</w:t>
          </w:r>
          <w:r w:rsidR="007B41C0">
            <w:rPr>
              <w:rFonts w:cs="Arial"/>
              <w:color w:val="000000"/>
            </w:rPr>
            <w:t>,</w:t>
          </w:r>
          <w:r w:rsidRPr="007B41C0">
            <w:rPr>
              <w:rFonts w:cs="Arial"/>
              <w:color w:val="000000"/>
            </w:rPr>
            <w:t xml:space="preserve"> Experimental evaluation on liquid area sources: Influence of wind velocity and temperature on the wind tunnel sampling of VOCs emissions from wastewater treatment plants. Chemosphere, 312(P2), 137337. https://doi.org/10.1016/j.chemosphere.2022.137337</w:t>
          </w:r>
        </w:p>
        <w:p w14:paraId="57B5E7C9" w14:textId="70006917" w:rsidR="000C2C55" w:rsidRPr="007B41C0" w:rsidRDefault="000C2C55">
          <w:pPr>
            <w:autoSpaceDE w:val="0"/>
            <w:autoSpaceDN w:val="0"/>
            <w:ind w:hanging="480"/>
            <w:divId w:val="1581018661"/>
            <w:rPr>
              <w:rFonts w:cs="Arial"/>
              <w:color w:val="000000"/>
            </w:rPr>
          </w:pPr>
          <w:r w:rsidRPr="007B41C0">
            <w:rPr>
              <w:rFonts w:cs="Arial"/>
              <w:color w:val="000000"/>
            </w:rPr>
            <w:t xml:space="preserve">Tagliaferri F., </w:t>
          </w:r>
          <w:proofErr w:type="spellStart"/>
          <w:r w:rsidRPr="007B41C0">
            <w:rPr>
              <w:rFonts w:cs="Arial"/>
              <w:color w:val="000000"/>
            </w:rPr>
            <w:t>Panzeri</w:t>
          </w:r>
          <w:proofErr w:type="spellEnd"/>
          <w:r w:rsidRPr="007B41C0">
            <w:rPr>
              <w:rFonts w:cs="Arial"/>
              <w:color w:val="000000"/>
            </w:rPr>
            <w:t xml:space="preserve"> F., Invernizzi M., </w:t>
          </w:r>
          <w:proofErr w:type="spellStart"/>
          <w:r w:rsidRPr="007B41C0">
            <w:rPr>
              <w:rFonts w:cs="Arial"/>
              <w:color w:val="000000"/>
            </w:rPr>
            <w:t>Manganelli</w:t>
          </w:r>
          <w:proofErr w:type="spellEnd"/>
          <w:r w:rsidRPr="007B41C0">
            <w:rPr>
              <w:rFonts w:cs="Arial"/>
              <w:color w:val="000000"/>
            </w:rPr>
            <w:t xml:space="preserve"> C., Sironi, S.</w:t>
          </w:r>
          <w:r w:rsidR="007B41C0">
            <w:rPr>
              <w:rFonts w:cs="Arial"/>
              <w:color w:val="000000"/>
            </w:rPr>
            <w:t xml:space="preserve">, </w:t>
          </w:r>
          <w:r w:rsidRPr="007B41C0">
            <w:rPr>
              <w:rFonts w:cs="Arial"/>
              <w:color w:val="000000"/>
            </w:rPr>
            <w:t>2024</w:t>
          </w:r>
          <w:r w:rsidR="007B41C0">
            <w:rPr>
              <w:rFonts w:cs="Arial"/>
              <w:color w:val="000000"/>
            </w:rPr>
            <w:t>,</w:t>
          </w:r>
          <w:r w:rsidRPr="007B41C0">
            <w:rPr>
              <w:rFonts w:cs="Arial"/>
              <w:color w:val="000000"/>
            </w:rPr>
            <w:t xml:space="preserve"> Characterization of diffuse odorous emissions from lignocellulosic biomass storage. Journal of the Energy Institute, 112(October 2023), 101440. https://doi.org/10.1016/j.joei.2023.101440</w:t>
          </w:r>
        </w:p>
        <w:p w14:paraId="4769A5A3" w14:textId="7889DD09" w:rsidR="005C4B87" w:rsidRPr="00405395" w:rsidRDefault="000C2C55" w:rsidP="000C2C55">
          <w:pPr>
            <w:autoSpaceDE w:val="0"/>
            <w:autoSpaceDN w:val="0"/>
            <w:divId w:val="1003633299"/>
          </w:pPr>
          <w:r w:rsidRPr="000C2C55">
            <w:rPr>
              <w:rFonts w:cs="Arial"/>
              <w:color w:val="000000"/>
            </w:rPr>
            <w:t> </w:t>
          </w:r>
        </w:p>
      </w:sdtContent>
    </w:sdt>
    <w:sectPr w:rsidR="005C4B87" w:rsidRPr="00405395" w:rsidSect="00F2675F">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93A5B" w14:textId="77777777" w:rsidR="00D43A17" w:rsidRDefault="00D43A17" w:rsidP="004F5E36">
      <w:r>
        <w:separator/>
      </w:r>
    </w:p>
  </w:endnote>
  <w:endnote w:type="continuationSeparator" w:id="0">
    <w:p w14:paraId="10708827" w14:textId="77777777" w:rsidR="00D43A17" w:rsidRDefault="00D43A17"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038D" w14:textId="77777777" w:rsidR="00D43A17" w:rsidRDefault="00D43A17" w:rsidP="004F5E36">
      <w:r>
        <w:separator/>
      </w:r>
    </w:p>
  </w:footnote>
  <w:footnote w:type="continuationSeparator" w:id="0">
    <w:p w14:paraId="4EB2E8DB" w14:textId="77777777" w:rsidR="00D43A17" w:rsidRDefault="00D43A17"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1E4B6C18"/>
    <w:multiLevelType w:val="hybridMultilevel"/>
    <w:tmpl w:val="373C4800"/>
    <w:lvl w:ilvl="0" w:tplc="80EEBBC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38217E"/>
    <w:multiLevelType w:val="multilevel"/>
    <w:tmpl w:val="276E11FA"/>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6237"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5006011"/>
    <w:multiLevelType w:val="hybridMultilevel"/>
    <w:tmpl w:val="526C51E0"/>
    <w:lvl w:ilvl="0" w:tplc="EA4E3FA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9"/>
  </w:num>
  <w:num w:numId="13">
    <w:abstractNumId w:val="13"/>
  </w:num>
  <w:num w:numId="14">
    <w:abstractNumId w:val="20"/>
  </w:num>
  <w:num w:numId="15">
    <w:abstractNumId w:val="22"/>
  </w:num>
  <w:num w:numId="16">
    <w:abstractNumId w:val="21"/>
  </w:num>
  <w:num w:numId="17">
    <w:abstractNumId w:val="12"/>
  </w:num>
  <w:num w:numId="18">
    <w:abstractNumId w:val="13"/>
    <w:lvlOverride w:ilvl="0">
      <w:startOverride w:val="1"/>
    </w:lvlOverride>
  </w:num>
  <w:num w:numId="19">
    <w:abstractNumId w:val="18"/>
  </w:num>
  <w:num w:numId="20">
    <w:abstractNumId w:val="17"/>
  </w:num>
  <w:num w:numId="21">
    <w:abstractNumId w:val="15"/>
  </w:num>
  <w:num w:numId="22">
    <w:abstractNumId w:val="14"/>
  </w:num>
  <w:num w:numId="23">
    <w:abstractNumId w:val="11"/>
  </w:num>
  <w:num w:numId="24">
    <w:abstractNumId w:val="16"/>
  </w:num>
  <w:num w:numId="25">
    <w:abstractNumId w:val="11"/>
  </w:num>
  <w:num w:numId="26">
    <w:abstractNumId w:val="1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117CB"/>
    <w:rsid w:val="00014FEC"/>
    <w:rsid w:val="00015C8D"/>
    <w:rsid w:val="00031023"/>
    <w:rsid w:val="0003148D"/>
    <w:rsid w:val="00031EEC"/>
    <w:rsid w:val="00036493"/>
    <w:rsid w:val="0004051F"/>
    <w:rsid w:val="00051566"/>
    <w:rsid w:val="00052EF3"/>
    <w:rsid w:val="00062A9A"/>
    <w:rsid w:val="00065058"/>
    <w:rsid w:val="00076029"/>
    <w:rsid w:val="000763F7"/>
    <w:rsid w:val="00086C39"/>
    <w:rsid w:val="000871CB"/>
    <w:rsid w:val="000A03B2"/>
    <w:rsid w:val="000B547A"/>
    <w:rsid w:val="000C2C55"/>
    <w:rsid w:val="000C3596"/>
    <w:rsid w:val="000C39BE"/>
    <w:rsid w:val="000D0268"/>
    <w:rsid w:val="000D34BE"/>
    <w:rsid w:val="000E01A8"/>
    <w:rsid w:val="000E102F"/>
    <w:rsid w:val="000E36F1"/>
    <w:rsid w:val="000E3A73"/>
    <w:rsid w:val="000E414A"/>
    <w:rsid w:val="000E503D"/>
    <w:rsid w:val="000F093C"/>
    <w:rsid w:val="000F5348"/>
    <w:rsid w:val="000F787B"/>
    <w:rsid w:val="00101282"/>
    <w:rsid w:val="0010416C"/>
    <w:rsid w:val="00114675"/>
    <w:rsid w:val="0012091F"/>
    <w:rsid w:val="00125FDC"/>
    <w:rsid w:val="00126BC2"/>
    <w:rsid w:val="001308B6"/>
    <w:rsid w:val="0013121F"/>
    <w:rsid w:val="00131FE6"/>
    <w:rsid w:val="0013263F"/>
    <w:rsid w:val="001331DF"/>
    <w:rsid w:val="00134DE4"/>
    <w:rsid w:val="0014034D"/>
    <w:rsid w:val="00140AC0"/>
    <w:rsid w:val="00142306"/>
    <w:rsid w:val="0014432E"/>
    <w:rsid w:val="00144D16"/>
    <w:rsid w:val="00146EF7"/>
    <w:rsid w:val="0015084B"/>
    <w:rsid w:val="00150E59"/>
    <w:rsid w:val="00152DE3"/>
    <w:rsid w:val="00164CF9"/>
    <w:rsid w:val="001667A6"/>
    <w:rsid w:val="00175C6A"/>
    <w:rsid w:val="0018470E"/>
    <w:rsid w:val="00184826"/>
    <w:rsid w:val="00184AD6"/>
    <w:rsid w:val="001865C5"/>
    <w:rsid w:val="001A2A13"/>
    <w:rsid w:val="001A4AF7"/>
    <w:rsid w:val="001A6FFD"/>
    <w:rsid w:val="001A7A1B"/>
    <w:rsid w:val="001B0349"/>
    <w:rsid w:val="001B1E93"/>
    <w:rsid w:val="001B64DE"/>
    <w:rsid w:val="001B65C1"/>
    <w:rsid w:val="001C0B3A"/>
    <w:rsid w:val="001C1091"/>
    <w:rsid w:val="001C1C0C"/>
    <w:rsid w:val="001C4E9F"/>
    <w:rsid w:val="001C684B"/>
    <w:rsid w:val="001D0CFB"/>
    <w:rsid w:val="001D21AF"/>
    <w:rsid w:val="001D53FC"/>
    <w:rsid w:val="001F13C9"/>
    <w:rsid w:val="001F42A5"/>
    <w:rsid w:val="001F63A6"/>
    <w:rsid w:val="001F7B9D"/>
    <w:rsid w:val="002018CF"/>
    <w:rsid w:val="00201C93"/>
    <w:rsid w:val="00215CF2"/>
    <w:rsid w:val="002224B4"/>
    <w:rsid w:val="00234108"/>
    <w:rsid w:val="00237AF2"/>
    <w:rsid w:val="002447EF"/>
    <w:rsid w:val="00251550"/>
    <w:rsid w:val="00263B05"/>
    <w:rsid w:val="0027221A"/>
    <w:rsid w:val="00275B61"/>
    <w:rsid w:val="002777E0"/>
    <w:rsid w:val="00280FAF"/>
    <w:rsid w:val="002821FC"/>
    <w:rsid w:val="00282656"/>
    <w:rsid w:val="00283033"/>
    <w:rsid w:val="00295281"/>
    <w:rsid w:val="00296B83"/>
    <w:rsid w:val="002A0281"/>
    <w:rsid w:val="002A0C66"/>
    <w:rsid w:val="002A2999"/>
    <w:rsid w:val="002B4015"/>
    <w:rsid w:val="002B4B84"/>
    <w:rsid w:val="002B6A41"/>
    <w:rsid w:val="002B78CE"/>
    <w:rsid w:val="002C15A9"/>
    <w:rsid w:val="002C2FB6"/>
    <w:rsid w:val="002C3CFF"/>
    <w:rsid w:val="002C6076"/>
    <w:rsid w:val="002E034B"/>
    <w:rsid w:val="002E5FA7"/>
    <w:rsid w:val="002F3309"/>
    <w:rsid w:val="002F4C04"/>
    <w:rsid w:val="003008CE"/>
    <w:rsid w:val="003009B7"/>
    <w:rsid w:val="00300E56"/>
    <w:rsid w:val="0030318B"/>
    <w:rsid w:val="0030469C"/>
    <w:rsid w:val="00321CA6"/>
    <w:rsid w:val="00323763"/>
    <w:rsid w:val="00323C5F"/>
    <w:rsid w:val="003323EB"/>
    <w:rsid w:val="00333273"/>
    <w:rsid w:val="00334C09"/>
    <w:rsid w:val="00344408"/>
    <w:rsid w:val="00347E7E"/>
    <w:rsid w:val="003553A6"/>
    <w:rsid w:val="003571DF"/>
    <w:rsid w:val="003723D4"/>
    <w:rsid w:val="003737DE"/>
    <w:rsid w:val="003753D8"/>
    <w:rsid w:val="00381905"/>
    <w:rsid w:val="00384CC8"/>
    <w:rsid w:val="003871FD"/>
    <w:rsid w:val="00390B71"/>
    <w:rsid w:val="00391244"/>
    <w:rsid w:val="003923A6"/>
    <w:rsid w:val="003925A9"/>
    <w:rsid w:val="003974E1"/>
    <w:rsid w:val="003A1E30"/>
    <w:rsid w:val="003A2829"/>
    <w:rsid w:val="003A66EE"/>
    <w:rsid w:val="003A7D1C"/>
    <w:rsid w:val="003B304B"/>
    <w:rsid w:val="003B3146"/>
    <w:rsid w:val="003B54D6"/>
    <w:rsid w:val="003F015E"/>
    <w:rsid w:val="003F311A"/>
    <w:rsid w:val="003F79FE"/>
    <w:rsid w:val="00400414"/>
    <w:rsid w:val="00405395"/>
    <w:rsid w:val="00410465"/>
    <w:rsid w:val="0041124C"/>
    <w:rsid w:val="0041446B"/>
    <w:rsid w:val="00416D7A"/>
    <w:rsid w:val="00417A0F"/>
    <w:rsid w:val="004212BD"/>
    <w:rsid w:val="0043340A"/>
    <w:rsid w:val="00436CDC"/>
    <w:rsid w:val="0044071E"/>
    <w:rsid w:val="0044329C"/>
    <w:rsid w:val="004457D8"/>
    <w:rsid w:val="00447BC6"/>
    <w:rsid w:val="00453D75"/>
    <w:rsid w:val="00453E24"/>
    <w:rsid w:val="0045435C"/>
    <w:rsid w:val="00457456"/>
    <w:rsid w:val="004577FE"/>
    <w:rsid w:val="00457B9C"/>
    <w:rsid w:val="0046164A"/>
    <w:rsid w:val="004628D2"/>
    <w:rsid w:val="00462DCD"/>
    <w:rsid w:val="004648AD"/>
    <w:rsid w:val="004653F7"/>
    <w:rsid w:val="004703A9"/>
    <w:rsid w:val="00472E80"/>
    <w:rsid w:val="00475A15"/>
    <w:rsid w:val="004760DE"/>
    <w:rsid w:val="004763D7"/>
    <w:rsid w:val="004803FB"/>
    <w:rsid w:val="00482999"/>
    <w:rsid w:val="00482E9D"/>
    <w:rsid w:val="00491A31"/>
    <w:rsid w:val="004A004E"/>
    <w:rsid w:val="004A24CF"/>
    <w:rsid w:val="004C21D4"/>
    <w:rsid w:val="004C3D1D"/>
    <w:rsid w:val="004C3D84"/>
    <w:rsid w:val="004C6467"/>
    <w:rsid w:val="004C7913"/>
    <w:rsid w:val="004D39E3"/>
    <w:rsid w:val="004E4DD6"/>
    <w:rsid w:val="004E73C4"/>
    <w:rsid w:val="004F2526"/>
    <w:rsid w:val="004F34E3"/>
    <w:rsid w:val="004F5E36"/>
    <w:rsid w:val="00500E1D"/>
    <w:rsid w:val="0050141F"/>
    <w:rsid w:val="00507B47"/>
    <w:rsid w:val="00507BEF"/>
    <w:rsid w:val="00507CC9"/>
    <w:rsid w:val="00510E8E"/>
    <w:rsid w:val="005119A5"/>
    <w:rsid w:val="00513D6E"/>
    <w:rsid w:val="00522AC8"/>
    <w:rsid w:val="005278B7"/>
    <w:rsid w:val="00532016"/>
    <w:rsid w:val="00532C62"/>
    <w:rsid w:val="005346C8"/>
    <w:rsid w:val="00534852"/>
    <w:rsid w:val="00534979"/>
    <w:rsid w:val="005373E3"/>
    <w:rsid w:val="0054228F"/>
    <w:rsid w:val="00543E7D"/>
    <w:rsid w:val="00547A68"/>
    <w:rsid w:val="00552290"/>
    <w:rsid w:val="005531C9"/>
    <w:rsid w:val="00562B6B"/>
    <w:rsid w:val="00567098"/>
    <w:rsid w:val="00570C43"/>
    <w:rsid w:val="00572481"/>
    <w:rsid w:val="00572E76"/>
    <w:rsid w:val="00574D11"/>
    <w:rsid w:val="005772C3"/>
    <w:rsid w:val="00582B74"/>
    <w:rsid w:val="00590B2F"/>
    <w:rsid w:val="005A0774"/>
    <w:rsid w:val="005A2EDB"/>
    <w:rsid w:val="005B2110"/>
    <w:rsid w:val="005B61E6"/>
    <w:rsid w:val="005C4B87"/>
    <w:rsid w:val="005C5C01"/>
    <w:rsid w:val="005C77E1"/>
    <w:rsid w:val="005D668A"/>
    <w:rsid w:val="005D6A2F"/>
    <w:rsid w:val="005E02C8"/>
    <w:rsid w:val="005E1A82"/>
    <w:rsid w:val="005E794C"/>
    <w:rsid w:val="005F0A28"/>
    <w:rsid w:val="005F0E5E"/>
    <w:rsid w:val="005F21EF"/>
    <w:rsid w:val="00600535"/>
    <w:rsid w:val="0060541D"/>
    <w:rsid w:val="00610CD6"/>
    <w:rsid w:val="00614AE9"/>
    <w:rsid w:val="00620DEE"/>
    <w:rsid w:val="00621F92"/>
    <w:rsid w:val="0062280A"/>
    <w:rsid w:val="0062312C"/>
    <w:rsid w:val="00625639"/>
    <w:rsid w:val="00626094"/>
    <w:rsid w:val="00626B2E"/>
    <w:rsid w:val="00631B33"/>
    <w:rsid w:val="0064184D"/>
    <w:rsid w:val="006422CC"/>
    <w:rsid w:val="006550C6"/>
    <w:rsid w:val="00660E3E"/>
    <w:rsid w:val="00662E74"/>
    <w:rsid w:val="006640BA"/>
    <w:rsid w:val="006675B6"/>
    <w:rsid w:val="00673420"/>
    <w:rsid w:val="00680C23"/>
    <w:rsid w:val="00681416"/>
    <w:rsid w:val="00693766"/>
    <w:rsid w:val="006943D0"/>
    <w:rsid w:val="006952A2"/>
    <w:rsid w:val="00696BFF"/>
    <w:rsid w:val="006A3281"/>
    <w:rsid w:val="006B0D21"/>
    <w:rsid w:val="006B3E00"/>
    <w:rsid w:val="006B4888"/>
    <w:rsid w:val="006C0363"/>
    <w:rsid w:val="006C2E45"/>
    <w:rsid w:val="006C359C"/>
    <w:rsid w:val="006C5442"/>
    <w:rsid w:val="006C5579"/>
    <w:rsid w:val="006C6097"/>
    <w:rsid w:val="006D07EE"/>
    <w:rsid w:val="006D6E8B"/>
    <w:rsid w:val="006E2536"/>
    <w:rsid w:val="006E737D"/>
    <w:rsid w:val="006F05AC"/>
    <w:rsid w:val="006F5AEE"/>
    <w:rsid w:val="006F6CD8"/>
    <w:rsid w:val="006F6EAC"/>
    <w:rsid w:val="00704715"/>
    <w:rsid w:val="00710B15"/>
    <w:rsid w:val="00712BBC"/>
    <w:rsid w:val="00713973"/>
    <w:rsid w:val="007139A8"/>
    <w:rsid w:val="00720A24"/>
    <w:rsid w:val="00725F33"/>
    <w:rsid w:val="00731320"/>
    <w:rsid w:val="00732386"/>
    <w:rsid w:val="0073514D"/>
    <w:rsid w:val="00736E59"/>
    <w:rsid w:val="007377EA"/>
    <w:rsid w:val="007447F3"/>
    <w:rsid w:val="00744FF3"/>
    <w:rsid w:val="0075499F"/>
    <w:rsid w:val="007661C8"/>
    <w:rsid w:val="0077098D"/>
    <w:rsid w:val="00776DD2"/>
    <w:rsid w:val="00783B5F"/>
    <w:rsid w:val="007931FA"/>
    <w:rsid w:val="007936EE"/>
    <w:rsid w:val="007A4861"/>
    <w:rsid w:val="007A4865"/>
    <w:rsid w:val="007A72ED"/>
    <w:rsid w:val="007A7BBA"/>
    <w:rsid w:val="007B0C50"/>
    <w:rsid w:val="007B1EE5"/>
    <w:rsid w:val="007B41C0"/>
    <w:rsid w:val="007B48F9"/>
    <w:rsid w:val="007C1A43"/>
    <w:rsid w:val="007C305A"/>
    <w:rsid w:val="007C5C01"/>
    <w:rsid w:val="007E20B2"/>
    <w:rsid w:val="007E3E54"/>
    <w:rsid w:val="007E6D13"/>
    <w:rsid w:val="007F5481"/>
    <w:rsid w:val="0080013E"/>
    <w:rsid w:val="00802DBF"/>
    <w:rsid w:val="00803CF6"/>
    <w:rsid w:val="0080437B"/>
    <w:rsid w:val="00807DC1"/>
    <w:rsid w:val="0081086F"/>
    <w:rsid w:val="00812CF3"/>
    <w:rsid w:val="00813288"/>
    <w:rsid w:val="008168FC"/>
    <w:rsid w:val="00817DA6"/>
    <w:rsid w:val="0082058F"/>
    <w:rsid w:val="00822956"/>
    <w:rsid w:val="00823C4C"/>
    <w:rsid w:val="00824C79"/>
    <w:rsid w:val="00825E2E"/>
    <w:rsid w:val="00830996"/>
    <w:rsid w:val="008345F1"/>
    <w:rsid w:val="0083517E"/>
    <w:rsid w:val="00844EED"/>
    <w:rsid w:val="008459CD"/>
    <w:rsid w:val="008544BA"/>
    <w:rsid w:val="00865B07"/>
    <w:rsid w:val="008667EA"/>
    <w:rsid w:val="00866DCE"/>
    <w:rsid w:val="008739EB"/>
    <w:rsid w:val="00875FB0"/>
    <w:rsid w:val="0087637F"/>
    <w:rsid w:val="00881498"/>
    <w:rsid w:val="00892AD5"/>
    <w:rsid w:val="008A1512"/>
    <w:rsid w:val="008A5916"/>
    <w:rsid w:val="008C001A"/>
    <w:rsid w:val="008D0275"/>
    <w:rsid w:val="008D32B9"/>
    <w:rsid w:val="008D433B"/>
    <w:rsid w:val="008D4A16"/>
    <w:rsid w:val="008D6BFD"/>
    <w:rsid w:val="008E566E"/>
    <w:rsid w:val="008F7FCF"/>
    <w:rsid w:val="0090161A"/>
    <w:rsid w:val="00901EB6"/>
    <w:rsid w:val="00904C62"/>
    <w:rsid w:val="00921969"/>
    <w:rsid w:val="00922BA8"/>
    <w:rsid w:val="0092328E"/>
    <w:rsid w:val="00924DAC"/>
    <w:rsid w:val="00927058"/>
    <w:rsid w:val="00927806"/>
    <w:rsid w:val="00932C6A"/>
    <w:rsid w:val="00942750"/>
    <w:rsid w:val="009450CE"/>
    <w:rsid w:val="00947179"/>
    <w:rsid w:val="0095164B"/>
    <w:rsid w:val="00954090"/>
    <w:rsid w:val="009573E7"/>
    <w:rsid w:val="00961C1D"/>
    <w:rsid w:val="00963E05"/>
    <w:rsid w:val="0096425A"/>
    <w:rsid w:val="00964A45"/>
    <w:rsid w:val="00967843"/>
    <w:rsid w:val="00967D54"/>
    <w:rsid w:val="00971028"/>
    <w:rsid w:val="0097349F"/>
    <w:rsid w:val="00974D3F"/>
    <w:rsid w:val="00975AE3"/>
    <w:rsid w:val="0098119D"/>
    <w:rsid w:val="009832C9"/>
    <w:rsid w:val="00993B84"/>
    <w:rsid w:val="00996483"/>
    <w:rsid w:val="00996F5A"/>
    <w:rsid w:val="009A3333"/>
    <w:rsid w:val="009B041A"/>
    <w:rsid w:val="009C03FC"/>
    <w:rsid w:val="009C0694"/>
    <w:rsid w:val="009C28A0"/>
    <w:rsid w:val="009C3024"/>
    <w:rsid w:val="009C37C3"/>
    <w:rsid w:val="009C7C86"/>
    <w:rsid w:val="009D0A5F"/>
    <w:rsid w:val="009D2FF7"/>
    <w:rsid w:val="009D3553"/>
    <w:rsid w:val="009E7884"/>
    <w:rsid w:val="009E788A"/>
    <w:rsid w:val="009F0AEF"/>
    <w:rsid w:val="009F0E08"/>
    <w:rsid w:val="009F2135"/>
    <w:rsid w:val="00A169A9"/>
    <w:rsid w:val="00A1763D"/>
    <w:rsid w:val="00A17CEC"/>
    <w:rsid w:val="00A17F98"/>
    <w:rsid w:val="00A235F9"/>
    <w:rsid w:val="00A27EF0"/>
    <w:rsid w:val="00A34B75"/>
    <w:rsid w:val="00A37197"/>
    <w:rsid w:val="00A40B3E"/>
    <w:rsid w:val="00A42361"/>
    <w:rsid w:val="00A42CB1"/>
    <w:rsid w:val="00A44EC6"/>
    <w:rsid w:val="00A50B20"/>
    <w:rsid w:val="00A51390"/>
    <w:rsid w:val="00A5661F"/>
    <w:rsid w:val="00A6058E"/>
    <w:rsid w:val="00A60D13"/>
    <w:rsid w:val="00A6644F"/>
    <w:rsid w:val="00A7223D"/>
    <w:rsid w:val="00A72745"/>
    <w:rsid w:val="00A75F3A"/>
    <w:rsid w:val="00A76EFC"/>
    <w:rsid w:val="00A7771B"/>
    <w:rsid w:val="00A84588"/>
    <w:rsid w:val="00A84F59"/>
    <w:rsid w:val="00A86A46"/>
    <w:rsid w:val="00A91010"/>
    <w:rsid w:val="00A97F29"/>
    <w:rsid w:val="00AA5899"/>
    <w:rsid w:val="00AA702E"/>
    <w:rsid w:val="00AB0964"/>
    <w:rsid w:val="00AB5011"/>
    <w:rsid w:val="00AB6D6D"/>
    <w:rsid w:val="00AC7368"/>
    <w:rsid w:val="00AD16B9"/>
    <w:rsid w:val="00AE2846"/>
    <w:rsid w:val="00AE377D"/>
    <w:rsid w:val="00AE5900"/>
    <w:rsid w:val="00AF0EBA"/>
    <w:rsid w:val="00B01FDA"/>
    <w:rsid w:val="00B02C8A"/>
    <w:rsid w:val="00B0429A"/>
    <w:rsid w:val="00B17FBD"/>
    <w:rsid w:val="00B26BDC"/>
    <w:rsid w:val="00B315A6"/>
    <w:rsid w:val="00B31813"/>
    <w:rsid w:val="00B33365"/>
    <w:rsid w:val="00B34EBE"/>
    <w:rsid w:val="00B3775C"/>
    <w:rsid w:val="00B4036E"/>
    <w:rsid w:val="00B46728"/>
    <w:rsid w:val="00B57B36"/>
    <w:rsid w:val="00B57E6F"/>
    <w:rsid w:val="00B715C9"/>
    <w:rsid w:val="00B762FC"/>
    <w:rsid w:val="00B80C07"/>
    <w:rsid w:val="00B833D1"/>
    <w:rsid w:val="00B8686D"/>
    <w:rsid w:val="00B86C99"/>
    <w:rsid w:val="00B87A14"/>
    <w:rsid w:val="00B901D9"/>
    <w:rsid w:val="00B93F69"/>
    <w:rsid w:val="00B94558"/>
    <w:rsid w:val="00BA10CB"/>
    <w:rsid w:val="00BA1FB3"/>
    <w:rsid w:val="00BA3947"/>
    <w:rsid w:val="00BA52CD"/>
    <w:rsid w:val="00BA63EE"/>
    <w:rsid w:val="00BB1DDC"/>
    <w:rsid w:val="00BC020E"/>
    <w:rsid w:val="00BC30C9"/>
    <w:rsid w:val="00BC37D0"/>
    <w:rsid w:val="00BC7CCB"/>
    <w:rsid w:val="00BD077D"/>
    <w:rsid w:val="00BD1AD4"/>
    <w:rsid w:val="00BE335D"/>
    <w:rsid w:val="00BE3622"/>
    <w:rsid w:val="00BE3E58"/>
    <w:rsid w:val="00BE4027"/>
    <w:rsid w:val="00BF2DD3"/>
    <w:rsid w:val="00C01201"/>
    <w:rsid w:val="00C01616"/>
    <w:rsid w:val="00C0162B"/>
    <w:rsid w:val="00C068ED"/>
    <w:rsid w:val="00C10126"/>
    <w:rsid w:val="00C17668"/>
    <w:rsid w:val="00C2054F"/>
    <w:rsid w:val="00C20D12"/>
    <w:rsid w:val="00C22E0C"/>
    <w:rsid w:val="00C3050B"/>
    <w:rsid w:val="00C345B1"/>
    <w:rsid w:val="00C40142"/>
    <w:rsid w:val="00C43058"/>
    <w:rsid w:val="00C51109"/>
    <w:rsid w:val="00C52C3C"/>
    <w:rsid w:val="00C54293"/>
    <w:rsid w:val="00C551A6"/>
    <w:rsid w:val="00C57182"/>
    <w:rsid w:val="00C57863"/>
    <w:rsid w:val="00C63FEE"/>
    <w:rsid w:val="00C640AF"/>
    <w:rsid w:val="00C655FD"/>
    <w:rsid w:val="00C65A88"/>
    <w:rsid w:val="00C65F9A"/>
    <w:rsid w:val="00C70838"/>
    <w:rsid w:val="00C71217"/>
    <w:rsid w:val="00C75407"/>
    <w:rsid w:val="00C84343"/>
    <w:rsid w:val="00C870A8"/>
    <w:rsid w:val="00C94434"/>
    <w:rsid w:val="00CA0D75"/>
    <w:rsid w:val="00CA1C95"/>
    <w:rsid w:val="00CA5A9C"/>
    <w:rsid w:val="00CC2538"/>
    <w:rsid w:val="00CC42F5"/>
    <w:rsid w:val="00CC4C20"/>
    <w:rsid w:val="00CC5DF3"/>
    <w:rsid w:val="00CC69D6"/>
    <w:rsid w:val="00CC7D15"/>
    <w:rsid w:val="00CD3517"/>
    <w:rsid w:val="00CD5FE2"/>
    <w:rsid w:val="00CD7344"/>
    <w:rsid w:val="00CE0E59"/>
    <w:rsid w:val="00CE2B70"/>
    <w:rsid w:val="00CE2D09"/>
    <w:rsid w:val="00CE3050"/>
    <w:rsid w:val="00CE7C68"/>
    <w:rsid w:val="00CF4278"/>
    <w:rsid w:val="00CF6A89"/>
    <w:rsid w:val="00D02B4C"/>
    <w:rsid w:val="00D040C4"/>
    <w:rsid w:val="00D16FEA"/>
    <w:rsid w:val="00D20AD1"/>
    <w:rsid w:val="00D20F23"/>
    <w:rsid w:val="00D30465"/>
    <w:rsid w:val="00D33EB7"/>
    <w:rsid w:val="00D36C8A"/>
    <w:rsid w:val="00D43A17"/>
    <w:rsid w:val="00D46B7E"/>
    <w:rsid w:val="00D5522D"/>
    <w:rsid w:val="00D57C84"/>
    <w:rsid w:val="00D6057D"/>
    <w:rsid w:val="00D71640"/>
    <w:rsid w:val="00D73029"/>
    <w:rsid w:val="00D836C5"/>
    <w:rsid w:val="00D84576"/>
    <w:rsid w:val="00D847E7"/>
    <w:rsid w:val="00D92F09"/>
    <w:rsid w:val="00D94AE2"/>
    <w:rsid w:val="00D94BB8"/>
    <w:rsid w:val="00DA1399"/>
    <w:rsid w:val="00DA24C6"/>
    <w:rsid w:val="00DA2BD9"/>
    <w:rsid w:val="00DA4D7B"/>
    <w:rsid w:val="00DD271C"/>
    <w:rsid w:val="00DD29C0"/>
    <w:rsid w:val="00DD3119"/>
    <w:rsid w:val="00DD3CB8"/>
    <w:rsid w:val="00DE264A"/>
    <w:rsid w:val="00DF09E4"/>
    <w:rsid w:val="00DF25AB"/>
    <w:rsid w:val="00DF2FB8"/>
    <w:rsid w:val="00DF4C95"/>
    <w:rsid w:val="00DF5072"/>
    <w:rsid w:val="00E029C4"/>
    <w:rsid w:val="00E02D18"/>
    <w:rsid w:val="00E041E7"/>
    <w:rsid w:val="00E06EA4"/>
    <w:rsid w:val="00E17E61"/>
    <w:rsid w:val="00E23CA1"/>
    <w:rsid w:val="00E257AE"/>
    <w:rsid w:val="00E354BD"/>
    <w:rsid w:val="00E36B9D"/>
    <w:rsid w:val="00E409A8"/>
    <w:rsid w:val="00E4533D"/>
    <w:rsid w:val="00E453C0"/>
    <w:rsid w:val="00E50C12"/>
    <w:rsid w:val="00E6330D"/>
    <w:rsid w:val="00E639DF"/>
    <w:rsid w:val="00E65B91"/>
    <w:rsid w:val="00E67B80"/>
    <w:rsid w:val="00E70A4A"/>
    <w:rsid w:val="00E7209D"/>
    <w:rsid w:val="00E72EAD"/>
    <w:rsid w:val="00E77223"/>
    <w:rsid w:val="00E80B72"/>
    <w:rsid w:val="00E814E7"/>
    <w:rsid w:val="00E8528B"/>
    <w:rsid w:val="00E85B94"/>
    <w:rsid w:val="00E85DB1"/>
    <w:rsid w:val="00E86404"/>
    <w:rsid w:val="00E86625"/>
    <w:rsid w:val="00E8680E"/>
    <w:rsid w:val="00E869FD"/>
    <w:rsid w:val="00E911A8"/>
    <w:rsid w:val="00E96683"/>
    <w:rsid w:val="00E978D0"/>
    <w:rsid w:val="00EA4613"/>
    <w:rsid w:val="00EA7F91"/>
    <w:rsid w:val="00EB1523"/>
    <w:rsid w:val="00EB66BF"/>
    <w:rsid w:val="00EB7CDE"/>
    <w:rsid w:val="00EC0E49"/>
    <w:rsid w:val="00EC101F"/>
    <w:rsid w:val="00EC1D9F"/>
    <w:rsid w:val="00EE0131"/>
    <w:rsid w:val="00EE17B0"/>
    <w:rsid w:val="00EF06D9"/>
    <w:rsid w:val="00EF1411"/>
    <w:rsid w:val="00F02D7F"/>
    <w:rsid w:val="00F03826"/>
    <w:rsid w:val="00F050FD"/>
    <w:rsid w:val="00F17397"/>
    <w:rsid w:val="00F2675F"/>
    <w:rsid w:val="00F30757"/>
    <w:rsid w:val="00F30C64"/>
    <w:rsid w:val="00F32BA2"/>
    <w:rsid w:val="00F32CDB"/>
    <w:rsid w:val="00F36593"/>
    <w:rsid w:val="00F36819"/>
    <w:rsid w:val="00F36BC8"/>
    <w:rsid w:val="00F40293"/>
    <w:rsid w:val="00F44025"/>
    <w:rsid w:val="00F452A4"/>
    <w:rsid w:val="00F565FE"/>
    <w:rsid w:val="00F57B6E"/>
    <w:rsid w:val="00F622D2"/>
    <w:rsid w:val="00F63A70"/>
    <w:rsid w:val="00F63D8C"/>
    <w:rsid w:val="00F64F73"/>
    <w:rsid w:val="00F7534E"/>
    <w:rsid w:val="00F769E5"/>
    <w:rsid w:val="00F76EBF"/>
    <w:rsid w:val="00F9090A"/>
    <w:rsid w:val="00F90E7F"/>
    <w:rsid w:val="00F97DCF"/>
    <w:rsid w:val="00FA1802"/>
    <w:rsid w:val="00FA21D0"/>
    <w:rsid w:val="00FA5F5F"/>
    <w:rsid w:val="00FB0565"/>
    <w:rsid w:val="00FB730C"/>
    <w:rsid w:val="00FC2695"/>
    <w:rsid w:val="00FC3320"/>
    <w:rsid w:val="00FC3E03"/>
    <w:rsid w:val="00FC3FC1"/>
    <w:rsid w:val="00FC4A9C"/>
    <w:rsid w:val="00FD21B9"/>
    <w:rsid w:val="00FD319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04051F"/>
    <w:pPr>
      <w:keepNext/>
      <w:numPr>
        <w:ilvl w:val="2"/>
        <w:numId w:val="1"/>
      </w:numPr>
      <w:suppressAutoHyphens/>
      <w:spacing w:before="120" w:after="120" w:line="240" w:lineRule="auto"/>
      <w:ind w:left="0"/>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04051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paragraph" w:styleId="Revisione">
    <w:name w:val="Revision"/>
    <w:hidden/>
    <w:uiPriority w:val="99"/>
    <w:semiHidden/>
    <w:rsid w:val="001C4E9F"/>
    <w:pPr>
      <w:spacing w:after="0" w:line="240" w:lineRule="auto"/>
    </w:pPr>
    <w:rPr>
      <w:rFonts w:ascii="Arial" w:eastAsia="Times New Roman" w:hAnsi="Arial" w:cs="Times New Roman"/>
      <w:sz w:val="18"/>
      <w:szCs w:val="20"/>
      <w:lang w:val="en-GB"/>
    </w:rPr>
  </w:style>
  <w:style w:type="character" w:styleId="Testosegnaposto">
    <w:name w:val="Placeholder Text"/>
    <w:basedOn w:val="Carpredefinitoparagrafo"/>
    <w:uiPriority w:val="99"/>
    <w:semiHidden/>
    <w:rsid w:val="00822956"/>
    <w:rPr>
      <w:color w:val="808080"/>
    </w:rPr>
  </w:style>
  <w:style w:type="character" w:styleId="Menzionenonrisolta">
    <w:name w:val="Unresolved Mention"/>
    <w:basedOn w:val="Carpredefinitoparagrafo"/>
    <w:uiPriority w:val="99"/>
    <w:semiHidden/>
    <w:unhideWhenUsed/>
    <w:rsid w:val="00B01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5234">
      <w:bodyDiv w:val="1"/>
      <w:marLeft w:val="0"/>
      <w:marRight w:val="0"/>
      <w:marTop w:val="0"/>
      <w:marBottom w:val="0"/>
      <w:divBdr>
        <w:top w:val="none" w:sz="0" w:space="0" w:color="auto"/>
        <w:left w:val="none" w:sz="0" w:space="0" w:color="auto"/>
        <w:bottom w:val="none" w:sz="0" w:space="0" w:color="auto"/>
        <w:right w:val="none" w:sz="0" w:space="0" w:color="auto"/>
      </w:divBdr>
    </w:div>
    <w:div w:id="39982395">
      <w:bodyDiv w:val="1"/>
      <w:marLeft w:val="0"/>
      <w:marRight w:val="0"/>
      <w:marTop w:val="0"/>
      <w:marBottom w:val="0"/>
      <w:divBdr>
        <w:top w:val="none" w:sz="0" w:space="0" w:color="auto"/>
        <w:left w:val="none" w:sz="0" w:space="0" w:color="auto"/>
        <w:bottom w:val="none" w:sz="0" w:space="0" w:color="auto"/>
        <w:right w:val="none" w:sz="0" w:space="0" w:color="auto"/>
      </w:divBdr>
    </w:div>
    <w:div w:id="42100689">
      <w:bodyDiv w:val="1"/>
      <w:marLeft w:val="0"/>
      <w:marRight w:val="0"/>
      <w:marTop w:val="0"/>
      <w:marBottom w:val="0"/>
      <w:divBdr>
        <w:top w:val="none" w:sz="0" w:space="0" w:color="auto"/>
        <w:left w:val="none" w:sz="0" w:space="0" w:color="auto"/>
        <w:bottom w:val="none" w:sz="0" w:space="0" w:color="auto"/>
        <w:right w:val="none" w:sz="0" w:space="0" w:color="auto"/>
      </w:divBdr>
    </w:div>
    <w:div w:id="44258150">
      <w:bodyDiv w:val="1"/>
      <w:marLeft w:val="0"/>
      <w:marRight w:val="0"/>
      <w:marTop w:val="0"/>
      <w:marBottom w:val="0"/>
      <w:divBdr>
        <w:top w:val="none" w:sz="0" w:space="0" w:color="auto"/>
        <w:left w:val="none" w:sz="0" w:space="0" w:color="auto"/>
        <w:bottom w:val="none" w:sz="0" w:space="0" w:color="auto"/>
        <w:right w:val="none" w:sz="0" w:space="0" w:color="auto"/>
      </w:divBdr>
      <w:divsChild>
        <w:div w:id="373651414">
          <w:marLeft w:val="480"/>
          <w:marRight w:val="0"/>
          <w:marTop w:val="0"/>
          <w:marBottom w:val="0"/>
          <w:divBdr>
            <w:top w:val="none" w:sz="0" w:space="0" w:color="auto"/>
            <w:left w:val="none" w:sz="0" w:space="0" w:color="auto"/>
            <w:bottom w:val="none" w:sz="0" w:space="0" w:color="auto"/>
            <w:right w:val="none" w:sz="0" w:space="0" w:color="auto"/>
          </w:divBdr>
        </w:div>
        <w:div w:id="1770736853">
          <w:marLeft w:val="480"/>
          <w:marRight w:val="0"/>
          <w:marTop w:val="0"/>
          <w:marBottom w:val="0"/>
          <w:divBdr>
            <w:top w:val="none" w:sz="0" w:space="0" w:color="auto"/>
            <w:left w:val="none" w:sz="0" w:space="0" w:color="auto"/>
            <w:bottom w:val="none" w:sz="0" w:space="0" w:color="auto"/>
            <w:right w:val="none" w:sz="0" w:space="0" w:color="auto"/>
          </w:divBdr>
        </w:div>
        <w:div w:id="552040507">
          <w:marLeft w:val="480"/>
          <w:marRight w:val="0"/>
          <w:marTop w:val="0"/>
          <w:marBottom w:val="0"/>
          <w:divBdr>
            <w:top w:val="none" w:sz="0" w:space="0" w:color="auto"/>
            <w:left w:val="none" w:sz="0" w:space="0" w:color="auto"/>
            <w:bottom w:val="none" w:sz="0" w:space="0" w:color="auto"/>
            <w:right w:val="none" w:sz="0" w:space="0" w:color="auto"/>
          </w:divBdr>
        </w:div>
        <w:div w:id="623466535">
          <w:marLeft w:val="480"/>
          <w:marRight w:val="0"/>
          <w:marTop w:val="0"/>
          <w:marBottom w:val="0"/>
          <w:divBdr>
            <w:top w:val="none" w:sz="0" w:space="0" w:color="auto"/>
            <w:left w:val="none" w:sz="0" w:space="0" w:color="auto"/>
            <w:bottom w:val="none" w:sz="0" w:space="0" w:color="auto"/>
            <w:right w:val="none" w:sz="0" w:space="0" w:color="auto"/>
          </w:divBdr>
        </w:div>
        <w:div w:id="2057390870">
          <w:marLeft w:val="480"/>
          <w:marRight w:val="0"/>
          <w:marTop w:val="0"/>
          <w:marBottom w:val="0"/>
          <w:divBdr>
            <w:top w:val="none" w:sz="0" w:space="0" w:color="auto"/>
            <w:left w:val="none" w:sz="0" w:space="0" w:color="auto"/>
            <w:bottom w:val="none" w:sz="0" w:space="0" w:color="auto"/>
            <w:right w:val="none" w:sz="0" w:space="0" w:color="auto"/>
          </w:divBdr>
        </w:div>
        <w:div w:id="585001124">
          <w:marLeft w:val="480"/>
          <w:marRight w:val="0"/>
          <w:marTop w:val="0"/>
          <w:marBottom w:val="0"/>
          <w:divBdr>
            <w:top w:val="none" w:sz="0" w:space="0" w:color="auto"/>
            <w:left w:val="none" w:sz="0" w:space="0" w:color="auto"/>
            <w:bottom w:val="none" w:sz="0" w:space="0" w:color="auto"/>
            <w:right w:val="none" w:sz="0" w:space="0" w:color="auto"/>
          </w:divBdr>
        </w:div>
        <w:div w:id="154959623">
          <w:marLeft w:val="480"/>
          <w:marRight w:val="0"/>
          <w:marTop w:val="0"/>
          <w:marBottom w:val="0"/>
          <w:divBdr>
            <w:top w:val="none" w:sz="0" w:space="0" w:color="auto"/>
            <w:left w:val="none" w:sz="0" w:space="0" w:color="auto"/>
            <w:bottom w:val="none" w:sz="0" w:space="0" w:color="auto"/>
            <w:right w:val="none" w:sz="0" w:space="0" w:color="auto"/>
          </w:divBdr>
        </w:div>
        <w:div w:id="1704742897">
          <w:marLeft w:val="480"/>
          <w:marRight w:val="0"/>
          <w:marTop w:val="0"/>
          <w:marBottom w:val="0"/>
          <w:divBdr>
            <w:top w:val="none" w:sz="0" w:space="0" w:color="auto"/>
            <w:left w:val="none" w:sz="0" w:space="0" w:color="auto"/>
            <w:bottom w:val="none" w:sz="0" w:space="0" w:color="auto"/>
            <w:right w:val="none" w:sz="0" w:space="0" w:color="auto"/>
          </w:divBdr>
        </w:div>
        <w:div w:id="1995062057">
          <w:marLeft w:val="480"/>
          <w:marRight w:val="0"/>
          <w:marTop w:val="0"/>
          <w:marBottom w:val="0"/>
          <w:divBdr>
            <w:top w:val="none" w:sz="0" w:space="0" w:color="auto"/>
            <w:left w:val="none" w:sz="0" w:space="0" w:color="auto"/>
            <w:bottom w:val="none" w:sz="0" w:space="0" w:color="auto"/>
            <w:right w:val="none" w:sz="0" w:space="0" w:color="auto"/>
          </w:divBdr>
        </w:div>
        <w:div w:id="978265088">
          <w:marLeft w:val="480"/>
          <w:marRight w:val="0"/>
          <w:marTop w:val="0"/>
          <w:marBottom w:val="0"/>
          <w:divBdr>
            <w:top w:val="none" w:sz="0" w:space="0" w:color="auto"/>
            <w:left w:val="none" w:sz="0" w:space="0" w:color="auto"/>
            <w:bottom w:val="none" w:sz="0" w:space="0" w:color="auto"/>
            <w:right w:val="none" w:sz="0" w:space="0" w:color="auto"/>
          </w:divBdr>
        </w:div>
        <w:div w:id="944772767">
          <w:marLeft w:val="480"/>
          <w:marRight w:val="0"/>
          <w:marTop w:val="0"/>
          <w:marBottom w:val="0"/>
          <w:divBdr>
            <w:top w:val="none" w:sz="0" w:space="0" w:color="auto"/>
            <w:left w:val="none" w:sz="0" w:space="0" w:color="auto"/>
            <w:bottom w:val="none" w:sz="0" w:space="0" w:color="auto"/>
            <w:right w:val="none" w:sz="0" w:space="0" w:color="auto"/>
          </w:divBdr>
        </w:div>
        <w:div w:id="1372150412">
          <w:marLeft w:val="480"/>
          <w:marRight w:val="0"/>
          <w:marTop w:val="0"/>
          <w:marBottom w:val="0"/>
          <w:divBdr>
            <w:top w:val="none" w:sz="0" w:space="0" w:color="auto"/>
            <w:left w:val="none" w:sz="0" w:space="0" w:color="auto"/>
            <w:bottom w:val="none" w:sz="0" w:space="0" w:color="auto"/>
            <w:right w:val="none" w:sz="0" w:space="0" w:color="auto"/>
          </w:divBdr>
        </w:div>
        <w:div w:id="1179731239">
          <w:marLeft w:val="480"/>
          <w:marRight w:val="0"/>
          <w:marTop w:val="0"/>
          <w:marBottom w:val="0"/>
          <w:divBdr>
            <w:top w:val="none" w:sz="0" w:space="0" w:color="auto"/>
            <w:left w:val="none" w:sz="0" w:space="0" w:color="auto"/>
            <w:bottom w:val="none" w:sz="0" w:space="0" w:color="auto"/>
            <w:right w:val="none" w:sz="0" w:space="0" w:color="auto"/>
          </w:divBdr>
        </w:div>
      </w:divsChild>
    </w:div>
    <w:div w:id="64836771">
      <w:bodyDiv w:val="1"/>
      <w:marLeft w:val="0"/>
      <w:marRight w:val="0"/>
      <w:marTop w:val="0"/>
      <w:marBottom w:val="0"/>
      <w:divBdr>
        <w:top w:val="none" w:sz="0" w:space="0" w:color="auto"/>
        <w:left w:val="none" w:sz="0" w:space="0" w:color="auto"/>
        <w:bottom w:val="none" w:sz="0" w:space="0" w:color="auto"/>
        <w:right w:val="none" w:sz="0" w:space="0" w:color="auto"/>
      </w:divBdr>
    </w:div>
    <w:div w:id="72776095">
      <w:bodyDiv w:val="1"/>
      <w:marLeft w:val="0"/>
      <w:marRight w:val="0"/>
      <w:marTop w:val="0"/>
      <w:marBottom w:val="0"/>
      <w:divBdr>
        <w:top w:val="none" w:sz="0" w:space="0" w:color="auto"/>
        <w:left w:val="none" w:sz="0" w:space="0" w:color="auto"/>
        <w:bottom w:val="none" w:sz="0" w:space="0" w:color="auto"/>
        <w:right w:val="none" w:sz="0" w:space="0" w:color="auto"/>
      </w:divBdr>
    </w:div>
    <w:div w:id="74519642">
      <w:bodyDiv w:val="1"/>
      <w:marLeft w:val="0"/>
      <w:marRight w:val="0"/>
      <w:marTop w:val="0"/>
      <w:marBottom w:val="0"/>
      <w:divBdr>
        <w:top w:val="none" w:sz="0" w:space="0" w:color="auto"/>
        <w:left w:val="none" w:sz="0" w:space="0" w:color="auto"/>
        <w:bottom w:val="none" w:sz="0" w:space="0" w:color="auto"/>
        <w:right w:val="none" w:sz="0" w:space="0" w:color="auto"/>
      </w:divBdr>
    </w:div>
    <w:div w:id="78795591">
      <w:bodyDiv w:val="1"/>
      <w:marLeft w:val="0"/>
      <w:marRight w:val="0"/>
      <w:marTop w:val="0"/>
      <w:marBottom w:val="0"/>
      <w:divBdr>
        <w:top w:val="none" w:sz="0" w:space="0" w:color="auto"/>
        <w:left w:val="none" w:sz="0" w:space="0" w:color="auto"/>
        <w:bottom w:val="none" w:sz="0" w:space="0" w:color="auto"/>
        <w:right w:val="none" w:sz="0" w:space="0" w:color="auto"/>
      </w:divBdr>
    </w:div>
    <w:div w:id="98305863">
      <w:bodyDiv w:val="1"/>
      <w:marLeft w:val="0"/>
      <w:marRight w:val="0"/>
      <w:marTop w:val="0"/>
      <w:marBottom w:val="0"/>
      <w:divBdr>
        <w:top w:val="none" w:sz="0" w:space="0" w:color="auto"/>
        <w:left w:val="none" w:sz="0" w:space="0" w:color="auto"/>
        <w:bottom w:val="none" w:sz="0" w:space="0" w:color="auto"/>
        <w:right w:val="none" w:sz="0" w:space="0" w:color="auto"/>
      </w:divBdr>
      <w:divsChild>
        <w:div w:id="1180581349">
          <w:marLeft w:val="0"/>
          <w:marRight w:val="0"/>
          <w:marTop w:val="0"/>
          <w:marBottom w:val="0"/>
          <w:divBdr>
            <w:top w:val="single" w:sz="2" w:space="0" w:color="E3E3E3"/>
            <w:left w:val="single" w:sz="2" w:space="0" w:color="E3E3E3"/>
            <w:bottom w:val="single" w:sz="2" w:space="0" w:color="E3E3E3"/>
            <w:right w:val="single" w:sz="2" w:space="0" w:color="E3E3E3"/>
          </w:divBdr>
          <w:divsChild>
            <w:div w:id="1090661931">
              <w:marLeft w:val="0"/>
              <w:marRight w:val="0"/>
              <w:marTop w:val="0"/>
              <w:marBottom w:val="0"/>
              <w:divBdr>
                <w:top w:val="single" w:sz="2" w:space="0" w:color="E3E3E3"/>
                <w:left w:val="single" w:sz="2" w:space="0" w:color="E3E3E3"/>
                <w:bottom w:val="single" w:sz="2" w:space="0" w:color="E3E3E3"/>
                <w:right w:val="single" w:sz="2" w:space="0" w:color="E3E3E3"/>
              </w:divBdr>
              <w:divsChild>
                <w:div w:id="615019303">
                  <w:marLeft w:val="0"/>
                  <w:marRight w:val="0"/>
                  <w:marTop w:val="0"/>
                  <w:marBottom w:val="0"/>
                  <w:divBdr>
                    <w:top w:val="single" w:sz="2" w:space="0" w:color="E3E3E3"/>
                    <w:left w:val="single" w:sz="2" w:space="0" w:color="E3E3E3"/>
                    <w:bottom w:val="single" w:sz="2" w:space="0" w:color="E3E3E3"/>
                    <w:right w:val="single" w:sz="2" w:space="0" w:color="E3E3E3"/>
                  </w:divBdr>
                  <w:divsChild>
                    <w:div w:id="815100036">
                      <w:marLeft w:val="0"/>
                      <w:marRight w:val="0"/>
                      <w:marTop w:val="0"/>
                      <w:marBottom w:val="0"/>
                      <w:divBdr>
                        <w:top w:val="single" w:sz="2" w:space="0" w:color="E3E3E3"/>
                        <w:left w:val="single" w:sz="2" w:space="0" w:color="E3E3E3"/>
                        <w:bottom w:val="single" w:sz="2" w:space="0" w:color="E3E3E3"/>
                        <w:right w:val="single" w:sz="2" w:space="0" w:color="E3E3E3"/>
                      </w:divBdr>
                      <w:divsChild>
                        <w:div w:id="1449426654">
                          <w:marLeft w:val="0"/>
                          <w:marRight w:val="0"/>
                          <w:marTop w:val="0"/>
                          <w:marBottom w:val="0"/>
                          <w:divBdr>
                            <w:top w:val="single" w:sz="2" w:space="0" w:color="E3E3E3"/>
                            <w:left w:val="single" w:sz="2" w:space="0" w:color="E3E3E3"/>
                            <w:bottom w:val="single" w:sz="2" w:space="0" w:color="E3E3E3"/>
                            <w:right w:val="single" w:sz="2" w:space="0" w:color="E3E3E3"/>
                          </w:divBdr>
                          <w:divsChild>
                            <w:div w:id="697774563">
                              <w:marLeft w:val="0"/>
                              <w:marRight w:val="0"/>
                              <w:marTop w:val="0"/>
                              <w:marBottom w:val="0"/>
                              <w:divBdr>
                                <w:top w:val="single" w:sz="2" w:space="0" w:color="E3E3E3"/>
                                <w:left w:val="single" w:sz="2" w:space="0" w:color="E3E3E3"/>
                                <w:bottom w:val="single" w:sz="2" w:space="0" w:color="E3E3E3"/>
                                <w:right w:val="single" w:sz="2" w:space="0" w:color="E3E3E3"/>
                              </w:divBdr>
                              <w:divsChild>
                                <w:div w:id="1427656267">
                                  <w:marLeft w:val="0"/>
                                  <w:marRight w:val="0"/>
                                  <w:marTop w:val="100"/>
                                  <w:marBottom w:val="100"/>
                                  <w:divBdr>
                                    <w:top w:val="single" w:sz="2" w:space="0" w:color="E3E3E3"/>
                                    <w:left w:val="single" w:sz="2" w:space="0" w:color="E3E3E3"/>
                                    <w:bottom w:val="single" w:sz="2" w:space="0" w:color="E3E3E3"/>
                                    <w:right w:val="single" w:sz="2" w:space="0" w:color="E3E3E3"/>
                                  </w:divBdr>
                                  <w:divsChild>
                                    <w:div w:id="1826162844">
                                      <w:marLeft w:val="0"/>
                                      <w:marRight w:val="0"/>
                                      <w:marTop w:val="0"/>
                                      <w:marBottom w:val="0"/>
                                      <w:divBdr>
                                        <w:top w:val="single" w:sz="2" w:space="0" w:color="E3E3E3"/>
                                        <w:left w:val="single" w:sz="2" w:space="0" w:color="E3E3E3"/>
                                        <w:bottom w:val="single" w:sz="2" w:space="0" w:color="E3E3E3"/>
                                        <w:right w:val="single" w:sz="2" w:space="0" w:color="E3E3E3"/>
                                      </w:divBdr>
                                      <w:divsChild>
                                        <w:div w:id="547109855">
                                          <w:marLeft w:val="0"/>
                                          <w:marRight w:val="0"/>
                                          <w:marTop w:val="0"/>
                                          <w:marBottom w:val="0"/>
                                          <w:divBdr>
                                            <w:top w:val="single" w:sz="2" w:space="0" w:color="E3E3E3"/>
                                            <w:left w:val="single" w:sz="2" w:space="0" w:color="E3E3E3"/>
                                            <w:bottom w:val="single" w:sz="2" w:space="0" w:color="E3E3E3"/>
                                            <w:right w:val="single" w:sz="2" w:space="0" w:color="E3E3E3"/>
                                          </w:divBdr>
                                          <w:divsChild>
                                            <w:div w:id="2085488474">
                                              <w:marLeft w:val="0"/>
                                              <w:marRight w:val="0"/>
                                              <w:marTop w:val="0"/>
                                              <w:marBottom w:val="0"/>
                                              <w:divBdr>
                                                <w:top w:val="single" w:sz="2" w:space="0" w:color="E3E3E3"/>
                                                <w:left w:val="single" w:sz="2" w:space="0" w:color="E3E3E3"/>
                                                <w:bottom w:val="single" w:sz="2" w:space="0" w:color="E3E3E3"/>
                                                <w:right w:val="single" w:sz="2" w:space="0" w:color="E3E3E3"/>
                                              </w:divBdr>
                                              <w:divsChild>
                                                <w:div w:id="748119364">
                                                  <w:marLeft w:val="0"/>
                                                  <w:marRight w:val="0"/>
                                                  <w:marTop w:val="0"/>
                                                  <w:marBottom w:val="0"/>
                                                  <w:divBdr>
                                                    <w:top w:val="single" w:sz="2" w:space="0" w:color="E3E3E3"/>
                                                    <w:left w:val="single" w:sz="2" w:space="0" w:color="E3E3E3"/>
                                                    <w:bottom w:val="single" w:sz="2" w:space="0" w:color="E3E3E3"/>
                                                    <w:right w:val="single" w:sz="2" w:space="0" w:color="E3E3E3"/>
                                                  </w:divBdr>
                                                  <w:divsChild>
                                                    <w:div w:id="467552556">
                                                      <w:marLeft w:val="0"/>
                                                      <w:marRight w:val="0"/>
                                                      <w:marTop w:val="0"/>
                                                      <w:marBottom w:val="0"/>
                                                      <w:divBdr>
                                                        <w:top w:val="single" w:sz="2" w:space="0" w:color="E3E3E3"/>
                                                        <w:left w:val="single" w:sz="2" w:space="0" w:color="E3E3E3"/>
                                                        <w:bottom w:val="single" w:sz="2" w:space="0" w:color="E3E3E3"/>
                                                        <w:right w:val="single" w:sz="2" w:space="0" w:color="E3E3E3"/>
                                                      </w:divBdr>
                                                      <w:divsChild>
                                                        <w:div w:id="1569342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10498230">
          <w:marLeft w:val="0"/>
          <w:marRight w:val="0"/>
          <w:marTop w:val="0"/>
          <w:marBottom w:val="0"/>
          <w:divBdr>
            <w:top w:val="none" w:sz="0" w:space="0" w:color="auto"/>
            <w:left w:val="none" w:sz="0" w:space="0" w:color="auto"/>
            <w:bottom w:val="none" w:sz="0" w:space="0" w:color="auto"/>
            <w:right w:val="none" w:sz="0" w:space="0" w:color="auto"/>
          </w:divBdr>
          <w:divsChild>
            <w:div w:id="134833036">
              <w:marLeft w:val="0"/>
              <w:marRight w:val="0"/>
              <w:marTop w:val="100"/>
              <w:marBottom w:val="100"/>
              <w:divBdr>
                <w:top w:val="single" w:sz="2" w:space="0" w:color="E3E3E3"/>
                <w:left w:val="single" w:sz="2" w:space="0" w:color="E3E3E3"/>
                <w:bottom w:val="single" w:sz="2" w:space="0" w:color="E3E3E3"/>
                <w:right w:val="single" w:sz="2" w:space="0" w:color="E3E3E3"/>
              </w:divBdr>
              <w:divsChild>
                <w:div w:id="14925254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1608299">
      <w:bodyDiv w:val="1"/>
      <w:marLeft w:val="0"/>
      <w:marRight w:val="0"/>
      <w:marTop w:val="0"/>
      <w:marBottom w:val="0"/>
      <w:divBdr>
        <w:top w:val="none" w:sz="0" w:space="0" w:color="auto"/>
        <w:left w:val="none" w:sz="0" w:space="0" w:color="auto"/>
        <w:bottom w:val="none" w:sz="0" w:space="0" w:color="auto"/>
        <w:right w:val="none" w:sz="0" w:space="0" w:color="auto"/>
      </w:divBdr>
    </w:div>
    <w:div w:id="193425966">
      <w:bodyDiv w:val="1"/>
      <w:marLeft w:val="0"/>
      <w:marRight w:val="0"/>
      <w:marTop w:val="0"/>
      <w:marBottom w:val="0"/>
      <w:divBdr>
        <w:top w:val="none" w:sz="0" w:space="0" w:color="auto"/>
        <w:left w:val="none" w:sz="0" w:space="0" w:color="auto"/>
        <w:bottom w:val="none" w:sz="0" w:space="0" w:color="auto"/>
        <w:right w:val="none" w:sz="0" w:space="0" w:color="auto"/>
      </w:divBdr>
    </w:div>
    <w:div w:id="200485693">
      <w:bodyDiv w:val="1"/>
      <w:marLeft w:val="0"/>
      <w:marRight w:val="0"/>
      <w:marTop w:val="0"/>
      <w:marBottom w:val="0"/>
      <w:divBdr>
        <w:top w:val="none" w:sz="0" w:space="0" w:color="auto"/>
        <w:left w:val="none" w:sz="0" w:space="0" w:color="auto"/>
        <w:bottom w:val="none" w:sz="0" w:space="0" w:color="auto"/>
        <w:right w:val="none" w:sz="0" w:space="0" w:color="auto"/>
      </w:divBdr>
    </w:div>
    <w:div w:id="227614536">
      <w:bodyDiv w:val="1"/>
      <w:marLeft w:val="0"/>
      <w:marRight w:val="0"/>
      <w:marTop w:val="0"/>
      <w:marBottom w:val="0"/>
      <w:divBdr>
        <w:top w:val="none" w:sz="0" w:space="0" w:color="auto"/>
        <w:left w:val="none" w:sz="0" w:space="0" w:color="auto"/>
        <w:bottom w:val="none" w:sz="0" w:space="0" w:color="auto"/>
        <w:right w:val="none" w:sz="0" w:space="0" w:color="auto"/>
      </w:divBdr>
    </w:div>
    <w:div w:id="232277376">
      <w:bodyDiv w:val="1"/>
      <w:marLeft w:val="0"/>
      <w:marRight w:val="0"/>
      <w:marTop w:val="0"/>
      <w:marBottom w:val="0"/>
      <w:divBdr>
        <w:top w:val="none" w:sz="0" w:space="0" w:color="auto"/>
        <w:left w:val="none" w:sz="0" w:space="0" w:color="auto"/>
        <w:bottom w:val="none" w:sz="0" w:space="0" w:color="auto"/>
        <w:right w:val="none" w:sz="0" w:space="0" w:color="auto"/>
      </w:divBdr>
    </w:div>
    <w:div w:id="245724115">
      <w:bodyDiv w:val="1"/>
      <w:marLeft w:val="0"/>
      <w:marRight w:val="0"/>
      <w:marTop w:val="0"/>
      <w:marBottom w:val="0"/>
      <w:divBdr>
        <w:top w:val="none" w:sz="0" w:space="0" w:color="auto"/>
        <w:left w:val="none" w:sz="0" w:space="0" w:color="auto"/>
        <w:bottom w:val="none" w:sz="0" w:space="0" w:color="auto"/>
        <w:right w:val="none" w:sz="0" w:space="0" w:color="auto"/>
      </w:divBdr>
    </w:div>
    <w:div w:id="260770003">
      <w:bodyDiv w:val="1"/>
      <w:marLeft w:val="0"/>
      <w:marRight w:val="0"/>
      <w:marTop w:val="0"/>
      <w:marBottom w:val="0"/>
      <w:divBdr>
        <w:top w:val="none" w:sz="0" w:space="0" w:color="auto"/>
        <w:left w:val="none" w:sz="0" w:space="0" w:color="auto"/>
        <w:bottom w:val="none" w:sz="0" w:space="0" w:color="auto"/>
        <w:right w:val="none" w:sz="0" w:space="0" w:color="auto"/>
      </w:divBdr>
    </w:div>
    <w:div w:id="266542518">
      <w:bodyDiv w:val="1"/>
      <w:marLeft w:val="0"/>
      <w:marRight w:val="0"/>
      <w:marTop w:val="0"/>
      <w:marBottom w:val="0"/>
      <w:divBdr>
        <w:top w:val="none" w:sz="0" w:space="0" w:color="auto"/>
        <w:left w:val="none" w:sz="0" w:space="0" w:color="auto"/>
        <w:bottom w:val="none" w:sz="0" w:space="0" w:color="auto"/>
        <w:right w:val="none" w:sz="0" w:space="0" w:color="auto"/>
      </w:divBdr>
    </w:div>
    <w:div w:id="292754826">
      <w:bodyDiv w:val="1"/>
      <w:marLeft w:val="0"/>
      <w:marRight w:val="0"/>
      <w:marTop w:val="0"/>
      <w:marBottom w:val="0"/>
      <w:divBdr>
        <w:top w:val="none" w:sz="0" w:space="0" w:color="auto"/>
        <w:left w:val="none" w:sz="0" w:space="0" w:color="auto"/>
        <w:bottom w:val="none" w:sz="0" w:space="0" w:color="auto"/>
        <w:right w:val="none" w:sz="0" w:space="0" w:color="auto"/>
      </w:divBdr>
    </w:div>
    <w:div w:id="330720750">
      <w:bodyDiv w:val="1"/>
      <w:marLeft w:val="0"/>
      <w:marRight w:val="0"/>
      <w:marTop w:val="0"/>
      <w:marBottom w:val="0"/>
      <w:divBdr>
        <w:top w:val="none" w:sz="0" w:space="0" w:color="auto"/>
        <w:left w:val="none" w:sz="0" w:space="0" w:color="auto"/>
        <w:bottom w:val="none" w:sz="0" w:space="0" w:color="auto"/>
        <w:right w:val="none" w:sz="0" w:space="0" w:color="auto"/>
      </w:divBdr>
    </w:div>
    <w:div w:id="334110186">
      <w:bodyDiv w:val="1"/>
      <w:marLeft w:val="0"/>
      <w:marRight w:val="0"/>
      <w:marTop w:val="0"/>
      <w:marBottom w:val="0"/>
      <w:divBdr>
        <w:top w:val="none" w:sz="0" w:space="0" w:color="auto"/>
        <w:left w:val="none" w:sz="0" w:space="0" w:color="auto"/>
        <w:bottom w:val="none" w:sz="0" w:space="0" w:color="auto"/>
        <w:right w:val="none" w:sz="0" w:space="0" w:color="auto"/>
      </w:divBdr>
    </w:div>
    <w:div w:id="344938062">
      <w:bodyDiv w:val="1"/>
      <w:marLeft w:val="0"/>
      <w:marRight w:val="0"/>
      <w:marTop w:val="0"/>
      <w:marBottom w:val="0"/>
      <w:divBdr>
        <w:top w:val="none" w:sz="0" w:space="0" w:color="auto"/>
        <w:left w:val="none" w:sz="0" w:space="0" w:color="auto"/>
        <w:bottom w:val="none" w:sz="0" w:space="0" w:color="auto"/>
        <w:right w:val="none" w:sz="0" w:space="0" w:color="auto"/>
      </w:divBdr>
    </w:div>
    <w:div w:id="348485975">
      <w:bodyDiv w:val="1"/>
      <w:marLeft w:val="0"/>
      <w:marRight w:val="0"/>
      <w:marTop w:val="0"/>
      <w:marBottom w:val="0"/>
      <w:divBdr>
        <w:top w:val="none" w:sz="0" w:space="0" w:color="auto"/>
        <w:left w:val="none" w:sz="0" w:space="0" w:color="auto"/>
        <w:bottom w:val="none" w:sz="0" w:space="0" w:color="auto"/>
        <w:right w:val="none" w:sz="0" w:space="0" w:color="auto"/>
      </w:divBdr>
    </w:div>
    <w:div w:id="349722343">
      <w:bodyDiv w:val="1"/>
      <w:marLeft w:val="0"/>
      <w:marRight w:val="0"/>
      <w:marTop w:val="0"/>
      <w:marBottom w:val="0"/>
      <w:divBdr>
        <w:top w:val="none" w:sz="0" w:space="0" w:color="auto"/>
        <w:left w:val="none" w:sz="0" w:space="0" w:color="auto"/>
        <w:bottom w:val="none" w:sz="0" w:space="0" w:color="auto"/>
        <w:right w:val="none" w:sz="0" w:space="0" w:color="auto"/>
      </w:divBdr>
    </w:div>
    <w:div w:id="353846358">
      <w:bodyDiv w:val="1"/>
      <w:marLeft w:val="0"/>
      <w:marRight w:val="0"/>
      <w:marTop w:val="0"/>
      <w:marBottom w:val="0"/>
      <w:divBdr>
        <w:top w:val="none" w:sz="0" w:space="0" w:color="auto"/>
        <w:left w:val="none" w:sz="0" w:space="0" w:color="auto"/>
        <w:bottom w:val="none" w:sz="0" w:space="0" w:color="auto"/>
        <w:right w:val="none" w:sz="0" w:space="0" w:color="auto"/>
      </w:divBdr>
    </w:div>
    <w:div w:id="355228711">
      <w:bodyDiv w:val="1"/>
      <w:marLeft w:val="0"/>
      <w:marRight w:val="0"/>
      <w:marTop w:val="0"/>
      <w:marBottom w:val="0"/>
      <w:divBdr>
        <w:top w:val="none" w:sz="0" w:space="0" w:color="auto"/>
        <w:left w:val="none" w:sz="0" w:space="0" w:color="auto"/>
        <w:bottom w:val="none" w:sz="0" w:space="0" w:color="auto"/>
        <w:right w:val="none" w:sz="0" w:space="0" w:color="auto"/>
      </w:divBdr>
    </w:div>
    <w:div w:id="407191201">
      <w:bodyDiv w:val="1"/>
      <w:marLeft w:val="0"/>
      <w:marRight w:val="0"/>
      <w:marTop w:val="0"/>
      <w:marBottom w:val="0"/>
      <w:divBdr>
        <w:top w:val="none" w:sz="0" w:space="0" w:color="auto"/>
        <w:left w:val="none" w:sz="0" w:space="0" w:color="auto"/>
        <w:bottom w:val="none" w:sz="0" w:space="0" w:color="auto"/>
        <w:right w:val="none" w:sz="0" w:space="0" w:color="auto"/>
      </w:divBdr>
    </w:div>
    <w:div w:id="438524562">
      <w:bodyDiv w:val="1"/>
      <w:marLeft w:val="0"/>
      <w:marRight w:val="0"/>
      <w:marTop w:val="0"/>
      <w:marBottom w:val="0"/>
      <w:divBdr>
        <w:top w:val="none" w:sz="0" w:space="0" w:color="auto"/>
        <w:left w:val="none" w:sz="0" w:space="0" w:color="auto"/>
        <w:bottom w:val="none" w:sz="0" w:space="0" w:color="auto"/>
        <w:right w:val="none" w:sz="0" w:space="0" w:color="auto"/>
      </w:divBdr>
    </w:div>
    <w:div w:id="440103080">
      <w:bodyDiv w:val="1"/>
      <w:marLeft w:val="0"/>
      <w:marRight w:val="0"/>
      <w:marTop w:val="0"/>
      <w:marBottom w:val="0"/>
      <w:divBdr>
        <w:top w:val="none" w:sz="0" w:space="0" w:color="auto"/>
        <w:left w:val="none" w:sz="0" w:space="0" w:color="auto"/>
        <w:bottom w:val="none" w:sz="0" w:space="0" w:color="auto"/>
        <w:right w:val="none" w:sz="0" w:space="0" w:color="auto"/>
      </w:divBdr>
    </w:div>
    <w:div w:id="440220394">
      <w:bodyDiv w:val="1"/>
      <w:marLeft w:val="0"/>
      <w:marRight w:val="0"/>
      <w:marTop w:val="0"/>
      <w:marBottom w:val="0"/>
      <w:divBdr>
        <w:top w:val="none" w:sz="0" w:space="0" w:color="auto"/>
        <w:left w:val="none" w:sz="0" w:space="0" w:color="auto"/>
        <w:bottom w:val="none" w:sz="0" w:space="0" w:color="auto"/>
        <w:right w:val="none" w:sz="0" w:space="0" w:color="auto"/>
      </w:divBdr>
    </w:div>
    <w:div w:id="467363666">
      <w:bodyDiv w:val="1"/>
      <w:marLeft w:val="0"/>
      <w:marRight w:val="0"/>
      <w:marTop w:val="0"/>
      <w:marBottom w:val="0"/>
      <w:divBdr>
        <w:top w:val="none" w:sz="0" w:space="0" w:color="auto"/>
        <w:left w:val="none" w:sz="0" w:space="0" w:color="auto"/>
        <w:bottom w:val="none" w:sz="0" w:space="0" w:color="auto"/>
        <w:right w:val="none" w:sz="0" w:space="0" w:color="auto"/>
      </w:divBdr>
    </w:div>
    <w:div w:id="489247186">
      <w:bodyDiv w:val="1"/>
      <w:marLeft w:val="0"/>
      <w:marRight w:val="0"/>
      <w:marTop w:val="0"/>
      <w:marBottom w:val="0"/>
      <w:divBdr>
        <w:top w:val="none" w:sz="0" w:space="0" w:color="auto"/>
        <w:left w:val="none" w:sz="0" w:space="0" w:color="auto"/>
        <w:bottom w:val="none" w:sz="0" w:space="0" w:color="auto"/>
        <w:right w:val="none" w:sz="0" w:space="0" w:color="auto"/>
      </w:divBdr>
    </w:div>
    <w:div w:id="513616014">
      <w:bodyDiv w:val="1"/>
      <w:marLeft w:val="0"/>
      <w:marRight w:val="0"/>
      <w:marTop w:val="0"/>
      <w:marBottom w:val="0"/>
      <w:divBdr>
        <w:top w:val="none" w:sz="0" w:space="0" w:color="auto"/>
        <w:left w:val="none" w:sz="0" w:space="0" w:color="auto"/>
        <w:bottom w:val="none" w:sz="0" w:space="0" w:color="auto"/>
        <w:right w:val="none" w:sz="0" w:space="0" w:color="auto"/>
      </w:divBdr>
    </w:div>
    <w:div w:id="520749915">
      <w:bodyDiv w:val="1"/>
      <w:marLeft w:val="0"/>
      <w:marRight w:val="0"/>
      <w:marTop w:val="0"/>
      <w:marBottom w:val="0"/>
      <w:divBdr>
        <w:top w:val="none" w:sz="0" w:space="0" w:color="auto"/>
        <w:left w:val="none" w:sz="0" w:space="0" w:color="auto"/>
        <w:bottom w:val="none" w:sz="0" w:space="0" w:color="auto"/>
        <w:right w:val="none" w:sz="0" w:space="0" w:color="auto"/>
      </w:divBdr>
    </w:div>
    <w:div w:id="521747476">
      <w:bodyDiv w:val="1"/>
      <w:marLeft w:val="0"/>
      <w:marRight w:val="0"/>
      <w:marTop w:val="0"/>
      <w:marBottom w:val="0"/>
      <w:divBdr>
        <w:top w:val="none" w:sz="0" w:space="0" w:color="auto"/>
        <w:left w:val="none" w:sz="0" w:space="0" w:color="auto"/>
        <w:bottom w:val="none" w:sz="0" w:space="0" w:color="auto"/>
        <w:right w:val="none" w:sz="0" w:space="0" w:color="auto"/>
      </w:divBdr>
    </w:div>
    <w:div w:id="550506861">
      <w:bodyDiv w:val="1"/>
      <w:marLeft w:val="0"/>
      <w:marRight w:val="0"/>
      <w:marTop w:val="0"/>
      <w:marBottom w:val="0"/>
      <w:divBdr>
        <w:top w:val="none" w:sz="0" w:space="0" w:color="auto"/>
        <w:left w:val="none" w:sz="0" w:space="0" w:color="auto"/>
        <w:bottom w:val="none" w:sz="0" w:space="0" w:color="auto"/>
        <w:right w:val="none" w:sz="0" w:space="0" w:color="auto"/>
      </w:divBdr>
    </w:div>
    <w:div w:id="573588273">
      <w:bodyDiv w:val="1"/>
      <w:marLeft w:val="0"/>
      <w:marRight w:val="0"/>
      <w:marTop w:val="0"/>
      <w:marBottom w:val="0"/>
      <w:divBdr>
        <w:top w:val="none" w:sz="0" w:space="0" w:color="auto"/>
        <w:left w:val="none" w:sz="0" w:space="0" w:color="auto"/>
        <w:bottom w:val="none" w:sz="0" w:space="0" w:color="auto"/>
        <w:right w:val="none" w:sz="0" w:space="0" w:color="auto"/>
      </w:divBdr>
    </w:div>
    <w:div w:id="589775301">
      <w:bodyDiv w:val="1"/>
      <w:marLeft w:val="0"/>
      <w:marRight w:val="0"/>
      <w:marTop w:val="0"/>
      <w:marBottom w:val="0"/>
      <w:divBdr>
        <w:top w:val="none" w:sz="0" w:space="0" w:color="auto"/>
        <w:left w:val="none" w:sz="0" w:space="0" w:color="auto"/>
        <w:bottom w:val="none" w:sz="0" w:space="0" w:color="auto"/>
        <w:right w:val="none" w:sz="0" w:space="0" w:color="auto"/>
      </w:divBdr>
    </w:div>
    <w:div w:id="601690120">
      <w:bodyDiv w:val="1"/>
      <w:marLeft w:val="0"/>
      <w:marRight w:val="0"/>
      <w:marTop w:val="0"/>
      <w:marBottom w:val="0"/>
      <w:divBdr>
        <w:top w:val="none" w:sz="0" w:space="0" w:color="auto"/>
        <w:left w:val="none" w:sz="0" w:space="0" w:color="auto"/>
        <w:bottom w:val="none" w:sz="0" w:space="0" w:color="auto"/>
        <w:right w:val="none" w:sz="0" w:space="0" w:color="auto"/>
      </w:divBdr>
    </w:div>
    <w:div w:id="604927867">
      <w:bodyDiv w:val="1"/>
      <w:marLeft w:val="0"/>
      <w:marRight w:val="0"/>
      <w:marTop w:val="0"/>
      <w:marBottom w:val="0"/>
      <w:divBdr>
        <w:top w:val="none" w:sz="0" w:space="0" w:color="auto"/>
        <w:left w:val="none" w:sz="0" w:space="0" w:color="auto"/>
        <w:bottom w:val="none" w:sz="0" w:space="0" w:color="auto"/>
        <w:right w:val="none" w:sz="0" w:space="0" w:color="auto"/>
      </w:divBdr>
    </w:div>
    <w:div w:id="637884082">
      <w:bodyDiv w:val="1"/>
      <w:marLeft w:val="0"/>
      <w:marRight w:val="0"/>
      <w:marTop w:val="0"/>
      <w:marBottom w:val="0"/>
      <w:divBdr>
        <w:top w:val="none" w:sz="0" w:space="0" w:color="auto"/>
        <w:left w:val="none" w:sz="0" w:space="0" w:color="auto"/>
        <w:bottom w:val="none" w:sz="0" w:space="0" w:color="auto"/>
        <w:right w:val="none" w:sz="0" w:space="0" w:color="auto"/>
      </w:divBdr>
      <w:divsChild>
        <w:div w:id="1810248727">
          <w:marLeft w:val="480"/>
          <w:marRight w:val="0"/>
          <w:marTop w:val="0"/>
          <w:marBottom w:val="0"/>
          <w:divBdr>
            <w:top w:val="none" w:sz="0" w:space="0" w:color="auto"/>
            <w:left w:val="none" w:sz="0" w:space="0" w:color="auto"/>
            <w:bottom w:val="none" w:sz="0" w:space="0" w:color="auto"/>
            <w:right w:val="none" w:sz="0" w:space="0" w:color="auto"/>
          </w:divBdr>
        </w:div>
        <w:div w:id="1881241042">
          <w:marLeft w:val="480"/>
          <w:marRight w:val="0"/>
          <w:marTop w:val="0"/>
          <w:marBottom w:val="0"/>
          <w:divBdr>
            <w:top w:val="none" w:sz="0" w:space="0" w:color="auto"/>
            <w:left w:val="none" w:sz="0" w:space="0" w:color="auto"/>
            <w:bottom w:val="none" w:sz="0" w:space="0" w:color="auto"/>
            <w:right w:val="none" w:sz="0" w:space="0" w:color="auto"/>
          </w:divBdr>
        </w:div>
        <w:div w:id="475532415">
          <w:marLeft w:val="480"/>
          <w:marRight w:val="0"/>
          <w:marTop w:val="0"/>
          <w:marBottom w:val="0"/>
          <w:divBdr>
            <w:top w:val="none" w:sz="0" w:space="0" w:color="auto"/>
            <w:left w:val="none" w:sz="0" w:space="0" w:color="auto"/>
            <w:bottom w:val="none" w:sz="0" w:space="0" w:color="auto"/>
            <w:right w:val="none" w:sz="0" w:space="0" w:color="auto"/>
          </w:divBdr>
        </w:div>
        <w:div w:id="1865098535">
          <w:marLeft w:val="480"/>
          <w:marRight w:val="0"/>
          <w:marTop w:val="0"/>
          <w:marBottom w:val="0"/>
          <w:divBdr>
            <w:top w:val="none" w:sz="0" w:space="0" w:color="auto"/>
            <w:left w:val="none" w:sz="0" w:space="0" w:color="auto"/>
            <w:bottom w:val="none" w:sz="0" w:space="0" w:color="auto"/>
            <w:right w:val="none" w:sz="0" w:space="0" w:color="auto"/>
          </w:divBdr>
        </w:div>
        <w:div w:id="1307276581">
          <w:marLeft w:val="480"/>
          <w:marRight w:val="0"/>
          <w:marTop w:val="0"/>
          <w:marBottom w:val="0"/>
          <w:divBdr>
            <w:top w:val="none" w:sz="0" w:space="0" w:color="auto"/>
            <w:left w:val="none" w:sz="0" w:space="0" w:color="auto"/>
            <w:bottom w:val="none" w:sz="0" w:space="0" w:color="auto"/>
            <w:right w:val="none" w:sz="0" w:space="0" w:color="auto"/>
          </w:divBdr>
        </w:div>
        <w:div w:id="1108503423">
          <w:marLeft w:val="480"/>
          <w:marRight w:val="0"/>
          <w:marTop w:val="0"/>
          <w:marBottom w:val="0"/>
          <w:divBdr>
            <w:top w:val="none" w:sz="0" w:space="0" w:color="auto"/>
            <w:left w:val="none" w:sz="0" w:space="0" w:color="auto"/>
            <w:bottom w:val="none" w:sz="0" w:space="0" w:color="auto"/>
            <w:right w:val="none" w:sz="0" w:space="0" w:color="auto"/>
          </w:divBdr>
        </w:div>
        <w:div w:id="246228391">
          <w:marLeft w:val="480"/>
          <w:marRight w:val="0"/>
          <w:marTop w:val="0"/>
          <w:marBottom w:val="0"/>
          <w:divBdr>
            <w:top w:val="none" w:sz="0" w:space="0" w:color="auto"/>
            <w:left w:val="none" w:sz="0" w:space="0" w:color="auto"/>
            <w:bottom w:val="none" w:sz="0" w:space="0" w:color="auto"/>
            <w:right w:val="none" w:sz="0" w:space="0" w:color="auto"/>
          </w:divBdr>
        </w:div>
        <w:div w:id="2064136571">
          <w:marLeft w:val="480"/>
          <w:marRight w:val="0"/>
          <w:marTop w:val="0"/>
          <w:marBottom w:val="0"/>
          <w:divBdr>
            <w:top w:val="none" w:sz="0" w:space="0" w:color="auto"/>
            <w:left w:val="none" w:sz="0" w:space="0" w:color="auto"/>
            <w:bottom w:val="none" w:sz="0" w:space="0" w:color="auto"/>
            <w:right w:val="none" w:sz="0" w:space="0" w:color="auto"/>
          </w:divBdr>
        </w:div>
        <w:div w:id="1020621845">
          <w:marLeft w:val="480"/>
          <w:marRight w:val="0"/>
          <w:marTop w:val="0"/>
          <w:marBottom w:val="0"/>
          <w:divBdr>
            <w:top w:val="none" w:sz="0" w:space="0" w:color="auto"/>
            <w:left w:val="none" w:sz="0" w:space="0" w:color="auto"/>
            <w:bottom w:val="none" w:sz="0" w:space="0" w:color="auto"/>
            <w:right w:val="none" w:sz="0" w:space="0" w:color="auto"/>
          </w:divBdr>
        </w:div>
        <w:div w:id="1630238606">
          <w:marLeft w:val="480"/>
          <w:marRight w:val="0"/>
          <w:marTop w:val="0"/>
          <w:marBottom w:val="0"/>
          <w:divBdr>
            <w:top w:val="none" w:sz="0" w:space="0" w:color="auto"/>
            <w:left w:val="none" w:sz="0" w:space="0" w:color="auto"/>
            <w:bottom w:val="none" w:sz="0" w:space="0" w:color="auto"/>
            <w:right w:val="none" w:sz="0" w:space="0" w:color="auto"/>
          </w:divBdr>
        </w:div>
      </w:divsChild>
    </w:div>
    <w:div w:id="640502296">
      <w:bodyDiv w:val="1"/>
      <w:marLeft w:val="0"/>
      <w:marRight w:val="0"/>
      <w:marTop w:val="0"/>
      <w:marBottom w:val="0"/>
      <w:divBdr>
        <w:top w:val="none" w:sz="0" w:space="0" w:color="auto"/>
        <w:left w:val="none" w:sz="0" w:space="0" w:color="auto"/>
        <w:bottom w:val="none" w:sz="0" w:space="0" w:color="auto"/>
        <w:right w:val="none" w:sz="0" w:space="0" w:color="auto"/>
      </w:divBdr>
    </w:div>
    <w:div w:id="666901773">
      <w:bodyDiv w:val="1"/>
      <w:marLeft w:val="0"/>
      <w:marRight w:val="0"/>
      <w:marTop w:val="0"/>
      <w:marBottom w:val="0"/>
      <w:divBdr>
        <w:top w:val="none" w:sz="0" w:space="0" w:color="auto"/>
        <w:left w:val="none" w:sz="0" w:space="0" w:color="auto"/>
        <w:bottom w:val="none" w:sz="0" w:space="0" w:color="auto"/>
        <w:right w:val="none" w:sz="0" w:space="0" w:color="auto"/>
      </w:divBdr>
    </w:div>
    <w:div w:id="681669937">
      <w:bodyDiv w:val="1"/>
      <w:marLeft w:val="0"/>
      <w:marRight w:val="0"/>
      <w:marTop w:val="0"/>
      <w:marBottom w:val="0"/>
      <w:divBdr>
        <w:top w:val="none" w:sz="0" w:space="0" w:color="auto"/>
        <w:left w:val="none" w:sz="0" w:space="0" w:color="auto"/>
        <w:bottom w:val="none" w:sz="0" w:space="0" w:color="auto"/>
        <w:right w:val="none" w:sz="0" w:space="0" w:color="auto"/>
      </w:divBdr>
    </w:div>
    <w:div w:id="691107086">
      <w:bodyDiv w:val="1"/>
      <w:marLeft w:val="0"/>
      <w:marRight w:val="0"/>
      <w:marTop w:val="0"/>
      <w:marBottom w:val="0"/>
      <w:divBdr>
        <w:top w:val="none" w:sz="0" w:space="0" w:color="auto"/>
        <w:left w:val="none" w:sz="0" w:space="0" w:color="auto"/>
        <w:bottom w:val="none" w:sz="0" w:space="0" w:color="auto"/>
        <w:right w:val="none" w:sz="0" w:space="0" w:color="auto"/>
      </w:divBdr>
      <w:divsChild>
        <w:div w:id="1003633299">
          <w:marLeft w:val="480"/>
          <w:marRight w:val="0"/>
          <w:marTop w:val="0"/>
          <w:marBottom w:val="0"/>
          <w:divBdr>
            <w:top w:val="none" w:sz="0" w:space="0" w:color="auto"/>
            <w:left w:val="none" w:sz="0" w:space="0" w:color="auto"/>
            <w:bottom w:val="none" w:sz="0" w:space="0" w:color="auto"/>
            <w:right w:val="none" w:sz="0" w:space="0" w:color="auto"/>
          </w:divBdr>
          <w:divsChild>
            <w:div w:id="2074889052">
              <w:marLeft w:val="0"/>
              <w:marRight w:val="0"/>
              <w:marTop w:val="0"/>
              <w:marBottom w:val="0"/>
              <w:divBdr>
                <w:top w:val="none" w:sz="0" w:space="0" w:color="auto"/>
                <w:left w:val="none" w:sz="0" w:space="0" w:color="auto"/>
                <w:bottom w:val="none" w:sz="0" w:space="0" w:color="auto"/>
                <w:right w:val="none" w:sz="0" w:space="0" w:color="auto"/>
              </w:divBdr>
              <w:divsChild>
                <w:div w:id="1203859219">
                  <w:marLeft w:val="480"/>
                  <w:marRight w:val="0"/>
                  <w:marTop w:val="0"/>
                  <w:marBottom w:val="0"/>
                  <w:divBdr>
                    <w:top w:val="none" w:sz="0" w:space="0" w:color="auto"/>
                    <w:left w:val="none" w:sz="0" w:space="0" w:color="auto"/>
                    <w:bottom w:val="none" w:sz="0" w:space="0" w:color="auto"/>
                    <w:right w:val="none" w:sz="0" w:space="0" w:color="auto"/>
                  </w:divBdr>
                </w:div>
                <w:div w:id="1329987859">
                  <w:marLeft w:val="480"/>
                  <w:marRight w:val="0"/>
                  <w:marTop w:val="0"/>
                  <w:marBottom w:val="0"/>
                  <w:divBdr>
                    <w:top w:val="none" w:sz="0" w:space="0" w:color="auto"/>
                    <w:left w:val="none" w:sz="0" w:space="0" w:color="auto"/>
                    <w:bottom w:val="none" w:sz="0" w:space="0" w:color="auto"/>
                    <w:right w:val="none" w:sz="0" w:space="0" w:color="auto"/>
                  </w:divBdr>
                </w:div>
                <w:div w:id="1169297627">
                  <w:marLeft w:val="480"/>
                  <w:marRight w:val="0"/>
                  <w:marTop w:val="0"/>
                  <w:marBottom w:val="0"/>
                  <w:divBdr>
                    <w:top w:val="none" w:sz="0" w:space="0" w:color="auto"/>
                    <w:left w:val="none" w:sz="0" w:space="0" w:color="auto"/>
                    <w:bottom w:val="none" w:sz="0" w:space="0" w:color="auto"/>
                    <w:right w:val="none" w:sz="0" w:space="0" w:color="auto"/>
                  </w:divBdr>
                </w:div>
                <w:div w:id="1036470820">
                  <w:marLeft w:val="480"/>
                  <w:marRight w:val="0"/>
                  <w:marTop w:val="0"/>
                  <w:marBottom w:val="0"/>
                  <w:divBdr>
                    <w:top w:val="none" w:sz="0" w:space="0" w:color="auto"/>
                    <w:left w:val="none" w:sz="0" w:space="0" w:color="auto"/>
                    <w:bottom w:val="none" w:sz="0" w:space="0" w:color="auto"/>
                    <w:right w:val="none" w:sz="0" w:space="0" w:color="auto"/>
                  </w:divBdr>
                </w:div>
                <w:div w:id="1942251386">
                  <w:marLeft w:val="480"/>
                  <w:marRight w:val="0"/>
                  <w:marTop w:val="0"/>
                  <w:marBottom w:val="0"/>
                  <w:divBdr>
                    <w:top w:val="none" w:sz="0" w:space="0" w:color="auto"/>
                    <w:left w:val="none" w:sz="0" w:space="0" w:color="auto"/>
                    <w:bottom w:val="none" w:sz="0" w:space="0" w:color="auto"/>
                    <w:right w:val="none" w:sz="0" w:space="0" w:color="auto"/>
                  </w:divBdr>
                </w:div>
                <w:div w:id="1330449186">
                  <w:marLeft w:val="480"/>
                  <w:marRight w:val="0"/>
                  <w:marTop w:val="0"/>
                  <w:marBottom w:val="0"/>
                  <w:divBdr>
                    <w:top w:val="none" w:sz="0" w:space="0" w:color="auto"/>
                    <w:left w:val="none" w:sz="0" w:space="0" w:color="auto"/>
                    <w:bottom w:val="none" w:sz="0" w:space="0" w:color="auto"/>
                    <w:right w:val="none" w:sz="0" w:space="0" w:color="auto"/>
                  </w:divBdr>
                </w:div>
                <w:div w:id="862668912">
                  <w:marLeft w:val="480"/>
                  <w:marRight w:val="0"/>
                  <w:marTop w:val="0"/>
                  <w:marBottom w:val="0"/>
                  <w:divBdr>
                    <w:top w:val="none" w:sz="0" w:space="0" w:color="auto"/>
                    <w:left w:val="none" w:sz="0" w:space="0" w:color="auto"/>
                    <w:bottom w:val="none" w:sz="0" w:space="0" w:color="auto"/>
                    <w:right w:val="none" w:sz="0" w:space="0" w:color="auto"/>
                  </w:divBdr>
                </w:div>
                <w:div w:id="52892658">
                  <w:marLeft w:val="480"/>
                  <w:marRight w:val="0"/>
                  <w:marTop w:val="0"/>
                  <w:marBottom w:val="0"/>
                  <w:divBdr>
                    <w:top w:val="none" w:sz="0" w:space="0" w:color="auto"/>
                    <w:left w:val="none" w:sz="0" w:space="0" w:color="auto"/>
                    <w:bottom w:val="none" w:sz="0" w:space="0" w:color="auto"/>
                    <w:right w:val="none" w:sz="0" w:space="0" w:color="auto"/>
                  </w:divBdr>
                </w:div>
                <w:div w:id="1117792380">
                  <w:marLeft w:val="480"/>
                  <w:marRight w:val="0"/>
                  <w:marTop w:val="0"/>
                  <w:marBottom w:val="0"/>
                  <w:divBdr>
                    <w:top w:val="none" w:sz="0" w:space="0" w:color="auto"/>
                    <w:left w:val="none" w:sz="0" w:space="0" w:color="auto"/>
                    <w:bottom w:val="none" w:sz="0" w:space="0" w:color="auto"/>
                    <w:right w:val="none" w:sz="0" w:space="0" w:color="auto"/>
                  </w:divBdr>
                </w:div>
                <w:div w:id="966932061">
                  <w:marLeft w:val="480"/>
                  <w:marRight w:val="0"/>
                  <w:marTop w:val="0"/>
                  <w:marBottom w:val="0"/>
                  <w:divBdr>
                    <w:top w:val="none" w:sz="0" w:space="0" w:color="auto"/>
                    <w:left w:val="none" w:sz="0" w:space="0" w:color="auto"/>
                    <w:bottom w:val="none" w:sz="0" w:space="0" w:color="auto"/>
                    <w:right w:val="none" w:sz="0" w:space="0" w:color="auto"/>
                  </w:divBdr>
                </w:div>
                <w:div w:id="367342969">
                  <w:marLeft w:val="480"/>
                  <w:marRight w:val="0"/>
                  <w:marTop w:val="0"/>
                  <w:marBottom w:val="0"/>
                  <w:divBdr>
                    <w:top w:val="none" w:sz="0" w:space="0" w:color="auto"/>
                    <w:left w:val="none" w:sz="0" w:space="0" w:color="auto"/>
                    <w:bottom w:val="none" w:sz="0" w:space="0" w:color="auto"/>
                    <w:right w:val="none" w:sz="0" w:space="0" w:color="auto"/>
                  </w:divBdr>
                </w:div>
                <w:div w:id="1811046522">
                  <w:marLeft w:val="480"/>
                  <w:marRight w:val="0"/>
                  <w:marTop w:val="0"/>
                  <w:marBottom w:val="0"/>
                  <w:divBdr>
                    <w:top w:val="none" w:sz="0" w:space="0" w:color="auto"/>
                    <w:left w:val="none" w:sz="0" w:space="0" w:color="auto"/>
                    <w:bottom w:val="none" w:sz="0" w:space="0" w:color="auto"/>
                    <w:right w:val="none" w:sz="0" w:space="0" w:color="auto"/>
                  </w:divBdr>
                </w:div>
                <w:div w:id="1250893720">
                  <w:marLeft w:val="480"/>
                  <w:marRight w:val="0"/>
                  <w:marTop w:val="0"/>
                  <w:marBottom w:val="0"/>
                  <w:divBdr>
                    <w:top w:val="none" w:sz="0" w:space="0" w:color="auto"/>
                    <w:left w:val="none" w:sz="0" w:space="0" w:color="auto"/>
                    <w:bottom w:val="none" w:sz="0" w:space="0" w:color="auto"/>
                    <w:right w:val="none" w:sz="0" w:space="0" w:color="auto"/>
                  </w:divBdr>
                </w:div>
                <w:div w:id="731584244">
                  <w:marLeft w:val="480"/>
                  <w:marRight w:val="0"/>
                  <w:marTop w:val="0"/>
                  <w:marBottom w:val="0"/>
                  <w:divBdr>
                    <w:top w:val="none" w:sz="0" w:space="0" w:color="auto"/>
                    <w:left w:val="none" w:sz="0" w:space="0" w:color="auto"/>
                    <w:bottom w:val="none" w:sz="0" w:space="0" w:color="auto"/>
                    <w:right w:val="none" w:sz="0" w:space="0" w:color="auto"/>
                  </w:divBdr>
                </w:div>
                <w:div w:id="694379250">
                  <w:marLeft w:val="480"/>
                  <w:marRight w:val="0"/>
                  <w:marTop w:val="0"/>
                  <w:marBottom w:val="0"/>
                  <w:divBdr>
                    <w:top w:val="none" w:sz="0" w:space="0" w:color="auto"/>
                    <w:left w:val="none" w:sz="0" w:space="0" w:color="auto"/>
                    <w:bottom w:val="none" w:sz="0" w:space="0" w:color="auto"/>
                    <w:right w:val="none" w:sz="0" w:space="0" w:color="auto"/>
                  </w:divBdr>
                </w:div>
                <w:div w:id="1970669653">
                  <w:marLeft w:val="480"/>
                  <w:marRight w:val="0"/>
                  <w:marTop w:val="0"/>
                  <w:marBottom w:val="0"/>
                  <w:divBdr>
                    <w:top w:val="none" w:sz="0" w:space="0" w:color="auto"/>
                    <w:left w:val="none" w:sz="0" w:space="0" w:color="auto"/>
                    <w:bottom w:val="none" w:sz="0" w:space="0" w:color="auto"/>
                    <w:right w:val="none" w:sz="0" w:space="0" w:color="auto"/>
                  </w:divBdr>
                </w:div>
                <w:div w:id="472526604">
                  <w:marLeft w:val="480"/>
                  <w:marRight w:val="0"/>
                  <w:marTop w:val="0"/>
                  <w:marBottom w:val="0"/>
                  <w:divBdr>
                    <w:top w:val="none" w:sz="0" w:space="0" w:color="auto"/>
                    <w:left w:val="none" w:sz="0" w:space="0" w:color="auto"/>
                    <w:bottom w:val="none" w:sz="0" w:space="0" w:color="auto"/>
                    <w:right w:val="none" w:sz="0" w:space="0" w:color="auto"/>
                  </w:divBdr>
                </w:div>
              </w:divsChild>
            </w:div>
            <w:div w:id="535581460">
              <w:marLeft w:val="0"/>
              <w:marRight w:val="0"/>
              <w:marTop w:val="0"/>
              <w:marBottom w:val="0"/>
              <w:divBdr>
                <w:top w:val="none" w:sz="0" w:space="0" w:color="auto"/>
                <w:left w:val="none" w:sz="0" w:space="0" w:color="auto"/>
                <w:bottom w:val="none" w:sz="0" w:space="0" w:color="auto"/>
                <w:right w:val="none" w:sz="0" w:space="0" w:color="auto"/>
              </w:divBdr>
              <w:divsChild>
                <w:div w:id="2078429204">
                  <w:marLeft w:val="480"/>
                  <w:marRight w:val="0"/>
                  <w:marTop w:val="0"/>
                  <w:marBottom w:val="0"/>
                  <w:divBdr>
                    <w:top w:val="none" w:sz="0" w:space="0" w:color="auto"/>
                    <w:left w:val="none" w:sz="0" w:space="0" w:color="auto"/>
                    <w:bottom w:val="none" w:sz="0" w:space="0" w:color="auto"/>
                    <w:right w:val="none" w:sz="0" w:space="0" w:color="auto"/>
                  </w:divBdr>
                </w:div>
                <w:div w:id="990870723">
                  <w:marLeft w:val="480"/>
                  <w:marRight w:val="0"/>
                  <w:marTop w:val="0"/>
                  <w:marBottom w:val="0"/>
                  <w:divBdr>
                    <w:top w:val="none" w:sz="0" w:space="0" w:color="auto"/>
                    <w:left w:val="none" w:sz="0" w:space="0" w:color="auto"/>
                    <w:bottom w:val="none" w:sz="0" w:space="0" w:color="auto"/>
                    <w:right w:val="none" w:sz="0" w:space="0" w:color="auto"/>
                  </w:divBdr>
                </w:div>
                <w:div w:id="2053117272">
                  <w:marLeft w:val="480"/>
                  <w:marRight w:val="0"/>
                  <w:marTop w:val="0"/>
                  <w:marBottom w:val="0"/>
                  <w:divBdr>
                    <w:top w:val="none" w:sz="0" w:space="0" w:color="auto"/>
                    <w:left w:val="none" w:sz="0" w:space="0" w:color="auto"/>
                    <w:bottom w:val="none" w:sz="0" w:space="0" w:color="auto"/>
                    <w:right w:val="none" w:sz="0" w:space="0" w:color="auto"/>
                  </w:divBdr>
                </w:div>
                <w:div w:id="1806924716">
                  <w:marLeft w:val="480"/>
                  <w:marRight w:val="0"/>
                  <w:marTop w:val="0"/>
                  <w:marBottom w:val="0"/>
                  <w:divBdr>
                    <w:top w:val="none" w:sz="0" w:space="0" w:color="auto"/>
                    <w:left w:val="none" w:sz="0" w:space="0" w:color="auto"/>
                    <w:bottom w:val="none" w:sz="0" w:space="0" w:color="auto"/>
                    <w:right w:val="none" w:sz="0" w:space="0" w:color="auto"/>
                  </w:divBdr>
                </w:div>
                <w:div w:id="791020506">
                  <w:marLeft w:val="480"/>
                  <w:marRight w:val="0"/>
                  <w:marTop w:val="0"/>
                  <w:marBottom w:val="0"/>
                  <w:divBdr>
                    <w:top w:val="none" w:sz="0" w:space="0" w:color="auto"/>
                    <w:left w:val="none" w:sz="0" w:space="0" w:color="auto"/>
                    <w:bottom w:val="none" w:sz="0" w:space="0" w:color="auto"/>
                    <w:right w:val="none" w:sz="0" w:space="0" w:color="auto"/>
                  </w:divBdr>
                </w:div>
                <w:div w:id="1479684005">
                  <w:marLeft w:val="480"/>
                  <w:marRight w:val="0"/>
                  <w:marTop w:val="0"/>
                  <w:marBottom w:val="0"/>
                  <w:divBdr>
                    <w:top w:val="none" w:sz="0" w:space="0" w:color="auto"/>
                    <w:left w:val="none" w:sz="0" w:space="0" w:color="auto"/>
                    <w:bottom w:val="none" w:sz="0" w:space="0" w:color="auto"/>
                    <w:right w:val="none" w:sz="0" w:space="0" w:color="auto"/>
                  </w:divBdr>
                </w:div>
                <w:div w:id="1474836238">
                  <w:marLeft w:val="480"/>
                  <w:marRight w:val="0"/>
                  <w:marTop w:val="0"/>
                  <w:marBottom w:val="0"/>
                  <w:divBdr>
                    <w:top w:val="none" w:sz="0" w:space="0" w:color="auto"/>
                    <w:left w:val="none" w:sz="0" w:space="0" w:color="auto"/>
                    <w:bottom w:val="none" w:sz="0" w:space="0" w:color="auto"/>
                    <w:right w:val="none" w:sz="0" w:space="0" w:color="auto"/>
                  </w:divBdr>
                </w:div>
                <w:div w:id="729422968">
                  <w:marLeft w:val="480"/>
                  <w:marRight w:val="0"/>
                  <w:marTop w:val="0"/>
                  <w:marBottom w:val="0"/>
                  <w:divBdr>
                    <w:top w:val="none" w:sz="0" w:space="0" w:color="auto"/>
                    <w:left w:val="none" w:sz="0" w:space="0" w:color="auto"/>
                    <w:bottom w:val="none" w:sz="0" w:space="0" w:color="auto"/>
                    <w:right w:val="none" w:sz="0" w:space="0" w:color="auto"/>
                  </w:divBdr>
                </w:div>
                <w:div w:id="1003122173">
                  <w:marLeft w:val="480"/>
                  <w:marRight w:val="0"/>
                  <w:marTop w:val="0"/>
                  <w:marBottom w:val="0"/>
                  <w:divBdr>
                    <w:top w:val="none" w:sz="0" w:space="0" w:color="auto"/>
                    <w:left w:val="none" w:sz="0" w:space="0" w:color="auto"/>
                    <w:bottom w:val="none" w:sz="0" w:space="0" w:color="auto"/>
                    <w:right w:val="none" w:sz="0" w:space="0" w:color="auto"/>
                  </w:divBdr>
                </w:div>
                <w:div w:id="653872029">
                  <w:marLeft w:val="480"/>
                  <w:marRight w:val="0"/>
                  <w:marTop w:val="0"/>
                  <w:marBottom w:val="0"/>
                  <w:divBdr>
                    <w:top w:val="none" w:sz="0" w:space="0" w:color="auto"/>
                    <w:left w:val="none" w:sz="0" w:space="0" w:color="auto"/>
                    <w:bottom w:val="none" w:sz="0" w:space="0" w:color="auto"/>
                    <w:right w:val="none" w:sz="0" w:space="0" w:color="auto"/>
                  </w:divBdr>
                </w:div>
                <w:div w:id="1984458783">
                  <w:marLeft w:val="480"/>
                  <w:marRight w:val="0"/>
                  <w:marTop w:val="0"/>
                  <w:marBottom w:val="0"/>
                  <w:divBdr>
                    <w:top w:val="none" w:sz="0" w:space="0" w:color="auto"/>
                    <w:left w:val="none" w:sz="0" w:space="0" w:color="auto"/>
                    <w:bottom w:val="none" w:sz="0" w:space="0" w:color="auto"/>
                    <w:right w:val="none" w:sz="0" w:space="0" w:color="auto"/>
                  </w:divBdr>
                </w:div>
                <w:div w:id="37051375">
                  <w:marLeft w:val="480"/>
                  <w:marRight w:val="0"/>
                  <w:marTop w:val="0"/>
                  <w:marBottom w:val="0"/>
                  <w:divBdr>
                    <w:top w:val="none" w:sz="0" w:space="0" w:color="auto"/>
                    <w:left w:val="none" w:sz="0" w:space="0" w:color="auto"/>
                    <w:bottom w:val="none" w:sz="0" w:space="0" w:color="auto"/>
                    <w:right w:val="none" w:sz="0" w:space="0" w:color="auto"/>
                  </w:divBdr>
                </w:div>
                <w:div w:id="303630797">
                  <w:marLeft w:val="480"/>
                  <w:marRight w:val="0"/>
                  <w:marTop w:val="0"/>
                  <w:marBottom w:val="0"/>
                  <w:divBdr>
                    <w:top w:val="none" w:sz="0" w:space="0" w:color="auto"/>
                    <w:left w:val="none" w:sz="0" w:space="0" w:color="auto"/>
                    <w:bottom w:val="none" w:sz="0" w:space="0" w:color="auto"/>
                    <w:right w:val="none" w:sz="0" w:space="0" w:color="auto"/>
                  </w:divBdr>
                </w:div>
                <w:div w:id="309021260">
                  <w:marLeft w:val="480"/>
                  <w:marRight w:val="0"/>
                  <w:marTop w:val="0"/>
                  <w:marBottom w:val="0"/>
                  <w:divBdr>
                    <w:top w:val="none" w:sz="0" w:space="0" w:color="auto"/>
                    <w:left w:val="none" w:sz="0" w:space="0" w:color="auto"/>
                    <w:bottom w:val="none" w:sz="0" w:space="0" w:color="auto"/>
                    <w:right w:val="none" w:sz="0" w:space="0" w:color="auto"/>
                  </w:divBdr>
                </w:div>
                <w:div w:id="1503819549">
                  <w:marLeft w:val="480"/>
                  <w:marRight w:val="0"/>
                  <w:marTop w:val="0"/>
                  <w:marBottom w:val="0"/>
                  <w:divBdr>
                    <w:top w:val="none" w:sz="0" w:space="0" w:color="auto"/>
                    <w:left w:val="none" w:sz="0" w:space="0" w:color="auto"/>
                    <w:bottom w:val="none" w:sz="0" w:space="0" w:color="auto"/>
                    <w:right w:val="none" w:sz="0" w:space="0" w:color="auto"/>
                  </w:divBdr>
                </w:div>
                <w:div w:id="967860967">
                  <w:marLeft w:val="480"/>
                  <w:marRight w:val="0"/>
                  <w:marTop w:val="0"/>
                  <w:marBottom w:val="0"/>
                  <w:divBdr>
                    <w:top w:val="none" w:sz="0" w:space="0" w:color="auto"/>
                    <w:left w:val="none" w:sz="0" w:space="0" w:color="auto"/>
                    <w:bottom w:val="none" w:sz="0" w:space="0" w:color="auto"/>
                    <w:right w:val="none" w:sz="0" w:space="0" w:color="auto"/>
                  </w:divBdr>
                </w:div>
                <w:div w:id="158101866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77945176">
          <w:marLeft w:val="480"/>
          <w:marRight w:val="0"/>
          <w:marTop w:val="0"/>
          <w:marBottom w:val="0"/>
          <w:divBdr>
            <w:top w:val="none" w:sz="0" w:space="0" w:color="auto"/>
            <w:left w:val="none" w:sz="0" w:space="0" w:color="auto"/>
            <w:bottom w:val="none" w:sz="0" w:space="0" w:color="auto"/>
            <w:right w:val="none" w:sz="0" w:space="0" w:color="auto"/>
          </w:divBdr>
        </w:div>
        <w:div w:id="1956405682">
          <w:marLeft w:val="480"/>
          <w:marRight w:val="0"/>
          <w:marTop w:val="0"/>
          <w:marBottom w:val="0"/>
          <w:divBdr>
            <w:top w:val="none" w:sz="0" w:space="0" w:color="auto"/>
            <w:left w:val="none" w:sz="0" w:space="0" w:color="auto"/>
            <w:bottom w:val="none" w:sz="0" w:space="0" w:color="auto"/>
            <w:right w:val="none" w:sz="0" w:space="0" w:color="auto"/>
          </w:divBdr>
        </w:div>
        <w:div w:id="392238315">
          <w:marLeft w:val="480"/>
          <w:marRight w:val="0"/>
          <w:marTop w:val="0"/>
          <w:marBottom w:val="0"/>
          <w:divBdr>
            <w:top w:val="none" w:sz="0" w:space="0" w:color="auto"/>
            <w:left w:val="none" w:sz="0" w:space="0" w:color="auto"/>
            <w:bottom w:val="none" w:sz="0" w:space="0" w:color="auto"/>
            <w:right w:val="none" w:sz="0" w:space="0" w:color="auto"/>
          </w:divBdr>
        </w:div>
        <w:div w:id="269436133">
          <w:marLeft w:val="480"/>
          <w:marRight w:val="0"/>
          <w:marTop w:val="0"/>
          <w:marBottom w:val="0"/>
          <w:divBdr>
            <w:top w:val="none" w:sz="0" w:space="0" w:color="auto"/>
            <w:left w:val="none" w:sz="0" w:space="0" w:color="auto"/>
            <w:bottom w:val="none" w:sz="0" w:space="0" w:color="auto"/>
            <w:right w:val="none" w:sz="0" w:space="0" w:color="auto"/>
          </w:divBdr>
        </w:div>
        <w:div w:id="426195982">
          <w:marLeft w:val="480"/>
          <w:marRight w:val="0"/>
          <w:marTop w:val="0"/>
          <w:marBottom w:val="0"/>
          <w:divBdr>
            <w:top w:val="none" w:sz="0" w:space="0" w:color="auto"/>
            <w:left w:val="none" w:sz="0" w:space="0" w:color="auto"/>
            <w:bottom w:val="none" w:sz="0" w:space="0" w:color="auto"/>
            <w:right w:val="none" w:sz="0" w:space="0" w:color="auto"/>
          </w:divBdr>
        </w:div>
        <w:div w:id="30963265">
          <w:marLeft w:val="480"/>
          <w:marRight w:val="0"/>
          <w:marTop w:val="0"/>
          <w:marBottom w:val="0"/>
          <w:divBdr>
            <w:top w:val="none" w:sz="0" w:space="0" w:color="auto"/>
            <w:left w:val="none" w:sz="0" w:space="0" w:color="auto"/>
            <w:bottom w:val="none" w:sz="0" w:space="0" w:color="auto"/>
            <w:right w:val="none" w:sz="0" w:space="0" w:color="auto"/>
          </w:divBdr>
        </w:div>
        <w:div w:id="1029798735">
          <w:marLeft w:val="480"/>
          <w:marRight w:val="0"/>
          <w:marTop w:val="0"/>
          <w:marBottom w:val="0"/>
          <w:divBdr>
            <w:top w:val="none" w:sz="0" w:space="0" w:color="auto"/>
            <w:left w:val="none" w:sz="0" w:space="0" w:color="auto"/>
            <w:bottom w:val="none" w:sz="0" w:space="0" w:color="auto"/>
            <w:right w:val="none" w:sz="0" w:space="0" w:color="auto"/>
          </w:divBdr>
        </w:div>
        <w:div w:id="965352639">
          <w:marLeft w:val="480"/>
          <w:marRight w:val="0"/>
          <w:marTop w:val="0"/>
          <w:marBottom w:val="0"/>
          <w:divBdr>
            <w:top w:val="none" w:sz="0" w:space="0" w:color="auto"/>
            <w:left w:val="none" w:sz="0" w:space="0" w:color="auto"/>
            <w:bottom w:val="none" w:sz="0" w:space="0" w:color="auto"/>
            <w:right w:val="none" w:sz="0" w:space="0" w:color="auto"/>
          </w:divBdr>
        </w:div>
        <w:div w:id="1684166880">
          <w:marLeft w:val="480"/>
          <w:marRight w:val="0"/>
          <w:marTop w:val="0"/>
          <w:marBottom w:val="0"/>
          <w:divBdr>
            <w:top w:val="none" w:sz="0" w:space="0" w:color="auto"/>
            <w:left w:val="none" w:sz="0" w:space="0" w:color="auto"/>
            <w:bottom w:val="none" w:sz="0" w:space="0" w:color="auto"/>
            <w:right w:val="none" w:sz="0" w:space="0" w:color="auto"/>
          </w:divBdr>
        </w:div>
        <w:div w:id="927688842">
          <w:marLeft w:val="480"/>
          <w:marRight w:val="0"/>
          <w:marTop w:val="0"/>
          <w:marBottom w:val="0"/>
          <w:divBdr>
            <w:top w:val="none" w:sz="0" w:space="0" w:color="auto"/>
            <w:left w:val="none" w:sz="0" w:space="0" w:color="auto"/>
            <w:bottom w:val="none" w:sz="0" w:space="0" w:color="auto"/>
            <w:right w:val="none" w:sz="0" w:space="0" w:color="auto"/>
          </w:divBdr>
        </w:div>
        <w:div w:id="593822065">
          <w:marLeft w:val="480"/>
          <w:marRight w:val="0"/>
          <w:marTop w:val="0"/>
          <w:marBottom w:val="0"/>
          <w:divBdr>
            <w:top w:val="none" w:sz="0" w:space="0" w:color="auto"/>
            <w:left w:val="none" w:sz="0" w:space="0" w:color="auto"/>
            <w:bottom w:val="none" w:sz="0" w:space="0" w:color="auto"/>
            <w:right w:val="none" w:sz="0" w:space="0" w:color="auto"/>
          </w:divBdr>
        </w:div>
        <w:div w:id="1457066738">
          <w:marLeft w:val="480"/>
          <w:marRight w:val="0"/>
          <w:marTop w:val="0"/>
          <w:marBottom w:val="0"/>
          <w:divBdr>
            <w:top w:val="none" w:sz="0" w:space="0" w:color="auto"/>
            <w:left w:val="none" w:sz="0" w:space="0" w:color="auto"/>
            <w:bottom w:val="none" w:sz="0" w:space="0" w:color="auto"/>
            <w:right w:val="none" w:sz="0" w:space="0" w:color="auto"/>
          </w:divBdr>
        </w:div>
        <w:div w:id="1739749259">
          <w:marLeft w:val="480"/>
          <w:marRight w:val="0"/>
          <w:marTop w:val="0"/>
          <w:marBottom w:val="0"/>
          <w:divBdr>
            <w:top w:val="none" w:sz="0" w:space="0" w:color="auto"/>
            <w:left w:val="none" w:sz="0" w:space="0" w:color="auto"/>
            <w:bottom w:val="none" w:sz="0" w:space="0" w:color="auto"/>
            <w:right w:val="none" w:sz="0" w:space="0" w:color="auto"/>
          </w:divBdr>
        </w:div>
      </w:divsChild>
    </w:div>
    <w:div w:id="714816670">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43428">
      <w:bodyDiv w:val="1"/>
      <w:marLeft w:val="0"/>
      <w:marRight w:val="0"/>
      <w:marTop w:val="0"/>
      <w:marBottom w:val="0"/>
      <w:divBdr>
        <w:top w:val="none" w:sz="0" w:space="0" w:color="auto"/>
        <w:left w:val="none" w:sz="0" w:space="0" w:color="auto"/>
        <w:bottom w:val="none" w:sz="0" w:space="0" w:color="auto"/>
        <w:right w:val="none" w:sz="0" w:space="0" w:color="auto"/>
      </w:divBdr>
    </w:div>
    <w:div w:id="862019259">
      <w:bodyDiv w:val="1"/>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136913">
      <w:bodyDiv w:val="1"/>
      <w:marLeft w:val="0"/>
      <w:marRight w:val="0"/>
      <w:marTop w:val="0"/>
      <w:marBottom w:val="0"/>
      <w:divBdr>
        <w:top w:val="none" w:sz="0" w:space="0" w:color="auto"/>
        <w:left w:val="none" w:sz="0" w:space="0" w:color="auto"/>
        <w:bottom w:val="none" w:sz="0" w:space="0" w:color="auto"/>
        <w:right w:val="none" w:sz="0" w:space="0" w:color="auto"/>
      </w:divBdr>
    </w:div>
    <w:div w:id="875193222">
      <w:bodyDiv w:val="1"/>
      <w:marLeft w:val="0"/>
      <w:marRight w:val="0"/>
      <w:marTop w:val="0"/>
      <w:marBottom w:val="0"/>
      <w:divBdr>
        <w:top w:val="none" w:sz="0" w:space="0" w:color="auto"/>
        <w:left w:val="none" w:sz="0" w:space="0" w:color="auto"/>
        <w:bottom w:val="none" w:sz="0" w:space="0" w:color="auto"/>
        <w:right w:val="none" w:sz="0" w:space="0" w:color="auto"/>
      </w:divBdr>
    </w:div>
    <w:div w:id="914437201">
      <w:bodyDiv w:val="1"/>
      <w:marLeft w:val="0"/>
      <w:marRight w:val="0"/>
      <w:marTop w:val="0"/>
      <w:marBottom w:val="0"/>
      <w:divBdr>
        <w:top w:val="none" w:sz="0" w:space="0" w:color="auto"/>
        <w:left w:val="none" w:sz="0" w:space="0" w:color="auto"/>
        <w:bottom w:val="none" w:sz="0" w:space="0" w:color="auto"/>
        <w:right w:val="none" w:sz="0" w:space="0" w:color="auto"/>
      </w:divBdr>
      <w:divsChild>
        <w:div w:id="1933665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182683">
      <w:bodyDiv w:val="1"/>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67320">
      <w:bodyDiv w:val="1"/>
      <w:marLeft w:val="0"/>
      <w:marRight w:val="0"/>
      <w:marTop w:val="0"/>
      <w:marBottom w:val="0"/>
      <w:divBdr>
        <w:top w:val="none" w:sz="0" w:space="0" w:color="auto"/>
        <w:left w:val="none" w:sz="0" w:space="0" w:color="auto"/>
        <w:bottom w:val="none" w:sz="0" w:space="0" w:color="auto"/>
        <w:right w:val="none" w:sz="0" w:space="0" w:color="auto"/>
      </w:divBdr>
    </w:div>
    <w:div w:id="953485258">
      <w:bodyDiv w:val="1"/>
      <w:marLeft w:val="0"/>
      <w:marRight w:val="0"/>
      <w:marTop w:val="0"/>
      <w:marBottom w:val="0"/>
      <w:divBdr>
        <w:top w:val="none" w:sz="0" w:space="0" w:color="auto"/>
        <w:left w:val="none" w:sz="0" w:space="0" w:color="auto"/>
        <w:bottom w:val="none" w:sz="0" w:space="0" w:color="auto"/>
        <w:right w:val="none" w:sz="0" w:space="0" w:color="auto"/>
      </w:divBdr>
    </w:div>
    <w:div w:id="965280087">
      <w:bodyDiv w:val="1"/>
      <w:marLeft w:val="0"/>
      <w:marRight w:val="0"/>
      <w:marTop w:val="0"/>
      <w:marBottom w:val="0"/>
      <w:divBdr>
        <w:top w:val="none" w:sz="0" w:space="0" w:color="auto"/>
        <w:left w:val="none" w:sz="0" w:space="0" w:color="auto"/>
        <w:bottom w:val="none" w:sz="0" w:space="0" w:color="auto"/>
        <w:right w:val="none" w:sz="0" w:space="0" w:color="auto"/>
      </w:divBdr>
    </w:div>
    <w:div w:id="979456966">
      <w:bodyDiv w:val="1"/>
      <w:marLeft w:val="0"/>
      <w:marRight w:val="0"/>
      <w:marTop w:val="0"/>
      <w:marBottom w:val="0"/>
      <w:divBdr>
        <w:top w:val="none" w:sz="0" w:space="0" w:color="auto"/>
        <w:left w:val="none" w:sz="0" w:space="0" w:color="auto"/>
        <w:bottom w:val="none" w:sz="0" w:space="0" w:color="auto"/>
        <w:right w:val="none" w:sz="0" w:space="0" w:color="auto"/>
      </w:divBdr>
    </w:div>
    <w:div w:id="990904841">
      <w:bodyDiv w:val="1"/>
      <w:marLeft w:val="0"/>
      <w:marRight w:val="0"/>
      <w:marTop w:val="0"/>
      <w:marBottom w:val="0"/>
      <w:divBdr>
        <w:top w:val="none" w:sz="0" w:space="0" w:color="auto"/>
        <w:left w:val="none" w:sz="0" w:space="0" w:color="auto"/>
        <w:bottom w:val="none" w:sz="0" w:space="0" w:color="auto"/>
        <w:right w:val="none" w:sz="0" w:space="0" w:color="auto"/>
      </w:divBdr>
    </w:div>
    <w:div w:id="998652656">
      <w:bodyDiv w:val="1"/>
      <w:marLeft w:val="0"/>
      <w:marRight w:val="0"/>
      <w:marTop w:val="0"/>
      <w:marBottom w:val="0"/>
      <w:divBdr>
        <w:top w:val="none" w:sz="0" w:space="0" w:color="auto"/>
        <w:left w:val="none" w:sz="0" w:space="0" w:color="auto"/>
        <w:bottom w:val="none" w:sz="0" w:space="0" w:color="auto"/>
        <w:right w:val="none" w:sz="0" w:space="0" w:color="auto"/>
      </w:divBdr>
    </w:div>
    <w:div w:id="1005085069">
      <w:bodyDiv w:val="1"/>
      <w:marLeft w:val="0"/>
      <w:marRight w:val="0"/>
      <w:marTop w:val="0"/>
      <w:marBottom w:val="0"/>
      <w:divBdr>
        <w:top w:val="none" w:sz="0" w:space="0" w:color="auto"/>
        <w:left w:val="none" w:sz="0" w:space="0" w:color="auto"/>
        <w:bottom w:val="none" w:sz="0" w:space="0" w:color="auto"/>
        <w:right w:val="none" w:sz="0" w:space="0" w:color="auto"/>
      </w:divBdr>
    </w:div>
    <w:div w:id="1029262065">
      <w:bodyDiv w:val="1"/>
      <w:marLeft w:val="0"/>
      <w:marRight w:val="0"/>
      <w:marTop w:val="0"/>
      <w:marBottom w:val="0"/>
      <w:divBdr>
        <w:top w:val="none" w:sz="0" w:space="0" w:color="auto"/>
        <w:left w:val="none" w:sz="0" w:space="0" w:color="auto"/>
        <w:bottom w:val="none" w:sz="0" w:space="0" w:color="auto"/>
        <w:right w:val="none" w:sz="0" w:space="0" w:color="auto"/>
      </w:divBdr>
    </w:div>
    <w:div w:id="1051541038">
      <w:bodyDiv w:val="1"/>
      <w:marLeft w:val="0"/>
      <w:marRight w:val="0"/>
      <w:marTop w:val="0"/>
      <w:marBottom w:val="0"/>
      <w:divBdr>
        <w:top w:val="none" w:sz="0" w:space="0" w:color="auto"/>
        <w:left w:val="none" w:sz="0" w:space="0" w:color="auto"/>
        <w:bottom w:val="none" w:sz="0" w:space="0" w:color="auto"/>
        <w:right w:val="none" w:sz="0" w:space="0" w:color="auto"/>
      </w:divBdr>
    </w:div>
    <w:div w:id="1070007941">
      <w:bodyDiv w:val="1"/>
      <w:marLeft w:val="0"/>
      <w:marRight w:val="0"/>
      <w:marTop w:val="0"/>
      <w:marBottom w:val="0"/>
      <w:divBdr>
        <w:top w:val="none" w:sz="0" w:space="0" w:color="auto"/>
        <w:left w:val="none" w:sz="0" w:space="0" w:color="auto"/>
        <w:bottom w:val="none" w:sz="0" w:space="0" w:color="auto"/>
        <w:right w:val="none" w:sz="0" w:space="0" w:color="auto"/>
      </w:divBdr>
    </w:div>
    <w:div w:id="1082020601">
      <w:bodyDiv w:val="1"/>
      <w:marLeft w:val="0"/>
      <w:marRight w:val="0"/>
      <w:marTop w:val="0"/>
      <w:marBottom w:val="0"/>
      <w:divBdr>
        <w:top w:val="none" w:sz="0" w:space="0" w:color="auto"/>
        <w:left w:val="none" w:sz="0" w:space="0" w:color="auto"/>
        <w:bottom w:val="none" w:sz="0" w:space="0" w:color="auto"/>
        <w:right w:val="none" w:sz="0" w:space="0" w:color="auto"/>
      </w:divBdr>
    </w:div>
    <w:div w:id="1106388052">
      <w:bodyDiv w:val="1"/>
      <w:marLeft w:val="0"/>
      <w:marRight w:val="0"/>
      <w:marTop w:val="0"/>
      <w:marBottom w:val="0"/>
      <w:divBdr>
        <w:top w:val="none" w:sz="0" w:space="0" w:color="auto"/>
        <w:left w:val="none" w:sz="0" w:space="0" w:color="auto"/>
        <w:bottom w:val="none" w:sz="0" w:space="0" w:color="auto"/>
        <w:right w:val="none" w:sz="0" w:space="0" w:color="auto"/>
      </w:divBdr>
      <w:divsChild>
        <w:div w:id="787771452">
          <w:marLeft w:val="0"/>
          <w:marRight w:val="0"/>
          <w:marTop w:val="0"/>
          <w:marBottom w:val="0"/>
          <w:divBdr>
            <w:top w:val="single" w:sz="2" w:space="0" w:color="E3E3E3"/>
            <w:left w:val="single" w:sz="2" w:space="0" w:color="E3E3E3"/>
            <w:bottom w:val="single" w:sz="2" w:space="0" w:color="E3E3E3"/>
            <w:right w:val="single" w:sz="2" w:space="0" w:color="E3E3E3"/>
          </w:divBdr>
          <w:divsChild>
            <w:div w:id="818031984">
              <w:marLeft w:val="0"/>
              <w:marRight w:val="0"/>
              <w:marTop w:val="0"/>
              <w:marBottom w:val="0"/>
              <w:divBdr>
                <w:top w:val="single" w:sz="2" w:space="0" w:color="E3E3E3"/>
                <w:left w:val="single" w:sz="2" w:space="0" w:color="E3E3E3"/>
                <w:bottom w:val="single" w:sz="2" w:space="0" w:color="E3E3E3"/>
                <w:right w:val="single" w:sz="2" w:space="0" w:color="E3E3E3"/>
              </w:divBdr>
              <w:divsChild>
                <w:div w:id="2065374578">
                  <w:marLeft w:val="0"/>
                  <w:marRight w:val="0"/>
                  <w:marTop w:val="0"/>
                  <w:marBottom w:val="0"/>
                  <w:divBdr>
                    <w:top w:val="single" w:sz="2" w:space="0" w:color="E3E3E3"/>
                    <w:left w:val="single" w:sz="2" w:space="0" w:color="E3E3E3"/>
                    <w:bottom w:val="single" w:sz="2" w:space="0" w:color="E3E3E3"/>
                    <w:right w:val="single" w:sz="2" w:space="0" w:color="E3E3E3"/>
                  </w:divBdr>
                  <w:divsChild>
                    <w:div w:id="1333988102">
                      <w:marLeft w:val="0"/>
                      <w:marRight w:val="0"/>
                      <w:marTop w:val="0"/>
                      <w:marBottom w:val="0"/>
                      <w:divBdr>
                        <w:top w:val="single" w:sz="2" w:space="0" w:color="E3E3E3"/>
                        <w:left w:val="single" w:sz="2" w:space="0" w:color="E3E3E3"/>
                        <w:bottom w:val="single" w:sz="2" w:space="0" w:color="E3E3E3"/>
                        <w:right w:val="single" w:sz="2" w:space="0" w:color="E3E3E3"/>
                      </w:divBdr>
                      <w:divsChild>
                        <w:div w:id="708532199">
                          <w:marLeft w:val="0"/>
                          <w:marRight w:val="0"/>
                          <w:marTop w:val="0"/>
                          <w:marBottom w:val="0"/>
                          <w:divBdr>
                            <w:top w:val="single" w:sz="2" w:space="0" w:color="E3E3E3"/>
                            <w:left w:val="single" w:sz="2" w:space="0" w:color="E3E3E3"/>
                            <w:bottom w:val="single" w:sz="2" w:space="0" w:color="E3E3E3"/>
                            <w:right w:val="single" w:sz="2" w:space="0" w:color="E3E3E3"/>
                          </w:divBdr>
                          <w:divsChild>
                            <w:div w:id="588999812">
                              <w:marLeft w:val="0"/>
                              <w:marRight w:val="0"/>
                              <w:marTop w:val="0"/>
                              <w:marBottom w:val="0"/>
                              <w:divBdr>
                                <w:top w:val="single" w:sz="2" w:space="0" w:color="E3E3E3"/>
                                <w:left w:val="single" w:sz="2" w:space="0" w:color="E3E3E3"/>
                                <w:bottom w:val="single" w:sz="2" w:space="0" w:color="E3E3E3"/>
                                <w:right w:val="single" w:sz="2" w:space="0" w:color="E3E3E3"/>
                              </w:divBdr>
                              <w:divsChild>
                                <w:div w:id="599990188">
                                  <w:marLeft w:val="0"/>
                                  <w:marRight w:val="0"/>
                                  <w:marTop w:val="100"/>
                                  <w:marBottom w:val="100"/>
                                  <w:divBdr>
                                    <w:top w:val="single" w:sz="2" w:space="0" w:color="E3E3E3"/>
                                    <w:left w:val="single" w:sz="2" w:space="0" w:color="E3E3E3"/>
                                    <w:bottom w:val="single" w:sz="2" w:space="0" w:color="E3E3E3"/>
                                    <w:right w:val="single" w:sz="2" w:space="0" w:color="E3E3E3"/>
                                  </w:divBdr>
                                  <w:divsChild>
                                    <w:div w:id="362093207">
                                      <w:marLeft w:val="0"/>
                                      <w:marRight w:val="0"/>
                                      <w:marTop w:val="0"/>
                                      <w:marBottom w:val="0"/>
                                      <w:divBdr>
                                        <w:top w:val="single" w:sz="2" w:space="0" w:color="E3E3E3"/>
                                        <w:left w:val="single" w:sz="2" w:space="0" w:color="E3E3E3"/>
                                        <w:bottom w:val="single" w:sz="2" w:space="0" w:color="E3E3E3"/>
                                        <w:right w:val="single" w:sz="2" w:space="0" w:color="E3E3E3"/>
                                      </w:divBdr>
                                      <w:divsChild>
                                        <w:div w:id="1426684056">
                                          <w:marLeft w:val="0"/>
                                          <w:marRight w:val="0"/>
                                          <w:marTop w:val="0"/>
                                          <w:marBottom w:val="0"/>
                                          <w:divBdr>
                                            <w:top w:val="single" w:sz="2" w:space="0" w:color="E3E3E3"/>
                                            <w:left w:val="single" w:sz="2" w:space="0" w:color="E3E3E3"/>
                                            <w:bottom w:val="single" w:sz="2" w:space="0" w:color="E3E3E3"/>
                                            <w:right w:val="single" w:sz="2" w:space="0" w:color="E3E3E3"/>
                                          </w:divBdr>
                                          <w:divsChild>
                                            <w:div w:id="1930575722">
                                              <w:marLeft w:val="0"/>
                                              <w:marRight w:val="0"/>
                                              <w:marTop w:val="0"/>
                                              <w:marBottom w:val="0"/>
                                              <w:divBdr>
                                                <w:top w:val="single" w:sz="2" w:space="0" w:color="E3E3E3"/>
                                                <w:left w:val="single" w:sz="2" w:space="0" w:color="E3E3E3"/>
                                                <w:bottom w:val="single" w:sz="2" w:space="0" w:color="E3E3E3"/>
                                                <w:right w:val="single" w:sz="2" w:space="0" w:color="E3E3E3"/>
                                              </w:divBdr>
                                              <w:divsChild>
                                                <w:div w:id="46999781">
                                                  <w:marLeft w:val="0"/>
                                                  <w:marRight w:val="0"/>
                                                  <w:marTop w:val="0"/>
                                                  <w:marBottom w:val="0"/>
                                                  <w:divBdr>
                                                    <w:top w:val="single" w:sz="2" w:space="0" w:color="E3E3E3"/>
                                                    <w:left w:val="single" w:sz="2" w:space="0" w:color="E3E3E3"/>
                                                    <w:bottom w:val="single" w:sz="2" w:space="0" w:color="E3E3E3"/>
                                                    <w:right w:val="single" w:sz="2" w:space="0" w:color="E3E3E3"/>
                                                  </w:divBdr>
                                                  <w:divsChild>
                                                    <w:div w:id="656030747">
                                                      <w:marLeft w:val="0"/>
                                                      <w:marRight w:val="0"/>
                                                      <w:marTop w:val="0"/>
                                                      <w:marBottom w:val="0"/>
                                                      <w:divBdr>
                                                        <w:top w:val="single" w:sz="2" w:space="0" w:color="E3E3E3"/>
                                                        <w:left w:val="single" w:sz="2" w:space="0" w:color="E3E3E3"/>
                                                        <w:bottom w:val="single" w:sz="2" w:space="0" w:color="E3E3E3"/>
                                                        <w:right w:val="single" w:sz="2" w:space="0" w:color="E3E3E3"/>
                                                      </w:divBdr>
                                                      <w:divsChild>
                                                        <w:div w:id="10348906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88297668">
          <w:marLeft w:val="0"/>
          <w:marRight w:val="0"/>
          <w:marTop w:val="0"/>
          <w:marBottom w:val="0"/>
          <w:divBdr>
            <w:top w:val="none" w:sz="0" w:space="0" w:color="auto"/>
            <w:left w:val="none" w:sz="0" w:space="0" w:color="auto"/>
            <w:bottom w:val="none" w:sz="0" w:space="0" w:color="auto"/>
            <w:right w:val="none" w:sz="0" w:space="0" w:color="auto"/>
          </w:divBdr>
          <w:divsChild>
            <w:div w:id="1155417279">
              <w:marLeft w:val="0"/>
              <w:marRight w:val="0"/>
              <w:marTop w:val="100"/>
              <w:marBottom w:val="100"/>
              <w:divBdr>
                <w:top w:val="single" w:sz="2" w:space="0" w:color="E3E3E3"/>
                <w:left w:val="single" w:sz="2" w:space="0" w:color="E3E3E3"/>
                <w:bottom w:val="single" w:sz="2" w:space="0" w:color="E3E3E3"/>
                <w:right w:val="single" w:sz="2" w:space="0" w:color="E3E3E3"/>
              </w:divBdr>
              <w:divsChild>
                <w:div w:id="334722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26855585">
      <w:bodyDiv w:val="1"/>
      <w:marLeft w:val="0"/>
      <w:marRight w:val="0"/>
      <w:marTop w:val="0"/>
      <w:marBottom w:val="0"/>
      <w:divBdr>
        <w:top w:val="none" w:sz="0" w:space="0" w:color="auto"/>
        <w:left w:val="none" w:sz="0" w:space="0" w:color="auto"/>
        <w:bottom w:val="none" w:sz="0" w:space="0" w:color="auto"/>
        <w:right w:val="none" w:sz="0" w:space="0" w:color="auto"/>
      </w:divBdr>
    </w:div>
    <w:div w:id="1145515326">
      <w:bodyDiv w:val="1"/>
      <w:marLeft w:val="0"/>
      <w:marRight w:val="0"/>
      <w:marTop w:val="0"/>
      <w:marBottom w:val="0"/>
      <w:divBdr>
        <w:top w:val="none" w:sz="0" w:space="0" w:color="auto"/>
        <w:left w:val="none" w:sz="0" w:space="0" w:color="auto"/>
        <w:bottom w:val="none" w:sz="0" w:space="0" w:color="auto"/>
        <w:right w:val="none" w:sz="0" w:space="0" w:color="auto"/>
      </w:divBdr>
    </w:div>
    <w:div w:id="1156919964">
      <w:bodyDiv w:val="1"/>
      <w:marLeft w:val="0"/>
      <w:marRight w:val="0"/>
      <w:marTop w:val="0"/>
      <w:marBottom w:val="0"/>
      <w:divBdr>
        <w:top w:val="none" w:sz="0" w:space="0" w:color="auto"/>
        <w:left w:val="none" w:sz="0" w:space="0" w:color="auto"/>
        <w:bottom w:val="none" w:sz="0" w:space="0" w:color="auto"/>
        <w:right w:val="none" w:sz="0" w:space="0" w:color="auto"/>
      </w:divBdr>
    </w:div>
    <w:div w:id="1164737549">
      <w:bodyDiv w:val="1"/>
      <w:marLeft w:val="0"/>
      <w:marRight w:val="0"/>
      <w:marTop w:val="0"/>
      <w:marBottom w:val="0"/>
      <w:divBdr>
        <w:top w:val="none" w:sz="0" w:space="0" w:color="auto"/>
        <w:left w:val="none" w:sz="0" w:space="0" w:color="auto"/>
        <w:bottom w:val="none" w:sz="0" w:space="0" w:color="auto"/>
        <w:right w:val="none" w:sz="0" w:space="0" w:color="auto"/>
      </w:divBdr>
    </w:div>
    <w:div w:id="1170683033">
      <w:bodyDiv w:val="1"/>
      <w:marLeft w:val="0"/>
      <w:marRight w:val="0"/>
      <w:marTop w:val="0"/>
      <w:marBottom w:val="0"/>
      <w:divBdr>
        <w:top w:val="none" w:sz="0" w:space="0" w:color="auto"/>
        <w:left w:val="none" w:sz="0" w:space="0" w:color="auto"/>
        <w:bottom w:val="none" w:sz="0" w:space="0" w:color="auto"/>
        <w:right w:val="none" w:sz="0" w:space="0" w:color="auto"/>
      </w:divBdr>
    </w:div>
    <w:div w:id="1172839513">
      <w:bodyDiv w:val="1"/>
      <w:marLeft w:val="0"/>
      <w:marRight w:val="0"/>
      <w:marTop w:val="0"/>
      <w:marBottom w:val="0"/>
      <w:divBdr>
        <w:top w:val="none" w:sz="0" w:space="0" w:color="auto"/>
        <w:left w:val="none" w:sz="0" w:space="0" w:color="auto"/>
        <w:bottom w:val="none" w:sz="0" w:space="0" w:color="auto"/>
        <w:right w:val="none" w:sz="0" w:space="0" w:color="auto"/>
      </w:divBdr>
    </w:div>
    <w:div w:id="1179194483">
      <w:bodyDiv w:val="1"/>
      <w:marLeft w:val="0"/>
      <w:marRight w:val="0"/>
      <w:marTop w:val="0"/>
      <w:marBottom w:val="0"/>
      <w:divBdr>
        <w:top w:val="none" w:sz="0" w:space="0" w:color="auto"/>
        <w:left w:val="none" w:sz="0" w:space="0" w:color="auto"/>
        <w:bottom w:val="none" w:sz="0" w:space="0" w:color="auto"/>
        <w:right w:val="none" w:sz="0" w:space="0" w:color="auto"/>
      </w:divBdr>
    </w:div>
    <w:div w:id="1196119497">
      <w:bodyDiv w:val="1"/>
      <w:marLeft w:val="0"/>
      <w:marRight w:val="0"/>
      <w:marTop w:val="0"/>
      <w:marBottom w:val="0"/>
      <w:divBdr>
        <w:top w:val="none" w:sz="0" w:space="0" w:color="auto"/>
        <w:left w:val="none" w:sz="0" w:space="0" w:color="auto"/>
        <w:bottom w:val="none" w:sz="0" w:space="0" w:color="auto"/>
        <w:right w:val="none" w:sz="0" w:space="0" w:color="auto"/>
      </w:divBdr>
    </w:div>
    <w:div w:id="1242178737">
      <w:bodyDiv w:val="1"/>
      <w:marLeft w:val="0"/>
      <w:marRight w:val="0"/>
      <w:marTop w:val="0"/>
      <w:marBottom w:val="0"/>
      <w:divBdr>
        <w:top w:val="none" w:sz="0" w:space="0" w:color="auto"/>
        <w:left w:val="none" w:sz="0" w:space="0" w:color="auto"/>
        <w:bottom w:val="none" w:sz="0" w:space="0" w:color="auto"/>
        <w:right w:val="none" w:sz="0" w:space="0" w:color="auto"/>
      </w:divBdr>
    </w:div>
    <w:div w:id="1257520834">
      <w:bodyDiv w:val="1"/>
      <w:marLeft w:val="0"/>
      <w:marRight w:val="0"/>
      <w:marTop w:val="0"/>
      <w:marBottom w:val="0"/>
      <w:divBdr>
        <w:top w:val="none" w:sz="0" w:space="0" w:color="auto"/>
        <w:left w:val="none" w:sz="0" w:space="0" w:color="auto"/>
        <w:bottom w:val="none" w:sz="0" w:space="0" w:color="auto"/>
        <w:right w:val="none" w:sz="0" w:space="0" w:color="auto"/>
      </w:divBdr>
    </w:div>
    <w:div w:id="1272663236">
      <w:bodyDiv w:val="1"/>
      <w:marLeft w:val="0"/>
      <w:marRight w:val="0"/>
      <w:marTop w:val="0"/>
      <w:marBottom w:val="0"/>
      <w:divBdr>
        <w:top w:val="none" w:sz="0" w:space="0" w:color="auto"/>
        <w:left w:val="none" w:sz="0" w:space="0" w:color="auto"/>
        <w:bottom w:val="none" w:sz="0" w:space="0" w:color="auto"/>
        <w:right w:val="none" w:sz="0" w:space="0" w:color="auto"/>
      </w:divBdr>
    </w:div>
    <w:div w:id="1365062212">
      <w:bodyDiv w:val="1"/>
      <w:marLeft w:val="0"/>
      <w:marRight w:val="0"/>
      <w:marTop w:val="0"/>
      <w:marBottom w:val="0"/>
      <w:divBdr>
        <w:top w:val="none" w:sz="0" w:space="0" w:color="auto"/>
        <w:left w:val="none" w:sz="0" w:space="0" w:color="auto"/>
        <w:bottom w:val="none" w:sz="0" w:space="0" w:color="auto"/>
        <w:right w:val="none" w:sz="0" w:space="0" w:color="auto"/>
      </w:divBdr>
    </w:div>
    <w:div w:id="1407924062">
      <w:bodyDiv w:val="1"/>
      <w:marLeft w:val="0"/>
      <w:marRight w:val="0"/>
      <w:marTop w:val="0"/>
      <w:marBottom w:val="0"/>
      <w:divBdr>
        <w:top w:val="none" w:sz="0" w:space="0" w:color="auto"/>
        <w:left w:val="none" w:sz="0" w:space="0" w:color="auto"/>
        <w:bottom w:val="none" w:sz="0" w:space="0" w:color="auto"/>
        <w:right w:val="none" w:sz="0" w:space="0" w:color="auto"/>
      </w:divBdr>
    </w:div>
    <w:div w:id="1427532938">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502622901">
      <w:bodyDiv w:val="1"/>
      <w:marLeft w:val="0"/>
      <w:marRight w:val="0"/>
      <w:marTop w:val="0"/>
      <w:marBottom w:val="0"/>
      <w:divBdr>
        <w:top w:val="none" w:sz="0" w:space="0" w:color="auto"/>
        <w:left w:val="none" w:sz="0" w:space="0" w:color="auto"/>
        <w:bottom w:val="none" w:sz="0" w:space="0" w:color="auto"/>
        <w:right w:val="none" w:sz="0" w:space="0" w:color="auto"/>
      </w:divBdr>
    </w:div>
    <w:div w:id="1544903497">
      <w:bodyDiv w:val="1"/>
      <w:marLeft w:val="0"/>
      <w:marRight w:val="0"/>
      <w:marTop w:val="0"/>
      <w:marBottom w:val="0"/>
      <w:divBdr>
        <w:top w:val="none" w:sz="0" w:space="0" w:color="auto"/>
        <w:left w:val="none" w:sz="0" w:space="0" w:color="auto"/>
        <w:bottom w:val="none" w:sz="0" w:space="0" w:color="auto"/>
        <w:right w:val="none" w:sz="0" w:space="0" w:color="auto"/>
      </w:divBdr>
    </w:div>
    <w:div w:id="1549874732">
      <w:bodyDiv w:val="1"/>
      <w:marLeft w:val="0"/>
      <w:marRight w:val="0"/>
      <w:marTop w:val="0"/>
      <w:marBottom w:val="0"/>
      <w:divBdr>
        <w:top w:val="none" w:sz="0" w:space="0" w:color="auto"/>
        <w:left w:val="none" w:sz="0" w:space="0" w:color="auto"/>
        <w:bottom w:val="none" w:sz="0" w:space="0" w:color="auto"/>
        <w:right w:val="none" w:sz="0" w:space="0" w:color="auto"/>
      </w:divBdr>
    </w:div>
    <w:div w:id="1555384986">
      <w:bodyDiv w:val="1"/>
      <w:marLeft w:val="0"/>
      <w:marRight w:val="0"/>
      <w:marTop w:val="0"/>
      <w:marBottom w:val="0"/>
      <w:divBdr>
        <w:top w:val="none" w:sz="0" w:space="0" w:color="auto"/>
        <w:left w:val="none" w:sz="0" w:space="0" w:color="auto"/>
        <w:bottom w:val="none" w:sz="0" w:space="0" w:color="auto"/>
        <w:right w:val="none" w:sz="0" w:space="0" w:color="auto"/>
      </w:divBdr>
      <w:divsChild>
        <w:div w:id="1861315701">
          <w:marLeft w:val="480"/>
          <w:marRight w:val="0"/>
          <w:marTop w:val="0"/>
          <w:marBottom w:val="0"/>
          <w:divBdr>
            <w:top w:val="none" w:sz="0" w:space="0" w:color="auto"/>
            <w:left w:val="none" w:sz="0" w:space="0" w:color="auto"/>
            <w:bottom w:val="none" w:sz="0" w:space="0" w:color="auto"/>
            <w:right w:val="none" w:sz="0" w:space="0" w:color="auto"/>
          </w:divBdr>
        </w:div>
        <w:div w:id="1850412821">
          <w:marLeft w:val="480"/>
          <w:marRight w:val="0"/>
          <w:marTop w:val="0"/>
          <w:marBottom w:val="0"/>
          <w:divBdr>
            <w:top w:val="none" w:sz="0" w:space="0" w:color="auto"/>
            <w:left w:val="none" w:sz="0" w:space="0" w:color="auto"/>
            <w:bottom w:val="none" w:sz="0" w:space="0" w:color="auto"/>
            <w:right w:val="none" w:sz="0" w:space="0" w:color="auto"/>
          </w:divBdr>
        </w:div>
        <w:div w:id="556933684">
          <w:marLeft w:val="480"/>
          <w:marRight w:val="0"/>
          <w:marTop w:val="0"/>
          <w:marBottom w:val="0"/>
          <w:divBdr>
            <w:top w:val="none" w:sz="0" w:space="0" w:color="auto"/>
            <w:left w:val="none" w:sz="0" w:space="0" w:color="auto"/>
            <w:bottom w:val="none" w:sz="0" w:space="0" w:color="auto"/>
            <w:right w:val="none" w:sz="0" w:space="0" w:color="auto"/>
          </w:divBdr>
        </w:div>
        <w:div w:id="740254870">
          <w:marLeft w:val="480"/>
          <w:marRight w:val="0"/>
          <w:marTop w:val="0"/>
          <w:marBottom w:val="0"/>
          <w:divBdr>
            <w:top w:val="none" w:sz="0" w:space="0" w:color="auto"/>
            <w:left w:val="none" w:sz="0" w:space="0" w:color="auto"/>
            <w:bottom w:val="none" w:sz="0" w:space="0" w:color="auto"/>
            <w:right w:val="none" w:sz="0" w:space="0" w:color="auto"/>
          </w:divBdr>
        </w:div>
        <w:div w:id="1932277048">
          <w:marLeft w:val="480"/>
          <w:marRight w:val="0"/>
          <w:marTop w:val="0"/>
          <w:marBottom w:val="0"/>
          <w:divBdr>
            <w:top w:val="none" w:sz="0" w:space="0" w:color="auto"/>
            <w:left w:val="none" w:sz="0" w:space="0" w:color="auto"/>
            <w:bottom w:val="none" w:sz="0" w:space="0" w:color="auto"/>
            <w:right w:val="none" w:sz="0" w:space="0" w:color="auto"/>
          </w:divBdr>
        </w:div>
        <w:div w:id="997735306">
          <w:marLeft w:val="480"/>
          <w:marRight w:val="0"/>
          <w:marTop w:val="0"/>
          <w:marBottom w:val="0"/>
          <w:divBdr>
            <w:top w:val="none" w:sz="0" w:space="0" w:color="auto"/>
            <w:left w:val="none" w:sz="0" w:space="0" w:color="auto"/>
            <w:bottom w:val="none" w:sz="0" w:space="0" w:color="auto"/>
            <w:right w:val="none" w:sz="0" w:space="0" w:color="auto"/>
          </w:divBdr>
        </w:div>
        <w:div w:id="729041987">
          <w:marLeft w:val="480"/>
          <w:marRight w:val="0"/>
          <w:marTop w:val="0"/>
          <w:marBottom w:val="0"/>
          <w:divBdr>
            <w:top w:val="none" w:sz="0" w:space="0" w:color="auto"/>
            <w:left w:val="none" w:sz="0" w:space="0" w:color="auto"/>
            <w:bottom w:val="none" w:sz="0" w:space="0" w:color="auto"/>
            <w:right w:val="none" w:sz="0" w:space="0" w:color="auto"/>
          </w:divBdr>
        </w:div>
        <w:div w:id="1237865140">
          <w:marLeft w:val="480"/>
          <w:marRight w:val="0"/>
          <w:marTop w:val="0"/>
          <w:marBottom w:val="0"/>
          <w:divBdr>
            <w:top w:val="none" w:sz="0" w:space="0" w:color="auto"/>
            <w:left w:val="none" w:sz="0" w:space="0" w:color="auto"/>
            <w:bottom w:val="none" w:sz="0" w:space="0" w:color="auto"/>
            <w:right w:val="none" w:sz="0" w:space="0" w:color="auto"/>
          </w:divBdr>
        </w:div>
        <w:div w:id="1626689453">
          <w:marLeft w:val="480"/>
          <w:marRight w:val="0"/>
          <w:marTop w:val="0"/>
          <w:marBottom w:val="0"/>
          <w:divBdr>
            <w:top w:val="none" w:sz="0" w:space="0" w:color="auto"/>
            <w:left w:val="none" w:sz="0" w:space="0" w:color="auto"/>
            <w:bottom w:val="none" w:sz="0" w:space="0" w:color="auto"/>
            <w:right w:val="none" w:sz="0" w:space="0" w:color="auto"/>
          </w:divBdr>
        </w:div>
        <w:div w:id="981159166">
          <w:marLeft w:val="480"/>
          <w:marRight w:val="0"/>
          <w:marTop w:val="0"/>
          <w:marBottom w:val="0"/>
          <w:divBdr>
            <w:top w:val="none" w:sz="0" w:space="0" w:color="auto"/>
            <w:left w:val="none" w:sz="0" w:space="0" w:color="auto"/>
            <w:bottom w:val="none" w:sz="0" w:space="0" w:color="auto"/>
            <w:right w:val="none" w:sz="0" w:space="0" w:color="auto"/>
          </w:divBdr>
        </w:div>
        <w:div w:id="1246918857">
          <w:marLeft w:val="480"/>
          <w:marRight w:val="0"/>
          <w:marTop w:val="0"/>
          <w:marBottom w:val="0"/>
          <w:divBdr>
            <w:top w:val="none" w:sz="0" w:space="0" w:color="auto"/>
            <w:left w:val="none" w:sz="0" w:space="0" w:color="auto"/>
            <w:bottom w:val="none" w:sz="0" w:space="0" w:color="auto"/>
            <w:right w:val="none" w:sz="0" w:space="0" w:color="auto"/>
          </w:divBdr>
        </w:div>
      </w:divsChild>
    </w:div>
    <w:div w:id="1620721660">
      <w:bodyDiv w:val="1"/>
      <w:marLeft w:val="0"/>
      <w:marRight w:val="0"/>
      <w:marTop w:val="0"/>
      <w:marBottom w:val="0"/>
      <w:divBdr>
        <w:top w:val="none" w:sz="0" w:space="0" w:color="auto"/>
        <w:left w:val="none" w:sz="0" w:space="0" w:color="auto"/>
        <w:bottom w:val="none" w:sz="0" w:space="0" w:color="auto"/>
        <w:right w:val="none" w:sz="0" w:space="0" w:color="auto"/>
      </w:divBdr>
    </w:div>
    <w:div w:id="1629124164">
      <w:bodyDiv w:val="1"/>
      <w:marLeft w:val="0"/>
      <w:marRight w:val="0"/>
      <w:marTop w:val="0"/>
      <w:marBottom w:val="0"/>
      <w:divBdr>
        <w:top w:val="none" w:sz="0" w:space="0" w:color="auto"/>
        <w:left w:val="none" w:sz="0" w:space="0" w:color="auto"/>
        <w:bottom w:val="none" w:sz="0" w:space="0" w:color="auto"/>
        <w:right w:val="none" w:sz="0" w:space="0" w:color="auto"/>
      </w:divBdr>
    </w:div>
    <w:div w:id="1645741496">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6889">
      <w:bodyDiv w:val="1"/>
      <w:marLeft w:val="0"/>
      <w:marRight w:val="0"/>
      <w:marTop w:val="0"/>
      <w:marBottom w:val="0"/>
      <w:divBdr>
        <w:top w:val="none" w:sz="0" w:space="0" w:color="auto"/>
        <w:left w:val="none" w:sz="0" w:space="0" w:color="auto"/>
        <w:bottom w:val="none" w:sz="0" w:space="0" w:color="auto"/>
        <w:right w:val="none" w:sz="0" w:space="0" w:color="auto"/>
      </w:divBdr>
    </w:div>
    <w:div w:id="1689329404">
      <w:bodyDiv w:val="1"/>
      <w:marLeft w:val="0"/>
      <w:marRight w:val="0"/>
      <w:marTop w:val="0"/>
      <w:marBottom w:val="0"/>
      <w:divBdr>
        <w:top w:val="none" w:sz="0" w:space="0" w:color="auto"/>
        <w:left w:val="none" w:sz="0" w:space="0" w:color="auto"/>
        <w:bottom w:val="none" w:sz="0" w:space="0" w:color="auto"/>
        <w:right w:val="none" w:sz="0" w:space="0" w:color="auto"/>
      </w:divBdr>
    </w:div>
    <w:div w:id="1741900633">
      <w:bodyDiv w:val="1"/>
      <w:marLeft w:val="0"/>
      <w:marRight w:val="0"/>
      <w:marTop w:val="0"/>
      <w:marBottom w:val="0"/>
      <w:divBdr>
        <w:top w:val="none" w:sz="0" w:space="0" w:color="auto"/>
        <w:left w:val="none" w:sz="0" w:space="0" w:color="auto"/>
        <w:bottom w:val="none" w:sz="0" w:space="0" w:color="auto"/>
        <w:right w:val="none" w:sz="0" w:space="0" w:color="auto"/>
      </w:divBdr>
      <w:divsChild>
        <w:div w:id="370811930">
          <w:marLeft w:val="0"/>
          <w:marRight w:val="0"/>
          <w:marTop w:val="0"/>
          <w:marBottom w:val="0"/>
          <w:divBdr>
            <w:top w:val="single" w:sz="2" w:space="0" w:color="E3E3E3"/>
            <w:left w:val="single" w:sz="2" w:space="0" w:color="E3E3E3"/>
            <w:bottom w:val="single" w:sz="2" w:space="0" w:color="E3E3E3"/>
            <w:right w:val="single" w:sz="2" w:space="0" w:color="E3E3E3"/>
          </w:divBdr>
          <w:divsChild>
            <w:div w:id="20865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744526920">
                  <w:marLeft w:val="0"/>
                  <w:marRight w:val="0"/>
                  <w:marTop w:val="0"/>
                  <w:marBottom w:val="0"/>
                  <w:divBdr>
                    <w:top w:val="single" w:sz="2" w:space="0" w:color="E3E3E3"/>
                    <w:left w:val="single" w:sz="2" w:space="0" w:color="E3E3E3"/>
                    <w:bottom w:val="single" w:sz="2" w:space="0" w:color="E3E3E3"/>
                    <w:right w:val="single" w:sz="2" w:space="0" w:color="E3E3E3"/>
                  </w:divBdr>
                  <w:divsChild>
                    <w:div w:id="1843082974">
                      <w:marLeft w:val="0"/>
                      <w:marRight w:val="0"/>
                      <w:marTop w:val="0"/>
                      <w:marBottom w:val="0"/>
                      <w:divBdr>
                        <w:top w:val="single" w:sz="2" w:space="0" w:color="E3E3E3"/>
                        <w:left w:val="single" w:sz="2" w:space="0" w:color="E3E3E3"/>
                        <w:bottom w:val="single" w:sz="2" w:space="0" w:color="E3E3E3"/>
                        <w:right w:val="single" w:sz="2" w:space="0" w:color="E3E3E3"/>
                      </w:divBdr>
                      <w:divsChild>
                        <w:div w:id="1310525173">
                          <w:marLeft w:val="0"/>
                          <w:marRight w:val="0"/>
                          <w:marTop w:val="0"/>
                          <w:marBottom w:val="0"/>
                          <w:divBdr>
                            <w:top w:val="single" w:sz="2" w:space="0" w:color="E3E3E3"/>
                            <w:left w:val="single" w:sz="2" w:space="0" w:color="E3E3E3"/>
                            <w:bottom w:val="single" w:sz="2" w:space="0" w:color="E3E3E3"/>
                            <w:right w:val="single" w:sz="2" w:space="0" w:color="E3E3E3"/>
                          </w:divBdr>
                          <w:divsChild>
                            <w:div w:id="2056389337">
                              <w:marLeft w:val="0"/>
                              <w:marRight w:val="0"/>
                              <w:marTop w:val="0"/>
                              <w:marBottom w:val="0"/>
                              <w:divBdr>
                                <w:top w:val="single" w:sz="2" w:space="0" w:color="E3E3E3"/>
                                <w:left w:val="single" w:sz="2" w:space="0" w:color="E3E3E3"/>
                                <w:bottom w:val="single" w:sz="2" w:space="0" w:color="E3E3E3"/>
                                <w:right w:val="single" w:sz="2" w:space="0" w:color="E3E3E3"/>
                              </w:divBdr>
                              <w:divsChild>
                                <w:div w:id="738093970">
                                  <w:marLeft w:val="0"/>
                                  <w:marRight w:val="0"/>
                                  <w:marTop w:val="0"/>
                                  <w:marBottom w:val="0"/>
                                  <w:divBdr>
                                    <w:top w:val="single" w:sz="2" w:space="0" w:color="E3E3E3"/>
                                    <w:left w:val="single" w:sz="2" w:space="0" w:color="E3E3E3"/>
                                    <w:bottom w:val="single" w:sz="2" w:space="0" w:color="E3E3E3"/>
                                    <w:right w:val="single" w:sz="2" w:space="0" w:color="E3E3E3"/>
                                  </w:divBdr>
                                  <w:divsChild>
                                    <w:div w:id="10419822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7632858">
      <w:bodyDiv w:val="1"/>
      <w:marLeft w:val="0"/>
      <w:marRight w:val="0"/>
      <w:marTop w:val="0"/>
      <w:marBottom w:val="0"/>
      <w:divBdr>
        <w:top w:val="none" w:sz="0" w:space="0" w:color="auto"/>
        <w:left w:val="none" w:sz="0" w:space="0" w:color="auto"/>
        <w:bottom w:val="none" w:sz="0" w:space="0" w:color="auto"/>
        <w:right w:val="none" w:sz="0" w:space="0" w:color="auto"/>
      </w:divBdr>
    </w:div>
    <w:div w:id="1767461129">
      <w:bodyDiv w:val="1"/>
      <w:marLeft w:val="0"/>
      <w:marRight w:val="0"/>
      <w:marTop w:val="0"/>
      <w:marBottom w:val="0"/>
      <w:divBdr>
        <w:top w:val="none" w:sz="0" w:space="0" w:color="auto"/>
        <w:left w:val="none" w:sz="0" w:space="0" w:color="auto"/>
        <w:bottom w:val="none" w:sz="0" w:space="0" w:color="auto"/>
        <w:right w:val="none" w:sz="0" w:space="0" w:color="auto"/>
      </w:divBdr>
    </w:div>
    <w:div w:id="1773236961">
      <w:bodyDiv w:val="1"/>
      <w:marLeft w:val="0"/>
      <w:marRight w:val="0"/>
      <w:marTop w:val="0"/>
      <w:marBottom w:val="0"/>
      <w:divBdr>
        <w:top w:val="none" w:sz="0" w:space="0" w:color="auto"/>
        <w:left w:val="none" w:sz="0" w:space="0" w:color="auto"/>
        <w:bottom w:val="none" w:sz="0" w:space="0" w:color="auto"/>
        <w:right w:val="none" w:sz="0" w:space="0" w:color="auto"/>
      </w:divBdr>
    </w:div>
    <w:div w:id="1817254768">
      <w:bodyDiv w:val="1"/>
      <w:marLeft w:val="0"/>
      <w:marRight w:val="0"/>
      <w:marTop w:val="0"/>
      <w:marBottom w:val="0"/>
      <w:divBdr>
        <w:top w:val="none" w:sz="0" w:space="0" w:color="auto"/>
        <w:left w:val="none" w:sz="0" w:space="0" w:color="auto"/>
        <w:bottom w:val="none" w:sz="0" w:space="0" w:color="auto"/>
        <w:right w:val="none" w:sz="0" w:space="0" w:color="auto"/>
      </w:divBdr>
    </w:div>
    <w:div w:id="1822044248">
      <w:bodyDiv w:val="1"/>
      <w:marLeft w:val="0"/>
      <w:marRight w:val="0"/>
      <w:marTop w:val="0"/>
      <w:marBottom w:val="0"/>
      <w:divBdr>
        <w:top w:val="none" w:sz="0" w:space="0" w:color="auto"/>
        <w:left w:val="none" w:sz="0" w:space="0" w:color="auto"/>
        <w:bottom w:val="none" w:sz="0" w:space="0" w:color="auto"/>
        <w:right w:val="none" w:sz="0" w:space="0" w:color="auto"/>
      </w:divBdr>
      <w:divsChild>
        <w:div w:id="502162493">
          <w:marLeft w:val="480"/>
          <w:marRight w:val="0"/>
          <w:marTop w:val="0"/>
          <w:marBottom w:val="0"/>
          <w:divBdr>
            <w:top w:val="none" w:sz="0" w:space="0" w:color="auto"/>
            <w:left w:val="none" w:sz="0" w:space="0" w:color="auto"/>
            <w:bottom w:val="none" w:sz="0" w:space="0" w:color="auto"/>
            <w:right w:val="none" w:sz="0" w:space="0" w:color="auto"/>
          </w:divBdr>
        </w:div>
        <w:div w:id="607392111">
          <w:marLeft w:val="480"/>
          <w:marRight w:val="0"/>
          <w:marTop w:val="0"/>
          <w:marBottom w:val="0"/>
          <w:divBdr>
            <w:top w:val="none" w:sz="0" w:space="0" w:color="auto"/>
            <w:left w:val="none" w:sz="0" w:space="0" w:color="auto"/>
            <w:bottom w:val="none" w:sz="0" w:space="0" w:color="auto"/>
            <w:right w:val="none" w:sz="0" w:space="0" w:color="auto"/>
          </w:divBdr>
        </w:div>
        <w:div w:id="1688944255">
          <w:marLeft w:val="480"/>
          <w:marRight w:val="0"/>
          <w:marTop w:val="0"/>
          <w:marBottom w:val="0"/>
          <w:divBdr>
            <w:top w:val="none" w:sz="0" w:space="0" w:color="auto"/>
            <w:left w:val="none" w:sz="0" w:space="0" w:color="auto"/>
            <w:bottom w:val="none" w:sz="0" w:space="0" w:color="auto"/>
            <w:right w:val="none" w:sz="0" w:space="0" w:color="auto"/>
          </w:divBdr>
        </w:div>
        <w:div w:id="876237800">
          <w:marLeft w:val="480"/>
          <w:marRight w:val="0"/>
          <w:marTop w:val="0"/>
          <w:marBottom w:val="0"/>
          <w:divBdr>
            <w:top w:val="none" w:sz="0" w:space="0" w:color="auto"/>
            <w:left w:val="none" w:sz="0" w:space="0" w:color="auto"/>
            <w:bottom w:val="none" w:sz="0" w:space="0" w:color="auto"/>
            <w:right w:val="none" w:sz="0" w:space="0" w:color="auto"/>
          </w:divBdr>
        </w:div>
        <w:div w:id="244651129">
          <w:marLeft w:val="480"/>
          <w:marRight w:val="0"/>
          <w:marTop w:val="0"/>
          <w:marBottom w:val="0"/>
          <w:divBdr>
            <w:top w:val="none" w:sz="0" w:space="0" w:color="auto"/>
            <w:left w:val="none" w:sz="0" w:space="0" w:color="auto"/>
            <w:bottom w:val="none" w:sz="0" w:space="0" w:color="auto"/>
            <w:right w:val="none" w:sz="0" w:space="0" w:color="auto"/>
          </w:divBdr>
        </w:div>
        <w:div w:id="1680234024">
          <w:marLeft w:val="480"/>
          <w:marRight w:val="0"/>
          <w:marTop w:val="0"/>
          <w:marBottom w:val="0"/>
          <w:divBdr>
            <w:top w:val="none" w:sz="0" w:space="0" w:color="auto"/>
            <w:left w:val="none" w:sz="0" w:space="0" w:color="auto"/>
            <w:bottom w:val="none" w:sz="0" w:space="0" w:color="auto"/>
            <w:right w:val="none" w:sz="0" w:space="0" w:color="auto"/>
          </w:divBdr>
        </w:div>
        <w:div w:id="1625847905">
          <w:marLeft w:val="480"/>
          <w:marRight w:val="0"/>
          <w:marTop w:val="0"/>
          <w:marBottom w:val="0"/>
          <w:divBdr>
            <w:top w:val="none" w:sz="0" w:space="0" w:color="auto"/>
            <w:left w:val="none" w:sz="0" w:space="0" w:color="auto"/>
            <w:bottom w:val="none" w:sz="0" w:space="0" w:color="auto"/>
            <w:right w:val="none" w:sz="0" w:space="0" w:color="auto"/>
          </w:divBdr>
        </w:div>
        <w:div w:id="1153331259">
          <w:marLeft w:val="480"/>
          <w:marRight w:val="0"/>
          <w:marTop w:val="0"/>
          <w:marBottom w:val="0"/>
          <w:divBdr>
            <w:top w:val="none" w:sz="0" w:space="0" w:color="auto"/>
            <w:left w:val="none" w:sz="0" w:space="0" w:color="auto"/>
            <w:bottom w:val="none" w:sz="0" w:space="0" w:color="auto"/>
            <w:right w:val="none" w:sz="0" w:space="0" w:color="auto"/>
          </w:divBdr>
        </w:div>
        <w:div w:id="982201180">
          <w:marLeft w:val="480"/>
          <w:marRight w:val="0"/>
          <w:marTop w:val="0"/>
          <w:marBottom w:val="0"/>
          <w:divBdr>
            <w:top w:val="none" w:sz="0" w:space="0" w:color="auto"/>
            <w:left w:val="none" w:sz="0" w:space="0" w:color="auto"/>
            <w:bottom w:val="none" w:sz="0" w:space="0" w:color="auto"/>
            <w:right w:val="none" w:sz="0" w:space="0" w:color="auto"/>
          </w:divBdr>
        </w:div>
        <w:div w:id="1540625031">
          <w:marLeft w:val="480"/>
          <w:marRight w:val="0"/>
          <w:marTop w:val="0"/>
          <w:marBottom w:val="0"/>
          <w:divBdr>
            <w:top w:val="none" w:sz="0" w:space="0" w:color="auto"/>
            <w:left w:val="none" w:sz="0" w:space="0" w:color="auto"/>
            <w:bottom w:val="none" w:sz="0" w:space="0" w:color="auto"/>
            <w:right w:val="none" w:sz="0" w:space="0" w:color="auto"/>
          </w:divBdr>
        </w:div>
        <w:div w:id="1453665777">
          <w:marLeft w:val="480"/>
          <w:marRight w:val="0"/>
          <w:marTop w:val="0"/>
          <w:marBottom w:val="0"/>
          <w:divBdr>
            <w:top w:val="none" w:sz="0" w:space="0" w:color="auto"/>
            <w:left w:val="none" w:sz="0" w:space="0" w:color="auto"/>
            <w:bottom w:val="none" w:sz="0" w:space="0" w:color="auto"/>
            <w:right w:val="none" w:sz="0" w:space="0" w:color="auto"/>
          </w:divBdr>
        </w:div>
        <w:div w:id="2093970786">
          <w:marLeft w:val="480"/>
          <w:marRight w:val="0"/>
          <w:marTop w:val="0"/>
          <w:marBottom w:val="0"/>
          <w:divBdr>
            <w:top w:val="none" w:sz="0" w:space="0" w:color="auto"/>
            <w:left w:val="none" w:sz="0" w:space="0" w:color="auto"/>
            <w:bottom w:val="none" w:sz="0" w:space="0" w:color="auto"/>
            <w:right w:val="none" w:sz="0" w:space="0" w:color="auto"/>
          </w:divBdr>
        </w:div>
        <w:div w:id="1539857992">
          <w:marLeft w:val="480"/>
          <w:marRight w:val="0"/>
          <w:marTop w:val="0"/>
          <w:marBottom w:val="0"/>
          <w:divBdr>
            <w:top w:val="none" w:sz="0" w:space="0" w:color="auto"/>
            <w:left w:val="none" w:sz="0" w:space="0" w:color="auto"/>
            <w:bottom w:val="none" w:sz="0" w:space="0" w:color="auto"/>
            <w:right w:val="none" w:sz="0" w:space="0" w:color="auto"/>
          </w:divBdr>
        </w:div>
        <w:div w:id="540820200">
          <w:marLeft w:val="480"/>
          <w:marRight w:val="0"/>
          <w:marTop w:val="0"/>
          <w:marBottom w:val="0"/>
          <w:divBdr>
            <w:top w:val="none" w:sz="0" w:space="0" w:color="auto"/>
            <w:left w:val="none" w:sz="0" w:space="0" w:color="auto"/>
            <w:bottom w:val="none" w:sz="0" w:space="0" w:color="auto"/>
            <w:right w:val="none" w:sz="0" w:space="0" w:color="auto"/>
          </w:divBdr>
        </w:div>
      </w:divsChild>
    </w:div>
    <w:div w:id="1843084410">
      <w:bodyDiv w:val="1"/>
      <w:marLeft w:val="0"/>
      <w:marRight w:val="0"/>
      <w:marTop w:val="0"/>
      <w:marBottom w:val="0"/>
      <w:divBdr>
        <w:top w:val="none" w:sz="0" w:space="0" w:color="auto"/>
        <w:left w:val="none" w:sz="0" w:space="0" w:color="auto"/>
        <w:bottom w:val="none" w:sz="0" w:space="0" w:color="auto"/>
        <w:right w:val="none" w:sz="0" w:space="0" w:color="auto"/>
      </w:divBdr>
    </w:div>
    <w:div w:id="1852795216">
      <w:bodyDiv w:val="1"/>
      <w:marLeft w:val="0"/>
      <w:marRight w:val="0"/>
      <w:marTop w:val="0"/>
      <w:marBottom w:val="0"/>
      <w:divBdr>
        <w:top w:val="none" w:sz="0" w:space="0" w:color="auto"/>
        <w:left w:val="none" w:sz="0" w:space="0" w:color="auto"/>
        <w:bottom w:val="none" w:sz="0" w:space="0" w:color="auto"/>
        <w:right w:val="none" w:sz="0" w:space="0" w:color="auto"/>
      </w:divBdr>
    </w:div>
    <w:div w:id="1889877680">
      <w:bodyDiv w:val="1"/>
      <w:marLeft w:val="0"/>
      <w:marRight w:val="0"/>
      <w:marTop w:val="0"/>
      <w:marBottom w:val="0"/>
      <w:divBdr>
        <w:top w:val="none" w:sz="0" w:space="0" w:color="auto"/>
        <w:left w:val="none" w:sz="0" w:space="0" w:color="auto"/>
        <w:bottom w:val="none" w:sz="0" w:space="0" w:color="auto"/>
        <w:right w:val="none" w:sz="0" w:space="0" w:color="auto"/>
      </w:divBdr>
    </w:div>
    <w:div w:id="1929726175">
      <w:bodyDiv w:val="1"/>
      <w:marLeft w:val="0"/>
      <w:marRight w:val="0"/>
      <w:marTop w:val="0"/>
      <w:marBottom w:val="0"/>
      <w:divBdr>
        <w:top w:val="none" w:sz="0" w:space="0" w:color="auto"/>
        <w:left w:val="none" w:sz="0" w:space="0" w:color="auto"/>
        <w:bottom w:val="none" w:sz="0" w:space="0" w:color="auto"/>
        <w:right w:val="none" w:sz="0" w:space="0" w:color="auto"/>
      </w:divBdr>
    </w:div>
    <w:div w:id="1938514302">
      <w:bodyDiv w:val="1"/>
      <w:marLeft w:val="0"/>
      <w:marRight w:val="0"/>
      <w:marTop w:val="0"/>
      <w:marBottom w:val="0"/>
      <w:divBdr>
        <w:top w:val="none" w:sz="0" w:space="0" w:color="auto"/>
        <w:left w:val="none" w:sz="0" w:space="0" w:color="auto"/>
        <w:bottom w:val="none" w:sz="0" w:space="0" w:color="auto"/>
        <w:right w:val="none" w:sz="0" w:space="0" w:color="auto"/>
      </w:divBdr>
    </w:div>
    <w:div w:id="1959146021">
      <w:bodyDiv w:val="1"/>
      <w:marLeft w:val="0"/>
      <w:marRight w:val="0"/>
      <w:marTop w:val="0"/>
      <w:marBottom w:val="0"/>
      <w:divBdr>
        <w:top w:val="none" w:sz="0" w:space="0" w:color="auto"/>
        <w:left w:val="none" w:sz="0" w:space="0" w:color="auto"/>
        <w:bottom w:val="none" w:sz="0" w:space="0" w:color="auto"/>
        <w:right w:val="none" w:sz="0" w:space="0" w:color="auto"/>
      </w:divBdr>
    </w:div>
    <w:div w:id="1974754701">
      <w:bodyDiv w:val="1"/>
      <w:marLeft w:val="0"/>
      <w:marRight w:val="0"/>
      <w:marTop w:val="0"/>
      <w:marBottom w:val="0"/>
      <w:divBdr>
        <w:top w:val="none" w:sz="0" w:space="0" w:color="auto"/>
        <w:left w:val="none" w:sz="0" w:space="0" w:color="auto"/>
        <w:bottom w:val="none" w:sz="0" w:space="0" w:color="auto"/>
        <w:right w:val="none" w:sz="0" w:space="0" w:color="auto"/>
      </w:divBdr>
    </w:div>
    <w:div w:id="2008702265">
      <w:bodyDiv w:val="1"/>
      <w:marLeft w:val="0"/>
      <w:marRight w:val="0"/>
      <w:marTop w:val="0"/>
      <w:marBottom w:val="0"/>
      <w:divBdr>
        <w:top w:val="none" w:sz="0" w:space="0" w:color="auto"/>
        <w:left w:val="none" w:sz="0" w:space="0" w:color="auto"/>
        <w:bottom w:val="none" w:sz="0" w:space="0" w:color="auto"/>
        <w:right w:val="none" w:sz="0" w:space="0" w:color="auto"/>
      </w:divBdr>
    </w:div>
    <w:div w:id="2008820312">
      <w:bodyDiv w:val="1"/>
      <w:marLeft w:val="0"/>
      <w:marRight w:val="0"/>
      <w:marTop w:val="0"/>
      <w:marBottom w:val="0"/>
      <w:divBdr>
        <w:top w:val="none" w:sz="0" w:space="0" w:color="auto"/>
        <w:left w:val="none" w:sz="0" w:space="0" w:color="auto"/>
        <w:bottom w:val="none" w:sz="0" w:space="0" w:color="auto"/>
        <w:right w:val="none" w:sz="0" w:space="0" w:color="auto"/>
      </w:divBdr>
    </w:div>
    <w:div w:id="2011177298">
      <w:bodyDiv w:val="1"/>
      <w:marLeft w:val="0"/>
      <w:marRight w:val="0"/>
      <w:marTop w:val="0"/>
      <w:marBottom w:val="0"/>
      <w:divBdr>
        <w:top w:val="none" w:sz="0" w:space="0" w:color="auto"/>
        <w:left w:val="none" w:sz="0" w:space="0" w:color="auto"/>
        <w:bottom w:val="none" w:sz="0" w:space="0" w:color="auto"/>
        <w:right w:val="none" w:sz="0" w:space="0" w:color="auto"/>
      </w:divBdr>
    </w:div>
    <w:div w:id="2014409390">
      <w:bodyDiv w:val="1"/>
      <w:marLeft w:val="0"/>
      <w:marRight w:val="0"/>
      <w:marTop w:val="0"/>
      <w:marBottom w:val="0"/>
      <w:divBdr>
        <w:top w:val="none" w:sz="0" w:space="0" w:color="auto"/>
        <w:left w:val="none" w:sz="0" w:space="0" w:color="auto"/>
        <w:bottom w:val="none" w:sz="0" w:space="0" w:color="auto"/>
        <w:right w:val="none" w:sz="0" w:space="0" w:color="auto"/>
      </w:divBdr>
    </w:div>
    <w:div w:id="2029597620">
      <w:bodyDiv w:val="1"/>
      <w:marLeft w:val="0"/>
      <w:marRight w:val="0"/>
      <w:marTop w:val="0"/>
      <w:marBottom w:val="0"/>
      <w:divBdr>
        <w:top w:val="none" w:sz="0" w:space="0" w:color="auto"/>
        <w:left w:val="none" w:sz="0" w:space="0" w:color="auto"/>
        <w:bottom w:val="none" w:sz="0" w:space="0" w:color="auto"/>
        <w:right w:val="none" w:sz="0" w:space="0" w:color="auto"/>
      </w:divBdr>
    </w:div>
    <w:div w:id="2097940200">
      <w:bodyDiv w:val="1"/>
      <w:marLeft w:val="0"/>
      <w:marRight w:val="0"/>
      <w:marTop w:val="0"/>
      <w:marBottom w:val="0"/>
      <w:divBdr>
        <w:top w:val="none" w:sz="0" w:space="0" w:color="auto"/>
        <w:left w:val="none" w:sz="0" w:space="0" w:color="auto"/>
        <w:bottom w:val="none" w:sz="0" w:space="0" w:color="auto"/>
        <w:right w:val="none" w:sz="0" w:space="0" w:color="auto"/>
      </w:divBdr>
      <w:divsChild>
        <w:div w:id="1339650663">
          <w:marLeft w:val="0"/>
          <w:marRight w:val="0"/>
          <w:marTop w:val="0"/>
          <w:marBottom w:val="0"/>
          <w:divBdr>
            <w:top w:val="none" w:sz="0" w:space="0" w:color="auto"/>
            <w:left w:val="none" w:sz="0" w:space="0" w:color="auto"/>
            <w:bottom w:val="none" w:sz="0" w:space="0" w:color="auto"/>
            <w:right w:val="none" w:sz="0" w:space="0" w:color="auto"/>
          </w:divBdr>
          <w:divsChild>
            <w:div w:id="1767116783">
              <w:marLeft w:val="0"/>
              <w:marRight w:val="0"/>
              <w:marTop w:val="0"/>
              <w:marBottom w:val="0"/>
              <w:divBdr>
                <w:top w:val="none" w:sz="0" w:space="0" w:color="auto"/>
                <w:left w:val="none" w:sz="0" w:space="0" w:color="auto"/>
                <w:bottom w:val="none" w:sz="0" w:space="0" w:color="auto"/>
                <w:right w:val="none" w:sz="0" w:space="0" w:color="auto"/>
              </w:divBdr>
              <w:divsChild>
                <w:div w:id="1716418674">
                  <w:marLeft w:val="0"/>
                  <w:marRight w:val="0"/>
                  <w:marTop w:val="0"/>
                  <w:marBottom w:val="0"/>
                  <w:divBdr>
                    <w:top w:val="none" w:sz="0" w:space="0" w:color="auto"/>
                    <w:left w:val="none" w:sz="0" w:space="0" w:color="auto"/>
                    <w:bottom w:val="none" w:sz="0" w:space="0" w:color="auto"/>
                    <w:right w:val="none" w:sz="0" w:space="0" w:color="auto"/>
                  </w:divBdr>
                  <w:divsChild>
                    <w:div w:id="1617248944">
                      <w:marLeft w:val="0"/>
                      <w:marRight w:val="0"/>
                      <w:marTop w:val="0"/>
                      <w:marBottom w:val="0"/>
                      <w:divBdr>
                        <w:top w:val="none" w:sz="0" w:space="0" w:color="auto"/>
                        <w:left w:val="none" w:sz="0" w:space="0" w:color="auto"/>
                        <w:bottom w:val="none" w:sz="0" w:space="0" w:color="auto"/>
                        <w:right w:val="none" w:sz="0" w:space="0" w:color="auto"/>
                      </w:divBdr>
                      <w:divsChild>
                        <w:div w:id="1012607478">
                          <w:marLeft w:val="0"/>
                          <w:marRight w:val="0"/>
                          <w:marTop w:val="0"/>
                          <w:marBottom w:val="0"/>
                          <w:divBdr>
                            <w:top w:val="none" w:sz="0" w:space="0" w:color="auto"/>
                            <w:left w:val="none" w:sz="0" w:space="0" w:color="auto"/>
                            <w:bottom w:val="none" w:sz="0" w:space="0" w:color="auto"/>
                            <w:right w:val="none" w:sz="0" w:space="0" w:color="auto"/>
                          </w:divBdr>
                          <w:divsChild>
                            <w:div w:id="378826808">
                              <w:marLeft w:val="0"/>
                              <w:marRight w:val="0"/>
                              <w:marTop w:val="0"/>
                              <w:marBottom w:val="0"/>
                              <w:divBdr>
                                <w:top w:val="none" w:sz="0" w:space="0" w:color="auto"/>
                                <w:left w:val="none" w:sz="0" w:space="0" w:color="auto"/>
                                <w:bottom w:val="none" w:sz="0" w:space="0" w:color="auto"/>
                                <w:right w:val="none" w:sz="0" w:space="0" w:color="auto"/>
                              </w:divBdr>
                              <w:divsChild>
                                <w:div w:id="2051106727">
                                  <w:marLeft w:val="0"/>
                                  <w:marRight w:val="0"/>
                                  <w:marTop w:val="0"/>
                                  <w:marBottom w:val="0"/>
                                  <w:divBdr>
                                    <w:top w:val="none" w:sz="0" w:space="0" w:color="auto"/>
                                    <w:left w:val="none" w:sz="0" w:space="0" w:color="auto"/>
                                    <w:bottom w:val="none" w:sz="0" w:space="0" w:color="auto"/>
                                    <w:right w:val="none" w:sz="0" w:space="0" w:color="auto"/>
                                  </w:divBdr>
                                  <w:divsChild>
                                    <w:div w:id="1959145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160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rzio.invernizzi@polimi.it" TargetMode="Externa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28C128A4-EC03-4200-A260-315291DCC1BB}"/>
      </w:docPartPr>
      <w:docPartBody>
        <w:p w:rsidR="00AC57C6" w:rsidRDefault="008C1AA2">
          <w:r w:rsidRPr="00916261">
            <w:rPr>
              <w:rStyle w:val="Testosegnaposto"/>
            </w:rPr>
            <w:t>Fare clic o toccare qui per immettere il testo.</w:t>
          </w:r>
        </w:p>
      </w:docPartBody>
    </w:docPart>
    <w:docPart>
      <w:docPartPr>
        <w:name w:val="7B6E15851AA44C90AE26283C744E3B0F"/>
        <w:category>
          <w:name w:val="Generale"/>
          <w:gallery w:val="placeholder"/>
        </w:category>
        <w:types>
          <w:type w:val="bbPlcHdr"/>
        </w:types>
        <w:behaviors>
          <w:behavior w:val="content"/>
        </w:behaviors>
        <w:guid w:val="{E6885004-1D9E-4D03-ADE2-DA224B94EC77}"/>
      </w:docPartPr>
      <w:docPartBody>
        <w:p w:rsidR="00953682" w:rsidRDefault="00424955" w:rsidP="00424955">
          <w:pPr>
            <w:pStyle w:val="7B6E15851AA44C90AE26283C744E3B0F"/>
          </w:pPr>
          <w:r w:rsidRPr="0091626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AA2"/>
    <w:rsid w:val="00070BAF"/>
    <w:rsid w:val="000B7319"/>
    <w:rsid w:val="00184797"/>
    <w:rsid w:val="001C028E"/>
    <w:rsid w:val="00232893"/>
    <w:rsid w:val="00313FBF"/>
    <w:rsid w:val="00387AE1"/>
    <w:rsid w:val="00424955"/>
    <w:rsid w:val="004B2177"/>
    <w:rsid w:val="0054192B"/>
    <w:rsid w:val="005C3782"/>
    <w:rsid w:val="00605D4F"/>
    <w:rsid w:val="006A394A"/>
    <w:rsid w:val="007139A8"/>
    <w:rsid w:val="00760092"/>
    <w:rsid w:val="00837537"/>
    <w:rsid w:val="008577F1"/>
    <w:rsid w:val="008C1AA2"/>
    <w:rsid w:val="00953682"/>
    <w:rsid w:val="009A6406"/>
    <w:rsid w:val="00A1598B"/>
    <w:rsid w:val="00A96C82"/>
    <w:rsid w:val="00AB726A"/>
    <w:rsid w:val="00AC57C6"/>
    <w:rsid w:val="00B87EF5"/>
    <w:rsid w:val="00BA7510"/>
    <w:rsid w:val="00BB0C52"/>
    <w:rsid w:val="00C65F9A"/>
    <w:rsid w:val="00C96C60"/>
    <w:rsid w:val="00D54F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24955"/>
    <w:rPr>
      <w:color w:val="808080"/>
    </w:rPr>
  </w:style>
  <w:style w:type="paragraph" w:customStyle="1" w:styleId="7B6E15851AA44C90AE26283C744E3B0F">
    <w:name w:val="7B6E15851AA44C90AE26283C744E3B0F"/>
    <w:rsid w:val="00424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71149C-3FBD-4ED2-BB15-6CE0AD35F8F8}">
  <we:reference id="f78a3046-9e99-4300-aa2b-5814002b01a2" version="1.55.1.0" store="EXCatalog" storeType="EXCatalog"/>
  <we:alternateReferences>
    <we:reference id="WA104382081" version="1.55.1.0" store="it-IT" storeType="OMEX"/>
  </we:alternateReferences>
  <we:properties>
    <we:property name="MENDELEY_BIBLIOGRAPHY_IS_DIRTY" value="true"/>
    <we:property name="MENDELEY_BIBLIOGRAPHY_LAST_MODIFIED" value="1778059713001"/>
    <we:property name="MENDELEY_CITATIONS" value="[{&quot;citationID&quot;:&quot;MENDELEY_CITATION_0bc01771-5dad-4210-921b-efbaaede0d10&quot;,&quot;properties&quot;:{&quot;noteIndex&quot;:0},&quot;isEdited&quot;:false,&quot;manualOverride&quot;:{&quot;isManuallyOverridden&quot;:true,&quot;citeprocText&quot;:&quot;(Dabberdt &amp;#38; Miller, 2000; Snoun et al., 2023)&quot;,&quot;manualOverrideText&quot;:&quot;(Dabberdt and Miller, 2000; Snoun et al., 2023)&quot;},&quot;citationTag&quot;:&quot;MENDELEY_CITATION_v3_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&quot;,&quot;citationItems&quot;:[{&quot;id&quot;:&quot;c02f34ac-ff77-3812-a351-15bc0822152c&quot;,&quot;itemData&quot;:{&quot;type&quot;:&quot;article&quot;,&quot;id&quot;:&quot;c02f34ac-ff77-3812-a351-15bc0822152c&quot;,&quot;title&quot;:&quot;A comprehensive review of Gaussian atmospheric dispersion models: current usage and future perspectives&quot;,&quot;author&quot;:[{&quot;family&quot;:&quot;Snoun&quot;,&quot;given&quot;:&quot;Hosni&quot;,&quot;parse-names&quot;:false,&quot;dropping-particle&quot;:&quot;&quot;,&quot;non-dropping-particle&quot;:&quot;&quot;},{&quot;family&quot;:&quot;Krichen&quot;,&quot;given&quot;:&quot;Moez&quot;,&quot;parse-names&quot;:false,&quot;dropping-particle&quot;:&quot;&quot;,&quot;non-dropping-particle&quot;:&quot;&quot;},{&quot;family&quot;:&quot;Chérif&quot;,&quot;given&quot;:&quot;Hatem&quot;,&quot;parse-names&quot;:false,&quot;dropping-particle&quot;:&quot;&quot;,&quot;non-dropping-particle&quot;:&quot;&quot;}],&quot;container-title&quot;:&quot;Euro-Mediterranean Journal for Environmental Integration&quot;,&quot;container-title-short&quot;:&quot;EuroMediterr. J. Environ. Integr.&quot;,&quot;DOI&quot;:&quot;10.1007/s41207-023-00354-6&quot;,&quot;ISSN&quot;:&quot;23657448&quot;,&quot;issued&quot;:{&quot;date-parts&quot;:[[2023,3,1]]},&quot;page&quot;:&quot;219-242&quot;,&quot;abstract&quot;:&quot;Abstract: This article provides an in-depth review of Gaussian atmospheric dispersion models, which are mathematical tools used to predict the dispersion of pollutants in the atmosphere. Such models are based on the assumption that the pollutant plume behaves predictably and that the atmospheric conditions are known. They are widely used and accepted by regulatory agencies, and can be applied to a wide range of atmospheric conditions. There are several software programs and online tools available that can be used to apply Gaussian dispersion models, which makes them accessible to a wide range of users. In this review, the theory behind this type of model is first described. An overview of the main differences between Gaussian plume and puff submodels along with their respective formulas is given. Several of the most commonly used Gaussian atmospheric dispersion packages available (UK-ADMS, AERMOD, ISCST3, POLYPHEMUS, and OML) along with related works for the period 2006–2021 are extensively reviewed. Their suitability for applications regarding environment complexity, the scale of modeling, and parameters influencing concentrations and depositions are assessed. In addition, the paper offers valuable perspectives on the current state of Gaussian dispersion models and the potential paths for their future development. Lastly, the main Gaussian model limitations are outlined. This review study may serve as a compendium for atmospheric dispersion modelers and as a reference source for many environmental and air quality scientists in the future. Graphical Abstract: [Figure not available: see fulltext.]&quot;,&quot;publisher&quot;:&quot;Springer Nature&quot;,&quot;issue&quot;:&quot;1&quot;,&quot;volume&quot;:&quot;8&quot;},&quot;isTemporary&quot;:false},{&quot;id&quot;:&quot;3f185ae0-ed53-3fa7-937a-391a6455b26e&quot;,&quot;itemData&quot;:{&quot;type&quot;:&quot;article-journal&quot;,&quot;id&quot;:&quot;3f185ae0-ed53-3fa7-937a-391a6455b26e&quot;,&quot;title&quot;:&quot;Uncertainty, ensembles and air quality dispersion modeling: applications and challenges&quot;,&quot;author&quot;:[{&quot;family&quot;:&quot;Dabberdt&quot;,&quot;given&quot;:&quot;Walter F&quot;,&quot;parse-names&quot;:false,&quot;dropping-particle&quot;:&quot;&quot;,&quot;non-dropping-particle&quot;:&quot;&quot;},{&quot;family&quot;:&quot;Miller&quot;,&quot;given&quot;:&quot;Erik&quot;,&quot;parse-names&quot;:false,&quot;dropping-particle&quot;:&quot;&quot;,&quot;non-dropping-particle&quot;:&quot;&quot;}],&quot;container-title&quot;:&quot;Atmospheric Environment&quot;,&quot;container-title-short&quot;:&quot;Atmos. Environ.&quot;,&quot;ISSN&quot;:&quot;4667}4673&quot;,&quot;URL&quot;:&quot;http://uswrp.mmm.&quot;,&quot;issued&quot;:{&quot;date-parts&quot;:[[2000]]},&quot;page&quot;:&quot;4667}4673&quot;,&quot;abstract&quot;:&quot;The past two decades have seen signi\&quot;cant advances in mesoscale meteorological modeling research and applications, such as the development of sophisticated and now widely used advanced mesoscale prognostic models, large eddy simulation models, four-dimensional data assimilation, adjoint models, adaptive and targeted observational strategies, and ensemble and probabilistic forecasts. Some of these advances are now being applied to urban air quality modeling and applications. Looking forward, it is anticipated that the high-priority air quality issues for the near-to-intermediate future will likely include: (1) routine operational forecasting of adverse air quality episodes; (2) real-time high-level support to emergency response activities; and (3) quanti\&quot;cation of model uncertainty. Special attention is focused here on the quanti\&quot;cation of model uncertainty through the use of ensemble simulations. Application to emergency-response dispersion modeling is illustrated using an actual event that involved the accidental release of the toxic chemical oleum. Both surface footprints of mass concentration and the associated probability distributions at individual receptors are seen to provide valuable quantitative indicators of the range of expected concentrations and their associated uncertainty.&quot;,&quot;volume&quot;:&quot;34&quot;},&quot;isTemporary&quot;:false}]},{&quot;citationID&quot;:&quot;MENDELEY_CITATION_216cce3e-9d92-44b7-a6cb-0d4b67e2244e&quot;,&quot;properties&quot;:{&quot;noteIndex&quot;:0},&quot;isEdited&quot;:false,&quot;manualOverride&quot;:{&quot;isManuallyOverridden&quot;:false,&quot;citeprocText&quot;:&quot;(Invernizzi et al., 2025; Liu et al., 2024; Tagliaferri et al., 2024)&quot;,&quot;manualOverrideText&quot;:&quot;&quot;},&quot;citationTag&quot;:&quot;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&quot;,&quot;citationItems&quot;:[{&quot;id&quot;:&quot;79b63306-0350-3ef6-bd9d-73728232dc6f&quot;,&quot;itemData&quot;:{&quot;type&quot;:&quot;article-journal&quot;,&quot;id&quot;:&quot;79b63306-0350-3ef6-bd9d-73728232dc6f&quot;,&quot;title&quot;:&quot;Quantitative estimation of odorous emissions from heterogeneous area sources via thermal imaging drone&quot;,&quot;author&quot;:[{&quot;family&quot;:&quot;Invernizzi&quot;,&quot;given&quot;:&quot;Marzio&quot;,&quot;parse-names&quot;:false,&quot;dropping-particle&quot;:&quot;&quot;,&quot;non-dropping-particle&quot;:&quot;&quot;},{&quot;family&quot;:&quot;Tagliaferri&quot;,&quot;given&quot;:&quot;Francesca&quot;,&quot;parse-names&quot;:false,&quot;dropping-particle&quot;:&quot;&quot;,&quot;non-dropping-particle&quot;:&quot;&quot;},{&quot;family&quot;:&quot;Manganelli&quot;,&quot;given&quot;:&quot;Carlo&quot;,&quot;parse-names&quot;:false,&quot;dropping-particle&quot;:&quot;&quot;,&quot;non-dropping-particle&quot;:&quot;&quot;},{&quot;family&quot;:&quot;Sironi&quot;,&quot;given&quot;:&quot;Selena&quot;,&quot;parse-names&quot;:false,&quot;dropping-particle&quot;:&quot;&quot;,&quot;non-dropping-particle&quot;:&quot;&quot;}],&quot;container-title&quot;:&quot;Science of the Total Environment&quot;,&quot;DOI&quot;:&quot;10.1016/j.scitotenv.2025.180415&quot;,&quot;ISSN&quot;:&quot;18791026&quot;,&quot;issued&quot;:{&quot;date-parts&quot;:[[2025,10,20]]},&quot;abstract&quot;:&quot;The outdoor storage of wood chips, used in biomass thermal power plants, may lead to different diffuse gaseous emissions. These emissions can contain different molecules, often with a non-negligible odour potential. Despite this need, these solid area sources are particularly complex to be characterised, due to their very high heterogeneity determined by a complex phenomenon of self-heating. Previous studies have reported the correlation between specific odorous emission potential and surface temperature, detected via thermal camera. The present study aims to propose and explore the use of a thermal camera drone to obtain an entire thermal map for lignocellulosic storage and correlate the obtained data with specific emission rates. The field direct sampling, conducted via flux chamber, has confirmed a link between surface temperature and odorous emission for this kind of source. Moreover, the thermograms have made possible a short-cut quantitative estimation of an overall emission rate, crucial for the calculation of odour impact assessment at the receptors.&quot;,&quot;publisher&quot;:&quot;Elsevier B.V.&quot;,&quot;volume&quot;:&quot;1000&quot;,&quot;container-title-short&quot;:&quot;&quot;},&quot;isTemporary&quot;:false},{&quot;id&quot;:&quot;94a89b87-a0d9-312b-87fc-a74bf1574d62&quot;,&quot;itemData&quot;:{&quot;type&quot;:&quot;article-journal&quot;,&quot;id&quot;:&quot;94a89b87-a0d9-312b-87fc-a74bf1574d62&quot;,&quot;title&quot;:&quot;Characterization of diffuse odorous emissions from lignocellulosic biomass storage&quot;,&quot;author&quot;:[{&quot;family&quot;:&quot;Tagliaferri&quot;,&quot;given&quot;:&quot;Francesca&quot;,&quot;parse-names&quot;:false,&quot;dropping-particle&quot;:&quot;&quot;,&quot;non-dropping-particle&quot;:&quot;&quot;},{&quot;family&quot;:&quot;Panzeri&quot;,&quot;given&quot;:&quot;Filippo&quot;,&quot;parse-names&quot;:false,&quot;dropping-particle&quot;:&quot;&quot;,&quot;non-dropping-particle&quot;:&quot;&quot;},{&quot;family&quot;:&quot;Invernizzi&quot;,&quot;given&quot;:&quot;Marzio&quot;,&quot;parse-names&quot;:false,&quot;dropping-particle&quot;:&quot;&quot;,&quot;non-dropping-particle&quot;:&quot;&quot;},{&quot;family&quot;:&quot;Manganelli&quot;,&quot;given&quot;:&quot;Carlo&quot;,&quot;parse-names&quot;:false,&quot;dropping-particle&quot;:&quot;&quot;,&quot;non-dropping-particle&quot;:&quot;&quot;},{&quot;family&quot;:&quot;Sironi&quot;,&quot;given&quot;:&quot;Selena&quot;,&quot;parse-names&quot;:false,&quot;dropping-particle&quot;:&quot;&quot;,&quot;non-dropping-particle&quot;:&quot;&quot;}],&quot;container-title&quot;:&quot;Journal of the Energy Institute&quot;,&quot;DOI&quot;:&quot;10.1016/j.joei.2023.101440&quot;,&quot;ISSN&quot;:&quot;17460220&quot;,&quot;URL&quot;:&quot;https://doi.org/10.1016/j.joei.2023.101440&quot;,&quot;issued&quot;:{&quot;date-parts&quot;:[[2024]]},&quot;page&quot;:&quot;101440&quot;,&quot;abstract&quot;:&quot;The use of lignocellulosic biomass for green energy production is increasing, but the wood storage may lead to ambient odor related issues. This study aims to assess the odor potential and to investigate the mechanisms that promote odorous emissions from wood chip heaps. To achieve this goal, four experimental campaigns were conducted in an Italian thermal power plant. During these campaigns, odor concentration and chemical-physical parameters, that should theoretically affect the odor potential of biomass heaps, were investigated. The first important outcome revealed a strong heterogeneity on the heaps surface, classified as dry or smoking according to the superficial humidity and smoke. Smoking areas proved to be much more emissive and at self-ignition risk than dry regions. Indeed, odor concentration on smoking regions reached values in the order of 105 ouE/m3, significantly higher than dry region ones (102 ouE/m3). In addition, the highest values of odor concentration have been detected in the first days of storage, when fatty acids are oxidized and terpenes are released. Again, after 30 ÷ 80 days, i.e. about 20 days after the temperature peak caused by biological activity, odor concentration increases, suggesting a possible cause-effect mechanism between biological processes and odor release. Unexpectedly, odor emissions decreased during summer, reasonably due to the high ambient temperature which reduces the moisture content limiting biological activity. However, after about 100 days of storage, smoking regions extent and odor emissions can be considered negligible.&quot;,&quot;publisher&quot;:&quot;Elsevier Ltd&quot;,&quot;issue&quot;:&quot;October 2023&quot;,&quot;volume&quot;:&quot;112&quot;,&quot;container-title-short&quot;:&quot;&quot;},&quot;isTemporary&quot;:false},{&quot;id&quot;:&quot;3fdc0f75-a6a8-35d3-85f1-04ccd7c60266&quot;,&quot;itemData&quot;:{&quot;type&quot;:&quot;article-journal&quot;,&quot;id&quot;:&quot;3fdc0f75-a6a8-35d3-85f1-04ccd7c60266&quot;,&quot;title&quot;:&quot;Understanding the role of flux chamber configuration in the measurement of VOC emissions from porous media&quot;,&quot;author&quot;:[{&quot;family&quot;:&quot;Liu&quot;,&quot;given&quot;:&quot;Lisha&quot;,&quot;parse-names&quot;:false,&quot;dropping-particle&quot;:&quot;&quot;,&quot;non-dropping-particle&quot;:&quot;&quot;},{&quot;family&quot;:&quot;Prata&quot;,&quot;given&quot;:&quot;Ademir A.&quot;,&quot;parse-names&quot;:false,&quot;dropping-particle&quot;:&quot;&quot;,&quot;non-dropping-particle&quot;:&quot;&quot;},{&quot;family&quot;:&quot;Stuetz&quot;,&quot;given&quot;:&quot;Richard M.&quot;,&quot;parse-names&quot;:false,&quot;dropping-particle&quot;:&quot;&quot;,&quot;non-dropping-particle&quot;:&quot;&quot;},{&quot;family&quot;:&quot;Fisher&quot;,&quot;given&quot;:&quot;Ruth M.&quot;,&quot;parse-names&quot;:false,&quot;dropping-particle&quot;:&quot;&quot;,&quot;non-dropping-particle&quot;:&quot;&quot;}],&quot;container-title&quot;:&quot;Chemosphere&quot;,&quot;container-title-short&quot;:&quot;Chemosphere&quot;,&quot;DOI&quot;:&quot;10.1016/j.chemosphere.2024.143423&quot;,&quot;ISSN&quot;:&quot;18791298&quot;,&quot;PMID&quot;:&quot;39341393&quot;,&quot;URL&quot;:&quot;https://doi.org/10.1016/j.chemosphere.2024.143423&quot;,&quot;issued&quot;:{&quot;date-parts&quot;:[[2024]]},&quot;page&quot;:&quot;143423&quot;,&quot;abstract&quot;:&quot;The accurate quantification of volatile organic compound (VOC) emission rates from porous media to the air is a challenging problem, as measurements are affected by the chemical and physical characteristics of the porous media, and the operating parameters of the sampling device itself. The main objective of this study is to investigate how flux chamber (the most commonly used sampling device) configurations influence emission rate measurement from three selected porous media. Various parameters were studied, including sweep air flow rate, presence of a mixing fan, headspace volume and thickness of media. Controlled experiments focused on the behaviour of two VOCs commonly found in area sources: acetic acid and 1-butanol. Sweep gas flow rate emerged as the most influential factor, inducing turbulence and dilution over porous media surfaces and impacting emission rate measurements more significantly than headspace volume and fan installation. Variations in porous media properties also affected mass transfer, with emissions from coco coir showing higher mass transfer as its porosity and particle size facilitated gas transportation. While behaviour of acetic acid emission through the media supported the diffusion theory, emission of 1-butanol was affected by a combination of factors, highlighting the role of both diffusive and advective transport mechanisms. Understanding how flux chamber setups and porous media properties influence emission rates is crucial for accurately interpreting data. This knowledge also guides the design of studies, especially when investigating complex sources like biosolids and organic-amended soil.&quot;,&quot;publisher&quot;:&quot;Elsevier Ltd&quot;,&quot;issue&quot;:&quot;April&quot;,&quot;volume&quot;:&quot;366&quot;},&quot;isTemporary&quot;:false}]},{&quot;citationID&quot;:&quot;MENDELEY_CITATION_ded19db7-4709-4e9e-8d04-f0e69be6e544&quot;,&quot;properties&quot;:{&quot;noteIndex&quot;:0},&quot;isEdited&quot;:false,&quot;manualOverride&quot;:{&quot;isManuallyOverridden&quot;:true,&quot;citeprocText&quot;:&quot;(Bellasio &amp;#38; Bianconi, 2022; Invernizzi et al., 2019; Tagliaferri, Invernizzi, &amp;#38; Sironi, 2023)&quot;,&quot;manualOverrideText&quot;:&quot;(Bellasio and Bianconi, 2022; Invernizzi et al., 2019; Tagliaferri et al., 2023)&quot;},&quot;citationItems&quot;:[{&quot;id&quot;:&quot;c863a7e9-597a-3f8b-ba23-c52bedeac69d&quot;,&quot;itemData&quot;:{&quot;type&quot;:&quot;article-journal&quot;,&quot;id&quot;:&quot;c863a7e9-597a-3f8b-ba23-c52bedeac69d&quot;,&quot;title&quot;:&quot;Experimental evaluation on liquid area sources: Influence of wind velocity and temperature on the wind tunnel sampling of VOCs emissions from wastewater treatment plants&quot;,&quot;author&quot;:[{&quot;family&quot;:&quot;Tagliaferri&quot;,&quot;given&quot;:&quot;Francesca&quot;,&quot;parse-names&quot;:false,&quot;dropping-particle&quot;:&quot;&quot;,&quot;non-dropping-particle&quot;:&quot;&quot;},{&quot;family&quot;:&quot;Invernizzi&quot;,&quot;given&quot;:&quot;Marzio&quot;,&quot;parse-names&quot;:false,&quot;dropping-particle&quot;:&quot;&quot;,&quot;non-dropping-particle&quot;:&quot;&quot;},{&quot;family&quot;:&quot;Sironi&quot;,&quot;given&quot;:&quot;Selena&quot;,&quot;parse-names&quot;:false,&quot;dropping-particle&quot;:&quot;&quot;,&quot;non-dropping-particle&quot;:&quot;&quot;}],&quot;container-title&quot;:&quot;Chemosphere&quot;,&quot;container-title-short&quot;:&quot;Chemosphere&quot;,&quot;DOI&quot;:&quot;10.1016/j.chemosphere.2022.137337&quot;,&quot;ISSN&quot;:&quot;18791298&quot;,&quot;PMID&quot;:&quot;36414037&quot;,&quot;URL&quot;:&quot;https://doi.org/10.1016/j.chemosphere.2022.137337&quot;,&quot;issued&quot;:{&quot;date-parts&quot;:[[2023]]},&quot;page&quot;:&quot;137337&quot;,&quot;abstract&quot;:&quot;The investigation of Volatile Organic Compounds (VOCs) emission from wastewater basins is a challenging issue. In particular, the quantification of an accurate emission rate appears quite tricky, since the release of VOC compounds from this type of source, and the subsequent dispersion into the atmosphere, is ruled by different complex phenomena, potentially affected by a variety of external chemical and physical parameters. In this regard, the wind velocity and the liquid temperature represent variables that are worth investigating. Given this, the present paper discusses an experimental study aimed at evaluating the influence of these variables on the emission rate of VOCs (i.e. acetone, toluene and butanol) in solution with water at low concentrations (0.5 mL/L and 5 mL/L). The experimental trials are conducted using a wind tunnel system, changing the sweep air flow from 0.02 m/s to about 0.06 m/s and the liquid temperature from 20 °C to 35 °C. This study reveals that while the wind velocity seems to slightly influence the emission rate of VOCs estimated by wind tunnel sampling, the effect of the temperature appears much more significant. This behaviour is also confirmed by experimental trials conducted on real-case industrial wastewater, coming from an equalization tank. In view of this, the approach commonly applied to evaluate the influence of wind velocity (i.e. a dependence of the odour emission rate on the square root of the wind velocity) appears not fully consistent with the experimental results obtained at low concentrations by wind tunnel sampling. Also, the influence of temperature seems more pronounced in the case of butanol, in accordance with the theoretical trend of Henry constant as a function of temperature.&quot;,&quot;publisher&quot;:&quot;Elsevier Ltd&quot;,&quot;issue&quot;:&quot;P2&quot;,&quot;volume&quot;:&quot;312&quot;},&quot;isTemporary&quot;:false},{&quot;id&quot;:&quot;51fd576c-264d-3473-9193-3a9b9550f73d&quot;,&quot;itemData&quot;:{&quot;type&quot;:&quot;article-journal&quot;,&quot;id&quot;:&quot;51fd576c-264d-3473-9193-3a9b9550f73d&quot;,&quot;title&quot;:&quot;Assessment of the chemical-physical variables affecting the evaporation of organic compounds from aqueous solutions in a sampling wind tunnel&quot;,&quot;author&quot;:[{&quot;family&quot;:&quot;Invernizzi&quot;,&quot;given&quot;:&quot;M&quot;,&quot;parse-names&quot;:false,&quot;dropping-particle&quot;:&quot;&quot;,&quot;non-dropping-particle&quot;:&quot;&quot;},{&quot;family&quot;:&quot;Bellini&quot;,&quot;given&quot;:&quot;A&quot;,&quot;parse-names&quot;:false,&quot;dropping-particle&quot;:&quot;&quot;,&quot;non-dropping-particle&quot;:&quot;&quot;},{&quot;family&quot;:&quot;Miola&quot;,&quot;given&quot;:&quot;R&quot;,&quot;parse-names&quot;:false,&quot;dropping-particle&quot;:&quot;&quot;,&quot;non-dropping-particle&quot;:&quot;&quot;},{&quot;family&quot;:&quot;Capelli&quot;,&quot;given&quot;:&quot;L&quot;,&quot;parse-names&quot;:false,&quot;dropping-particle&quot;:&quot;&quot;,&quot;non-dropping-particle&quot;:&quot;&quot;},{&quot;family&quot;:&quot;Busini&quot;,&quot;given&quot;:&quot;V&quot;,&quot;parse-names&quot;:false,&quot;dropping-particle&quot;:&quot;&quot;,&quot;non-dropping-particle&quot;:&quot;&quot;},{&quot;family&quot;:&quot;Sironi&quot;,&quot;given&quot;:&quot;S&quot;,&quot;parse-names&quot;:false,&quot;dropping-particle&quot;:&quot;&quot;,&quot;non-dropping-particle&quot;:&quot;&quot;}],&quot;container-title&quot;:&quot;Chemosphere&quot;,&quot;container-title-short&quot;:&quot;Chemosphere&quot;,&quot;DOI&quot;:&quot;10.1016/j.chemosphere.2018.12.124&quot;,&quot;ISSN&quot;:&quot;18791298&quot;,&quot;issued&quot;:{&quot;date-parts&quot;:[[2019]]},&quot;abstract&quot;:&quot;© 2018 Elsevier Ltd The aim of this work is the evaluation and the analysis of the different chemical-physical variables that affect the emission of volatile organic compounds (VOC) and odours from passive liquid area sources inside a wind tunnel, which is typically used for emission sampling. Three different compounds (acetone, butanol and ethanol), having different volatilization properties (e.g., boiling point, solubility), were studied in solution with water at different concentrations. The following physical parameters affecting the VOC volatilization in the Wind Tunnel system were evaluated: the velocity of the air flowing through the device, in a range from 0.01 to about 0.05 m/s, and the temperature of both the liquid source and the sweep air flow, in a range from 12 °C to 42 °C. The experimental results were compared with the existing volatilization models available in literature. In most cases the proposed theoretical model predicts well the experimentally measured concentration. Some discrepancies were observed for lower velocities and also by moving from the room temperature (20 °C); and those were discussed by making some considerations about the volatilization phenomenon. Moreover, the study clearly shows that it is not the gas phase temperature that controls the emission, but the temperature of the liquid phase, due to the effect of the latter on the vapour pressure of the compound, which is the main driving force of the phenomenon.&quot;,&quot;volume&quot;:&quot;220&quot;},&quot;isTemporary&quot;:false},{&quot;id&quot;:&quot;0a14a1a7-8099-3e5d-9db2-462ba89544a1&quot;,&quot;itemData&quot;:{&quot;type&quot;:&quot;article-journal&quot;,&quot;id&quot;:&quot;0a14a1a7-8099-3e5d-9db2-462ba89544a1&quot;,&quot;title&quot;:&quot;A Heuristic Method for Modeling Odor Emissions from Open Roof Rectangular Tanks&quot;,&quot;author&quot;:[{&quot;family&quot;:&quot;Bellasio&quot;,&quot;given&quot;:&quot;Roberto&quot;,&quot;parse-names&quot;:false,&quot;dropping-particle&quot;:&quot;&quot;,&quot;non-dropping-particle&quot;:&quot;&quot;},{&quot;family&quot;:&quot;Bianconi&quot;,&quot;given&quot;:&quot;Roberto&quot;,&quot;parse-names&quot;:false,&quot;dropping-particle&quot;:&quot;&quot;,&quot;non-dropping-particle&quot;:&quot;&quot;}],&quot;container-title&quot;:&quot;Atmosphere&quot;,&quot;container-title-short&quot;:&quot;Atmosphere (Basel).&quot;,&quot;DOI&quot;:&quot;10.3390/atmos13030367&quot;,&quot;ISSN&quot;:&quot;20734433&quot;,&quot;issued&quot;:{&quot;date-parts&quot;:[[2022]]},&quot;page&quot;:&quot;1-28&quot;,&quot;abstract&quot;:&quot;This paper presents heuristic equations for estimating odor emissions from open-roof rectangular tanks as a function of the tank orientation, wind direction, wind speed and distance of the emitting surface from the tank top. These types of equations are important because they may help to improve emission calculations to avoid overestimations, which are damaging to the plant owner, and underestimations, which are negative for the population around the plant. Odor emissions were determined for four tanks with the same area, different shape factors and two different orientations and then used as inputs for a dispersion model in order to calculate separation distances and evaluate their differences. The results show that different separation distances were obtained depending on the tank orientation, shape factor and level of filling. Future field applications to verify and improve the proposed equations are desirable. If the effect of the tank orientation on odor emission is proven, the design of future industrial plants containing open-roof rectangular tanks should consider the results of detailed wind data analysis.&quot;,&quot;issue&quot;:&quot;3&quot;,&quot;volume&quot;:&quot;13&quot;},&quot;isTemporary&quot;:false}],&quot;citationTag&quot;:&quot;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&quot;},{&quot;citationID&quot;:&quot;MENDELEY_CITATION_2c9969bf-bbba-4d22-9c9e-137e9b1b6052&quot;,&quot;properties&quot;:{&quot;noteIndex&quot;:0},&quot;isEdited&quot;:false,&quot;manualOverride&quot;:{&quot;isManuallyOverridden&quot;:true,&quot;citeprocText&quot;:&quot;(Carrera et al., 2025; Martins et al., 2018; D. Parker et al., 2013; D. B. Parker et al., 2009)&quot;,&quot;manualOverrideText&quot;:&quot;(Carrera et al., 2025; Parker et al., 2013; Parker et al., 2009).&quot;},&quot;citationTag&quot;:&quot;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&quot;,&quot;citationItems&quot;:[{&quot;id&quot;:&quot;41dea39b-9b3e-3285-9aed-c304b8234623&quot;,&quot;itemData&quot;:{&quot;type&quot;:&quot;article-journal&quot;,&quot;id&quot;:&quot;41dea39b-9b3e-3285-9aed-c304b8234623&quot;,&quot;title&quot;:&quot;Standardization of flux chamber and wind tunnel flux measurements for quantifying volatile organic compound and ammonia emissions from area sources at animal feeding operations&quot;,&quot;author&quot;:[{&quot;family&quot;:&quot;Parker&quot;,&quot;given&quot;:&quot;David&quot;,&quot;parse-names&quot;:false,&quot;dropping-particle&quot;:&quot;&quot;,&quot;non-dropping-particle&quot;:&quot;&quot;},{&quot;family&quot;:&quot;Ham&quot;,&quot;given&quot;:&quot;Jay&quot;,&quot;parse-names&quot;:false,&quot;dropping-particle&quot;:&quot;&quot;,&quot;non-dropping-particle&quot;:&quot;&quot;},{&quot;family&quot;:&quot;Woodbury&quot;,&quot;given&quot;:&quot;Bryan&quot;,&quot;parse-names&quot;:false,&quot;dropping-particle&quot;:&quot;&quot;,&quot;non-dropping-particle&quot;:&quot;&quot;},{&quot;family&quot;:&quot;Cai&quot;,&quot;given&quot;:&quot;Lingshuang&quot;,&quot;parse-names&quot;:false,&quot;dropping-particle&quot;:&quot;&quot;,&quot;non-dropping-particle&quot;:&quot;&quot;},{&quot;family&quot;:&quot;Spiehs&quot;,&quot;given&quot;:&quot;Mindy&quot;,&quot;parse-names&quot;:false,&quot;dropping-particle&quot;:&quot;&quot;,&quot;non-dropping-particle&quot;:&quot;&quot;},{&quot;family&quot;:&quot;Rhoades&quot;,&quot;given&quot;:&quot;Marty&quot;,&quot;parse-names&quot;:false,&quot;dropping-particle&quot;:&quot;&quot;,&quot;non-dropping-particle&quot;:&quot;&quot;},{&quot;family&quot;:&quot;Trabue&quot;,&quot;given&quot;:&quot;Steve&quot;,&quot;parse-names&quot;:false,&quot;dropping-particle&quot;:&quot;&quot;,&quot;non-dropping-particle&quot;:&quot;&quot;},{&quot;family&quot;:&quot;Casey&quot;,&quot;given&quot;:&quot;Ken&quot;,&quot;parse-names&quot;:false,&quot;dropping-particle&quot;:&quot;&quot;,&quot;non-dropping-particle&quot;:&quot;&quot;},{&quot;family&quot;:&quot;Todd&quot;,&quot;given&quot;:&quot;Rick&quot;,&quot;parse-names&quot;:false,&quot;dropping-particle&quot;:&quot;&quot;,&quot;non-dropping-particle&quot;:&quot;&quot;},{&quot;family&quot;:&quot;Cole&quot;,&quot;given&quot;:&quot;Andy&quot;,&quot;parse-names&quot;:false,&quot;dropping-particle&quot;:&quot;&quot;,&quot;non-dropping-particle&quot;:&quot;&quot;}],&quot;container-title&quot;:&quot;Atmospheric Environment&quot;,&quot;container-title-short&quot;:&quot;Atmos. Environ.&quot;,&quot;DOI&quot;:&quot;10.1016/j.atmosenv.2012.03.068&quot;,&quot;ISSN&quot;:&quot;13522310&quot;,&quot;URL&quot;:&quot;http://dx.doi.org/10.1016/j.atmosenv.2012.03.068&quot;,&quot;issued&quot;:{&quot;date-parts&quot;:[[2013]]},&quot;page&quot;:&quot;72-83&quot;,&quot;abstract&quot;:&quot;A variety of portable wind tunnels and flux chambers have been used to measure fluxes of volatile organic compounds (VOC) and ammonia (NH3) at animal feeding operations (AFO). However, there has been little regard to the extreme variation and potential inaccuracies caused by air velocity or sweep air flow rates that are either too low or too high to simulate field conditions. There is a need for correction factors to standardize flux chamber and wind tunnel measurements. In this manuscript, we present results of water evaporative flux and VOC flux measurements with the EPA flux chamber and a small wind tunnel. In the EPA flux chamber, water evaporative flux was positively correlated with sweep air flow rate (SAFR) between 1 and 20 L min-1 (r2 = 0.981-0.999) and negatively correlated with sweep air relative humidity between 0 and 80% (r2 = 0.982-0.992). Emissions of gas-film controlled compounds like NH3 and VOC at AFOs were positively correlated with evaporation rates between 0.6 and 2.8 mm d-1. We demonstrate a simple methodology for standardizing and comparing different chamber types by measuring water evaporation within the chamber using a gravimetric mass balance approach under controlled laboratory conditions. A water evaporative flux ratio correction factor (EFRCF) was used to improve the accuracy of field-measured VOC and NH3 chamber flux measurements. In a field study, both the EPA flux chamber (SAFR = 5 L min-1) and small wind tunnel (SAFR = 1 L min-1) underestimated the true field emissions of VOC, with EFRCFs of 2.42 and 3.84, respectively. EFRCFs are recommended for all but the driest of soil and manure conditions. © 2012.&quot;,&quot;publisher&quot;:&quot;Elsevier Ltd&quot;,&quot;volume&quot;:&quot;66&quot;},&quot;isTemporary&quot;:false},{&quot;id&quot;:&quot;04fdebb9-a03b-3843-b8c7-20264bb615bc&quot;,&quot;itemData&quot;:{&quot;type&quot;:&quot;article-journal&quot;,&quot;id&quot;:&quot;04fdebb9-a03b-3843-b8c7-20264bb615bc&quot;,&quot;title&quot;:&quot;Evaluating the flow inside of portable wind tunnels for odour measurements&quot;,&quot;author&quot;:[{&quot;family&quot;:&quot;Martins&quot;,&quot;given&quot;:&quot;Ramon S.&quot;,&quot;parse-names&quot;:false,&quot;dropping-particle&quot;:&quot;&quot;,&quot;non-dropping-particle&quot;:&quot;&quot;},{&quot;family&quot;:&quot;Siqueira&quot;,&quot;given&quot;:&quot;Matheus A.&quot;,&quot;parse-names&quot;:false,&quot;dropping-particle&quot;:&quot;&quot;,&quot;non-dropping-particle&quot;:&quot;&quot;},{&quot;family&quot;:&quot;Toniato&quot;,&quot;given&quot;:&quot;Izabele V.F.&quot;,&quot;parse-names&quot;:false,&quot;dropping-particle&quot;:&quot;&quot;,&quot;non-dropping-particle&quot;:&quot;&quot;},{&quot;family&quot;:&quot;Cupertino&quot;,&quot;given&quot;:&quot;Kamila F.&quot;,&quot;parse-names&quot;:false,&quot;dropping-particle&quot;:&quot;&quot;,&quot;non-dropping-particle&quot;:&quot;&quot;},{&quot;family&quot;:&quot;Prata&quot;,&quot;given&quot;:&quot;Ademir A.&quot;,&quot;parse-names&quot;:false,&quot;dropping-particle&quot;:&quot;&quot;,&quot;non-dropping-particle&quot;:&quot;&quot;},{&quot;family&quot;:&quot;Reis&quot;,&quot;given&quot;:&quot;Neyval C.&quot;,&quot;parse-names&quot;:false,&quot;dropping-particle&quot;:&quot;&quot;,&quot;non-dropping-particle&quot;:&quot;&quot;},{&quot;family&quot;:&quot;Stuetz&quot;,&quot;given&quot;:&quot;Richard M.&quot;,&quot;parse-names&quot;:false,&quot;dropping-particle&quot;:&quot;&quot;,&quot;non-dropping-particle&quot;:&quot;&quot;},{&quot;family&quot;:&quot;Santos&quot;,&quot;given&quot;:&quot;Jane M.&quot;,&quot;parse-names&quot;:false,&quot;dropping-particle&quot;:&quot;&quot;,&quot;non-dropping-particle&quot;:&quot;&quot;}],&quot;container-title&quot;:&quot;Chemical Engineering Transactions&quot;,&quot;container-title-short&quot;:&quot;Chem. Eng. Trans.&quot;,&quot;DOI&quot;:&quot;10.3303/CET1868010&quot;,&quot;ISBN&quot;:&quot;9788895608655&quot;,&quot;ISSN&quot;:&quot;22839216&quot;,&quot;issued&quot;:{&quot;date-parts&quot;:[[2018]]},&quot;page&quot;:&quot;55-60&quot;,&quot;abstract&quot;:&quot;The portable wind tunnel is one of the devices used to estimate the emission rate of odours from area sources. It has been conceived to provide better representation of the atmospheric boundary layer than the other device largely used for this purpose, namely the dynamic flux chamber. Ideally, the flow profile inside the wind tunnel would be close to a fully developed turbulent boundary layer, leading to better predictions of emission rates. However, its aerodynamic performance is still cause of discussion and clearly motivates further investigation. In the present paper, we use computational fluid dynamics to evaluate the flow inside of a portable wind tunnel and to discuss the necessary changes in geometrical configuration to reach the expected behaviour for such a device. The flow inside the main section of the device - where the incoming air comes in contact with the emitting surface - showed to be quite complex and not as well-behaved as expected. We propose and test other configurations for the device, aiming a scenario closer to the atmospheric boundary layer from an aerodynamic perspective. The alternatives considered include changes in the inlet section of the portable wind tunnel and present reasonable improvements for the velocity distribution, suggesting that small geometry modifications can lead to better aerodynamics.&quot;,&quot;volume&quot;:&quot;68&quot;},&quot;isTemporary&quot;:false},{&quot;id&quot;:&quot;1f401349-6e78-39c6-a027-b3a104c9a07a&quot;,&quot;itemData&quot;:{&quot;type&quot;:&quot;article-journal&quot;,&quot;id&quot;:&quot;1f401349-6e78-39c6-a027-b3a104c9a07a&quot;,&quot;title&quot;:&quot;A comparative study of wind tunnel and flux chamber for diffuse emission sampling: Experimental evaluation and theoretical approach&quot;,&quot;author&quot;:[{&quot;family&quot;:&quot;Carrera&quot;,&quot;given&quot;:&quot;Luca&quot;,&quot;parse-names&quot;:false,&quot;dropping-particle&quot;:&quot;&quot;,&quot;non-dropping-particle&quot;:&quot;&quot;},{&quot;family&quot;:&quot;Tagliaferri&quot;,&quot;given&quot;:&quot;Francesca&quot;,&quot;parse-names&quot;:false,&quot;dropping-particle&quot;:&quot;&quot;,&quot;non-dropping-particle&quot;:&quot;&quot;},{&quot;family&quot;:&quot;Albertini&quot;,&quot;given&quot;:&quot;Anna&quot;,&quot;parse-names&quot;:false,&quot;dropping-particle&quot;:&quot;&quot;,&quot;non-dropping-particle&quot;:&quot;&quot;},{&quot;family&quot;:&quot;Sironi&quot;,&quot;given&quot;:&quot;Selena&quot;,&quot;parse-names&quot;:false,&quot;dropping-particle&quot;:&quot;&quot;,&quot;non-dropping-particle&quot;:&quot;&quot;},{&quot;family&quot;:&quot;Invernizzi&quot;,&quot;given&quot;:&quot;Marzio&quot;,&quot;parse-names&quot;:false,&quot;dropping-particle&quot;:&quot;&quot;,&quot;non-dropping-particle&quot;:&quot;&quot;}],&quot;container-title&quot;:&quot;Chemosphere&quot;,&quot;container-title-short&quot;:&quot;Chemosphere&quot;,&quot;DOI&quot;:&quot;10.1016/j.chemosphere.2025.144242&quot;,&quot;ISSN&quot;:&quot;18791298&quot;,&quot;PMID&quot;:&quot;40010053&quot;,&quot;issued&quot;:{&quot;date-parts&quot;:[[2025,4,1]]},&quot;abstract&quot;:&quot;One of the most complex challenges in the field of industrial odour emissions is the characterization of passive area sources, which emit contaminants even if not endowed with their own gas flow. Two primary sampling devices have been developed for this scope: Wind Tunnel (WT), with a unidirectional airflow without vertical mixing, and Flux Chamber (FC), with a turbulent well-mixed flow. Essentially, two are the debated issues about the sampling instrumentation. The first concerns which device is more suitable for accurately describing the real fluid dynamic behaviour at the liquid-gas interface. The second issue involves the extent to which the emission rates, estimated by the two sampling systems, differ. This study addresses these debates providing experimental data on the real atmospheric motion near liquid surfaces, aiding the choice between WT and FC. Field tests reveal that atmospheric conditions can make the fluid dynamics similar to either WT or FC, with the general scenario showing an intermediate wind behavior. Thus, it is not possible to a priori determine the most suitable device. Concerning the second issue, this research presents an experimental comparison of VOCs (Volatile Organic Compounds) emission rates between a recently developed WT and a US-EPA design FC. These trials indicate that for soluble compounds, WT and FC yield comparable results. However, for gas-phase controlled species (low-solubility VOCs), WT tends to overestimate emissions compared to FC, with the ratio of specific emission rates ranging from 2 to 4.5. The developed theoretical mass transfer model aligns well with observed values, except for toluene due to its non-ideal mixture with water.&quot;,&quot;publisher&quot;:&quot;Elsevier Ltd&quot;,&quot;volume&quot;:&quot;375&quot;},&quot;isTemporary&quot;:false},{&quot;id&quot;:&quot;4bb2575f-bd9d-35cc-8f19-e8c666b6b2b2&quot;,&quot;itemData&quot;:{&quot;type&quot;:&quot;paper-conference&quot;,&quot;id&quot;:&quot;4bb2575f-bd9d-35cc-8f19-e8c666b6b2b2&quot;,&quot;title&quot;:&quot;Wind tunnels vs. flux chambers: area source emission measurements and the necessity for VOC and odour correction factors&quot;,&quot;author&quot;:[{&quot;family&quot;:&quot;Parker&quot;,&quot;given&quot;:&quot;David B&quot;,&quot;parse-names&quot;:false,&quot;dropping-particle&quot;:&quot;&quot;,&quot;non-dropping-particle&quot;:&quot;&quot;},{&quot;family&quot;:&quot;Cole&quot;,&quot;given&quot;:&quot;N Andy&quot;,&quot;parse-names&quot;:false,&quot;dropping-particle&quot;:&quot;&quot;,&quot;non-dropping-particle&quot;:&quot;&quot;},{&quot;family&quot;:&quot;Casey&quot;,&quot;given&quot;:&quot;Kenneth D&quot;,&quot;parse-names&quot;:false,&quot;dropping-particle&quot;:&quot;&quot;,&quot;non-dropping-particle&quot;:&quot;&quot;},{&quot;family&quot;:&quot;Galvin&quot;,&quot;given&quot;:&quot;Geordie&quot;,&quot;parse-names&quot;:false,&quot;dropping-particle&quot;:&quot;&quot;,&quot;non-dropping-particle&quot;:&quot;&quot;},{&quot;family&quot;:&quot;Ormerod&quot;,&quot;given&quot;:&quot;Robin&quot;,&quot;parse-names&quot;:false,&quot;dropping-particle&quot;:&quot;&quot;,&quot;non-dropping-particle&quot;:&quot;&quot;},{&quot;family&quot;:&quot;Paris&quot;,&quot;given&quot;:&quot;Colt S&quot;,&quot;parse-names&quot;:false,&quot;dropping-particle&quot;:&quot;&quot;,&quot;non-dropping-particle&quot;:&quot;&quot;},{&quot;family&quot;:&quot;Caraway&quot;,&quot;given&quot;:&quot;Edward A&quot;,&quot;parse-names&quot;:false,&quot;dropping-particle&quot;:&quot;&quot;,&quot;non-dropping-particle&quot;:&quot;&quot;},{&quot;family&quot;:&quot;Rhoades&quot;,&quot;given&quot;:&quot;Marty B&quot;,&quot;parse-names&quot;:false,&quot;dropping-particle&quot;:&quot;&quot;,&quot;non-dropping-particle&quot;:&quot;&quot;}],&quot;issued&quot;:{&quot;date-parts&quot;:[[2009,9,6]]},&quot;publisher-place&quot;:&quot;Perth, Australia&quot;,&quot;abstract&quot;:&quot;Wind tunnels and flux chambers have been used to measure fluxes of volatile organic compounds (VOC), odour, and ammonia (NH 3) with little regard to air velocity or sweep air flow rates. As a result, flux measurements have been highly variable and scientists have been in disagreement as to the better methodology. Over five years we have conducted a multitude of laboratory and field experiments to compare flux measurements at varying sweep air flow rates with a variety of chamber configurations including the 'USEPA' flux chamber, modified USEPA flux chamber, NCSU flux chamber, UNSW wind tunnel, and WTAMU mini wind tunnel. Flux of gas-film limited compounds increased with increasing airflow rate in all chamber configurations. Through mass balance studies, we have learned that chamber methods most often underestimate the true flux for gas-film limited compounds. Emissions of compounds commonly found at feedlots are positively correlated with measured evaporation rates. We show that wind speed and temperature adjustments corresponding to equivalent field evaporation rates are a justified method for making flux corrections to those gas-film limited compounds responsible for odour at feedlots. Post-measurement corrections show promise to correct chamber measurements to real-world emissions.&quot;},&quot;isTemporary&quot;:false}]},{&quot;citationID&quot;:&quot;MENDELEY_CITATION_c0b9876a-0e38-4216-a845-ca84309d75e3&quot;,&quot;properties&quot;:{&quot;noteIndex&quot;:0},&quot;isEdited&quot;:false,&quot;manualOverride&quot;:{&quot;isManuallyOverridden&quot;:true,&quot;citeprocText&quot;:&quot;(Bénassy &amp;#38; Bilinska, 2008; Tagliaferri, Invernizzi, Capra, et al., 2023)&quot;,&quot;manualOverrideText&quot;:&quot;(Bénassy and Bilinska, 2008; Tagliaferri et al., 2023)&quot;},&quot;citationTag&quot;:&quot;MENDELEY_CITATION_v3_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&quot;,&quot;citationItems&quot;:[{&quot;id&quot;:&quot;5856b0da-f0aa-3864-ab34-7df57e220c3d&quot;,&quot;itemData&quot;:{&quot;type&quot;:&quot;article-journal&quot;,&quot;id&quot;:&quot;5856b0da-f0aa-3864-ab34-7df57e220c3d&quot;,&quot;title&quot;:&quot;Validation study of WindTrax reverse dispersion model coupled with a sensitivity analysis of model-specific settings&quot;,&quot;author&quot;:[{&quot;family&quot;:&quot;Tagliaferri&quot;,&quot;given&quot;:&quot;Francesca&quot;,&quot;parse-names&quot;:false,&quot;dropping-particle&quot;:&quot;&quot;,&quot;non-dropping-particle&quot;:&quot;&quot;},{&quot;family&quot;:&quot;Invernizzi&quot;,&quot;given&quot;:&quot;Marzio&quot;,&quot;parse-names&quot;:false,&quot;dropping-particle&quot;:&quot;&quot;,&quot;non-dropping-particle&quot;:&quot;&quot;},{&quot;family&quot;:&quot;Capra&quot;,&quot;given&quot;:&quot;Federica&quot;,&quot;parse-names&quot;:false,&quot;dropping-particle&quot;:&quot;&quot;,&quot;non-dropping-particle&quot;:&quot;&quot;},{&quot;family&quot;:&quot;Sironi&quot;,&quot;given&quot;:&quot;Selena&quot;,&quot;parse-names&quot;:false,&quot;dropping-particle&quot;:&quot;&quot;,&quot;non-dropping-particle&quot;:&quot;&quot;}],&quot;container-title&quot;:&quot;Environmental Research&quot;,&quot;container-title-short&quot;:&quot;Environ. Res.&quot;,&quot;DOI&quot;:&quot;10.1016/j.envres.2023.115401&quot;,&quot;ISSN&quot;:&quot;10960953&quot;,&quot;PMID&quot;:&quot;36731598&quot;,&quot;URL&quot;:&quot;https://doi.org/10.1016/j.envres.2023.115401&quot;,&quot;issued&quot;:{&quot;date-parts&quot;:[[2023]]},&quot;page&quot;:&quot;115401&quot;,&quot;abstract&quot;:&quot;In last years, atmospheric dispersion models have reached considerable popularity in environmental research field. In this regard, given the difficulties associated to the estimation of emission rate for some kind of sources, and due to the importance of this parameter for the reliability of the results, Backward dispersion models may represent promising tools. In particular, by knowing a measured downwind concentration in ambient air, they provide a numerical value for the emission rate. This paper discusses a critical validation of the WindTrax Backward model: the investigation does not only deal with the strict reliability of the model but also assesses under which conditions (i.e. stability class, number, and location of the sensors) the model shows the greatest accuracy. For this purpose, WindTrax results have been compared to observed values obtained from available experimental datasets. In addition, a sensitivity study regarding model-specific parameters required by WindTrax to replicate the physics and the random nature of atmospheric dispersion processes is discussed. This is a crucial point, since, for these settings, indications on the numerical values to be adopted are not available. From this study, it turns out that the investigated model specific settings do not lead to a significant output variation. Concerning the validation study, a general tendency of the model to predict the observed values with a good level of accuracy has been observed, especially under neutral atmospheric conditions. In addition, it seems that WindTrax underestimates the emission rate during unstable stratification and overestimates during stable conditions. Finally, by the definition of alternative scenarios, in which only a portion of the concentration sensors was considered, WindTrax performance appears better than acceptable even with a small number of concentration sensors, as long as the positioning is in the middle of the plume and not in the strict vicinity of the source.&quot;,&quot;publisher&quot;:&quot;Elsevier Inc.&quot;,&quot;issue&quot;:&quot;January&quot;,&quot;volume&quot;:&quot;222&quot;},&quot;isTemporary&quot;:false},{&quot;id&quot;:&quot;4c7c7561-2662-3a68-b10b-3da91d839f38&quot;,&quot;itemData&quot;:{&quot;type&quot;:&quot;report&quot;,&quot;id&quot;:&quot;4c7c7561-2662-3a68-b10b-3da91d839f38&quot;,&quot;title&quot;:&quot;Optical methods for remote measurement of diffuse VOCs: their role in the quantification of annual refinery emissions Prepared by the CONCAWE Air Quality Management Group's Special Task Force on remote measurement of VOCs (AQ/STF-72)&quot;,&quot;author&quot;:[{&quot;family&quot;:&quot;Bénassy&quot;,&quot;given&quot;:&quot;M-F&quot;,&quot;parse-names&quot;:false,&quot;dropping-particle&quot;:&quot;&quot;,&quot;non-dropping-particle&quot;:&quot;&quot;},{&quot;family&quot;:&quot;Bilinska&quot;,&quot;given&quot;:&quot;K&quot;,&quot;parse-names&quot;:false,&quot;dropping-particle&quot;:&quot;&quot;,&quot;non-dropping-particle&quot;:&quot;&quot;}],&quot;URL&quot;:&quot;www.concawe.org&quot;,&quot;issued&quot;:{&quot;date-parts&quot;:[[2008]]},&quot;container-title-short&quot;:&quot;&quot;},&quot;isTemporary&quot;:false}]},{&quot;citationID&quot;:&quot;MENDELEY_CITATION_8991bcb0-a166-444e-ac71-cc461f7a91c2&quot;,&quot;properties&quot;:{&quot;noteIndex&quot;:0},&quot;isEdited&quot;:false,&quot;manualOverride&quot;:{&quot;isManuallyOverridden&quot;:false,&quot;citeprocText&quot;:&quot;(Brutsaert, 1975; Prata et al., 2018)&quot;,&quot;manualOverrideText&quot;:&quot;&quot;},&quot;citationTag&quot;:&quot;MENDELEY_CITATION_v3_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&quot;,&quot;citationItems&quot;:[{&quot;id&quot;:&quot;42016731-6d2d-3e7e-b377-c336b3b2994f&quot;,&quot;itemData&quot;:{&quot;type&quot;:&quot;report&quot;,&quot;id&quot;:&quot;42016731-6d2d-3e7e-b377-c336b3b2994f&quot;,&quot;title&quot;:&quot;A Theory for Local Evaporation (or Heat Transfer) From Rough and Smooth Surfaces at Ground Level&quot;,&quot;author&quot;:[{&quot;family&quot;:&quot;Brutsaert&quot;,&quot;given&quot;:&quot;Wilfried&quot;,&quot;parse-names&quot;:false,&quot;dropping-particle&quot;:&quot;&quot;,&quot;non-dropping-particle&quot;:&quot;&quot;}],&quot;issued&quot;:{&quot;date-parts&quot;:[[1975]]},&quot;abstract&quot;:&quot;A model proposed earlier (Brut•aert, 1965) for evaporation as a molecular diffusion process into a turbulent atmosphere is extended by joining it with the similarity models for turbulent transfer in the surface sublayer. The assumed mechanisms were suggested by available flow visualization studies near smooth and rough walls; the theoretical result is in good agreement with available experimental evidence. The important dimensionless parameters governing the phenomenon near the surface are the Dalton (or Stanton) number (i.e., mass transfer coefficient), the drag coefficient (u,2/U•), the roughness Reynolds number (U,Zo/V) (except for smooth surfaces), and the Schmidt (or Prandtl) number (v/K). The proposed formulation allows the evaluation of the effects of some parameters, such as surface roughness or molecular diffusivity, that were hitherto not well understood. An important practical result is that in contrast to the drag coefficient, the Dalton number is relatively insensitive to changes in roughness length z0.&quot;,&quot;volume&quot;:&quot;11&quot;,&quot;container-title-short&quot;:&quot;&quot;},&quot;isTemporary&quot;:false},{&quot;id&quot;:&quot;3df75879-f4a2-309f-a80c-5ea07b641187&quot;,&quot;itemData&quot;:{&quot;type&quot;:&quot;article-journal&quot;,&quot;id&quot;:&quot;3df75879-f4a2-309f-a80c-5ea07b641187&quot;,&quot;title&quot;:&quot;A critical review on liquid-gas mass transfer models for estimating gaseous emissions from passive liquid surfaces in wastewater treatment plants&quot;,&quot;author&quot;:[{&quot;family&quot;:&quot;Prata&quot;,&quot;given&quot;:&quot;Ademir A.&quot;,&quot;parse-names&quot;:false,&quot;dropping-particle&quot;:&quot;&quot;,&quot;non-dropping-particle&quot;:&quot;&quot;},{&quot;family&quot;:&quot;Santos&quot;,&quot;given&quot;:&quot;Jane M.&quot;,&quot;parse-names&quot;:false,&quot;dropping-particle&quot;:&quot;&quot;,&quot;non-dropping-particle&quot;:&quot;&quot;},{&quot;family&quot;:&quot;Timchenko&quot;,&quot;given&quot;:&quot;Victoria&quot;,&quot;parse-names&quot;:false,&quot;dropping-particle&quot;:&quot;&quot;,&quot;non-dropping-particle&quot;:&quot;&quot;},{&quot;family&quot;:&quot;Stuetz&quot;,&quot;given&quot;:&quot;Richard M.&quot;,&quot;parse-names&quot;:false,&quot;dropping-particle&quot;:&quot;&quot;,&quot;non-dropping-particle&quot;:&quot;&quot;}],&quot;container-title&quot;:&quot;Water Research&quot;,&quot;container-title-short&quot;:&quot;Water Res.&quot;,&quot;DOI&quot;:&quot;10.1016/j.watres.2017.12.001&quot;,&quot;ISSN&quot;:&quot;18792448&quot;,&quot;PMID&quot;:&quot;29258050&quot;,&quot;URL&quot;:&quot;https://doi.org/10.1016/j.watres.2017.12.001&quot;,&quot;issued&quot;:{&quot;date-parts&quot;:[[2018]]},&quot;page&quot;:&quot;388-406&quot;,&quot;abstract&quot;:&quot;Emission models are useful tools for the study and management of atmospheric emissions from passive liquid surfaces in wastewater treatment plants (WWTPs), which are potential sources of odour nuisance and other environmental impacts. In this work, different theoretical and empirical models for the gas-side (kG) and liquid-side (kL) mass transfer coefficients in passive surfaces in WWTPs were critically reviewed and evaluated against experimental data. Wind forcing and the development of the wind-wave field, especially the occurrence of microscale wave breaking, were identified as the most important physical factors affecting mass transfer in these situations. Two approaches performed well in describing the available data for kG for water vapour. One is an empirical correlation whilst the other consists of theoretical models based on the description of the inner part of the turbulent boundary layer over a smooth flat plate. We also fit to the experimental data set a new, alternate equation for kG, whose performance was comparable to existing ones. However, these three approaches do not agree with each other in the whole range of Schmidt numbers typical for compounds found in emissions from WWTPs. As to kL, no model was able to satisfactorily explain the behaviour and the scatter observed in the whole experimental data set. Excluding two suspected biased sources, the WATER9 (US EPA, 1994. Air Emission Models for Waste and Wastewater. North Carolina, USA. EPA-453/R-94–080A) approach produced the best results among the most commonly used kL models, although still with considerably high relative errors. For this same sub-set, we propose a new, alternate approach for estimating kL, which resulted in improved performance, particularly for longer fetches. Two main gaps were found in the literature, the understanding of the evolution of the mass transfer boundary layer over liquid surfaces, and the behaviour of kL for larger fetches, especially in the range from 40 to 60 m.&quot;,&quot;publisher&quot;:&quot;Elsevier Ltd&quot;,&quot;volume&quot;:&quot;130&quot;},&quot;isTemporary&quot;:false}]},{&quot;citationID&quot;:&quot;MENDELEY_CITATION_ee7c89f6-d160-4a69-8eaf-665cad199aea&quot;,&quot;properties&quot;:{&quot;noteIndex&quot;:0},&quot;isEdited&quot;:false,&quot;manualOverride&quot;:{&quot;isManuallyOverridden&quot;:true,&quot;citeprocText&quot;:&quot;(Prata et al., 2018)&quot;,&quot;manualOverrideText&quot;:&quot;Prata et al. (2018)&quot;},&quot;citationTag&quot;:&quot;MENDELEY_CITATION_v3_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&quot;,&quot;citationItems&quot;:[{&quot;id&quot;:&quot;3df75879-f4a2-309f-a80c-5ea07b641187&quot;,&quot;itemData&quot;:{&quot;type&quot;:&quot;article-journal&quot;,&quot;id&quot;:&quot;3df75879-f4a2-309f-a80c-5ea07b641187&quot;,&quot;title&quot;:&quot;A critical review on liquid-gas mass transfer models for estimating gaseous emissions from passive liquid surfaces in wastewater treatment plants&quot;,&quot;author&quot;:[{&quot;family&quot;:&quot;Prata&quot;,&quot;given&quot;:&quot;Ademir A.&quot;,&quot;parse-names&quot;:false,&quot;dropping-particle&quot;:&quot;&quot;,&quot;non-dropping-particle&quot;:&quot;&quot;},{&quot;family&quot;:&quot;Santos&quot;,&quot;given&quot;:&quot;Jane M.&quot;,&quot;parse-names&quot;:false,&quot;dropping-particle&quot;:&quot;&quot;,&quot;non-dropping-particle&quot;:&quot;&quot;},{&quot;family&quot;:&quot;Timchenko&quot;,&quot;given&quot;:&quot;Victoria&quot;,&quot;parse-names&quot;:false,&quot;dropping-particle&quot;:&quot;&quot;,&quot;non-dropping-particle&quot;:&quot;&quot;},{&quot;family&quot;:&quot;Stuetz&quot;,&quot;given&quot;:&quot;Richard M.&quot;,&quot;parse-names&quot;:false,&quot;dropping-particle&quot;:&quot;&quot;,&quot;non-dropping-particle&quot;:&quot;&quot;}],&quot;container-title&quot;:&quot;Water Research&quot;,&quot;container-title-short&quot;:&quot;Water Res.&quot;,&quot;DOI&quot;:&quot;10.1016/j.watres.2017.12.001&quot;,&quot;ISSN&quot;:&quot;18792448&quot;,&quot;PMID&quot;:&quot;29258050&quot;,&quot;URL&quot;:&quot;https://doi.org/10.1016/j.watres.2017.12.001&quot;,&quot;issued&quot;:{&quot;date-parts&quot;:[[2018]]},&quot;page&quot;:&quot;388-406&quot;,&quot;abstract&quot;:&quot;Emission models are useful tools for the study and management of atmospheric emissions from passive liquid surfaces in wastewater treatment plants (WWTPs), which are potential sources of odour nuisance and other environmental impacts. In this work, different theoretical and empirical models for the gas-side (kG) and liquid-side (kL) mass transfer coefficients in passive surfaces in WWTPs were critically reviewed and evaluated against experimental data. Wind forcing and the development of the wind-wave field, especially the occurrence of microscale wave breaking, were identified as the most important physical factors affecting mass transfer in these situations. Two approaches performed well in describing the available data for kG for water vapour. One is an empirical correlation whilst the other consists of theoretical models based on the description of the inner part of the turbulent boundary layer over a smooth flat plate. We also fit to the experimental data set a new, alternate equation for kG, whose performance was comparable to existing ones. However, these three approaches do not agree with each other in the whole range of Schmidt numbers typical for compounds found in emissions from WWTPs. As to kL, no model was able to satisfactorily explain the behaviour and the scatter observed in the whole experimental data set. Excluding two suspected biased sources, the WATER9 (US EPA, 1994. Air Emission Models for Waste and Wastewater. North Carolina, USA. EPA-453/R-94–080A) approach produced the best results among the most commonly used kL models, although still with considerably high relative errors. For this same sub-set, we propose a new, alternate approach for estimating kL, which resulted in improved performance, particularly for longer fetches. Two main gaps were found in the literature, the understanding of the evolution of the mass transfer boundary layer over liquid surfaces, and the behaviour of kL for larger fetches, especially in the range from 40 to 60 m.&quot;,&quot;publisher&quot;:&quot;Elsevier Ltd&quot;,&quot;volume&quot;:&quot;130&quot;},&quot;isTemporary&quot;:false}]},{&quot;citationID&quot;:&quot;MENDELEY_CITATION_b2117585-fb19-4260-94f3-7f6ea6dd4f62&quot;,&quot;properties&quot;:{&quot;noteIndex&quot;:0},&quot;isEdited&quot;:false,&quot;manualOverride&quot;:{&quot;isManuallyOverridden&quot;:true,&quot;citeprocText&quot;:&quot;(Macias et al., 2025)&quot;,&quot;manualOverrideText&quot;:&quot;Macias et al. (2025)&quot;},&quot;citationTag&quot;:&quot;MENDELEY_CITATION_v3_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&quot;,&quot;citationItems&quot;:[{&quot;id&quot;:&quot;6977035b-eadb-3f79-aedd-91708f0cab44&quot;,&quot;itemData&quot;:{&quot;type&quot;:&quot;article-journal&quot;,&quot;id&quot;:&quot;6977035b-eadb-3f79-aedd-91708f0cab44&quot;,&quot;title&quot;:&quot;Development of an analytical model for contaminant emission rates from passive cavities: CFD-based assessment and application to wastewater facilities&quot;,&quot;author&quot;:[{&quot;family&quot;:&quot;Macias&quot;,&quot;given&quot;:&quot;Aina&quot;,&quot;parse-names&quot;:false,&quot;dropping-particle&quot;:&quot;&quot;,&quot;non-dropping-particle&quot;:&quot;&quot;},{&quot;family&quot;:&quot;Monrós-Andreu&quot;,&quot;given&quot;:&quot;Guillem&quot;,&quot;parse-names&quot;:false,&quot;dropping-particle&quot;:&quot;&quot;,&quot;non-dropping-particle&quot;:&quot;&quot;},{&quot;family&quot;:&quot;Tagliaferri&quot;,&quot;given&quot;:&quot;Francesca&quot;,&quot;parse-names&quot;:false,&quot;dropping-particle&quot;:&quot;&quot;,&quot;non-dropping-particle&quot;:&quot;&quot;},{&quot;family&quot;:&quot;Invernizzi&quot;,&quot;given&quot;:&quot;Marzio&quot;,&quot;parse-names&quot;:false,&quot;dropping-particle&quot;:&quot;&quot;,&quot;non-dropping-particle&quot;:&quot;&quot;},{&quot;family&quot;:&quot;Sironi&quot;,&quot;given&quot;:&quot;Selena&quot;,&quot;parse-names&quot;:false,&quot;dropping-particle&quot;:&quot;&quot;,&quot;non-dropping-particle&quot;:&quot;&quot;},{&quot;family&quot;:&quot;Martínez-Cuenca&quot;,&quot;given&quot;:&quot;Raúl&quot;,&quot;parse-names&quot;:false,&quot;dropping-particle&quot;:&quot;&quot;,&quot;non-dropping-particle&quot;:&quot;&quot;},{&quot;family&quot;:&quot;Chiva&quot;,&quot;given&quot;:&quot;Sergio&quot;,&quot;parse-names&quot;:false,&quot;dropping-particle&quot;:&quot;&quot;,&quot;non-dropping-particle&quot;:&quot;&quot;}],&quot;container-title&quot;:&quot;Results in Engineering&quot;,&quot;DOI&quot;:&quot;10.1016/j.rineng.2025.107705&quot;,&quot;ISSN&quot;:&quot;25901230&quot;,&quot;issued&quot;:{&quot;date-parts&quot;:[[2025,12,1]]},&quot;abstract&quot;:&quot;Odour emissions from open tanks in wastewater treatment plants (WWTPs) are difficult to quantify in real facilities because long-term atmospheric variability, heterogeneous geometries, fluctuations in wastewater composition, and site constraints hinder the creation of reliable measurement datasets, leaving dispersion models without defensible source terms. To address this gap, we generated a large synthetic database with two-dimensional computational fluid dynamics (CFD) using a Reynolds-averaged turbulence model across representative WWTP geometries and wind conditions. Based on the CFD results, an analytical correlation for the emission rate ( ER ) was developed for the closed and open regimes, directly linking ER to the Reynolds number and cavity geometry aspect ratio. The proposed correlation reproduces the CFD database with RMSE = 4.99·10⁻⁵ mol/s, and R² = 0.932; a mesh-independence check indicates mesh-induced uncertainty below 1 % for the emission metric, supporting numerical robustness. Validation focused on the flow physics: simulated velocity fields were compared with published laboratory benchmarks for cavity-type flows, confirming the mean recirculation structures that control emission; direct emission measurements for passive tanks were not available, so emission magnitudes were checked for order-of-magnitude consistency against standard mass-transfer analogies. The approach assumes a simplified two-dimensional, neutrally stratified flow and may be less accurate where strong three-dimensionality, unsteadiness, or buoyancy effects dominate; targeted case studies considering more advanced modeling approaches and field measurements are identified as next steps to extend applicability to complex sites. However, the proposed expression provides a practical, fast source-term input for odour dispersion studies of passive WWTP sources within the calibrated range, enabling screening, sensitivity analysis, comprehensive odour impact assessments and integration into plant-scale modeling without case-by-case coefficient tuning.&quot;,&quot;publisher&quot;:&quot;Elsevier B.V.&quot;,&quot;volume&quot;:&quot;28&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Pages>
  <Words>3799</Words>
  <Characters>21660</Characters>
  <Application>Microsoft Office Word</Application>
  <DocSecurity>0</DocSecurity>
  <Lines>180</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Francesca Tagliaferri</cp:lastModifiedBy>
  <cp:revision>12</cp:revision>
  <cp:lastPrinted>2024-05-17T09:02:00Z</cp:lastPrinted>
  <dcterms:created xsi:type="dcterms:W3CDTF">2026-05-11T13:26:00Z</dcterms:created>
  <dcterms:modified xsi:type="dcterms:W3CDTF">2026-05-13T07:23:00Z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http://www.zotero.org/styles/chemosphere</vt:lpwstr>
  </property>
  <property fmtid="{D5CDD505-2E9C-101B-9397-08002B2CF9AE}" pid="11" name="Mendeley Recent Style Name 3_1">
    <vt:lpwstr>Chemosphere</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acd72c11-866e-3d23-ba63-12cd6437ed14</vt:lpwstr>
  </property>
  <property fmtid="{D5CDD505-2E9C-101B-9397-08002B2CF9AE}" pid="26" name="Mendeley Citation Style_1">
    <vt:lpwstr>http://www.zotero.org/styles/chemosphere</vt:lpwstr>
  </property>
  <property fmtid="{D5CDD505-2E9C-101B-9397-08002B2CF9AE}" pid="27" name="GrammarlyDocumentId">
    <vt:lpwstr>0be4c261749b9753608d9f4efca3fcbe9be122be1e9533799b2508d41248bc53</vt:lpwstr>
  </property>
</Properties>
</file>