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405395" w14:paraId="2A131A54" w14:textId="77777777" w:rsidTr="00D5522D">
        <w:trPr>
          <w:trHeight w:val="852"/>
          <w:jc w:val="center"/>
        </w:trPr>
        <w:tc>
          <w:tcPr>
            <w:tcW w:w="6940" w:type="dxa"/>
            <w:vMerge w:val="restart"/>
            <w:tcBorders>
              <w:right w:val="single" w:sz="4" w:space="0" w:color="auto"/>
            </w:tcBorders>
          </w:tcPr>
          <w:p w14:paraId="38C3D2BA" w14:textId="77777777" w:rsidR="000A03B2" w:rsidRPr="00405395" w:rsidRDefault="000A03B2" w:rsidP="001B64DE">
            <w:pPr>
              <w:tabs>
                <w:tab w:val="left" w:pos="-108"/>
              </w:tabs>
              <w:jc w:val="left"/>
              <w:rPr>
                <w:rFonts w:cs="Arial"/>
                <w:b/>
                <w:bCs/>
                <w:i/>
                <w:iCs/>
                <w:color w:val="000066"/>
                <w:sz w:val="12"/>
                <w:szCs w:val="12"/>
                <w:lang w:eastAsia="it-IT"/>
              </w:rPr>
            </w:pPr>
            <w:r w:rsidRPr="00405395">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405395">
              <w:rPr>
                <w:rFonts w:ascii="AdvP6960" w:hAnsi="AdvP6960" w:cs="AdvP6960"/>
                <w:color w:val="241F20"/>
                <w:szCs w:val="18"/>
                <w:lang w:eastAsia="it-IT"/>
              </w:rPr>
              <w:t xml:space="preserve"> </w:t>
            </w:r>
            <w:r w:rsidRPr="00405395">
              <w:rPr>
                <w:rFonts w:cs="Arial"/>
                <w:b/>
                <w:bCs/>
                <w:i/>
                <w:iCs/>
                <w:color w:val="000066"/>
                <w:sz w:val="24"/>
                <w:szCs w:val="24"/>
                <w:lang w:eastAsia="it-IT"/>
              </w:rPr>
              <w:t>CHEMICAL ENGINEERING</w:t>
            </w:r>
            <w:r w:rsidRPr="00405395">
              <w:rPr>
                <w:rFonts w:cs="Arial"/>
                <w:b/>
                <w:bCs/>
                <w:i/>
                <w:iCs/>
                <w:color w:val="0033FF"/>
                <w:sz w:val="24"/>
                <w:szCs w:val="24"/>
                <w:lang w:eastAsia="it-IT"/>
              </w:rPr>
              <w:t xml:space="preserve"> </w:t>
            </w:r>
            <w:r w:rsidRPr="00405395">
              <w:rPr>
                <w:rFonts w:cs="Arial"/>
                <w:b/>
                <w:bCs/>
                <w:i/>
                <w:iCs/>
                <w:color w:val="666666"/>
                <w:sz w:val="24"/>
                <w:szCs w:val="24"/>
                <w:lang w:eastAsia="it-IT"/>
              </w:rPr>
              <w:t>TRANSACTIONS</w:t>
            </w:r>
            <w:r w:rsidRPr="00405395">
              <w:rPr>
                <w:color w:val="333333"/>
                <w:sz w:val="24"/>
                <w:szCs w:val="24"/>
                <w:lang w:eastAsia="it-IT"/>
              </w:rPr>
              <w:t xml:space="preserve"> </w:t>
            </w:r>
            <w:r w:rsidRPr="00405395">
              <w:rPr>
                <w:rFonts w:cs="Arial"/>
                <w:b/>
                <w:bCs/>
                <w:i/>
                <w:iCs/>
                <w:color w:val="000066"/>
                <w:sz w:val="27"/>
                <w:szCs w:val="27"/>
                <w:lang w:eastAsia="it-IT"/>
              </w:rPr>
              <w:br/>
            </w:r>
          </w:p>
          <w:p w14:paraId="4B780582" w14:textId="4625AB41" w:rsidR="000A03B2" w:rsidRPr="00405395" w:rsidRDefault="00A76EFC" w:rsidP="001D21AF">
            <w:pPr>
              <w:tabs>
                <w:tab w:val="left" w:pos="-108"/>
              </w:tabs>
              <w:ind w:left="-108"/>
              <w:rPr>
                <w:rFonts w:cs="Arial"/>
                <w:b/>
                <w:bCs/>
                <w:i/>
                <w:iCs/>
                <w:color w:val="000066"/>
                <w:sz w:val="22"/>
                <w:szCs w:val="22"/>
                <w:lang w:eastAsia="it-IT"/>
              </w:rPr>
            </w:pPr>
            <w:r w:rsidRPr="00405395">
              <w:rPr>
                <w:rFonts w:cs="Arial"/>
                <w:b/>
                <w:bCs/>
                <w:i/>
                <w:iCs/>
                <w:color w:val="000066"/>
                <w:sz w:val="22"/>
                <w:szCs w:val="22"/>
                <w:lang w:eastAsia="it-IT"/>
              </w:rPr>
              <w:t xml:space="preserve">VOL. </w:t>
            </w:r>
            <w:r w:rsidR="001B64DE" w:rsidRPr="000D74A3">
              <w:rPr>
                <w:rFonts w:cs="Arial"/>
                <w:b/>
                <w:bCs/>
                <w:i/>
                <w:iCs/>
                <w:color w:val="000066"/>
                <w:sz w:val="22"/>
                <w:szCs w:val="22"/>
                <w:lang w:eastAsia="it-IT"/>
              </w:rPr>
              <w:t>xxx, 202</w:t>
            </w:r>
            <w:r w:rsidR="00D5522D">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405395" w:rsidRDefault="000A03B2" w:rsidP="00CD5FE2">
            <w:pPr>
              <w:spacing w:line="140" w:lineRule="atLeast"/>
              <w:jc w:val="right"/>
              <w:rPr>
                <w:rFonts w:cs="Arial"/>
                <w:sz w:val="14"/>
                <w:szCs w:val="14"/>
              </w:rPr>
            </w:pPr>
            <w:r w:rsidRPr="00405395">
              <w:rPr>
                <w:rFonts w:cs="Arial"/>
                <w:sz w:val="14"/>
                <w:szCs w:val="14"/>
              </w:rPr>
              <w:t>A publication of</w:t>
            </w:r>
          </w:p>
          <w:p w14:paraId="599E5441" w14:textId="77777777" w:rsidR="000A03B2" w:rsidRPr="00405395" w:rsidRDefault="000A03B2" w:rsidP="00CD5FE2">
            <w:pPr>
              <w:jc w:val="right"/>
            </w:pPr>
            <w:r w:rsidRPr="00405395">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405395" w14:paraId="380FA3CD" w14:textId="77777777" w:rsidTr="00D5522D">
        <w:trPr>
          <w:trHeight w:val="567"/>
          <w:jc w:val="center"/>
        </w:trPr>
        <w:tc>
          <w:tcPr>
            <w:tcW w:w="6940" w:type="dxa"/>
            <w:vMerge/>
            <w:tcBorders>
              <w:right w:val="single" w:sz="4" w:space="0" w:color="auto"/>
            </w:tcBorders>
          </w:tcPr>
          <w:p w14:paraId="39E5E4C1" w14:textId="77777777" w:rsidR="000A03B2" w:rsidRPr="00405395"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405395" w:rsidRDefault="000A03B2" w:rsidP="00CD5FE2">
            <w:pPr>
              <w:spacing w:line="140" w:lineRule="atLeast"/>
              <w:jc w:val="right"/>
              <w:rPr>
                <w:rFonts w:cs="Arial"/>
                <w:sz w:val="14"/>
                <w:szCs w:val="14"/>
              </w:rPr>
            </w:pPr>
            <w:r w:rsidRPr="00405395">
              <w:rPr>
                <w:rFonts w:cs="Arial"/>
                <w:sz w:val="14"/>
                <w:szCs w:val="14"/>
              </w:rPr>
              <w:t>The Italian Association</w:t>
            </w:r>
          </w:p>
          <w:p w14:paraId="7522B1D2" w14:textId="77777777" w:rsidR="000A03B2" w:rsidRPr="00405395" w:rsidRDefault="000A03B2" w:rsidP="00CD5FE2">
            <w:pPr>
              <w:spacing w:line="140" w:lineRule="atLeast"/>
              <w:jc w:val="right"/>
              <w:rPr>
                <w:rFonts w:cs="Arial"/>
                <w:sz w:val="14"/>
                <w:szCs w:val="14"/>
              </w:rPr>
            </w:pPr>
            <w:r w:rsidRPr="00405395">
              <w:rPr>
                <w:rFonts w:cs="Arial"/>
                <w:sz w:val="14"/>
                <w:szCs w:val="14"/>
              </w:rPr>
              <w:t>of Chemical Engineering</w:t>
            </w:r>
          </w:p>
          <w:p w14:paraId="4F0CC5DE" w14:textId="47FDB2FC" w:rsidR="000A03B2" w:rsidRPr="00405395" w:rsidRDefault="000D0268" w:rsidP="00CD5FE2">
            <w:pPr>
              <w:spacing w:line="140" w:lineRule="atLeast"/>
              <w:jc w:val="right"/>
              <w:rPr>
                <w:rFonts w:cs="Arial"/>
                <w:sz w:val="13"/>
                <w:szCs w:val="13"/>
              </w:rPr>
            </w:pPr>
            <w:r w:rsidRPr="00405395">
              <w:rPr>
                <w:rFonts w:cs="Arial"/>
                <w:sz w:val="13"/>
                <w:szCs w:val="13"/>
              </w:rPr>
              <w:t>Online at www.cetjournal.it</w:t>
            </w:r>
          </w:p>
        </w:tc>
      </w:tr>
      <w:tr w:rsidR="000A03B2" w:rsidRPr="00405395" w14:paraId="2D1B7169" w14:textId="77777777" w:rsidTr="00D5522D">
        <w:trPr>
          <w:trHeight w:val="68"/>
          <w:jc w:val="center"/>
        </w:trPr>
        <w:tc>
          <w:tcPr>
            <w:tcW w:w="8782" w:type="dxa"/>
            <w:gridSpan w:val="2"/>
          </w:tcPr>
          <w:p w14:paraId="4B0BB442" w14:textId="1EC8AE73" w:rsidR="00300E56" w:rsidRPr="00E6330D" w:rsidRDefault="00300E56" w:rsidP="00B57E6F">
            <w:pPr>
              <w:ind w:left="-107"/>
              <w:outlineLvl w:val="2"/>
              <w:rPr>
                <w:rFonts w:ascii="Tahoma" w:hAnsi="Tahoma" w:cs="Tahoma"/>
                <w:bCs/>
                <w:color w:val="000000"/>
                <w:sz w:val="14"/>
                <w:szCs w:val="14"/>
                <w:lang w:val="it-IT" w:eastAsia="it-IT"/>
              </w:rPr>
            </w:pPr>
            <w:r w:rsidRPr="00E6330D">
              <w:rPr>
                <w:rFonts w:ascii="Tahoma" w:hAnsi="Tahoma" w:cs="Tahoma"/>
                <w:iCs/>
                <w:color w:val="333333"/>
                <w:sz w:val="14"/>
                <w:szCs w:val="14"/>
                <w:lang w:val="it-IT" w:eastAsia="it-IT"/>
              </w:rPr>
              <w:t>Guest Editors:</w:t>
            </w:r>
            <w:r w:rsidR="001D21AF" w:rsidRPr="00E6330D">
              <w:rPr>
                <w:rFonts w:ascii="Tahoma" w:hAnsi="Tahoma" w:cs="Tahoma"/>
                <w:color w:val="000000"/>
                <w:sz w:val="14"/>
                <w:szCs w:val="14"/>
                <w:shd w:val="clear" w:color="auto" w:fill="FFFFFF"/>
                <w:lang w:val="it-IT"/>
              </w:rPr>
              <w:t xml:space="preserve"> </w:t>
            </w:r>
            <w:r w:rsidR="00323C5F" w:rsidRPr="00E6330D">
              <w:rPr>
                <w:sz w:val="14"/>
                <w:szCs w:val="14"/>
                <w:lang w:val="it-IT"/>
              </w:rPr>
              <w:t>Selena Sironi, Laura Capelli</w:t>
            </w:r>
          </w:p>
          <w:p w14:paraId="1B0F1814" w14:textId="1C3DE831" w:rsidR="000A03B2" w:rsidRPr="00405395" w:rsidRDefault="00FA5F5F" w:rsidP="001D21AF">
            <w:pPr>
              <w:tabs>
                <w:tab w:val="left" w:pos="-108"/>
              </w:tabs>
              <w:spacing w:line="140" w:lineRule="atLeast"/>
              <w:ind w:left="-107"/>
              <w:jc w:val="left"/>
            </w:pPr>
            <w:r w:rsidRPr="00405395">
              <w:rPr>
                <w:rFonts w:ascii="Tahoma" w:hAnsi="Tahoma" w:cs="Tahoma"/>
                <w:iCs/>
                <w:color w:val="333333"/>
                <w:sz w:val="14"/>
                <w:szCs w:val="14"/>
                <w:lang w:eastAsia="it-IT"/>
              </w:rPr>
              <w:t>Copyright © 20</w:t>
            </w:r>
            <w:r w:rsidR="00DF5072" w:rsidRPr="00405395">
              <w:rPr>
                <w:rFonts w:ascii="Tahoma" w:hAnsi="Tahoma" w:cs="Tahoma"/>
                <w:iCs/>
                <w:color w:val="333333"/>
                <w:sz w:val="14"/>
                <w:szCs w:val="14"/>
                <w:lang w:eastAsia="it-IT"/>
              </w:rPr>
              <w:t>2</w:t>
            </w:r>
            <w:r w:rsidR="00E72EAD" w:rsidRPr="00405395">
              <w:rPr>
                <w:rFonts w:ascii="Tahoma" w:hAnsi="Tahoma" w:cs="Tahoma"/>
                <w:iCs/>
                <w:color w:val="333333"/>
                <w:sz w:val="14"/>
                <w:szCs w:val="14"/>
                <w:lang w:eastAsia="it-IT"/>
              </w:rPr>
              <w:t>2</w:t>
            </w:r>
            <w:r w:rsidR="00904C62" w:rsidRPr="00405395">
              <w:rPr>
                <w:rFonts w:ascii="Tahoma" w:hAnsi="Tahoma" w:cs="Tahoma"/>
                <w:iCs/>
                <w:color w:val="333333"/>
                <w:sz w:val="14"/>
                <w:szCs w:val="14"/>
                <w:lang w:eastAsia="it-IT"/>
              </w:rPr>
              <w:t>, AIDIC Servizi S.r.l.</w:t>
            </w:r>
            <w:r w:rsidR="00300E56" w:rsidRPr="00405395">
              <w:rPr>
                <w:rFonts w:ascii="Tahoma" w:hAnsi="Tahoma" w:cs="Tahoma"/>
                <w:iCs/>
                <w:color w:val="333333"/>
                <w:sz w:val="14"/>
                <w:szCs w:val="14"/>
                <w:lang w:eastAsia="it-IT"/>
              </w:rPr>
              <w:br/>
            </w:r>
            <w:r w:rsidR="00300E56" w:rsidRPr="00405395">
              <w:rPr>
                <w:rFonts w:ascii="Tahoma" w:hAnsi="Tahoma" w:cs="Tahoma"/>
                <w:b/>
                <w:iCs/>
                <w:color w:val="000000"/>
                <w:sz w:val="14"/>
                <w:szCs w:val="14"/>
                <w:lang w:eastAsia="it-IT"/>
              </w:rPr>
              <w:t>ISBN</w:t>
            </w:r>
            <w:r w:rsidR="00300E56" w:rsidRPr="00405395">
              <w:rPr>
                <w:rFonts w:ascii="Tahoma" w:hAnsi="Tahoma" w:cs="Tahoma"/>
                <w:iCs/>
                <w:color w:val="000000"/>
                <w:sz w:val="14"/>
                <w:szCs w:val="14"/>
                <w:lang w:eastAsia="it-IT"/>
              </w:rPr>
              <w:t xml:space="preserve"> </w:t>
            </w:r>
            <w:r w:rsidR="008D32B9" w:rsidRPr="00405395">
              <w:rPr>
                <w:rFonts w:ascii="Tahoma" w:hAnsi="Tahoma" w:cs="Tahoma"/>
                <w:sz w:val="14"/>
                <w:szCs w:val="14"/>
              </w:rPr>
              <w:t>978-88-95608</w:t>
            </w:r>
            <w:r w:rsidR="00D46B7E" w:rsidRPr="00405395">
              <w:rPr>
                <w:rFonts w:ascii="Tahoma" w:hAnsi="Tahoma" w:cs="Tahoma"/>
                <w:sz w:val="14"/>
                <w:szCs w:val="14"/>
              </w:rPr>
              <w:t>-</w:t>
            </w:r>
            <w:r w:rsidR="001D21AF" w:rsidRPr="00405395">
              <w:rPr>
                <w:rFonts w:ascii="Tahoma" w:hAnsi="Tahoma" w:cs="Tahoma"/>
                <w:sz w:val="14"/>
                <w:szCs w:val="14"/>
              </w:rPr>
              <w:t>9</w:t>
            </w:r>
            <w:r w:rsidR="00323C5F" w:rsidRPr="00405395">
              <w:rPr>
                <w:rFonts w:ascii="Tahoma" w:hAnsi="Tahoma" w:cs="Tahoma"/>
                <w:sz w:val="14"/>
                <w:szCs w:val="14"/>
              </w:rPr>
              <w:t>4</w:t>
            </w:r>
            <w:r w:rsidR="00D46B7E" w:rsidRPr="00405395">
              <w:rPr>
                <w:rFonts w:ascii="Tahoma" w:hAnsi="Tahoma" w:cs="Tahoma"/>
                <w:sz w:val="14"/>
                <w:szCs w:val="14"/>
              </w:rPr>
              <w:t>-</w:t>
            </w:r>
            <w:r w:rsidR="00323C5F" w:rsidRPr="00405395">
              <w:rPr>
                <w:rFonts w:ascii="Tahoma" w:hAnsi="Tahoma" w:cs="Tahoma"/>
                <w:sz w:val="14"/>
                <w:szCs w:val="14"/>
              </w:rPr>
              <w:t>5</w:t>
            </w:r>
            <w:r w:rsidR="007B48F9" w:rsidRPr="00405395">
              <w:rPr>
                <w:rFonts w:ascii="Tahoma" w:hAnsi="Tahoma" w:cs="Tahoma"/>
                <w:iCs/>
                <w:color w:val="333333"/>
                <w:sz w:val="14"/>
                <w:szCs w:val="14"/>
                <w:lang w:eastAsia="it-IT"/>
              </w:rPr>
              <w:t>;</w:t>
            </w:r>
            <w:r w:rsidR="00300E56" w:rsidRPr="00405395">
              <w:rPr>
                <w:rFonts w:ascii="Tahoma" w:hAnsi="Tahoma" w:cs="Tahoma"/>
                <w:iCs/>
                <w:color w:val="333333"/>
                <w:sz w:val="14"/>
                <w:szCs w:val="14"/>
                <w:lang w:eastAsia="it-IT"/>
              </w:rPr>
              <w:t xml:space="preserve"> </w:t>
            </w:r>
            <w:r w:rsidR="00300E56" w:rsidRPr="00405395">
              <w:rPr>
                <w:rFonts w:ascii="Tahoma" w:hAnsi="Tahoma" w:cs="Tahoma"/>
                <w:b/>
                <w:iCs/>
                <w:color w:val="333333"/>
                <w:sz w:val="14"/>
                <w:szCs w:val="14"/>
                <w:lang w:eastAsia="it-IT"/>
              </w:rPr>
              <w:t>ISSN</w:t>
            </w:r>
            <w:r w:rsidR="00300E56" w:rsidRPr="00405395">
              <w:rPr>
                <w:rFonts w:ascii="Tahoma" w:hAnsi="Tahoma" w:cs="Tahoma"/>
                <w:iCs/>
                <w:color w:val="333333"/>
                <w:sz w:val="14"/>
                <w:szCs w:val="14"/>
                <w:lang w:eastAsia="it-IT"/>
              </w:rPr>
              <w:t xml:space="preserve"> 2283-9216</w:t>
            </w:r>
          </w:p>
        </w:tc>
      </w:tr>
    </w:tbl>
    <w:p w14:paraId="48663A04" w14:textId="77777777" w:rsidR="00D5522D" w:rsidRDefault="00D5522D" w:rsidP="00101282">
      <w:pPr>
        <w:pStyle w:val="CETAuthors"/>
        <w:spacing w:before="480"/>
        <w:jc w:val="center"/>
        <w:rPr>
          <w:noProof w:val="0"/>
          <w:sz w:val="32"/>
        </w:rPr>
      </w:pPr>
      <w:r w:rsidRPr="00D5522D">
        <w:rPr>
          <w:noProof w:val="0"/>
          <w:sz w:val="32"/>
        </w:rPr>
        <w:t>Refined assessment of odorous emissions from crude oil storage tanks: a case-study</w:t>
      </w:r>
    </w:p>
    <w:p w14:paraId="7F44AA42" w14:textId="732AB4C7" w:rsidR="00D5522D" w:rsidRPr="00E6330D" w:rsidRDefault="00783B5F" w:rsidP="00D5522D">
      <w:pPr>
        <w:pStyle w:val="CETAuthors"/>
        <w:rPr>
          <w:lang w:val="it-IT"/>
        </w:rPr>
      </w:pPr>
      <w:r w:rsidRPr="00E6330D">
        <w:rPr>
          <w:lang w:val="it-IT"/>
        </w:rPr>
        <w:t>Francesca Tagliaferri*, Marzio Invernizzi</w:t>
      </w:r>
    </w:p>
    <w:p w14:paraId="7758B96F" w14:textId="5EC9D030" w:rsidR="00783B5F" w:rsidRPr="00E6330D" w:rsidRDefault="00783B5F" w:rsidP="00D5522D">
      <w:pPr>
        <w:pStyle w:val="CETAuthors"/>
        <w:rPr>
          <w:sz w:val="16"/>
          <w:lang w:val="it-IT"/>
        </w:rPr>
      </w:pPr>
      <w:r w:rsidRPr="00E6330D">
        <w:rPr>
          <w:sz w:val="16"/>
          <w:lang w:val="it-IT"/>
        </w:rPr>
        <w:t>Politecnico di Milano, Department of Chemistry, Materials and Chemical Engineering “Giulio Natta”</w:t>
      </w:r>
      <w:r w:rsidR="00866DCE" w:rsidRPr="00E6330D">
        <w:rPr>
          <w:sz w:val="16"/>
          <w:lang w:val="it-IT"/>
        </w:rPr>
        <w:t xml:space="preserve"> - </w:t>
      </w:r>
      <w:r w:rsidRPr="00E6330D">
        <w:rPr>
          <w:sz w:val="16"/>
          <w:lang w:val="it-IT"/>
        </w:rPr>
        <w:t>Piazza Leonardo da Vinci 32, 20133 Milano, Italy</w:t>
      </w:r>
    </w:p>
    <w:p w14:paraId="44C4CDEF" w14:textId="77777777" w:rsidR="001B64DE" w:rsidRPr="00E6330D" w:rsidRDefault="001B64DE" w:rsidP="00783B5F">
      <w:pPr>
        <w:rPr>
          <w:noProof/>
          <w:sz w:val="16"/>
          <w:lang w:val="it-IT"/>
        </w:rPr>
      </w:pPr>
    </w:p>
    <w:p w14:paraId="7949BB56" w14:textId="120FD433" w:rsidR="001B64DE" w:rsidRPr="00E6330D" w:rsidRDefault="001B64DE" w:rsidP="001B64DE">
      <w:pPr>
        <w:rPr>
          <w:lang w:val="it-IT"/>
        </w:rPr>
      </w:pPr>
      <w:r w:rsidRPr="00E6330D">
        <w:rPr>
          <w:lang w:val="it-IT"/>
        </w:rPr>
        <w:t xml:space="preserve">*Corresponding author: Francesca Tagliaferri, </w:t>
      </w:r>
      <w:hyperlink r:id="rId10" w:history="1">
        <w:r w:rsidRPr="00E6330D">
          <w:rPr>
            <w:rStyle w:val="Collegamentoipertestuale"/>
            <w:color w:val="auto"/>
            <w:lang w:val="it-IT"/>
          </w:rPr>
          <w:t>francesca.tagliaferri @polimi.it</w:t>
        </w:r>
      </w:hyperlink>
      <w:r w:rsidRPr="00E6330D">
        <w:rPr>
          <w:u w:val="single"/>
          <w:lang w:val="it-IT"/>
        </w:rPr>
        <w:t>;</w:t>
      </w:r>
      <w:r w:rsidRPr="00E6330D">
        <w:rPr>
          <w:lang w:val="it-IT"/>
        </w:rPr>
        <w:t xml:space="preserve"> +39 02 2399 3149</w:t>
      </w:r>
    </w:p>
    <w:p w14:paraId="064663B7" w14:textId="77777777" w:rsidR="001B64DE" w:rsidRPr="00E6330D" w:rsidRDefault="001B64DE" w:rsidP="001B64DE">
      <w:pPr>
        <w:rPr>
          <w:noProof/>
          <w:sz w:val="16"/>
          <w:lang w:val="it-IT"/>
        </w:rPr>
      </w:pPr>
    </w:p>
    <w:p w14:paraId="08E8FCC4" w14:textId="374BF7D7" w:rsidR="00D36C8A" w:rsidRPr="00D5522D" w:rsidRDefault="009C0694" w:rsidP="00D5522D">
      <w:pPr>
        <w:pStyle w:val="CETemail"/>
        <w:jc w:val="both"/>
        <w:rPr>
          <w:rFonts w:cs="Arial"/>
          <w:sz w:val="18"/>
          <w:szCs w:val="18"/>
        </w:rPr>
      </w:pPr>
      <w:r w:rsidRPr="009C0694">
        <w:rPr>
          <w:rFonts w:cs="Arial"/>
          <w:sz w:val="18"/>
          <w:szCs w:val="18"/>
        </w:rPr>
        <w:t xml:space="preserve">Odorous emissions are increasingly recognized as a critical environmental issue due to their pronounced influence on public perception and quality of life. Among the various sources, crude oil storage facilities are frequently associated with odour nuisance, while their emission characterization remains inherently complex. External floating-roof storage tanks (EFRT), in particular, are characterized by exclusively diffuse emissions, which </w:t>
      </w:r>
      <w:r w:rsidR="00E6330D">
        <w:rPr>
          <w:rFonts w:cs="Arial"/>
          <w:sz w:val="18"/>
          <w:szCs w:val="18"/>
        </w:rPr>
        <w:t>limit</w:t>
      </w:r>
      <w:r w:rsidR="00E6330D" w:rsidRPr="009C0694">
        <w:rPr>
          <w:rFonts w:cs="Arial"/>
          <w:sz w:val="18"/>
          <w:szCs w:val="18"/>
        </w:rPr>
        <w:t xml:space="preserve"> </w:t>
      </w:r>
      <w:r w:rsidRPr="009C0694">
        <w:rPr>
          <w:rFonts w:cs="Arial"/>
          <w:sz w:val="18"/>
          <w:szCs w:val="18"/>
        </w:rPr>
        <w:t xml:space="preserve">direct on-site sampling and require the application of indirect methodologies for the estimation of the odour emission flux. Additional complexity arises from the operational variability of these systems, as different crude oils—each exhibiting distinct and highly variable odour characteristics—may be stored within the same tank over the course of a year. Moreover, </w:t>
      </w:r>
      <w:r w:rsidR="00E6330D">
        <w:rPr>
          <w:rFonts w:cs="Arial"/>
          <w:sz w:val="18"/>
          <w:szCs w:val="18"/>
        </w:rPr>
        <w:t>V</w:t>
      </w:r>
      <w:r w:rsidRPr="009C0694">
        <w:rPr>
          <w:rFonts w:cs="Arial"/>
          <w:sz w:val="18"/>
          <w:szCs w:val="18"/>
        </w:rPr>
        <w:t xml:space="preserve">olatile </w:t>
      </w:r>
      <w:r w:rsidR="00E6330D">
        <w:rPr>
          <w:rFonts w:cs="Arial"/>
          <w:sz w:val="18"/>
          <w:szCs w:val="18"/>
        </w:rPr>
        <w:t>O</w:t>
      </w:r>
      <w:r w:rsidRPr="009C0694">
        <w:rPr>
          <w:rFonts w:cs="Arial"/>
          <w:sz w:val="18"/>
          <w:szCs w:val="18"/>
        </w:rPr>
        <w:t xml:space="preserve">rganic </w:t>
      </w:r>
      <w:r w:rsidR="00E6330D">
        <w:rPr>
          <w:rFonts w:cs="Arial"/>
          <w:sz w:val="18"/>
          <w:szCs w:val="18"/>
        </w:rPr>
        <w:t>C</w:t>
      </w:r>
      <w:r w:rsidRPr="009C0694">
        <w:rPr>
          <w:rFonts w:cs="Arial"/>
          <w:sz w:val="18"/>
          <w:szCs w:val="18"/>
        </w:rPr>
        <w:t>ompound</w:t>
      </w:r>
      <w:r w:rsidR="00E6330D">
        <w:rPr>
          <w:rFonts w:cs="Arial"/>
          <w:sz w:val="18"/>
          <w:szCs w:val="18"/>
        </w:rPr>
        <w:t>s</w:t>
      </w:r>
      <w:r w:rsidRPr="009C0694">
        <w:rPr>
          <w:rFonts w:cs="Arial"/>
          <w:sz w:val="18"/>
          <w:szCs w:val="18"/>
        </w:rPr>
        <w:t xml:space="preserve"> (VOC) losses from storage tanks are commonly estimated using the US EPA AP-42 methodology, which provides annual average emission rates. Such long-term averaged estimates may be poorly representative for odour impact assessments, which are typically based on short-term peak concentrations, and may therefore underestimate the occurrence and intensity of odour annoyance episodes. This study presents a case study referring to a crude oil storage site equipped with EFRTs. The objective is to provide an in-depth characterization of this highly complex emission scenario through refined emission estimation and atmospheric dispersion simulations with the CALPUFF model. </w:t>
      </w:r>
      <w:r w:rsidR="00A34B75">
        <w:rPr>
          <w:rFonts w:cs="Arial"/>
          <w:sz w:val="18"/>
          <w:szCs w:val="18"/>
        </w:rPr>
        <w:t>Experimental</w:t>
      </w:r>
      <w:r w:rsidRPr="009C0694">
        <w:rPr>
          <w:rFonts w:cs="Arial"/>
          <w:sz w:val="18"/>
          <w:szCs w:val="18"/>
        </w:rPr>
        <w:t xml:space="preserve"> approaches are proposed for the determination of the odour potential of the crude oil mixtures stored in the tanks, explicitly accounting for the temporal variability of stored products. In parallel, a </w:t>
      </w:r>
      <w:r w:rsidR="00A34B75">
        <w:rPr>
          <w:rFonts w:cs="Arial"/>
          <w:sz w:val="18"/>
          <w:szCs w:val="18"/>
        </w:rPr>
        <w:t>practical</w:t>
      </w:r>
      <w:r w:rsidRPr="009C0694">
        <w:rPr>
          <w:rFonts w:cs="Arial"/>
          <w:sz w:val="18"/>
          <w:szCs w:val="18"/>
        </w:rPr>
        <w:t xml:space="preserve"> methodology for the estimation of VOC wall losses</w:t>
      </w:r>
      <w:r w:rsidR="00B46728">
        <w:rPr>
          <w:rFonts w:cs="Arial"/>
          <w:sz w:val="18"/>
          <w:szCs w:val="18"/>
        </w:rPr>
        <w:t>,</w:t>
      </w:r>
      <w:r w:rsidRPr="009C0694">
        <w:rPr>
          <w:rFonts w:cs="Arial"/>
          <w:sz w:val="18"/>
          <w:szCs w:val="18"/>
        </w:rPr>
        <w:t xml:space="preserve"> associated with liquid withdrawal operations</w:t>
      </w:r>
      <w:r w:rsidR="00B46728">
        <w:rPr>
          <w:rFonts w:cs="Arial"/>
          <w:sz w:val="18"/>
          <w:szCs w:val="18"/>
        </w:rPr>
        <w:t>,</w:t>
      </w:r>
      <w:r w:rsidRPr="009C0694">
        <w:rPr>
          <w:rFonts w:cs="Arial"/>
          <w:sz w:val="18"/>
          <w:szCs w:val="18"/>
        </w:rPr>
        <w:t xml:space="preserve"> is developed, avoiding long-term averaging assumptions. Overall, the conclusions of this study highlight that the odour potential of the different crude oils is highly heterogeneous, emphasizing the importance of accounting for the quantity of each crude type stored within the tanks. Furthermore, wall losses associated with withdrawal operations are shown to be highly intermittent, characterized by periods of negligible emissions alternated with short-term emission peaks. Finally, the odour impact assessment shows that the comparison between the 98</w:t>
      </w:r>
      <w:r w:rsidRPr="004212BD">
        <w:rPr>
          <w:rFonts w:cs="Arial"/>
          <w:sz w:val="18"/>
          <w:szCs w:val="18"/>
          <w:vertAlign w:val="superscript"/>
        </w:rPr>
        <w:t>th</w:t>
      </w:r>
      <w:r w:rsidRPr="009C0694">
        <w:rPr>
          <w:rFonts w:cs="Arial"/>
          <w:sz w:val="18"/>
          <w:szCs w:val="18"/>
        </w:rPr>
        <w:t xml:space="preserve"> percentile and the maximum concentrations leads to substantially different impact patterns,  mainly driven by the adoption of time-resolved odour emission fluxes</w:t>
      </w:r>
      <w:r w:rsidR="00C70838">
        <w:rPr>
          <w:rFonts w:cs="Arial"/>
          <w:sz w:val="18"/>
          <w:szCs w:val="18"/>
        </w:rPr>
        <w:t>.</w:t>
      </w:r>
    </w:p>
    <w:p w14:paraId="1B854B23" w14:textId="289E78E2" w:rsidR="00D5522D" w:rsidRPr="00A37197" w:rsidRDefault="00600535" w:rsidP="00E354BD">
      <w:pPr>
        <w:pStyle w:val="CETHeading1"/>
        <w:rPr>
          <w:lang w:val="en-GB"/>
        </w:rPr>
      </w:pPr>
      <w:r w:rsidRPr="00405395">
        <w:rPr>
          <w:lang w:val="en-GB"/>
        </w:rPr>
        <w:t>Introduction</w:t>
      </w:r>
    </w:p>
    <w:p w14:paraId="4C316EF1" w14:textId="37B7940B" w:rsidR="00C70838" w:rsidRDefault="008544BA" w:rsidP="008544BA">
      <w:pPr>
        <w:pStyle w:val="CETBodytext"/>
        <w:rPr>
          <w:lang w:val="en-GB"/>
        </w:rPr>
      </w:pPr>
      <w:r w:rsidRPr="008544BA">
        <w:rPr>
          <w:lang w:val="en-GB"/>
        </w:rPr>
        <w:t>Odour emissions from industrial activities represent a distinctive environmental issue whose assessment differs substantially from that of conventional atmospheric pollutants. Unlike many traditional atmospheric pollutants, odours are perceived primarily through human sensory response rather than through toxicological thresholds, which makes their assessment inherently complex. Even relatively low concentrations of certain volatile compounds can trigger nuisance conditions, leading to complaints from residents and growing pressure on regulatory authorities to establish appropriate monitoring and management strategies</w:t>
      </w:r>
      <w:r w:rsidR="00A7771B">
        <w:rPr>
          <w:lang w:val="en-GB"/>
        </w:rPr>
        <w:t xml:space="preserve"> </w:t>
      </w:r>
      <w:sdt>
        <w:sdtPr>
          <w:rPr>
            <w:rFonts w:cs="Arial"/>
            <w:color w:val="000000"/>
            <w:lang w:val="en-GB"/>
          </w:rPr>
          <w:tag w:val="MENDELEY_CITATION_v3_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"/>
          <w:id w:val="-1835904882"/>
          <w:placeholder>
            <w:docPart w:val="DefaultPlaceholder_-1854013440"/>
          </w:placeholder>
        </w:sdtPr>
        <w:sdtEndPr/>
        <w:sdtContent>
          <w:r w:rsidR="00E70A4A" w:rsidRPr="00E70A4A">
            <w:rPr>
              <w:rFonts w:cs="Arial"/>
              <w:color w:val="000000"/>
            </w:rPr>
            <w:t>(Mckittrick et al., 2025; Üstün and Özkal, 2025)</w:t>
          </w:r>
        </w:sdtContent>
      </w:sdt>
      <w:r w:rsidRPr="008544BA">
        <w:rPr>
          <w:lang w:val="en-GB"/>
        </w:rPr>
        <w:t xml:space="preserve">. </w:t>
      </w:r>
    </w:p>
    <w:p w14:paraId="7F82A46F" w14:textId="38575AC6" w:rsidR="00C70838" w:rsidRDefault="008544BA" w:rsidP="008544BA">
      <w:pPr>
        <w:pStyle w:val="CETBodytext"/>
        <w:rPr>
          <w:lang w:val="en-GB"/>
        </w:rPr>
      </w:pPr>
      <w:r w:rsidRPr="008544BA">
        <w:rPr>
          <w:lang w:val="en-GB"/>
        </w:rPr>
        <w:t xml:space="preserve">Among the various industrial sectors potentially associated with odour nuisance, crude oil storage facilities represent a particularly complex emission scenario. </w:t>
      </w:r>
      <w:r w:rsidRPr="00C70838">
        <w:rPr>
          <w:lang w:val="en-GB"/>
        </w:rPr>
        <w:t xml:space="preserve">A first source of complexity lies in the strong variability of </w:t>
      </w:r>
      <w:r w:rsidRPr="00C70838">
        <w:rPr>
          <w:lang w:val="en-GB"/>
        </w:rPr>
        <w:lastRenderedPageBreak/>
        <w:t xml:space="preserve">the </w:t>
      </w:r>
      <w:r w:rsidRPr="007E20B2">
        <w:rPr>
          <w:lang w:val="en-GB"/>
        </w:rPr>
        <w:t>odour potential of crude oils</w:t>
      </w:r>
      <w:r w:rsidRPr="00C70838">
        <w:rPr>
          <w:lang w:val="en-GB"/>
        </w:rPr>
        <w:t>.</w:t>
      </w:r>
      <w:r w:rsidRPr="008544BA">
        <w:rPr>
          <w:lang w:val="en-GB"/>
        </w:rPr>
        <w:t xml:space="preserve"> Depending on their origin and composition, crude oils may contain markedly different concentrations of volatile compounds, including </w:t>
      </w:r>
      <w:r w:rsidR="00B80C07">
        <w:rPr>
          <w:lang w:val="en-GB"/>
        </w:rPr>
        <w:t>organic</w:t>
      </w:r>
      <w:r w:rsidRPr="008544BA">
        <w:rPr>
          <w:lang w:val="en-GB"/>
        </w:rPr>
        <w:t xml:space="preserve"> sulphur species </w:t>
      </w:r>
      <w:r w:rsidR="00B80C07">
        <w:t>(e.g., mercaptans and sulphides</w:t>
      </w:r>
      <w:r w:rsidR="00B80C07">
        <w:rPr>
          <w:lang w:val="en-GB"/>
        </w:rPr>
        <w:t>)</w:t>
      </w:r>
      <w:r w:rsidRPr="008544BA">
        <w:rPr>
          <w:lang w:val="en-GB"/>
        </w:rPr>
        <w:t>, which are often responsible for their characteristic odours</w:t>
      </w:r>
      <w:r w:rsidR="00A7771B">
        <w:rPr>
          <w:lang w:val="en-GB"/>
        </w:rPr>
        <w:t xml:space="preserve"> </w:t>
      </w:r>
      <w:sdt>
        <w:sdtPr>
          <w:rPr>
            <w:rFonts w:cs="Arial"/>
            <w:color w:val="000000"/>
            <w:lang w:val="en-GB"/>
          </w:rPr>
          <w:tag w:val="MENDELEY_CITATION_v3_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"/>
          <w:id w:val="-809623160"/>
          <w:placeholder>
            <w:docPart w:val="DefaultPlaceholder_-1854013440"/>
          </w:placeholder>
        </w:sdtPr>
        <w:sdtEndPr/>
        <w:sdtContent>
          <w:r w:rsidR="00E70A4A" w:rsidRPr="00E70A4A">
            <w:rPr>
              <w:rFonts w:cs="Arial"/>
              <w:color w:val="000000"/>
              <w:lang w:val="en-GB"/>
            </w:rPr>
            <w:t>(Polvara et al., 2025)</w:t>
          </w:r>
        </w:sdtContent>
      </w:sdt>
      <w:r w:rsidRPr="008544BA">
        <w:rPr>
          <w:lang w:val="en-GB"/>
        </w:rPr>
        <w:t xml:space="preserve">. </w:t>
      </w:r>
    </w:p>
    <w:p w14:paraId="11DEC6A8" w14:textId="084B7272" w:rsidR="00B3775C" w:rsidRDefault="00736E59" w:rsidP="008544BA">
      <w:pPr>
        <w:pStyle w:val="CETBodytext"/>
        <w:rPr>
          <w:lang w:val="en-GB"/>
        </w:rPr>
      </w:pPr>
      <w:r>
        <w:rPr>
          <w:lang w:val="en-GB"/>
        </w:rPr>
        <w:t>EFRTs</w:t>
      </w:r>
      <w:r w:rsidR="00A17F98" w:rsidRPr="00A17F98">
        <w:rPr>
          <w:lang w:val="en-GB"/>
        </w:rPr>
        <w:t>, which are widely used in crude oil terminals and refineries to reduce evaporative losses, present several specific challenges for emission characterization.</w:t>
      </w:r>
      <w:r w:rsidR="00101282">
        <w:rPr>
          <w:lang w:val="en-GB"/>
        </w:rPr>
        <w:t xml:space="preserve"> Releases</w:t>
      </w:r>
      <w:r w:rsidR="00101282" w:rsidRPr="00101282">
        <w:rPr>
          <w:lang w:val="en-GB"/>
        </w:rPr>
        <w:t xml:space="preserve"> can occur even in the absence of active logistics or product transfer operations. In particular, they may arise</w:t>
      </w:r>
      <w:r w:rsidR="00A17F98" w:rsidRPr="00A17F98">
        <w:rPr>
          <w:lang w:val="en-GB"/>
        </w:rPr>
        <w:t xml:space="preserve"> </w:t>
      </w:r>
      <w:r w:rsidR="00101282">
        <w:rPr>
          <w:lang w:val="en-GB"/>
        </w:rPr>
        <w:t>from</w:t>
      </w:r>
      <w:r w:rsidR="00A17F98" w:rsidRPr="00A17F98">
        <w:rPr>
          <w:lang w:val="en-GB"/>
        </w:rPr>
        <w:t xml:space="preserve"> the rim seal system between the floating roof and the tank shell, as well as through deck fittings such as access hatches, gauge wells, </w:t>
      </w:r>
      <w:r w:rsidR="0098119D">
        <w:rPr>
          <w:lang w:val="en-GB"/>
        </w:rPr>
        <w:t xml:space="preserve">and </w:t>
      </w:r>
      <w:r w:rsidR="00A17F98" w:rsidRPr="00A17F98">
        <w:rPr>
          <w:lang w:val="en-GB"/>
        </w:rPr>
        <w:t>roof legs. As a result, these systems are typically associated with diffuse emission sources rather than well-defined point releases.</w:t>
      </w:r>
      <w:r w:rsidR="00A17F98">
        <w:rPr>
          <w:lang w:val="en-GB"/>
        </w:rPr>
        <w:t xml:space="preserve"> </w:t>
      </w:r>
      <w:r w:rsidR="00A17F98" w:rsidRPr="00A17F98">
        <w:rPr>
          <w:lang w:val="en-GB"/>
        </w:rPr>
        <w:t>The characterization of diffuse odour emissions is inherently complex, as these sources cannot be investigated through conventional on-site sampling approaches typically applied to confined point sources</w:t>
      </w:r>
      <w:r w:rsidR="00A7771B">
        <w:rPr>
          <w:lang w:val="en-GB"/>
        </w:rPr>
        <w:t xml:space="preserve"> </w:t>
      </w:r>
      <w:sdt>
        <w:sdtPr>
          <w:rPr>
            <w:rFonts w:cs="Arial"/>
            <w:color w:val="000000"/>
            <w:lang w:val="en-GB"/>
          </w:rPr>
          <w:tag w:val="MENDELEY_CITATION_v3_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"/>
          <w:id w:val="383448919"/>
          <w:placeholder>
            <w:docPart w:val="DefaultPlaceholder_-1854013440"/>
          </w:placeholder>
        </w:sdtPr>
        <w:sdtEndPr/>
        <w:sdtContent>
          <w:r w:rsidR="00E70A4A" w:rsidRPr="00E70A4A">
            <w:rPr>
              <w:rFonts w:cs="Arial"/>
              <w:color w:val="000000"/>
            </w:rPr>
            <w:t>(Invernizzi  Sironi, 2021)</w:t>
          </w:r>
        </w:sdtContent>
      </w:sdt>
      <w:r w:rsidR="00A17F98" w:rsidRPr="00A17F98">
        <w:rPr>
          <w:lang w:val="en-GB"/>
        </w:rPr>
        <w:t>. While specialized devices such as flux chambers or wind tunnels can be used to derive emission fluxes for certain passive areal sources</w:t>
      </w:r>
      <w:r w:rsidR="00A7771B">
        <w:rPr>
          <w:lang w:val="en-GB"/>
        </w:rPr>
        <w:t xml:space="preserve"> </w:t>
      </w:r>
      <w:sdt>
        <w:sdtPr>
          <w:rPr>
            <w:rFonts w:cs="Arial"/>
            <w:color w:val="000000"/>
            <w:lang w:val="en-GB"/>
          </w:rPr>
          <w:tag w:val="MENDELEY_CITATION_v3_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"/>
          <w:id w:val="-973976612"/>
          <w:placeholder>
            <w:docPart w:val="DefaultPlaceholder_-1854013440"/>
          </w:placeholder>
        </w:sdtPr>
        <w:sdtEndPr/>
        <w:sdtContent>
          <w:r w:rsidR="00E70A4A" w:rsidRPr="00E70A4A">
            <w:rPr>
              <w:rFonts w:cs="Arial"/>
              <w:color w:val="000000"/>
              <w:lang w:val="en-GB"/>
            </w:rPr>
            <w:t>(Carrera et al., 2025)</w:t>
          </w:r>
        </w:sdtContent>
      </w:sdt>
      <w:r w:rsidR="00A17F98" w:rsidRPr="00A17F98">
        <w:rPr>
          <w:lang w:val="en-GB"/>
        </w:rPr>
        <w:t xml:space="preserve">, their application to large industrial structures is often constrained by practical limitations and by the representativeness of localized measurements. </w:t>
      </w:r>
      <w:r w:rsidR="00A17F98">
        <w:rPr>
          <w:lang w:val="en-GB"/>
        </w:rPr>
        <w:t>In some cases</w:t>
      </w:r>
      <w:r w:rsidR="00A17F98" w:rsidRPr="00A17F98">
        <w:rPr>
          <w:lang w:val="en-GB"/>
        </w:rPr>
        <w:t>,</w:t>
      </w:r>
      <w:r w:rsidR="00C10126">
        <w:rPr>
          <w:lang w:val="en-GB"/>
        </w:rPr>
        <w:t xml:space="preserve"> </w:t>
      </w:r>
      <w:r w:rsidR="00C10126" w:rsidRPr="00A17F98">
        <w:rPr>
          <w:lang w:val="en-GB"/>
        </w:rPr>
        <w:t>when direct sampling is not feasible</w:t>
      </w:r>
      <w:r w:rsidR="00C10126">
        <w:rPr>
          <w:lang w:val="en-GB"/>
        </w:rPr>
        <w:t>,</w:t>
      </w:r>
      <w:r w:rsidR="00A17F98">
        <w:rPr>
          <w:lang w:val="en-GB"/>
        </w:rPr>
        <w:t xml:space="preserve"> as</w:t>
      </w:r>
      <w:r w:rsidR="00A17F98" w:rsidRPr="00A17F98">
        <w:rPr>
          <w:lang w:val="en-GB"/>
        </w:rPr>
        <w:t xml:space="preserve"> for </w:t>
      </w:r>
      <w:r>
        <w:rPr>
          <w:lang w:val="en-GB"/>
        </w:rPr>
        <w:t>EFRTs</w:t>
      </w:r>
      <w:r w:rsidR="00A17F98">
        <w:rPr>
          <w:lang w:val="en-GB"/>
        </w:rPr>
        <w:t>,</w:t>
      </w:r>
      <w:r w:rsidR="00A17F98" w:rsidRPr="00A17F98">
        <w:rPr>
          <w:lang w:val="en-GB"/>
        </w:rPr>
        <w:t xml:space="preserve"> </w:t>
      </w:r>
      <w:r w:rsidR="00C10126" w:rsidRPr="00C10126">
        <w:rPr>
          <w:lang w:val="en-GB"/>
        </w:rPr>
        <w:t>emission rates frequently need to be estimated through indirect methods</w:t>
      </w:r>
      <w:r w:rsidR="00A7771B">
        <w:rPr>
          <w:lang w:val="en-GB"/>
        </w:rPr>
        <w:t xml:space="preserve"> </w:t>
      </w:r>
      <w:sdt>
        <w:sdtPr>
          <w:rPr>
            <w:rFonts w:cs="Arial"/>
            <w:color w:val="000000"/>
            <w:lang w:val="en-GB"/>
          </w:rPr>
          <w:tag w:val="MENDELEY_CITATION_v3_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"/>
          <w:id w:val="69624786"/>
          <w:placeholder>
            <w:docPart w:val="DefaultPlaceholder_-1854013440"/>
          </w:placeholder>
        </w:sdtPr>
        <w:sdtEndPr/>
        <w:sdtContent>
          <w:r w:rsidR="00E70A4A" w:rsidRPr="00E70A4A">
            <w:rPr>
              <w:rFonts w:cs="Arial"/>
              <w:color w:val="000000"/>
              <w:lang w:val="en-GB"/>
            </w:rPr>
            <w:t>(Invernizzi et al., 2025; Tagliaferri et al., 2023)</w:t>
          </w:r>
        </w:sdtContent>
      </w:sdt>
      <w:r w:rsidR="00C10126">
        <w:rPr>
          <w:lang w:val="en-GB"/>
        </w:rPr>
        <w:t xml:space="preserve">. </w:t>
      </w:r>
    </w:p>
    <w:p w14:paraId="27730A46" w14:textId="01663041" w:rsidR="008544BA" w:rsidRPr="008544BA" w:rsidRDefault="008544BA" w:rsidP="008544BA">
      <w:pPr>
        <w:pStyle w:val="CETBodytext"/>
        <w:rPr>
          <w:lang w:val="en-GB"/>
        </w:rPr>
      </w:pPr>
      <w:r w:rsidRPr="008544BA">
        <w:rPr>
          <w:lang w:val="en-GB"/>
        </w:rPr>
        <w:t>A further challenge concerns the temporal representativeness of commonly used emission estimation methodologies. VOC emissions from storage tanks are commonly estimated using the procedures reported in the US EPA AP-42 guidelines</w:t>
      </w:r>
      <w:r w:rsidR="00725F33">
        <w:rPr>
          <w:lang w:val="en-GB"/>
        </w:rPr>
        <w:t xml:space="preserve"> </w:t>
      </w:r>
      <w:sdt>
        <w:sdtPr>
          <w:rPr>
            <w:rFonts w:cs="Arial"/>
            <w:color w:val="000000"/>
            <w:lang w:val="en-GB"/>
          </w:rPr>
          <w:tag w:val="MENDELEY_CITATION_v3_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"/>
          <w:id w:val="-591852320"/>
          <w:placeholder>
            <w:docPart w:val="DefaultPlaceholder_-1854013440"/>
          </w:placeholder>
        </w:sdtPr>
        <w:sdtEndPr/>
        <w:sdtContent>
          <w:r w:rsidR="00E70A4A" w:rsidRPr="00E70A4A">
            <w:rPr>
              <w:rFonts w:cs="Arial"/>
              <w:color w:val="000000"/>
              <w:lang w:val="en-GB"/>
            </w:rPr>
            <w:t>(U.S. EPA, 2024)</w:t>
          </w:r>
        </w:sdtContent>
      </w:sdt>
      <w:r w:rsidR="00725F33">
        <w:rPr>
          <w:lang w:val="en-GB"/>
        </w:rPr>
        <w:t xml:space="preserve">, </w:t>
      </w:r>
      <w:r w:rsidRPr="008544BA">
        <w:rPr>
          <w:lang w:val="en-GB"/>
        </w:rPr>
        <w:t xml:space="preserve">which are widely adopted in emission inventories and engineering practice. These approaches are typically </w:t>
      </w:r>
      <w:r w:rsidR="000C39BE">
        <w:rPr>
          <w:lang w:val="en-GB"/>
        </w:rPr>
        <w:t>used for inventory purposes</w:t>
      </w:r>
      <w:r w:rsidRPr="008544BA">
        <w:rPr>
          <w:lang w:val="en-GB"/>
        </w:rPr>
        <w:t xml:space="preserve">, </w:t>
      </w:r>
      <w:r w:rsidR="0054228F" w:rsidRPr="0054228F">
        <w:rPr>
          <w:lang w:val="en-GB"/>
        </w:rPr>
        <w:t>providing estimates intended to represent overall emissions over extended periods</w:t>
      </w:r>
      <w:r w:rsidRPr="008544BA">
        <w:rPr>
          <w:lang w:val="en-GB"/>
        </w:rPr>
        <w:t>. However, odour impact assessments are generally based on short-term concentration indicators (e.g., high percentiles of hourly concentrations) that are particularly sensitive to transient or peak emission events. In this context, approaches relying on annual-based emission estimates may not always fully capture the temporal variability that can influence the occurrence and intensity of odour nuisance episodes</w:t>
      </w:r>
      <w:r w:rsidR="00A7771B">
        <w:rPr>
          <w:lang w:val="en-GB"/>
        </w:rPr>
        <w:t xml:space="preserve"> </w:t>
      </w:r>
      <w:sdt>
        <w:sdtPr>
          <w:rPr>
            <w:rFonts w:cs="Arial"/>
            <w:color w:val="000000"/>
            <w:lang w:val="en-GB"/>
          </w:rPr>
          <w:tag w:val="MENDELEY_CITATION_v3_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"/>
          <w:id w:val="1871337541"/>
          <w:placeholder>
            <w:docPart w:val="DefaultPlaceholder_-1854013440"/>
          </w:placeholder>
        </w:sdtPr>
        <w:sdtEndPr/>
        <w:sdtContent>
          <w:r w:rsidR="00E70A4A" w:rsidRPr="00E70A4A">
            <w:rPr>
              <w:rFonts w:cs="Arial"/>
              <w:color w:val="000000"/>
              <w:lang w:val="en-GB"/>
            </w:rPr>
            <w:t>(Tagliaferri et al., 2026)</w:t>
          </w:r>
        </w:sdtContent>
      </w:sdt>
      <w:r w:rsidRPr="008544BA">
        <w:rPr>
          <w:lang w:val="en-GB"/>
        </w:rPr>
        <w:t>.</w:t>
      </w:r>
    </w:p>
    <w:p w14:paraId="42D5CFF9" w14:textId="5C010C06" w:rsidR="00C3050B" w:rsidRDefault="008544BA" w:rsidP="00C3050B">
      <w:pPr>
        <w:pStyle w:val="CETBodytext"/>
        <w:rPr>
          <w:lang w:val="en-GB"/>
        </w:rPr>
      </w:pPr>
      <w:r w:rsidRPr="00A37197">
        <w:rPr>
          <w:lang w:val="en-GB"/>
        </w:rPr>
        <w:t xml:space="preserve">An additional aspect that contributes to the complexity of emission characterization in crude oil storage facilities relates to the operational management of storage tanks. In many installations, storage tanks are not permanently dedicated to a single crude oil </w:t>
      </w:r>
      <w:r w:rsidR="000C39BE" w:rsidRPr="00A37197">
        <w:rPr>
          <w:lang w:val="en-GB"/>
        </w:rPr>
        <w:t>type but</w:t>
      </w:r>
      <w:r w:rsidRPr="00A37197">
        <w:rPr>
          <w:lang w:val="en-GB"/>
        </w:rPr>
        <w:t xml:space="preserve"> may contain different crude blends over time</w:t>
      </w:r>
      <w:r w:rsidR="000C39BE">
        <w:rPr>
          <w:lang w:val="en-GB"/>
        </w:rPr>
        <w:t>,</w:t>
      </w:r>
      <w:r w:rsidRPr="00A37197">
        <w:rPr>
          <w:lang w:val="en-GB"/>
        </w:rPr>
        <w:t xml:space="preserve"> depending on logistical requirements, supply conditions, or blending operations. Consequently, the composition and odour potential of the stored product may vary throughout the year. </w:t>
      </w:r>
      <w:r w:rsidR="00C3050B" w:rsidRPr="00A37197">
        <w:rPr>
          <w:lang w:val="en-GB"/>
        </w:rPr>
        <w:t>This variability implies that the emission potential of a given storage tank cannot always be adequately represented by the properties of a single crude oil. Accounting for the variability in the odour potential of the crude oils associated with a given tank may therefore be important for obtaining a more representative characterization of emissions from crude oil storage facilities, particularly when performing odour impact assessments over extended temporal horizons.</w:t>
      </w:r>
    </w:p>
    <w:p w14:paraId="3F605442" w14:textId="0DF5EB61" w:rsidR="00C3050B" w:rsidRPr="00C54293" w:rsidRDefault="00C3050B" w:rsidP="00C3050B">
      <w:pPr>
        <w:pStyle w:val="CETBodytext"/>
        <w:rPr>
          <w:lang w:val="en-GB"/>
        </w:rPr>
      </w:pPr>
      <w:r w:rsidRPr="00C3050B">
        <w:rPr>
          <w:lang w:val="en-GB"/>
        </w:rPr>
        <w:t xml:space="preserve">In this context, improving the characterization of odorous emissions from crude oil storage facilities represents an important step toward a more reliable assessment of their potential impacts on surrounding areas. </w:t>
      </w:r>
    </w:p>
    <w:p w14:paraId="4C520A33" w14:textId="34D30F5B" w:rsidR="00CD7344" w:rsidRPr="00C3050B" w:rsidRDefault="00C3050B" w:rsidP="00C3050B">
      <w:pPr>
        <w:pStyle w:val="CETBodytext"/>
        <w:rPr>
          <w:lang w:val="en-GB"/>
        </w:rPr>
      </w:pPr>
      <w:r w:rsidRPr="00C3050B">
        <w:rPr>
          <w:lang w:val="en-GB"/>
        </w:rPr>
        <w:t xml:space="preserve">The present study addresses these challenges through a case study referring to a crude oil storage facility with </w:t>
      </w:r>
      <w:r w:rsidR="00736E59">
        <w:rPr>
          <w:lang w:val="en-GB"/>
        </w:rPr>
        <w:t>EFRTs</w:t>
      </w:r>
      <w:r w:rsidRPr="00C3050B">
        <w:rPr>
          <w:lang w:val="en-GB"/>
        </w:rPr>
        <w:t xml:space="preserve">. The main objective is to provide an </w:t>
      </w:r>
      <w:r w:rsidRPr="00C54293">
        <w:rPr>
          <w:lang w:val="en-GB"/>
        </w:rPr>
        <w:t>in-depth</w:t>
      </w:r>
      <w:r w:rsidRPr="00C3050B">
        <w:rPr>
          <w:lang w:val="en-GB"/>
        </w:rPr>
        <w:t xml:space="preserve"> characterization of this complex emission scenario by integrating refined emission estimation approaches with atmospheric dispersion simulations</w:t>
      </w:r>
      <w:r w:rsidR="0098119D">
        <w:rPr>
          <w:lang w:val="en-GB"/>
        </w:rPr>
        <w:t>.</w:t>
      </w:r>
      <w:r w:rsidRPr="00C3050B">
        <w:rPr>
          <w:lang w:val="en-GB"/>
        </w:rPr>
        <w:t xml:space="preserve"> Specific attention is devoted to the experimental characterization of the odour potential of the crude oils handled within the facility and to the development of procedures </w:t>
      </w:r>
      <w:r w:rsidR="00C70838">
        <w:rPr>
          <w:lang w:val="en-GB"/>
        </w:rPr>
        <w:t>to account</w:t>
      </w:r>
      <w:r w:rsidRPr="00C3050B">
        <w:rPr>
          <w:lang w:val="en-GB"/>
        </w:rPr>
        <w:t xml:space="preserve"> for the variability of stored products in the estimation of emissions. In parallel, a </w:t>
      </w:r>
      <w:r w:rsidR="00C54293" w:rsidRPr="00C54293">
        <w:rPr>
          <w:lang w:val="en-GB"/>
        </w:rPr>
        <w:t>practical</w:t>
      </w:r>
      <w:r w:rsidR="00C54293">
        <w:rPr>
          <w:lang w:val="en-GB"/>
        </w:rPr>
        <w:t xml:space="preserve"> </w:t>
      </w:r>
      <w:r w:rsidRPr="00C3050B">
        <w:rPr>
          <w:lang w:val="en-GB"/>
        </w:rPr>
        <w:t>approach is applied for the estimation of VOC emissions associated with tank operations, with particular focus on the temporal dynamics of emissions related to withdrawal activities.</w:t>
      </w:r>
      <w:r w:rsidR="00C70838">
        <w:rPr>
          <w:lang w:val="en-GB"/>
        </w:rPr>
        <w:t xml:space="preserve"> </w:t>
      </w:r>
    </w:p>
    <w:p w14:paraId="29AC30D7" w14:textId="77777777" w:rsidR="0004051F" w:rsidRDefault="008D6BFD" w:rsidP="0004051F">
      <w:pPr>
        <w:pStyle w:val="CETHeading1"/>
        <w:rPr>
          <w:lang w:val="en-GB"/>
        </w:rPr>
      </w:pPr>
      <w:r w:rsidRPr="00405395">
        <w:rPr>
          <w:lang w:val="en-GB"/>
        </w:rPr>
        <w:t>Materials and methods</w:t>
      </w:r>
    </w:p>
    <w:p w14:paraId="0636B784" w14:textId="436C9CA7" w:rsidR="00453E24" w:rsidRPr="0004051F" w:rsidRDefault="006F6CD8" w:rsidP="0004051F">
      <w:pPr>
        <w:pStyle w:val="CETheadingx"/>
        <w:rPr>
          <w:lang w:val="en-GB"/>
        </w:rPr>
      </w:pPr>
      <w:r w:rsidRPr="006F6CD8">
        <w:t xml:space="preserve">CALPUFF </w:t>
      </w:r>
      <w:r w:rsidR="006675B6">
        <w:t>m</w:t>
      </w:r>
      <w:r w:rsidRPr="006F6CD8">
        <w:t xml:space="preserve">odel </w:t>
      </w:r>
      <w:r w:rsidR="006675B6">
        <w:t>s</w:t>
      </w:r>
      <w:r w:rsidRPr="006F6CD8">
        <w:t xml:space="preserve">etup and </w:t>
      </w:r>
      <w:r w:rsidR="006675B6">
        <w:t>s</w:t>
      </w:r>
      <w:r w:rsidRPr="006F6CD8">
        <w:t xml:space="preserve">imulation </w:t>
      </w:r>
      <w:r w:rsidR="006675B6">
        <w:t>c</w:t>
      </w:r>
      <w:r w:rsidRPr="006F6CD8">
        <w:t>onfiguration</w:t>
      </w:r>
    </w:p>
    <w:p w14:paraId="6D8729DB" w14:textId="712F7425" w:rsidR="006F6CD8" w:rsidRPr="006F6CD8" w:rsidRDefault="006F6CD8" w:rsidP="006F6CD8">
      <w:pPr>
        <w:pStyle w:val="CETBodytext"/>
        <w:rPr>
          <w:lang w:val="en-GB"/>
        </w:rPr>
      </w:pPr>
      <w:r w:rsidRPr="006F6CD8">
        <w:rPr>
          <w:lang w:val="en-GB"/>
        </w:rPr>
        <w:t>CALPUFF is a non-steady-state atmospheric dispersion model widely recognized for its capability to represent complex and non-uniform environmental conditions</w:t>
      </w:r>
      <w:r w:rsidR="00725F33">
        <w:rPr>
          <w:lang w:val="en-GB"/>
        </w:rPr>
        <w:t xml:space="preserve"> </w:t>
      </w:r>
      <w:sdt>
        <w:sdtPr>
          <w:rPr>
            <w:rFonts w:cs="Arial"/>
            <w:color w:val="000000"/>
            <w:lang w:val="en-GB"/>
          </w:rPr>
          <w:tag w:val="MENDELEY_CITATION_v3_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"/>
          <w:id w:val="-1663541636"/>
          <w:placeholder>
            <w:docPart w:val="DefaultPlaceholder_-1854013440"/>
          </w:placeholder>
        </w:sdtPr>
        <w:sdtEndPr/>
        <w:sdtContent>
          <w:r w:rsidR="00E70A4A" w:rsidRPr="00E70A4A">
            <w:rPr>
              <w:rFonts w:cs="Arial"/>
              <w:color w:val="000000"/>
              <w:lang w:val="en-GB"/>
            </w:rPr>
            <w:t>(Scire et al., 2000; Tagliaferri et al., 2025)</w:t>
          </w:r>
        </w:sdtContent>
      </w:sdt>
      <w:r w:rsidRPr="006F6CD8">
        <w:rPr>
          <w:lang w:val="en-GB"/>
        </w:rPr>
        <w:t>. It adopts a Lagrangian framework, simulating pollutant transport by tracking discrete puffs or air parcels as they move through the atmosphere. This approach enables a detailed representation of the interactions between meteorological factors</w:t>
      </w:r>
      <w:r w:rsidR="006675B6">
        <w:rPr>
          <w:lang w:val="en-GB"/>
        </w:rPr>
        <w:t xml:space="preserve">, </w:t>
      </w:r>
      <w:r w:rsidRPr="006F6CD8">
        <w:rPr>
          <w:lang w:val="en-GB"/>
        </w:rPr>
        <w:t>such as wind fields, temperature inversions, and atmospheric turbulence</w:t>
      </w:r>
      <w:r w:rsidR="006675B6">
        <w:rPr>
          <w:lang w:val="en-GB"/>
        </w:rPr>
        <w:t xml:space="preserve">, </w:t>
      </w:r>
      <w:r w:rsidRPr="006F6CD8">
        <w:rPr>
          <w:lang w:val="en-GB"/>
        </w:rPr>
        <w:t>and terrain features, including hills, valleys, and built environments.</w:t>
      </w:r>
    </w:p>
    <w:p w14:paraId="6BF6C69C" w14:textId="74F6FF08" w:rsidR="006F6CD8" w:rsidRPr="006F6CD8" w:rsidRDefault="006F6CD8" w:rsidP="006F6CD8">
      <w:pPr>
        <w:pStyle w:val="CETBodytext"/>
        <w:rPr>
          <w:lang w:val="en-GB"/>
        </w:rPr>
      </w:pPr>
      <w:r w:rsidRPr="006F6CD8">
        <w:rPr>
          <w:lang w:val="en-GB"/>
        </w:rPr>
        <w:t>The simulations were performed over a one-year period, considering a squar</w:t>
      </w:r>
      <w:r w:rsidRPr="00F03826">
        <w:rPr>
          <w:lang w:val="en-GB"/>
        </w:rPr>
        <w:t xml:space="preserve">e domain of </w:t>
      </w:r>
      <w:r w:rsidR="00736E59" w:rsidRPr="00F03826">
        <w:rPr>
          <w:lang w:val="en-GB"/>
        </w:rPr>
        <w:t>4</w:t>
      </w:r>
      <w:r w:rsidR="00BE4027">
        <w:rPr>
          <w:lang w:val="en-GB"/>
        </w:rPr>
        <w:t>x</w:t>
      </w:r>
      <w:r w:rsidR="00736E59" w:rsidRPr="00F03826">
        <w:rPr>
          <w:lang w:val="en-GB"/>
        </w:rPr>
        <w:t>4</w:t>
      </w:r>
      <w:r w:rsidRPr="00F03826">
        <w:rPr>
          <w:lang w:val="en-GB"/>
        </w:rPr>
        <w:t xml:space="preserve"> km² that a</w:t>
      </w:r>
      <w:r w:rsidRPr="006F6CD8">
        <w:rPr>
          <w:lang w:val="en-GB"/>
        </w:rPr>
        <w:t>lso encompasses residential areas surrounding the production site. The computational domain, centered on the storage facility, was defined with a spatial grid resolution of 100 m.</w:t>
      </w:r>
    </w:p>
    <w:p w14:paraId="6B633769" w14:textId="28979D1B" w:rsidR="006C0363" w:rsidRDefault="006F6CD8" w:rsidP="006F6CD8">
      <w:pPr>
        <w:pStyle w:val="CETBodytext"/>
        <w:rPr>
          <w:lang w:val="en-GB"/>
        </w:rPr>
      </w:pPr>
      <w:r w:rsidRPr="006F6CD8">
        <w:rPr>
          <w:lang w:val="en-GB"/>
        </w:rPr>
        <w:t>The meteorological input data used for the CALPUFF simulations consist of three-dimensional hourly prognostic fields generated by the WRF (Weather Research and Forecasting) model, with a spatial resolution of 1 km.</w:t>
      </w:r>
    </w:p>
    <w:p w14:paraId="5B72E0A2" w14:textId="6120A029" w:rsidR="0004051F" w:rsidRDefault="0004051F" w:rsidP="006F6CD8">
      <w:pPr>
        <w:pStyle w:val="CETBodytext"/>
        <w:rPr>
          <w:lang w:val="en-GB"/>
        </w:rPr>
      </w:pPr>
    </w:p>
    <w:p w14:paraId="57DD47F1" w14:textId="7CDB4B30" w:rsidR="006675B6" w:rsidRPr="006675B6" w:rsidRDefault="006675B6" w:rsidP="0004051F">
      <w:pPr>
        <w:pStyle w:val="CETheadingx"/>
        <w:rPr>
          <w:lang w:val="en-GB"/>
        </w:rPr>
      </w:pPr>
      <w:r>
        <w:t>Estimation of crude oil tank odour potential</w:t>
      </w:r>
    </w:p>
    <w:p w14:paraId="1C84345C" w14:textId="395D1782" w:rsidR="006675B6" w:rsidRPr="0004051F" w:rsidRDefault="0004051F" w:rsidP="0004051F">
      <w:pPr>
        <w:pStyle w:val="CETBodytext"/>
        <w:rPr>
          <w:lang w:val="en-GB"/>
        </w:rPr>
      </w:pPr>
      <w:r w:rsidRPr="0004051F">
        <w:rPr>
          <w:lang w:val="en-GB"/>
        </w:rPr>
        <w:t>The odour potential of the handled crude oils was quantified through the determination of the Hydrocarbon Odour Emission Capacity (HCOEC), expressed in odour units per unit mass (</w:t>
      </w:r>
      <w:r w:rsidR="00BE4027" w:rsidRPr="006675B6">
        <w:rPr>
          <w:lang w:val="en-GB"/>
        </w:rPr>
        <w:t>ou</w:t>
      </w:r>
      <w:r w:rsidR="00BE4027" w:rsidRPr="00BE4027">
        <w:rPr>
          <w:vertAlign w:val="subscript"/>
          <w:lang w:val="en-GB"/>
        </w:rPr>
        <w:t>E</w:t>
      </w:r>
      <w:r w:rsidR="00BE4027">
        <w:rPr>
          <w:lang w:val="en-GB"/>
        </w:rPr>
        <w:t>/</w:t>
      </w:r>
      <w:r w:rsidR="00BE4027" w:rsidRPr="006675B6">
        <w:rPr>
          <w:lang w:val="en-GB"/>
        </w:rPr>
        <w:t>k</w:t>
      </w:r>
      <w:r w:rsidR="00BE4027">
        <w:rPr>
          <w:lang w:val="en-GB"/>
        </w:rPr>
        <w:t>g</w:t>
      </w:r>
      <w:r w:rsidRPr="0004051F">
        <w:rPr>
          <w:lang w:val="en-GB"/>
        </w:rPr>
        <w:t>). HCOEC represents an integrated parameter describing the potential of a hydrocarbon mixture to generate odorous emissions under controlled volatilization conditions.</w:t>
      </w:r>
      <w:r w:rsidR="003553A6">
        <w:rPr>
          <w:lang w:val="en-GB"/>
        </w:rPr>
        <w:t xml:space="preserve"> </w:t>
      </w:r>
      <w:r w:rsidRPr="0004051F">
        <w:rPr>
          <w:lang w:val="en-GB"/>
        </w:rPr>
        <w:t xml:space="preserve">Experimental measurements were carried out using a dedicated laboratory-scale setup specifically designed for hydrocarbon matrices, as described in detail </w:t>
      </w:r>
      <w:r w:rsidR="00725F33">
        <w:rPr>
          <w:lang w:val="en-GB"/>
        </w:rPr>
        <w:t>by</w:t>
      </w:r>
      <w:r w:rsidRPr="0004051F">
        <w:rPr>
          <w:lang w:val="en-GB"/>
        </w:rPr>
        <w:t xml:space="preserve"> </w:t>
      </w:r>
      <w:sdt>
        <w:sdtPr>
          <w:rPr>
            <w:rFonts w:cs="Arial"/>
            <w:color w:val="000000"/>
            <w:lang w:val="en-GB"/>
          </w:rPr>
          <w:tag w:val="MENDELEY_CITATION_v3_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"/>
          <w:id w:val="1930694663"/>
          <w:placeholder>
            <w:docPart w:val="DefaultPlaceholder_-1854013440"/>
          </w:placeholder>
        </w:sdtPr>
        <w:sdtEndPr/>
        <w:sdtContent>
          <w:r w:rsidR="00E70A4A" w:rsidRPr="00E70A4A">
            <w:rPr>
              <w:rFonts w:cs="Arial"/>
              <w:color w:val="000000"/>
              <w:lang w:val="en-GB"/>
            </w:rPr>
            <w:t>Invernizzi et al. (2018)</w:t>
          </w:r>
        </w:sdtContent>
      </w:sdt>
      <w:r w:rsidRPr="0004051F">
        <w:rPr>
          <w:lang w:val="en-GB"/>
        </w:rPr>
        <w:t xml:space="preserve">. </w:t>
      </w:r>
      <w:r w:rsidR="006675B6" w:rsidRPr="006675B6">
        <w:rPr>
          <w:lang w:val="en-GB"/>
        </w:rPr>
        <w:t xml:space="preserve">Briefly, crude oil samples were subjected to controlled stripping conditions in a laboratory-scale apparatus, in which a carrier gas was passed </w:t>
      </w:r>
      <w:r w:rsidR="000C39BE">
        <w:rPr>
          <w:lang w:val="en-GB"/>
        </w:rPr>
        <w:t>through</w:t>
      </w:r>
      <w:r w:rsidR="006675B6" w:rsidRPr="006675B6">
        <w:rPr>
          <w:lang w:val="en-GB"/>
        </w:rPr>
        <w:t xml:space="preserve"> the liquid surface under defined conditions to promote the volatilization of odorous compounds. During the test, the mass loss of the liquid phase was continuously monitored to quantify the amount of hydrocarbons transferred to the gas phase. The generated gaseous stream was collected through a series of sampling steps over time, allowing the temporal evolution of odour concentration to be characterized by dynamic olfactometry </w:t>
      </w:r>
      <w:sdt>
        <w:sdtPr>
          <w:rPr>
            <w:rFonts w:cs="Arial"/>
            <w:color w:val="000000"/>
            <w:lang w:val="en-GB"/>
          </w:rPr>
          <w:tag w:val="MENDELEY_CITATION_v3_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"/>
          <w:id w:val="-684985161"/>
          <w:placeholder>
            <w:docPart w:val="DefaultPlaceholder_-1854013440"/>
          </w:placeholder>
        </w:sdtPr>
        <w:sdtEndPr/>
        <w:sdtContent>
          <w:r w:rsidR="00E70A4A" w:rsidRPr="00E70A4A">
            <w:rPr>
              <w:rFonts w:cs="Arial"/>
              <w:color w:val="000000"/>
              <w:lang w:val="en-GB"/>
            </w:rPr>
            <w:t>(CEN, 2022)</w:t>
          </w:r>
        </w:sdtContent>
      </w:sdt>
      <w:r w:rsidR="006675B6" w:rsidRPr="006675B6">
        <w:rPr>
          <w:lang w:val="en-GB"/>
        </w:rPr>
        <w:t>. The overall odour emission was then obtained by integrating the measured odour concentrations over the test duration, and subsequently normalized by the total evaporated mass, yielding the HCOEC expressed in ou</w:t>
      </w:r>
      <w:r w:rsidR="00BE4027" w:rsidRPr="00BE4027">
        <w:rPr>
          <w:vertAlign w:val="subscript"/>
          <w:lang w:val="en-GB"/>
        </w:rPr>
        <w:t>E</w:t>
      </w:r>
      <w:r w:rsidR="00BE4027">
        <w:rPr>
          <w:lang w:val="en-GB"/>
        </w:rPr>
        <w:t>/</w:t>
      </w:r>
      <w:r w:rsidR="006675B6" w:rsidRPr="006675B6">
        <w:rPr>
          <w:lang w:val="en-GB"/>
        </w:rPr>
        <w:t>k</w:t>
      </w:r>
      <w:r w:rsidR="00BE4027">
        <w:rPr>
          <w:lang w:val="en-GB"/>
        </w:rPr>
        <w:t>g</w:t>
      </w:r>
      <w:r w:rsidR="006675B6" w:rsidRPr="006675B6">
        <w:rPr>
          <w:lang w:val="en-GB"/>
        </w:rPr>
        <w:t>.</w:t>
      </w:r>
    </w:p>
    <w:p w14:paraId="05A00B6C" w14:textId="2BFCA795" w:rsidR="003553A6" w:rsidRDefault="0004051F" w:rsidP="0004051F">
      <w:pPr>
        <w:pStyle w:val="CETBodytext"/>
        <w:rPr>
          <w:lang w:val="en-GB"/>
        </w:rPr>
      </w:pPr>
      <w:r w:rsidRPr="00B80C07">
        <w:rPr>
          <w:lang w:val="en-GB"/>
        </w:rPr>
        <w:t xml:space="preserve">The experimental </w:t>
      </w:r>
      <w:r w:rsidR="003553A6" w:rsidRPr="00B80C07">
        <w:rPr>
          <w:lang w:val="en-GB"/>
        </w:rPr>
        <w:t>measurement</w:t>
      </w:r>
      <w:r w:rsidRPr="00B80C07">
        <w:rPr>
          <w:lang w:val="en-GB"/>
        </w:rPr>
        <w:t xml:space="preserve"> focused on the crude oils most frequently handled at the facility during the year</w:t>
      </w:r>
      <w:r w:rsidR="00FD21B9" w:rsidRPr="00B80C07">
        <w:rPr>
          <w:lang w:val="en-GB"/>
        </w:rPr>
        <w:t xml:space="preserve">. </w:t>
      </w:r>
      <w:r w:rsidRPr="00B80C07">
        <w:rPr>
          <w:lang w:val="en-GB"/>
        </w:rPr>
        <w:t xml:space="preserve">For crude oils for which direct measurements were not available, the HCOEC value was estimated by analogy with chemically and geographically similar crudes, assuming comparable odour emission behaviour. </w:t>
      </w:r>
      <w:r w:rsidR="003553A6" w:rsidRPr="00B80C07">
        <w:rPr>
          <w:lang w:val="en-GB"/>
        </w:rPr>
        <w:t xml:space="preserve"> </w:t>
      </w:r>
      <w:r w:rsidR="003A66EE" w:rsidRPr="00B80C07">
        <w:t>Based on the HCOEC values obtained for individual crude oils, a subsequent step was to derive representative values at the storage tank level.</w:t>
      </w:r>
      <w:r w:rsidR="003A66EE" w:rsidRPr="00B80C07">
        <w:rPr>
          <w:lang w:val="en-GB"/>
        </w:rPr>
        <w:t xml:space="preserve"> </w:t>
      </w:r>
      <w:r w:rsidR="00FD21B9" w:rsidRPr="00B80C07">
        <w:rPr>
          <w:lang w:val="en-GB"/>
        </w:rPr>
        <w:t>The estimation of tank-specific HCOEC was approached by considering the variability of crude oils stored over time within each tank. Since storage tanks are not dedicated to a single product but may receive different crude types throughout the year, the use of a</w:t>
      </w:r>
      <w:r w:rsidR="00B80C07" w:rsidRPr="00B80C07">
        <w:rPr>
          <w:lang w:val="en-GB"/>
        </w:rPr>
        <w:t>n</w:t>
      </w:r>
      <w:r w:rsidR="00FD21B9" w:rsidRPr="00B80C07">
        <w:rPr>
          <w:lang w:val="en-GB"/>
        </w:rPr>
        <w:t xml:space="preserve"> HCOEC value</w:t>
      </w:r>
      <w:r w:rsidR="00B80C07" w:rsidRPr="00B80C07">
        <w:rPr>
          <w:lang w:val="en-GB"/>
        </w:rPr>
        <w:t xml:space="preserve"> referred to a specific crude</w:t>
      </w:r>
      <w:r w:rsidR="00FD21B9" w:rsidRPr="00B80C07">
        <w:rPr>
          <w:lang w:val="en-GB"/>
        </w:rPr>
        <w:t xml:space="preserve"> may not fully reflect actual operating conditions if such variability is neglected.</w:t>
      </w:r>
      <w:r w:rsidR="003553A6" w:rsidRPr="00B80C07">
        <w:rPr>
          <w:lang w:val="en-GB"/>
        </w:rPr>
        <w:t xml:space="preserve"> </w:t>
      </w:r>
      <w:r w:rsidRPr="00B80C07">
        <w:rPr>
          <w:lang w:val="en-GB"/>
        </w:rPr>
        <w:t xml:space="preserve">To address this issue, a </w:t>
      </w:r>
      <w:r w:rsidR="00B80C07">
        <w:rPr>
          <w:lang w:val="en-GB"/>
        </w:rPr>
        <w:t xml:space="preserve">simple </w:t>
      </w:r>
      <w:r w:rsidRPr="00B80C07">
        <w:rPr>
          <w:lang w:val="en-GB"/>
        </w:rPr>
        <w:t>weighted averaging approach was adopted. For each tank, the available HCOEC values of the characterized crude oils were weighted according to their relative contribution to the annual throughput handled by that tank during the year</w:t>
      </w:r>
      <w:r w:rsidR="003A66EE" w:rsidRPr="00B80C07">
        <w:rPr>
          <w:lang w:val="en-GB"/>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453D75" w14:paraId="37C188B4" w14:textId="77777777" w:rsidTr="00453D75">
        <w:tc>
          <w:tcPr>
            <w:tcW w:w="5240" w:type="dxa"/>
          </w:tcPr>
          <w:p w14:paraId="331D637F" w14:textId="74C0F347" w:rsidR="00453D75" w:rsidRPr="00453D75" w:rsidRDefault="005E02C8" w:rsidP="00453D75">
            <w:pPr>
              <w:pStyle w:val="NormaleWeb"/>
            </w:p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HCOEC</m:t>
                  </m:r>
                </m:e>
                <m:sub>
                  <m:r>
                    <w:rPr>
                      <w:rFonts w:ascii="Cambria Math" w:hAnsi="Cambria Math" w:cstheme="minorBidi"/>
                      <w:color w:val="000000" w:themeColor="text1"/>
                      <w:kern w:val="24"/>
                    </w:rPr>
                    <m:t>x</m:t>
                  </m:r>
                </m:sub>
              </m:sSub>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nary>
                    <m:naryPr>
                      <m:chr m:val="∑"/>
                      <m:supHide m:val="1"/>
                      <m:ctrlPr>
                        <w:rPr>
                          <w:rFonts w:ascii="Cambria Math" w:eastAsiaTheme="minorEastAsia" w:hAnsi="Cambria Math" w:cstheme="minorBidi"/>
                          <w:i/>
                          <w:iCs/>
                          <w:color w:val="000000" w:themeColor="text1"/>
                          <w:kern w:val="24"/>
                        </w:rPr>
                      </m:ctrlPr>
                    </m:naryPr>
                    <m:sub>
                      <m:r>
                        <w:rPr>
                          <w:rFonts w:ascii="Cambria Math" w:hAnsi="Cambria Math" w:cstheme="minorBidi"/>
                          <w:color w:val="000000" w:themeColor="text1"/>
                          <w:kern w:val="24"/>
                        </w:rPr>
                        <m:t>i</m:t>
                      </m:r>
                    </m:sub>
                    <m:sup/>
                    <m:e>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HCOEC</m:t>
                          </m:r>
                        </m:e>
                        <m:sub>
                          <m:r>
                            <w:rPr>
                              <w:rFonts w:ascii="Cambria Math" w:hAnsi="Cambria Math" w:cstheme="minorBidi"/>
                              <w:color w:val="000000" w:themeColor="text1"/>
                              <w:kern w:val="24"/>
                            </w:rPr>
                            <m:t>i</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w</m:t>
                          </m:r>
                        </m:e>
                        <m:sub>
                          <m:r>
                            <w:rPr>
                              <w:rFonts w:ascii="Cambria Math" w:eastAsia="Cambria Math" w:hAnsi="Cambria Math" w:cstheme="minorBidi"/>
                              <w:color w:val="000000" w:themeColor="text1"/>
                              <w:kern w:val="24"/>
                            </w:rPr>
                            <m:t>i,x</m:t>
                          </m:r>
                        </m:sub>
                      </m:sSub>
                    </m:e>
                  </m:nary>
                </m:num>
                <m:den>
                  <m:nary>
                    <m:naryPr>
                      <m:chr m:val="∑"/>
                      <m:supHide m:val="1"/>
                      <m:ctrlPr>
                        <w:rPr>
                          <w:rFonts w:ascii="Cambria Math" w:eastAsiaTheme="minorEastAsia" w:hAnsi="Cambria Math" w:cstheme="minorBidi"/>
                          <w:i/>
                          <w:iCs/>
                          <w:color w:val="000000" w:themeColor="text1"/>
                          <w:kern w:val="24"/>
                        </w:rPr>
                      </m:ctrlPr>
                    </m:naryPr>
                    <m:sub>
                      <m:r>
                        <w:rPr>
                          <w:rFonts w:ascii="Cambria Math" w:hAnsi="Cambria Math" w:cstheme="minorBidi"/>
                          <w:color w:val="000000" w:themeColor="text1"/>
                          <w:kern w:val="24"/>
                        </w:rPr>
                        <m:t>i</m:t>
                      </m:r>
                    </m:sub>
                    <m:sup/>
                    <m:e>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w</m:t>
                          </m:r>
                        </m:e>
                        <m:sub>
                          <m:r>
                            <w:rPr>
                              <w:rFonts w:ascii="Cambria Math" w:eastAsia="Cambria Math" w:hAnsi="Cambria Math" w:cstheme="minorBidi"/>
                              <w:color w:val="000000" w:themeColor="text1"/>
                              <w:kern w:val="24"/>
                            </w:rPr>
                            <m:t>i,x</m:t>
                          </m:r>
                        </m:sub>
                      </m:sSub>
                    </m:e>
                  </m:nary>
                </m:den>
              </m:f>
            </m:oMath>
            <w:r w:rsidR="00453D75">
              <w:rPr>
                <w:iCs/>
                <w:color w:val="000000" w:themeColor="text1"/>
                <w:kern w:val="24"/>
                <w:sz w:val="22"/>
                <w:szCs w:val="22"/>
              </w:rPr>
              <w:t xml:space="preserve">    </w:t>
            </w:r>
            <m:oMath>
              <m:r>
                <w:rPr>
                  <w:rFonts w:ascii="Cambria Math" w:hAnsi="Cambria Math" w:cstheme="minorBidi"/>
                  <w:color w:val="000000" w:themeColor="text1"/>
                  <w:kern w:val="24"/>
                  <w:sz w:val="18"/>
                  <w:szCs w:val="18"/>
                </w:rPr>
                <m:t>i=crude</m:t>
              </m:r>
              <m:r>
                <w:rPr>
                  <w:rFonts w:ascii="Cambria Math" w:hAnsi="Cambria Math"/>
                  <w:color w:val="000000" w:themeColor="text1"/>
                  <w:kern w:val="24"/>
                </w:rPr>
                <m:t xml:space="preserve">    </m:t>
              </m:r>
              <m:r>
                <w:rPr>
                  <w:rFonts w:ascii="Cambria Math" w:hAnsi="Cambria Math" w:cstheme="minorBidi"/>
                  <w:color w:val="000000" w:themeColor="text1"/>
                  <w:kern w:val="24"/>
                  <w:sz w:val="18"/>
                  <w:szCs w:val="18"/>
                </w:rPr>
                <m:t>x=tank</m:t>
              </m:r>
            </m:oMath>
          </w:p>
          <w:p w14:paraId="50F9C207" w14:textId="77777777" w:rsidR="00453D75" w:rsidRDefault="00453D75" w:rsidP="00153710">
            <w:pPr>
              <w:pStyle w:val="CETBodytext"/>
              <w:rPr>
                <w:lang w:val="en-GB"/>
              </w:rPr>
            </w:pPr>
          </w:p>
        </w:tc>
        <w:tc>
          <w:tcPr>
            <w:tcW w:w="3537" w:type="dxa"/>
          </w:tcPr>
          <w:p w14:paraId="18956E9F" w14:textId="77777777" w:rsidR="00453D75" w:rsidRDefault="00453D75" w:rsidP="00153710">
            <w:pPr>
              <w:pStyle w:val="CETBodytext"/>
              <w:jc w:val="right"/>
              <w:rPr>
                <w:lang w:val="en-GB"/>
              </w:rPr>
            </w:pPr>
            <w:r>
              <w:rPr>
                <w:lang w:val="en-GB"/>
              </w:rPr>
              <w:t>(1)</w:t>
            </w:r>
          </w:p>
        </w:tc>
      </w:tr>
    </w:tbl>
    <w:p w14:paraId="5E85016C" w14:textId="651F426D" w:rsidR="00B80C07" w:rsidRDefault="00B80C07" w:rsidP="00453D75">
      <w:r>
        <w:t xml:space="preserve">where </w:t>
      </w:r>
      <m:oMath>
        <m:sSub>
          <m:sSubPr>
            <m:ctrlPr>
              <w:rPr>
                <w:rFonts w:ascii="Cambria Math" w:eastAsia="Cambria Math" w:hAnsi="Cambria Math" w:cstheme="minorBidi"/>
                <w:i/>
                <w:iCs/>
                <w:color w:val="000000" w:themeColor="text1"/>
                <w:kern w:val="24"/>
                <w:sz w:val="22"/>
                <w:szCs w:val="22"/>
              </w:rPr>
            </m:ctrlPr>
          </m:sSubPr>
          <m:e>
            <m:r>
              <w:rPr>
                <w:rFonts w:ascii="Cambria Math" w:eastAsia="Cambria Math" w:hAnsi="Cambria Math" w:cstheme="minorBidi"/>
                <w:color w:val="000000" w:themeColor="text1"/>
                <w:kern w:val="24"/>
                <w:sz w:val="22"/>
                <w:szCs w:val="22"/>
              </w:rPr>
              <m:t>w</m:t>
            </m:r>
          </m:e>
          <m:sub>
            <m:r>
              <w:rPr>
                <w:rFonts w:ascii="Cambria Math" w:eastAsia="Cambria Math" w:hAnsi="Cambria Math" w:cstheme="minorBidi"/>
                <w:color w:val="000000" w:themeColor="text1"/>
                <w:kern w:val="24"/>
                <w:sz w:val="22"/>
                <w:szCs w:val="22"/>
              </w:rPr>
              <m:t>i,x</m:t>
            </m:r>
          </m:sub>
        </m:sSub>
        <m:r>
          <w:rPr>
            <w:rFonts w:ascii="Cambria Math" w:eastAsia="Cambria Math" w:hAnsi="Cambria Math" w:cstheme="minorBidi"/>
            <w:color w:val="000000" w:themeColor="text1"/>
            <w:kern w:val="24"/>
            <w:sz w:val="22"/>
            <w:szCs w:val="22"/>
          </w:rPr>
          <m:t xml:space="preserve"> </m:t>
        </m:r>
      </m:oMath>
      <w:r w:rsidRPr="00B80C07">
        <w:t>represents the fractional throughput of crude</w:t>
      </w:r>
      <w:r w:rsidRPr="00B80C07">
        <w:rPr>
          <w:i/>
          <w:iCs/>
        </w:rPr>
        <w:t xml:space="preserve"> i</w:t>
      </w:r>
      <w:r w:rsidRPr="00B80C07">
        <w:t xml:space="preserve"> in tank</w:t>
      </w:r>
      <w:r w:rsidRPr="00B80C07">
        <w:rPr>
          <w:i/>
          <w:iCs/>
        </w:rPr>
        <w:t xml:space="preserve"> x</w:t>
      </w:r>
    </w:p>
    <w:p w14:paraId="50A5934A" w14:textId="5A641491" w:rsidR="0004051F" w:rsidRPr="0004051F" w:rsidRDefault="0004051F" w:rsidP="0004051F">
      <w:pPr>
        <w:pStyle w:val="CETBodytext"/>
        <w:rPr>
          <w:lang w:val="en-GB"/>
        </w:rPr>
      </w:pPr>
      <w:r w:rsidRPr="0004051F">
        <w:rPr>
          <w:lang w:val="en-GB"/>
        </w:rPr>
        <w:t xml:space="preserve">In this way, </w:t>
      </w:r>
      <w:r w:rsidR="00A34B75">
        <w:rPr>
          <w:lang w:val="en-GB"/>
        </w:rPr>
        <w:t>t</w:t>
      </w:r>
      <w:r w:rsidR="00A34B75" w:rsidRPr="00A34B75">
        <w:rPr>
          <w:lang w:val="en-GB"/>
        </w:rPr>
        <w:t>he resulting HCOEC value provides a practical representation of the mixture of crude oils handled over time, rather than relying on a single-crude assumption.</w:t>
      </w:r>
      <w:r w:rsidR="00A34B75">
        <w:rPr>
          <w:lang w:val="en-GB"/>
        </w:rPr>
        <w:t xml:space="preserve"> </w:t>
      </w:r>
      <w:r w:rsidR="003A66EE" w:rsidRPr="003A66EE">
        <w:rPr>
          <w:lang w:val="en-GB"/>
        </w:rPr>
        <w:t>The consistency of the approach was checked by verifying that the crude oils for which HCOEC data were available accounted for a significant fraction of the total annual throughput of each tank. On average, the characterized crudes represented approximately 80% of the handled volumes, suggesting a reasonable level of representativeness of the estimated tank-specific values.</w:t>
      </w:r>
    </w:p>
    <w:p w14:paraId="4600EDD6" w14:textId="2E3AE6DD" w:rsidR="0004051F" w:rsidRDefault="004E73C4" w:rsidP="006F6CD8">
      <w:pPr>
        <w:pStyle w:val="CETBodytext"/>
        <w:rPr>
          <w:lang w:val="en-GB"/>
        </w:rPr>
      </w:pPr>
      <w:r w:rsidRPr="00036493">
        <w:rPr>
          <w:lang w:val="en-GB"/>
        </w:rPr>
        <w:t xml:space="preserve">As shown in </w:t>
      </w:r>
      <w:r w:rsidR="00822956" w:rsidRPr="00036493">
        <w:rPr>
          <w:lang w:val="en-GB"/>
        </w:rPr>
        <w:fldChar w:fldCharType="begin"/>
      </w:r>
      <w:r w:rsidR="00822956" w:rsidRPr="00036493">
        <w:rPr>
          <w:lang w:val="en-GB"/>
        </w:rPr>
        <w:instrText xml:space="preserve"> REF _Ref227055728 \h  \* MERGEFORMAT </w:instrText>
      </w:r>
      <w:r w:rsidR="00822956" w:rsidRPr="00036493">
        <w:rPr>
          <w:lang w:val="en-GB"/>
        </w:rPr>
      </w:r>
      <w:r w:rsidR="00822956" w:rsidRPr="00036493">
        <w:rPr>
          <w:lang w:val="en-GB"/>
        </w:rPr>
        <w:fldChar w:fldCharType="separate"/>
      </w:r>
      <w:r w:rsidR="00822956" w:rsidRPr="00036493">
        <w:t>Figure 1</w:t>
      </w:r>
      <w:r w:rsidR="00822956" w:rsidRPr="00036493">
        <w:rPr>
          <w:lang w:val="en-GB"/>
        </w:rPr>
        <w:fldChar w:fldCharType="end"/>
      </w:r>
      <w:r w:rsidRPr="00036493">
        <w:rPr>
          <w:lang w:val="en-GB"/>
        </w:rPr>
        <w:t>,</w:t>
      </w:r>
      <w:r w:rsidRPr="00036493">
        <w:t xml:space="preserve"> the analysed crude oils exhibit a significant variability in HCOEC values</w:t>
      </w:r>
      <w:r w:rsidR="00E4533D">
        <w:t xml:space="preserve">. </w:t>
      </w:r>
      <w:r w:rsidR="00E4533D" w:rsidRPr="00E4533D">
        <w:t>It should be noted that the graphs are presented on a logarithmic scale, which highlights differences spanning up to two orders of magnitude among the individual crude oils.</w:t>
      </w:r>
      <w:r w:rsidR="00E4533D">
        <w:t xml:space="preserve"> </w:t>
      </w:r>
      <w:r w:rsidR="00582B74" w:rsidRPr="00582B74">
        <w:t xml:space="preserve">When aggregated at the tank level, this variability is partially smoothed by the throughput-weighted averaging, and the resulting tank-specific HCOEC values do not reach the highest levels observed for the most odorous individual crude oils. Overall, while extreme differences across individual crude oils can span orders of magnitude, the variability among the </w:t>
      </w:r>
      <w:r w:rsidR="00582B74">
        <w:t>tanks HCOEC i</w:t>
      </w:r>
      <w:r w:rsidR="00582B74" w:rsidRPr="00582B74">
        <w:t>s within a factor of about three.</w:t>
      </w:r>
    </w:p>
    <w:p w14:paraId="3E96F6F7" w14:textId="7F73D17A" w:rsidR="00802DBF" w:rsidRDefault="00E4533D" w:rsidP="00802DBF">
      <w:pPr>
        <w:pStyle w:val="CETBodytext"/>
        <w:keepNext/>
      </w:pPr>
      <w:r>
        <w:rPr>
          <w:noProof/>
        </w:rPr>
        <w:drawing>
          <wp:inline distT="0" distB="0" distL="0" distR="0" wp14:anchorId="487AF7AD" wp14:editId="09BD197C">
            <wp:extent cx="5760000" cy="183520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1835201"/>
                    </a:xfrm>
                    <a:prstGeom prst="rect">
                      <a:avLst/>
                    </a:prstGeom>
                    <a:noFill/>
                  </pic:spPr>
                </pic:pic>
              </a:graphicData>
            </a:graphic>
          </wp:inline>
        </w:drawing>
      </w:r>
    </w:p>
    <w:p w14:paraId="2335D126" w14:textId="666C3ABE" w:rsidR="0004051F" w:rsidRPr="00802DBF" w:rsidRDefault="00802DBF" w:rsidP="00802DBF">
      <w:pPr>
        <w:pStyle w:val="Didascalia"/>
        <w:rPr>
          <w:rStyle w:val="CETCaptionCarattere"/>
          <w:b w:val="0"/>
          <w:bCs w:val="0"/>
          <w:color w:val="auto"/>
        </w:rPr>
      </w:pPr>
      <w:bookmarkStart w:id="0" w:name="_Ref227055728"/>
      <w:r w:rsidRPr="00802DBF">
        <w:rPr>
          <w:rStyle w:val="CETCaptionCarattere"/>
          <w:b w:val="0"/>
          <w:bCs w:val="0"/>
          <w:color w:val="auto"/>
        </w:rPr>
        <w:t xml:space="preserve">Figure </w:t>
      </w:r>
      <w:r w:rsidRPr="00802DBF">
        <w:rPr>
          <w:rStyle w:val="CETCaptionCarattere"/>
          <w:b w:val="0"/>
          <w:bCs w:val="0"/>
          <w:color w:val="auto"/>
        </w:rPr>
        <w:fldChar w:fldCharType="begin"/>
      </w:r>
      <w:r w:rsidRPr="00802DBF">
        <w:rPr>
          <w:rStyle w:val="CETCaptionCarattere"/>
          <w:b w:val="0"/>
          <w:bCs w:val="0"/>
          <w:color w:val="auto"/>
        </w:rPr>
        <w:instrText xml:space="preserve"> SEQ Figure \* ARABIC </w:instrText>
      </w:r>
      <w:r w:rsidRPr="00802DBF">
        <w:rPr>
          <w:rStyle w:val="CETCaptionCarattere"/>
          <w:b w:val="0"/>
          <w:bCs w:val="0"/>
          <w:color w:val="auto"/>
        </w:rPr>
        <w:fldChar w:fldCharType="separate"/>
      </w:r>
      <w:r w:rsidRPr="00802DBF">
        <w:rPr>
          <w:rStyle w:val="CETCaptionCarattere"/>
          <w:b w:val="0"/>
          <w:bCs w:val="0"/>
          <w:color w:val="auto"/>
        </w:rPr>
        <w:t>1</w:t>
      </w:r>
      <w:r w:rsidRPr="00802DBF">
        <w:rPr>
          <w:rStyle w:val="CETCaptionCarattere"/>
          <w:b w:val="0"/>
          <w:bCs w:val="0"/>
          <w:color w:val="auto"/>
        </w:rPr>
        <w:fldChar w:fldCharType="end"/>
      </w:r>
      <w:bookmarkEnd w:id="0"/>
      <w:r w:rsidR="00453D75">
        <w:rPr>
          <w:rStyle w:val="CETCaptionCarattere"/>
          <w:b w:val="0"/>
          <w:bCs w:val="0"/>
          <w:color w:val="auto"/>
        </w:rPr>
        <w:t>:</w:t>
      </w:r>
      <w:r>
        <w:rPr>
          <w:rStyle w:val="CETCaptionCarattere"/>
          <w:b w:val="0"/>
          <w:bCs w:val="0"/>
          <w:color w:val="auto"/>
        </w:rPr>
        <w:t xml:space="preserve"> </w:t>
      </w:r>
      <w:r w:rsidRPr="00802DBF">
        <w:rPr>
          <w:rStyle w:val="CETCaptionCarattere"/>
          <w:b w:val="0"/>
          <w:bCs w:val="0"/>
          <w:color w:val="auto"/>
        </w:rPr>
        <w:t>Variability of HCOEC values for individual crude oils (left) and corresponding tank-specific HCOEC values (right) derived through throughput-weighted averaging</w:t>
      </w:r>
    </w:p>
    <w:p w14:paraId="7BE1BC63" w14:textId="1E051F3F" w:rsidR="0004051F" w:rsidRDefault="0004051F" w:rsidP="006F6CD8">
      <w:pPr>
        <w:pStyle w:val="CETBodytext"/>
        <w:rPr>
          <w:lang w:val="en-GB"/>
        </w:rPr>
      </w:pPr>
    </w:p>
    <w:p w14:paraId="0385FC09" w14:textId="6B9151DE" w:rsidR="00A44EC6" w:rsidRPr="00A44EC6" w:rsidRDefault="00A44EC6" w:rsidP="00A44EC6">
      <w:pPr>
        <w:pStyle w:val="CETheadingx"/>
        <w:rPr>
          <w:lang w:val="en-GB"/>
        </w:rPr>
      </w:pPr>
      <w:r>
        <w:t>Estimation of VOC</w:t>
      </w:r>
      <w:r w:rsidRPr="00A44EC6">
        <w:t xml:space="preserve"> losses from floating-roof tanks</w:t>
      </w:r>
    </w:p>
    <w:p w14:paraId="5F6BC39B" w14:textId="5EDA29C4" w:rsidR="00A44EC6" w:rsidRPr="00A44EC6" w:rsidRDefault="00A44EC6" w:rsidP="00A44EC6">
      <w:pPr>
        <w:pStyle w:val="CETBodytext"/>
        <w:rPr>
          <w:lang w:val="en-GB"/>
        </w:rPr>
      </w:pPr>
      <w:r w:rsidRPr="00A44EC6">
        <w:rPr>
          <w:lang w:val="en-GB"/>
        </w:rPr>
        <w:t xml:space="preserve">In this study, VOC emissions were estimated using the US EPA AP-42 methodology, which provides empirical correlations to quantify fugitive losses from storage tanks. The total annual </w:t>
      </w:r>
      <w:r>
        <w:rPr>
          <w:lang w:val="en-GB"/>
        </w:rPr>
        <w:t>mass flux</w:t>
      </w:r>
      <w:r w:rsidRPr="00A44EC6">
        <w:rPr>
          <w:lang w:val="en-GB"/>
        </w:rPr>
        <w:t xml:space="preserve"> (kg</w:t>
      </w:r>
      <w:r w:rsidR="005A0774">
        <w:rPr>
          <w:lang w:val="en-GB"/>
        </w:rPr>
        <w:t>/</w:t>
      </w:r>
      <w:r w:rsidRPr="00A44EC6">
        <w:rPr>
          <w:lang w:val="en-GB"/>
        </w:rPr>
        <w:t xml:space="preserve">y) was calculated as the sum of different contributions, </w:t>
      </w:r>
      <w:r w:rsidR="00234108" w:rsidRPr="00234108">
        <w:rPr>
          <w:lang w:val="en-GB"/>
        </w:rPr>
        <w:t>including rim seal losses (emissions from the seal between the floating roof and the tank wall), withdrawal losses (associated with liquid level decrease and the evaporation of the liquid film left on the walls),</w:t>
      </w:r>
      <w:r w:rsidR="00A34B75">
        <w:rPr>
          <w:lang w:val="en-GB"/>
        </w:rPr>
        <w:t xml:space="preserve"> and</w:t>
      </w:r>
      <w:r w:rsidR="00234108" w:rsidRPr="00234108">
        <w:rPr>
          <w:lang w:val="en-GB"/>
        </w:rPr>
        <w:t xml:space="preserve"> deck fitting losses (emissions from roof penetrations such as hatches and gauge wells)</w:t>
      </w:r>
      <w:r w:rsidR="00A34B75">
        <w:rPr>
          <w:lang w:val="en-GB"/>
        </w:rPr>
        <w:t>.</w:t>
      </w:r>
    </w:p>
    <w:p w14:paraId="4C53C479" w14:textId="50855015" w:rsidR="00A44EC6" w:rsidRPr="00A44EC6" w:rsidRDefault="00A44EC6" w:rsidP="00A44EC6">
      <w:pPr>
        <w:pStyle w:val="CETBodytext"/>
        <w:rPr>
          <w:lang w:val="en-GB"/>
        </w:rPr>
      </w:pPr>
      <w:r w:rsidRPr="00A44EC6">
        <w:rPr>
          <w:lang w:val="en-GB"/>
        </w:rPr>
        <w:t>To improve the temporal resolution of emissions, a refinement was introduced for withdrawal losses. This contribution was allocated only to the hours in which the tank level was decreasing and weighted according to the actual withdrawal rate, while it was set to zero during filling or idle conditions.</w:t>
      </w:r>
    </w:p>
    <w:p w14:paraId="10893263" w14:textId="530D6EBF" w:rsidR="00A44EC6" w:rsidRPr="00A44EC6" w:rsidRDefault="00A44EC6" w:rsidP="00A44EC6">
      <w:pPr>
        <w:pStyle w:val="CETBodytext"/>
        <w:rPr>
          <w:lang w:val="en-GB"/>
        </w:rPr>
      </w:pPr>
      <w:r w:rsidRPr="00A44EC6">
        <w:rPr>
          <w:lang w:val="en-GB"/>
        </w:rPr>
        <w:t>All other emission components, representing standing losses, were instead uniformly distributed over the entire year. This approach allowed the derivation of an hourly-resolved emission profile for each tank.</w:t>
      </w:r>
    </w:p>
    <w:p w14:paraId="2B3DBD60" w14:textId="056F2046" w:rsidR="00234108" w:rsidRDefault="00A44EC6" w:rsidP="00A44EC6">
      <w:pPr>
        <w:pStyle w:val="CETBodytext"/>
        <w:rPr>
          <w:lang w:val="en-GB"/>
        </w:rPr>
      </w:pPr>
      <w:r w:rsidRPr="00A44EC6">
        <w:rPr>
          <w:lang w:val="en-GB"/>
        </w:rPr>
        <w:t xml:space="preserve">The resulting time-varying </w:t>
      </w:r>
      <w:r w:rsidR="00BA1FB3">
        <w:rPr>
          <w:lang w:val="en-GB"/>
        </w:rPr>
        <w:t>VOC losses</w:t>
      </w:r>
      <w:r w:rsidR="005A0774">
        <w:rPr>
          <w:lang w:val="en-GB"/>
        </w:rPr>
        <w:t xml:space="preserve"> (</w:t>
      </w:r>
      <w:r w:rsidR="005A0774" w:rsidRPr="004212BD">
        <w:rPr>
          <w:i/>
          <w:iCs/>
          <w:lang w:val="en-GB"/>
        </w:rPr>
        <w:t>L</w:t>
      </w:r>
      <w:r w:rsidR="005A0774" w:rsidRPr="004212BD">
        <w:rPr>
          <w:i/>
          <w:iCs/>
          <w:vertAlign w:val="subscript"/>
          <w:lang w:val="en-GB"/>
        </w:rPr>
        <w:t>tot</w:t>
      </w:r>
      <w:r w:rsidR="005A0774">
        <w:rPr>
          <w:lang w:val="en-GB"/>
        </w:rPr>
        <w:t>)</w:t>
      </w:r>
      <w:r w:rsidRPr="00A44EC6">
        <w:rPr>
          <w:lang w:val="en-GB"/>
        </w:rPr>
        <w:t xml:space="preserve"> were then combined with the tank-specific HCOEC values to estimate the corresponding </w:t>
      </w:r>
      <w:r w:rsidR="00A42CB1">
        <w:rPr>
          <w:lang w:val="en-GB"/>
        </w:rPr>
        <w:t xml:space="preserve">Odour Emission Rate, </w:t>
      </w:r>
      <w:r w:rsidR="005A0774" w:rsidRPr="004212BD">
        <w:rPr>
          <w:i/>
          <w:iCs/>
          <w:lang w:val="en-GB"/>
        </w:rPr>
        <w:t>OER</w:t>
      </w:r>
      <w:r w:rsidR="00A42CB1">
        <w:rPr>
          <w:lang w:val="en-GB"/>
        </w:rPr>
        <w:t>,</w:t>
      </w:r>
      <w:r w:rsidRPr="00A44EC6">
        <w:rPr>
          <w:lang w:val="en-GB"/>
        </w:rPr>
        <w:t xml:space="preserve"> on an hourly basis.</w:t>
      </w:r>
    </w:p>
    <w:p w14:paraId="70994EEF" w14:textId="77777777" w:rsidR="00802DBF" w:rsidRDefault="00802DBF" w:rsidP="00A44EC6">
      <w:pPr>
        <w:pStyle w:val="CETBodytext"/>
        <w:rPr>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802DBF" w14:paraId="30A770C1" w14:textId="77777777" w:rsidTr="00802DBF">
        <w:tc>
          <w:tcPr>
            <w:tcW w:w="4388" w:type="dxa"/>
          </w:tcPr>
          <w:p w14:paraId="705EF415" w14:textId="1D4C3501" w:rsidR="00802DBF" w:rsidRPr="004212BD" w:rsidRDefault="00802DBF" w:rsidP="00802DBF">
            <m:oMathPara>
              <m:oMathParaPr>
                <m:jc m:val="left"/>
              </m:oMathParaPr>
              <m:oMath>
                <m:r>
                  <w:rPr>
                    <w:rFonts w:ascii="Cambria Math" w:hAnsi="Cambria Math"/>
                  </w:rPr>
                  <m:t xml:space="preserve">OER = </m:t>
                </m:r>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 xml:space="preserve">∙HCOEC </m:t>
                </m:r>
              </m:oMath>
            </m:oMathPara>
          </w:p>
          <w:p w14:paraId="380D3D9F" w14:textId="77777777" w:rsidR="00802DBF" w:rsidRDefault="00802DBF" w:rsidP="00A44EC6">
            <w:pPr>
              <w:pStyle w:val="CETBodytext"/>
              <w:rPr>
                <w:lang w:val="en-GB"/>
              </w:rPr>
            </w:pPr>
          </w:p>
        </w:tc>
        <w:tc>
          <w:tcPr>
            <w:tcW w:w="4389" w:type="dxa"/>
          </w:tcPr>
          <w:p w14:paraId="6F01BC73" w14:textId="54276189" w:rsidR="00802DBF" w:rsidRDefault="00802DBF" w:rsidP="00802DBF">
            <w:pPr>
              <w:pStyle w:val="CETBodytext"/>
              <w:jc w:val="right"/>
              <w:rPr>
                <w:lang w:val="en-GB"/>
              </w:rPr>
            </w:pPr>
            <w:r>
              <w:rPr>
                <w:lang w:val="en-GB"/>
              </w:rPr>
              <w:t>(</w:t>
            </w:r>
            <w:r w:rsidR="0054228F">
              <w:rPr>
                <w:lang w:val="en-GB"/>
              </w:rPr>
              <w:t>2</w:t>
            </w:r>
            <w:r>
              <w:rPr>
                <w:lang w:val="en-GB"/>
              </w:rPr>
              <w:t>)</w:t>
            </w:r>
          </w:p>
        </w:tc>
      </w:tr>
    </w:tbl>
    <w:p w14:paraId="458C8256" w14:textId="7734EDFE" w:rsidR="0004051F" w:rsidRDefault="00A44EC6" w:rsidP="00A44EC6">
      <w:pPr>
        <w:pStyle w:val="CETBodytext"/>
        <w:rPr>
          <w:lang w:val="en-GB"/>
        </w:rPr>
      </w:pPr>
      <w:r w:rsidRPr="00A44EC6">
        <w:rPr>
          <w:lang w:val="en-GB"/>
        </w:rPr>
        <w:t>This methodology avoids the use of long-term averaged emissions, which may smooth out short-term variability and underestimate peak emission events potentially responsible for odour nuisance.</w:t>
      </w:r>
    </w:p>
    <w:p w14:paraId="449B1925" w14:textId="336EBDA1" w:rsidR="00BC020E" w:rsidRDefault="00BC020E" w:rsidP="00A44EC6">
      <w:pPr>
        <w:pStyle w:val="CETBodytext"/>
        <w:rPr>
          <w:lang w:val="en-GB"/>
        </w:rPr>
      </w:pPr>
    </w:p>
    <w:p w14:paraId="10127415" w14:textId="382BEB99" w:rsidR="00736E59" w:rsidRPr="00736E59" w:rsidRDefault="00736E59" w:rsidP="00736E59">
      <w:pPr>
        <w:pStyle w:val="CETheadingx"/>
      </w:pPr>
      <w:r>
        <w:t>E</w:t>
      </w:r>
      <w:r w:rsidRPr="00736E59">
        <w:t xml:space="preserve">mission </w:t>
      </w:r>
      <w:r>
        <w:t>s</w:t>
      </w:r>
      <w:r w:rsidRPr="00736E59">
        <w:t xml:space="preserve">ource </w:t>
      </w:r>
      <w:r>
        <w:t>p</w:t>
      </w:r>
      <w:r w:rsidRPr="00736E59">
        <w:t xml:space="preserve">arameterization for </w:t>
      </w:r>
      <w:r>
        <w:t>d</w:t>
      </w:r>
      <w:r w:rsidRPr="00736E59">
        <w:t xml:space="preserve">ispersion </w:t>
      </w:r>
      <w:r>
        <w:t>m</w:t>
      </w:r>
      <w:r w:rsidRPr="00736E59">
        <w:t>odelling</w:t>
      </w:r>
    </w:p>
    <w:p w14:paraId="171004DD" w14:textId="6803F338" w:rsidR="00802DBF" w:rsidRDefault="00802DBF" w:rsidP="00736E59">
      <w:pPr>
        <w:pStyle w:val="CETBodytext"/>
        <w:rPr>
          <w:lang w:val="en-GB"/>
        </w:rPr>
      </w:pPr>
      <w:r w:rsidRPr="00802DBF">
        <w:rPr>
          <w:lang w:val="en-GB"/>
        </w:rPr>
        <w:t>In the dispersion modelling framework, the EFRTs were represented as diffuse emission sources, consistently with the physical nature of the emission mechanisms previously described. Given the absence of well-defined release points and the spatial distribution of emissions across the tank surface and peripheral components, each tank was modelled as an area</w:t>
      </w:r>
      <w:r>
        <w:rPr>
          <w:lang w:val="en-GB"/>
        </w:rPr>
        <w:t xml:space="preserve"> </w:t>
      </w:r>
      <w:r w:rsidRPr="00802DBF">
        <w:rPr>
          <w:lang w:val="en-GB"/>
        </w:rPr>
        <w:t>source within the CALPUFF domain.</w:t>
      </w:r>
      <w:r>
        <w:rPr>
          <w:lang w:val="en-GB"/>
        </w:rPr>
        <w:t xml:space="preserve"> </w:t>
      </w:r>
      <w:r w:rsidR="00736E59" w:rsidRPr="00736E59">
        <w:rPr>
          <w:lang w:val="en-GB"/>
        </w:rPr>
        <w:t>The emission height was set equal to the tank wall height, while the emitting surface corresponded to the circular plan area of each tank, derived from its diameter.</w:t>
      </w:r>
      <w:r w:rsidR="003553A6">
        <w:rPr>
          <w:lang w:val="en-GB"/>
        </w:rPr>
        <w:t xml:space="preserve"> </w:t>
      </w:r>
      <w:r w:rsidR="00736E59" w:rsidRPr="00736E59">
        <w:rPr>
          <w:lang w:val="en-GB"/>
        </w:rPr>
        <w:t>The initial vertical dispersion coefficient (σ</w:t>
      </w:r>
      <w:r w:rsidRPr="00802DBF">
        <w:rPr>
          <w:rFonts w:ascii="Cambria Math" w:hAnsi="Cambria Math" w:cs="Cambria Math"/>
          <w:vertAlign w:val="subscript"/>
          <w:lang w:val="en-GB"/>
        </w:rPr>
        <w:t>z0</w:t>
      </w:r>
      <w:r w:rsidR="00736E59" w:rsidRPr="00736E59">
        <w:rPr>
          <w:lang w:val="en-GB"/>
        </w:rPr>
        <w:t>) was estimated following the AERMOD User</w:t>
      </w:r>
      <w:r w:rsidR="00736E59" w:rsidRPr="00736E59">
        <w:rPr>
          <w:rFonts w:cs="Arial"/>
          <w:lang w:val="en-GB"/>
        </w:rPr>
        <w:t>’</w:t>
      </w:r>
      <w:r w:rsidR="00736E59" w:rsidRPr="00736E59">
        <w:rPr>
          <w:lang w:val="en-GB"/>
        </w:rPr>
        <w:t xml:space="preserve">s Guide, by dividing the source height by a factor of 2.15, thereby defining the initial vertical extent of the emitted </w:t>
      </w:r>
      <w:r w:rsidR="00A34B75">
        <w:rPr>
          <w:lang w:val="en-GB"/>
        </w:rPr>
        <w:t>puff</w:t>
      </w:r>
      <w:r w:rsidR="00736E59" w:rsidRPr="00736E59">
        <w:rPr>
          <w:lang w:val="en-GB"/>
        </w:rPr>
        <w:t>.</w:t>
      </w:r>
      <w:r w:rsidR="003553A6">
        <w:rPr>
          <w:lang w:val="en-GB"/>
        </w:rPr>
        <w:t xml:space="preserve"> </w:t>
      </w:r>
      <w:r w:rsidR="00736E59" w:rsidRPr="00736E59">
        <w:rPr>
          <w:lang w:val="en-GB"/>
        </w:rPr>
        <w:t xml:space="preserve">Each tank was modelled as an independent source with hourly varying </w:t>
      </w:r>
      <w:r w:rsidR="005A0774">
        <w:rPr>
          <w:lang w:val="en-GB"/>
        </w:rPr>
        <w:t>OER</w:t>
      </w:r>
      <w:r>
        <w:rPr>
          <w:lang w:val="en-GB"/>
        </w:rPr>
        <w:t>.</w:t>
      </w:r>
      <w:r w:rsidR="003553A6">
        <w:rPr>
          <w:lang w:val="en-GB"/>
        </w:rPr>
        <w:t xml:space="preserve"> </w:t>
      </w:r>
      <w:r w:rsidRPr="00802DBF">
        <w:rPr>
          <w:lang w:val="en-GB"/>
        </w:rPr>
        <w:t xml:space="preserve">The geometric characteristics of the tanks and the corresponding </w:t>
      </w:r>
      <w:r w:rsidR="00A42CB1">
        <w:rPr>
          <w:lang w:val="en-GB"/>
        </w:rPr>
        <w:t xml:space="preserve">annual </w:t>
      </w:r>
      <w:r>
        <w:rPr>
          <w:lang w:val="en-GB"/>
        </w:rPr>
        <w:t>OER</w:t>
      </w:r>
      <w:r w:rsidRPr="00802DBF">
        <w:rPr>
          <w:lang w:val="en-GB"/>
        </w:rPr>
        <w:t xml:space="preserve"> are repo</w:t>
      </w:r>
      <w:r w:rsidRPr="00822956">
        <w:rPr>
          <w:lang w:val="en-GB"/>
        </w:rPr>
        <w:t xml:space="preserve">rted in </w:t>
      </w:r>
      <w:r w:rsidR="00822956" w:rsidRPr="00822956">
        <w:rPr>
          <w:lang w:val="en-GB"/>
        </w:rPr>
        <w:fldChar w:fldCharType="begin"/>
      </w:r>
      <w:r w:rsidR="00822956" w:rsidRPr="00822956">
        <w:rPr>
          <w:lang w:val="en-GB"/>
        </w:rPr>
        <w:instrText xml:space="preserve"> REF _Ref227055707 \h  \* MERGEFORMAT </w:instrText>
      </w:r>
      <w:r w:rsidR="00822956" w:rsidRPr="00822956">
        <w:rPr>
          <w:lang w:val="en-GB"/>
        </w:rPr>
      </w:r>
      <w:r w:rsidR="00822956" w:rsidRPr="00822956">
        <w:rPr>
          <w:lang w:val="en-GB"/>
        </w:rPr>
        <w:fldChar w:fldCharType="separate"/>
      </w:r>
      <w:r w:rsidR="00822956" w:rsidRPr="00822956">
        <w:t>Table 1</w:t>
      </w:r>
      <w:r w:rsidR="00822956" w:rsidRPr="00822956">
        <w:rPr>
          <w:lang w:val="en-GB"/>
        </w:rPr>
        <w:fldChar w:fldCharType="end"/>
      </w:r>
      <w:r w:rsidR="00822956" w:rsidRPr="00822956">
        <w:rPr>
          <w:lang w:val="en-GB"/>
        </w:rPr>
        <w:t>.</w:t>
      </w:r>
    </w:p>
    <w:p w14:paraId="664CF00F" w14:textId="77777777" w:rsidR="00822956" w:rsidRPr="00822956" w:rsidRDefault="00822956" w:rsidP="00736E59">
      <w:pPr>
        <w:pStyle w:val="CETBodytext"/>
        <w:rPr>
          <w:lang w:val="en-GB"/>
        </w:rPr>
      </w:pPr>
    </w:p>
    <w:p w14:paraId="366ECD4E" w14:textId="5220C93E" w:rsidR="00802DBF" w:rsidRPr="00802DBF" w:rsidRDefault="00802DBF" w:rsidP="00802DBF">
      <w:pPr>
        <w:pStyle w:val="Didascalia"/>
        <w:rPr>
          <w:rStyle w:val="CETCaptionCarattere"/>
          <w:b w:val="0"/>
          <w:bCs w:val="0"/>
          <w:color w:val="auto"/>
        </w:rPr>
      </w:pPr>
      <w:bookmarkStart w:id="1" w:name="_Ref227055707"/>
      <w:r w:rsidRPr="00802DBF">
        <w:rPr>
          <w:rStyle w:val="CETCaptionCarattere"/>
          <w:b w:val="0"/>
          <w:bCs w:val="0"/>
          <w:color w:val="auto"/>
        </w:rPr>
        <w:t xml:space="preserve">Table </w:t>
      </w:r>
      <w:r w:rsidRPr="00802DBF">
        <w:rPr>
          <w:rStyle w:val="CETCaptionCarattere"/>
          <w:b w:val="0"/>
          <w:bCs w:val="0"/>
          <w:color w:val="auto"/>
        </w:rPr>
        <w:fldChar w:fldCharType="begin"/>
      </w:r>
      <w:r w:rsidRPr="00802DBF">
        <w:rPr>
          <w:rStyle w:val="CETCaptionCarattere"/>
          <w:b w:val="0"/>
          <w:bCs w:val="0"/>
          <w:color w:val="auto"/>
        </w:rPr>
        <w:instrText xml:space="preserve"> SEQ Table \* ARABIC </w:instrText>
      </w:r>
      <w:r w:rsidRPr="00802DBF">
        <w:rPr>
          <w:rStyle w:val="CETCaptionCarattere"/>
          <w:b w:val="0"/>
          <w:bCs w:val="0"/>
          <w:color w:val="auto"/>
        </w:rPr>
        <w:fldChar w:fldCharType="separate"/>
      </w:r>
      <w:r w:rsidRPr="00802DBF">
        <w:rPr>
          <w:rStyle w:val="CETCaptionCarattere"/>
          <w:b w:val="0"/>
          <w:bCs w:val="0"/>
          <w:color w:val="auto"/>
        </w:rPr>
        <w:t>1</w:t>
      </w:r>
      <w:r w:rsidRPr="00802DBF">
        <w:rPr>
          <w:rStyle w:val="CETCaptionCarattere"/>
          <w:b w:val="0"/>
          <w:bCs w:val="0"/>
          <w:color w:val="auto"/>
        </w:rPr>
        <w:fldChar w:fldCharType="end"/>
      </w:r>
      <w:bookmarkEnd w:id="1"/>
      <w:r w:rsidR="00453D75">
        <w:rPr>
          <w:rStyle w:val="CETCaptionCarattere"/>
          <w:b w:val="0"/>
          <w:bCs w:val="0"/>
          <w:color w:val="auto"/>
        </w:rPr>
        <w:t>:</w:t>
      </w:r>
      <w:r w:rsidR="00822956">
        <w:rPr>
          <w:rStyle w:val="CETCaptionCarattere"/>
          <w:b w:val="0"/>
          <w:bCs w:val="0"/>
          <w:color w:val="auto"/>
        </w:rPr>
        <w:t xml:space="preserve"> </w:t>
      </w:r>
      <w:r w:rsidR="00822956" w:rsidRPr="00822956">
        <w:rPr>
          <w:rStyle w:val="CETCaptionCarattere"/>
          <w:b w:val="0"/>
          <w:bCs w:val="0"/>
          <w:color w:val="auto"/>
        </w:rPr>
        <w:t xml:space="preserve">Tank geometry and associated </w:t>
      </w:r>
      <w:r w:rsidR="00822956">
        <w:rPr>
          <w:rStyle w:val="CETCaptionCarattere"/>
          <w:b w:val="0"/>
          <w:bCs w:val="0"/>
          <w:color w:val="auto"/>
        </w:rPr>
        <w:t>OER</w:t>
      </w:r>
      <w:r w:rsidR="00822956" w:rsidRPr="00822956">
        <w:rPr>
          <w:rStyle w:val="CETCaptionCarattere"/>
          <w:b w:val="0"/>
          <w:bCs w:val="0"/>
          <w:color w:val="auto"/>
        </w:rPr>
        <w:t xml:space="preserve"> for the EFRTs.</w:t>
      </w:r>
    </w:p>
    <w:tbl>
      <w:tblPr>
        <w:tblW w:w="415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805"/>
        <w:gridCol w:w="1497"/>
        <w:gridCol w:w="1497"/>
        <w:gridCol w:w="1494"/>
      </w:tblGrid>
      <w:tr w:rsidR="00BE3622" w:rsidRPr="00405395" w14:paraId="4C66006B" w14:textId="46B4F4B6" w:rsidTr="00BE3622">
        <w:tc>
          <w:tcPr>
            <w:tcW w:w="1924" w:type="pct"/>
            <w:tcBorders>
              <w:top w:val="single" w:sz="12" w:space="0" w:color="008000"/>
              <w:bottom w:val="single" w:sz="6" w:space="0" w:color="008000"/>
            </w:tcBorders>
            <w:shd w:val="clear" w:color="auto" w:fill="FFFFFF"/>
            <w:vAlign w:val="center"/>
          </w:tcPr>
          <w:p w14:paraId="00432257" w14:textId="217808E0" w:rsidR="00BE3622" w:rsidRPr="00405395" w:rsidRDefault="00BE3622" w:rsidP="00822956">
            <w:pPr>
              <w:pStyle w:val="CETBodytext"/>
              <w:rPr>
                <w:rFonts w:cs="Arial"/>
                <w:szCs w:val="18"/>
                <w:lang w:val="en-GB"/>
              </w:rPr>
            </w:pPr>
            <w:r>
              <w:rPr>
                <w:rFonts w:cs="Arial"/>
                <w:szCs w:val="18"/>
                <w:lang w:val="en-GB"/>
              </w:rPr>
              <w:t>Emission source</w:t>
            </w:r>
          </w:p>
        </w:tc>
        <w:tc>
          <w:tcPr>
            <w:tcW w:w="1026" w:type="pct"/>
            <w:tcBorders>
              <w:top w:val="single" w:sz="12" w:space="0" w:color="008000"/>
              <w:bottom w:val="single" w:sz="6" w:space="0" w:color="008000"/>
            </w:tcBorders>
            <w:shd w:val="clear" w:color="auto" w:fill="FFFFFF"/>
            <w:vAlign w:val="bottom"/>
          </w:tcPr>
          <w:p w14:paraId="436FF0DB" w14:textId="38905895" w:rsidR="00BE3622" w:rsidRPr="00405395" w:rsidRDefault="00BE3622" w:rsidP="00822956">
            <w:pPr>
              <w:pStyle w:val="CETBodytext"/>
              <w:rPr>
                <w:rFonts w:cs="Arial"/>
                <w:szCs w:val="18"/>
                <w:lang w:val="en-GB"/>
              </w:rPr>
            </w:pPr>
            <w:r w:rsidRPr="00822956">
              <w:rPr>
                <w:rFonts w:cs="Arial"/>
                <w:szCs w:val="18"/>
                <w:lang w:val="en-GB"/>
              </w:rPr>
              <w:t>D [m]</w:t>
            </w:r>
          </w:p>
        </w:tc>
        <w:tc>
          <w:tcPr>
            <w:tcW w:w="1026" w:type="pct"/>
            <w:tcBorders>
              <w:top w:val="single" w:sz="12" w:space="0" w:color="008000"/>
              <w:bottom w:val="single" w:sz="6" w:space="0" w:color="008000"/>
            </w:tcBorders>
            <w:shd w:val="clear" w:color="auto" w:fill="FFFFFF"/>
            <w:vAlign w:val="bottom"/>
          </w:tcPr>
          <w:p w14:paraId="4C473DC1" w14:textId="26938FDD" w:rsidR="00BE3622" w:rsidRPr="00405395" w:rsidRDefault="00BE3622" w:rsidP="00822956">
            <w:pPr>
              <w:pStyle w:val="CETBodytext"/>
              <w:rPr>
                <w:rFonts w:cs="Arial"/>
                <w:szCs w:val="18"/>
                <w:lang w:val="en-GB"/>
              </w:rPr>
            </w:pPr>
            <w:r w:rsidRPr="00822956">
              <w:rPr>
                <w:rFonts w:cs="Arial"/>
                <w:szCs w:val="18"/>
                <w:lang w:val="en-GB"/>
              </w:rPr>
              <w:t>H [m]</w:t>
            </w:r>
          </w:p>
        </w:tc>
        <w:tc>
          <w:tcPr>
            <w:tcW w:w="1024" w:type="pct"/>
            <w:tcBorders>
              <w:top w:val="single" w:sz="12" w:space="0" w:color="008000"/>
              <w:bottom w:val="single" w:sz="6" w:space="0" w:color="008000"/>
            </w:tcBorders>
            <w:shd w:val="clear" w:color="auto" w:fill="FFFFFF"/>
          </w:tcPr>
          <w:p w14:paraId="271CC11C" w14:textId="09048493" w:rsidR="00BE3622" w:rsidRPr="00405395" w:rsidRDefault="00BE3622" w:rsidP="00822956">
            <w:pPr>
              <w:pStyle w:val="CETBodytext"/>
              <w:rPr>
                <w:rFonts w:cs="Arial"/>
                <w:szCs w:val="18"/>
                <w:lang w:val="en-GB"/>
              </w:rPr>
            </w:pPr>
            <w:r>
              <w:rPr>
                <w:rFonts w:cs="Arial"/>
                <w:szCs w:val="18"/>
                <w:lang w:val="en-GB"/>
              </w:rPr>
              <w:t>O</w:t>
            </w:r>
            <w:r w:rsidRPr="00405395">
              <w:rPr>
                <w:rFonts w:cs="Arial"/>
                <w:szCs w:val="18"/>
                <w:lang w:val="en-GB"/>
              </w:rPr>
              <w:t>ER [ou</w:t>
            </w:r>
            <w:r w:rsidRPr="00822956">
              <w:rPr>
                <w:rFonts w:cs="Arial"/>
                <w:szCs w:val="18"/>
                <w:vertAlign w:val="subscript"/>
                <w:lang w:val="en-GB"/>
              </w:rPr>
              <w:t>E</w:t>
            </w:r>
            <w:r w:rsidRPr="00405395">
              <w:rPr>
                <w:rFonts w:cs="Arial"/>
                <w:szCs w:val="18"/>
                <w:lang w:val="en-GB"/>
              </w:rPr>
              <w:t>/</w:t>
            </w:r>
            <w:r>
              <w:rPr>
                <w:rFonts w:cs="Arial"/>
                <w:szCs w:val="18"/>
                <w:lang w:val="en-GB"/>
              </w:rPr>
              <w:t>y</w:t>
            </w:r>
            <w:r w:rsidRPr="00405395">
              <w:rPr>
                <w:rFonts w:cs="Arial"/>
                <w:szCs w:val="18"/>
                <w:lang w:val="en-GB"/>
              </w:rPr>
              <w:t>]</w:t>
            </w:r>
          </w:p>
        </w:tc>
      </w:tr>
      <w:tr w:rsidR="00BE3622" w:rsidRPr="00405395" w14:paraId="1490251A" w14:textId="15292498" w:rsidTr="00BE3622">
        <w:tc>
          <w:tcPr>
            <w:tcW w:w="1924" w:type="pct"/>
            <w:shd w:val="clear" w:color="auto" w:fill="FFFFFF"/>
            <w:vAlign w:val="center"/>
          </w:tcPr>
          <w:p w14:paraId="002AE1D1" w14:textId="2030D39A" w:rsidR="00BE3622" w:rsidRPr="00405395" w:rsidRDefault="00BE3622" w:rsidP="00822956">
            <w:pPr>
              <w:pStyle w:val="CETBodytext"/>
              <w:rPr>
                <w:rFonts w:cs="Arial"/>
                <w:szCs w:val="18"/>
                <w:lang w:val="en-GB"/>
              </w:rPr>
            </w:pPr>
            <w:r w:rsidRPr="00822956">
              <w:rPr>
                <w:rFonts w:cs="Arial"/>
                <w:szCs w:val="18"/>
                <w:lang w:val="en-GB"/>
              </w:rPr>
              <w:t>TK1</w:t>
            </w:r>
          </w:p>
        </w:tc>
        <w:tc>
          <w:tcPr>
            <w:tcW w:w="1026" w:type="pct"/>
            <w:shd w:val="clear" w:color="auto" w:fill="FFFFFF"/>
            <w:vAlign w:val="bottom"/>
          </w:tcPr>
          <w:p w14:paraId="6800970C" w14:textId="623E5840" w:rsidR="00BE3622" w:rsidRPr="00822956" w:rsidRDefault="00BE3622" w:rsidP="00822956">
            <w:pPr>
              <w:pStyle w:val="CETBodytext"/>
              <w:rPr>
                <w:rFonts w:cs="Arial"/>
                <w:szCs w:val="18"/>
                <w:lang w:val="en-GB"/>
              </w:rPr>
            </w:pPr>
            <w:r w:rsidRPr="00822956">
              <w:rPr>
                <w:rFonts w:cs="Arial"/>
                <w:szCs w:val="18"/>
                <w:lang w:val="en-GB"/>
              </w:rPr>
              <w:t>50</w:t>
            </w:r>
          </w:p>
        </w:tc>
        <w:tc>
          <w:tcPr>
            <w:tcW w:w="1026" w:type="pct"/>
            <w:shd w:val="clear" w:color="auto" w:fill="FFFFFF"/>
            <w:vAlign w:val="bottom"/>
          </w:tcPr>
          <w:p w14:paraId="2DA1E0A6" w14:textId="0602D480" w:rsidR="00BE3622" w:rsidRPr="00822956" w:rsidRDefault="00BE3622" w:rsidP="00822956">
            <w:pPr>
              <w:pStyle w:val="CETBodytext"/>
              <w:rPr>
                <w:rFonts w:cs="Arial"/>
                <w:szCs w:val="18"/>
                <w:lang w:val="en-GB"/>
              </w:rPr>
            </w:pPr>
            <w:r w:rsidRPr="00822956">
              <w:rPr>
                <w:rFonts w:cs="Arial"/>
                <w:szCs w:val="18"/>
                <w:lang w:val="en-GB"/>
              </w:rPr>
              <w:t>16</w:t>
            </w:r>
          </w:p>
        </w:tc>
        <w:tc>
          <w:tcPr>
            <w:tcW w:w="1024" w:type="pct"/>
            <w:shd w:val="clear" w:color="auto" w:fill="FFFFFF"/>
            <w:vAlign w:val="bottom"/>
          </w:tcPr>
          <w:p w14:paraId="666D9164" w14:textId="64921B64" w:rsidR="00BE3622" w:rsidRPr="00822956" w:rsidRDefault="00BE3622" w:rsidP="00822956">
            <w:pPr>
              <w:pStyle w:val="CETBodytext"/>
              <w:rPr>
                <w:rFonts w:cs="Arial"/>
                <w:szCs w:val="18"/>
                <w:lang w:val="en-GB"/>
              </w:rPr>
            </w:pPr>
            <w:r w:rsidRPr="00822956">
              <w:rPr>
                <w:rFonts w:cs="Arial"/>
                <w:szCs w:val="18"/>
                <w:lang w:val="en-GB"/>
              </w:rPr>
              <w:t>3.62</w:t>
            </w:r>
            <w:r>
              <w:rPr>
                <w:rFonts w:cs="Arial"/>
                <w:lang w:val="en-GB"/>
              </w:rPr>
              <w:t>·</w:t>
            </w:r>
            <w:r w:rsidRPr="0083517E">
              <w:rPr>
                <w:color w:val="000000" w:themeColor="text1"/>
                <w:lang w:val="en-GB"/>
              </w:rPr>
              <w:t>10</w:t>
            </w:r>
            <w:r w:rsidRPr="00BE4027">
              <w:rPr>
                <w:color w:val="000000" w:themeColor="text1"/>
                <w:vertAlign w:val="superscript"/>
                <w:lang w:val="en-GB"/>
              </w:rPr>
              <w:t>10</w:t>
            </w:r>
          </w:p>
        </w:tc>
      </w:tr>
      <w:tr w:rsidR="00BE3622" w:rsidRPr="00405395" w14:paraId="7DEA1B03" w14:textId="146F8FAF" w:rsidTr="00BE3622">
        <w:tc>
          <w:tcPr>
            <w:tcW w:w="1924" w:type="pct"/>
            <w:shd w:val="clear" w:color="auto" w:fill="FFFFFF"/>
            <w:vAlign w:val="center"/>
          </w:tcPr>
          <w:p w14:paraId="78EC120C" w14:textId="0181D9E8" w:rsidR="00BE3622" w:rsidRPr="00405395" w:rsidRDefault="00BE3622" w:rsidP="00822956">
            <w:pPr>
              <w:pStyle w:val="CETBodytext"/>
              <w:rPr>
                <w:rFonts w:cs="Arial"/>
                <w:szCs w:val="18"/>
                <w:lang w:val="en-GB"/>
              </w:rPr>
            </w:pPr>
            <w:r>
              <w:rPr>
                <w:rFonts w:cs="Arial"/>
                <w:szCs w:val="18"/>
                <w:lang w:val="en-GB"/>
              </w:rPr>
              <w:t>TK2</w:t>
            </w:r>
          </w:p>
        </w:tc>
        <w:tc>
          <w:tcPr>
            <w:tcW w:w="1026" w:type="pct"/>
            <w:shd w:val="clear" w:color="auto" w:fill="FFFFFF"/>
            <w:vAlign w:val="bottom"/>
          </w:tcPr>
          <w:p w14:paraId="5D49EFB5" w14:textId="2588E641" w:rsidR="00BE3622" w:rsidRPr="00822956" w:rsidRDefault="00BE3622" w:rsidP="00822956">
            <w:pPr>
              <w:pStyle w:val="CETBodytext"/>
              <w:rPr>
                <w:rFonts w:cs="Arial"/>
                <w:szCs w:val="18"/>
                <w:lang w:val="en-GB"/>
              </w:rPr>
            </w:pPr>
            <w:r w:rsidRPr="00822956">
              <w:rPr>
                <w:rFonts w:cs="Arial"/>
                <w:szCs w:val="18"/>
                <w:lang w:val="en-GB"/>
              </w:rPr>
              <w:t>50</w:t>
            </w:r>
          </w:p>
        </w:tc>
        <w:tc>
          <w:tcPr>
            <w:tcW w:w="1026" w:type="pct"/>
            <w:shd w:val="clear" w:color="auto" w:fill="FFFFFF"/>
            <w:vAlign w:val="bottom"/>
          </w:tcPr>
          <w:p w14:paraId="0401DB7A" w14:textId="359EE35B" w:rsidR="00BE3622" w:rsidRPr="00822956" w:rsidRDefault="00BE3622" w:rsidP="00822956">
            <w:pPr>
              <w:pStyle w:val="CETBodytext"/>
              <w:rPr>
                <w:rFonts w:cs="Arial"/>
                <w:szCs w:val="18"/>
                <w:lang w:val="en-GB"/>
              </w:rPr>
            </w:pPr>
            <w:r w:rsidRPr="00822956">
              <w:rPr>
                <w:rFonts w:cs="Arial"/>
                <w:szCs w:val="18"/>
                <w:lang w:val="en-GB"/>
              </w:rPr>
              <w:t>16</w:t>
            </w:r>
          </w:p>
        </w:tc>
        <w:tc>
          <w:tcPr>
            <w:tcW w:w="1024" w:type="pct"/>
            <w:shd w:val="clear" w:color="auto" w:fill="FFFFFF"/>
            <w:vAlign w:val="bottom"/>
          </w:tcPr>
          <w:p w14:paraId="16E7E4B3" w14:textId="31231184" w:rsidR="00BE3622" w:rsidRPr="00822956" w:rsidRDefault="00BE3622" w:rsidP="00822956">
            <w:pPr>
              <w:pStyle w:val="CETBodytext"/>
              <w:rPr>
                <w:rFonts w:cs="Arial"/>
                <w:szCs w:val="18"/>
                <w:lang w:val="en-GB"/>
              </w:rPr>
            </w:pPr>
            <w:r w:rsidRPr="00822956">
              <w:rPr>
                <w:rFonts w:cs="Arial"/>
                <w:szCs w:val="18"/>
                <w:lang w:val="en-GB"/>
              </w:rPr>
              <w:t>2.89</w:t>
            </w:r>
            <w:r>
              <w:rPr>
                <w:rFonts w:cs="Arial"/>
                <w:lang w:val="en-GB"/>
              </w:rPr>
              <w:t>·</w:t>
            </w:r>
            <w:r w:rsidRPr="0083517E">
              <w:rPr>
                <w:color w:val="000000" w:themeColor="text1"/>
                <w:lang w:val="en-GB"/>
              </w:rPr>
              <w:t>10</w:t>
            </w:r>
            <w:r w:rsidRPr="00BE4027">
              <w:rPr>
                <w:color w:val="000000" w:themeColor="text1"/>
                <w:vertAlign w:val="superscript"/>
                <w:lang w:val="en-GB"/>
              </w:rPr>
              <w:t>10</w:t>
            </w:r>
          </w:p>
        </w:tc>
      </w:tr>
      <w:tr w:rsidR="00BE3622" w:rsidRPr="00405395" w14:paraId="49616A2C" w14:textId="593D5C60" w:rsidTr="00BE3622">
        <w:tc>
          <w:tcPr>
            <w:tcW w:w="1924" w:type="pct"/>
            <w:shd w:val="clear" w:color="auto" w:fill="FFFFFF"/>
            <w:vAlign w:val="center"/>
          </w:tcPr>
          <w:p w14:paraId="191B42BF" w14:textId="183C2AA9" w:rsidR="00BE3622" w:rsidRPr="00405395" w:rsidRDefault="00BE3622" w:rsidP="00822956">
            <w:pPr>
              <w:pStyle w:val="CETBodytext"/>
              <w:rPr>
                <w:rFonts w:cs="Arial"/>
                <w:szCs w:val="18"/>
                <w:lang w:val="en-GB"/>
              </w:rPr>
            </w:pPr>
            <w:r>
              <w:rPr>
                <w:rFonts w:cs="Arial"/>
                <w:szCs w:val="18"/>
                <w:lang w:val="en-GB"/>
              </w:rPr>
              <w:t>TK3</w:t>
            </w:r>
          </w:p>
        </w:tc>
        <w:tc>
          <w:tcPr>
            <w:tcW w:w="1026" w:type="pct"/>
            <w:shd w:val="clear" w:color="auto" w:fill="FFFFFF"/>
            <w:vAlign w:val="bottom"/>
          </w:tcPr>
          <w:p w14:paraId="0DA2EEF2" w14:textId="46A644D0" w:rsidR="00BE3622" w:rsidRPr="00822956" w:rsidRDefault="00BE3622" w:rsidP="00822956">
            <w:pPr>
              <w:pStyle w:val="CETBodytext"/>
              <w:rPr>
                <w:rFonts w:cs="Arial"/>
                <w:szCs w:val="18"/>
                <w:lang w:val="en-GB"/>
              </w:rPr>
            </w:pPr>
            <w:r>
              <w:rPr>
                <w:rFonts w:cs="Arial"/>
                <w:szCs w:val="18"/>
                <w:lang w:val="en-GB"/>
              </w:rPr>
              <w:t>5</w:t>
            </w:r>
            <w:r w:rsidRPr="00822956">
              <w:rPr>
                <w:rFonts w:cs="Arial"/>
                <w:szCs w:val="18"/>
                <w:lang w:val="en-GB"/>
              </w:rPr>
              <w:t>0</w:t>
            </w:r>
          </w:p>
        </w:tc>
        <w:tc>
          <w:tcPr>
            <w:tcW w:w="1026" w:type="pct"/>
            <w:shd w:val="clear" w:color="auto" w:fill="FFFFFF"/>
            <w:vAlign w:val="bottom"/>
          </w:tcPr>
          <w:p w14:paraId="76DE30C5" w14:textId="2B84DE05" w:rsidR="00BE3622" w:rsidRPr="00822956" w:rsidRDefault="00BE3622" w:rsidP="00822956">
            <w:pPr>
              <w:pStyle w:val="CETBodytext"/>
              <w:rPr>
                <w:rFonts w:cs="Arial"/>
                <w:szCs w:val="18"/>
                <w:lang w:val="en-GB"/>
              </w:rPr>
            </w:pPr>
            <w:r w:rsidRPr="00822956">
              <w:rPr>
                <w:rFonts w:cs="Arial"/>
                <w:szCs w:val="18"/>
                <w:lang w:val="en-GB"/>
              </w:rPr>
              <w:t>16</w:t>
            </w:r>
          </w:p>
        </w:tc>
        <w:tc>
          <w:tcPr>
            <w:tcW w:w="1024" w:type="pct"/>
            <w:shd w:val="clear" w:color="auto" w:fill="FFFFFF"/>
            <w:vAlign w:val="bottom"/>
          </w:tcPr>
          <w:p w14:paraId="220DB54E" w14:textId="7263518C" w:rsidR="00BE3622" w:rsidRPr="00822956" w:rsidRDefault="00BE3622" w:rsidP="00822956">
            <w:pPr>
              <w:pStyle w:val="CETBodytext"/>
              <w:rPr>
                <w:rFonts w:cs="Arial"/>
                <w:szCs w:val="18"/>
                <w:lang w:val="en-GB"/>
              </w:rPr>
            </w:pPr>
            <w:r w:rsidRPr="00822956">
              <w:rPr>
                <w:rFonts w:cs="Arial"/>
                <w:szCs w:val="18"/>
                <w:lang w:val="en-GB"/>
              </w:rPr>
              <w:t>3.54</w:t>
            </w:r>
            <w:r>
              <w:rPr>
                <w:rFonts w:cs="Arial"/>
                <w:lang w:val="en-GB"/>
              </w:rPr>
              <w:t>·</w:t>
            </w:r>
            <w:r w:rsidRPr="0083517E">
              <w:rPr>
                <w:color w:val="000000" w:themeColor="text1"/>
                <w:lang w:val="en-GB"/>
              </w:rPr>
              <w:t>10</w:t>
            </w:r>
            <w:r w:rsidRPr="00BE4027">
              <w:rPr>
                <w:color w:val="000000" w:themeColor="text1"/>
                <w:vertAlign w:val="superscript"/>
                <w:lang w:val="en-GB"/>
              </w:rPr>
              <w:t>10</w:t>
            </w:r>
          </w:p>
        </w:tc>
      </w:tr>
      <w:tr w:rsidR="00BE3622" w:rsidRPr="00405395" w14:paraId="234D964A" w14:textId="02F1306E" w:rsidTr="00BE3622">
        <w:tc>
          <w:tcPr>
            <w:tcW w:w="1924" w:type="pct"/>
            <w:shd w:val="clear" w:color="auto" w:fill="FFFFFF"/>
            <w:vAlign w:val="center"/>
          </w:tcPr>
          <w:p w14:paraId="455615B2" w14:textId="27881C78" w:rsidR="00BE3622" w:rsidRPr="00822956" w:rsidRDefault="00BE3622" w:rsidP="00822956">
            <w:pPr>
              <w:pStyle w:val="CETBodytext"/>
              <w:rPr>
                <w:rFonts w:cs="Arial"/>
                <w:szCs w:val="18"/>
                <w:lang w:val="en-GB"/>
              </w:rPr>
            </w:pPr>
            <w:r w:rsidRPr="00822956">
              <w:rPr>
                <w:rFonts w:cs="Arial"/>
                <w:szCs w:val="18"/>
                <w:lang w:val="en-GB"/>
              </w:rPr>
              <w:t>TK4</w:t>
            </w:r>
          </w:p>
        </w:tc>
        <w:tc>
          <w:tcPr>
            <w:tcW w:w="1026" w:type="pct"/>
            <w:shd w:val="clear" w:color="auto" w:fill="FFFFFF"/>
            <w:vAlign w:val="bottom"/>
          </w:tcPr>
          <w:p w14:paraId="517763E5" w14:textId="0D6C0507" w:rsidR="00BE3622" w:rsidRPr="00822956" w:rsidRDefault="00BE3622" w:rsidP="00822956">
            <w:pPr>
              <w:pStyle w:val="CETBodytext"/>
              <w:rPr>
                <w:rFonts w:cs="Arial"/>
                <w:szCs w:val="18"/>
                <w:lang w:val="en-GB"/>
              </w:rPr>
            </w:pPr>
            <w:r w:rsidRPr="00822956">
              <w:rPr>
                <w:rFonts w:cs="Arial"/>
                <w:szCs w:val="18"/>
                <w:lang w:val="en-GB"/>
              </w:rPr>
              <w:t>60</w:t>
            </w:r>
          </w:p>
        </w:tc>
        <w:tc>
          <w:tcPr>
            <w:tcW w:w="1026" w:type="pct"/>
            <w:shd w:val="clear" w:color="auto" w:fill="FFFFFF"/>
            <w:vAlign w:val="bottom"/>
          </w:tcPr>
          <w:p w14:paraId="77EDB059" w14:textId="234635FE" w:rsidR="00BE3622" w:rsidRPr="00822956" w:rsidRDefault="00BE3622" w:rsidP="00822956">
            <w:pPr>
              <w:pStyle w:val="CETBodytext"/>
              <w:rPr>
                <w:rFonts w:cs="Arial"/>
                <w:szCs w:val="18"/>
                <w:lang w:val="en-GB"/>
              </w:rPr>
            </w:pPr>
            <w:r w:rsidRPr="00822956">
              <w:rPr>
                <w:rFonts w:cs="Arial"/>
                <w:szCs w:val="18"/>
                <w:lang w:val="en-GB"/>
              </w:rPr>
              <w:t>16</w:t>
            </w:r>
          </w:p>
        </w:tc>
        <w:tc>
          <w:tcPr>
            <w:tcW w:w="1024" w:type="pct"/>
            <w:shd w:val="clear" w:color="auto" w:fill="FFFFFF"/>
            <w:vAlign w:val="bottom"/>
          </w:tcPr>
          <w:p w14:paraId="79DB9D30" w14:textId="138ADE53" w:rsidR="00BE3622" w:rsidRPr="00822956" w:rsidRDefault="00BE3622" w:rsidP="00822956">
            <w:pPr>
              <w:pStyle w:val="CETBodytext"/>
              <w:rPr>
                <w:rFonts w:cs="Arial"/>
                <w:szCs w:val="18"/>
                <w:lang w:val="en-GB"/>
              </w:rPr>
            </w:pPr>
            <w:r w:rsidRPr="00822956">
              <w:rPr>
                <w:rFonts w:cs="Arial"/>
                <w:szCs w:val="18"/>
                <w:lang w:val="en-GB"/>
              </w:rPr>
              <w:t>4.81</w:t>
            </w:r>
            <w:r>
              <w:rPr>
                <w:rFonts w:cs="Arial"/>
                <w:lang w:val="en-GB"/>
              </w:rPr>
              <w:t>·</w:t>
            </w:r>
            <w:r w:rsidRPr="0083517E">
              <w:rPr>
                <w:color w:val="000000" w:themeColor="text1"/>
                <w:lang w:val="en-GB"/>
              </w:rPr>
              <w:t>10</w:t>
            </w:r>
            <w:r w:rsidRPr="00BE4027">
              <w:rPr>
                <w:color w:val="000000" w:themeColor="text1"/>
                <w:vertAlign w:val="superscript"/>
                <w:lang w:val="en-GB"/>
              </w:rPr>
              <w:t>10</w:t>
            </w:r>
          </w:p>
        </w:tc>
      </w:tr>
      <w:tr w:rsidR="00BE3622" w:rsidRPr="00405395" w14:paraId="303009D8" w14:textId="792A213D" w:rsidTr="00BE3622">
        <w:tc>
          <w:tcPr>
            <w:tcW w:w="1924" w:type="pct"/>
            <w:shd w:val="clear" w:color="auto" w:fill="FFFFFF"/>
            <w:vAlign w:val="center"/>
          </w:tcPr>
          <w:p w14:paraId="728B57B8" w14:textId="6F874678" w:rsidR="00BE3622" w:rsidRPr="00822956" w:rsidRDefault="00BE3622" w:rsidP="00822956">
            <w:pPr>
              <w:pStyle w:val="CETBodytext"/>
              <w:rPr>
                <w:rFonts w:cs="Arial"/>
                <w:szCs w:val="18"/>
                <w:lang w:val="en-GB"/>
              </w:rPr>
            </w:pPr>
            <w:r w:rsidRPr="00822956">
              <w:rPr>
                <w:rFonts w:cs="Arial"/>
                <w:szCs w:val="18"/>
                <w:lang w:val="en-GB"/>
              </w:rPr>
              <w:t>TK5</w:t>
            </w:r>
          </w:p>
        </w:tc>
        <w:tc>
          <w:tcPr>
            <w:tcW w:w="1026" w:type="pct"/>
            <w:shd w:val="clear" w:color="auto" w:fill="FFFFFF"/>
            <w:vAlign w:val="bottom"/>
          </w:tcPr>
          <w:p w14:paraId="75C2036B" w14:textId="7D7AA515" w:rsidR="00BE3622" w:rsidRPr="00822956" w:rsidRDefault="00BE3622" w:rsidP="00822956">
            <w:pPr>
              <w:pStyle w:val="CETBodytext"/>
              <w:rPr>
                <w:rFonts w:cs="Arial"/>
                <w:szCs w:val="18"/>
                <w:lang w:val="en-GB"/>
              </w:rPr>
            </w:pPr>
            <w:r w:rsidRPr="00822956">
              <w:rPr>
                <w:rFonts w:cs="Arial"/>
                <w:szCs w:val="18"/>
                <w:lang w:val="en-GB"/>
              </w:rPr>
              <w:t>50</w:t>
            </w:r>
          </w:p>
        </w:tc>
        <w:tc>
          <w:tcPr>
            <w:tcW w:w="1026" w:type="pct"/>
            <w:shd w:val="clear" w:color="auto" w:fill="FFFFFF"/>
            <w:vAlign w:val="bottom"/>
          </w:tcPr>
          <w:p w14:paraId="4DC70CF7" w14:textId="57921263" w:rsidR="00BE3622" w:rsidRPr="00822956" w:rsidRDefault="00BE3622" w:rsidP="00822956">
            <w:pPr>
              <w:pStyle w:val="CETBodytext"/>
              <w:rPr>
                <w:rFonts w:cs="Arial"/>
                <w:szCs w:val="18"/>
                <w:lang w:val="en-GB"/>
              </w:rPr>
            </w:pPr>
            <w:r w:rsidRPr="00822956">
              <w:rPr>
                <w:rFonts w:cs="Arial"/>
                <w:szCs w:val="18"/>
                <w:lang w:val="en-GB"/>
              </w:rPr>
              <w:t>16</w:t>
            </w:r>
          </w:p>
        </w:tc>
        <w:tc>
          <w:tcPr>
            <w:tcW w:w="1024" w:type="pct"/>
            <w:shd w:val="clear" w:color="auto" w:fill="FFFFFF"/>
            <w:vAlign w:val="bottom"/>
          </w:tcPr>
          <w:p w14:paraId="604A1A2B" w14:textId="2E8695BD" w:rsidR="00BE3622" w:rsidRPr="00822956" w:rsidRDefault="00BE3622" w:rsidP="00822956">
            <w:pPr>
              <w:pStyle w:val="CETBodytext"/>
              <w:rPr>
                <w:rFonts w:cs="Arial"/>
                <w:szCs w:val="18"/>
                <w:lang w:val="en-GB"/>
              </w:rPr>
            </w:pPr>
            <w:r w:rsidRPr="00822956">
              <w:rPr>
                <w:rFonts w:cs="Arial"/>
                <w:szCs w:val="18"/>
                <w:lang w:val="en-GB"/>
              </w:rPr>
              <w:t>2.75</w:t>
            </w:r>
            <w:r>
              <w:rPr>
                <w:rFonts w:cs="Arial"/>
                <w:lang w:val="en-GB"/>
              </w:rPr>
              <w:t>·</w:t>
            </w:r>
            <w:r w:rsidRPr="0083517E">
              <w:rPr>
                <w:color w:val="000000" w:themeColor="text1"/>
                <w:lang w:val="en-GB"/>
              </w:rPr>
              <w:t>10</w:t>
            </w:r>
            <w:r w:rsidRPr="00BE4027">
              <w:rPr>
                <w:color w:val="000000" w:themeColor="text1"/>
                <w:vertAlign w:val="superscript"/>
                <w:lang w:val="en-GB"/>
              </w:rPr>
              <w:t>10</w:t>
            </w:r>
          </w:p>
        </w:tc>
      </w:tr>
      <w:tr w:rsidR="00BE3622" w:rsidRPr="00405395" w14:paraId="58355AC0" w14:textId="15DACAF3" w:rsidTr="00BE3622">
        <w:tc>
          <w:tcPr>
            <w:tcW w:w="1924" w:type="pct"/>
            <w:shd w:val="clear" w:color="auto" w:fill="FFFFFF"/>
            <w:vAlign w:val="center"/>
          </w:tcPr>
          <w:p w14:paraId="3DF66D46" w14:textId="56FEA0EA" w:rsidR="00BE3622" w:rsidRPr="00822956" w:rsidRDefault="00BE3622" w:rsidP="00822956">
            <w:pPr>
              <w:pStyle w:val="CETBodytext"/>
              <w:rPr>
                <w:rFonts w:cs="Arial"/>
                <w:szCs w:val="18"/>
                <w:lang w:val="en-GB"/>
              </w:rPr>
            </w:pPr>
            <w:r w:rsidRPr="00822956">
              <w:rPr>
                <w:rFonts w:cs="Arial"/>
                <w:szCs w:val="18"/>
                <w:lang w:val="en-GB"/>
              </w:rPr>
              <w:t>TK6</w:t>
            </w:r>
          </w:p>
        </w:tc>
        <w:tc>
          <w:tcPr>
            <w:tcW w:w="1026" w:type="pct"/>
            <w:shd w:val="clear" w:color="auto" w:fill="FFFFFF"/>
            <w:vAlign w:val="bottom"/>
          </w:tcPr>
          <w:p w14:paraId="2F35F06A" w14:textId="7E93FE81" w:rsidR="00BE3622" w:rsidRPr="00822956" w:rsidRDefault="00BE3622" w:rsidP="00822956">
            <w:pPr>
              <w:pStyle w:val="CETBodytext"/>
              <w:rPr>
                <w:rFonts w:cs="Arial"/>
                <w:szCs w:val="18"/>
                <w:lang w:val="en-GB"/>
              </w:rPr>
            </w:pPr>
            <w:r w:rsidRPr="00822956">
              <w:rPr>
                <w:rFonts w:cs="Arial"/>
                <w:szCs w:val="18"/>
                <w:lang w:val="en-GB"/>
              </w:rPr>
              <w:t>50</w:t>
            </w:r>
          </w:p>
        </w:tc>
        <w:tc>
          <w:tcPr>
            <w:tcW w:w="1026" w:type="pct"/>
            <w:shd w:val="clear" w:color="auto" w:fill="FFFFFF"/>
            <w:vAlign w:val="bottom"/>
          </w:tcPr>
          <w:p w14:paraId="5E7CCD54" w14:textId="19D833E3" w:rsidR="00BE3622" w:rsidRPr="00822956" w:rsidRDefault="00BE3622" w:rsidP="00822956">
            <w:pPr>
              <w:pStyle w:val="CETBodytext"/>
              <w:rPr>
                <w:rFonts w:cs="Arial"/>
                <w:szCs w:val="18"/>
                <w:lang w:val="en-GB"/>
              </w:rPr>
            </w:pPr>
            <w:r w:rsidRPr="00822956">
              <w:rPr>
                <w:rFonts w:cs="Arial"/>
                <w:szCs w:val="18"/>
                <w:lang w:val="en-GB"/>
              </w:rPr>
              <w:t>16</w:t>
            </w:r>
          </w:p>
        </w:tc>
        <w:tc>
          <w:tcPr>
            <w:tcW w:w="1024" w:type="pct"/>
            <w:shd w:val="clear" w:color="auto" w:fill="FFFFFF"/>
            <w:vAlign w:val="bottom"/>
          </w:tcPr>
          <w:p w14:paraId="05A89244" w14:textId="232C65FA" w:rsidR="00BE3622" w:rsidRPr="00822956" w:rsidRDefault="00BE3622" w:rsidP="00822956">
            <w:pPr>
              <w:pStyle w:val="CETBodytext"/>
              <w:rPr>
                <w:rFonts w:cs="Arial"/>
                <w:szCs w:val="18"/>
                <w:lang w:val="en-GB"/>
              </w:rPr>
            </w:pPr>
            <w:r w:rsidRPr="00822956">
              <w:rPr>
                <w:rFonts w:cs="Arial"/>
                <w:szCs w:val="18"/>
                <w:lang w:val="en-GB"/>
              </w:rPr>
              <w:t>2.19</w:t>
            </w:r>
            <w:r>
              <w:rPr>
                <w:rFonts w:cs="Arial"/>
                <w:lang w:val="en-GB"/>
              </w:rPr>
              <w:t>·</w:t>
            </w:r>
            <w:r w:rsidRPr="0083517E">
              <w:rPr>
                <w:color w:val="000000" w:themeColor="text1"/>
                <w:lang w:val="en-GB"/>
              </w:rPr>
              <w:t>10</w:t>
            </w:r>
            <w:r w:rsidRPr="00BE4027">
              <w:rPr>
                <w:color w:val="000000" w:themeColor="text1"/>
                <w:vertAlign w:val="superscript"/>
                <w:lang w:val="en-GB"/>
              </w:rPr>
              <w:t>10</w:t>
            </w:r>
          </w:p>
        </w:tc>
      </w:tr>
    </w:tbl>
    <w:p w14:paraId="73889F7E" w14:textId="612A845F" w:rsidR="00076029" w:rsidRPr="00582B74" w:rsidRDefault="00076029" w:rsidP="00076029">
      <w:pPr>
        <w:pStyle w:val="CETHeading1"/>
        <w:rPr>
          <w:lang w:val="en-GB"/>
        </w:rPr>
      </w:pPr>
      <w:r w:rsidRPr="00582B74">
        <w:rPr>
          <w:lang w:val="en-GB"/>
        </w:rPr>
        <w:t>Results</w:t>
      </w:r>
    </w:p>
    <w:p w14:paraId="318DE747" w14:textId="0CCE7628" w:rsidR="00076029" w:rsidRPr="0083517E" w:rsidRDefault="00F03826" w:rsidP="0004051F">
      <w:pPr>
        <w:pStyle w:val="CETheadingx"/>
      </w:pPr>
      <w:r w:rsidRPr="0083517E">
        <w:t>Temporal Dynamics of OER: Hourly Variability and Annual Averages</w:t>
      </w:r>
    </w:p>
    <w:p w14:paraId="41D81AAB" w14:textId="77777777" w:rsidR="00B01FDA" w:rsidRDefault="00B86C99" w:rsidP="00B86C99">
      <w:pPr>
        <w:pStyle w:val="CETBodytext"/>
        <w:rPr>
          <w:color w:val="000000" w:themeColor="text1"/>
          <w:lang w:val="en-GB"/>
        </w:rPr>
      </w:pPr>
      <w:r w:rsidRPr="0083517E">
        <w:rPr>
          <w:color w:val="000000" w:themeColor="text1"/>
          <w:lang w:val="en-GB"/>
        </w:rPr>
        <w:t>The hourly-resolved OER exhibit a pronounced temporal variability over the simulation period (</w:t>
      </w:r>
      <w:r w:rsidRPr="0083517E">
        <w:rPr>
          <w:color w:val="000000" w:themeColor="text1"/>
          <w:lang w:val="en-GB"/>
        </w:rPr>
        <w:fldChar w:fldCharType="begin"/>
      </w:r>
      <w:r w:rsidRPr="0083517E">
        <w:rPr>
          <w:color w:val="000000" w:themeColor="text1"/>
          <w:lang w:val="en-GB"/>
        </w:rPr>
        <w:instrText xml:space="preserve"> REF _Ref166159292 \h  \* MERGEFORMAT </w:instrText>
      </w:r>
      <w:r w:rsidRPr="0083517E">
        <w:rPr>
          <w:color w:val="000000" w:themeColor="text1"/>
          <w:lang w:val="en-GB"/>
        </w:rPr>
      </w:r>
      <w:r w:rsidRPr="0083517E">
        <w:rPr>
          <w:color w:val="000000" w:themeColor="text1"/>
          <w:lang w:val="en-GB"/>
        </w:rPr>
        <w:fldChar w:fldCharType="separate"/>
      </w:r>
      <w:r w:rsidRPr="0083517E">
        <w:rPr>
          <w:color w:val="000000" w:themeColor="text1"/>
        </w:rPr>
        <w:t>Figure 2</w:t>
      </w:r>
      <w:r w:rsidRPr="0083517E">
        <w:rPr>
          <w:color w:val="000000" w:themeColor="text1"/>
          <w:lang w:val="en-GB"/>
        </w:rPr>
        <w:fldChar w:fldCharType="end"/>
      </w:r>
      <w:r w:rsidRPr="0083517E">
        <w:rPr>
          <w:color w:val="000000" w:themeColor="text1"/>
          <w:lang w:val="en-GB"/>
        </w:rPr>
        <w:t xml:space="preserve">), highlighting the dynamic nature of emissions from </w:t>
      </w:r>
      <w:r w:rsidR="003553A6">
        <w:rPr>
          <w:color w:val="000000" w:themeColor="text1"/>
          <w:lang w:val="en-GB"/>
        </w:rPr>
        <w:t>EFRTs</w:t>
      </w:r>
      <w:r w:rsidR="00B01FDA">
        <w:rPr>
          <w:color w:val="000000" w:themeColor="text1"/>
          <w:lang w:val="en-GB"/>
        </w:rPr>
        <w:t xml:space="preserve"> </w:t>
      </w:r>
    </w:p>
    <w:p w14:paraId="5E4493C4" w14:textId="69ECF0A0" w:rsidR="00B86C99" w:rsidRPr="0083517E" w:rsidRDefault="00B86C99" w:rsidP="00B86C99">
      <w:pPr>
        <w:pStyle w:val="CETBodytext"/>
        <w:rPr>
          <w:color w:val="000000" w:themeColor="text1"/>
          <w:lang w:val="en-GB"/>
        </w:rPr>
      </w:pPr>
      <w:r w:rsidRPr="0083517E">
        <w:rPr>
          <w:color w:val="000000" w:themeColor="text1"/>
          <w:lang w:val="en-GB"/>
        </w:rPr>
        <w:t>While the annual average OER</w:t>
      </w:r>
      <w:r w:rsidR="009C28A0">
        <w:rPr>
          <w:color w:val="000000" w:themeColor="text1"/>
          <w:lang w:val="en-GB"/>
        </w:rPr>
        <w:t xml:space="preserve">, </w:t>
      </w:r>
      <w:r w:rsidR="009C28A0">
        <w:t>referred to the total contribution of all six tanks,</w:t>
      </w:r>
      <w:r w:rsidRPr="0083517E">
        <w:rPr>
          <w:color w:val="000000" w:themeColor="text1"/>
          <w:lang w:val="en-GB"/>
        </w:rPr>
        <w:t xml:space="preserve"> is approximately 6.3</w:t>
      </w:r>
      <w:r w:rsidR="00BE4027">
        <w:rPr>
          <w:rFonts w:cs="Arial"/>
          <w:lang w:val="en-GB"/>
        </w:rPr>
        <w:t>·</w:t>
      </w:r>
      <w:r w:rsidRPr="0083517E">
        <w:rPr>
          <w:color w:val="000000" w:themeColor="text1"/>
          <w:lang w:val="en-GB"/>
        </w:rPr>
        <w:t>10³ ou</w:t>
      </w:r>
      <w:r w:rsidRPr="0083517E">
        <w:rPr>
          <w:color w:val="000000" w:themeColor="text1"/>
          <w:vertAlign w:val="subscript"/>
          <w:lang w:val="en-GB"/>
        </w:rPr>
        <w:t>E</w:t>
      </w:r>
      <w:r w:rsidRPr="0083517E">
        <w:rPr>
          <w:color w:val="000000" w:themeColor="text1"/>
          <w:lang w:val="en-GB"/>
        </w:rPr>
        <w:t>/s, the distribution of hourly values spans a much wider range, with baseline conditions around 3.7</w:t>
      </w:r>
      <w:r w:rsidR="00BE4027">
        <w:rPr>
          <w:rFonts w:cs="Arial"/>
          <w:lang w:val="en-GB"/>
        </w:rPr>
        <w:t>·</w:t>
      </w:r>
      <w:r w:rsidRPr="0083517E">
        <w:rPr>
          <w:color w:val="000000" w:themeColor="text1"/>
          <w:lang w:val="en-GB"/>
        </w:rPr>
        <w:t>10</w:t>
      </w:r>
      <w:r w:rsidRPr="0083517E">
        <w:rPr>
          <w:rFonts w:cs="Arial"/>
          <w:color w:val="000000" w:themeColor="text1"/>
          <w:lang w:val="en-GB"/>
        </w:rPr>
        <w:t>³</w:t>
      </w:r>
      <w:r w:rsidRPr="0083517E">
        <w:rPr>
          <w:color w:val="000000" w:themeColor="text1"/>
          <w:lang w:val="en-GB"/>
        </w:rPr>
        <w:t xml:space="preserve"> ou</w:t>
      </w:r>
      <w:r w:rsidRPr="0083517E">
        <w:rPr>
          <w:color w:val="000000" w:themeColor="text1"/>
          <w:vertAlign w:val="subscript"/>
          <w:lang w:val="en-GB"/>
        </w:rPr>
        <w:t>E</w:t>
      </w:r>
      <w:r w:rsidRPr="0083517E">
        <w:rPr>
          <w:color w:val="000000" w:themeColor="text1"/>
          <w:lang w:val="en-GB"/>
        </w:rPr>
        <w:t>/s and recurrent peak events reaching up to 9.0</w:t>
      </w:r>
      <w:r w:rsidR="00BE4027">
        <w:rPr>
          <w:rFonts w:cs="Arial"/>
          <w:lang w:val="en-GB"/>
        </w:rPr>
        <w:t>·</w:t>
      </w:r>
      <w:r w:rsidRPr="0083517E">
        <w:rPr>
          <w:color w:val="000000" w:themeColor="text1"/>
          <w:lang w:val="en-GB"/>
        </w:rPr>
        <w:t>10</w:t>
      </w:r>
      <w:r w:rsidRPr="0083517E">
        <w:rPr>
          <w:rFonts w:cs="Arial"/>
          <w:color w:val="000000" w:themeColor="text1"/>
          <w:lang w:val="en-GB"/>
        </w:rPr>
        <w:t>³–</w:t>
      </w:r>
      <w:r w:rsidRPr="0083517E">
        <w:rPr>
          <w:color w:val="000000" w:themeColor="text1"/>
          <w:lang w:val="en-GB"/>
        </w:rPr>
        <w:t>1.0</w:t>
      </w:r>
      <w:r w:rsidR="00BE4027">
        <w:rPr>
          <w:rFonts w:cs="Arial"/>
          <w:lang w:val="en-GB"/>
        </w:rPr>
        <w:t>·</w:t>
      </w:r>
      <w:r w:rsidRPr="0083517E">
        <w:rPr>
          <w:color w:val="000000" w:themeColor="text1"/>
          <w:lang w:val="en-GB"/>
        </w:rPr>
        <w:t>10</w:t>
      </w:r>
      <w:r w:rsidRPr="0083517E">
        <w:rPr>
          <w:rFonts w:cs="Arial"/>
          <w:color w:val="000000" w:themeColor="text1"/>
          <w:lang w:val="en-GB"/>
        </w:rPr>
        <w:t>⁴</w:t>
      </w:r>
      <w:r w:rsidRPr="0083517E">
        <w:rPr>
          <w:color w:val="000000" w:themeColor="text1"/>
          <w:lang w:val="en-GB"/>
        </w:rPr>
        <w:t xml:space="preserve"> ou</w:t>
      </w:r>
      <w:r w:rsidRPr="0083517E">
        <w:rPr>
          <w:color w:val="000000" w:themeColor="text1"/>
          <w:vertAlign w:val="subscript"/>
          <w:lang w:val="en-GB"/>
        </w:rPr>
        <w:t>E</w:t>
      </w:r>
      <w:r w:rsidRPr="0083517E">
        <w:rPr>
          <w:color w:val="000000" w:themeColor="text1"/>
          <w:lang w:val="en-GB"/>
        </w:rPr>
        <w:t xml:space="preserve">/s. </w:t>
      </w:r>
      <w:r w:rsidR="0083517E" w:rsidRPr="0083517E">
        <w:rPr>
          <w:color w:val="000000" w:themeColor="text1"/>
          <w:lang w:val="en-GB"/>
        </w:rPr>
        <w:t>Overall, this corresponds to a variability of about a factor of 2.5 between minimum and maximum hourly values, while peak emissions are approximately 1.7 times higher than the annual mean.</w:t>
      </w:r>
    </w:p>
    <w:p w14:paraId="0E2FB5C3" w14:textId="0F9A1C31" w:rsidR="00BF2DD3" w:rsidRPr="00405395" w:rsidRDefault="00B86C99" w:rsidP="00076029">
      <w:pPr>
        <w:pStyle w:val="CETBodytext"/>
        <w:rPr>
          <w:lang w:val="en-GB"/>
        </w:rPr>
      </w:pPr>
      <w:r w:rsidRPr="00B86C99">
        <w:rPr>
          <w:lang w:val="en-GB"/>
        </w:rPr>
        <w:t xml:space="preserve">Such variability is primarily associated with the operational dynamics of the tanks, particularly during liquid withdrawal phases, which enhance evaporative losses and lead to short-term emission peaks. The comparison between the scattered hourly values and the annual average clearly shows that a time-averaged approach would smooth out these transient events. As a result, methodologies relying solely on annual emission estimates may </w:t>
      </w:r>
      <w:r w:rsidR="00A42CB1">
        <w:rPr>
          <w:lang w:val="en-GB"/>
        </w:rPr>
        <w:t>be limited</w:t>
      </w:r>
      <w:r w:rsidR="00A42CB1" w:rsidRPr="00B86C99">
        <w:rPr>
          <w:lang w:val="en-GB"/>
        </w:rPr>
        <w:t xml:space="preserve"> </w:t>
      </w:r>
      <w:r w:rsidRPr="00B86C99">
        <w:rPr>
          <w:lang w:val="en-GB"/>
        </w:rPr>
        <w:t xml:space="preserve">to capture the intensity and frequency of peak conditions that are most relevant for odour impact. </w:t>
      </w:r>
    </w:p>
    <w:p w14:paraId="3F5D2E73" w14:textId="49B353B7" w:rsidR="00F40293" w:rsidRPr="00405395" w:rsidRDefault="004803FB" w:rsidP="002B4B84">
      <w:pPr>
        <w:pStyle w:val="CETBodytext"/>
        <w:keepNext/>
        <w:jc w:val="center"/>
        <w:rPr>
          <w:lang w:val="en-GB"/>
        </w:rPr>
      </w:pPr>
      <w:r>
        <w:rPr>
          <w:noProof/>
          <w:lang w:val="en-GB"/>
        </w:rPr>
        <w:drawing>
          <wp:inline distT="0" distB="0" distL="0" distR="0" wp14:anchorId="2B111995" wp14:editId="269C7D4B">
            <wp:extent cx="4454644" cy="2334473"/>
            <wp:effectExtent l="0" t="0" r="3175" b="889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1999" r="1674"/>
                    <a:stretch/>
                  </pic:blipFill>
                  <pic:spPr bwMode="auto">
                    <a:xfrm>
                      <a:off x="0" y="0"/>
                      <a:ext cx="4454644" cy="2334473"/>
                    </a:xfrm>
                    <a:prstGeom prst="rect">
                      <a:avLst/>
                    </a:prstGeom>
                    <a:noFill/>
                    <a:ln>
                      <a:noFill/>
                    </a:ln>
                    <a:extLst>
                      <a:ext uri="{53640926-AAD7-44D8-BBD7-CCE9431645EC}">
                        <a14:shadowObscured xmlns:a14="http://schemas.microsoft.com/office/drawing/2010/main"/>
                      </a:ext>
                    </a:extLst>
                  </pic:spPr>
                </pic:pic>
              </a:graphicData>
            </a:graphic>
          </wp:inline>
        </w:drawing>
      </w:r>
    </w:p>
    <w:p w14:paraId="6F7D9909" w14:textId="1A8F0FAB" w:rsidR="000763F7" w:rsidRPr="00405395" w:rsidRDefault="00F40293" w:rsidP="00783B5F">
      <w:pPr>
        <w:pStyle w:val="Didascalia"/>
        <w:rPr>
          <w:rStyle w:val="CETCaptionCarattere"/>
          <w:b w:val="0"/>
          <w:bCs w:val="0"/>
          <w:color w:val="auto"/>
        </w:rPr>
      </w:pPr>
      <w:bookmarkStart w:id="2" w:name="_Ref166159292"/>
      <w:r w:rsidRPr="00405395">
        <w:rPr>
          <w:rStyle w:val="CETCaptionCarattere"/>
          <w:b w:val="0"/>
          <w:bCs w:val="0"/>
          <w:color w:val="auto"/>
        </w:rPr>
        <w:t xml:space="preserve">Figure </w:t>
      </w:r>
      <w:r w:rsidRPr="00405395">
        <w:rPr>
          <w:rStyle w:val="CETCaptionCarattere"/>
          <w:b w:val="0"/>
          <w:bCs w:val="0"/>
          <w:color w:val="auto"/>
        </w:rPr>
        <w:fldChar w:fldCharType="begin"/>
      </w:r>
      <w:r w:rsidRPr="00405395">
        <w:rPr>
          <w:rStyle w:val="CETCaptionCarattere"/>
          <w:b w:val="0"/>
          <w:bCs w:val="0"/>
          <w:color w:val="auto"/>
        </w:rPr>
        <w:instrText xml:space="preserve"> SEQ Figure \* ARABIC </w:instrText>
      </w:r>
      <w:r w:rsidRPr="00405395">
        <w:rPr>
          <w:rStyle w:val="CETCaptionCarattere"/>
          <w:b w:val="0"/>
          <w:bCs w:val="0"/>
          <w:color w:val="auto"/>
        </w:rPr>
        <w:fldChar w:fldCharType="separate"/>
      </w:r>
      <w:r w:rsidR="00B86C99">
        <w:rPr>
          <w:rStyle w:val="CETCaptionCarattere"/>
          <w:b w:val="0"/>
          <w:bCs w:val="0"/>
          <w:noProof/>
          <w:color w:val="auto"/>
        </w:rPr>
        <w:t>2</w:t>
      </w:r>
      <w:r w:rsidRPr="00405395">
        <w:rPr>
          <w:rStyle w:val="CETCaptionCarattere"/>
          <w:b w:val="0"/>
          <w:bCs w:val="0"/>
          <w:color w:val="auto"/>
        </w:rPr>
        <w:fldChar w:fldCharType="end"/>
      </w:r>
      <w:bookmarkEnd w:id="2"/>
      <w:r w:rsidR="00453D75">
        <w:rPr>
          <w:rStyle w:val="CETCaptionCarattere"/>
          <w:b w:val="0"/>
          <w:bCs w:val="0"/>
          <w:color w:val="auto"/>
        </w:rPr>
        <w:t>:</w:t>
      </w:r>
      <w:r w:rsidRPr="00405395">
        <w:rPr>
          <w:rStyle w:val="CETCaptionCarattere"/>
          <w:b w:val="0"/>
          <w:bCs w:val="0"/>
          <w:color w:val="auto"/>
        </w:rPr>
        <w:t xml:space="preserve"> </w:t>
      </w:r>
      <w:r w:rsidR="00BE335D" w:rsidRPr="00BE335D">
        <w:rPr>
          <w:rStyle w:val="CETCaptionCarattere"/>
          <w:b w:val="0"/>
          <w:bCs w:val="0"/>
          <w:color w:val="auto"/>
        </w:rPr>
        <w:t xml:space="preserve">Hourly OER variability over the year for the total emissions from all </w:t>
      </w:r>
      <w:r w:rsidR="00BE335D">
        <w:rPr>
          <w:rStyle w:val="CETCaptionCarattere"/>
          <w:b w:val="0"/>
          <w:bCs w:val="0"/>
          <w:color w:val="auto"/>
        </w:rPr>
        <w:t>EFRTs vs</w:t>
      </w:r>
      <w:r w:rsidR="00BE335D" w:rsidRPr="00BE335D">
        <w:rPr>
          <w:rStyle w:val="CETCaptionCarattere"/>
          <w:b w:val="0"/>
          <w:bCs w:val="0"/>
          <w:color w:val="auto"/>
        </w:rPr>
        <w:t xml:space="preserve"> annual average</w:t>
      </w:r>
      <w:r w:rsidR="00E86404" w:rsidRPr="00405395">
        <w:rPr>
          <w:rStyle w:val="CETCaptionCarattere"/>
          <w:b w:val="0"/>
          <w:bCs w:val="0"/>
          <w:color w:val="auto"/>
        </w:rPr>
        <w:t>.</w:t>
      </w:r>
    </w:p>
    <w:p w14:paraId="7687058D" w14:textId="77777777" w:rsidR="00F40293" w:rsidRPr="00405395" w:rsidRDefault="00F40293" w:rsidP="00F40293"/>
    <w:p w14:paraId="26316356" w14:textId="770CB7AE" w:rsidR="006B3E00" w:rsidRPr="006B0D21" w:rsidRDefault="006B0D21" w:rsidP="0004051F">
      <w:pPr>
        <w:pStyle w:val="CETheadingx"/>
      </w:pPr>
      <w:r w:rsidRPr="006B0D21">
        <w:t>Odour impact assessment</w:t>
      </w:r>
    </w:p>
    <w:p w14:paraId="3C4F542D" w14:textId="0EA5F399" w:rsidR="006B0D21" w:rsidRDefault="006B0D21" w:rsidP="006B0D21">
      <w:pPr>
        <w:pStyle w:val="CETBodytext"/>
        <w:rPr>
          <w:lang w:val="en-GB"/>
        </w:rPr>
      </w:pPr>
      <w:r w:rsidRPr="006B0D21">
        <w:rPr>
          <w:lang w:val="en-GB"/>
        </w:rPr>
        <w:t xml:space="preserve">The results of the dispersion modelling were processed in accordance with the Italian regulatory framework </w:t>
      </w:r>
      <w:sdt>
        <w:sdtPr>
          <w:rPr>
            <w:rFonts w:cs="Arial"/>
            <w:color w:val="000000"/>
            <w:lang w:val="en-GB"/>
          </w:rPr>
          <w:tag w:val="MENDELEY_CITATION_v3_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"/>
          <w:id w:val="-1178265010"/>
          <w:placeholder>
            <w:docPart w:val="DefaultPlaceholder_-1854013440"/>
          </w:placeholder>
        </w:sdtPr>
        <w:sdtEndPr/>
        <w:sdtContent>
          <w:r w:rsidR="00E70A4A" w:rsidRPr="00E70A4A">
            <w:rPr>
              <w:rFonts w:cs="Arial"/>
              <w:color w:val="000000"/>
              <w:lang w:val="en-GB"/>
            </w:rPr>
            <w:t>(Decreto Direttoriale 28 Giugno 2023, n. 309, 2023)</w:t>
          </w:r>
        </w:sdtContent>
      </w:sdt>
      <w:r w:rsidRPr="006B0D21">
        <w:rPr>
          <w:lang w:val="en-GB"/>
        </w:rPr>
        <w:t>, which prescribes the use of the annual 98</w:t>
      </w:r>
      <w:r w:rsidRPr="004212BD">
        <w:rPr>
          <w:vertAlign w:val="superscript"/>
          <w:lang w:val="en-GB"/>
        </w:rPr>
        <w:t>th</w:t>
      </w:r>
      <w:r w:rsidRPr="006B0D21">
        <w:rPr>
          <w:lang w:val="en-GB"/>
        </w:rPr>
        <w:t xml:space="preserve"> percentile of hourly average concentrations (C98) as the reference metric for odour impact. In addition, a peak-to-mean factor equal to 2.3 was applied to account for short-term concentration fluctuations relevant to human odour perception.</w:t>
      </w:r>
      <w:r w:rsidR="00A42CB1">
        <w:rPr>
          <w:lang w:val="en-GB"/>
        </w:rPr>
        <w:t xml:space="preserve"> </w:t>
      </w:r>
      <w:r w:rsidR="00510E8E" w:rsidRPr="00510E8E">
        <w:rPr>
          <w:lang w:val="en-GB"/>
        </w:rPr>
        <w:fldChar w:fldCharType="begin"/>
      </w:r>
      <w:r w:rsidR="00510E8E" w:rsidRPr="00510E8E">
        <w:rPr>
          <w:lang w:val="en-GB"/>
        </w:rPr>
        <w:instrText xml:space="preserve"> REF _Ref166159486 \h  \* MERGEFORMAT </w:instrText>
      </w:r>
      <w:r w:rsidR="00510E8E" w:rsidRPr="00510E8E">
        <w:rPr>
          <w:lang w:val="en-GB"/>
        </w:rPr>
      </w:r>
      <w:r w:rsidR="00510E8E" w:rsidRPr="00510E8E">
        <w:rPr>
          <w:lang w:val="en-GB"/>
        </w:rPr>
        <w:fldChar w:fldCharType="separate"/>
      </w:r>
      <w:r w:rsidR="00510E8E" w:rsidRPr="00510E8E">
        <w:t>Figure 3</w:t>
      </w:r>
      <w:r w:rsidR="00510E8E" w:rsidRPr="00510E8E">
        <w:rPr>
          <w:lang w:val="en-GB"/>
        </w:rPr>
        <w:fldChar w:fldCharType="end"/>
      </w:r>
      <w:r w:rsidRPr="006B0D21">
        <w:rPr>
          <w:lang w:val="en-GB"/>
        </w:rPr>
        <w:t xml:space="preserve"> shows the spatial distribution of odour concentrations obtained from CALPUFF simulations</w:t>
      </w:r>
      <w:r w:rsidR="00E70A4A">
        <w:rPr>
          <w:lang w:val="en-GB"/>
        </w:rPr>
        <w:t xml:space="preserve"> ov</w:t>
      </w:r>
      <w:r w:rsidR="00E70A4A" w:rsidRPr="00E70A4A">
        <w:rPr>
          <w:lang w:val="en-GB"/>
        </w:rPr>
        <w:t>er a 4</w:t>
      </w:r>
      <w:r w:rsidR="00E70A4A">
        <w:rPr>
          <w:lang w:val="en-GB"/>
        </w:rPr>
        <w:t>x</w:t>
      </w:r>
      <w:r w:rsidR="00E70A4A" w:rsidRPr="00E70A4A">
        <w:rPr>
          <w:lang w:val="en-GB"/>
        </w:rPr>
        <w:t>4 km² domain</w:t>
      </w:r>
      <w:r w:rsidRPr="006B0D21">
        <w:rPr>
          <w:lang w:val="en-GB"/>
        </w:rPr>
        <w:t xml:space="preserve">, expressed both in terms of C98 and maximum hourly concentrations (Cmax). </w:t>
      </w:r>
    </w:p>
    <w:p w14:paraId="7785F875" w14:textId="77777777" w:rsidR="003553A6" w:rsidRPr="006B0D21" w:rsidRDefault="003553A6" w:rsidP="006B0D21">
      <w:pPr>
        <w:pStyle w:val="CETBodytext"/>
        <w:rPr>
          <w:lang w:val="en-GB"/>
        </w:rPr>
      </w:pPr>
    </w:p>
    <w:p w14:paraId="1FE3A94B" w14:textId="6A560544" w:rsidR="00783B5F" w:rsidRPr="00405395" w:rsidRDefault="00C2054F" w:rsidP="00783B5F">
      <w:pPr>
        <w:pStyle w:val="CETBodytext"/>
        <w:keepNext/>
        <w:jc w:val="left"/>
        <w:rPr>
          <w:lang w:val="en-GB"/>
        </w:rPr>
      </w:pPr>
      <w:r>
        <w:rPr>
          <w:noProof/>
          <w:lang w:val="en-GB"/>
        </w:rPr>
        <w:drawing>
          <wp:inline distT="0" distB="0" distL="0" distR="0" wp14:anchorId="756744F0" wp14:editId="1DA90DE9">
            <wp:extent cx="5760000" cy="3150946"/>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3150946"/>
                    </a:xfrm>
                    <a:prstGeom prst="rect">
                      <a:avLst/>
                    </a:prstGeom>
                    <a:noFill/>
                  </pic:spPr>
                </pic:pic>
              </a:graphicData>
            </a:graphic>
          </wp:inline>
        </w:drawing>
      </w:r>
    </w:p>
    <w:p w14:paraId="7310B969" w14:textId="7392D161" w:rsidR="00783B5F" w:rsidRDefault="00783B5F" w:rsidP="00C70838">
      <w:pPr>
        <w:pStyle w:val="Didascalia"/>
        <w:jc w:val="left"/>
        <w:rPr>
          <w:rStyle w:val="CETCaptionCarattere"/>
          <w:b w:val="0"/>
          <w:bCs w:val="0"/>
          <w:color w:val="auto"/>
        </w:rPr>
      </w:pPr>
      <w:bookmarkStart w:id="3" w:name="_Ref166159486"/>
      <w:r w:rsidRPr="00405395">
        <w:rPr>
          <w:rStyle w:val="CETCaptionCarattere"/>
          <w:b w:val="0"/>
          <w:bCs w:val="0"/>
          <w:color w:val="auto"/>
        </w:rPr>
        <w:t xml:space="preserve">Figure </w:t>
      </w:r>
      <w:r w:rsidRPr="00405395">
        <w:rPr>
          <w:rStyle w:val="CETCaptionCarattere"/>
          <w:b w:val="0"/>
          <w:bCs w:val="0"/>
          <w:color w:val="auto"/>
        </w:rPr>
        <w:fldChar w:fldCharType="begin"/>
      </w:r>
      <w:r w:rsidRPr="00405395">
        <w:rPr>
          <w:rStyle w:val="CETCaptionCarattere"/>
          <w:b w:val="0"/>
          <w:bCs w:val="0"/>
          <w:color w:val="auto"/>
        </w:rPr>
        <w:instrText xml:space="preserve"> SEQ Figure \* ARABIC </w:instrText>
      </w:r>
      <w:r w:rsidRPr="00405395">
        <w:rPr>
          <w:rStyle w:val="CETCaptionCarattere"/>
          <w:b w:val="0"/>
          <w:bCs w:val="0"/>
          <w:color w:val="auto"/>
        </w:rPr>
        <w:fldChar w:fldCharType="separate"/>
      </w:r>
      <w:r w:rsidR="00802DBF">
        <w:rPr>
          <w:rStyle w:val="CETCaptionCarattere"/>
          <w:b w:val="0"/>
          <w:bCs w:val="0"/>
          <w:noProof/>
          <w:color w:val="auto"/>
        </w:rPr>
        <w:t>3</w:t>
      </w:r>
      <w:r w:rsidRPr="00405395">
        <w:rPr>
          <w:rStyle w:val="CETCaptionCarattere"/>
          <w:b w:val="0"/>
          <w:bCs w:val="0"/>
          <w:color w:val="auto"/>
        </w:rPr>
        <w:fldChar w:fldCharType="end"/>
      </w:r>
      <w:bookmarkEnd w:id="3"/>
      <w:r w:rsidR="00453D75">
        <w:rPr>
          <w:rStyle w:val="CETCaptionCarattere"/>
          <w:b w:val="0"/>
          <w:bCs w:val="0"/>
          <w:color w:val="auto"/>
        </w:rPr>
        <w:t>:</w:t>
      </w:r>
      <w:r w:rsidRPr="00405395">
        <w:rPr>
          <w:rStyle w:val="CETCaptionCarattere"/>
          <w:b w:val="0"/>
          <w:bCs w:val="0"/>
          <w:color w:val="auto"/>
        </w:rPr>
        <w:t xml:space="preserve"> </w:t>
      </w:r>
      <w:r w:rsidR="00510E8E">
        <w:rPr>
          <w:rStyle w:val="CETCaptionCarattere"/>
          <w:b w:val="0"/>
          <w:bCs w:val="0"/>
          <w:color w:val="auto"/>
        </w:rPr>
        <w:t>Simulated odour impact maps</w:t>
      </w:r>
      <w:r w:rsidR="00510E8E" w:rsidRPr="00510E8E">
        <w:rPr>
          <w:rStyle w:val="CETCaptionCarattere"/>
          <w:b w:val="0"/>
          <w:bCs w:val="0"/>
          <w:color w:val="auto"/>
        </w:rPr>
        <w:t xml:space="preserve"> expressed as annual 98th percentile (C98, left) and maximum hourly concentration (Cmax, right). The lower panel shows a zoomed view of the C98 map </w:t>
      </w:r>
      <w:r w:rsidR="00C70838">
        <w:rPr>
          <w:rStyle w:val="CETCaptionCarattere"/>
          <w:b w:val="0"/>
          <w:bCs w:val="0"/>
          <w:color w:val="auto"/>
        </w:rPr>
        <w:t>near</w:t>
      </w:r>
      <w:r w:rsidR="00510E8E" w:rsidRPr="00510E8E">
        <w:rPr>
          <w:rStyle w:val="CETCaptionCarattere"/>
          <w:b w:val="0"/>
          <w:bCs w:val="0"/>
          <w:color w:val="auto"/>
        </w:rPr>
        <w:t xml:space="preserve"> the sources</w:t>
      </w:r>
      <w:r w:rsidRPr="00405395">
        <w:rPr>
          <w:rStyle w:val="CETCaptionCarattere"/>
          <w:b w:val="0"/>
          <w:bCs w:val="0"/>
          <w:color w:val="auto"/>
        </w:rPr>
        <w:t>.</w:t>
      </w:r>
    </w:p>
    <w:p w14:paraId="40069F0A" w14:textId="77777777" w:rsidR="0098119D" w:rsidRPr="0098119D" w:rsidRDefault="0098119D" w:rsidP="0098119D"/>
    <w:p w14:paraId="7B23F6A2" w14:textId="6F13F026" w:rsidR="00C70838" w:rsidRDefault="0080437B" w:rsidP="00C70838">
      <w:r w:rsidRPr="006B0D21">
        <w:t xml:space="preserve">The maps highlight a clear impact pattern centred on the tank </w:t>
      </w:r>
      <w:r>
        <w:t>storage sit</w:t>
      </w:r>
      <w:r w:rsidRPr="006B0D21">
        <w:t>, with concentric zones of decreasing concentration extending towards the surrounding areas.</w:t>
      </w:r>
      <w:r>
        <w:t xml:space="preserve"> </w:t>
      </w:r>
      <w:r w:rsidR="00C70838">
        <w:t xml:space="preserve">The C98 map exhibits a relatively smooth and spatially continuous distribution, with the highest concentration levels prescribed by the Italian regulation confined to the immediate vicinity of the emission sources and a progressive attenuation with distance. </w:t>
      </w:r>
      <w:r w:rsidR="00E4533D" w:rsidRPr="00E4533D">
        <w:t>In particular, the 1 ou</w:t>
      </w:r>
      <w:r w:rsidR="00E4533D" w:rsidRPr="00E4533D">
        <w:rPr>
          <w:vertAlign w:val="subscript"/>
        </w:rPr>
        <w:t>E</w:t>
      </w:r>
      <w:r w:rsidR="00E4533D" w:rsidRPr="00E4533D">
        <w:t>/m³ isoline reaches a maximum extension of approximately 350 m from the source perimeter, while the 5 ou</w:t>
      </w:r>
      <w:r w:rsidR="00E4533D" w:rsidRPr="00FC4A9C">
        <w:rPr>
          <w:vertAlign w:val="subscript"/>
        </w:rPr>
        <w:t>E</w:t>
      </w:r>
      <w:r w:rsidR="00E4533D" w:rsidRPr="00E4533D">
        <w:t>/m³ isoline is more contained, extending up to about 200 m.</w:t>
      </w:r>
      <w:r w:rsidR="00E4533D">
        <w:t xml:space="preserve"> </w:t>
      </w:r>
      <w:r w:rsidR="00E4533D" w:rsidRPr="00E4533D">
        <w:t>For the Cmax, the spatial extent of the impact is significantly larger: the 1 ou</w:t>
      </w:r>
      <w:r w:rsidR="00E4533D" w:rsidRPr="00FC4A9C">
        <w:rPr>
          <w:vertAlign w:val="subscript"/>
        </w:rPr>
        <w:t>E</w:t>
      </w:r>
      <w:r w:rsidR="00E4533D" w:rsidRPr="00E4533D">
        <w:t>/m³ isoline extends up to 1.8 km from the sources, whereas the 5 ou</w:t>
      </w:r>
      <w:r w:rsidR="00E4533D" w:rsidRPr="00FC4A9C">
        <w:rPr>
          <w:vertAlign w:val="subscript"/>
        </w:rPr>
        <w:t>E</w:t>
      </w:r>
      <w:r w:rsidR="00E4533D" w:rsidRPr="00E4533D">
        <w:t xml:space="preserve">/m³ isoline reaches a maximum distance of about 400 m. </w:t>
      </w:r>
      <w:r w:rsidR="00A86A46">
        <w:t>Therefore</w:t>
      </w:r>
      <w:r w:rsidR="00C70838">
        <w:t>, the Cmax map identifies a wider area potentially exposed to odour impact</w:t>
      </w:r>
      <w:r w:rsidR="0098119D">
        <w:t>,</w:t>
      </w:r>
      <w:r w:rsidR="00B01FDA">
        <w:t xml:space="preserve"> </w:t>
      </w:r>
      <w:r w:rsidR="00B01FDA" w:rsidRPr="00B01FDA">
        <w:t>as it represents the single most critical hour of the year, driven by temporally variable emissions and meteorological conditions</w:t>
      </w:r>
      <w:r w:rsidR="00C70838">
        <w:t>. Therefore, Cmax is more sensitive to short-term emission peaks and atmospheric conditions favour</w:t>
      </w:r>
      <w:r w:rsidR="00B01FDA">
        <w:t>ing</w:t>
      </w:r>
      <w:r w:rsidR="00C70838">
        <w:t xml:space="preserve"> the highest ground-level concentrations.</w:t>
      </w:r>
      <w:r w:rsidR="00E70A4A">
        <w:t xml:space="preserve"> </w:t>
      </w:r>
      <w:r w:rsidR="00C70838">
        <w:t>The substantial discrepancy between C98 and Cmax can be primarily explained by the hourly variability of the OER, with meteorological variability providing an additional contribution</w:t>
      </w:r>
      <w:r w:rsidR="00B01FDA">
        <w:t>.</w:t>
      </w:r>
      <w:r w:rsidR="00C70838">
        <w:t xml:space="preserve"> In particular, the time-resolved emission approach makes it possible to represent the discontinuous character of emissions. Under these conditions, the differences between </w:t>
      </w:r>
      <w:r w:rsidR="00E70A4A">
        <w:t>C98</w:t>
      </w:r>
      <w:r w:rsidR="00C70838">
        <w:t xml:space="preserve"> and </w:t>
      </w:r>
      <w:r w:rsidR="00E70A4A">
        <w:t xml:space="preserve">Cmax </w:t>
      </w:r>
      <w:r w:rsidR="00C70838">
        <w:t>become more pronounced, since C98 reflects the most recurrent higher-end impact conditions, whereas Cmax captures the absolute worst hour</w:t>
      </w:r>
      <w:r w:rsidR="00F452A4">
        <w:t xml:space="preserve"> </w:t>
      </w:r>
      <w:r w:rsidR="00C70838">
        <w:t>generated by the combination of emissions and meteorology.</w:t>
      </w:r>
    </w:p>
    <w:p w14:paraId="68D26B83" w14:textId="77777777" w:rsidR="00600535" w:rsidRPr="00405395" w:rsidRDefault="00600535" w:rsidP="00600535">
      <w:pPr>
        <w:pStyle w:val="CETHeading1"/>
        <w:rPr>
          <w:lang w:val="en-GB"/>
        </w:rPr>
      </w:pPr>
      <w:r w:rsidRPr="00405395">
        <w:rPr>
          <w:lang w:val="en-GB"/>
        </w:rPr>
        <w:t>Conclusions</w:t>
      </w:r>
    </w:p>
    <w:p w14:paraId="7F8E29AF" w14:textId="6CEB85D6" w:rsidR="003753D8" w:rsidRPr="00405395" w:rsidRDefault="00BE335D" w:rsidP="003753D8">
      <w:pPr>
        <w:pStyle w:val="CETReference"/>
        <w:spacing w:before="0" w:after="0" w:line="264" w:lineRule="auto"/>
        <w:jc w:val="both"/>
        <w:rPr>
          <w:b w:val="0"/>
        </w:rPr>
      </w:pPr>
      <w:r w:rsidRPr="00BE335D">
        <w:rPr>
          <w:b w:val="0"/>
        </w:rPr>
        <w:t xml:space="preserve">This study highlights the complexity of odour emissions from crude oil storage facilities, driven by the diffuse nature of EFRT sources, the variability in crude oil odour potential, and the temporal dynamics of tank operations. The proposed methodology, based on tank-specific HCOEC values and hourly-resolved emission estimates, allows a more </w:t>
      </w:r>
      <w:r w:rsidR="00B94558">
        <w:rPr>
          <w:b w:val="0"/>
        </w:rPr>
        <w:t>refined</w:t>
      </w:r>
      <w:r w:rsidRPr="00BE335D">
        <w:rPr>
          <w:b w:val="0"/>
        </w:rPr>
        <w:t xml:space="preserve"> representation of emission behaviour compared to conventional annual-average approaches</w:t>
      </w:r>
      <w:r>
        <w:rPr>
          <w:b w:val="0"/>
        </w:rPr>
        <w:t xml:space="preserve">. </w:t>
      </w:r>
      <w:r w:rsidRPr="00BE335D">
        <w:rPr>
          <w:b w:val="0"/>
        </w:rPr>
        <w:t>The results demonstrate that odour emissions are highly variable over time, with short-term peaks primarily associated with withdrawal operations. This temporal variability significantly affects dispersion outcomes, as shown by the marked differences between C98 and Cmax indicators: while C98 suggests a localized impact, Cmax identifies a wider potentially affected area due to short-term peak events.</w:t>
      </w:r>
      <w:r w:rsidR="003753D8">
        <w:rPr>
          <w:b w:val="0"/>
        </w:rPr>
        <w:t xml:space="preserve"> T</w:t>
      </w:r>
      <w:r w:rsidR="00582B74" w:rsidRPr="00582B74">
        <w:rPr>
          <w:b w:val="0"/>
        </w:rPr>
        <w:t xml:space="preserve">he study highlights that a time-resolved approach is </w:t>
      </w:r>
      <w:r w:rsidR="003753D8">
        <w:rPr>
          <w:b w:val="0"/>
        </w:rPr>
        <w:t>crucial</w:t>
      </w:r>
      <w:r w:rsidR="00582B74" w:rsidRPr="00582B74">
        <w:rPr>
          <w:b w:val="0"/>
        </w:rPr>
        <w:t xml:space="preserve"> for the assessment of odour impacts from crude oil tanks, as it enables the identification of short-term emission peaks that are most</w:t>
      </w:r>
      <w:r w:rsidR="003753D8">
        <w:rPr>
          <w:b w:val="0"/>
        </w:rPr>
        <w:t xml:space="preserve"> </w:t>
      </w:r>
      <w:r w:rsidR="003753D8" w:rsidRPr="00582B74">
        <w:rPr>
          <w:b w:val="0"/>
        </w:rPr>
        <w:t>likely to drive odour nuisance.</w:t>
      </w:r>
      <w:r w:rsidR="003753D8">
        <w:rPr>
          <w:b w:val="0"/>
        </w:rPr>
        <w:t xml:space="preserve"> </w:t>
      </w:r>
    </w:p>
    <w:p w14:paraId="5A13856B" w14:textId="0BE215B7" w:rsidR="006B4888" w:rsidRDefault="00582B74" w:rsidP="003753D8">
      <w:pPr>
        <w:pStyle w:val="CETReference"/>
        <w:jc w:val="both"/>
      </w:pPr>
      <w:r w:rsidRPr="00582B74">
        <w:rPr>
          <w:b w:val="0"/>
        </w:rPr>
        <w:t xml:space="preserve"> </w:t>
      </w:r>
      <w:r w:rsidR="00600535" w:rsidRPr="00405395">
        <w:t>References</w:t>
      </w:r>
    </w:p>
    <w:sdt>
      <w:sdtPr>
        <w:rPr>
          <w:rFonts w:cs="Arial"/>
          <w:color w:val="000000"/>
        </w:rPr>
        <w:tag w:val="MENDELEY_BIBLIOGRAPHY"/>
        <w:id w:val="1411975636"/>
        <w:placeholder>
          <w:docPart w:val="DefaultPlaceholder_-1854013440"/>
        </w:placeholder>
      </w:sdtPr>
      <w:sdtEndPr/>
      <w:sdtContent>
        <w:p w14:paraId="4DB6C088" w14:textId="0804DF46" w:rsidR="00E70A4A" w:rsidRPr="00B01FDA" w:rsidRDefault="00E70A4A">
          <w:pPr>
            <w:autoSpaceDE w:val="0"/>
            <w:autoSpaceDN w:val="0"/>
            <w:ind w:hanging="480"/>
            <w:divId w:val="502162493"/>
            <w:rPr>
              <w:rFonts w:cs="Arial"/>
              <w:color w:val="000000"/>
              <w:szCs w:val="24"/>
            </w:rPr>
          </w:pPr>
          <w:r w:rsidRPr="00B01FDA">
            <w:rPr>
              <w:rFonts w:cs="Arial"/>
              <w:color w:val="000000"/>
            </w:rPr>
            <w:t>Carrera L., Tagliaferri F., Albertini A., Sironi S., Invernizzi M</w:t>
          </w:r>
          <w:r w:rsidR="00B01FDA" w:rsidRPr="00B01FDA">
            <w:rPr>
              <w:rFonts w:cs="Arial"/>
              <w:color w:val="000000"/>
            </w:rPr>
            <w:t xml:space="preserve">, </w:t>
          </w:r>
          <w:r w:rsidRPr="00B01FDA">
            <w:rPr>
              <w:rFonts w:cs="Arial"/>
              <w:color w:val="000000"/>
            </w:rPr>
            <w:t>2025</w:t>
          </w:r>
          <w:r w:rsidR="00B01FDA" w:rsidRPr="00B01FDA">
            <w:rPr>
              <w:rFonts w:cs="Arial"/>
              <w:color w:val="000000"/>
            </w:rPr>
            <w:t>,</w:t>
          </w:r>
          <w:r w:rsidRPr="00B01FDA">
            <w:rPr>
              <w:rFonts w:cs="Arial"/>
              <w:color w:val="000000"/>
            </w:rPr>
            <w:t xml:space="preserve"> A comparative study of wind tunnel and flux chamber for diffuse emission sampling: Experimental evaluation and theoretical approach. Chemosphere, 375. https://doi.org/10.1016/j.chemosphere.2025.144242</w:t>
          </w:r>
        </w:p>
        <w:p w14:paraId="7704FFE3" w14:textId="3F9FCC1A" w:rsidR="00E70A4A" w:rsidRPr="00B01FDA" w:rsidRDefault="00E70A4A">
          <w:pPr>
            <w:autoSpaceDE w:val="0"/>
            <w:autoSpaceDN w:val="0"/>
            <w:ind w:hanging="480"/>
            <w:divId w:val="607392111"/>
            <w:rPr>
              <w:rFonts w:cs="Arial"/>
              <w:color w:val="000000"/>
            </w:rPr>
          </w:pPr>
          <w:r w:rsidRPr="00B01FDA">
            <w:rPr>
              <w:rFonts w:cs="Arial"/>
              <w:color w:val="000000"/>
            </w:rPr>
            <w:t>CEN</w:t>
          </w:r>
          <w:r w:rsidR="00B01FDA" w:rsidRPr="00B01FDA">
            <w:rPr>
              <w:rFonts w:cs="Arial"/>
              <w:color w:val="000000"/>
            </w:rPr>
            <w:t xml:space="preserve">, </w:t>
          </w:r>
          <w:r w:rsidRPr="00B01FDA">
            <w:rPr>
              <w:rFonts w:cs="Arial"/>
              <w:color w:val="000000"/>
            </w:rPr>
            <w:t>2022</w:t>
          </w:r>
          <w:r w:rsidR="00B01FDA" w:rsidRPr="00B01FDA">
            <w:rPr>
              <w:rFonts w:cs="Arial"/>
              <w:color w:val="000000"/>
            </w:rPr>
            <w:t>,</w:t>
          </w:r>
          <w:r w:rsidRPr="00B01FDA">
            <w:rPr>
              <w:rFonts w:cs="Arial"/>
              <w:color w:val="000000"/>
            </w:rPr>
            <w:t xml:space="preserve"> Air Quality—Determination of Odour Concentration by Dynamic Olfactometry; EN13725:2022.</w:t>
          </w:r>
        </w:p>
        <w:p w14:paraId="15D9A98B" w14:textId="016A3654" w:rsidR="00E70A4A" w:rsidRPr="00B01FDA" w:rsidRDefault="00E70A4A">
          <w:pPr>
            <w:autoSpaceDE w:val="0"/>
            <w:autoSpaceDN w:val="0"/>
            <w:ind w:hanging="480"/>
            <w:divId w:val="1688944255"/>
            <w:rPr>
              <w:rFonts w:cs="Arial"/>
              <w:color w:val="000000"/>
            </w:rPr>
          </w:pPr>
          <w:r w:rsidRPr="00B01FDA">
            <w:rPr>
              <w:rFonts w:cs="Arial"/>
              <w:color w:val="000000"/>
            </w:rPr>
            <w:t>Decreto Direttoriale 28 Giugno 2023, n. 309</w:t>
          </w:r>
          <w:r w:rsidR="00B01FDA" w:rsidRPr="00B01FDA">
            <w:rPr>
              <w:rFonts w:cs="Arial"/>
              <w:color w:val="000000"/>
            </w:rPr>
            <w:t xml:space="preserve">, </w:t>
          </w:r>
          <w:r w:rsidRPr="00B01FDA">
            <w:rPr>
              <w:rFonts w:cs="Arial"/>
              <w:color w:val="000000"/>
            </w:rPr>
            <w:t>2023</w:t>
          </w:r>
          <w:r w:rsidR="00B01FDA" w:rsidRPr="00B01FDA">
            <w:rPr>
              <w:rFonts w:cs="Arial"/>
              <w:color w:val="000000"/>
            </w:rPr>
            <w:t>.</w:t>
          </w:r>
          <w:r w:rsidRPr="00B01FDA">
            <w:rPr>
              <w:rFonts w:cs="Arial"/>
              <w:color w:val="000000"/>
            </w:rPr>
            <w:t xml:space="preserve"> https://www.reteambiente.it/normativa/51893/decreto-direttoriale-minambiente-28-giugno-2023-n-309/</w:t>
          </w:r>
        </w:p>
        <w:p w14:paraId="5A49F98F" w14:textId="47633ADB" w:rsidR="00E70A4A" w:rsidRPr="00B01FDA" w:rsidRDefault="00E70A4A">
          <w:pPr>
            <w:autoSpaceDE w:val="0"/>
            <w:autoSpaceDN w:val="0"/>
            <w:ind w:hanging="480"/>
            <w:divId w:val="876237800"/>
            <w:rPr>
              <w:rFonts w:cs="Arial"/>
              <w:color w:val="000000"/>
            </w:rPr>
          </w:pPr>
          <w:r w:rsidRPr="00B01FDA">
            <w:rPr>
              <w:rFonts w:cs="Arial"/>
              <w:color w:val="000000"/>
            </w:rPr>
            <w:t>Invernizzi M., Ilare J., Capelli L., Sironi S.</w:t>
          </w:r>
          <w:r w:rsidR="00B01FDA" w:rsidRPr="00B01FDA">
            <w:rPr>
              <w:rFonts w:cs="Arial"/>
              <w:color w:val="000000"/>
            </w:rPr>
            <w:t>,</w:t>
          </w:r>
          <w:r w:rsidRPr="00B01FDA">
            <w:rPr>
              <w:rFonts w:cs="Arial"/>
              <w:color w:val="000000"/>
            </w:rPr>
            <w:t xml:space="preserve"> 2018</w:t>
          </w:r>
          <w:r w:rsidR="00B01FDA" w:rsidRPr="00B01FDA">
            <w:rPr>
              <w:rFonts w:cs="Arial"/>
              <w:color w:val="000000"/>
            </w:rPr>
            <w:t>,</w:t>
          </w:r>
          <w:r w:rsidRPr="00B01FDA">
            <w:rPr>
              <w:rFonts w:cs="Arial"/>
              <w:color w:val="000000"/>
            </w:rPr>
            <w:t xml:space="preserve"> Proposal of a method for evaluating odour emissions from refinery storage tanks. Chemical Engineering Transactions, 68, 49–54. https://doi.org/10.3303/CET1868009</w:t>
          </w:r>
        </w:p>
        <w:p w14:paraId="62F7C866" w14:textId="417CA615" w:rsidR="00E70A4A" w:rsidRPr="00B01FDA" w:rsidRDefault="00E70A4A">
          <w:pPr>
            <w:autoSpaceDE w:val="0"/>
            <w:autoSpaceDN w:val="0"/>
            <w:ind w:hanging="480"/>
            <w:divId w:val="244651129"/>
            <w:rPr>
              <w:rFonts w:cs="Arial"/>
              <w:color w:val="000000"/>
            </w:rPr>
          </w:pPr>
          <w:r w:rsidRPr="00B01FDA">
            <w:rPr>
              <w:rFonts w:cs="Arial"/>
              <w:color w:val="000000"/>
            </w:rPr>
            <w:t>Invernizzi M., Sironi S.</w:t>
          </w:r>
          <w:r w:rsidR="00B01FDA" w:rsidRPr="00B01FDA">
            <w:rPr>
              <w:rFonts w:cs="Arial"/>
              <w:color w:val="000000"/>
            </w:rPr>
            <w:t xml:space="preserve">, </w:t>
          </w:r>
          <w:r w:rsidRPr="00B01FDA">
            <w:rPr>
              <w:rFonts w:cs="Arial"/>
              <w:color w:val="000000"/>
            </w:rPr>
            <w:t>2021</w:t>
          </w:r>
          <w:r w:rsidR="00B01FDA" w:rsidRPr="00B01FDA">
            <w:rPr>
              <w:rFonts w:cs="Arial"/>
              <w:color w:val="000000"/>
            </w:rPr>
            <w:t>.,</w:t>
          </w:r>
          <w:r w:rsidRPr="00B01FDA">
            <w:rPr>
              <w:rFonts w:cs="Arial"/>
              <w:color w:val="000000"/>
            </w:rPr>
            <w:t xml:space="preserve"> Odour emission rate estimation methods for hydrocarbon storage tanks. Chemical Engineering Transactions, 85(April), 67–72. https://doi.org/10.3303/CET2185012</w:t>
          </w:r>
        </w:p>
        <w:p w14:paraId="56CFEF02" w14:textId="6D742B0C" w:rsidR="00E70A4A" w:rsidRPr="00B01FDA" w:rsidRDefault="00E70A4A">
          <w:pPr>
            <w:autoSpaceDE w:val="0"/>
            <w:autoSpaceDN w:val="0"/>
            <w:ind w:hanging="480"/>
            <w:divId w:val="1680234024"/>
            <w:rPr>
              <w:rFonts w:cs="Arial"/>
              <w:color w:val="000000"/>
            </w:rPr>
          </w:pPr>
          <w:r w:rsidRPr="00B01FDA">
            <w:rPr>
              <w:rFonts w:cs="Arial"/>
              <w:color w:val="000000"/>
            </w:rPr>
            <w:t>Invernizzi M., Tagliaferri F., Manganelli C., Sironi S</w:t>
          </w:r>
          <w:r w:rsidR="00B01FDA" w:rsidRPr="00B01FDA">
            <w:rPr>
              <w:rFonts w:cs="Arial"/>
              <w:color w:val="000000"/>
            </w:rPr>
            <w:t xml:space="preserve">, </w:t>
          </w:r>
          <w:r w:rsidRPr="00B01FDA">
            <w:rPr>
              <w:rFonts w:cs="Arial"/>
              <w:color w:val="000000"/>
            </w:rPr>
            <w:t>2025</w:t>
          </w:r>
          <w:r w:rsidR="00B01FDA" w:rsidRPr="00B01FDA">
            <w:rPr>
              <w:rFonts w:cs="Arial"/>
              <w:color w:val="000000"/>
            </w:rPr>
            <w:t>,</w:t>
          </w:r>
          <w:r w:rsidRPr="00B01FDA">
            <w:rPr>
              <w:rFonts w:cs="Arial"/>
              <w:color w:val="000000"/>
            </w:rPr>
            <w:t xml:space="preserve"> Quantitative estimation of odorous emissions from heterogeneous area sources via thermal imaging drone. Science of the Total Environment, 1000. https://doi.org/10.1016/j.scitotenv.2025.180415</w:t>
          </w:r>
        </w:p>
        <w:p w14:paraId="02110688" w14:textId="35637AC3" w:rsidR="00E70A4A" w:rsidRPr="00B01FDA" w:rsidRDefault="00E70A4A">
          <w:pPr>
            <w:autoSpaceDE w:val="0"/>
            <w:autoSpaceDN w:val="0"/>
            <w:ind w:hanging="480"/>
            <w:divId w:val="1625847905"/>
            <w:rPr>
              <w:rFonts w:cs="Arial"/>
              <w:color w:val="000000"/>
            </w:rPr>
          </w:pPr>
          <w:r w:rsidRPr="00B01FDA">
            <w:rPr>
              <w:rFonts w:cs="Arial"/>
              <w:color w:val="000000"/>
            </w:rPr>
            <w:t>Mckittrick J., Hadgraft N., Fry K. L., Mikkonen A. T., Mavoa S.</w:t>
          </w:r>
          <w:r w:rsidR="00B01FDA" w:rsidRPr="00B01FDA">
            <w:rPr>
              <w:rFonts w:cs="Arial"/>
              <w:color w:val="000000"/>
            </w:rPr>
            <w:t xml:space="preserve">, </w:t>
          </w:r>
          <w:r w:rsidRPr="00B01FDA">
            <w:rPr>
              <w:rFonts w:cs="Arial"/>
              <w:color w:val="000000"/>
            </w:rPr>
            <w:t>2025</w:t>
          </w:r>
          <w:r w:rsidR="00B01FDA" w:rsidRPr="00B01FDA">
            <w:rPr>
              <w:rFonts w:cs="Arial"/>
              <w:color w:val="000000"/>
            </w:rPr>
            <w:t>,</w:t>
          </w:r>
          <w:r w:rsidRPr="00B01FDA">
            <w:rPr>
              <w:rFonts w:cs="Arial"/>
              <w:color w:val="000000"/>
            </w:rPr>
            <w:t xml:space="preserve"> Industrial Odour and Psychosocial Wellbeing: A Systematic Review. Environments, 12(10), 364. https://doi.org/10.3390/environments12100364</w:t>
          </w:r>
        </w:p>
        <w:p w14:paraId="62344AF9" w14:textId="63BDCD29" w:rsidR="00E70A4A" w:rsidRPr="00B01FDA" w:rsidRDefault="00E70A4A">
          <w:pPr>
            <w:autoSpaceDE w:val="0"/>
            <w:autoSpaceDN w:val="0"/>
            <w:ind w:hanging="480"/>
            <w:divId w:val="1153331259"/>
            <w:rPr>
              <w:rFonts w:cs="Arial"/>
              <w:color w:val="000000"/>
            </w:rPr>
          </w:pPr>
          <w:r w:rsidRPr="00B01FDA">
            <w:rPr>
              <w:rFonts w:cs="Arial"/>
              <w:color w:val="000000"/>
            </w:rPr>
            <w:t>Polvara E., Legnani V., Invernizzi M., Sironi S.</w:t>
          </w:r>
          <w:r w:rsidR="00B01FDA" w:rsidRPr="00B01FDA">
            <w:rPr>
              <w:rFonts w:cs="Arial"/>
              <w:color w:val="000000"/>
            </w:rPr>
            <w:t xml:space="preserve">, </w:t>
          </w:r>
          <w:r w:rsidRPr="00B01FDA">
            <w:rPr>
              <w:rFonts w:cs="Arial"/>
              <w:color w:val="000000"/>
            </w:rPr>
            <w:t>2025</w:t>
          </w:r>
          <w:r w:rsidR="00B01FDA" w:rsidRPr="00B01FDA">
            <w:rPr>
              <w:rFonts w:cs="Arial"/>
              <w:color w:val="000000"/>
            </w:rPr>
            <w:t>,</w:t>
          </w:r>
          <w:r w:rsidRPr="00B01FDA">
            <w:rPr>
              <w:rFonts w:cs="Arial"/>
              <w:color w:val="000000"/>
            </w:rPr>
            <w:t xml:space="preserve"> Olfactometric and Chemical Characterisation of Gaseous Emission from Crude Oils. Molecules, 30(5). https://doi.org/10.3390/molecules30051136</w:t>
          </w:r>
        </w:p>
        <w:p w14:paraId="0B2D1BD0" w14:textId="56E09DA0" w:rsidR="00E70A4A" w:rsidRPr="00B01FDA" w:rsidRDefault="00E70A4A">
          <w:pPr>
            <w:autoSpaceDE w:val="0"/>
            <w:autoSpaceDN w:val="0"/>
            <w:ind w:hanging="480"/>
            <w:divId w:val="982201180"/>
            <w:rPr>
              <w:rFonts w:cs="Arial"/>
              <w:color w:val="000000"/>
            </w:rPr>
          </w:pPr>
          <w:r w:rsidRPr="00B01FDA">
            <w:rPr>
              <w:rFonts w:cs="Arial"/>
              <w:color w:val="000000"/>
            </w:rPr>
            <w:t>Scir</w:t>
          </w:r>
          <w:r w:rsidR="00B01FDA" w:rsidRPr="00B01FDA">
            <w:rPr>
              <w:rFonts w:cs="Arial"/>
              <w:color w:val="000000"/>
            </w:rPr>
            <w:t>e</w:t>
          </w:r>
          <w:r w:rsidRPr="00B01FDA">
            <w:rPr>
              <w:rFonts w:cs="Arial"/>
              <w:color w:val="000000"/>
            </w:rPr>
            <w:t xml:space="preserve"> J. S.,</w:t>
          </w:r>
          <w:r w:rsidR="00B01FDA" w:rsidRPr="00B01FDA">
            <w:rPr>
              <w:rFonts w:cs="Arial"/>
              <w:color w:val="000000"/>
            </w:rPr>
            <w:t xml:space="preserve"> </w:t>
          </w:r>
          <w:r w:rsidRPr="00B01FDA">
            <w:rPr>
              <w:rFonts w:cs="Arial"/>
              <w:color w:val="000000"/>
            </w:rPr>
            <w:t>Strimaitis D. G., Yamartino R. J.</w:t>
          </w:r>
          <w:r w:rsidR="00B01FDA" w:rsidRPr="00B01FDA">
            <w:rPr>
              <w:rFonts w:cs="Arial"/>
              <w:color w:val="000000"/>
            </w:rPr>
            <w:t xml:space="preserve">, </w:t>
          </w:r>
          <w:r w:rsidRPr="00B01FDA">
            <w:rPr>
              <w:rFonts w:cs="Arial"/>
              <w:color w:val="000000"/>
            </w:rPr>
            <w:t>2000</w:t>
          </w:r>
          <w:r w:rsidR="00B01FDA" w:rsidRPr="00B01FDA">
            <w:rPr>
              <w:rFonts w:cs="Arial"/>
              <w:color w:val="000000"/>
            </w:rPr>
            <w:t>,</w:t>
          </w:r>
          <w:r w:rsidRPr="00B01FDA">
            <w:rPr>
              <w:rFonts w:cs="Arial"/>
              <w:color w:val="000000"/>
            </w:rPr>
            <w:t xml:space="preserve"> A User’s Guide for the CALPUFF Dispersion Model. Earth Tech. Inc, (January), 521. http://www.src.com/calpuff/download/CALPUFF_UsersGuide.pdf</w:t>
          </w:r>
        </w:p>
        <w:p w14:paraId="5C90AD83" w14:textId="419237E5" w:rsidR="00E70A4A" w:rsidRPr="00B01FDA" w:rsidRDefault="00E70A4A">
          <w:pPr>
            <w:autoSpaceDE w:val="0"/>
            <w:autoSpaceDN w:val="0"/>
            <w:ind w:hanging="480"/>
            <w:divId w:val="1540625031"/>
            <w:rPr>
              <w:rFonts w:cs="Arial"/>
              <w:color w:val="000000"/>
            </w:rPr>
          </w:pPr>
          <w:r w:rsidRPr="00B01FDA">
            <w:rPr>
              <w:rFonts w:cs="Arial"/>
              <w:color w:val="000000"/>
            </w:rPr>
            <w:t>Tagliaferri F., Invernizzi M., Capra F., Sironi S.</w:t>
          </w:r>
          <w:r w:rsidR="00B01FDA" w:rsidRPr="00B01FDA">
            <w:rPr>
              <w:rFonts w:cs="Arial"/>
              <w:color w:val="000000"/>
            </w:rPr>
            <w:t xml:space="preserve">, </w:t>
          </w:r>
          <w:r w:rsidRPr="00B01FDA">
            <w:rPr>
              <w:rFonts w:cs="Arial"/>
              <w:color w:val="000000"/>
            </w:rPr>
            <w:t>2023</w:t>
          </w:r>
          <w:r w:rsidR="00B01FDA" w:rsidRPr="00B01FDA">
            <w:rPr>
              <w:rFonts w:cs="Arial"/>
              <w:color w:val="000000"/>
            </w:rPr>
            <w:t>,</w:t>
          </w:r>
          <w:r w:rsidRPr="00B01FDA">
            <w:rPr>
              <w:rFonts w:cs="Arial"/>
              <w:color w:val="000000"/>
            </w:rPr>
            <w:t xml:space="preserve"> Validation study of WindTrax reverse dispersion model coupled with a sensitivity analysis of model-specific settings. Environmental Research, 222. https://doi.org/10.1016/j.envres.2023.115401</w:t>
          </w:r>
        </w:p>
        <w:p w14:paraId="355D6836" w14:textId="57A7904C" w:rsidR="00E70A4A" w:rsidRPr="00B01FDA" w:rsidRDefault="00E70A4A">
          <w:pPr>
            <w:autoSpaceDE w:val="0"/>
            <w:autoSpaceDN w:val="0"/>
            <w:ind w:hanging="480"/>
            <w:divId w:val="1453665777"/>
            <w:rPr>
              <w:rFonts w:cs="Arial"/>
              <w:color w:val="000000"/>
            </w:rPr>
          </w:pPr>
          <w:r w:rsidRPr="00B01FDA">
            <w:rPr>
              <w:rFonts w:cs="Arial"/>
              <w:color w:val="000000"/>
            </w:rPr>
            <w:t>Tagliaferri F., Rota A., Invernizzi M.</w:t>
          </w:r>
          <w:r w:rsidR="00B01FDA" w:rsidRPr="00B01FDA">
            <w:rPr>
              <w:rFonts w:cs="Arial"/>
              <w:color w:val="000000"/>
            </w:rPr>
            <w:t xml:space="preserve">, </w:t>
          </w:r>
          <w:r w:rsidRPr="00B01FDA">
            <w:rPr>
              <w:rFonts w:cs="Arial"/>
              <w:color w:val="000000"/>
            </w:rPr>
            <w:t>2025</w:t>
          </w:r>
          <w:r w:rsidR="00B01FDA" w:rsidRPr="00B01FDA">
            <w:rPr>
              <w:rFonts w:cs="Arial"/>
              <w:color w:val="000000"/>
            </w:rPr>
            <w:t>,</w:t>
          </w:r>
          <w:r w:rsidRPr="00B01FDA">
            <w:rPr>
              <w:rFonts w:cs="Arial"/>
              <w:color w:val="000000"/>
            </w:rPr>
            <w:t xml:space="preserve"> Area source emissions: a validation study of CALPUFF and LAPMOD models. Atmospheric Environment: X, 27. https://doi.org/10.1016/j.aeaoa.2025.100348</w:t>
          </w:r>
        </w:p>
        <w:p w14:paraId="5B73AF7D" w14:textId="49FC6E7A" w:rsidR="00E70A4A" w:rsidRPr="00B01FDA" w:rsidRDefault="00E70A4A">
          <w:pPr>
            <w:autoSpaceDE w:val="0"/>
            <w:autoSpaceDN w:val="0"/>
            <w:ind w:hanging="480"/>
            <w:divId w:val="2093970786"/>
            <w:rPr>
              <w:rFonts w:cs="Arial"/>
              <w:color w:val="000000"/>
            </w:rPr>
          </w:pPr>
          <w:r w:rsidRPr="00B01FDA">
            <w:rPr>
              <w:rFonts w:cs="Arial"/>
              <w:color w:val="000000"/>
            </w:rPr>
            <w:t>Tagliaferri F., Sironi S., Invernizzi M.</w:t>
          </w:r>
          <w:r w:rsidR="00B01FDA" w:rsidRPr="00B01FDA">
            <w:rPr>
              <w:rFonts w:cs="Arial"/>
              <w:color w:val="000000"/>
            </w:rPr>
            <w:t xml:space="preserve">, </w:t>
          </w:r>
          <w:r w:rsidRPr="00B01FDA">
            <w:rPr>
              <w:rFonts w:cs="Arial"/>
              <w:color w:val="000000"/>
            </w:rPr>
            <w:t>2026</w:t>
          </w:r>
          <w:r w:rsidR="00B01FDA" w:rsidRPr="00B01FDA">
            <w:rPr>
              <w:rFonts w:cs="Arial"/>
              <w:color w:val="000000"/>
            </w:rPr>
            <w:t>,</w:t>
          </w:r>
          <w:r w:rsidRPr="00B01FDA">
            <w:rPr>
              <w:rFonts w:cs="Arial"/>
              <w:color w:val="000000"/>
            </w:rPr>
            <w:t xml:space="preserve"> Assessing VOC Dispersion from Hydrocarbon Storage Tanks: A Case Study on Emission Temporal Resolution. Applied Sciences, 16(4), 1851. https://doi.org/10.3390/app16041851</w:t>
          </w:r>
        </w:p>
        <w:p w14:paraId="00204061" w14:textId="64C4CCB3" w:rsidR="00E70A4A" w:rsidRPr="00B01FDA" w:rsidRDefault="00E70A4A">
          <w:pPr>
            <w:autoSpaceDE w:val="0"/>
            <w:autoSpaceDN w:val="0"/>
            <w:ind w:hanging="480"/>
            <w:divId w:val="1539857992"/>
            <w:rPr>
              <w:rFonts w:cs="Arial"/>
              <w:color w:val="000000"/>
            </w:rPr>
          </w:pPr>
          <w:r w:rsidRPr="00B01FDA">
            <w:rPr>
              <w:rFonts w:cs="Arial"/>
              <w:color w:val="000000"/>
            </w:rPr>
            <w:t>U.S. EPA.</w:t>
          </w:r>
          <w:r w:rsidR="00B01FDA" w:rsidRPr="00B01FDA">
            <w:rPr>
              <w:rFonts w:cs="Arial"/>
              <w:color w:val="000000"/>
            </w:rPr>
            <w:t xml:space="preserve">, </w:t>
          </w:r>
          <w:r w:rsidRPr="00B01FDA">
            <w:rPr>
              <w:rFonts w:cs="Arial"/>
              <w:color w:val="000000"/>
            </w:rPr>
            <w:t>2024</w:t>
          </w:r>
          <w:r w:rsidR="00B01FDA" w:rsidRPr="00B01FDA">
            <w:rPr>
              <w:rFonts w:cs="Arial"/>
              <w:color w:val="000000"/>
            </w:rPr>
            <w:t>,</w:t>
          </w:r>
          <w:r w:rsidRPr="00B01FDA">
            <w:rPr>
              <w:rFonts w:cs="Arial"/>
              <w:color w:val="000000"/>
            </w:rPr>
            <w:t xml:space="preserve"> AP-42: Compilation of Air Emissions Factors. https://www.epa.gov/air-emissions-factors-and-quantification (Fifth).</w:t>
          </w:r>
        </w:p>
        <w:p w14:paraId="70528747" w14:textId="11416E64" w:rsidR="00E70A4A" w:rsidRDefault="00E70A4A">
          <w:pPr>
            <w:autoSpaceDE w:val="0"/>
            <w:autoSpaceDN w:val="0"/>
            <w:ind w:hanging="480"/>
            <w:divId w:val="540820200"/>
            <w:rPr>
              <w:rFonts w:cs="Arial"/>
              <w:color w:val="000000"/>
            </w:rPr>
          </w:pPr>
          <w:r w:rsidRPr="00B01FDA">
            <w:rPr>
              <w:rFonts w:cs="Arial"/>
              <w:color w:val="000000"/>
            </w:rPr>
            <w:t>Üstün M. A., Özkal C. B.</w:t>
          </w:r>
          <w:r w:rsidR="00B01FDA" w:rsidRPr="00B01FDA">
            <w:rPr>
              <w:rFonts w:cs="Arial"/>
              <w:color w:val="000000"/>
            </w:rPr>
            <w:t xml:space="preserve">, </w:t>
          </w:r>
          <w:r w:rsidRPr="00B01FDA">
            <w:rPr>
              <w:rFonts w:cs="Arial"/>
              <w:color w:val="000000"/>
            </w:rPr>
            <w:t>2025</w:t>
          </w:r>
          <w:r w:rsidR="00B01FDA" w:rsidRPr="00B01FDA">
            <w:rPr>
              <w:rFonts w:cs="Arial"/>
              <w:color w:val="000000"/>
            </w:rPr>
            <w:t>,</w:t>
          </w:r>
          <w:r w:rsidRPr="00B01FDA">
            <w:rPr>
              <w:rFonts w:cs="Arial"/>
              <w:color w:val="000000"/>
            </w:rPr>
            <w:t xml:space="preserve"> Predicting odor nuisance levels using meteorological data and citizen complaints records: A machine learning approach. Atmospheric Pollution Research. </w:t>
          </w:r>
          <w:r w:rsidR="00B01FDA" w:rsidRPr="00B01FDA">
            <w:rPr>
              <w:rFonts w:cs="Arial"/>
              <w:color w:val="000000"/>
            </w:rPr>
            <w:t>https://doi.org/10.1016/j.apr.2025.102809</w:t>
          </w:r>
        </w:p>
        <w:p w14:paraId="4769A5A3" w14:textId="29465BA5" w:rsidR="005C4B87" w:rsidRPr="00405395" w:rsidRDefault="005E02C8" w:rsidP="00B01FDA">
          <w:pPr>
            <w:autoSpaceDE w:val="0"/>
            <w:autoSpaceDN w:val="0"/>
          </w:pPr>
        </w:p>
      </w:sdtContent>
    </w:sdt>
    <w:sectPr w:rsidR="005C4B87" w:rsidRPr="00405395" w:rsidSect="00F2675F">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C256A" w14:textId="77777777" w:rsidR="005E02C8" w:rsidRDefault="005E02C8" w:rsidP="004F5E36">
      <w:r>
        <w:separator/>
      </w:r>
    </w:p>
  </w:endnote>
  <w:endnote w:type="continuationSeparator" w:id="0">
    <w:p w14:paraId="3D01B3D0" w14:textId="77777777" w:rsidR="005E02C8" w:rsidRDefault="005E02C8"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6DFFC" w14:textId="77777777" w:rsidR="005E02C8" w:rsidRDefault="005E02C8" w:rsidP="004F5E36">
      <w:r>
        <w:separator/>
      </w:r>
    </w:p>
  </w:footnote>
  <w:footnote w:type="continuationSeparator" w:id="0">
    <w:p w14:paraId="576B54EC" w14:textId="77777777" w:rsidR="005E02C8" w:rsidRDefault="005E02C8"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276E11FA"/>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2552"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5006011"/>
    <w:multiLevelType w:val="hybridMultilevel"/>
    <w:tmpl w:val="526C51E0"/>
    <w:lvl w:ilvl="0" w:tplc="EA4E3FA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9"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8"/>
  </w:num>
  <w:num w:numId="13">
    <w:abstractNumId w:val="12"/>
  </w:num>
  <w:num w:numId="14">
    <w:abstractNumId w:val="19"/>
  </w:num>
  <w:num w:numId="15">
    <w:abstractNumId w:val="21"/>
  </w:num>
  <w:num w:numId="16">
    <w:abstractNumId w:val="20"/>
  </w:num>
  <w:num w:numId="17">
    <w:abstractNumId w:val="11"/>
  </w:num>
  <w:num w:numId="18">
    <w:abstractNumId w:val="12"/>
    <w:lvlOverride w:ilvl="0">
      <w:startOverride w:val="1"/>
    </w:lvlOverride>
  </w:num>
  <w:num w:numId="19">
    <w:abstractNumId w:val="17"/>
  </w:num>
  <w:num w:numId="20">
    <w:abstractNumId w:val="16"/>
  </w:num>
  <w:num w:numId="21">
    <w:abstractNumId w:val="14"/>
  </w:num>
  <w:num w:numId="22">
    <w:abstractNumId w:val="13"/>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117CB"/>
    <w:rsid w:val="00014FEC"/>
    <w:rsid w:val="00015C8D"/>
    <w:rsid w:val="00031023"/>
    <w:rsid w:val="0003148D"/>
    <w:rsid w:val="00031EEC"/>
    <w:rsid w:val="00036493"/>
    <w:rsid w:val="0004051F"/>
    <w:rsid w:val="00051566"/>
    <w:rsid w:val="00062A9A"/>
    <w:rsid w:val="00065058"/>
    <w:rsid w:val="00076029"/>
    <w:rsid w:val="000763F7"/>
    <w:rsid w:val="00086C39"/>
    <w:rsid w:val="000A03B2"/>
    <w:rsid w:val="000C3596"/>
    <w:rsid w:val="000C39BE"/>
    <w:rsid w:val="000D0268"/>
    <w:rsid w:val="000D34BE"/>
    <w:rsid w:val="000E01A8"/>
    <w:rsid w:val="000E102F"/>
    <w:rsid w:val="000E36F1"/>
    <w:rsid w:val="000E3A73"/>
    <w:rsid w:val="000E414A"/>
    <w:rsid w:val="000F093C"/>
    <w:rsid w:val="000F5348"/>
    <w:rsid w:val="000F787B"/>
    <w:rsid w:val="00101282"/>
    <w:rsid w:val="0010416C"/>
    <w:rsid w:val="0012091F"/>
    <w:rsid w:val="00126BC2"/>
    <w:rsid w:val="001308B6"/>
    <w:rsid w:val="0013121F"/>
    <w:rsid w:val="00131FE6"/>
    <w:rsid w:val="0013263F"/>
    <w:rsid w:val="001331DF"/>
    <w:rsid w:val="00134DE4"/>
    <w:rsid w:val="0014034D"/>
    <w:rsid w:val="00142306"/>
    <w:rsid w:val="00144D16"/>
    <w:rsid w:val="0015084B"/>
    <w:rsid w:val="00150E59"/>
    <w:rsid w:val="00152DE3"/>
    <w:rsid w:val="00164CF9"/>
    <w:rsid w:val="001667A6"/>
    <w:rsid w:val="00184AD6"/>
    <w:rsid w:val="001A2A13"/>
    <w:rsid w:val="001A4AF7"/>
    <w:rsid w:val="001A6FFD"/>
    <w:rsid w:val="001A7A1B"/>
    <w:rsid w:val="001B0349"/>
    <w:rsid w:val="001B1E93"/>
    <w:rsid w:val="001B64DE"/>
    <w:rsid w:val="001B65C1"/>
    <w:rsid w:val="001C4E9F"/>
    <w:rsid w:val="001C684B"/>
    <w:rsid w:val="001D0CFB"/>
    <w:rsid w:val="001D21AF"/>
    <w:rsid w:val="001D53FC"/>
    <w:rsid w:val="001F13C9"/>
    <w:rsid w:val="001F42A5"/>
    <w:rsid w:val="001F63A6"/>
    <w:rsid w:val="001F7B9D"/>
    <w:rsid w:val="002018CF"/>
    <w:rsid w:val="00201C93"/>
    <w:rsid w:val="002224B4"/>
    <w:rsid w:val="00234108"/>
    <w:rsid w:val="002447EF"/>
    <w:rsid w:val="00251550"/>
    <w:rsid w:val="00263B05"/>
    <w:rsid w:val="0027221A"/>
    <w:rsid w:val="00275B61"/>
    <w:rsid w:val="002777E0"/>
    <w:rsid w:val="00280FAF"/>
    <w:rsid w:val="002821FC"/>
    <w:rsid w:val="00282656"/>
    <w:rsid w:val="00295281"/>
    <w:rsid w:val="00296B83"/>
    <w:rsid w:val="002A0281"/>
    <w:rsid w:val="002A0C66"/>
    <w:rsid w:val="002B4015"/>
    <w:rsid w:val="002B4B84"/>
    <w:rsid w:val="002B78CE"/>
    <w:rsid w:val="002C2FB6"/>
    <w:rsid w:val="002C3CFF"/>
    <w:rsid w:val="002E5FA7"/>
    <w:rsid w:val="002F3309"/>
    <w:rsid w:val="003008CE"/>
    <w:rsid w:val="003009B7"/>
    <w:rsid w:val="00300E56"/>
    <w:rsid w:val="0030469C"/>
    <w:rsid w:val="00321CA6"/>
    <w:rsid w:val="00323763"/>
    <w:rsid w:val="00323C5F"/>
    <w:rsid w:val="003323EB"/>
    <w:rsid w:val="00333273"/>
    <w:rsid w:val="00334C09"/>
    <w:rsid w:val="00344408"/>
    <w:rsid w:val="00347E7E"/>
    <w:rsid w:val="003553A6"/>
    <w:rsid w:val="003723D4"/>
    <w:rsid w:val="003753D8"/>
    <w:rsid w:val="00381905"/>
    <w:rsid w:val="00384CC8"/>
    <w:rsid w:val="003871FD"/>
    <w:rsid w:val="003A1E30"/>
    <w:rsid w:val="003A2829"/>
    <w:rsid w:val="003A66EE"/>
    <w:rsid w:val="003A7D1C"/>
    <w:rsid w:val="003B304B"/>
    <w:rsid w:val="003B3146"/>
    <w:rsid w:val="003B54D6"/>
    <w:rsid w:val="003F015E"/>
    <w:rsid w:val="00400414"/>
    <w:rsid w:val="00405395"/>
    <w:rsid w:val="0041124C"/>
    <w:rsid w:val="0041446B"/>
    <w:rsid w:val="004212BD"/>
    <w:rsid w:val="00436CDC"/>
    <w:rsid w:val="0044071E"/>
    <w:rsid w:val="0044329C"/>
    <w:rsid w:val="004457D8"/>
    <w:rsid w:val="00447BC6"/>
    <w:rsid w:val="00453D75"/>
    <w:rsid w:val="00453E24"/>
    <w:rsid w:val="0045435C"/>
    <w:rsid w:val="00457456"/>
    <w:rsid w:val="004577FE"/>
    <w:rsid w:val="00457B9C"/>
    <w:rsid w:val="0046164A"/>
    <w:rsid w:val="004628D2"/>
    <w:rsid w:val="00462DCD"/>
    <w:rsid w:val="004648AD"/>
    <w:rsid w:val="004653F7"/>
    <w:rsid w:val="004703A9"/>
    <w:rsid w:val="00475A15"/>
    <w:rsid w:val="004760DE"/>
    <w:rsid w:val="004763D7"/>
    <w:rsid w:val="004803FB"/>
    <w:rsid w:val="00482999"/>
    <w:rsid w:val="00482E9D"/>
    <w:rsid w:val="004A004E"/>
    <w:rsid w:val="004A24CF"/>
    <w:rsid w:val="004C3D1D"/>
    <w:rsid w:val="004C3D84"/>
    <w:rsid w:val="004C7913"/>
    <w:rsid w:val="004E4DD6"/>
    <w:rsid w:val="004E73C4"/>
    <w:rsid w:val="004F2526"/>
    <w:rsid w:val="004F34E3"/>
    <w:rsid w:val="004F5E36"/>
    <w:rsid w:val="00500E1D"/>
    <w:rsid w:val="00507B47"/>
    <w:rsid w:val="00507BEF"/>
    <w:rsid w:val="00507CC9"/>
    <w:rsid w:val="00510E8E"/>
    <w:rsid w:val="005119A5"/>
    <w:rsid w:val="00522AC8"/>
    <w:rsid w:val="005278B7"/>
    <w:rsid w:val="00532016"/>
    <w:rsid w:val="00532C62"/>
    <w:rsid w:val="005346C8"/>
    <w:rsid w:val="00534979"/>
    <w:rsid w:val="0054228F"/>
    <w:rsid w:val="00543E7D"/>
    <w:rsid w:val="00547A68"/>
    <w:rsid w:val="00552290"/>
    <w:rsid w:val="005531C9"/>
    <w:rsid w:val="00570C43"/>
    <w:rsid w:val="00572481"/>
    <w:rsid w:val="005772C3"/>
    <w:rsid w:val="00582B74"/>
    <w:rsid w:val="005A0774"/>
    <w:rsid w:val="005A2EDB"/>
    <w:rsid w:val="005B2110"/>
    <w:rsid w:val="005B61E6"/>
    <w:rsid w:val="005C4B87"/>
    <w:rsid w:val="005C77E1"/>
    <w:rsid w:val="005D668A"/>
    <w:rsid w:val="005D6A2F"/>
    <w:rsid w:val="005E02C8"/>
    <w:rsid w:val="005E1A82"/>
    <w:rsid w:val="005E794C"/>
    <w:rsid w:val="005F0A28"/>
    <w:rsid w:val="005F0E5E"/>
    <w:rsid w:val="005F21EF"/>
    <w:rsid w:val="00600535"/>
    <w:rsid w:val="0060541D"/>
    <w:rsid w:val="00610CD6"/>
    <w:rsid w:val="00614AE9"/>
    <w:rsid w:val="00620DEE"/>
    <w:rsid w:val="00621F92"/>
    <w:rsid w:val="0062280A"/>
    <w:rsid w:val="0062312C"/>
    <w:rsid w:val="00625639"/>
    <w:rsid w:val="00631B33"/>
    <w:rsid w:val="0064184D"/>
    <w:rsid w:val="006422CC"/>
    <w:rsid w:val="00660E3E"/>
    <w:rsid w:val="00662E74"/>
    <w:rsid w:val="006640BA"/>
    <w:rsid w:val="006675B6"/>
    <w:rsid w:val="00680C23"/>
    <w:rsid w:val="00681416"/>
    <w:rsid w:val="00693766"/>
    <w:rsid w:val="006952A2"/>
    <w:rsid w:val="00696BFF"/>
    <w:rsid w:val="006A3281"/>
    <w:rsid w:val="006B0D21"/>
    <w:rsid w:val="006B3E00"/>
    <w:rsid w:val="006B4888"/>
    <w:rsid w:val="006C0363"/>
    <w:rsid w:val="006C2E45"/>
    <w:rsid w:val="006C359C"/>
    <w:rsid w:val="006C5442"/>
    <w:rsid w:val="006C5579"/>
    <w:rsid w:val="006D6E8B"/>
    <w:rsid w:val="006E2536"/>
    <w:rsid w:val="006E737D"/>
    <w:rsid w:val="006F6CD8"/>
    <w:rsid w:val="00704715"/>
    <w:rsid w:val="00710B15"/>
    <w:rsid w:val="00712BBC"/>
    <w:rsid w:val="00713973"/>
    <w:rsid w:val="00720A24"/>
    <w:rsid w:val="00725F33"/>
    <w:rsid w:val="00731320"/>
    <w:rsid w:val="00732386"/>
    <w:rsid w:val="0073514D"/>
    <w:rsid w:val="00736E59"/>
    <w:rsid w:val="007377EA"/>
    <w:rsid w:val="007447F3"/>
    <w:rsid w:val="00744FF3"/>
    <w:rsid w:val="0075499F"/>
    <w:rsid w:val="007661C8"/>
    <w:rsid w:val="0077098D"/>
    <w:rsid w:val="00783B5F"/>
    <w:rsid w:val="007931FA"/>
    <w:rsid w:val="007A4861"/>
    <w:rsid w:val="007A4865"/>
    <w:rsid w:val="007A72ED"/>
    <w:rsid w:val="007A7BBA"/>
    <w:rsid w:val="007B0C50"/>
    <w:rsid w:val="007B48F9"/>
    <w:rsid w:val="007C1A43"/>
    <w:rsid w:val="007C305A"/>
    <w:rsid w:val="007C5C01"/>
    <w:rsid w:val="007E20B2"/>
    <w:rsid w:val="007E6D13"/>
    <w:rsid w:val="0080013E"/>
    <w:rsid w:val="00802DBF"/>
    <w:rsid w:val="00803CF6"/>
    <w:rsid w:val="0080437B"/>
    <w:rsid w:val="00807DC1"/>
    <w:rsid w:val="00812CF3"/>
    <w:rsid w:val="00813288"/>
    <w:rsid w:val="008168FC"/>
    <w:rsid w:val="00817DA6"/>
    <w:rsid w:val="0082058F"/>
    <w:rsid w:val="00822956"/>
    <w:rsid w:val="00824C79"/>
    <w:rsid w:val="00830996"/>
    <w:rsid w:val="008345F1"/>
    <w:rsid w:val="0083517E"/>
    <w:rsid w:val="008544BA"/>
    <w:rsid w:val="00865B07"/>
    <w:rsid w:val="008667EA"/>
    <w:rsid w:val="00866DCE"/>
    <w:rsid w:val="008739EB"/>
    <w:rsid w:val="0087637F"/>
    <w:rsid w:val="00881498"/>
    <w:rsid w:val="00892AD5"/>
    <w:rsid w:val="008A1512"/>
    <w:rsid w:val="008C001A"/>
    <w:rsid w:val="008D32B9"/>
    <w:rsid w:val="008D433B"/>
    <w:rsid w:val="008D4A16"/>
    <w:rsid w:val="008D6BFD"/>
    <w:rsid w:val="008E566E"/>
    <w:rsid w:val="008F7FCF"/>
    <w:rsid w:val="0090161A"/>
    <w:rsid w:val="00901EB6"/>
    <w:rsid w:val="00904C62"/>
    <w:rsid w:val="00922BA8"/>
    <w:rsid w:val="0092328E"/>
    <w:rsid w:val="00924DAC"/>
    <w:rsid w:val="00927058"/>
    <w:rsid w:val="00927806"/>
    <w:rsid w:val="00932C6A"/>
    <w:rsid w:val="00942750"/>
    <w:rsid w:val="009450CE"/>
    <w:rsid w:val="00947179"/>
    <w:rsid w:val="0095164B"/>
    <w:rsid w:val="00954090"/>
    <w:rsid w:val="009573E7"/>
    <w:rsid w:val="00961C1D"/>
    <w:rsid w:val="00963E05"/>
    <w:rsid w:val="0096425A"/>
    <w:rsid w:val="00964A45"/>
    <w:rsid w:val="00967843"/>
    <w:rsid w:val="00967D54"/>
    <w:rsid w:val="00971028"/>
    <w:rsid w:val="00974D3F"/>
    <w:rsid w:val="00975AE3"/>
    <w:rsid w:val="0098119D"/>
    <w:rsid w:val="009832C9"/>
    <w:rsid w:val="00993B84"/>
    <w:rsid w:val="00996483"/>
    <w:rsid w:val="00996F5A"/>
    <w:rsid w:val="009A3333"/>
    <w:rsid w:val="009B041A"/>
    <w:rsid w:val="009C03FC"/>
    <w:rsid w:val="009C0694"/>
    <w:rsid w:val="009C28A0"/>
    <w:rsid w:val="009C37C3"/>
    <w:rsid w:val="009C7C86"/>
    <w:rsid w:val="009D0A5F"/>
    <w:rsid w:val="009D2FF7"/>
    <w:rsid w:val="009D3553"/>
    <w:rsid w:val="009E7884"/>
    <w:rsid w:val="009E788A"/>
    <w:rsid w:val="009F0E08"/>
    <w:rsid w:val="00A1763D"/>
    <w:rsid w:val="00A17CEC"/>
    <w:rsid w:val="00A17F98"/>
    <w:rsid w:val="00A27EF0"/>
    <w:rsid w:val="00A34B75"/>
    <w:rsid w:val="00A37197"/>
    <w:rsid w:val="00A42361"/>
    <w:rsid w:val="00A42CB1"/>
    <w:rsid w:val="00A44EC6"/>
    <w:rsid w:val="00A50B20"/>
    <w:rsid w:val="00A51390"/>
    <w:rsid w:val="00A60D13"/>
    <w:rsid w:val="00A6644F"/>
    <w:rsid w:val="00A7223D"/>
    <w:rsid w:val="00A72745"/>
    <w:rsid w:val="00A76EFC"/>
    <w:rsid w:val="00A7771B"/>
    <w:rsid w:val="00A84588"/>
    <w:rsid w:val="00A84F59"/>
    <w:rsid w:val="00A86A46"/>
    <w:rsid w:val="00A91010"/>
    <w:rsid w:val="00A97F29"/>
    <w:rsid w:val="00AA5899"/>
    <w:rsid w:val="00AA702E"/>
    <w:rsid w:val="00AB0964"/>
    <w:rsid w:val="00AB5011"/>
    <w:rsid w:val="00AC7368"/>
    <w:rsid w:val="00AD16B9"/>
    <w:rsid w:val="00AE2846"/>
    <w:rsid w:val="00AE377D"/>
    <w:rsid w:val="00AE5900"/>
    <w:rsid w:val="00AF0EBA"/>
    <w:rsid w:val="00B01FDA"/>
    <w:rsid w:val="00B02C8A"/>
    <w:rsid w:val="00B17FBD"/>
    <w:rsid w:val="00B315A6"/>
    <w:rsid w:val="00B31813"/>
    <w:rsid w:val="00B33365"/>
    <w:rsid w:val="00B3775C"/>
    <w:rsid w:val="00B46728"/>
    <w:rsid w:val="00B57B36"/>
    <w:rsid w:val="00B57E6F"/>
    <w:rsid w:val="00B762FC"/>
    <w:rsid w:val="00B80C07"/>
    <w:rsid w:val="00B833D1"/>
    <w:rsid w:val="00B8686D"/>
    <w:rsid w:val="00B86C99"/>
    <w:rsid w:val="00B93F69"/>
    <w:rsid w:val="00B94558"/>
    <w:rsid w:val="00BA1FB3"/>
    <w:rsid w:val="00BB1DDC"/>
    <w:rsid w:val="00BC020E"/>
    <w:rsid w:val="00BC30C9"/>
    <w:rsid w:val="00BD077D"/>
    <w:rsid w:val="00BE335D"/>
    <w:rsid w:val="00BE3622"/>
    <w:rsid w:val="00BE3E58"/>
    <w:rsid w:val="00BE4027"/>
    <w:rsid w:val="00BF2DD3"/>
    <w:rsid w:val="00C01616"/>
    <w:rsid w:val="00C0162B"/>
    <w:rsid w:val="00C068ED"/>
    <w:rsid w:val="00C10126"/>
    <w:rsid w:val="00C2054F"/>
    <w:rsid w:val="00C20D12"/>
    <w:rsid w:val="00C22E0C"/>
    <w:rsid w:val="00C3050B"/>
    <w:rsid w:val="00C345B1"/>
    <w:rsid w:val="00C40142"/>
    <w:rsid w:val="00C51109"/>
    <w:rsid w:val="00C52C3C"/>
    <w:rsid w:val="00C54293"/>
    <w:rsid w:val="00C57182"/>
    <w:rsid w:val="00C57863"/>
    <w:rsid w:val="00C63FEE"/>
    <w:rsid w:val="00C640AF"/>
    <w:rsid w:val="00C655FD"/>
    <w:rsid w:val="00C65F9A"/>
    <w:rsid w:val="00C70838"/>
    <w:rsid w:val="00C75407"/>
    <w:rsid w:val="00C84343"/>
    <w:rsid w:val="00C870A8"/>
    <w:rsid w:val="00C94434"/>
    <w:rsid w:val="00CA0D75"/>
    <w:rsid w:val="00CA1C95"/>
    <w:rsid w:val="00CA5A9C"/>
    <w:rsid w:val="00CC4C20"/>
    <w:rsid w:val="00CC69D6"/>
    <w:rsid w:val="00CC7D15"/>
    <w:rsid w:val="00CD3517"/>
    <w:rsid w:val="00CD5FE2"/>
    <w:rsid w:val="00CD7344"/>
    <w:rsid w:val="00CE0E59"/>
    <w:rsid w:val="00CE2B70"/>
    <w:rsid w:val="00CE2D09"/>
    <w:rsid w:val="00CE7C68"/>
    <w:rsid w:val="00D02B4C"/>
    <w:rsid w:val="00D040C4"/>
    <w:rsid w:val="00D20AD1"/>
    <w:rsid w:val="00D30465"/>
    <w:rsid w:val="00D33EB7"/>
    <w:rsid w:val="00D36C8A"/>
    <w:rsid w:val="00D46B7E"/>
    <w:rsid w:val="00D5522D"/>
    <w:rsid w:val="00D57C84"/>
    <w:rsid w:val="00D6057D"/>
    <w:rsid w:val="00D71640"/>
    <w:rsid w:val="00D73029"/>
    <w:rsid w:val="00D836C5"/>
    <w:rsid w:val="00D84576"/>
    <w:rsid w:val="00D92F09"/>
    <w:rsid w:val="00D94AE2"/>
    <w:rsid w:val="00D94BB8"/>
    <w:rsid w:val="00DA1399"/>
    <w:rsid w:val="00DA24C6"/>
    <w:rsid w:val="00DA4D7B"/>
    <w:rsid w:val="00DD271C"/>
    <w:rsid w:val="00DD3CB8"/>
    <w:rsid w:val="00DE264A"/>
    <w:rsid w:val="00DF09E4"/>
    <w:rsid w:val="00DF25AB"/>
    <w:rsid w:val="00DF4C95"/>
    <w:rsid w:val="00DF5072"/>
    <w:rsid w:val="00E02D18"/>
    <w:rsid w:val="00E041E7"/>
    <w:rsid w:val="00E17E61"/>
    <w:rsid w:val="00E23CA1"/>
    <w:rsid w:val="00E354BD"/>
    <w:rsid w:val="00E409A8"/>
    <w:rsid w:val="00E4533D"/>
    <w:rsid w:val="00E50C12"/>
    <w:rsid w:val="00E6330D"/>
    <w:rsid w:val="00E65B91"/>
    <w:rsid w:val="00E67B80"/>
    <w:rsid w:val="00E70A4A"/>
    <w:rsid w:val="00E7209D"/>
    <w:rsid w:val="00E72EAD"/>
    <w:rsid w:val="00E77223"/>
    <w:rsid w:val="00E8528B"/>
    <w:rsid w:val="00E85B94"/>
    <w:rsid w:val="00E85DB1"/>
    <w:rsid w:val="00E86404"/>
    <w:rsid w:val="00E86625"/>
    <w:rsid w:val="00E8680E"/>
    <w:rsid w:val="00E869FD"/>
    <w:rsid w:val="00E96683"/>
    <w:rsid w:val="00E978D0"/>
    <w:rsid w:val="00EA4613"/>
    <w:rsid w:val="00EA7F91"/>
    <w:rsid w:val="00EB1523"/>
    <w:rsid w:val="00EB7CDE"/>
    <w:rsid w:val="00EC0E49"/>
    <w:rsid w:val="00EC101F"/>
    <w:rsid w:val="00EC1D9F"/>
    <w:rsid w:val="00EE0131"/>
    <w:rsid w:val="00EE17B0"/>
    <w:rsid w:val="00EF06D9"/>
    <w:rsid w:val="00EF1411"/>
    <w:rsid w:val="00F03826"/>
    <w:rsid w:val="00F17397"/>
    <w:rsid w:val="00F2675F"/>
    <w:rsid w:val="00F30C64"/>
    <w:rsid w:val="00F32BA2"/>
    <w:rsid w:val="00F32CDB"/>
    <w:rsid w:val="00F36593"/>
    <w:rsid w:val="00F36819"/>
    <w:rsid w:val="00F40293"/>
    <w:rsid w:val="00F452A4"/>
    <w:rsid w:val="00F565FE"/>
    <w:rsid w:val="00F63A70"/>
    <w:rsid w:val="00F63D8C"/>
    <w:rsid w:val="00F64F73"/>
    <w:rsid w:val="00F7534E"/>
    <w:rsid w:val="00F769E5"/>
    <w:rsid w:val="00F76EBF"/>
    <w:rsid w:val="00F9090A"/>
    <w:rsid w:val="00F90E7F"/>
    <w:rsid w:val="00FA1802"/>
    <w:rsid w:val="00FA21D0"/>
    <w:rsid w:val="00FA5F5F"/>
    <w:rsid w:val="00FB730C"/>
    <w:rsid w:val="00FC2695"/>
    <w:rsid w:val="00FC3320"/>
    <w:rsid w:val="00FC3E03"/>
    <w:rsid w:val="00FC3FC1"/>
    <w:rsid w:val="00FC4A9C"/>
    <w:rsid w:val="00FD21B9"/>
    <w:rsid w:val="00FD319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04051F"/>
    <w:pPr>
      <w:keepNext/>
      <w:numPr>
        <w:ilvl w:val="2"/>
        <w:numId w:val="1"/>
      </w:numPr>
      <w:suppressAutoHyphens/>
      <w:spacing w:before="120" w:after="120" w:line="240" w:lineRule="auto"/>
      <w:ind w:left="0"/>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04051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paragraph" w:styleId="Revisione">
    <w:name w:val="Revision"/>
    <w:hidden/>
    <w:uiPriority w:val="99"/>
    <w:semiHidden/>
    <w:rsid w:val="001C4E9F"/>
    <w:pPr>
      <w:spacing w:after="0" w:line="240" w:lineRule="auto"/>
    </w:pPr>
    <w:rPr>
      <w:rFonts w:ascii="Arial" w:eastAsia="Times New Roman" w:hAnsi="Arial" w:cs="Times New Roman"/>
      <w:sz w:val="18"/>
      <w:szCs w:val="20"/>
      <w:lang w:val="en-GB"/>
    </w:rPr>
  </w:style>
  <w:style w:type="character" w:styleId="Testosegnaposto">
    <w:name w:val="Placeholder Text"/>
    <w:basedOn w:val="Carpredefinitoparagrafo"/>
    <w:uiPriority w:val="99"/>
    <w:semiHidden/>
    <w:rsid w:val="00822956"/>
    <w:rPr>
      <w:color w:val="808080"/>
    </w:rPr>
  </w:style>
  <w:style w:type="character" w:styleId="Menzionenonrisolta">
    <w:name w:val="Unresolved Mention"/>
    <w:basedOn w:val="Carpredefinitoparagrafo"/>
    <w:uiPriority w:val="99"/>
    <w:semiHidden/>
    <w:unhideWhenUsed/>
    <w:rsid w:val="00B01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8150">
      <w:bodyDiv w:val="1"/>
      <w:marLeft w:val="0"/>
      <w:marRight w:val="0"/>
      <w:marTop w:val="0"/>
      <w:marBottom w:val="0"/>
      <w:divBdr>
        <w:top w:val="none" w:sz="0" w:space="0" w:color="auto"/>
        <w:left w:val="none" w:sz="0" w:space="0" w:color="auto"/>
        <w:bottom w:val="none" w:sz="0" w:space="0" w:color="auto"/>
        <w:right w:val="none" w:sz="0" w:space="0" w:color="auto"/>
      </w:divBdr>
      <w:divsChild>
        <w:div w:id="373651414">
          <w:marLeft w:val="480"/>
          <w:marRight w:val="0"/>
          <w:marTop w:val="0"/>
          <w:marBottom w:val="0"/>
          <w:divBdr>
            <w:top w:val="none" w:sz="0" w:space="0" w:color="auto"/>
            <w:left w:val="none" w:sz="0" w:space="0" w:color="auto"/>
            <w:bottom w:val="none" w:sz="0" w:space="0" w:color="auto"/>
            <w:right w:val="none" w:sz="0" w:space="0" w:color="auto"/>
          </w:divBdr>
        </w:div>
        <w:div w:id="1770736853">
          <w:marLeft w:val="480"/>
          <w:marRight w:val="0"/>
          <w:marTop w:val="0"/>
          <w:marBottom w:val="0"/>
          <w:divBdr>
            <w:top w:val="none" w:sz="0" w:space="0" w:color="auto"/>
            <w:left w:val="none" w:sz="0" w:space="0" w:color="auto"/>
            <w:bottom w:val="none" w:sz="0" w:space="0" w:color="auto"/>
            <w:right w:val="none" w:sz="0" w:space="0" w:color="auto"/>
          </w:divBdr>
        </w:div>
        <w:div w:id="552040507">
          <w:marLeft w:val="480"/>
          <w:marRight w:val="0"/>
          <w:marTop w:val="0"/>
          <w:marBottom w:val="0"/>
          <w:divBdr>
            <w:top w:val="none" w:sz="0" w:space="0" w:color="auto"/>
            <w:left w:val="none" w:sz="0" w:space="0" w:color="auto"/>
            <w:bottom w:val="none" w:sz="0" w:space="0" w:color="auto"/>
            <w:right w:val="none" w:sz="0" w:space="0" w:color="auto"/>
          </w:divBdr>
        </w:div>
        <w:div w:id="623466535">
          <w:marLeft w:val="480"/>
          <w:marRight w:val="0"/>
          <w:marTop w:val="0"/>
          <w:marBottom w:val="0"/>
          <w:divBdr>
            <w:top w:val="none" w:sz="0" w:space="0" w:color="auto"/>
            <w:left w:val="none" w:sz="0" w:space="0" w:color="auto"/>
            <w:bottom w:val="none" w:sz="0" w:space="0" w:color="auto"/>
            <w:right w:val="none" w:sz="0" w:space="0" w:color="auto"/>
          </w:divBdr>
        </w:div>
        <w:div w:id="2057390870">
          <w:marLeft w:val="480"/>
          <w:marRight w:val="0"/>
          <w:marTop w:val="0"/>
          <w:marBottom w:val="0"/>
          <w:divBdr>
            <w:top w:val="none" w:sz="0" w:space="0" w:color="auto"/>
            <w:left w:val="none" w:sz="0" w:space="0" w:color="auto"/>
            <w:bottom w:val="none" w:sz="0" w:space="0" w:color="auto"/>
            <w:right w:val="none" w:sz="0" w:space="0" w:color="auto"/>
          </w:divBdr>
        </w:div>
        <w:div w:id="585001124">
          <w:marLeft w:val="480"/>
          <w:marRight w:val="0"/>
          <w:marTop w:val="0"/>
          <w:marBottom w:val="0"/>
          <w:divBdr>
            <w:top w:val="none" w:sz="0" w:space="0" w:color="auto"/>
            <w:left w:val="none" w:sz="0" w:space="0" w:color="auto"/>
            <w:bottom w:val="none" w:sz="0" w:space="0" w:color="auto"/>
            <w:right w:val="none" w:sz="0" w:space="0" w:color="auto"/>
          </w:divBdr>
        </w:div>
        <w:div w:id="154959623">
          <w:marLeft w:val="480"/>
          <w:marRight w:val="0"/>
          <w:marTop w:val="0"/>
          <w:marBottom w:val="0"/>
          <w:divBdr>
            <w:top w:val="none" w:sz="0" w:space="0" w:color="auto"/>
            <w:left w:val="none" w:sz="0" w:space="0" w:color="auto"/>
            <w:bottom w:val="none" w:sz="0" w:space="0" w:color="auto"/>
            <w:right w:val="none" w:sz="0" w:space="0" w:color="auto"/>
          </w:divBdr>
        </w:div>
        <w:div w:id="1704742897">
          <w:marLeft w:val="480"/>
          <w:marRight w:val="0"/>
          <w:marTop w:val="0"/>
          <w:marBottom w:val="0"/>
          <w:divBdr>
            <w:top w:val="none" w:sz="0" w:space="0" w:color="auto"/>
            <w:left w:val="none" w:sz="0" w:space="0" w:color="auto"/>
            <w:bottom w:val="none" w:sz="0" w:space="0" w:color="auto"/>
            <w:right w:val="none" w:sz="0" w:space="0" w:color="auto"/>
          </w:divBdr>
        </w:div>
        <w:div w:id="1995062057">
          <w:marLeft w:val="480"/>
          <w:marRight w:val="0"/>
          <w:marTop w:val="0"/>
          <w:marBottom w:val="0"/>
          <w:divBdr>
            <w:top w:val="none" w:sz="0" w:space="0" w:color="auto"/>
            <w:left w:val="none" w:sz="0" w:space="0" w:color="auto"/>
            <w:bottom w:val="none" w:sz="0" w:space="0" w:color="auto"/>
            <w:right w:val="none" w:sz="0" w:space="0" w:color="auto"/>
          </w:divBdr>
        </w:div>
        <w:div w:id="978265088">
          <w:marLeft w:val="480"/>
          <w:marRight w:val="0"/>
          <w:marTop w:val="0"/>
          <w:marBottom w:val="0"/>
          <w:divBdr>
            <w:top w:val="none" w:sz="0" w:space="0" w:color="auto"/>
            <w:left w:val="none" w:sz="0" w:space="0" w:color="auto"/>
            <w:bottom w:val="none" w:sz="0" w:space="0" w:color="auto"/>
            <w:right w:val="none" w:sz="0" w:space="0" w:color="auto"/>
          </w:divBdr>
        </w:div>
        <w:div w:id="944772767">
          <w:marLeft w:val="480"/>
          <w:marRight w:val="0"/>
          <w:marTop w:val="0"/>
          <w:marBottom w:val="0"/>
          <w:divBdr>
            <w:top w:val="none" w:sz="0" w:space="0" w:color="auto"/>
            <w:left w:val="none" w:sz="0" w:space="0" w:color="auto"/>
            <w:bottom w:val="none" w:sz="0" w:space="0" w:color="auto"/>
            <w:right w:val="none" w:sz="0" w:space="0" w:color="auto"/>
          </w:divBdr>
        </w:div>
        <w:div w:id="1372150412">
          <w:marLeft w:val="480"/>
          <w:marRight w:val="0"/>
          <w:marTop w:val="0"/>
          <w:marBottom w:val="0"/>
          <w:divBdr>
            <w:top w:val="none" w:sz="0" w:space="0" w:color="auto"/>
            <w:left w:val="none" w:sz="0" w:space="0" w:color="auto"/>
            <w:bottom w:val="none" w:sz="0" w:space="0" w:color="auto"/>
            <w:right w:val="none" w:sz="0" w:space="0" w:color="auto"/>
          </w:divBdr>
        </w:div>
        <w:div w:id="1179731239">
          <w:marLeft w:val="480"/>
          <w:marRight w:val="0"/>
          <w:marTop w:val="0"/>
          <w:marBottom w:val="0"/>
          <w:divBdr>
            <w:top w:val="none" w:sz="0" w:space="0" w:color="auto"/>
            <w:left w:val="none" w:sz="0" w:space="0" w:color="auto"/>
            <w:bottom w:val="none" w:sz="0" w:space="0" w:color="auto"/>
            <w:right w:val="none" w:sz="0" w:space="0" w:color="auto"/>
          </w:divBdr>
        </w:div>
      </w:divsChild>
    </w:div>
    <w:div w:id="64836771">
      <w:bodyDiv w:val="1"/>
      <w:marLeft w:val="0"/>
      <w:marRight w:val="0"/>
      <w:marTop w:val="0"/>
      <w:marBottom w:val="0"/>
      <w:divBdr>
        <w:top w:val="none" w:sz="0" w:space="0" w:color="auto"/>
        <w:left w:val="none" w:sz="0" w:space="0" w:color="auto"/>
        <w:bottom w:val="none" w:sz="0" w:space="0" w:color="auto"/>
        <w:right w:val="none" w:sz="0" w:space="0" w:color="auto"/>
      </w:divBdr>
    </w:div>
    <w:div w:id="78795591">
      <w:bodyDiv w:val="1"/>
      <w:marLeft w:val="0"/>
      <w:marRight w:val="0"/>
      <w:marTop w:val="0"/>
      <w:marBottom w:val="0"/>
      <w:divBdr>
        <w:top w:val="none" w:sz="0" w:space="0" w:color="auto"/>
        <w:left w:val="none" w:sz="0" w:space="0" w:color="auto"/>
        <w:bottom w:val="none" w:sz="0" w:space="0" w:color="auto"/>
        <w:right w:val="none" w:sz="0" w:space="0" w:color="auto"/>
      </w:divBdr>
    </w:div>
    <w:div w:id="98305863">
      <w:bodyDiv w:val="1"/>
      <w:marLeft w:val="0"/>
      <w:marRight w:val="0"/>
      <w:marTop w:val="0"/>
      <w:marBottom w:val="0"/>
      <w:divBdr>
        <w:top w:val="none" w:sz="0" w:space="0" w:color="auto"/>
        <w:left w:val="none" w:sz="0" w:space="0" w:color="auto"/>
        <w:bottom w:val="none" w:sz="0" w:space="0" w:color="auto"/>
        <w:right w:val="none" w:sz="0" w:space="0" w:color="auto"/>
      </w:divBdr>
      <w:divsChild>
        <w:div w:id="1180581349">
          <w:marLeft w:val="0"/>
          <w:marRight w:val="0"/>
          <w:marTop w:val="0"/>
          <w:marBottom w:val="0"/>
          <w:divBdr>
            <w:top w:val="single" w:sz="2" w:space="0" w:color="E3E3E3"/>
            <w:left w:val="single" w:sz="2" w:space="0" w:color="E3E3E3"/>
            <w:bottom w:val="single" w:sz="2" w:space="0" w:color="E3E3E3"/>
            <w:right w:val="single" w:sz="2" w:space="0" w:color="E3E3E3"/>
          </w:divBdr>
          <w:divsChild>
            <w:div w:id="1090661931">
              <w:marLeft w:val="0"/>
              <w:marRight w:val="0"/>
              <w:marTop w:val="0"/>
              <w:marBottom w:val="0"/>
              <w:divBdr>
                <w:top w:val="single" w:sz="2" w:space="0" w:color="E3E3E3"/>
                <w:left w:val="single" w:sz="2" w:space="0" w:color="E3E3E3"/>
                <w:bottom w:val="single" w:sz="2" w:space="0" w:color="E3E3E3"/>
                <w:right w:val="single" w:sz="2" w:space="0" w:color="E3E3E3"/>
              </w:divBdr>
              <w:divsChild>
                <w:div w:id="615019303">
                  <w:marLeft w:val="0"/>
                  <w:marRight w:val="0"/>
                  <w:marTop w:val="0"/>
                  <w:marBottom w:val="0"/>
                  <w:divBdr>
                    <w:top w:val="single" w:sz="2" w:space="0" w:color="E3E3E3"/>
                    <w:left w:val="single" w:sz="2" w:space="0" w:color="E3E3E3"/>
                    <w:bottom w:val="single" w:sz="2" w:space="0" w:color="E3E3E3"/>
                    <w:right w:val="single" w:sz="2" w:space="0" w:color="E3E3E3"/>
                  </w:divBdr>
                  <w:divsChild>
                    <w:div w:id="815100036">
                      <w:marLeft w:val="0"/>
                      <w:marRight w:val="0"/>
                      <w:marTop w:val="0"/>
                      <w:marBottom w:val="0"/>
                      <w:divBdr>
                        <w:top w:val="single" w:sz="2" w:space="0" w:color="E3E3E3"/>
                        <w:left w:val="single" w:sz="2" w:space="0" w:color="E3E3E3"/>
                        <w:bottom w:val="single" w:sz="2" w:space="0" w:color="E3E3E3"/>
                        <w:right w:val="single" w:sz="2" w:space="0" w:color="E3E3E3"/>
                      </w:divBdr>
                      <w:divsChild>
                        <w:div w:id="1449426654">
                          <w:marLeft w:val="0"/>
                          <w:marRight w:val="0"/>
                          <w:marTop w:val="0"/>
                          <w:marBottom w:val="0"/>
                          <w:divBdr>
                            <w:top w:val="single" w:sz="2" w:space="0" w:color="E3E3E3"/>
                            <w:left w:val="single" w:sz="2" w:space="0" w:color="E3E3E3"/>
                            <w:bottom w:val="single" w:sz="2" w:space="0" w:color="E3E3E3"/>
                            <w:right w:val="single" w:sz="2" w:space="0" w:color="E3E3E3"/>
                          </w:divBdr>
                          <w:divsChild>
                            <w:div w:id="697774563">
                              <w:marLeft w:val="0"/>
                              <w:marRight w:val="0"/>
                              <w:marTop w:val="0"/>
                              <w:marBottom w:val="0"/>
                              <w:divBdr>
                                <w:top w:val="single" w:sz="2" w:space="0" w:color="E3E3E3"/>
                                <w:left w:val="single" w:sz="2" w:space="0" w:color="E3E3E3"/>
                                <w:bottom w:val="single" w:sz="2" w:space="0" w:color="E3E3E3"/>
                                <w:right w:val="single" w:sz="2" w:space="0" w:color="E3E3E3"/>
                              </w:divBdr>
                              <w:divsChild>
                                <w:div w:id="1427656267">
                                  <w:marLeft w:val="0"/>
                                  <w:marRight w:val="0"/>
                                  <w:marTop w:val="100"/>
                                  <w:marBottom w:val="100"/>
                                  <w:divBdr>
                                    <w:top w:val="single" w:sz="2" w:space="0" w:color="E3E3E3"/>
                                    <w:left w:val="single" w:sz="2" w:space="0" w:color="E3E3E3"/>
                                    <w:bottom w:val="single" w:sz="2" w:space="0" w:color="E3E3E3"/>
                                    <w:right w:val="single" w:sz="2" w:space="0" w:color="E3E3E3"/>
                                  </w:divBdr>
                                  <w:divsChild>
                                    <w:div w:id="1826162844">
                                      <w:marLeft w:val="0"/>
                                      <w:marRight w:val="0"/>
                                      <w:marTop w:val="0"/>
                                      <w:marBottom w:val="0"/>
                                      <w:divBdr>
                                        <w:top w:val="single" w:sz="2" w:space="0" w:color="E3E3E3"/>
                                        <w:left w:val="single" w:sz="2" w:space="0" w:color="E3E3E3"/>
                                        <w:bottom w:val="single" w:sz="2" w:space="0" w:color="E3E3E3"/>
                                        <w:right w:val="single" w:sz="2" w:space="0" w:color="E3E3E3"/>
                                      </w:divBdr>
                                      <w:divsChild>
                                        <w:div w:id="547109855">
                                          <w:marLeft w:val="0"/>
                                          <w:marRight w:val="0"/>
                                          <w:marTop w:val="0"/>
                                          <w:marBottom w:val="0"/>
                                          <w:divBdr>
                                            <w:top w:val="single" w:sz="2" w:space="0" w:color="E3E3E3"/>
                                            <w:left w:val="single" w:sz="2" w:space="0" w:color="E3E3E3"/>
                                            <w:bottom w:val="single" w:sz="2" w:space="0" w:color="E3E3E3"/>
                                            <w:right w:val="single" w:sz="2" w:space="0" w:color="E3E3E3"/>
                                          </w:divBdr>
                                          <w:divsChild>
                                            <w:div w:id="2085488474">
                                              <w:marLeft w:val="0"/>
                                              <w:marRight w:val="0"/>
                                              <w:marTop w:val="0"/>
                                              <w:marBottom w:val="0"/>
                                              <w:divBdr>
                                                <w:top w:val="single" w:sz="2" w:space="0" w:color="E3E3E3"/>
                                                <w:left w:val="single" w:sz="2" w:space="0" w:color="E3E3E3"/>
                                                <w:bottom w:val="single" w:sz="2" w:space="0" w:color="E3E3E3"/>
                                                <w:right w:val="single" w:sz="2" w:space="0" w:color="E3E3E3"/>
                                              </w:divBdr>
                                              <w:divsChild>
                                                <w:div w:id="748119364">
                                                  <w:marLeft w:val="0"/>
                                                  <w:marRight w:val="0"/>
                                                  <w:marTop w:val="0"/>
                                                  <w:marBottom w:val="0"/>
                                                  <w:divBdr>
                                                    <w:top w:val="single" w:sz="2" w:space="0" w:color="E3E3E3"/>
                                                    <w:left w:val="single" w:sz="2" w:space="0" w:color="E3E3E3"/>
                                                    <w:bottom w:val="single" w:sz="2" w:space="0" w:color="E3E3E3"/>
                                                    <w:right w:val="single" w:sz="2" w:space="0" w:color="E3E3E3"/>
                                                  </w:divBdr>
                                                  <w:divsChild>
                                                    <w:div w:id="467552556">
                                                      <w:marLeft w:val="0"/>
                                                      <w:marRight w:val="0"/>
                                                      <w:marTop w:val="0"/>
                                                      <w:marBottom w:val="0"/>
                                                      <w:divBdr>
                                                        <w:top w:val="single" w:sz="2" w:space="0" w:color="E3E3E3"/>
                                                        <w:left w:val="single" w:sz="2" w:space="0" w:color="E3E3E3"/>
                                                        <w:bottom w:val="single" w:sz="2" w:space="0" w:color="E3E3E3"/>
                                                        <w:right w:val="single" w:sz="2" w:space="0" w:color="E3E3E3"/>
                                                      </w:divBdr>
                                                      <w:divsChild>
                                                        <w:div w:id="1569342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10498230">
          <w:marLeft w:val="0"/>
          <w:marRight w:val="0"/>
          <w:marTop w:val="0"/>
          <w:marBottom w:val="0"/>
          <w:divBdr>
            <w:top w:val="none" w:sz="0" w:space="0" w:color="auto"/>
            <w:left w:val="none" w:sz="0" w:space="0" w:color="auto"/>
            <w:bottom w:val="none" w:sz="0" w:space="0" w:color="auto"/>
            <w:right w:val="none" w:sz="0" w:space="0" w:color="auto"/>
          </w:divBdr>
          <w:divsChild>
            <w:div w:id="134833036">
              <w:marLeft w:val="0"/>
              <w:marRight w:val="0"/>
              <w:marTop w:val="100"/>
              <w:marBottom w:val="100"/>
              <w:divBdr>
                <w:top w:val="single" w:sz="2" w:space="0" w:color="E3E3E3"/>
                <w:left w:val="single" w:sz="2" w:space="0" w:color="E3E3E3"/>
                <w:bottom w:val="single" w:sz="2" w:space="0" w:color="E3E3E3"/>
                <w:right w:val="single" w:sz="2" w:space="0" w:color="E3E3E3"/>
              </w:divBdr>
              <w:divsChild>
                <w:div w:id="14925254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3425966">
      <w:bodyDiv w:val="1"/>
      <w:marLeft w:val="0"/>
      <w:marRight w:val="0"/>
      <w:marTop w:val="0"/>
      <w:marBottom w:val="0"/>
      <w:divBdr>
        <w:top w:val="none" w:sz="0" w:space="0" w:color="auto"/>
        <w:left w:val="none" w:sz="0" w:space="0" w:color="auto"/>
        <w:bottom w:val="none" w:sz="0" w:space="0" w:color="auto"/>
        <w:right w:val="none" w:sz="0" w:space="0" w:color="auto"/>
      </w:divBdr>
    </w:div>
    <w:div w:id="200485693">
      <w:bodyDiv w:val="1"/>
      <w:marLeft w:val="0"/>
      <w:marRight w:val="0"/>
      <w:marTop w:val="0"/>
      <w:marBottom w:val="0"/>
      <w:divBdr>
        <w:top w:val="none" w:sz="0" w:space="0" w:color="auto"/>
        <w:left w:val="none" w:sz="0" w:space="0" w:color="auto"/>
        <w:bottom w:val="none" w:sz="0" w:space="0" w:color="auto"/>
        <w:right w:val="none" w:sz="0" w:space="0" w:color="auto"/>
      </w:divBdr>
    </w:div>
    <w:div w:id="227614536">
      <w:bodyDiv w:val="1"/>
      <w:marLeft w:val="0"/>
      <w:marRight w:val="0"/>
      <w:marTop w:val="0"/>
      <w:marBottom w:val="0"/>
      <w:divBdr>
        <w:top w:val="none" w:sz="0" w:space="0" w:color="auto"/>
        <w:left w:val="none" w:sz="0" w:space="0" w:color="auto"/>
        <w:bottom w:val="none" w:sz="0" w:space="0" w:color="auto"/>
        <w:right w:val="none" w:sz="0" w:space="0" w:color="auto"/>
      </w:divBdr>
    </w:div>
    <w:div w:id="232277376">
      <w:bodyDiv w:val="1"/>
      <w:marLeft w:val="0"/>
      <w:marRight w:val="0"/>
      <w:marTop w:val="0"/>
      <w:marBottom w:val="0"/>
      <w:divBdr>
        <w:top w:val="none" w:sz="0" w:space="0" w:color="auto"/>
        <w:left w:val="none" w:sz="0" w:space="0" w:color="auto"/>
        <w:bottom w:val="none" w:sz="0" w:space="0" w:color="auto"/>
        <w:right w:val="none" w:sz="0" w:space="0" w:color="auto"/>
      </w:divBdr>
    </w:div>
    <w:div w:id="245724115">
      <w:bodyDiv w:val="1"/>
      <w:marLeft w:val="0"/>
      <w:marRight w:val="0"/>
      <w:marTop w:val="0"/>
      <w:marBottom w:val="0"/>
      <w:divBdr>
        <w:top w:val="none" w:sz="0" w:space="0" w:color="auto"/>
        <w:left w:val="none" w:sz="0" w:space="0" w:color="auto"/>
        <w:bottom w:val="none" w:sz="0" w:space="0" w:color="auto"/>
        <w:right w:val="none" w:sz="0" w:space="0" w:color="auto"/>
      </w:divBdr>
    </w:div>
    <w:div w:id="260770003">
      <w:bodyDiv w:val="1"/>
      <w:marLeft w:val="0"/>
      <w:marRight w:val="0"/>
      <w:marTop w:val="0"/>
      <w:marBottom w:val="0"/>
      <w:divBdr>
        <w:top w:val="none" w:sz="0" w:space="0" w:color="auto"/>
        <w:left w:val="none" w:sz="0" w:space="0" w:color="auto"/>
        <w:bottom w:val="none" w:sz="0" w:space="0" w:color="auto"/>
        <w:right w:val="none" w:sz="0" w:space="0" w:color="auto"/>
      </w:divBdr>
    </w:div>
    <w:div w:id="266542518">
      <w:bodyDiv w:val="1"/>
      <w:marLeft w:val="0"/>
      <w:marRight w:val="0"/>
      <w:marTop w:val="0"/>
      <w:marBottom w:val="0"/>
      <w:divBdr>
        <w:top w:val="none" w:sz="0" w:space="0" w:color="auto"/>
        <w:left w:val="none" w:sz="0" w:space="0" w:color="auto"/>
        <w:bottom w:val="none" w:sz="0" w:space="0" w:color="auto"/>
        <w:right w:val="none" w:sz="0" w:space="0" w:color="auto"/>
      </w:divBdr>
    </w:div>
    <w:div w:id="330720750">
      <w:bodyDiv w:val="1"/>
      <w:marLeft w:val="0"/>
      <w:marRight w:val="0"/>
      <w:marTop w:val="0"/>
      <w:marBottom w:val="0"/>
      <w:divBdr>
        <w:top w:val="none" w:sz="0" w:space="0" w:color="auto"/>
        <w:left w:val="none" w:sz="0" w:space="0" w:color="auto"/>
        <w:bottom w:val="none" w:sz="0" w:space="0" w:color="auto"/>
        <w:right w:val="none" w:sz="0" w:space="0" w:color="auto"/>
      </w:divBdr>
    </w:div>
    <w:div w:id="334110186">
      <w:bodyDiv w:val="1"/>
      <w:marLeft w:val="0"/>
      <w:marRight w:val="0"/>
      <w:marTop w:val="0"/>
      <w:marBottom w:val="0"/>
      <w:divBdr>
        <w:top w:val="none" w:sz="0" w:space="0" w:color="auto"/>
        <w:left w:val="none" w:sz="0" w:space="0" w:color="auto"/>
        <w:bottom w:val="none" w:sz="0" w:space="0" w:color="auto"/>
        <w:right w:val="none" w:sz="0" w:space="0" w:color="auto"/>
      </w:divBdr>
    </w:div>
    <w:div w:id="344938062">
      <w:bodyDiv w:val="1"/>
      <w:marLeft w:val="0"/>
      <w:marRight w:val="0"/>
      <w:marTop w:val="0"/>
      <w:marBottom w:val="0"/>
      <w:divBdr>
        <w:top w:val="none" w:sz="0" w:space="0" w:color="auto"/>
        <w:left w:val="none" w:sz="0" w:space="0" w:color="auto"/>
        <w:bottom w:val="none" w:sz="0" w:space="0" w:color="auto"/>
        <w:right w:val="none" w:sz="0" w:space="0" w:color="auto"/>
      </w:divBdr>
    </w:div>
    <w:div w:id="348485975">
      <w:bodyDiv w:val="1"/>
      <w:marLeft w:val="0"/>
      <w:marRight w:val="0"/>
      <w:marTop w:val="0"/>
      <w:marBottom w:val="0"/>
      <w:divBdr>
        <w:top w:val="none" w:sz="0" w:space="0" w:color="auto"/>
        <w:left w:val="none" w:sz="0" w:space="0" w:color="auto"/>
        <w:bottom w:val="none" w:sz="0" w:space="0" w:color="auto"/>
        <w:right w:val="none" w:sz="0" w:space="0" w:color="auto"/>
      </w:divBdr>
    </w:div>
    <w:div w:id="440220394">
      <w:bodyDiv w:val="1"/>
      <w:marLeft w:val="0"/>
      <w:marRight w:val="0"/>
      <w:marTop w:val="0"/>
      <w:marBottom w:val="0"/>
      <w:divBdr>
        <w:top w:val="none" w:sz="0" w:space="0" w:color="auto"/>
        <w:left w:val="none" w:sz="0" w:space="0" w:color="auto"/>
        <w:bottom w:val="none" w:sz="0" w:space="0" w:color="auto"/>
        <w:right w:val="none" w:sz="0" w:space="0" w:color="auto"/>
      </w:divBdr>
    </w:div>
    <w:div w:id="467363666">
      <w:bodyDiv w:val="1"/>
      <w:marLeft w:val="0"/>
      <w:marRight w:val="0"/>
      <w:marTop w:val="0"/>
      <w:marBottom w:val="0"/>
      <w:divBdr>
        <w:top w:val="none" w:sz="0" w:space="0" w:color="auto"/>
        <w:left w:val="none" w:sz="0" w:space="0" w:color="auto"/>
        <w:bottom w:val="none" w:sz="0" w:space="0" w:color="auto"/>
        <w:right w:val="none" w:sz="0" w:space="0" w:color="auto"/>
      </w:divBdr>
    </w:div>
    <w:div w:id="489247186">
      <w:bodyDiv w:val="1"/>
      <w:marLeft w:val="0"/>
      <w:marRight w:val="0"/>
      <w:marTop w:val="0"/>
      <w:marBottom w:val="0"/>
      <w:divBdr>
        <w:top w:val="none" w:sz="0" w:space="0" w:color="auto"/>
        <w:left w:val="none" w:sz="0" w:space="0" w:color="auto"/>
        <w:bottom w:val="none" w:sz="0" w:space="0" w:color="auto"/>
        <w:right w:val="none" w:sz="0" w:space="0" w:color="auto"/>
      </w:divBdr>
    </w:div>
    <w:div w:id="513616014">
      <w:bodyDiv w:val="1"/>
      <w:marLeft w:val="0"/>
      <w:marRight w:val="0"/>
      <w:marTop w:val="0"/>
      <w:marBottom w:val="0"/>
      <w:divBdr>
        <w:top w:val="none" w:sz="0" w:space="0" w:color="auto"/>
        <w:left w:val="none" w:sz="0" w:space="0" w:color="auto"/>
        <w:bottom w:val="none" w:sz="0" w:space="0" w:color="auto"/>
        <w:right w:val="none" w:sz="0" w:space="0" w:color="auto"/>
      </w:divBdr>
    </w:div>
    <w:div w:id="520749915">
      <w:bodyDiv w:val="1"/>
      <w:marLeft w:val="0"/>
      <w:marRight w:val="0"/>
      <w:marTop w:val="0"/>
      <w:marBottom w:val="0"/>
      <w:divBdr>
        <w:top w:val="none" w:sz="0" w:space="0" w:color="auto"/>
        <w:left w:val="none" w:sz="0" w:space="0" w:color="auto"/>
        <w:bottom w:val="none" w:sz="0" w:space="0" w:color="auto"/>
        <w:right w:val="none" w:sz="0" w:space="0" w:color="auto"/>
      </w:divBdr>
    </w:div>
    <w:div w:id="521747476">
      <w:bodyDiv w:val="1"/>
      <w:marLeft w:val="0"/>
      <w:marRight w:val="0"/>
      <w:marTop w:val="0"/>
      <w:marBottom w:val="0"/>
      <w:divBdr>
        <w:top w:val="none" w:sz="0" w:space="0" w:color="auto"/>
        <w:left w:val="none" w:sz="0" w:space="0" w:color="auto"/>
        <w:bottom w:val="none" w:sz="0" w:space="0" w:color="auto"/>
        <w:right w:val="none" w:sz="0" w:space="0" w:color="auto"/>
      </w:divBdr>
    </w:div>
    <w:div w:id="550506861">
      <w:bodyDiv w:val="1"/>
      <w:marLeft w:val="0"/>
      <w:marRight w:val="0"/>
      <w:marTop w:val="0"/>
      <w:marBottom w:val="0"/>
      <w:divBdr>
        <w:top w:val="none" w:sz="0" w:space="0" w:color="auto"/>
        <w:left w:val="none" w:sz="0" w:space="0" w:color="auto"/>
        <w:bottom w:val="none" w:sz="0" w:space="0" w:color="auto"/>
        <w:right w:val="none" w:sz="0" w:space="0" w:color="auto"/>
      </w:divBdr>
    </w:div>
    <w:div w:id="573588273">
      <w:bodyDiv w:val="1"/>
      <w:marLeft w:val="0"/>
      <w:marRight w:val="0"/>
      <w:marTop w:val="0"/>
      <w:marBottom w:val="0"/>
      <w:divBdr>
        <w:top w:val="none" w:sz="0" w:space="0" w:color="auto"/>
        <w:left w:val="none" w:sz="0" w:space="0" w:color="auto"/>
        <w:bottom w:val="none" w:sz="0" w:space="0" w:color="auto"/>
        <w:right w:val="none" w:sz="0" w:space="0" w:color="auto"/>
      </w:divBdr>
    </w:div>
    <w:div w:id="589775301">
      <w:bodyDiv w:val="1"/>
      <w:marLeft w:val="0"/>
      <w:marRight w:val="0"/>
      <w:marTop w:val="0"/>
      <w:marBottom w:val="0"/>
      <w:divBdr>
        <w:top w:val="none" w:sz="0" w:space="0" w:color="auto"/>
        <w:left w:val="none" w:sz="0" w:space="0" w:color="auto"/>
        <w:bottom w:val="none" w:sz="0" w:space="0" w:color="auto"/>
        <w:right w:val="none" w:sz="0" w:space="0" w:color="auto"/>
      </w:divBdr>
    </w:div>
    <w:div w:id="601690120">
      <w:bodyDiv w:val="1"/>
      <w:marLeft w:val="0"/>
      <w:marRight w:val="0"/>
      <w:marTop w:val="0"/>
      <w:marBottom w:val="0"/>
      <w:divBdr>
        <w:top w:val="none" w:sz="0" w:space="0" w:color="auto"/>
        <w:left w:val="none" w:sz="0" w:space="0" w:color="auto"/>
        <w:bottom w:val="none" w:sz="0" w:space="0" w:color="auto"/>
        <w:right w:val="none" w:sz="0" w:space="0" w:color="auto"/>
      </w:divBdr>
    </w:div>
    <w:div w:id="604927867">
      <w:bodyDiv w:val="1"/>
      <w:marLeft w:val="0"/>
      <w:marRight w:val="0"/>
      <w:marTop w:val="0"/>
      <w:marBottom w:val="0"/>
      <w:divBdr>
        <w:top w:val="none" w:sz="0" w:space="0" w:color="auto"/>
        <w:left w:val="none" w:sz="0" w:space="0" w:color="auto"/>
        <w:bottom w:val="none" w:sz="0" w:space="0" w:color="auto"/>
        <w:right w:val="none" w:sz="0" w:space="0" w:color="auto"/>
      </w:divBdr>
    </w:div>
    <w:div w:id="637884082">
      <w:bodyDiv w:val="1"/>
      <w:marLeft w:val="0"/>
      <w:marRight w:val="0"/>
      <w:marTop w:val="0"/>
      <w:marBottom w:val="0"/>
      <w:divBdr>
        <w:top w:val="none" w:sz="0" w:space="0" w:color="auto"/>
        <w:left w:val="none" w:sz="0" w:space="0" w:color="auto"/>
        <w:bottom w:val="none" w:sz="0" w:space="0" w:color="auto"/>
        <w:right w:val="none" w:sz="0" w:space="0" w:color="auto"/>
      </w:divBdr>
      <w:divsChild>
        <w:div w:id="1810248727">
          <w:marLeft w:val="480"/>
          <w:marRight w:val="0"/>
          <w:marTop w:val="0"/>
          <w:marBottom w:val="0"/>
          <w:divBdr>
            <w:top w:val="none" w:sz="0" w:space="0" w:color="auto"/>
            <w:left w:val="none" w:sz="0" w:space="0" w:color="auto"/>
            <w:bottom w:val="none" w:sz="0" w:space="0" w:color="auto"/>
            <w:right w:val="none" w:sz="0" w:space="0" w:color="auto"/>
          </w:divBdr>
        </w:div>
        <w:div w:id="1881241042">
          <w:marLeft w:val="480"/>
          <w:marRight w:val="0"/>
          <w:marTop w:val="0"/>
          <w:marBottom w:val="0"/>
          <w:divBdr>
            <w:top w:val="none" w:sz="0" w:space="0" w:color="auto"/>
            <w:left w:val="none" w:sz="0" w:space="0" w:color="auto"/>
            <w:bottom w:val="none" w:sz="0" w:space="0" w:color="auto"/>
            <w:right w:val="none" w:sz="0" w:space="0" w:color="auto"/>
          </w:divBdr>
        </w:div>
        <w:div w:id="475532415">
          <w:marLeft w:val="480"/>
          <w:marRight w:val="0"/>
          <w:marTop w:val="0"/>
          <w:marBottom w:val="0"/>
          <w:divBdr>
            <w:top w:val="none" w:sz="0" w:space="0" w:color="auto"/>
            <w:left w:val="none" w:sz="0" w:space="0" w:color="auto"/>
            <w:bottom w:val="none" w:sz="0" w:space="0" w:color="auto"/>
            <w:right w:val="none" w:sz="0" w:space="0" w:color="auto"/>
          </w:divBdr>
        </w:div>
        <w:div w:id="1865098535">
          <w:marLeft w:val="480"/>
          <w:marRight w:val="0"/>
          <w:marTop w:val="0"/>
          <w:marBottom w:val="0"/>
          <w:divBdr>
            <w:top w:val="none" w:sz="0" w:space="0" w:color="auto"/>
            <w:left w:val="none" w:sz="0" w:space="0" w:color="auto"/>
            <w:bottom w:val="none" w:sz="0" w:space="0" w:color="auto"/>
            <w:right w:val="none" w:sz="0" w:space="0" w:color="auto"/>
          </w:divBdr>
        </w:div>
        <w:div w:id="1307276581">
          <w:marLeft w:val="480"/>
          <w:marRight w:val="0"/>
          <w:marTop w:val="0"/>
          <w:marBottom w:val="0"/>
          <w:divBdr>
            <w:top w:val="none" w:sz="0" w:space="0" w:color="auto"/>
            <w:left w:val="none" w:sz="0" w:space="0" w:color="auto"/>
            <w:bottom w:val="none" w:sz="0" w:space="0" w:color="auto"/>
            <w:right w:val="none" w:sz="0" w:space="0" w:color="auto"/>
          </w:divBdr>
        </w:div>
        <w:div w:id="1108503423">
          <w:marLeft w:val="480"/>
          <w:marRight w:val="0"/>
          <w:marTop w:val="0"/>
          <w:marBottom w:val="0"/>
          <w:divBdr>
            <w:top w:val="none" w:sz="0" w:space="0" w:color="auto"/>
            <w:left w:val="none" w:sz="0" w:space="0" w:color="auto"/>
            <w:bottom w:val="none" w:sz="0" w:space="0" w:color="auto"/>
            <w:right w:val="none" w:sz="0" w:space="0" w:color="auto"/>
          </w:divBdr>
        </w:div>
        <w:div w:id="246228391">
          <w:marLeft w:val="480"/>
          <w:marRight w:val="0"/>
          <w:marTop w:val="0"/>
          <w:marBottom w:val="0"/>
          <w:divBdr>
            <w:top w:val="none" w:sz="0" w:space="0" w:color="auto"/>
            <w:left w:val="none" w:sz="0" w:space="0" w:color="auto"/>
            <w:bottom w:val="none" w:sz="0" w:space="0" w:color="auto"/>
            <w:right w:val="none" w:sz="0" w:space="0" w:color="auto"/>
          </w:divBdr>
        </w:div>
        <w:div w:id="2064136571">
          <w:marLeft w:val="480"/>
          <w:marRight w:val="0"/>
          <w:marTop w:val="0"/>
          <w:marBottom w:val="0"/>
          <w:divBdr>
            <w:top w:val="none" w:sz="0" w:space="0" w:color="auto"/>
            <w:left w:val="none" w:sz="0" w:space="0" w:color="auto"/>
            <w:bottom w:val="none" w:sz="0" w:space="0" w:color="auto"/>
            <w:right w:val="none" w:sz="0" w:space="0" w:color="auto"/>
          </w:divBdr>
        </w:div>
        <w:div w:id="1020621845">
          <w:marLeft w:val="480"/>
          <w:marRight w:val="0"/>
          <w:marTop w:val="0"/>
          <w:marBottom w:val="0"/>
          <w:divBdr>
            <w:top w:val="none" w:sz="0" w:space="0" w:color="auto"/>
            <w:left w:val="none" w:sz="0" w:space="0" w:color="auto"/>
            <w:bottom w:val="none" w:sz="0" w:space="0" w:color="auto"/>
            <w:right w:val="none" w:sz="0" w:space="0" w:color="auto"/>
          </w:divBdr>
        </w:div>
        <w:div w:id="1630238606">
          <w:marLeft w:val="480"/>
          <w:marRight w:val="0"/>
          <w:marTop w:val="0"/>
          <w:marBottom w:val="0"/>
          <w:divBdr>
            <w:top w:val="none" w:sz="0" w:space="0" w:color="auto"/>
            <w:left w:val="none" w:sz="0" w:space="0" w:color="auto"/>
            <w:bottom w:val="none" w:sz="0" w:space="0" w:color="auto"/>
            <w:right w:val="none" w:sz="0" w:space="0" w:color="auto"/>
          </w:divBdr>
        </w:div>
      </w:divsChild>
    </w:div>
    <w:div w:id="640502296">
      <w:bodyDiv w:val="1"/>
      <w:marLeft w:val="0"/>
      <w:marRight w:val="0"/>
      <w:marTop w:val="0"/>
      <w:marBottom w:val="0"/>
      <w:divBdr>
        <w:top w:val="none" w:sz="0" w:space="0" w:color="auto"/>
        <w:left w:val="none" w:sz="0" w:space="0" w:color="auto"/>
        <w:bottom w:val="none" w:sz="0" w:space="0" w:color="auto"/>
        <w:right w:val="none" w:sz="0" w:space="0" w:color="auto"/>
      </w:divBdr>
    </w:div>
    <w:div w:id="714816670">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43428">
      <w:bodyDiv w:val="1"/>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5193222">
      <w:bodyDiv w:val="1"/>
      <w:marLeft w:val="0"/>
      <w:marRight w:val="0"/>
      <w:marTop w:val="0"/>
      <w:marBottom w:val="0"/>
      <w:divBdr>
        <w:top w:val="none" w:sz="0" w:space="0" w:color="auto"/>
        <w:left w:val="none" w:sz="0" w:space="0" w:color="auto"/>
        <w:bottom w:val="none" w:sz="0" w:space="0" w:color="auto"/>
        <w:right w:val="none" w:sz="0" w:space="0" w:color="auto"/>
      </w:divBdr>
    </w:div>
    <w:div w:id="914437201">
      <w:bodyDiv w:val="1"/>
      <w:marLeft w:val="0"/>
      <w:marRight w:val="0"/>
      <w:marTop w:val="0"/>
      <w:marBottom w:val="0"/>
      <w:divBdr>
        <w:top w:val="none" w:sz="0" w:space="0" w:color="auto"/>
        <w:left w:val="none" w:sz="0" w:space="0" w:color="auto"/>
        <w:bottom w:val="none" w:sz="0" w:space="0" w:color="auto"/>
        <w:right w:val="none" w:sz="0" w:space="0" w:color="auto"/>
      </w:divBdr>
      <w:divsChild>
        <w:div w:id="1933665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67320">
      <w:bodyDiv w:val="1"/>
      <w:marLeft w:val="0"/>
      <w:marRight w:val="0"/>
      <w:marTop w:val="0"/>
      <w:marBottom w:val="0"/>
      <w:divBdr>
        <w:top w:val="none" w:sz="0" w:space="0" w:color="auto"/>
        <w:left w:val="none" w:sz="0" w:space="0" w:color="auto"/>
        <w:bottom w:val="none" w:sz="0" w:space="0" w:color="auto"/>
        <w:right w:val="none" w:sz="0" w:space="0" w:color="auto"/>
      </w:divBdr>
    </w:div>
    <w:div w:id="953485258">
      <w:bodyDiv w:val="1"/>
      <w:marLeft w:val="0"/>
      <w:marRight w:val="0"/>
      <w:marTop w:val="0"/>
      <w:marBottom w:val="0"/>
      <w:divBdr>
        <w:top w:val="none" w:sz="0" w:space="0" w:color="auto"/>
        <w:left w:val="none" w:sz="0" w:space="0" w:color="auto"/>
        <w:bottom w:val="none" w:sz="0" w:space="0" w:color="auto"/>
        <w:right w:val="none" w:sz="0" w:space="0" w:color="auto"/>
      </w:divBdr>
    </w:div>
    <w:div w:id="965280087">
      <w:bodyDiv w:val="1"/>
      <w:marLeft w:val="0"/>
      <w:marRight w:val="0"/>
      <w:marTop w:val="0"/>
      <w:marBottom w:val="0"/>
      <w:divBdr>
        <w:top w:val="none" w:sz="0" w:space="0" w:color="auto"/>
        <w:left w:val="none" w:sz="0" w:space="0" w:color="auto"/>
        <w:bottom w:val="none" w:sz="0" w:space="0" w:color="auto"/>
        <w:right w:val="none" w:sz="0" w:space="0" w:color="auto"/>
      </w:divBdr>
    </w:div>
    <w:div w:id="979456966">
      <w:bodyDiv w:val="1"/>
      <w:marLeft w:val="0"/>
      <w:marRight w:val="0"/>
      <w:marTop w:val="0"/>
      <w:marBottom w:val="0"/>
      <w:divBdr>
        <w:top w:val="none" w:sz="0" w:space="0" w:color="auto"/>
        <w:left w:val="none" w:sz="0" w:space="0" w:color="auto"/>
        <w:bottom w:val="none" w:sz="0" w:space="0" w:color="auto"/>
        <w:right w:val="none" w:sz="0" w:space="0" w:color="auto"/>
      </w:divBdr>
    </w:div>
    <w:div w:id="990904841">
      <w:bodyDiv w:val="1"/>
      <w:marLeft w:val="0"/>
      <w:marRight w:val="0"/>
      <w:marTop w:val="0"/>
      <w:marBottom w:val="0"/>
      <w:divBdr>
        <w:top w:val="none" w:sz="0" w:space="0" w:color="auto"/>
        <w:left w:val="none" w:sz="0" w:space="0" w:color="auto"/>
        <w:bottom w:val="none" w:sz="0" w:space="0" w:color="auto"/>
        <w:right w:val="none" w:sz="0" w:space="0" w:color="auto"/>
      </w:divBdr>
    </w:div>
    <w:div w:id="1051541038">
      <w:bodyDiv w:val="1"/>
      <w:marLeft w:val="0"/>
      <w:marRight w:val="0"/>
      <w:marTop w:val="0"/>
      <w:marBottom w:val="0"/>
      <w:divBdr>
        <w:top w:val="none" w:sz="0" w:space="0" w:color="auto"/>
        <w:left w:val="none" w:sz="0" w:space="0" w:color="auto"/>
        <w:bottom w:val="none" w:sz="0" w:space="0" w:color="auto"/>
        <w:right w:val="none" w:sz="0" w:space="0" w:color="auto"/>
      </w:divBdr>
    </w:div>
    <w:div w:id="1070007941">
      <w:bodyDiv w:val="1"/>
      <w:marLeft w:val="0"/>
      <w:marRight w:val="0"/>
      <w:marTop w:val="0"/>
      <w:marBottom w:val="0"/>
      <w:divBdr>
        <w:top w:val="none" w:sz="0" w:space="0" w:color="auto"/>
        <w:left w:val="none" w:sz="0" w:space="0" w:color="auto"/>
        <w:bottom w:val="none" w:sz="0" w:space="0" w:color="auto"/>
        <w:right w:val="none" w:sz="0" w:space="0" w:color="auto"/>
      </w:divBdr>
    </w:div>
    <w:div w:id="1082020601">
      <w:bodyDiv w:val="1"/>
      <w:marLeft w:val="0"/>
      <w:marRight w:val="0"/>
      <w:marTop w:val="0"/>
      <w:marBottom w:val="0"/>
      <w:divBdr>
        <w:top w:val="none" w:sz="0" w:space="0" w:color="auto"/>
        <w:left w:val="none" w:sz="0" w:space="0" w:color="auto"/>
        <w:bottom w:val="none" w:sz="0" w:space="0" w:color="auto"/>
        <w:right w:val="none" w:sz="0" w:space="0" w:color="auto"/>
      </w:divBdr>
    </w:div>
    <w:div w:id="1106388052">
      <w:bodyDiv w:val="1"/>
      <w:marLeft w:val="0"/>
      <w:marRight w:val="0"/>
      <w:marTop w:val="0"/>
      <w:marBottom w:val="0"/>
      <w:divBdr>
        <w:top w:val="none" w:sz="0" w:space="0" w:color="auto"/>
        <w:left w:val="none" w:sz="0" w:space="0" w:color="auto"/>
        <w:bottom w:val="none" w:sz="0" w:space="0" w:color="auto"/>
        <w:right w:val="none" w:sz="0" w:space="0" w:color="auto"/>
      </w:divBdr>
      <w:divsChild>
        <w:div w:id="787771452">
          <w:marLeft w:val="0"/>
          <w:marRight w:val="0"/>
          <w:marTop w:val="0"/>
          <w:marBottom w:val="0"/>
          <w:divBdr>
            <w:top w:val="single" w:sz="2" w:space="0" w:color="E3E3E3"/>
            <w:left w:val="single" w:sz="2" w:space="0" w:color="E3E3E3"/>
            <w:bottom w:val="single" w:sz="2" w:space="0" w:color="E3E3E3"/>
            <w:right w:val="single" w:sz="2" w:space="0" w:color="E3E3E3"/>
          </w:divBdr>
          <w:divsChild>
            <w:div w:id="818031984">
              <w:marLeft w:val="0"/>
              <w:marRight w:val="0"/>
              <w:marTop w:val="0"/>
              <w:marBottom w:val="0"/>
              <w:divBdr>
                <w:top w:val="single" w:sz="2" w:space="0" w:color="E3E3E3"/>
                <w:left w:val="single" w:sz="2" w:space="0" w:color="E3E3E3"/>
                <w:bottom w:val="single" w:sz="2" w:space="0" w:color="E3E3E3"/>
                <w:right w:val="single" w:sz="2" w:space="0" w:color="E3E3E3"/>
              </w:divBdr>
              <w:divsChild>
                <w:div w:id="2065374578">
                  <w:marLeft w:val="0"/>
                  <w:marRight w:val="0"/>
                  <w:marTop w:val="0"/>
                  <w:marBottom w:val="0"/>
                  <w:divBdr>
                    <w:top w:val="single" w:sz="2" w:space="0" w:color="E3E3E3"/>
                    <w:left w:val="single" w:sz="2" w:space="0" w:color="E3E3E3"/>
                    <w:bottom w:val="single" w:sz="2" w:space="0" w:color="E3E3E3"/>
                    <w:right w:val="single" w:sz="2" w:space="0" w:color="E3E3E3"/>
                  </w:divBdr>
                  <w:divsChild>
                    <w:div w:id="1333988102">
                      <w:marLeft w:val="0"/>
                      <w:marRight w:val="0"/>
                      <w:marTop w:val="0"/>
                      <w:marBottom w:val="0"/>
                      <w:divBdr>
                        <w:top w:val="single" w:sz="2" w:space="0" w:color="E3E3E3"/>
                        <w:left w:val="single" w:sz="2" w:space="0" w:color="E3E3E3"/>
                        <w:bottom w:val="single" w:sz="2" w:space="0" w:color="E3E3E3"/>
                        <w:right w:val="single" w:sz="2" w:space="0" w:color="E3E3E3"/>
                      </w:divBdr>
                      <w:divsChild>
                        <w:div w:id="708532199">
                          <w:marLeft w:val="0"/>
                          <w:marRight w:val="0"/>
                          <w:marTop w:val="0"/>
                          <w:marBottom w:val="0"/>
                          <w:divBdr>
                            <w:top w:val="single" w:sz="2" w:space="0" w:color="E3E3E3"/>
                            <w:left w:val="single" w:sz="2" w:space="0" w:color="E3E3E3"/>
                            <w:bottom w:val="single" w:sz="2" w:space="0" w:color="E3E3E3"/>
                            <w:right w:val="single" w:sz="2" w:space="0" w:color="E3E3E3"/>
                          </w:divBdr>
                          <w:divsChild>
                            <w:div w:id="588999812">
                              <w:marLeft w:val="0"/>
                              <w:marRight w:val="0"/>
                              <w:marTop w:val="0"/>
                              <w:marBottom w:val="0"/>
                              <w:divBdr>
                                <w:top w:val="single" w:sz="2" w:space="0" w:color="E3E3E3"/>
                                <w:left w:val="single" w:sz="2" w:space="0" w:color="E3E3E3"/>
                                <w:bottom w:val="single" w:sz="2" w:space="0" w:color="E3E3E3"/>
                                <w:right w:val="single" w:sz="2" w:space="0" w:color="E3E3E3"/>
                              </w:divBdr>
                              <w:divsChild>
                                <w:div w:id="599990188">
                                  <w:marLeft w:val="0"/>
                                  <w:marRight w:val="0"/>
                                  <w:marTop w:val="100"/>
                                  <w:marBottom w:val="100"/>
                                  <w:divBdr>
                                    <w:top w:val="single" w:sz="2" w:space="0" w:color="E3E3E3"/>
                                    <w:left w:val="single" w:sz="2" w:space="0" w:color="E3E3E3"/>
                                    <w:bottom w:val="single" w:sz="2" w:space="0" w:color="E3E3E3"/>
                                    <w:right w:val="single" w:sz="2" w:space="0" w:color="E3E3E3"/>
                                  </w:divBdr>
                                  <w:divsChild>
                                    <w:div w:id="362093207">
                                      <w:marLeft w:val="0"/>
                                      <w:marRight w:val="0"/>
                                      <w:marTop w:val="0"/>
                                      <w:marBottom w:val="0"/>
                                      <w:divBdr>
                                        <w:top w:val="single" w:sz="2" w:space="0" w:color="E3E3E3"/>
                                        <w:left w:val="single" w:sz="2" w:space="0" w:color="E3E3E3"/>
                                        <w:bottom w:val="single" w:sz="2" w:space="0" w:color="E3E3E3"/>
                                        <w:right w:val="single" w:sz="2" w:space="0" w:color="E3E3E3"/>
                                      </w:divBdr>
                                      <w:divsChild>
                                        <w:div w:id="1426684056">
                                          <w:marLeft w:val="0"/>
                                          <w:marRight w:val="0"/>
                                          <w:marTop w:val="0"/>
                                          <w:marBottom w:val="0"/>
                                          <w:divBdr>
                                            <w:top w:val="single" w:sz="2" w:space="0" w:color="E3E3E3"/>
                                            <w:left w:val="single" w:sz="2" w:space="0" w:color="E3E3E3"/>
                                            <w:bottom w:val="single" w:sz="2" w:space="0" w:color="E3E3E3"/>
                                            <w:right w:val="single" w:sz="2" w:space="0" w:color="E3E3E3"/>
                                          </w:divBdr>
                                          <w:divsChild>
                                            <w:div w:id="1930575722">
                                              <w:marLeft w:val="0"/>
                                              <w:marRight w:val="0"/>
                                              <w:marTop w:val="0"/>
                                              <w:marBottom w:val="0"/>
                                              <w:divBdr>
                                                <w:top w:val="single" w:sz="2" w:space="0" w:color="E3E3E3"/>
                                                <w:left w:val="single" w:sz="2" w:space="0" w:color="E3E3E3"/>
                                                <w:bottom w:val="single" w:sz="2" w:space="0" w:color="E3E3E3"/>
                                                <w:right w:val="single" w:sz="2" w:space="0" w:color="E3E3E3"/>
                                              </w:divBdr>
                                              <w:divsChild>
                                                <w:div w:id="46999781">
                                                  <w:marLeft w:val="0"/>
                                                  <w:marRight w:val="0"/>
                                                  <w:marTop w:val="0"/>
                                                  <w:marBottom w:val="0"/>
                                                  <w:divBdr>
                                                    <w:top w:val="single" w:sz="2" w:space="0" w:color="E3E3E3"/>
                                                    <w:left w:val="single" w:sz="2" w:space="0" w:color="E3E3E3"/>
                                                    <w:bottom w:val="single" w:sz="2" w:space="0" w:color="E3E3E3"/>
                                                    <w:right w:val="single" w:sz="2" w:space="0" w:color="E3E3E3"/>
                                                  </w:divBdr>
                                                  <w:divsChild>
                                                    <w:div w:id="656030747">
                                                      <w:marLeft w:val="0"/>
                                                      <w:marRight w:val="0"/>
                                                      <w:marTop w:val="0"/>
                                                      <w:marBottom w:val="0"/>
                                                      <w:divBdr>
                                                        <w:top w:val="single" w:sz="2" w:space="0" w:color="E3E3E3"/>
                                                        <w:left w:val="single" w:sz="2" w:space="0" w:color="E3E3E3"/>
                                                        <w:bottom w:val="single" w:sz="2" w:space="0" w:color="E3E3E3"/>
                                                        <w:right w:val="single" w:sz="2" w:space="0" w:color="E3E3E3"/>
                                                      </w:divBdr>
                                                      <w:divsChild>
                                                        <w:div w:id="10348906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88297668">
          <w:marLeft w:val="0"/>
          <w:marRight w:val="0"/>
          <w:marTop w:val="0"/>
          <w:marBottom w:val="0"/>
          <w:divBdr>
            <w:top w:val="none" w:sz="0" w:space="0" w:color="auto"/>
            <w:left w:val="none" w:sz="0" w:space="0" w:color="auto"/>
            <w:bottom w:val="none" w:sz="0" w:space="0" w:color="auto"/>
            <w:right w:val="none" w:sz="0" w:space="0" w:color="auto"/>
          </w:divBdr>
          <w:divsChild>
            <w:div w:id="1155417279">
              <w:marLeft w:val="0"/>
              <w:marRight w:val="0"/>
              <w:marTop w:val="100"/>
              <w:marBottom w:val="100"/>
              <w:divBdr>
                <w:top w:val="single" w:sz="2" w:space="0" w:color="E3E3E3"/>
                <w:left w:val="single" w:sz="2" w:space="0" w:color="E3E3E3"/>
                <w:bottom w:val="single" w:sz="2" w:space="0" w:color="E3E3E3"/>
                <w:right w:val="single" w:sz="2" w:space="0" w:color="E3E3E3"/>
              </w:divBdr>
              <w:divsChild>
                <w:div w:id="334722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45515326">
      <w:bodyDiv w:val="1"/>
      <w:marLeft w:val="0"/>
      <w:marRight w:val="0"/>
      <w:marTop w:val="0"/>
      <w:marBottom w:val="0"/>
      <w:divBdr>
        <w:top w:val="none" w:sz="0" w:space="0" w:color="auto"/>
        <w:left w:val="none" w:sz="0" w:space="0" w:color="auto"/>
        <w:bottom w:val="none" w:sz="0" w:space="0" w:color="auto"/>
        <w:right w:val="none" w:sz="0" w:space="0" w:color="auto"/>
      </w:divBdr>
    </w:div>
    <w:div w:id="1156919964">
      <w:bodyDiv w:val="1"/>
      <w:marLeft w:val="0"/>
      <w:marRight w:val="0"/>
      <w:marTop w:val="0"/>
      <w:marBottom w:val="0"/>
      <w:divBdr>
        <w:top w:val="none" w:sz="0" w:space="0" w:color="auto"/>
        <w:left w:val="none" w:sz="0" w:space="0" w:color="auto"/>
        <w:bottom w:val="none" w:sz="0" w:space="0" w:color="auto"/>
        <w:right w:val="none" w:sz="0" w:space="0" w:color="auto"/>
      </w:divBdr>
    </w:div>
    <w:div w:id="1164737549">
      <w:bodyDiv w:val="1"/>
      <w:marLeft w:val="0"/>
      <w:marRight w:val="0"/>
      <w:marTop w:val="0"/>
      <w:marBottom w:val="0"/>
      <w:divBdr>
        <w:top w:val="none" w:sz="0" w:space="0" w:color="auto"/>
        <w:left w:val="none" w:sz="0" w:space="0" w:color="auto"/>
        <w:bottom w:val="none" w:sz="0" w:space="0" w:color="auto"/>
        <w:right w:val="none" w:sz="0" w:space="0" w:color="auto"/>
      </w:divBdr>
    </w:div>
    <w:div w:id="1172839513">
      <w:bodyDiv w:val="1"/>
      <w:marLeft w:val="0"/>
      <w:marRight w:val="0"/>
      <w:marTop w:val="0"/>
      <w:marBottom w:val="0"/>
      <w:divBdr>
        <w:top w:val="none" w:sz="0" w:space="0" w:color="auto"/>
        <w:left w:val="none" w:sz="0" w:space="0" w:color="auto"/>
        <w:bottom w:val="none" w:sz="0" w:space="0" w:color="auto"/>
        <w:right w:val="none" w:sz="0" w:space="0" w:color="auto"/>
      </w:divBdr>
    </w:div>
    <w:div w:id="1196119497">
      <w:bodyDiv w:val="1"/>
      <w:marLeft w:val="0"/>
      <w:marRight w:val="0"/>
      <w:marTop w:val="0"/>
      <w:marBottom w:val="0"/>
      <w:divBdr>
        <w:top w:val="none" w:sz="0" w:space="0" w:color="auto"/>
        <w:left w:val="none" w:sz="0" w:space="0" w:color="auto"/>
        <w:bottom w:val="none" w:sz="0" w:space="0" w:color="auto"/>
        <w:right w:val="none" w:sz="0" w:space="0" w:color="auto"/>
      </w:divBdr>
    </w:div>
    <w:div w:id="1257520834">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502622901">
      <w:bodyDiv w:val="1"/>
      <w:marLeft w:val="0"/>
      <w:marRight w:val="0"/>
      <w:marTop w:val="0"/>
      <w:marBottom w:val="0"/>
      <w:divBdr>
        <w:top w:val="none" w:sz="0" w:space="0" w:color="auto"/>
        <w:left w:val="none" w:sz="0" w:space="0" w:color="auto"/>
        <w:bottom w:val="none" w:sz="0" w:space="0" w:color="auto"/>
        <w:right w:val="none" w:sz="0" w:space="0" w:color="auto"/>
      </w:divBdr>
    </w:div>
    <w:div w:id="1544903497">
      <w:bodyDiv w:val="1"/>
      <w:marLeft w:val="0"/>
      <w:marRight w:val="0"/>
      <w:marTop w:val="0"/>
      <w:marBottom w:val="0"/>
      <w:divBdr>
        <w:top w:val="none" w:sz="0" w:space="0" w:color="auto"/>
        <w:left w:val="none" w:sz="0" w:space="0" w:color="auto"/>
        <w:bottom w:val="none" w:sz="0" w:space="0" w:color="auto"/>
        <w:right w:val="none" w:sz="0" w:space="0" w:color="auto"/>
      </w:divBdr>
    </w:div>
    <w:div w:id="1549874732">
      <w:bodyDiv w:val="1"/>
      <w:marLeft w:val="0"/>
      <w:marRight w:val="0"/>
      <w:marTop w:val="0"/>
      <w:marBottom w:val="0"/>
      <w:divBdr>
        <w:top w:val="none" w:sz="0" w:space="0" w:color="auto"/>
        <w:left w:val="none" w:sz="0" w:space="0" w:color="auto"/>
        <w:bottom w:val="none" w:sz="0" w:space="0" w:color="auto"/>
        <w:right w:val="none" w:sz="0" w:space="0" w:color="auto"/>
      </w:divBdr>
    </w:div>
    <w:div w:id="1555384986">
      <w:bodyDiv w:val="1"/>
      <w:marLeft w:val="0"/>
      <w:marRight w:val="0"/>
      <w:marTop w:val="0"/>
      <w:marBottom w:val="0"/>
      <w:divBdr>
        <w:top w:val="none" w:sz="0" w:space="0" w:color="auto"/>
        <w:left w:val="none" w:sz="0" w:space="0" w:color="auto"/>
        <w:bottom w:val="none" w:sz="0" w:space="0" w:color="auto"/>
        <w:right w:val="none" w:sz="0" w:space="0" w:color="auto"/>
      </w:divBdr>
      <w:divsChild>
        <w:div w:id="1861315701">
          <w:marLeft w:val="480"/>
          <w:marRight w:val="0"/>
          <w:marTop w:val="0"/>
          <w:marBottom w:val="0"/>
          <w:divBdr>
            <w:top w:val="none" w:sz="0" w:space="0" w:color="auto"/>
            <w:left w:val="none" w:sz="0" w:space="0" w:color="auto"/>
            <w:bottom w:val="none" w:sz="0" w:space="0" w:color="auto"/>
            <w:right w:val="none" w:sz="0" w:space="0" w:color="auto"/>
          </w:divBdr>
        </w:div>
        <w:div w:id="1850412821">
          <w:marLeft w:val="480"/>
          <w:marRight w:val="0"/>
          <w:marTop w:val="0"/>
          <w:marBottom w:val="0"/>
          <w:divBdr>
            <w:top w:val="none" w:sz="0" w:space="0" w:color="auto"/>
            <w:left w:val="none" w:sz="0" w:space="0" w:color="auto"/>
            <w:bottom w:val="none" w:sz="0" w:space="0" w:color="auto"/>
            <w:right w:val="none" w:sz="0" w:space="0" w:color="auto"/>
          </w:divBdr>
        </w:div>
        <w:div w:id="556933684">
          <w:marLeft w:val="480"/>
          <w:marRight w:val="0"/>
          <w:marTop w:val="0"/>
          <w:marBottom w:val="0"/>
          <w:divBdr>
            <w:top w:val="none" w:sz="0" w:space="0" w:color="auto"/>
            <w:left w:val="none" w:sz="0" w:space="0" w:color="auto"/>
            <w:bottom w:val="none" w:sz="0" w:space="0" w:color="auto"/>
            <w:right w:val="none" w:sz="0" w:space="0" w:color="auto"/>
          </w:divBdr>
        </w:div>
        <w:div w:id="740254870">
          <w:marLeft w:val="480"/>
          <w:marRight w:val="0"/>
          <w:marTop w:val="0"/>
          <w:marBottom w:val="0"/>
          <w:divBdr>
            <w:top w:val="none" w:sz="0" w:space="0" w:color="auto"/>
            <w:left w:val="none" w:sz="0" w:space="0" w:color="auto"/>
            <w:bottom w:val="none" w:sz="0" w:space="0" w:color="auto"/>
            <w:right w:val="none" w:sz="0" w:space="0" w:color="auto"/>
          </w:divBdr>
        </w:div>
        <w:div w:id="1932277048">
          <w:marLeft w:val="480"/>
          <w:marRight w:val="0"/>
          <w:marTop w:val="0"/>
          <w:marBottom w:val="0"/>
          <w:divBdr>
            <w:top w:val="none" w:sz="0" w:space="0" w:color="auto"/>
            <w:left w:val="none" w:sz="0" w:space="0" w:color="auto"/>
            <w:bottom w:val="none" w:sz="0" w:space="0" w:color="auto"/>
            <w:right w:val="none" w:sz="0" w:space="0" w:color="auto"/>
          </w:divBdr>
        </w:div>
        <w:div w:id="997735306">
          <w:marLeft w:val="480"/>
          <w:marRight w:val="0"/>
          <w:marTop w:val="0"/>
          <w:marBottom w:val="0"/>
          <w:divBdr>
            <w:top w:val="none" w:sz="0" w:space="0" w:color="auto"/>
            <w:left w:val="none" w:sz="0" w:space="0" w:color="auto"/>
            <w:bottom w:val="none" w:sz="0" w:space="0" w:color="auto"/>
            <w:right w:val="none" w:sz="0" w:space="0" w:color="auto"/>
          </w:divBdr>
        </w:div>
        <w:div w:id="729041987">
          <w:marLeft w:val="480"/>
          <w:marRight w:val="0"/>
          <w:marTop w:val="0"/>
          <w:marBottom w:val="0"/>
          <w:divBdr>
            <w:top w:val="none" w:sz="0" w:space="0" w:color="auto"/>
            <w:left w:val="none" w:sz="0" w:space="0" w:color="auto"/>
            <w:bottom w:val="none" w:sz="0" w:space="0" w:color="auto"/>
            <w:right w:val="none" w:sz="0" w:space="0" w:color="auto"/>
          </w:divBdr>
        </w:div>
        <w:div w:id="1237865140">
          <w:marLeft w:val="480"/>
          <w:marRight w:val="0"/>
          <w:marTop w:val="0"/>
          <w:marBottom w:val="0"/>
          <w:divBdr>
            <w:top w:val="none" w:sz="0" w:space="0" w:color="auto"/>
            <w:left w:val="none" w:sz="0" w:space="0" w:color="auto"/>
            <w:bottom w:val="none" w:sz="0" w:space="0" w:color="auto"/>
            <w:right w:val="none" w:sz="0" w:space="0" w:color="auto"/>
          </w:divBdr>
        </w:div>
        <w:div w:id="1626689453">
          <w:marLeft w:val="480"/>
          <w:marRight w:val="0"/>
          <w:marTop w:val="0"/>
          <w:marBottom w:val="0"/>
          <w:divBdr>
            <w:top w:val="none" w:sz="0" w:space="0" w:color="auto"/>
            <w:left w:val="none" w:sz="0" w:space="0" w:color="auto"/>
            <w:bottom w:val="none" w:sz="0" w:space="0" w:color="auto"/>
            <w:right w:val="none" w:sz="0" w:space="0" w:color="auto"/>
          </w:divBdr>
        </w:div>
        <w:div w:id="981159166">
          <w:marLeft w:val="480"/>
          <w:marRight w:val="0"/>
          <w:marTop w:val="0"/>
          <w:marBottom w:val="0"/>
          <w:divBdr>
            <w:top w:val="none" w:sz="0" w:space="0" w:color="auto"/>
            <w:left w:val="none" w:sz="0" w:space="0" w:color="auto"/>
            <w:bottom w:val="none" w:sz="0" w:space="0" w:color="auto"/>
            <w:right w:val="none" w:sz="0" w:space="0" w:color="auto"/>
          </w:divBdr>
        </w:div>
        <w:div w:id="1246918857">
          <w:marLeft w:val="480"/>
          <w:marRight w:val="0"/>
          <w:marTop w:val="0"/>
          <w:marBottom w:val="0"/>
          <w:divBdr>
            <w:top w:val="none" w:sz="0" w:space="0" w:color="auto"/>
            <w:left w:val="none" w:sz="0" w:space="0" w:color="auto"/>
            <w:bottom w:val="none" w:sz="0" w:space="0" w:color="auto"/>
            <w:right w:val="none" w:sz="0" w:space="0" w:color="auto"/>
          </w:divBdr>
        </w:div>
      </w:divsChild>
    </w:div>
    <w:div w:id="1629124164">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0633">
      <w:bodyDiv w:val="1"/>
      <w:marLeft w:val="0"/>
      <w:marRight w:val="0"/>
      <w:marTop w:val="0"/>
      <w:marBottom w:val="0"/>
      <w:divBdr>
        <w:top w:val="none" w:sz="0" w:space="0" w:color="auto"/>
        <w:left w:val="none" w:sz="0" w:space="0" w:color="auto"/>
        <w:bottom w:val="none" w:sz="0" w:space="0" w:color="auto"/>
        <w:right w:val="none" w:sz="0" w:space="0" w:color="auto"/>
      </w:divBdr>
      <w:divsChild>
        <w:div w:id="370811930">
          <w:marLeft w:val="0"/>
          <w:marRight w:val="0"/>
          <w:marTop w:val="0"/>
          <w:marBottom w:val="0"/>
          <w:divBdr>
            <w:top w:val="single" w:sz="2" w:space="0" w:color="E3E3E3"/>
            <w:left w:val="single" w:sz="2" w:space="0" w:color="E3E3E3"/>
            <w:bottom w:val="single" w:sz="2" w:space="0" w:color="E3E3E3"/>
            <w:right w:val="single" w:sz="2" w:space="0" w:color="E3E3E3"/>
          </w:divBdr>
          <w:divsChild>
            <w:div w:id="20865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744526920">
                  <w:marLeft w:val="0"/>
                  <w:marRight w:val="0"/>
                  <w:marTop w:val="0"/>
                  <w:marBottom w:val="0"/>
                  <w:divBdr>
                    <w:top w:val="single" w:sz="2" w:space="0" w:color="E3E3E3"/>
                    <w:left w:val="single" w:sz="2" w:space="0" w:color="E3E3E3"/>
                    <w:bottom w:val="single" w:sz="2" w:space="0" w:color="E3E3E3"/>
                    <w:right w:val="single" w:sz="2" w:space="0" w:color="E3E3E3"/>
                  </w:divBdr>
                  <w:divsChild>
                    <w:div w:id="1843082974">
                      <w:marLeft w:val="0"/>
                      <w:marRight w:val="0"/>
                      <w:marTop w:val="0"/>
                      <w:marBottom w:val="0"/>
                      <w:divBdr>
                        <w:top w:val="single" w:sz="2" w:space="0" w:color="E3E3E3"/>
                        <w:left w:val="single" w:sz="2" w:space="0" w:color="E3E3E3"/>
                        <w:bottom w:val="single" w:sz="2" w:space="0" w:color="E3E3E3"/>
                        <w:right w:val="single" w:sz="2" w:space="0" w:color="E3E3E3"/>
                      </w:divBdr>
                      <w:divsChild>
                        <w:div w:id="1310525173">
                          <w:marLeft w:val="0"/>
                          <w:marRight w:val="0"/>
                          <w:marTop w:val="0"/>
                          <w:marBottom w:val="0"/>
                          <w:divBdr>
                            <w:top w:val="single" w:sz="2" w:space="0" w:color="E3E3E3"/>
                            <w:left w:val="single" w:sz="2" w:space="0" w:color="E3E3E3"/>
                            <w:bottom w:val="single" w:sz="2" w:space="0" w:color="E3E3E3"/>
                            <w:right w:val="single" w:sz="2" w:space="0" w:color="E3E3E3"/>
                          </w:divBdr>
                          <w:divsChild>
                            <w:div w:id="2056389337">
                              <w:marLeft w:val="0"/>
                              <w:marRight w:val="0"/>
                              <w:marTop w:val="0"/>
                              <w:marBottom w:val="0"/>
                              <w:divBdr>
                                <w:top w:val="single" w:sz="2" w:space="0" w:color="E3E3E3"/>
                                <w:left w:val="single" w:sz="2" w:space="0" w:color="E3E3E3"/>
                                <w:bottom w:val="single" w:sz="2" w:space="0" w:color="E3E3E3"/>
                                <w:right w:val="single" w:sz="2" w:space="0" w:color="E3E3E3"/>
                              </w:divBdr>
                              <w:divsChild>
                                <w:div w:id="738093970">
                                  <w:marLeft w:val="0"/>
                                  <w:marRight w:val="0"/>
                                  <w:marTop w:val="0"/>
                                  <w:marBottom w:val="0"/>
                                  <w:divBdr>
                                    <w:top w:val="single" w:sz="2" w:space="0" w:color="E3E3E3"/>
                                    <w:left w:val="single" w:sz="2" w:space="0" w:color="E3E3E3"/>
                                    <w:bottom w:val="single" w:sz="2" w:space="0" w:color="E3E3E3"/>
                                    <w:right w:val="single" w:sz="2" w:space="0" w:color="E3E3E3"/>
                                  </w:divBdr>
                                  <w:divsChild>
                                    <w:div w:id="10419822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7632858">
      <w:bodyDiv w:val="1"/>
      <w:marLeft w:val="0"/>
      <w:marRight w:val="0"/>
      <w:marTop w:val="0"/>
      <w:marBottom w:val="0"/>
      <w:divBdr>
        <w:top w:val="none" w:sz="0" w:space="0" w:color="auto"/>
        <w:left w:val="none" w:sz="0" w:space="0" w:color="auto"/>
        <w:bottom w:val="none" w:sz="0" w:space="0" w:color="auto"/>
        <w:right w:val="none" w:sz="0" w:space="0" w:color="auto"/>
      </w:divBdr>
    </w:div>
    <w:div w:id="1773236961">
      <w:bodyDiv w:val="1"/>
      <w:marLeft w:val="0"/>
      <w:marRight w:val="0"/>
      <w:marTop w:val="0"/>
      <w:marBottom w:val="0"/>
      <w:divBdr>
        <w:top w:val="none" w:sz="0" w:space="0" w:color="auto"/>
        <w:left w:val="none" w:sz="0" w:space="0" w:color="auto"/>
        <w:bottom w:val="none" w:sz="0" w:space="0" w:color="auto"/>
        <w:right w:val="none" w:sz="0" w:space="0" w:color="auto"/>
      </w:divBdr>
    </w:div>
    <w:div w:id="1822044248">
      <w:bodyDiv w:val="1"/>
      <w:marLeft w:val="0"/>
      <w:marRight w:val="0"/>
      <w:marTop w:val="0"/>
      <w:marBottom w:val="0"/>
      <w:divBdr>
        <w:top w:val="none" w:sz="0" w:space="0" w:color="auto"/>
        <w:left w:val="none" w:sz="0" w:space="0" w:color="auto"/>
        <w:bottom w:val="none" w:sz="0" w:space="0" w:color="auto"/>
        <w:right w:val="none" w:sz="0" w:space="0" w:color="auto"/>
      </w:divBdr>
      <w:divsChild>
        <w:div w:id="502162493">
          <w:marLeft w:val="480"/>
          <w:marRight w:val="0"/>
          <w:marTop w:val="0"/>
          <w:marBottom w:val="0"/>
          <w:divBdr>
            <w:top w:val="none" w:sz="0" w:space="0" w:color="auto"/>
            <w:left w:val="none" w:sz="0" w:space="0" w:color="auto"/>
            <w:bottom w:val="none" w:sz="0" w:space="0" w:color="auto"/>
            <w:right w:val="none" w:sz="0" w:space="0" w:color="auto"/>
          </w:divBdr>
        </w:div>
        <w:div w:id="607392111">
          <w:marLeft w:val="480"/>
          <w:marRight w:val="0"/>
          <w:marTop w:val="0"/>
          <w:marBottom w:val="0"/>
          <w:divBdr>
            <w:top w:val="none" w:sz="0" w:space="0" w:color="auto"/>
            <w:left w:val="none" w:sz="0" w:space="0" w:color="auto"/>
            <w:bottom w:val="none" w:sz="0" w:space="0" w:color="auto"/>
            <w:right w:val="none" w:sz="0" w:space="0" w:color="auto"/>
          </w:divBdr>
        </w:div>
        <w:div w:id="1688944255">
          <w:marLeft w:val="480"/>
          <w:marRight w:val="0"/>
          <w:marTop w:val="0"/>
          <w:marBottom w:val="0"/>
          <w:divBdr>
            <w:top w:val="none" w:sz="0" w:space="0" w:color="auto"/>
            <w:left w:val="none" w:sz="0" w:space="0" w:color="auto"/>
            <w:bottom w:val="none" w:sz="0" w:space="0" w:color="auto"/>
            <w:right w:val="none" w:sz="0" w:space="0" w:color="auto"/>
          </w:divBdr>
        </w:div>
        <w:div w:id="876237800">
          <w:marLeft w:val="480"/>
          <w:marRight w:val="0"/>
          <w:marTop w:val="0"/>
          <w:marBottom w:val="0"/>
          <w:divBdr>
            <w:top w:val="none" w:sz="0" w:space="0" w:color="auto"/>
            <w:left w:val="none" w:sz="0" w:space="0" w:color="auto"/>
            <w:bottom w:val="none" w:sz="0" w:space="0" w:color="auto"/>
            <w:right w:val="none" w:sz="0" w:space="0" w:color="auto"/>
          </w:divBdr>
        </w:div>
        <w:div w:id="244651129">
          <w:marLeft w:val="480"/>
          <w:marRight w:val="0"/>
          <w:marTop w:val="0"/>
          <w:marBottom w:val="0"/>
          <w:divBdr>
            <w:top w:val="none" w:sz="0" w:space="0" w:color="auto"/>
            <w:left w:val="none" w:sz="0" w:space="0" w:color="auto"/>
            <w:bottom w:val="none" w:sz="0" w:space="0" w:color="auto"/>
            <w:right w:val="none" w:sz="0" w:space="0" w:color="auto"/>
          </w:divBdr>
        </w:div>
        <w:div w:id="1680234024">
          <w:marLeft w:val="480"/>
          <w:marRight w:val="0"/>
          <w:marTop w:val="0"/>
          <w:marBottom w:val="0"/>
          <w:divBdr>
            <w:top w:val="none" w:sz="0" w:space="0" w:color="auto"/>
            <w:left w:val="none" w:sz="0" w:space="0" w:color="auto"/>
            <w:bottom w:val="none" w:sz="0" w:space="0" w:color="auto"/>
            <w:right w:val="none" w:sz="0" w:space="0" w:color="auto"/>
          </w:divBdr>
        </w:div>
        <w:div w:id="1625847905">
          <w:marLeft w:val="480"/>
          <w:marRight w:val="0"/>
          <w:marTop w:val="0"/>
          <w:marBottom w:val="0"/>
          <w:divBdr>
            <w:top w:val="none" w:sz="0" w:space="0" w:color="auto"/>
            <w:left w:val="none" w:sz="0" w:space="0" w:color="auto"/>
            <w:bottom w:val="none" w:sz="0" w:space="0" w:color="auto"/>
            <w:right w:val="none" w:sz="0" w:space="0" w:color="auto"/>
          </w:divBdr>
        </w:div>
        <w:div w:id="1153331259">
          <w:marLeft w:val="480"/>
          <w:marRight w:val="0"/>
          <w:marTop w:val="0"/>
          <w:marBottom w:val="0"/>
          <w:divBdr>
            <w:top w:val="none" w:sz="0" w:space="0" w:color="auto"/>
            <w:left w:val="none" w:sz="0" w:space="0" w:color="auto"/>
            <w:bottom w:val="none" w:sz="0" w:space="0" w:color="auto"/>
            <w:right w:val="none" w:sz="0" w:space="0" w:color="auto"/>
          </w:divBdr>
        </w:div>
        <w:div w:id="982201180">
          <w:marLeft w:val="480"/>
          <w:marRight w:val="0"/>
          <w:marTop w:val="0"/>
          <w:marBottom w:val="0"/>
          <w:divBdr>
            <w:top w:val="none" w:sz="0" w:space="0" w:color="auto"/>
            <w:left w:val="none" w:sz="0" w:space="0" w:color="auto"/>
            <w:bottom w:val="none" w:sz="0" w:space="0" w:color="auto"/>
            <w:right w:val="none" w:sz="0" w:space="0" w:color="auto"/>
          </w:divBdr>
        </w:div>
        <w:div w:id="1540625031">
          <w:marLeft w:val="480"/>
          <w:marRight w:val="0"/>
          <w:marTop w:val="0"/>
          <w:marBottom w:val="0"/>
          <w:divBdr>
            <w:top w:val="none" w:sz="0" w:space="0" w:color="auto"/>
            <w:left w:val="none" w:sz="0" w:space="0" w:color="auto"/>
            <w:bottom w:val="none" w:sz="0" w:space="0" w:color="auto"/>
            <w:right w:val="none" w:sz="0" w:space="0" w:color="auto"/>
          </w:divBdr>
        </w:div>
        <w:div w:id="1453665777">
          <w:marLeft w:val="480"/>
          <w:marRight w:val="0"/>
          <w:marTop w:val="0"/>
          <w:marBottom w:val="0"/>
          <w:divBdr>
            <w:top w:val="none" w:sz="0" w:space="0" w:color="auto"/>
            <w:left w:val="none" w:sz="0" w:space="0" w:color="auto"/>
            <w:bottom w:val="none" w:sz="0" w:space="0" w:color="auto"/>
            <w:right w:val="none" w:sz="0" w:space="0" w:color="auto"/>
          </w:divBdr>
        </w:div>
        <w:div w:id="2093970786">
          <w:marLeft w:val="480"/>
          <w:marRight w:val="0"/>
          <w:marTop w:val="0"/>
          <w:marBottom w:val="0"/>
          <w:divBdr>
            <w:top w:val="none" w:sz="0" w:space="0" w:color="auto"/>
            <w:left w:val="none" w:sz="0" w:space="0" w:color="auto"/>
            <w:bottom w:val="none" w:sz="0" w:space="0" w:color="auto"/>
            <w:right w:val="none" w:sz="0" w:space="0" w:color="auto"/>
          </w:divBdr>
        </w:div>
        <w:div w:id="1539857992">
          <w:marLeft w:val="480"/>
          <w:marRight w:val="0"/>
          <w:marTop w:val="0"/>
          <w:marBottom w:val="0"/>
          <w:divBdr>
            <w:top w:val="none" w:sz="0" w:space="0" w:color="auto"/>
            <w:left w:val="none" w:sz="0" w:space="0" w:color="auto"/>
            <w:bottom w:val="none" w:sz="0" w:space="0" w:color="auto"/>
            <w:right w:val="none" w:sz="0" w:space="0" w:color="auto"/>
          </w:divBdr>
        </w:div>
        <w:div w:id="540820200">
          <w:marLeft w:val="480"/>
          <w:marRight w:val="0"/>
          <w:marTop w:val="0"/>
          <w:marBottom w:val="0"/>
          <w:divBdr>
            <w:top w:val="none" w:sz="0" w:space="0" w:color="auto"/>
            <w:left w:val="none" w:sz="0" w:space="0" w:color="auto"/>
            <w:bottom w:val="none" w:sz="0" w:space="0" w:color="auto"/>
            <w:right w:val="none" w:sz="0" w:space="0" w:color="auto"/>
          </w:divBdr>
        </w:div>
      </w:divsChild>
    </w:div>
    <w:div w:id="1974754701">
      <w:bodyDiv w:val="1"/>
      <w:marLeft w:val="0"/>
      <w:marRight w:val="0"/>
      <w:marTop w:val="0"/>
      <w:marBottom w:val="0"/>
      <w:divBdr>
        <w:top w:val="none" w:sz="0" w:space="0" w:color="auto"/>
        <w:left w:val="none" w:sz="0" w:space="0" w:color="auto"/>
        <w:bottom w:val="none" w:sz="0" w:space="0" w:color="auto"/>
        <w:right w:val="none" w:sz="0" w:space="0" w:color="auto"/>
      </w:divBdr>
    </w:div>
    <w:div w:id="2008702265">
      <w:bodyDiv w:val="1"/>
      <w:marLeft w:val="0"/>
      <w:marRight w:val="0"/>
      <w:marTop w:val="0"/>
      <w:marBottom w:val="0"/>
      <w:divBdr>
        <w:top w:val="none" w:sz="0" w:space="0" w:color="auto"/>
        <w:left w:val="none" w:sz="0" w:space="0" w:color="auto"/>
        <w:bottom w:val="none" w:sz="0" w:space="0" w:color="auto"/>
        <w:right w:val="none" w:sz="0" w:space="0" w:color="auto"/>
      </w:divBdr>
    </w:div>
    <w:div w:id="2008820312">
      <w:bodyDiv w:val="1"/>
      <w:marLeft w:val="0"/>
      <w:marRight w:val="0"/>
      <w:marTop w:val="0"/>
      <w:marBottom w:val="0"/>
      <w:divBdr>
        <w:top w:val="none" w:sz="0" w:space="0" w:color="auto"/>
        <w:left w:val="none" w:sz="0" w:space="0" w:color="auto"/>
        <w:bottom w:val="none" w:sz="0" w:space="0" w:color="auto"/>
        <w:right w:val="none" w:sz="0" w:space="0" w:color="auto"/>
      </w:divBdr>
    </w:div>
    <w:div w:id="2011177298">
      <w:bodyDiv w:val="1"/>
      <w:marLeft w:val="0"/>
      <w:marRight w:val="0"/>
      <w:marTop w:val="0"/>
      <w:marBottom w:val="0"/>
      <w:divBdr>
        <w:top w:val="none" w:sz="0" w:space="0" w:color="auto"/>
        <w:left w:val="none" w:sz="0" w:space="0" w:color="auto"/>
        <w:bottom w:val="none" w:sz="0" w:space="0" w:color="auto"/>
        <w:right w:val="none" w:sz="0" w:space="0" w:color="auto"/>
      </w:divBdr>
    </w:div>
    <w:div w:id="2014409390">
      <w:bodyDiv w:val="1"/>
      <w:marLeft w:val="0"/>
      <w:marRight w:val="0"/>
      <w:marTop w:val="0"/>
      <w:marBottom w:val="0"/>
      <w:divBdr>
        <w:top w:val="none" w:sz="0" w:space="0" w:color="auto"/>
        <w:left w:val="none" w:sz="0" w:space="0" w:color="auto"/>
        <w:bottom w:val="none" w:sz="0" w:space="0" w:color="auto"/>
        <w:right w:val="none" w:sz="0" w:space="0" w:color="auto"/>
      </w:divBdr>
    </w:div>
    <w:div w:id="2029597620">
      <w:bodyDiv w:val="1"/>
      <w:marLeft w:val="0"/>
      <w:marRight w:val="0"/>
      <w:marTop w:val="0"/>
      <w:marBottom w:val="0"/>
      <w:divBdr>
        <w:top w:val="none" w:sz="0" w:space="0" w:color="auto"/>
        <w:left w:val="none" w:sz="0" w:space="0" w:color="auto"/>
        <w:bottom w:val="none" w:sz="0" w:space="0" w:color="auto"/>
        <w:right w:val="none" w:sz="0" w:space="0" w:color="auto"/>
      </w:divBdr>
    </w:div>
    <w:div w:id="2097940200">
      <w:bodyDiv w:val="1"/>
      <w:marLeft w:val="0"/>
      <w:marRight w:val="0"/>
      <w:marTop w:val="0"/>
      <w:marBottom w:val="0"/>
      <w:divBdr>
        <w:top w:val="none" w:sz="0" w:space="0" w:color="auto"/>
        <w:left w:val="none" w:sz="0" w:space="0" w:color="auto"/>
        <w:bottom w:val="none" w:sz="0" w:space="0" w:color="auto"/>
        <w:right w:val="none" w:sz="0" w:space="0" w:color="auto"/>
      </w:divBdr>
      <w:divsChild>
        <w:div w:id="1339650663">
          <w:marLeft w:val="0"/>
          <w:marRight w:val="0"/>
          <w:marTop w:val="0"/>
          <w:marBottom w:val="0"/>
          <w:divBdr>
            <w:top w:val="none" w:sz="0" w:space="0" w:color="auto"/>
            <w:left w:val="none" w:sz="0" w:space="0" w:color="auto"/>
            <w:bottom w:val="none" w:sz="0" w:space="0" w:color="auto"/>
            <w:right w:val="none" w:sz="0" w:space="0" w:color="auto"/>
          </w:divBdr>
          <w:divsChild>
            <w:div w:id="1767116783">
              <w:marLeft w:val="0"/>
              <w:marRight w:val="0"/>
              <w:marTop w:val="0"/>
              <w:marBottom w:val="0"/>
              <w:divBdr>
                <w:top w:val="none" w:sz="0" w:space="0" w:color="auto"/>
                <w:left w:val="none" w:sz="0" w:space="0" w:color="auto"/>
                <w:bottom w:val="none" w:sz="0" w:space="0" w:color="auto"/>
                <w:right w:val="none" w:sz="0" w:space="0" w:color="auto"/>
              </w:divBdr>
              <w:divsChild>
                <w:div w:id="1716418674">
                  <w:marLeft w:val="0"/>
                  <w:marRight w:val="0"/>
                  <w:marTop w:val="0"/>
                  <w:marBottom w:val="0"/>
                  <w:divBdr>
                    <w:top w:val="none" w:sz="0" w:space="0" w:color="auto"/>
                    <w:left w:val="none" w:sz="0" w:space="0" w:color="auto"/>
                    <w:bottom w:val="none" w:sz="0" w:space="0" w:color="auto"/>
                    <w:right w:val="none" w:sz="0" w:space="0" w:color="auto"/>
                  </w:divBdr>
                  <w:divsChild>
                    <w:div w:id="1617248944">
                      <w:marLeft w:val="0"/>
                      <w:marRight w:val="0"/>
                      <w:marTop w:val="0"/>
                      <w:marBottom w:val="0"/>
                      <w:divBdr>
                        <w:top w:val="none" w:sz="0" w:space="0" w:color="auto"/>
                        <w:left w:val="none" w:sz="0" w:space="0" w:color="auto"/>
                        <w:bottom w:val="none" w:sz="0" w:space="0" w:color="auto"/>
                        <w:right w:val="none" w:sz="0" w:space="0" w:color="auto"/>
                      </w:divBdr>
                      <w:divsChild>
                        <w:div w:id="1012607478">
                          <w:marLeft w:val="0"/>
                          <w:marRight w:val="0"/>
                          <w:marTop w:val="0"/>
                          <w:marBottom w:val="0"/>
                          <w:divBdr>
                            <w:top w:val="none" w:sz="0" w:space="0" w:color="auto"/>
                            <w:left w:val="none" w:sz="0" w:space="0" w:color="auto"/>
                            <w:bottom w:val="none" w:sz="0" w:space="0" w:color="auto"/>
                            <w:right w:val="none" w:sz="0" w:space="0" w:color="auto"/>
                          </w:divBdr>
                          <w:divsChild>
                            <w:div w:id="378826808">
                              <w:marLeft w:val="0"/>
                              <w:marRight w:val="0"/>
                              <w:marTop w:val="0"/>
                              <w:marBottom w:val="0"/>
                              <w:divBdr>
                                <w:top w:val="none" w:sz="0" w:space="0" w:color="auto"/>
                                <w:left w:val="none" w:sz="0" w:space="0" w:color="auto"/>
                                <w:bottom w:val="none" w:sz="0" w:space="0" w:color="auto"/>
                                <w:right w:val="none" w:sz="0" w:space="0" w:color="auto"/>
                              </w:divBdr>
                              <w:divsChild>
                                <w:div w:id="2051106727">
                                  <w:marLeft w:val="0"/>
                                  <w:marRight w:val="0"/>
                                  <w:marTop w:val="0"/>
                                  <w:marBottom w:val="0"/>
                                  <w:divBdr>
                                    <w:top w:val="none" w:sz="0" w:space="0" w:color="auto"/>
                                    <w:left w:val="none" w:sz="0" w:space="0" w:color="auto"/>
                                    <w:bottom w:val="none" w:sz="0" w:space="0" w:color="auto"/>
                                    <w:right w:val="none" w:sz="0" w:space="0" w:color="auto"/>
                                  </w:divBdr>
                                  <w:divsChild>
                                    <w:div w:id="1959145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marzio.invernizzi@polimi.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28C128A4-EC03-4200-A260-315291DCC1BB}"/>
      </w:docPartPr>
      <w:docPartBody>
        <w:p w:rsidR="00AC57C6" w:rsidRDefault="008C1AA2">
          <w:r w:rsidRPr="0091626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AA2"/>
    <w:rsid w:val="000B7319"/>
    <w:rsid w:val="00313FBF"/>
    <w:rsid w:val="00387AE1"/>
    <w:rsid w:val="004B2177"/>
    <w:rsid w:val="0054192B"/>
    <w:rsid w:val="005C3782"/>
    <w:rsid w:val="00837537"/>
    <w:rsid w:val="008577F1"/>
    <w:rsid w:val="008C1AA2"/>
    <w:rsid w:val="00AC57C6"/>
    <w:rsid w:val="00BA7510"/>
    <w:rsid w:val="00C65F9A"/>
    <w:rsid w:val="00D54F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C1A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71149C-3FBD-4ED2-BB15-6CE0AD35F8F8}">
  <we:reference id="f78a3046-9e99-4300-aa2b-5814002b01a2" version="1.55.1.0" store="EXCatalog" storeType="EXCatalog"/>
  <we:alternateReferences>
    <we:reference id="WA104382081" version="1.55.1.0" store="it-IT" storeType="OMEX"/>
  </we:alternateReferences>
  <we:properties>
    <we:property name="MENDELEY_BIBLIOGRAPHY_IS_DIRTY" value="true"/>
    <we:property name="MENDELEY_BIBLIOGRAPHY_LAST_MODIFIED" value="1776873377471"/>
    <we:property name="MENDELEY_CITATIONS" value="[{&quot;citationID&quot;:&quot;MENDELEY_CITATION_a16e9ad8-461a-492e-95a8-eb727c820060&quot;,&quot;properties&quot;:{&quot;noteIndex&quot;:0},&quot;isEdited&quot;:false,&quot;manualOverride&quot;:{&quot;isManuallyOverridden&quot;:true,&quot;citeprocText&quot;:&quot;(Mckittrick et al., 2025; Üstün &amp;#38; Özkal, 2025)&quot;,&quot;manualOverrideText&quot;:&quot;(Mckittrick et al., 2025; Üstün and Özkal, 2025)&quot;},&quot;citationTag&quot;:&quot;MENDELEY_CITATION_v3_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&quot;,&quot;citationItems&quot;:[{&quot;id&quot;:&quot;91f35796-c519-39b0-a706-6398a8be4947&quot;,&quot;itemData&quot;:{&quot;type&quot;:&quot;article-journal&quot;,&quot;id&quot;:&quot;91f35796-c519-39b0-a706-6398a8be4947&quot;,&quot;title&quot;:&quot;Predicting odor nuisance levels using meteorological data and citizen complaints records: A machine learning approach&quot;,&quot;author&quot;:[{&quot;family&quot;:&quot;Üstün&quot;,&quot;given&quot;:&quot;Meltem Apaydın&quot;,&quot;parse-names&quot;:false,&quot;dropping-particle&quot;:&quot;&quot;,&quot;non-dropping-particle&quot;:&quot;&quot;},{&quot;family&quot;:&quot;Özkal&quot;,&quot;given&quot;:&quot;Can Burak&quot;,&quot;parse-names&quot;:false,&quot;dropping-particle&quot;:&quot;&quot;,&quot;non-dropping-particle&quot;:&quot;&quot;}],&quot;container-title&quot;:&quot;Atmospheric Pollution Research&quot;,&quot;container-title-short&quot;:&quot;Atmos. Pollut. Res.&quot;,&quot;DOI&quot;:&quot;10.1016/j.apr.2025.102809&quot;,&quot;ISSN&quot;:&quot;13091042&quot;,&quot;issued&quot;:{&quot;date-parts&quot;:[[2025,3,1]]},&quot;abstract&quot;:&quot;Understanding and predicting odor nuisance in industrial areas is vital for public health and quality of life. In Çorlu, an industrial city with unique topography, we analyzed citizen-reported odor complaints collected via the Geographic Information System-integrated mobile application Çorlu KODER (October 2020–August 2022). Using machine learning models incorporating meteorological factors like mixed-layer height, temperature, pressure, and humidity, along with seasonal and diurnal variations, we addressed significant class imbalance in the dataset. Ensemble methods such as Random Forest and Adaptive Boosting combined with synthetic minority oversampling and edited nearest neighbors achieved macro-averaged mean absolute error scores of 0.232 and 0.276. Our findings demonstrate the potential of machine learning for proactive odor prediction, aiding urban management in improving air quality and community well-being.&quot;,&quot;publisher&quot;:&quot;Elsevier B.V.&quot;},&quot;isTemporary&quot;:false},{&quot;id&quot;:&quot;85dfccfa-2547-3318-87d0-10e1264fac82&quot;,&quot;itemData&quot;:{&quot;type&quot;:&quot;article-journal&quot;,&quot;id&quot;:&quot;85dfccfa-2547-3318-87d0-10e1264fac82&quot;,&quot;title&quot;:&quot;Industrial Odour and Psychosocial Wellbeing: A Systematic Review&quot;,&quot;author&quot;:[{&quot;family&quot;:&quot;Mckittrick&quot;,&quot;given&quot;:&quot;Joselin&quot;,&quot;parse-names&quot;:false,&quot;dropping-particle&quot;:&quot;&quot;,&quot;non-dropping-particle&quot;:&quot;&quot;},{&quot;family&quot;:&quot;Hadgraft&quot;,&quot;given&quot;:&quot;Nyssa&quot;,&quot;parse-names&quot;:false,&quot;dropping-particle&quot;:&quot;&quot;,&quot;non-dropping-particle&quot;:&quot;&quot;},{&quot;family&quot;:&quot;Fry&quot;,&quot;given&quot;:&quot;Kara L.&quot;,&quot;parse-names&quot;:false,&quot;dropping-particle&quot;:&quot;&quot;,&quot;non-dropping-particle&quot;:&quot;&quot;},{&quot;family&quot;:&quot;Mikkonen&quot;,&quot;given&quot;:&quot;Antti T.&quot;,&quot;parse-names&quot;:false,&quot;dropping-particle&quot;:&quot;&quot;,&quot;non-dropping-particle&quot;:&quot;&quot;},{&quot;family&quot;:&quot;Mavoa&quot;,&quot;given&quot;:&quot;Suzanne&quot;,&quot;parse-names&quot;:false,&quot;dropping-particle&quot;:&quot;&quot;,&quot;non-dropping-particle&quot;:&quot;&quot;}],&quot;container-title&quot;:&quot;Environments&quot;,&quot;container-title-short&quot;:&quot;Environments&quot;,&quot;DOI&quot;:&quot;10.3390/environments12100364&quot;,&quot;ISSN&quot;:&quot;2076-3298&quot;,&quot;URL&quot;:&quot;https://www.mdpi.com/2076-3298/12/10/364&quot;,&quot;issued&quot;:{&quot;date-parts&quot;:[[2025,10,7]]},&quot;page&quot;:&quot;364&quot;,&quot;abstract&quot;:&quot;&lt;p&gt;Industrial odour is a common pollution concern raised with local regulatory authorities, with communities citing impacts to their mental health and wellbeing. We performed a systematic review to determine if industrial odours are associated with psychosocial wellbeing in nearby communities. PubMed, Medline, PsycINFO, and Web of Science were searched for peer-reviewed articles published between 2003 and 2023, assessing associations between industrial odour and psychosocial wellbeing (mental health or quality of life). Critical appraisal of the studies was conducted using JBI’s assessment tools. We undertook a narrative synthesis of results. After screening, 13 articles met the inclusion criteria: 11 cross-sectional and 2 longitudinal studies. Sample sizes ranged from 23 to 25,236 participants. Odour exposure was assessed through self-reported measures (intensity, annoyance) and objective measures (proximity to source, odorous chemical concentration). Psychosocial health outcomes included stress, psychological distress, quality of life, depression and anxiety. Of the 13 studies, 11 identified an association between odour exposure and poorer psychosocial wellbeing, with the strongest evidence relating to quality of life. However, the critical appraisal identified quality issues with most studies. The findings suggest that industrial odours may be associated with poorer psychosocial wellbeing for nearby residents, particularly in terms of quality of life. Future research using consistent objective and subjective measures of odour exposure, and prospective data collection, would strengthen the quality of the evidence.&lt;/p&gt;&quot;,&quot;issue&quot;:&quot;10&quot;,&quot;volume&quot;:&quot;12&quot;},&quot;isTemporary&quot;:false}]},{&quot;citationID&quot;:&quot;MENDELEY_CITATION_5e4aaadf-0ed5-4f3e-a636-0e5cfef7f866&quot;,&quot;properties&quot;:{&quot;noteIndex&quot;:0},&quot;isEdited&quot;:false,&quot;manualOverride&quot;:{&quot;isManuallyOverridden&quot;:false,&quot;citeprocText&quot;:&quot;(Polvara et al., 2025)&quot;,&quot;manualOverrideText&quot;:&quot;&quot;},&quot;citationTag&quot;:&quot;MENDELEY_CITATION_v3_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&quot;,&quot;citationItems&quot;:[{&quot;id&quot;:&quot;bfbf0a7d-9502-3f46-8e67-bb7b7d6c523a&quot;,&quot;itemData&quot;:{&quot;type&quot;:&quot;article-journal&quot;,&quot;id&quot;:&quot;bfbf0a7d-9502-3f46-8e67-bb7b7d6c523a&quot;,&quot;title&quot;:&quot;Olfactometric and Chemical Characterisation of Gaseous Emission from Crude Oils&quot;,&quot;author&quot;:[{&quot;family&quot;:&quot;Polvara&quot;,&quot;given&quot;:&quot;Elisa&quot;,&quot;parse-names&quot;:false,&quot;dropping-particle&quot;:&quot;&quot;,&quot;non-dropping-particle&quot;:&quot;&quot;},{&quot;family&quot;:&quot;Legnani&quot;,&quot;given&quot;:&quot;Vittoria&quot;,&quot;parse-names&quot;:false,&quot;dropping-particle&quot;:&quot;&quot;,&quot;non-dropping-particle&quot;:&quot;&quot;},{&quot;family&quot;:&quot;Invernizzi&quot;,&quot;given&quot;:&quot;Marzio&quot;,&quot;parse-names&quot;:false,&quot;dropping-particle&quot;:&quot;&quot;,&quot;non-dropping-particle&quot;:&quot;&quot;},{&quot;family&quot;:&quot;Sironi&quot;,&quot;given&quot;:&quot;Selena&quot;,&quot;parse-names&quot;:false,&quot;dropping-particle&quot;:&quot;&quot;,&quot;non-dropping-particle&quot;:&quot;&quot;}],&quot;container-title&quot;:&quot;Molecules&quot;,&quot;DOI&quot;:&quot;10.3390/molecules30051136&quot;,&quot;ISSN&quot;:&quot;14203049&quot;,&quot;PMID&quot;:&quot;40076359&quot;,&quot;issued&quot;:{&quot;date-parts&quot;:[[2025,3,1]]},&quot;abstract&quot;:&quot;This study focuses on the olfactometric and chemical characterisation of gaseous and vapour emissions from different crude oils. To investigate this topic, laboratory experiments were set up to obtain comparable gaseous samples: they were estimated in terms of odour concentration (Cod), via dynamic olfactometry, and chemical-specific characterisation. It was found that, even if considered similar in regard to physical properties and chemical composition, the gaseous emissions of different crude oils are significantly different in terms of odorous potential. The observed discrepancy appears to be associated with the presence of volatile organic sulphur compounds (VOSCs), and the highest values of Cod were found in samples containing mercaptans and sulphides. In addition, from the conducted comparison, it appeared that crude odorous potential, in terms of Cod, is not strictly linked to the quantity of the volatile organic compounds (VOCs), H2S concentration, or a priori knowledge of the percentage of elemental sulphur in the crude; on the contrary, the presence of volatile organic sulphur compounds in the gaseous emissions is the most influential parameter for the odour potential of this matrix.&quot;,&quot;publisher&quot;:&quot;Multidisciplinary Digital Publishing Institute (MDPI)&quot;,&quot;issue&quot;:&quot;5&quot;,&quot;volume&quot;:&quot;30&quot;,&quot;container-title-short&quot;:&quot;&quot;},&quot;isTemporary&quot;:false}]},{&quot;citationID&quot;:&quot;MENDELEY_CITATION_004b8091-abf3-41cc-a922-ca14ca8e9092&quot;,&quot;properties&quot;:{&quot;noteIndex&quot;:0},&quot;isEdited&quot;:false,&quot;manualOverride&quot;:{&quot;isManuallyOverridden&quot;:true,&quot;citeprocText&quot;:&quot;(Invernizzi &amp;#38; Sironi, 2021)&quot;,&quot;manualOverrideText&quot;:&quot;(Invernizzi  Sironi, 2021)&quot;},&quot;citationTag&quot;:&quot;MENDELEY_CITATION_v3_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&quot;,&quot;citationItems&quot;:[{&quot;id&quot;:&quot;1b5fbf98-9e1f-34ce-b6a8-f3d14dc4dc1c&quot;,&quot;itemData&quot;:{&quot;type&quot;:&quot;article-journal&quot;,&quot;id&quot;:&quot;1b5fbf98-9e1f-34ce-b6a8-f3d14dc4dc1c&quot;,&quot;title&quot;:&quot;Odour emission rate estimation methods for hydrocarbon storage tanks&quot;,&quot;author&quot;:[{&quot;family&quot;:&quot;Invernizzi&quot;,&quot;given&quot;:&quot;Marzio&quot;,&quot;parse-names&quot;:false,&quot;dropping-particle&quot;:&quot;&quot;,&quot;non-dropping-particle&quot;:&quot;&quot;},{&quot;family&quot;:&quot;Sironi&quot;,&quot;given&quot;:&quot;Selena&quot;,&quot;parse-names&quot;:false,&quot;dropping-particle&quot;:&quot;&quot;,&quot;non-dropping-particle&quot;:&quot;&quot;}],&quot;container-title&quot;:&quot;Chemical Engineering Transactions&quot;,&quot;container-title-short&quot;:&quot;Chem. Eng. Trans.&quot;,&quot;DOI&quot;:&quot;10.3303/CET2185012&quot;,&quot;ISBN&quot;:&quot;9788895608839&quot;,&quot;ISSN&quot;:&quot;22839216&quot;,&quot;issued&quot;:{&quot;date-parts&quot;:[[2021]]},&quot;page&quot;:&quot;67-72&quot;,&quot;abstract&quot;:&quot;At the time to renew the Integrated Environmental Permit of oil refineries, Italian environmental institutions are now a days requiring a detailed Odour Monitoring Program, based on the use of dynamic olfactometry and atmospheric dispersion modelling. Oil refineries are complex plants and many of the VOC emission are diffuse. Despite the difficulties of describing these emission phenomena, a characterization of these emissions is needed. The paper describes the state-of-the-art methodologies for the emissions from hydrocarbon tanks, and provides an overview of possible measures and methods useful to implement an accurate odour impact assessment from refineries tank farms.&quot;,&quot;issue&quot;:&quot;April&quot;,&quot;volume&quot;:&quot;85&quot;},&quot;isTemporary&quot;:false}]},{&quot;citationID&quot;:&quot;MENDELEY_CITATION_b2cf5eda-9fc8-4eb0-9183-989f94637592&quot;,&quot;properties&quot;:{&quot;noteIndex&quot;:0},&quot;isEdited&quot;:false,&quot;manualOverride&quot;:{&quot;isManuallyOverridden&quot;:false,&quot;citeprocText&quot;:&quot;(Carrera et al., 2025)&quot;,&quot;manualOverrideText&quot;:&quot;&quot;},&quot;citationTag&quot;:&quot;MENDELEY_CITATION_v3_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&quot;,&quot;citationItems&quot;:[{&quot;id&quot;:&quot;1f401349-6e78-39c6-a027-b3a104c9a07a&quot;,&quot;itemData&quot;:{&quot;type&quot;:&quot;article-journal&quot;,&quot;id&quot;:&quot;1f401349-6e78-39c6-a027-b3a104c9a07a&quot;,&quot;title&quot;:&quot;A comparative study of wind tunnel and flux chamber for diffuse emission sampling: Experimental evaluation and theoretical approach&quot;,&quot;author&quot;:[{&quot;family&quot;:&quot;Carrera&quot;,&quot;given&quot;:&quot;Luca&quot;,&quot;parse-names&quot;:false,&quot;dropping-particle&quot;:&quot;&quot;,&quot;non-dropping-particle&quot;:&quot;&quot;},{&quot;family&quot;:&quot;Tagliaferri&quot;,&quot;given&quot;:&quot;Francesca&quot;,&quot;parse-names&quot;:false,&quot;dropping-particle&quot;:&quot;&quot;,&quot;non-dropping-particle&quot;:&quot;&quot;},{&quot;family&quot;:&quot;Albertini&quot;,&quot;given&quot;:&quot;Anna&quot;,&quot;parse-names&quot;:false,&quot;dropping-particle&quot;:&quot;&quot;,&quot;non-dropping-particle&quot;:&quot;&quot;},{&quot;family&quot;:&quot;Sironi&quot;,&quot;given&quot;:&quot;Selena&quot;,&quot;parse-names&quot;:false,&quot;dropping-particle&quot;:&quot;&quot;,&quot;non-dropping-particle&quot;:&quot;&quot;},{&quot;family&quot;:&quot;Invernizzi&quot;,&quot;given&quot;:&quot;Marzio&quot;,&quot;parse-names&quot;:false,&quot;dropping-particle&quot;:&quot;&quot;,&quot;non-dropping-particle&quot;:&quot;&quot;}],&quot;container-title&quot;:&quot;Chemosphere&quot;,&quot;container-title-short&quot;:&quot;Chemosphere&quot;,&quot;DOI&quot;:&quot;10.1016/j.chemosphere.2025.144242&quot;,&quot;ISSN&quot;:&quot;18791298&quot;,&quot;PMID&quot;:&quot;40010053&quot;,&quot;issued&quot;:{&quot;date-parts&quot;:[[2025,4,1]]},&quot;abstract&quot;:&quot;One of the most complex challenges in the field of industrial odour emissions is the characterization of passive area sources, which emit contaminants even if not endowed with their own gas flow. Two primary sampling devices have been developed for this scope: Wind Tunnel (WT), with a unidirectional airflow without vertical mixing, and Flux Chamber (FC), with a turbulent well-mixed flow. Essentially, two are the debated issues about the sampling instrumentation. The first concerns which device is more suitable for accurately describing the real fluid dynamic behaviour at the liquid-gas interface. The second issue involves the extent to which the emission rates, estimated by the two sampling systems, differ. This study addresses these debates providing experimental data on the real atmospheric motion near liquid surfaces, aiding the choice between WT and FC. Field tests reveal that atmospheric conditions can make the fluid dynamics similar to either WT or FC, with the general scenario showing an intermediate wind behavior. Thus, it is not possible to a priori determine the most suitable device. Concerning the second issue, this research presents an experimental comparison of VOCs (Volatile Organic Compounds) emission rates between a recently developed WT and a US-EPA design FC. These trials indicate that for soluble compounds, WT and FC yield comparable results. However, for gas-phase controlled species (low-solubility VOCs), WT tends to overestimate emissions compared to FC, with the ratio of specific emission rates ranging from 2 to 4.5. The developed theoretical mass transfer model aligns well with observed values, except for toluene due to its non-ideal mixture with water.&quot;,&quot;publisher&quot;:&quot;Elsevier Ltd&quot;,&quot;volume&quot;:&quot;375&quot;},&quot;isTemporary&quot;:false}]},{&quot;citationID&quot;:&quot;MENDELEY_CITATION_27f5e113-4088-4040-bf24-84fb67f6202a&quot;,&quot;properties&quot;:{&quot;noteIndex&quot;:0},&quot;isEdited&quot;:false,&quot;manualOverride&quot;:{&quot;isManuallyOverridden&quot;:false,&quot;citeprocText&quot;:&quot;(Invernizzi et al., 2025; Tagliaferri et al., 2023)&quot;,&quot;manualOverrideText&quot;:&quot;&quot;},&quot;citationTag&quot;:&quot;MENDELEY_CITATION_v3_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&quot;,&quot;citationItems&quot;:[{&quot;id&quot;:&quot;98a4b214-d5cc-3ba5-b1d9-94119ef04e63&quot;,&quot;itemData&quot;:{&quot;type&quot;:&quot;article-journal&quot;,&quot;id&quot;:&quot;98a4b214-d5cc-3ba5-b1d9-94119ef04e63&quot;,&quot;title&quot;:&quot;Validation study of WindTrax reverse dispersion model coupled with a sensitivity analysis of model-specific settings&quot;,&quot;author&quot;:[{&quot;family&quot;:&quot;Tagliaferri&quot;,&quot;given&quot;:&quot;Francesca&quot;,&quot;parse-names&quot;:false,&quot;dropping-particle&quot;:&quot;&quot;,&quot;non-dropping-particle&quot;:&quot;&quot;},{&quot;family&quot;:&quot;Invernizzi&quot;,&quot;given&quot;:&quot;Marzio&quot;,&quot;parse-names&quot;:false,&quot;dropping-particle&quot;:&quot;&quot;,&quot;non-dropping-particle&quot;:&quot;&quot;},{&quot;family&quot;:&quot;Capra&quot;,&quot;given&quot;:&quot;Federica&quot;,&quot;parse-names&quot;:false,&quot;dropping-particle&quot;:&quot;&quot;,&quot;non-dropping-particle&quot;:&quot;&quot;},{&quot;family&quot;:&quot;Sironi&quot;,&quot;given&quot;:&quot;Selena&quot;,&quot;parse-names&quot;:false,&quot;dropping-particle&quot;:&quot;&quot;,&quot;non-dropping-particle&quot;:&quot;&quot;}],&quot;container-title&quot;:&quot;Environmental Research&quot;,&quot;container-title-short&quot;:&quot;Environ. Res.&quot;,&quot;DOI&quot;:&quot;10.1016/j.envres.2023.115401&quot;,&quot;ISSN&quot;:&quot;10960953&quot;,&quot;PMID&quot;:&quot;36731598&quot;,&quot;issued&quot;:{&quot;date-parts&quot;:[[2023,4,1]]},&quot;abstract&quot;:&quot;In last years, atmospheric dispersion models have reached considerable popularity in environmental research field. In this regard, given the difficulties associated to the estimation of emission rate for some kind of sources, and due to the importance of this parameter for the reliability of the results, Backward dispersion models may represent promising tools. In particular, by knowing a measured downwind concentration in ambient air, they provide a numerical value for the emission rate. This paper discusses a critical validation of the WindTrax Backward model: the investigation does not only deal with the strict reliability of the model but also assesses under which conditions (i.e. stability class, number, and location of the sensors) the model shows the greatest accuracy. For this purpose, WindTrax results have been compared to observed values obtained from available experimental datasets. In addition, a sensitivity study regarding model-specific parameters required by WindTrax to replicate the physics and the random nature of atmospheric dispersion processes is discussed. This is a crucial point, since, for these settings, indications on the numerical values to be adopted are not available. From this study, it turns out that the investigated model specific settings do not lead to a significant output variation. Concerning the validation study, a general tendency of the model to predict the observed values with a good level of accuracy has been observed, especially under neutral atmospheric conditions. In addition, it seems that WindTrax underestimates the emission rate during unstable stratification and overestimates during stable conditions. Finally, by the definition of alternative scenarios, in which only a portion of the concentration sensors was considered, WindTrax performance appears better than acceptable even with a small number of concentration sensors, as long as the positioning is in the middle of the plume and not in the strict vicinity of the source.&quot;,&quot;publisher&quot;:&quot;Academic Press Inc.&quot;,&quot;volume&quot;:&quot;222&quot;},&quot;isTemporary&quot;:false},{&quot;id&quot;:&quot;79b63306-0350-3ef6-bd9d-73728232dc6f&quot;,&quot;itemData&quot;:{&quot;type&quot;:&quot;article-journal&quot;,&quot;id&quot;:&quot;79b63306-0350-3ef6-bd9d-73728232dc6f&quot;,&quot;title&quot;:&quot;Quantitative estimation of odorous emissions from heterogeneous area sources via thermal imaging drone&quot;,&quot;author&quot;:[{&quot;family&quot;:&quot;Invernizzi&quot;,&quot;given&quot;:&quot;Marzio&quot;,&quot;parse-names&quot;:false,&quot;dropping-particle&quot;:&quot;&quot;,&quot;non-dropping-particle&quot;:&quot;&quot;},{&quot;family&quot;:&quot;Tagliaferri&quot;,&quot;given&quot;:&quot;Francesca&quot;,&quot;parse-names&quot;:false,&quot;dropping-particle&quot;:&quot;&quot;,&quot;non-dropping-particle&quot;:&quot;&quot;},{&quot;family&quot;:&quot;Manganelli&quot;,&quot;given&quot;:&quot;Carlo&quot;,&quot;parse-names&quot;:false,&quot;dropping-particle&quot;:&quot;&quot;,&quot;non-dropping-particle&quot;:&quot;&quot;},{&quot;family&quot;:&quot;Sironi&quot;,&quot;given&quot;:&quot;Selena&quot;,&quot;parse-names&quot;:false,&quot;dropping-particle&quot;:&quot;&quot;,&quot;non-dropping-particle&quot;:&quot;&quot;}],&quot;container-title&quot;:&quot;Science of the Total Environment&quot;,&quot;DOI&quot;:&quot;10.1016/j.scitotenv.2025.180415&quot;,&quot;ISSN&quot;:&quot;18791026&quot;,&quot;issued&quot;:{&quot;date-parts&quot;:[[2025,10,20]]},&quot;abstract&quot;:&quot;The outdoor storage of wood chips, used in biomass thermal power plants, may lead to different diffuse gaseous emissions. These emissions can contain different molecules, often with a non-negligible odour potential. Despite this need, these solid area sources are particularly complex to be characterised, due to their very high heterogeneity determined by a complex phenomenon of self-heating. Previous studies have reported the correlation between specific odorous emission potential and surface temperature, detected via thermal camera. The present study aims to propose and explore the use of a thermal camera drone to obtain an entire thermal map for lignocellulosic storage and correlate the obtained data with specific emission rates. The field direct sampling, conducted via flux chamber, has confirmed a link between surface temperature and odorous emission for this kind of source. Moreover, the thermograms have made possible a short-cut quantitative estimation of an overall emission rate, crucial for the calculation of odour impact assessment at the receptors.&quot;,&quot;publisher&quot;:&quot;Elsevier B.V.&quot;,&quot;volume&quot;:&quot;1000&quot;,&quot;container-title-short&quot;:&quot;&quot;},&quot;isTemporary&quot;:false}]},{&quot;citationID&quot;:&quot;MENDELEY_CITATION_948404d2-030b-48ea-86b2-c589ad9bbc56&quot;,&quot;properties&quot;:{&quot;noteIndex&quot;:0},&quot;isEdited&quot;:false,&quot;manualOverride&quot;:{&quot;isManuallyOverridden&quot;:false,&quot;citeprocText&quot;:&quot;(U.S. EPA, 2024)&quot;,&quot;manualOverrideText&quot;:&quot;&quot;},&quot;citationTag&quot;:&quot;MENDELEY_CITATION_v3_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&quot;,&quot;citationItems&quot;:[{&quot;id&quot;:&quot;b4230444-6365-3dec-9adc-bf7077c6565c&quot;,&quot;itemData&quot;:{&quot;type&quot;:&quot;book&quot;,&quot;id&quot;:&quot;b4230444-6365-3dec-9adc-bf7077c6565c&quot;,&quot;title&quot;:&quot;AP-42: Compilation of Air Emissions Factors. https://www.epa.gov/air-emissions-factors-and-quantification&quot;,&quot;author&quot;:[{&quot;family&quot;:&quot;U.S. EPA&quot;,&quot;given&quot;:&quot;&quot;,&quot;parse-names&quot;:false,&quot;dropping-particle&quot;:&quot;&quot;,&quot;non-dropping-particle&quot;:&quot;&quot;}],&quot;issued&quot;:{&quot;date-parts&quot;:[[2024]]},&quot;edition&quot;:&quot;Fifth&quot;,&quot;container-title-short&quot;:&quot;&quot;},&quot;isTemporary&quot;:false}]},{&quot;citationID&quot;:&quot;MENDELEY_CITATION_392c807e-3cbe-4fd5-a7de-9691c925b238&quot;,&quot;properties&quot;:{&quot;noteIndex&quot;:0},&quot;isEdited&quot;:false,&quot;manualOverride&quot;:{&quot;isManuallyOverridden&quot;:false,&quot;citeprocText&quot;:&quot;(Tagliaferri et al., 2026)&quot;,&quot;manualOverrideText&quot;:&quot;&quot;},&quot;citationTag&quot;:&quot;MENDELEY_CITATION_v3_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&quot;,&quot;citationItems&quot;:[{&quot;id&quot;:&quot;7e0515f8-e10b-32fe-8485-d6ad884a5838&quot;,&quot;itemData&quot;:{&quot;type&quot;:&quot;article-journal&quot;,&quot;id&quot;:&quot;7e0515f8-e10b-32fe-8485-d6ad884a5838&quot;,&quot;title&quot;:&quot;Assessing VOC Dispersion from Hydrocarbon Storage Tanks: A Case Study on Emission Temporal Resolution&quot;,&quot;author&quot;:[{&quot;family&quot;:&quot;Tagliaferri&quot;,&quot;given&quot;:&quot;Francesca&quot;,&quot;parse-names&quot;:false,&quot;dropping-particle&quot;:&quot;&quot;,&quot;non-dropping-particle&quot;:&quot;&quot;},{&quot;family&quot;:&quot;Sironi&quot;,&quot;given&quot;:&quot;Selena&quot;,&quot;parse-names&quot;:false,&quot;dropping-particle&quot;:&quot;&quot;,&quot;non-dropping-particle&quot;:&quot;&quot;},{&quot;family&quot;:&quot;Invernizzi&quot;,&quot;given&quot;:&quot;Marzio&quot;,&quot;parse-names&quot;:false,&quot;dropping-particle&quot;:&quot;&quot;,&quot;non-dropping-particle&quot;:&quot;&quot;}],&quot;container-title&quot;:&quot;Applied Sciences&quot;,&quot;DOI&quot;:&quot;10.3390/app16041851&quot;,&quot;ISSN&quot;:&quot;2076-3417&quot;,&quot;URL&quot;:&quot;https://www.mdpi.com/2076-3417/16/4/1851&quot;,&quot;issued&quot;:{&quot;date-parts&quot;:[[2026,2,12]]},&quot;page&quot;:&quot;1851&quot;,&quot;abstract&quot;:&quot;&lt;p&gt;Volatile Organic Compound emissions from hydrocarbon storage tanks are a key source of industrial air pollution and odour nuisance. This study evaluates odour impact predictions using annual average emissions versus time-resolved emissions from fixed roof tanks and external floating roof tanks that store different hydrocarbon products, including crude oil and refined products such as gasoline, diesel, kerosene, fuel oil, and bitumen. Odour emission rates are derived from field measurements and laboratory data and implemented in CALPUFF dispersion modelling. The results show that for fixed roof tanks, time-resolved emissions predict odour separation distances up to four times greater than annual averages, with central domain differences reaching 300% and boundary variations between 50–100%. In contrast, floating roof tanks show minimal variation (&amp;lt;10%) between the two methods. These findings highlight that odour perception is driven by short-term peaks rather than long-term averages and that using annualized emissions may significantly underpredict odour impacts, especially for fixed roof tanks. Accurate temporal characterization is thus essential for realistic odour assessments and effective regulatory compliance.&lt;/p&gt;&quot;,&quot;issue&quot;:&quot;4&quot;,&quot;volume&quot;:&quot;16&quot;,&quot;container-title-short&quot;:&quot;&quot;},&quot;isTemporary&quot;:false}]},{&quot;citationID&quot;:&quot;MENDELEY_CITATION_13b5c1b5-5b0c-45d7-8696-d7dfd1abe809&quot;,&quot;properties&quot;:{&quot;noteIndex&quot;:0},&quot;isEdited&quot;:false,&quot;manualOverride&quot;:{&quot;isManuallyOverridden&quot;:false,&quot;citeprocText&quot;:&quot;(Scire et al., 2000; Tagliaferri et al., 2025)&quot;,&quot;manualOverrideText&quot;:&quot;&quot;},&quot;citationTag&quot;:&quot;MENDELEY_CITATION_v3_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&quot;,&quot;citationItems&quot;:[{&quot;id&quot;:&quot;3590f17c-5f09-3290-affe-2d6b34a42e69&quot;,&quot;itemData&quot;:{&quot;type&quot;:&quot;article-journal&quot;,&quot;id&quot;:&quot;3590f17c-5f09-3290-affe-2d6b34a42e69&quot;,&quot;title&quot;:&quot;A User's Guide for the CALPUFF Dispersion Model&quot;,&quot;author&quot;:[{&quot;family&quot;:&quot;Scire&quot;,&quot;given&quot;:&quot;Joseph S&quot;,&quot;parse-names&quot;:false,&quot;dropping-particle&quot;:&quot;&quot;,&quot;non-dropping-particle&quot;:&quot;&quot;},{&quot;family&quot;:&quot;Strimaitis&quot;,&quot;given&quot;:&quot;David G&quot;,&quot;parse-names&quot;:false,&quot;dropping-particle&quot;:&quot;&quot;,&quot;non-dropping-particle&quot;:&quot;&quot;},{&quot;family&quot;:&quot;Yamartino&quot;,&quot;given&quot;:&quot;Robert J&quot;,&quot;parse-names&quot;:false,&quot;dropping-particle&quot;:&quot;&quot;,&quot;non-dropping-particle&quot;:&quot;&quot;}],&quot;container-title&quot;:&quot;Earth Tech. Inc&quot;,&quot;ISSN&quot;:&quot;03659615&quot;,&quot;URL&quot;:&quot;http://www.src.com/calpuff/download/CALPUFF_UsersGuide.pdf&quot;,&quot;issued&quot;:{&quot;date-parts&quot;:[[2000]]},&quot;page&quot;:&quot;521&quot;,&quot;abstract&quot;:&quot;The CALPUFF Modeling System includes three main components: CALMET, CALPUFF, and CALPOST and a large set of preprocessing programs designed to interface the model to standard, routinely-available meteorological and geophysical datasets. In the simplest terms, CALMET is a meteorological model that develops hourly wind and temperature fields on a three-dimensional gridded modeling domain. Associated two-dimensional fields such as mixing height, surface characteristics, and dispersion properties are also included in the file produced by CALMET. CALPUFF is a transport and dispersion model that advects “puffs” of material emitted from modeled sources, simulating dispersion and transformation processes along the way. In doing so it typically uses the fields generated by CALMET, or as an option, it may use simpler non-gridded meteorological data much like existing plume models. Temporal and spatial variations in the meteorological fields selected are explicitly incorporated in the resulting distribution of puffs throughout a simulation period. The primary output files from CALPUFF contain either hourly concentrations or hourly deposition fluxes evaluated at selected receptor locations. CALPOST is used to process these files, producing tabulations that summarize the results of the simulation, identifying the highest and second highest 3-hour average concentrations at each receptor, for example. When performing visibility-related modeling, CALPOST uses concentrations from CALPUFF to compute extinction coefficients and related measures of visibility, reporting these for selected averaging times and locations.&quot;,&quot;issue&quot;:&quot;January&quot;,&quot;container-title-short&quot;:&quot;&quot;},&quot;isTemporary&quot;:false},{&quot;id&quot;:&quot;7ca39859-1920-3faf-93aa-ff1743147f76&quot;,&quot;itemData&quot;:{&quot;type&quot;:&quot;article-journal&quot;,&quot;id&quot;:&quot;7ca39859-1920-3faf-93aa-ff1743147f76&quot;,&quot;title&quot;:&quot;Area source emissions: a validation study of CALPUFF and LAPMOD models&quot;,&quot;author&quot;:[{&quot;family&quot;:&quot;Tagliaferri&quot;,&quot;given&quot;:&quot;Francesca&quot;,&quot;parse-names&quot;:false,&quot;dropping-particle&quot;:&quot;&quot;,&quot;non-dropping-particle&quot;:&quot;&quot;},{&quot;family&quot;:&quot;Rota&quot;,&quot;given&quot;:&quot;Alessandra&quot;,&quot;parse-names&quot;:false,&quot;dropping-particle&quot;:&quot;&quot;,&quot;non-dropping-particle&quot;:&quot;&quot;},{&quot;family&quot;:&quot;Invernizzi&quot;,&quot;given&quot;:&quot;Marzio&quot;,&quot;parse-names&quot;:false,&quot;dropping-particle&quot;:&quot;&quot;,&quot;non-dropping-particle&quot;:&quot;&quot;}],&quot;container-title&quot;:&quot;Atmospheric Environment: X&quot;,&quot;container-title-short&quot;:&quot;Atmos. Environ. X&quot;,&quot;DOI&quot;:&quot;10.1016/j.aeaoa.2025.100348&quot;,&quot;ISSN&quot;:&quot;25901621&quot;,&quot;issued&quot;:{&quot;date-parts&quot;:[[2025,8,1]]},&quot;abstract&quot;:&quot;Dispersion models are essential for predicting pollutant behavior in the atmosphere, but discrepancies between models can introduce uncertainties. Validating models with real data is crucial to ensuring accuracy. Previous studies have highlighted differences between CALPUFF and the particle model LAPMOD: while both yield relatively similar results for point sources, significant discrepancies arise for area sources. This study assesses the performance of both models using experimental datasets. The analysis shows that CALPUFF estimates higher concentrations than LAPMOD and performs better against observed values, meeting all validation criteria. LAPMOD is less consistent, with a non-optimal FAC2 and high VG due to outliers caused by receptor arrangement. However, both models align well with experimental data under ideal conditions. In conclusion, CALPUFF proves more reliable, whereas LAPMOD, despite its tendency to underestimate, provides useful results once outliers are excluded.&quot;,&quot;publisher&quot;:&quot;Elsevier Ltd&quot;,&quot;volume&quot;:&quot;27&quot;},&quot;isTemporary&quot;:false}]},{&quot;citationID&quot;:&quot;MENDELEY_CITATION_660f126d-7fda-474b-bd43-af27f344ed82&quot;,&quot;properties&quot;:{&quot;noteIndex&quot;:0},&quot;isEdited&quot;:false,&quot;manualOverride&quot;:{&quot;isManuallyOverridden&quot;:true,&quot;citeprocText&quot;:&quot;(Invernizzi et al., 2018)&quot;,&quot;manualOverrideText&quot;:&quot;Invernizzi et al. (2018)&quot;},&quot;citationTag&quot;:&quot;MENDELEY_CITATION_v3_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&quot;,&quot;citationItems&quot;:[{&quot;id&quot;:&quot;2b13c369-9842-3f2f-b43a-e79379259b17&quot;,&quot;itemData&quot;:{&quot;type&quot;:&quot;article-journal&quot;,&quot;id&quot;:&quot;2b13c369-9842-3f2f-b43a-e79379259b17&quot;,&quot;title&quot;:&quot;Proposal of a method for evaluating odour emissions from refinery storage tanks&quot;,&quot;author&quot;:[{&quot;family&quot;:&quot;Invernizzi&quot;,&quot;given&quot;:&quot;Marzio&quot;,&quot;parse-names&quot;:false,&quot;dropping-particle&quot;:&quot;&quot;,&quot;non-dropping-particle&quot;:&quot;&quot;},{&quot;family&quot;:&quot;Ilare&quot;,&quot;given&quot;:&quot;Juri&quot;,&quot;parse-names&quot;:false,&quot;dropping-particle&quot;:&quot;&quot;,&quot;non-dropping-particle&quot;:&quot;&quot;},{&quot;family&quot;:&quot;Capelli&quot;,&quot;given&quot;:&quot;Laura&quot;,&quot;parse-names&quot;:false,&quot;dropping-particle&quot;:&quot;&quot;,&quot;non-dropping-particle&quot;:&quot;&quot;},{&quot;family&quot;:&quot;Sironi&quot;,&quot;given&quot;:&quot;Selena&quot;,&quot;parse-names&quot;:false,&quot;dropping-particle&quot;:&quot;&quot;,&quot;non-dropping-particle&quot;:&quot;&quot;}],&quot;container-title&quot;:&quot;Chemical Engineering Transactions&quot;,&quot;container-title-short&quot;:&quot;Chem. Eng. Trans.&quot;,&quot;DOI&quot;:&quot;10.3303/CET1868009&quot;,&quot;ISBN&quot;:&quot;9788895608655&quot;,&quot;ISSN&quot;:&quot;22839216&quot;,&quot;issued&quot;:{&quot;date-parts&quot;:[[2018]]},&quot;page&quot;:&quot;49-54&quot;,&quot;abstract&quot;:&quot;Oil refineries are one of the greatest type of industrial plant which can lead to emission of VOC and sulphur compounds. Such emissions often originate a problem of odour pollution in the human settlements located around the refinery. In many cases, odour nuisances lead the local authorities to intervene, sometimes by closing the whole plant. Odour emissions in refineries typically arise from the operating process: The aim of this work is to propose a method for the evaluation of the Odour Emission Rates from the different sources of a refinery. More in detail, the proposed method aims to quantify the Odour Emission Rate from the fugitive emissions relevant to storage tanks, whose evaluation is very complex due to the difficulty of determining both a representative odour concentration and an emitted air flow representative of this kind of sources. This method first quantifies the mass emission from the tanks, by means of the software US EPA TANKS 4.09, and after the so called \&quot;Hydrocarbon Odour Emission Capacity\&quot;, associated with different hydrocarbons mixtures. By coupling this information, it is finally possible to give an estimate of the Odour Emission Rate deriving from a storage tank and use it in an atmospheric dispersion model.&quot;,&quot;volume&quot;:&quot;68&quot;},&quot;isTemporary&quot;:false}]},{&quot;citationID&quot;:&quot;MENDELEY_CITATION_c8b91090-4bb4-488a-8d26-e04b0fb1d274&quot;,&quot;properties&quot;:{&quot;noteIndex&quot;:0},&quot;isEdited&quot;:false,&quot;manualOverride&quot;:{&quot;isManuallyOverridden&quot;:false,&quot;citeprocText&quot;:&quot;(CEN, 2022)&quot;,&quot;manualOverrideText&quot;:&quot;&quot;},&quot;citationTag&quot;:&quot;MENDELEY_CITATION_v3_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&quot;,&quot;citationItems&quot;:[{&quot;id&quot;:&quot;6dbfee11-371f-3d1a-8620-1f7922f59219&quot;,&quot;itemData&quot;:{&quot;type&quot;:&quot;article&quot;,&quot;id&quot;:&quot;6dbfee11-371f-3d1a-8620-1f7922f59219&quot;,&quot;title&quot;:&quot;Air Quality—Determination of Odour Concentration by Dynamic Olfactometry; EN13725:2022&quot;,&quot;author&quot;:[{&quot;family&quot;:&quot;CEN&quot;,&quot;given&quot;:&quot;&quot;,&quot;parse-names&quot;:false,&quot;dropping-particle&quot;:&quot;&quot;,&quot;non-dropping-particle&quot;:&quot;&quot;}],&quot;issued&quot;:{&quot;date-parts&quot;:[[2022]]},&quot;publisher-place&quot;:&quot;Brussels, Belgium&quot;,&quot;container-title-short&quot;:&quot;&quot;},&quot;isTemporary&quot;:false}]},{&quot;citationID&quot;:&quot;MENDELEY_CITATION_aec28537-f95d-4f8a-9c3c-ddb4b8a11152&quot;,&quot;properties&quot;:{&quot;noteIndex&quot;:0},&quot;isEdited&quot;:false,&quot;manualOverride&quot;:{&quot;isManuallyOverridden&quot;:false,&quot;citeprocText&quot;:&quot;(Decreto Direttoriale 28 Giugno 2023, n. 309, 2023)&quot;,&quot;manualOverrideText&quot;:&quot;&quot;},&quot;citationTag&quot;:&quot;MENDELEY_CITATION_v3_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&quot;,&quot;citationItems&quot;:[{&quot;id&quot;:&quot;a556fdb2-3977-31db-900a-144f4cffa777&quot;,&quot;itemData&quot;:{&quot;type&quot;:&quot;legislation&quot;,&quot;id&quot;:&quot;a556fdb2-3977-31db-900a-144f4cffa777&quot;,&quot;title&quot;:&quot;Decreto Direttoriale 28 giugno 2023, n. 309&quot;,&quot;author&quot;:[{&quot;family&quot;:&quot;MinAmbiente&quot;,&quot;given&quot;:&quot;&quot;,&quot;parse-names&quot;:false,&quot;dropping-particle&quot;:&quot;&quot;,&quot;non-dropping-particle&quot;:&quot;&quot;}],&quot;URL&quot;:&quot;https://www.reteambiente.it/normativa/51893/decreto-direttoriale-minambiente-28-giugno-2023-n-309/&quot;,&quot;issued&quot;:{&quot;date-parts&quot;:[[2023]]},&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3707</Words>
  <Characters>21131</Characters>
  <Application>Microsoft Office Word</Application>
  <DocSecurity>0</DocSecurity>
  <Lines>176</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Francesca Tagliaferri</cp:lastModifiedBy>
  <cp:revision>5</cp:revision>
  <cp:lastPrinted>2024-05-17T09:02:00Z</cp:lastPrinted>
  <dcterms:created xsi:type="dcterms:W3CDTF">2026-04-22T16:02:00Z</dcterms:created>
  <dcterms:modified xsi:type="dcterms:W3CDTF">2026-04-23T12:07:00Z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http://www.zotero.org/styles/chemosphere</vt:lpwstr>
  </property>
  <property fmtid="{D5CDD505-2E9C-101B-9397-08002B2CF9AE}" pid="11" name="Mendeley Recent Style Name 3_1">
    <vt:lpwstr>Chemosphere</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acd72c11-866e-3d23-ba63-12cd6437ed14</vt:lpwstr>
  </property>
  <property fmtid="{D5CDD505-2E9C-101B-9397-08002B2CF9AE}" pid="26" name="Mendeley Citation Style_1">
    <vt:lpwstr>http://www.zotero.org/styles/chemosphere</vt:lpwstr>
  </property>
  <property fmtid="{D5CDD505-2E9C-101B-9397-08002B2CF9AE}" pid="27" name="GrammarlyDocumentId">
    <vt:lpwstr>0be4c261749b9753608d9f4efca3fcbe9be122be1e9533799b2508d41248bc53</vt:lpwstr>
  </property>
</Properties>
</file>