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DE264A">
        <w:trPr>
          <w:trHeight w:val="567"/>
          <w:jc w:val="center"/>
        </w:trPr>
        <w:tc>
          <w:tcPr>
            <w:tcW w:w="6946" w:type="dxa"/>
            <w:vMerge/>
            <w:tcBorders>
              <w:right w:val="single" w:sz="4" w:space="0" w:color="auto"/>
            </w:tcBorders>
          </w:tcPr>
          <w:p w14:paraId="39E5E4C1" w14:textId="77777777" w:rsidR="000A03B2" w:rsidRPr="00B57B36"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DE264A">
        <w:trPr>
          <w:trHeight w:val="68"/>
          <w:jc w:val="center"/>
        </w:trPr>
        <w:tc>
          <w:tcPr>
            <w:tcW w:w="8789"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AIDIC Servizi S.r.l.</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E667253" w14:textId="672F473A" w:rsidR="00E978D0" w:rsidRPr="00B57B36" w:rsidRDefault="001B5A63" w:rsidP="00E978D0">
      <w:pPr>
        <w:pStyle w:val="CETTitle"/>
      </w:pPr>
      <w:r w:rsidRPr="001B5A63">
        <w:t xml:space="preserve">Identification, characterization and control of odour emission sources in </w:t>
      </w:r>
      <w:r w:rsidRPr="00BC28BE">
        <w:t>waste recycling plants</w:t>
      </w:r>
      <w:r w:rsidRPr="001B5A63">
        <w:t xml:space="preserve"> located in sensitive environment</w:t>
      </w:r>
      <w:r w:rsidR="00600535" w:rsidRPr="00B57B36">
        <w:t xml:space="preserve"> </w:t>
      </w:r>
    </w:p>
    <w:p w14:paraId="0488FED2" w14:textId="232F2DF3" w:rsidR="00B57E6F" w:rsidRPr="001B5A63" w:rsidRDefault="001B5A63" w:rsidP="00B57E6F">
      <w:pPr>
        <w:pStyle w:val="CETAuthors"/>
        <w:rPr>
          <w:lang w:val="it-IT"/>
        </w:rPr>
      </w:pPr>
      <w:r w:rsidRPr="001B5A63">
        <w:rPr>
          <w:lang w:val="it-IT"/>
        </w:rPr>
        <w:t>Lorenzo Raso</w:t>
      </w:r>
      <w:r w:rsidR="00B57E6F" w:rsidRPr="001B5A63">
        <w:rPr>
          <w:vertAlign w:val="superscript"/>
          <w:lang w:val="it-IT"/>
        </w:rPr>
        <w:t>a</w:t>
      </w:r>
      <w:r w:rsidR="00B57E6F" w:rsidRPr="001B5A63">
        <w:rPr>
          <w:lang w:val="it-IT"/>
        </w:rPr>
        <w:t>,</w:t>
      </w:r>
      <w:r w:rsidRPr="001B5A63">
        <w:rPr>
          <w:lang w:val="it-IT"/>
        </w:rPr>
        <w:t xml:space="preserve"> </w:t>
      </w:r>
      <w:r>
        <w:rPr>
          <w:lang w:val="it-IT"/>
        </w:rPr>
        <w:t>Giovanni Agoglia</w:t>
      </w:r>
      <w:r>
        <w:rPr>
          <w:vertAlign w:val="superscript"/>
          <w:lang w:val="it-IT"/>
        </w:rPr>
        <w:t>b</w:t>
      </w:r>
      <w:r w:rsidRPr="001B5A63">
        <w:rPr>
          <w:lang w:val="it-IT"/>
        </w:rPr>
        <w:t xml:space="preserve">, </w:t>
      </w:r>
      <w:r>
        <w:rPr>
          <w:lang w:val="it-IT"/>
        </w:rPr>
        <w:t>Vincenzo Naddeo</w:t>
      </w:r>
      <w:r w:rsidRPr="001B5A63">
        <w:rPr>
          <w:vertAlign w:val="superscript"/>
          <w:lang w:val="it-IT"/>
        </w:rPr>
        <w:t>a</w:t>
      </w:r>
      <w:r w:rsidRPr="001B5A63">
        <w:rPr>
          <w:lang w:val="it-IT"/>
        </w:rPr>
        <w:t xml:space="preserve">, </w:t>
      </w:r>
      <w:r>
        <w:rPr>
          <w:lang w:val="it-IT"/>
        </w:rPr>
        <w:t>Tiziano Zarra</w:t>
      </w:r>
      <w:r w:rsidRPr="001B5A63">
        <w:rPr>
          <w:vertAlign w:val="superscript"/>
          <w:lang w:val="it-IT"/>
        </w:rPr>
        <w:t>a</w:t>
      </w:r>
      <w:r w:rsidRPr="001B5A63">
        <w:rPr>
          <w:lang w:val="it-IT"/>
        </w:rPr>
        <w:t>,</w:t>
      </w:r>
      <w:r w:rsidR="00B57E6F" w:rsidRPr="001B5A63">
        <w:rPr>
          <w:lang w:val="it-IT"/>
        </w:rPr>
        <w:t xml:space="preserve"> </w:t>
      </w:r>
    </w:p>
    <w:p w14:paraId="6B2D21B3" w14:textId="10DAC5AA" w:rsidR="00B57E6F" w:rsidRPr="00E22048" w:rsidRDefault="00B57E6F" w:rsidP="00B57E6F">
      <w:pPr>
        <w:pStyle w:val="CETAddress"/>
        <w:rPr>
          <w:lang w:val="en-US"/>
        </w:rPr>
      </w:pPr>
      <w:r w:rsidRPr="00E22048">
        <w:rPr>
          <w:vertAlign w:val="superscript"/>
          <w:lang w:val="en-US"/>
        </w:rPr>
        <w:t>a</w:t>
      </w:r>
      <w:r w:rsidR="001B5A63" w:rsidRPr="00E22048">
        <w:rPr>
          <w:lang w:val="en-US"/>
        </w:rPr>
        <w:t xml:space="preserve"> Sanitary Environmental Engineering Division (SEED), Department of Civil Engineering University of Salerno – G. Paolo II, 132 - 84084 Fisciano (SA) Italy </w:t>
      </w:r>
    </w:p>
    <w:p w14:paraId="3D72B0B0" w14:textId="363A89AF" w:rsidR="00B57E6F" w:rsidRPr="001B5A63" w:rsidRDefault="00B57E6F" w:rsidP="00B57E6F">
      <w:pPr>
        <w:pStyle w:val="CETAddress"/>
        <w:rPr>
          <w:lang w:val="it-IT"/>
        </w:rPr>
      </w:pPr>
      <w:r w:rsidRPr="001B5A63">
        <w:rPr>
          <w:vertAlign w:val="superscript"/>
          <w:lang w:val="it-IT"/>
        </w:rPr>
        <w:t>b</w:t>
      </w:r>
      <w:r w:rsidR="001B5A63" w:rsidRPr="001B5A63">
        <w:rPr>
          <w:vertAlign w:val="superscript"/>
          <w:lang w:val="it-IT"/>
        </w:rPr>
        <w:t xml:space="preserve"> </w:t>
      </w:r>
      <w:r w:rsidR="001B5A63" w:rsidRPr="001B5A63">
        <w:rPr>
          <w:lang w:val="it-IT"/>
        </w:rPr>
        <w:t>AGECO s.r.l., via Scalo Ferroviario, 95 – 85050 Tito Scalo PZ, Italy</w:t>
      </w:r>
    </w:p>
    <w:p w14:paraId="73F1267A" w14:textId="4F2C519A" w:rsidR="00B57E6F" w:rsidRPr="00595009" w:rsidRDefault="007A6049" w:rsidP="00B57E6F">
      <w:pPr>
        <w:pStyle w:val="CETemail"/>
        <w:rPr>
          <w:lang w:val="fr-FR"/>
        </w:rPr>
      </w:pPr>
      <w:r>
        <w:rPr>
          <w:lang w:val="fr-FR"/>
        </w:rPr>
        <w:t>tzarra</w:t>
      </w:r>
      <w:bookmarkStart w:id="1" w:name="_GoBack"/>
      <w:bookmarkEnd w:id="1"/>
      <w:r w:rsidR="00B57E6F" w:rsidRPr="00595009">
        <w:rPr>
          <w:lang w:val="fr-FR"/>
        </w:rPr>
        <w:t>@</w:t>
      </w:r>
      <w:r w:rsidR="001B5A63">
        <w:rPr>
          <w:lang w:val="fr-FR"/>
        </w:rPr>
        <w:t>unisa.it</w:t>
      </w:r>
    </w:p>
    <w:p w14:paraId="1A2F067B" w14:textId="282F59F6" w:rsidR="005735EB" w:rsidRPr="00A30D8F" w:rsidRDefault="00C8299E" w:rsidP="006C769E">
      <w:pPr>
        <w:pStyle w:val="CETBodytext"/>
        <w:rPr>
          <w:lang w:val="en-GB"/>
        </w:rPr>
      </w:pPr>
      <w:r w:rsidRPr="0027311C">
        <w:rPr>
          <w:lang w:val="en-GB"/>
        </w:rPr>
        <w:t>Odour emissions from waste treatment activities represent a major environmental concern due to their potential effects on air quality and quality of life in nearby communities. Effective odour management in waste recycling plants requires the identification and characterization of the different emission sources contributing to the overall impact, as well as the assessment of their dispersion in the surrounding environment. In this context, the present study proposes an integrated framework combining source identification, dynamic olfactometry and atmospheric dispersion modelling for odour impact assessment</w:t>
      </w:r>
      <w:r w:rsidR="00A30D8F" w:rsidRPr="0027311C">
        <w:rPr>
          <w:lang w:val="en-GB"/>
        </w:rPr>
        <w:t xml:space="preserve">. </w:t>
      </w:r>
      <w:r w:rsidR="00A61A42" w:rsidRPr="0027311C">
        <w:t>The resea</w:t>
      </w:r>
      <w:r w:rsidR="00A61A42" w:rsidRPr="00A61A42">
        <w:t xml:space="preserve">rch presents </w:t>
      </w:r>
      <w:r w:rsidR="00D07C01">
        <w:t xml:space="preserve">the development and application of </w:t>
      </w:r>
      <w:r w:rsidR="00A61A42" w:rsidRPr="00A61A42">
        <w:t xml:space="preserve">an integrated framework for the identification, </w:t>
      </w:r>
      <w:r w:rsidR="00BE3AB7" w:rsidRPr="00A61A42">
        <w:t>characterization</w:t>
      </w:r>
      <w:r w:rsidR="00A61A42" w:rsidRPr="00A61A42">
        <w:t xml:space="preserve"> and control of </w:t>
      </w:r>
      <w:r w:rsidR="00D07C01">
        <w:t xml:space="preserve">the </w:t>
      </w:r>
      <w:r w:rsidR="00A61A42" w:rsidRPr="00A61A42">
        <w:t xml:space="preserve">odour emission sources in waste recycling facilities located in sensitive environments. Field campaigns were carried out at two full-scale plants of different size and configuration, located in </w:t>
      </w:r>
      <w:r w:rsidR="00CA3E5C">
        <w:t xml:space="preserve">the municipality of </w:t>
      </w:r>
      <w:r w:rsidR="00A61A42" w:rsidRPr="00A61A42">
        <w:t>Tito and Latronico (</w:t>
      </w:r>
      <w:r w:rsidR="00CA3E5C">
        <w:t>Basilicata Region,</w:t>
      </w:r>
      <w:r w:rsidR="00A61A42" w:rsidRPr="00A61A42">
        <w:t xml:space="preserve"> Italy). </w:t>
      </w:r>
      <w:r w:rsidR="00CA3E5C" w:rsidRPr="00CA3E5C">
        <w:t xml:space="preserve">The first facility operates two treatment lines for multimaterial sorting and solid recovered fuel (SRF) production, while the second consists of a single sorting line combined with external </w:t>
      </w:r>
      <w:r w:rsidR="00CA3E5C" w:rsidRPr="00E832F7">
        <w:t xml:space="preserve">storage areas for end-of-waste materials. Point, areal and volumetric odour sources were identified and </w:t>
      </w:r>
      <w:r w:rsidR="00BE3AB7" w:rsidRPr="00E832F7">
        <w:t>characterized</w:t>
      </w:r>
      <w:r w:rsidR="00CA3E5C" w:rsidRPr="00E832F7">
        <w:t xml:space="preserve"> through dynamic olfactometry in accordance with UNI EN 13725. </w:t>
      </w:r>
      <w:r w:rsidR="006C769E">
        <w:t>Odour dispersion and impact areas were assessed using the CALPUFF modelling chain, applying the acceptability criteria established by the Basilicata Regional Law (L.R. 39/2021) for odour impact assessment</w:t>
      </w:r>
      <w:r w:rsidR="00A61A42" w:rsidRPr="00E832F7">
        <w:t xml:space="preserve">. </w:t>
      </w:r>
      <w:r w:rsidR="006C769E">
        <w:t>The results highlighted the presence of point, passive areal and volumetric sources, with measured odour concentrations ranging from 61 to 688 OU</w:t>
      </w:r>
      <w:r w:rsidR="006C769E" w:rsidRPr="006C769E">
        <w:rPr>
          <w:vertAlign w:val="subscript"/>
        </w:rPr>
        <w:t>E</w:t>
      </w:r>
      <w:r w:rsidR="006C769E">
        <w:t>/m</w:t>
      </w:r>
      <w:r w:rsidR="006C769E" w:rsidRPr="006C769E">
        <w:rPr>
          <w:vertAlign w:val="superscript"/>
        </w:rPr>
        <w:t>3</w:t>
      </w:r>
      <w:r w:rsidR="00A61A42" w:rsidRPr="00E832F7">
        <w:t>.</w:t>
      </w:r>
      <w:r w:rsidR="006C769E">
        <w:t xml:space="preserve"> The odour impact assessment demonstrated that both plants comply with the regulatory acceptability criteria, even under worst-case scenario modelling conditions.</w:t>
      </w:r>
    </w:p>
    <w:p w14:paraId="20347C2A" w14:textId="77777777" w:rsidR="00A61A42" w:rsidRPr="00B57B36" w:rsidRDefault="00A61A42" w:rsidP="00A61A42">
      <w:pPr>
        <w:pStyle w:val="CETHeading1"/>
        <w:rPr>
          <w:lang w:val="en-GB"/>
        </w:rPr>
      </w:pPr>
      <w:r w:rsidRPr="00B57B36">
        <w:rPr>
          <w:lang w:val="en-GB"/>
        </w:rPr>
        <w:t>Introduction</w:t>
      </w:r>
    </w:p>
    <w:p w14:paraId="5719CD9A" w14:textId="045253DE" w:rsidR="00027E7F" w:rsidRPr="002E3C29" w:rsidRDefault="00A61A42" w:rsidP="00027E7F">
      <w:pPr>
        <w:pStyle w:val="CETBodytext"/>
      </w:pPr>
      <w:r w:rsidRPr="00F56ECA">
        <w:t>European environmental strategies based on circular economy principles are promoting a progressive transition from disposal-oriented systems toward material recovery and recycling facilities</w:t>
      </w:r>
      <w:r w:rsidR="00170A44" w:rsidRPr="00F56ECA">
        <w:t xml:space="preserve"> </w:t>
      </w:r>
      <w:r w:rsidR="00170A44" w:rsidRPr="00F56ECA">
        <w:fldChar w:fldCharType="begin"/>
      </w:r>
      <w:r w:rsidR="00170A44" w:rsidRPr="00F56ECA">
        <w:instrText xml:space="preserve"> ADDIN ZOTERO_ITEM CSL_CITATION {"citationID":"0qYJehXW","properties":{"formattedCitation":"(Claudio\\uc0\\u8208{}Quiroga e Poza 2024)","plainCitation":"(Claudio</w:instrText>
      </w:r>
      <w:r w:rsidR="00170A44" w:rsidRPr="00F56ECA">
        <w:rPr>
          <w:rFonts w:ascii="Cambria Math" w:hAnsi="Cambria Math" w:cs="Cambria Math"/>
        </w:rPr>
        <w:instrText>‐</w:instrText>
      </w:r>
      <w:r w:rsidR="00170A44" w:rsidRPr="00F56ECA">
        <w:instrText>Quiroga e Poza 2024)","noteIndex":0},"citationItems":[{"id":537,"uris":["http://zotero.org/users/12965785/items/ANFUNZ3V"],"itemData":{"id":537,"type":"article-journal","abstract":"The main aim of this article is to analyze the circular economy (CE) transition of European countries between 2014 and 2021, using the European Commission approach of production and consumption, waste management, secondary raw materials, and competitiveness and innovation. To do so, we have built a multidimensional Circular Economy Index that classifies European countries according to their progress towards a circular economy. We used data from the Eurostat database and extracted all circular economy indicators for the EU27 countries plus Liechtenstein, Norway, Switzerland, the United Kingdom, and Iceland. The time series starts in 2014 and ends in 2021 and we have used 15 variables grouped in four dimensions by means of a second order factor analysis with a Promax rotation. We have also applied a hierarchical cluster analysis to group countries by circular economy performance. Our results suggest an improvement in circular economy performance between 2014 and 2021 in Europe. We likewise find there is a ‘four-speed Europe’ in terms of a circular economy, highlighting the good results of the Netherlands, Germany, Italy, and Belgium.","container-title":"Sustainable Development","DOI":"10.1002/sd.2925","ISSN":"0968-0802, 1099-1719","issue":"5","journalAbbreviation":"Sustainable Development","language":"en","page":"4707-4725","source":"DOI.org (Crossref)","title":"Measuring the circular economy in Europe: Big differences among countries, great opportunities to converge","title-short":"Measuring the circular economy in Europe","volume":"32","author":[{"family":"Claudio</w:instrText>
      </w:r>
      <w:r w:rsidR="00170A44" w:rsidRPr="00F56ECA">
        <w:rPr>
          <w:rFonts w:ascii="Cambria Math" w:hAnsi="Cambria Math" w:cs="Cambria Math"/>
        </w:rPr>
        <w:instrText>‐</w:instrText>
      </w:r>
      <w:r w:rsidR="00170A44" w:rsidRPr="00F56ECA">
        <w:instrText xml:space="preserve">Quiroga","given":"Gloria"},{"family":"Poza","given":"Carlos"}],"issued":{"date-parts":[["2024",10]]}}}],"schema":"https://github.com/citation-style-language/schema/raw/master/csl-citation.json"} </w:instrText>
      </w:r>
      <w:r w:rsidR="00170A44" w:rsidRPr="00F56ECA">
        <w:fldChar w:fldCharType="separate"/>
      </w:r>
      <w:r w:rsidR="00170A44" w:rsidRPr="00F56ECA">
        <w:rPr>
          <w:rFonts w:cs="Arial"/>
        </w:rPr>
        <w:t>(</w:t>
      </w:r>
      <w:r w:rsidR="0024644A" w:rsidRPr="00F56ECA">
        <w:rPr>
          <w:rFonts w:cs="Arial"/>
        </w:rPr>
        <w:t>Sironi et. al. 2010</w:t>
      </w:r>
      <w:r w:rsidR="00170A44" w:rsidRPr="00F56ECA">
        <w:rPr>
          <w:rFonts w:cs="Arial"/>
        </w:rPr>
        <w:t>)</w:t>
      </w:r>
      <w:r w:rsidR="00170A44" w:rsidRPr="00F56ECA">
        <w:fldChar w:fldCharType="end"/>
      </w:r>
      <w:r w:rsidRPr="00F56ECA">
        <w:t>. As a consequence, waste recycling plants</w:t>
      </w:r>
      <w:r w:rsidR="0078563D" w:rsidRPr="00F56ECA">
        <w:t xml:space="preserve"> (WRPs)</w:t>
      </w:r>
      <w:r w:rsidRPr="00F56ECA">
        <w:t xml:space="preserve"> are becoming increasingly widespread within modern waste management systems, often located in proximity to urban or industrial areas where the presence of sensitive receptors may lead to potential environmental concerns</w:t>
      </w:r>
      <w:r w:rsidR="00170A44" w:rsidRPr="00F56ECA">
        <w:t xml:space="preserve"> </w:t>
      </w:r>
      <w:r w:rsidR="00170A44" w:rsidRPr="00F56ECA">
        <w:fldChar w:fldCharType="begin"/>
      </w:r>
      <w:r w:rsidR="00C72342" w:rsidRPr="00F56ECA">
        <w:instrText xml:space="preserve"> ADDIN ZOTERO_ITEM CSL_CITATION {"citationID":"VPDYwYcC","properties":{"formattedCitation":"(Minelgait\\uc0\\u279{} e Liobikien\\uc0\\u279{} 2019; Marino e Pariso 2020)","plainCitation":"(Minelgaitė e Liobikienė 2019; Marino e Pariso 2020)","noteIndex":0},"citationItems":[{"id":542,"uris":["http://zotero.org/users/12965785/items/E59U6MH4"],"itemData":{"id":542,"type":"article-journal","abstract":"Waste generation is a critical problem globally and even in the European Union (EU). In EU countries, significant differences have been observed in terms of municipal waste generation. The level of waste generation significantly depended on economic development. The most effective tools for solving the waste problem should be the enhancement of reducing, reusing, and recycling behaviours. However, our results revealed that the level of reducing and reusing behaviours insignificantly influenced waste generation. Thus, countries seeking to minimize waste generation should also pay more attention to the promotion of sustainable consumption and production. Meanwhile, the relationship between recycling behaviour and waste generation was positive and statistically significant. Analysing the determinants of waste management behaviours, attitude to personal waste generation significantly contribute to all waste management behaviours. Meanwhile, attitudes to general waste management significantly but negatively influence waste reducing and recycling behaviours. Thus, only these respondents who understand that they personally contribute to waste problem, more perform waste management behaviours. Furthermore, the efforts to reduce waste significantly influenced only recycling behaviour while attitude to resource efficiency insignificantly determined all waste management behaviours, revealing that people in the EU have a lack of knowledge about the relationship between waste reduction and resource efficiency.","container-title":"Science of The Total Environment","DOI":"10.1016/j.scitotenv.2019.02.313","ISSN":"0048-9697","journalAbbreviation":"Science of The Total Environment","page":"86-93","source":"ScienceDirect","title":"Waste problem in European Union and its influence on waste management behaviours","volume":"667","author":[{"family":"Minelgaitė","given":"Audronė"},{"family":"Liobikienė","given":"Genovaitė"}],"issued":{"date-parts":[["2019",6,1]]}}},{"id":553,"uris":["http://zotero.org/users/12965785/items/FHIXHT2R"],"itemData":{"id":553,"type":"article-journal","container-title":"Science of The Total Environment","DOI":"10.1016/j.scitotenv.2020.138142","ISSN":"00489697","journalAbbreviation":"Science of The Total Environment","language":"en","page":"138142","source":"DOI.org (Crossref)","title":"Comparing European countries' performances in the transition towards the Circular Economy","volume":"729","author":[{"family":"Marino","given":"Alfonso"},{"family":"Pariso","given":"Paolo"}],"issued":{"date-parts":[["2020",8]]}}}],"schema":"https://github.com/citation-style-language/schema/raw/master/csl-citation.json"} </w:instrText>
      </w:r>
      <w:r w:rsidR="00170A44" w:rsidRPr="00F56ECA">
        <w:fldChar w:fldCharType="separate"/>
      </w:r>
      <w:r w:rsidR="00C72342" w:rsidRPr="00F56ECA">
        <w:rPr>
          <w:rFonts w:cs="Arial"/>
        </w:rPr>
        <w:t>(Minelgaitė et al. 2019)</w:t>
      </w:r>
      <w:r w:rsidR="00170A44" w:rsidRPr="00F56ECA">
        <w:fldChar w:fldCharType="end"/>
      </w:r>
      <w:r w:rsidRPr="00F56ECA">
        <w:t>.</w:t>
      </w:r>
      <w:r w:rsidR="00C72342" w:rsidRPr="00F56ECA">
        <w:t xml:space="preserve"> </w:t>
      </w:r>
      <w:r w:rsidRPr="00F56ECA">
        <w:t xml:space="preserve">Among these, odour emissions represent a major environmental and social issue due to their effects on air </w:t>
      </w:r>
      <w:r w:rsidR="0003226D" w:rsidRPr="00F56ECA">
        <w:t>and life quality</w:t>
      </w:r>
      <w:r w:rsidRPr="00F56ECA">
        <w:t xml:space="preserve"> in surrounding communities</w:t>
      </w:r>
      <w:r w:rsidR="00C72342" w:rsidRPr="00F56ECA">
        <w:t xml:space="preserve"> </w:t>
      </w:r>
      <w:r w:rsidR="00C72342" w:rsidRPr="00F56ECA">
        <w:fldChar w:fldCharType="begin"/>
      </w:r>
      <w:r w:rsidR="00C72342" w:rsidRPr="00F56ECA">
        <w:instrText xml:space="preserve"> ADDIN ZOTERO_ITEM CSL_CITATION {"citationID":"c9uViLRW","properties":{"formattedCitation":"(Zarra et al. 2019)","plainCitation":"(Zarra et al. 2019)","noteIndex":0},"citationItems":[{"id":133,"uris":["http://zotero.org/users/12965785/items/XK6WMZ68"],"itemData":{"id":133,"type":"article-journal","abstract":"Unwanted odour emissions are considered air pollutants that may cause detrimental impacts to the environment as well as an indicator of unhealthy air to the affected individuals resulting in annoyance and health related issues. These pollutants are challenging to handle due to their invisibility to the naked eye and can only be felt by the human olfactory stimuli. A strategy to address this issue is by introducing an intelligent processing system to odour monitoring instrument such as artificial neural network to achieve a robust result. In this paper, a review on the application of artificial neural network for the management of environmental odours is presented. The principal factors in developing an optimum artificial neural network were identified as elements, structure and learning algorithms. The management of environmental odour has been distinguished into four aspects such as measurement, characterization, control and treatment and continuous monitoring. For each aspect, the performance of the neural network is critically evaluated emphasizing the strengths and weaknesses. This work aims to address the scarcity of information by addressing the gaps from existing studies in terms of the selection of the most suitable configuration, the benefits and consequences. Adopting this technique could provide a new avenue in the management of environmental odours through the use of a powerful mathematical computing tool for a more efficient and reliable outcome.","container-title":"Environment International","DOI":"10.1016/j.envint.2019.105189","ISSN":"0160-4120","journalAbbreviation":"Environment International","page":"105189","source":"ScienceDirect","title":"Environmental odour management by artificial neural network – A review","volume":"133","author":[{"family":"Zarra","given":"Tiziano"},{"family":"Galang","given":"Mark Gino"},{"family":"Ballesteros","given":"Florencio"},{"family":"Belgiorno","given":"Vincenzo"},{"family":"Naddeo","given":"Vincenzo"}],"issued":{"date-parts":[["2019",12,1]]}}}],"schema":"https://github.com/citation-style-language/schema/raw/master/csl-citation.json"} </w:instrText>
      </w:r>
      <w:r w:rsidR="00C72342" w:rsidRPr="00F56ECA">
        <w:fldChar w:fldCharType="separate"/>
      </w:r>
      <w:r w:rsidR="00C72342" w:rsidRPr="00F56ECA">
        <w:rPr>
          <w:rFonts w:cs="Arial"/>
        </w:rPr>
        <w:t>(Zarra et al. 20</w:t>
      </w:r>
      <w:r w:rsidR="00DB4B67" w:rsidRPr="00F56ECA">
        <w:rPr>
          <w:rFonts w:cs="Arial"/>
        </w:rPr>
        <w:t>12</w:t>
      </w:r>
      <w:r w:rsidR="00C72342" w:rsidRPr="00F56ECA">
        <w:rPr>
          <w:rFonts w:cs="Arial"/>
        </w:rPr>
        <w:t>)</w:t>
      </w:r>
      <w:r w:rsidR="00C72342" w:rsidRPr="00F56ECA">
        <w:fldChar w:fldCharType="end"/>
      </w:r>
      <w:r w:rsidRPr="00F56ECA">
        <w:t>.</w:t>
      </w:r>
      <w:r w:rsidR="00C72342" w:rsidRPr="00F56ECA">
        <w:t xml:space="preserve"> </w:t>
      </w:r>
      <w:r w:rsidRPr="00F56ECA">
        <w:t>Odour nuisance is frequently associated with waste treatment activities and may significantly affect the acceptance and operation of such facilities</w:t>
      </w:r>
      <w:r w:rsidR="00C72342" w:rsidRPr="00F56ECA">
        <w:t xml:space="preserve"> </w:t>
      </w:r>
      <w:r w:rsidR="00C72342" w:rsidRPr="00F56ECA">
        <w:fldChar w:fldCharType="begin"/>
      </w:r>
      <w:r w:rsidR="00C72342" w:rsidRPr="00F56ECA">
        <w:instrText xml:space="preserve"> ADDIN ZOTERO_ITEM CSL_CITATION {"citationID":"UVUvDma6","properties":{"formattedCitation":"(Oliva et al. 2024)","plainCitation":"(Oliva et al. 2024)","noteIndex":0},"citationItems":[{"id":441,"uris":["http://zotero.org/users/12965785/items/6DWXX2JW"],"itemData":{"id":441,"type":"article-journal","abstract":"Odour annoyance in urban contexts is of particular concerns and requires effective monitoring in order to avoid complaints from citizens. The research presents an advanced and integrated odour monitoring system, which combines analytical, senso-instrumental and citizen science tools, for the continuous and proactive characterization of the odours in ambient air to prevent odour annoyance. The on-site validation of the system was implemented integrating data collected by IOMSs and air quality station with 768 reports collected by a newly designed Citizen Science APP. A maximum density of 329 signals per 0.01 km2 was recorded at south-west of the odour sources investigated.","container-title":"Case Studies in Chemical and Environmental Engineering","DOI":"10.1016/j.cscee.2024.100712","ISSN":"2666-0164","journalAbbreviation":"Case Studies in Chemical and Environmental Engineering","page":"100712","source":"ScienceDirect","title":"Urban odour annoyance management: An advanced embedded system for real-time monitoring enhanced by citizen science","title-short":"Urban odour annoyance management","volume":"9","author":[{"family":"Oliva","given":"Giuseppina"},{"family":"Cangialosi","given":"Federico"},{"family":"Grimaldi","given":"Michele"},{"family":"Fasolino","given":"Isidoro"},{"family":"Belgiorno","given":"Vincenzo"},{"family":"Naddeo","given":"Vincenzo"},{"family":"Zarra","given":"Tiziano"}],"issued":{"date-parts":[["2024",6,1]]}}}],"schema":"https://github.com/citation-style-language/schema/raw/master/csl-citation.json"} </w:instrText>
      </w:r>
      <w:r w:rsidR="00C72342" w:rsidRPr="00F56ECA">
        <w:fldChar w:fldCharType="separate"/>
      </w:r>
      <w:r w:rsidR="00C72342" w:rsidRPr="00F56ECA">
        <w:rPr>
          <w:rFonts w:cs="Arial"/>
        </w:rPr>
        <w:t>(Oliva et al. 202</w:t>
      </w:r>
      <w:r w:rsidR="00E5073A" w:rsidRPr="00F56ECA">
        <w:rPr>
          <w:rFonts w:cs="Arial"/>
        </w:rPr>
        <w:t>1</w:t>
      </w:r>
      <w:r w:rsidR="00C72342" w:rsidRPr="00F56ECA">
        <w:rPr>
          <w:rFonts w:cs="Arial"/>
        </w:rPr>
        <w:t>)</w:t>
      </w:r>
      <w:r w:rsidR="00C72342" w:rsidRPr="00F56ECA">
        <w:fldChar w:fldCharType="end"/>
      </w:r>
      <w:r w:rsidRPr="00F56ECA">
        <w:t>.</w:t>
      </w:r>
      <w:r w:rsidR="00C72342" w:rsidRPr="00F56ECA">
        <w:t xml:space="preserve"> </w:t>
      </w:r>
      <w:r w:rsidRPr="00F56ECA">
        <w:t xml:space="preserve">Waste recycling plants are </w:t>
      </w:r>
      <w:r w:rsidR="0003226D" w:rsidRPr="00F56ECA">
        <w:t>characterized</w:t>
      </w:r>
      <w:r w:rsidRPr="00F56ECA">
        <w:t xml:space="preserve"> by heterogeneous material streams, discontinuous operating conditions and multiple emission mechanisms, where odour releases may originate from conveyed, areal and volumetric sources</w:t>
      </w:r>
      <w:r w:rsidR="00C72342" w:rsidRPr="00F56ECA">
        <w:t xml:space="preserve"> </w:t>
      </w:r>
      <w:r w:rsidR="00C72342" w:rsidRPr="00F56ECA">
        <w:fldChar w:fldCharType="begin"/>
      </w:r>
      <w:r w:rsidR="00C72342" w:rsidRPr="00F56ECA">
        <w:instrText xml:space="preserve"> ADDIN ZOTERO_ITEM CSL_CITATION {"citationID":"yl1JU5KM","properties":{"formattedCitation":"(Stoeva e Alriksson 2017)","plainCitation":"(Stoeva e Alriksson 2017)","noteIndex":0},"citationItems":[{"id":540,"uris":["http://zotero.org/users/12965785/items/DDL9FXS5"],"itemData":{"id":540,"type":"article-journal","abstract":"To achieve high rates of waste reuse and recycling, waste separation in households is essential. This study aimed to reveal how recycling programmes in Sweden and Bulgaria influenced inhabitants’ participation in separation of household waste. The waste separation behaviour of 111 university students from Kalmar, Sweden and 112 students from Plovdiv, Bulgaria was studied using the Theory of Planned Behaviour framework. The results showed that a lack of proper conditions for waste separation can prevent individuals from participating in this process, regardless of their positive attitudes. When respondents were satisfied with the local conditions for waste separation their behaviour instead depended on their personal attitudes towards waste separation and recycling.","container-title":"Waste Management","DOI":"10.1016/j.wasman.2017.06.005","ISSN":"0956-053X","journalAbbreviation":"Waste Management","page":"732-741","source":"ScienceDirect","title":"Influence of recycling programmes on waste separation behaviour","volume":"68","author":[{"family":"Stoeva","given":"Katya"},{"family":"Alriksson","given":"Stina"}],"issued":{"date-parts":[["2017",10,1]]}}}],"schema":"https://github.com/citation-style-language/schema/raw/master/csl-citation.json"} </w:instrText>
      </w:r>
      <w:r w:rsidR="00C72342" w:rsidRPr="00F56ECA">
        <w:fldChar w:fldCharType="separate"/>
      </w:r>
      <w:r w:rsidR="00C72342" w:rsidRPr="00F56ECA">
        <w:rPr>
          <w:rFonts w:cs="Arial"/>
        </w:rPr>
        <w:t>(</w:t>
      </w:r>
      <w:r w:rsidR="00014195" w:rsidRPr="00F56ECA">
        <w:rPr>
          <w:rFonts w:cs="Arial"/>
        </w:rPr>
        <w:t>Zarra et al., 2009</w:t>
      </w:r>
      <w:r w:rsidR="00C72342" w:rsidRPr="00F56ECA">
        <w:rPr>
          <w:rFonts w:cs="Arial"/>
        </w:rPr>
        <w:t>)</w:t>
      </w:r>
      <w:r w:rsidR="00C72342" w:rsidRPr="00F56ECA">
        <w:fldChar w:fldCharType="end"/>
      </w:r>
      <w:r w:rsidR="00C72342" w:rsidRPr="00F56ECA">
        <w:fldChar w:fldCharType="begin"/>
      </w:r>
      <w:r w:rsidR="00C72342" w:rsidRPr="00F56ECA">
        <w:instrText xml:space="preserve"> ADDIN ZOTERO_ITEM CSL_CITATION {"citationID":"wDx4I3kd","properties":{"formattedCitation":"(Marino e Pariso 2020)","plainCitation":"(Marino e Pariso 2020)","dontUpdate":true,"noteIndex":0},"citationItems":[{"id":553,"uris":["http://zotero.org/users/12965785/items/FHIXHT2R"],"itemData":{"id":553,"type":"article-journal","container-title":"Science of The Total Environment","DOI":"10.1016/j.scitotenv.2020.138142","ISSN":"00489697","journalAbbreviation":"Science of The Total Environment","language":"en","page":"138142","source":"DOI.org (Crossref)","title":"Comparing European countries' performances in the transition towards the Circular Economy","volume":"729","author":[{"family":"Marino","given":"Alfonso"},{"family":"Pariso","given":"Paolo"}],"issued":{"date-parts":[["2020",8]]}}}],"schema":"https://github.com/citation-style-language/schema/raw/master/csl-citation.json"} </w:instrText>
      </w:r>
      <w:r w:rsidR="00C72342" w:rsidRPr="00F56ECA">
        <w:fldChar w:fldCharType="end"/>
      </w:r>
      <w:r w:rsidRPr="00F56ECA">
        <w:t>. Under these conditions, plant-scale assessments may be insufficient to correctly identify critical phases and to support effective mitigation actions</w:t>
      </w:r>
      <w:r w:rsidR="00C72342" w:rsidRPr="00F56ECA">
        <w:t xml:space="preserve"> </w:t>
      </w:r>
      <w:r w:rsidR="00C72342" w:rsidRPr="00F56ECA">
        <w:fldChar w:fldCharType="begin"/>
      </w:r>
      <w:r w:rsidR="00C72342" w:rsidRPr="00F56ECA">
        <w:instrText xml:space="preserve"> ADDIN ZOTERO_ITEM CSL_CITATION {"citationID":"pRA61Z29","properties":{"formattedCitation":"(Naddeo et al. 2016)","plainCitation":"(Naddeo et al. 2016)","noteIndex":0},"citationItems":[{"id":522,"uris":["http://zotero.org/users/12965785/items/NSWM2HWT"],"itemData":{"id":522,"type":"article-journal","language":"en","source":"Zotero","title":"Odour Impact Assessment in Industrial Areas","author":[{"family":"Naddeo","given":"Vincenzo"},{"family":"Zarra","given":"Tiziano"},{"family":"Giuliani","given":"Stefano"},{"family":"Belgiorno","given":"Vincenzo"}],"issued":{"date-parts":[["2016"]]}}}],"schema":"https://github.com/citation-style-language/schema/raw/master/csl-citation.json"} </w:instrText>
      </w:r>
      <w:r w:rsidR="00C72342" w:rsidRPr="00F56ECA">
        <w:fldChar w:fldCharType="separate"/>
      </w:r>
      <w:r w:rsidR="00C72342" w:rsidRPr="00F56ECA">
        <w:rPr>
          <w:rFonts w:cs="Arial"/>
        </w:rPr>
        <w:t>(Naddeo et al. 201</w:t>
      </w:r>
      <w:r w:rsidR="00E5073A" w:rsidRPr="00F56ECA">
        <w:rPr>
          <w:rFonts w:cs="Arial"/>
        </w:rPr>
        <w:t>2</w:t>
      </w:r>
      <w:r w:rsidR="00014195" w:rsidRPr="00F56ECA">
        <w:rPr>
          <w:rFonts w:cs="Arial"/>
        </w:rPr>
        <w:t>; Zarra et al., 2010</w:t>
      </w:r>
      <w:r w:rsidR="00C72342" w:rsidRPr="00F56ECA">
        <w:rPr>
          <w:rFonts w:cs="Arial"/>
        </w:rPr>
        <w:t>)</w:t>
      </w:r>
      <w:r w:rsidR="00C72342" w:rsidRPr="00F56ECA">
        <w:fldChar w:fldCharType="end"/>
      </w:r>
      <w:r w:rsidRPr="00F56ECA">
        <w:t>.</w:t>
      </w:r>
      <w:r w:rsidR="00C72342" w:rsidRPr="00F56ECA">
        <w:t xml:space="preserve"> </w:t>
      </w:r>
      <w:r w:rsidRPr="00F56ECA">
        <w:t>A source-oriented approach is therefore required to systematically identify, quantify and assess odour emissions under real operating conditions and to evaluate their potential impact on surrounding receptors</w:t>
      </w:r>
      <w:r w:rsidR="00F0692F" w:rsidRPr="00F56ECA">
        <w:t xml:space="preserve"> (</w:t>
      </w:r>
      <w:r w:rsidR="00F0692F" w:rsidRPr="00F56ECA">
        <w:rPr>
          <w:rFonts w:cs="Arial"/>
        </w:rPr>
        <w:t>Capelli et al. 2013; Fasolino</w:t>
      </w:r>
      <w:r w:rsidR="00E5073A" w:rsidRPr="00F56ECA">
        <w:rPr>
          <w:rFonts w:cs="Arial"/>
        </w:rPr>
        <w:t xml:space="preserve"> et al., 2016)</w:t>
      </w:r>
      <w:r w:rsidRPr="00F56ECA">
        <w:t>.</w:t>
      </w:r>
      <w:r w:rsidR="004B7B18" w:rsidRPr="00F56ECA">
        <w:t xml:space="preserve"> </w:t>
      </w:r>
      <w:r w:rsidR="0003226D" w:rsidRPr="00F56ECA">
        <w:rPr>
          <w:lang w:val="en-GB"/>
        </w:rPr>
        <w:t xml:space="preserve">Despite the increasing diffusion of recycling facilities, only a limited number of studies have investigated </w:t>
      </w:r>
      <w:r w:rsidR="0003226D" w:rsidRPr="00F56ECA">
        <w:rPr>
          <w:lang w:val="en-GB"/>
        </w:rPr>
        <w:lastRenderedPageBreak/>
        <w:t>odour emissions from such plants within an integrated management perspective. Existing studies generally focus on specific aspects of odour generation or control</w:t>
      </w:r>
      <w:r w:rsidR="00F0692F" w:rsidRPr="00F56ECA">
        <w:rPr>
          <w:lang w:val="en-GB"/>
        </w:rPr>
        <w:t xml:space="preserve"> (</w:t>
      </w:r>
      <w:r w:rsidR="001D2D4B" w:rsidRPr="00F56ECA">
        <w:rPr>
          <w:lang w:val="en-GB"/>
        </w:rPr>
        <w:t>Zarra et al., 2016</w:t>
      </w:r>
      <w:r w:rsidR="00537EC4" w:rsidRPr="00F56ECA">
        <w:rPr>
          <w:lang w:val="en-GB"/>
        </w:rPr>
        <w:t>; Font et al., 2011</w:t>
      </w:r>
      <w:r w:rsidR="00E15022" w:rsidRPr="00F56ECA">
        <w:rPr>
          <w:lang w:val="en-GB"/>
        </w:rPr>
        <w:t>; Jonca et al., 2025</w:t>
      </w:r>
      <w:r w:rsidR="00F0692F" w:rsidRPr="00F56ECA">
        <w:rPr>
          <w:lang w:val="en-GB"/>
        </w:rPr>
        <w:t>)</w:t>
      </w:r>
      <w:r w:rsidR="0003226D" w:rsidRPr="00F56ECA">
        <w:rPr>
          <w:lang w:val="en-GB"/>
        </w:rPr>
        <w:t>, while comprehensive approaches covering the entire chain from source identification to dispersion modelling and impact assessment remain scarce.</w:t>
      </w:r>
      <w:r w:rsidR="00BE3AB7" w:rsidRPr="00F56ECA">
        <w:rPr>
          <w:lang w:val="en-GB"/>
        </w:rPr>
        <w:t xml:space="preserve"> </w:t>
      </w:r>
      <w:r w:rsidR="00F0692F" w:rsidRPr="00F56ECA">
        <w:t>T</w:t>
      </w:r>
      <w:r w:rsidR="0003226D" w:rsidRPr="00F56ECA">
        <w:t>he study presents and discusses the development and application of an integrated framework for the identification, characterization and control of odour emission sources in real waste recycling facilities located in sensitive environments.</w:t>
      </w:r>
      <w:r w:rsidR="00027E7F" w:rsidRPr="00F56ECA">
        <w:t xml:space="preserve"> </w:t>
      </w:r>
      <w:r w:rsidR="0003226D" w:rsidRPr="00F56ECA">
        <w:rPr>
          <w:lang w:val="en-GB"/>
        </w:rPr>
        <w:t>The experimental activit</w:t>
      </w:r>
      <w:r w:rsidR="00027E7F" w:rsidRPr="00F56ECA">
        <w:rPr>
          <w:lang w:val="en-GB"/>
        </w:rPr>
        <w:t>ies</w:t>
      </w:r>
      <w:r w:rsidR="0003226D" w:rsidRPr="00F56ECA">
        <w:rPr>
          <w:lang w:val="en-GB"/>
        </w:rPr>
        <w:t xml:space="preserve"> </w:t>
      </w:r>
      <w:r w:rsidR="008C10FD" w:rsidRPr="00F56ECA">
        <w:rPr>
          <w:lang w:val="en-GB"/>
        </w:rPr>
        <w:t>combine</w:t>
      </w:r>
      <w:r w:rsidR="0003226D" w:rsidRPr="00F56ECA">
        <w:rPr>
          <w:lang w:val="en-GB"/>
        </w:rPr>
        <w:t xml:space="preserve"> source identification and classification, in-situ sampling and odour concentration determination </w:t>
      </w:r>
      <w:r w:rsidR="00027E7F" w:rsidRPr="00F56ECA">
        <w:rPr>
          <w:lang w:val="en-GB"/>
        </w:rPr>
        <w:t xml:space="preserve">by </w:t>
      </w:r>
      <w:r w:rsidR="0003226D" w:rsidRPr="00F56ECA">
        <w:rPr>
          <w:lang w:val="en-GB"/>
        </w:rPr>
        <w:t>dynamic olfactometry, and atmospheric dispersion modelling for odour impact assessment.</w:t>
      </w:r>
      <w:r w:rsidR="00027E7F" w:rsidRPr="00F56ECA">
        <w:rPr>
          <w:lang w:val="en-GB"/>
        </w:rPr>
        <w:t xml:space="preserve"> </w:t>
      </w:r>
      <w:r w:rsidR="00BE3AB7" w:rsidRPr="00F56ECA">
        <w:rPr>
          <w:lang w:val="en-GB"/>
        </w:rPr>
        <w:t>The proposed methodology is based on the integration of the DPSIR (Driver–Pressure–State–Impact–Response) framework and the PDCA (Plan–Do–Check–Act) Deming cycle</w:t>
      </w:r>
      <w:r w:rsidR="00027E7F" w:rsidRPr="00F56ECA">
        <w:rPr>
          <w:lang w:val="en-GB"/>
        </w:rPr>
        <w:t xml:space="preserve"> (</w:t>
      </w:r>
      <w:r w:rsidR="008C10FD" w:rsidRPr="00F56ECA">
        <w:rPr>
          <w:lang w:val="en-GB"/>
        </w:rPr>
        <w:t>Dudin et al. 2015</w:t>
      </w:r>
      <w:r w:rsidR="00027E7F" w:rsidRPr="00F56ECA">
        <w:rPr>
          <w:lang w:val="en-GB"/>
        </w:rPr>
        <w:t>)</w:t>
      </w:r>
      <w:r w:rsidR="00BE3AB7" w:rsidRPr="00F56ECA">
        <w:rPr>
          <w:lang w:val="en-GB"/>
        </w:rPr>
        <w:t>, allowing a structured and iterative approach to the analysis and management of odour emissions.</w:t>
      </w:r>
      <w:r w:rsidR="00027E7F" w:rsidRPr="00F56ECA">
        <w:t xml:space="preserve"> The framework i</w:t>
      </w:r>
      <w:r w:rsidR="00027E7F" w:rsidRPr="00BE3AB7">
        <w:t xml:space="preserve">s applied to two full-scale waste recycling plants of different size and configuration, located in </w:t>
      </w:r>
      <w:r w:rsidR="00027E7F">
        <w:t xml:space="preserve">the industrial area of </w:t>
      </w:r>
      <w:r w:rsidR="00027E7F" w:rsidRPr="00BE3AB7">
        <w:t>Tito and Latronico (Basilicata Region, Italy)</w:t>
      </w:r>
      <w:r w:rsidR="00027E7F" w:rsidRPr="002E3C29">
        <w:t>.</w:t>
      </w:r>
    </w:p>
    <w:p w14:paraId="349E17F1" w14:textId="5D6C4348" w:rsidR="0003226D" w:rsidRPr="00027E7F" w:rsidRDefault="00BE3AB7" w:rsidP="00BE3AB7">
      <w:pPr>
        <w:pStyle w:val="CETBodytext"/>
      </w:pPr>
      <w:r w:rsidRPr="00BE3AB7">
        <w:rPr>
          <w:lang w:val="en-GB"/>
        </w:rPr>
        <w:t>The study contributes to improving the understanding of odour emission mechanisms in waste recycling and solid recovered fuel (SRF) production plants</w:t>
      </w:r>
      <w:r w:rsidR="00027E7F">
        <w:rPr>
          <w:lang w:val="en-GB"/>
        </w:rPr>
        <w:t>,</w:t>
      </w:r>
      <w:r w:rsidRPr="00027E7F">
        <w:t xml:space="preserve"> supporting both environmental decision-making and the design of effective mitigation strategies.</w:t>
      </w:r>
    </w:p>
    <w:p w14:paraId="72128E35" w14:textId="3DDC8154" w:rsidR="00A61A42" w:rsidRDefault="00E2211D" w:rsidP="00C72342">
      <w:pPr>
        <w:pStyle w:val="CETHeading1"/>
      </w:pPr>
      <w:r>
        <w:t>Materials and methods</w:t>
      </w:r>
    </w:p>
    <w:p w14:paraId="56704C91" w14:textId="34E0F153" w:rsidR="0078563D" w:rsidRDefault="0078563D" w:rsidP="0078563D">
      <w:pPr>
        <w:pStyle w:val="CETheadingx"/>
      </w:pPr>
      <w:r>
        <w:t>Integrated methodological assessment framework</w:t>
      </w:r>
    </w:p>
    <w:p w14:paraId="60F7E11E" w14:textId="3B312B31" w:rsidR="00BE3AB7" w:rsidRDefault="004514E9" w:rsidP="0078563D">
      <w:pPr>
        <w:pStyle w:val="CETBodytext"/>
        <w:rPr>
          <w:lang w:val="en-GB"/>
        </w:rPr>
      </w:pPr>
      <w:r w:rsidRPr="004514E9">
        <w:rPr>
          <w:lang w:val="en-GB"/>
        </w:rPr>
        <w:t xml:space="preserve">Figure 1 illustrates </w:t>
      </w:r>
      <w:r w:rsidR="00027E7F">
        <w:rPr>
          <w:lang w:val="en-GB"/>
        </w:rPr>
        <w:t xml:space="preserve">the proposed </w:t>
      </w:r>
      <w:r w:rsidR="00027E7F" w:rsidRPr="00BE3AB7">
        <w:rPr>
          <w:lang w:val="en-GB"/>
        </w:rPr>
        <w:t>methodology</w:t>
      </w:r>
      <w:r w:rsidR="00027E7F">
        <w:rPr>
          <w:lang w:val="en-GB"/>
        </w:rPr>
        <w:t>,</w:t>
      </w:r>
      <w:r w:rsidR="00027E7F" w:rsidRPr="00BE3AB7">
        <w:rPr>
          <w:lang w:val="en-GB"/>
        </w:rPr>
        <w:t xml:space="preserve"> based on the integration of the DPSIR (Driver–Pressure–State–Impact–Response) framework and the PDCA (Plan–Do–Check–Act) </w:t>
      </w:r>
      <w:r w:rsidR="00027E7F">
        <w:rPr>
          <w:lang w:val="en-GB"/>
        </w:rPr>
        <w:t xml:space="preserve">Deming </w:t>
      </w:r>
      <w:r w:rsidR="00027E7F" w:rsidRPr="00BE3AB7">
        <w:rPr>
          <w:lang w:val="en-GB"/>
        </w:rPr>
        <w:t>cycle</w:t>
      </w:r>
      <w:r w:rsidR="00E302B9">
        <w:rPr>
          <w:lang w:val="en-GB"/>
        </w:rPr>
        <w:t>, along with some operational phases</w:t>
      </w:r>
      <w:r w:rsidRPr="004514E9">
        <w:rPr>
          <w:lang w:val="en-GB"/>
        </w:rPr>
        <w:t>.</w:t>
      </w:r>
    </w:p>
    <w:p w14:paraId="77C7F362" w14:textId="77777777" w:rsidR="00027E7F" w:rsidRDefault="00027E7F" w:rsidP="0078563D">
      <w:pPr>
        <w:pStyle w:val="CETBodytext"/>
      </w:pPr>
    </w:p>
    <w:p w14:paraId="090025C8" w14:textId="31FEC605" w:rsidR="00BE3AB7" w:rsidRDefault="00FF11B7" w:rsidP="004514E9">
      <w:pPr>
        <w:pStyle w:val="CETBodytext"/>
        <w:jc w:val="center"/>
      </w:pPr>
      <w:r w:rsidRPr="00FF11B7">
        <w:rPr>
          <w:noProof/>
          <w:lang w:val="it-IT" w:eastAsia="it-IT"/>
        </w:rPr>
        <w:drawing>
          <wp:inline distT="0" distB="0" distL="0" distR="0" wp14:anchorId="75946FCC" wp14:editId="1283115B">
            <wp:extent cx="2348179" cy="165925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43229" cy="1726416"/>
                    </a:xfrm>
                    <a:prstGeom prst="rect">
                      <a:avLst/>
                    </a:prstGeom>
                  </pic:spPr>
                </pic:pic>
              </a:graphicData>
            </a:graphic>
          </wp:inline>
        </w:drawing>
      </w:r>
      <w:r w:rsidRPr="00C8299E">
        <w:rPr>
          <w:noProof/>
          <w:lang w:eastAsia="it-IT"/>
        </w:rPr>
        <w:t xml:space="preserve">    </w:t>
      </w:r>
      <w:r w:rsidRPr="00FF11B7">
        <w:rPr>
          <w:noProof/>
          <w:lang w:val="it-IT" w:eastAsia="it-IT"/>
        </w:rPr>
        <w:drawing>
          <wp:inline distT="0" distB="0" distL="0" distR="0" wp14:anchorId="4CE0B6A6" wp14:editId="261AAF52">
            <wp:extent cx="2689375" cy="1550822"/>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98182" cy="1613565"/>
                    </a:xfrm>
                    <a:prstGeom prst="rect">
                      <a:avLst/>
                    </a:prstGeom>
                  </pic:spPr>
                </pic:pic>
              </a:graphicData>
            </a:graphic>
          </wp:inline>
        </w:drawing>
      </w:r>
      <w:r>
        <w:t xml:space="preserve"> </w:t>
      </w:r>
    </w:p>
    <w:p w14:paraId="1540C1C5" w14:textId="6DB595FE" w:rsidR="00BE3AB7" w:rsidRDefault="009D268F" w:rsidP="009D268F">
      <w:pPr>
        <w:pStyle w:val="CETCaption"/>
      </w:pPr>
      <w:r>
        <w:t xml:space="preserve">Figure 1: </w:t>
      </w:r>
      <w:r w:rsidR="004514E9" w:rsidRPr="004514E9">
        <w:t xml:space="preserve">Integrated </w:t>
      </w:r>
      <w:r w:rsidR="003B0B19" w:rsidRPr="004514E9">
        <w:t xml:space="preserve">DPSIR (Driver–Pressure–State–Impact–Response) </w:t>
      </w:r>
      <w:r w:rsidR="003B0B19">
        <w:t xml:space="preserve">framework and </w:t>
      </w:r>
      <w:r w:rsidR="004514E9" w:rsidRPr="004514E9">
        <w:t xml:space="preserve">PDCA (Plan–Do–Check–Act) cycle </w:t>
      </w:r>
      <w:r w:rsidR="003B0B19">
        <w:t>for</w:t>
      </w:r>
      <w:r w:rsidR="004514E9" w:rsidRPr="004514E9">
        <w:t xml:space="preserve"> </w:t>
      </w:r>
      <w:r w:rsidR="003B0B19">
        <w:t>odour emissions assessment and management</w:t>
      </w:r>
      <w:r w:rsidR="004514E9">
        <w:t>.</w:t>
      </w:r>
    </w:p>
    <w:p w14:paraId="1CC8E8BA" w14:textId="77777777" w:rsidR="008D37E0" w:rsidRDefault="008D37E0" w:rsidP="004863F0">
      <w:pPr>
        <w:pStyle w:val="CETListbullets"/>
        <w:ind w:left="142" w:hanging="142"/>
      </w:pPr>
      <w:r>
        <w:t>The methodology sequentially implements the following main steps:</w:t>
      </w:r>
    </w:p>
    <w:p w14:paraId="3561FD76" w14:textId="37C1B1A5" w:rsidR="009D268F" w:rsidRDefault="003B0B19" w:rsidP="004863F0">
      <w:pPr>
        <w:pStyle w:val="CETListbullets"/>
        <w:numPr>
          <w:ilvl w:val="0"/>
          <w:numId w:val="26"/>
        </w:numPr>
        <w:ind w:left="426" w:hanging="284"/>
      </w:pPr>
      <w:r>
        <w:t xml:space="preserve">Plant </w:t>
      </w:r>
      <w:r w:rsidR="009D268F">
        <w:t xml:space="preserve">analysis, including the investigation of </w:t>
      </w:r>
      <w:r>
        <w:t xml:space="preserve">the </w:t>
      </w:r>
      <w:r w:rsidR="009D268F">
        <w:t xml:space="preserve">layout, operational phases and </w:t>
      </w:r>
      <w:r>
        <w:t xml:space="preserve">the secondary </w:t>
      </w:r>
      <w:r w:rsidR="009D268F">
        <w:t>activities;</w:t>
      </w:r>
    </w:p>
    <w:p w14:paraId="0B4558C2" w14:textId="5144366C" w:rsidR="009D268F" w:rsidRDefault="009D268F" w:rsidP="004863F0">
      <w:pPr>
        <w:pStyle w:val="CETListbullets"/>
        <w:numPr>
          <w:ilvl w:val="0"/>
          <w:numId w:val="26"/>
        </w:numPr>
        <w:ind w:left="426" w:hanging="284"/>
      </w:pPr>
      <w:r>
        <w:t>Identification and classification of odour emission sources, according to their typology (point, areal, volumetric; active or passive) and operational condition (real</w:t>
      </w:r>
      <w:r w:rsidR="008D37E0">
        <w:t>/existing</w:t>
      </w:r>
      <w:r>
        <w:t>, potential or future);</w:t>
      </w:r>
    </w:p>
    <w:p w14:paraId="7E6AC97D" w14:textId="322EB366" w:rsidR="009D268F" w:rsidRDefault="008D37E0" w:rsidP="004863F0">
      <w:pPr>
        <w:pStyle w:val="CETListbullets"/>
        <w:numPr>
          <w:ilvl w:val="0"/>
          <w:numId w:val="26"/>
        </w:numPr>
        <w:ind w:left="426" w:hanging="284"/>
      </w:pPr>
      <w:r>
        <w:t>Definition of sampling strategies, including the identification of standardized and officially recognized methods for each source type, as well as the number and spatial and temporal distribution of representative sampling locations</w:t>
      </w:r>
      <w:r w:rsidR="009D268F">
        <w:t>;</w:t>
      </w:r>
    </w:p>
    <w:p w14:paraId="128A00DA" w14:textId="77777777" w:rsidR="008D37E0" w:rsidRDefault="008D37E0" w:rsidP="004863F0">
      <w:pPr>
        <w:pStyle w:val="CETListbullets"/>
        <w:numPr>
          <w:ilvl w:val="0"/>
          <w:numId w:val="26"/>
        </w:numPr>
        <w:ind w:left="426" w:hanging="284"/>
      </w:pPr>
      <w:r>
        <w:t>Field sampling campaigns and laboratory analytical analyses, carried out under representative operating conditions with the support of university laboratories or accredited private laboratories for existing emission sources. For potential and/or future sources, emission data are determined through an in-depth review of the relevant technical and scientific literature, with reference to analogous case studies;</w:t>
      </w:r>
    </w:p>
    <w:p w14:paraId="7A8BA06B" w14:textId="77777777" w:rsidR="003841F3" w:rsidRDefault="003841F3" w:rsidP="004863F0">
      <w:pPr>
        <w:pStyle w:val="CETListbullets"/>
        <w:numPr>
          <w:ilvl w:val="0"/>
          <w:numId w:val="26"/>
        </w:numPr>
        <w:ind w:left="426" w:hanging="284"/>
      </w:pPr>
      <w:r>
        <w:t>Assessment of the detected odour emission levels in relation to applicable regulatory limits, guideline values, or reference criteria, where available;</w:t>
      </w:r>
    </w:p>
    <w:p w14:paraId="04C0F84C" w14:textId="77C892F8" w:rsidR="003841F3" w:rsidRDefault="003841F3" w:rsidP="004863F0">
      <w:pPr>
        <w:pStyle w:val="CETListbullets"/>
        <w:numPr>
          <w:ilvl w:val="0"/>
          <w:numId w:val="26"/>
        </w:numPr>
        <w:ind w:left="426" w:hanging="284"/>
      </w:pPr>
      <w:r>
        <w:t>Application of atmospheric dispersion modelling, including the definition of the modelling approach, the input data (meteorological, topographical, and emission-related), the spatial domain and the simulation parameters, as well as the identification of sensitive receptors and applicable impact criteria;</w:t>
      </w:r>
    </w:p>
    <w:p w14:paraId="77A8AF47" w14:textId="77777777" w:rsidR="003841F3" w:rsidRDefault="003841F3" w:rsidP="004863F0">
      <w:pPr>
        <w:pStyle w:val="CETListbullets"/>
        <w:numPr>
          <w:ilvl w:val="0"/>
          <w:numId w:val="26"/>
        </w:numPr>
        <w:ind w:left="426" w:hanging="284"/>
      </w:pPr>
      <w:r>
        <w:t>Evaluation of odour impact through comparison of model results with applicable regulatory thresholds or impact criteria;</w:t>
      </w:r>
    </w:p>
    <w:p w14:paraId="0A9B8972" w14:textId="1D592E75" w:rsidR="003841F3" w:rsidRDefault="003841F3" w:rsidP="004863F0">
      <w:pPr>
        <w:pStyle w:val="CETListbullets"/>
        <w:numPr>
          <w:ilvl w:val="0"/>
          <w:numId w:val="26"/>
        </w:numPr>
        <w:ind w:left="426" w:hanging="284"/>
      </w:pPr>
      <w:r>
        <w:lastRenderedPageBreak/>
        <w:t>Identification of mitigation and management measures aimed at reducing odour emissions and associated impacts, including operational, technical, and monitoring actions where appropriate.</w:t>
      </w:r>
    </w:p>
    <w:p w14:paraId="417585F7" w14:textId="5314A63A" w:rsidR="00A30D8F" w:rsidRPr="0027311C" w:rsidRDefault="00A30D8F" w:rsidP="00736F8C">
      <w:pPr>
        <w:pStyle w:val="CETListbullets"/>
        <w:ind w:left="0" w:firstLine="0"/>
      </w:pPr>
      <w:r w:rsidRPr="0027311C">
        <w:t xml:space="preserve">The </w:t>
      </w:r>
      <w:r w:rsidR="00736F8C" w:rsidRPr="0027311C">
        <w:t>applications foc</w:t>
      </w:r>
      <w:r w:rsidRPr="0027311C">
        <w:t xml:space="preserve">uses on the identification, characterization and impact assessment </w:t>
      </w:r>
      <w:r w:rsidR="0027311C">
        <w:t xml:space="preserve">steps </w:t>
      </w:r>
      <w:r w:rsidRPr="0027311C">
        <w:t>of the framework.</w:t>
      </w:r>
    </w:p>
    <w:p w14:paraId="129B6BB6" w14:textId="5F888769" w:rsidR="00E2211D" w:rsidRDefault="0078563D" w:rsidP="00D6513C">
      <w:pPr>
        <w:pStyle w:val="CETheadingx"/>
      </w:pPr>
      <w:r>
        <w:t>Investigated waste recycling plants</w:t>
      </w:r>
    </w:p>
    <w:p w14:paraId="644BD103" w14:textId="77777777" w:rsidR="009072CF" w:rsidRDefault="009072CF" w:rsidP="009072CF">
      <w:pPr>
        <w:pStyle w:val="CETBodytext"/>
        <w:rPr>
          <w:lang w:val="en-GB" w:eastAsia="it-IT"/>
        </w:rPr>
      </w:pPr>
      <w:r w:rsidRPr="009072CF">
        <w:rPr>
          <w:lang w:val="en-GB" w:eastAsia="it-IT"/>
        </w:rPr>
        <w:t>The investigated waste recycling plants (WRPs) are two full-scale facilities located in the Basilicata Region (Southern Italy), characterised by mechanical sorting and separation processes for different waste fractions.</w:t>
      </w:r>
    </w:p>
    <w:p w14:paraId="28C12684" w14:textId="6A2C3A28" w:rsidR="00D77CAD" w:rsidRDefault="009072CF" w:rsidP="009072CF">
      <w:pPr>
        <w:pStyle w:val="CETBodytext"/>
        <w:rPr>
          <w:lang w:val="en-GB" w:eastAsia="it-IT"/>
        </w:rPr>
      </w:pPr>
      <w:r w:rsidRPr="009072CF">
        <w:rPr>
          <w:lang w:val="en-GB" w:eastAsia="it-IT"/>
        </w:rPr>
        <w:t xml:space="preserve">In both plants, the main operations are carried out within enclosed buildings </w:t>
      </w:r>
      <w:r w:rsidR="002A517E">
        <w:t>maintained under negative pressure, with exhaust air conveyed to dedicated emission stacks</w:t>
      </w:r>
      <w:r w:rsidRPr="009072CF">
        <w:rPr>
          <w:lang w:val="en-GB" w:eastAsia="it-IT"/>
        </w:rPr>
        <w:t>. Large openings (d</w:t>
      </w:r>
      <w:r w:rsidR="005B2795">
        <w:rPr>
          <w:lang w:val="en-GB" w:eastAsia="it-IT"/>
        </w:rPr>
        <w:t xml:space="preserve">oors and gates) are present </w:t>
      </w:r>
      <w:r w:rsidR="002A517E">
        <w:t>to allow the entry and exit of vehicles transporting the materials to be treated</w:t>
      </w:r>
      <w:r w:rsidRPr="009072CF">
        <w:rPr>
          <w:lang w:val="en-GB" w:eastAsia="it-IT"/>
        </w:rPr>
        <w:t>.</w:t>
      </w:r>
      <w:r>
        <w:rPr>
          <w:lang w:val="en-GB" w:eastAsia="it-IT"/>
        </w:rPr>
        <w:t xml:space="preserve"> </w:t>
      </w:r>
      <w:r w:rsidRPr="009072CF">
        <w:rPr>
          <w:lang w:val="en-GB" w:eastAsia="it-IT"/>
        </w:rPr>
        <w:t xml:space="preserve">The plants also include external storage areas for incoming </w:t>
      </w:r>
      <w:r w:rsidR="005B2795">
        <w:rPr>
          <w:lang w:val="en-GB" w:eastAsia="it-IT"/>
        </w:rPr>
        <w:t xml:space="preserve">raw </w:t>
      </w:r>
      <w:r w:rsidRPr="009072CF">
        <w:rPr>
          <w:lang w:val="en-GB" w:eastAsia="it-IT"/>
        </w:rPr>
        <w:t xml:space="preserve">waste and </w:t>
      </w:r>
      <w:r w:rsidR="005B2795">
        <w:rPr>
          <w:lang w:val="en-GB" w:eastAsia="it-IT"/>
        </w:rPr>
        <w:t xml:space="preserve">treated </w:t>
      </w:r>
      <w:r w:rsidRPr="009072CF">
        <w:rPr>
          <w:lang w:val="en-GB" w:eastAsia="it-IT"/>
        </w:rPr>
        <w:t xml:space="preserve">materials, consisting of tanks, containers or confined zones on impermeable surfaces, covered to limit exposure to meteorological conditions. The main treated </w:t>
      </w:r>
      <w:r w:rsidR="002A517E">
        <w:rPr>
          <w:lang w:val="en-GB" w:eastAsia="it-IT"/>
        </w:rPr>
        <w:t xml:space="preserve">waste </w:t>
      </w:r>
      <w:r w:rsidRPr="009072CF">
        <w:rPr>
          <w:lang w:val="en-GB" w:eastAsia="it-IT"/>
        </w:rPr>
        <w:t>fractions include multimaterial streams, plastics, glass, and paper and cardboard</w:t>
      </w:r>
      <w:r w:rsidR="00736F8C">
        <w:rPr>
          <w:lang w:val="en-GB" w:eastAsia="it-IT"/>
        </w:rPr>
        <w:t xml:space="preserve">, </w:t>
      </w:r>
      <w:r w:rsidR="0027311C" w:rsidRPr="0027311C">
        <w:rPr>
          <w:lang w:val="en-GB" w:eastAsia="it-IT"/>
        </w:rPr>
        <w:t>in quantities in accordance with the authorized capacity</w:t>
      </w:r>
      <w:r w:rsidRPr="009072CF">
        <w:rPr>
          <w:lang w:val="en-GB" w:eastAsia="it-IT"/>
        </w:rPr>
        <w:t>.</w:t>
      </w:r>
      <w:r w:rsidR="002E3C29">
        <w:rPr>
          <w:lang w:val="en-GB" w:eastAsia="it-IT"/>
        </w:rPr>
        <w:t xml:space="preserve"> </w:t>
      </w:r>
      <w:r w:rsidRPr="009072CF">
        <w:rPr>
          <w:lang w:val="en-GB" w:eastAsia="it-IT"/>
        </w:rPr>
        <w:t xml:space="preserve">Figure </w:t>
      </w:r>
      <w:r w:rsidR="002E3C29">
        <w:rPr>
          <w:lang w:val="en-GB" w:eastAsia="it-IT"/>
        </w:rPr>
        <w:t>2</w:t>
      </w:r>
      <w:r w:rsidRPr="009072CF">
        <w:rPr>
          <w:lang w:val="en-GB" w:eastAsia="it-IT"/>
        </w:rPr>
        <w:t xml:space="preserve"> shows the layout of the investigated plants, </w:t>
      </w:r>
      <w:r w:rsidR="002A517E">
        <w:t xml:space="preserve">highlighting the buildings where the waste treatment lines are operated (C1.2, C2.2, C1), the buildings hosting the administrative offices (C1.1, C2), and the main </w:t>
      </w:r>
      <w:r w:rsidR="0073460F">
        <w:t xml:space="preserve">external </w:t>
      </w:r>
      <w:r w:rsidR="002A517E">
        <w:t>storage areas or units (A)</w:t>
      </w:r>
      <w:r w:rsidRPr="009072CF">
        <w:rPr>
          <w:lang w:val="en-GB" w:eastAsia="it-IT"/>
        </w:rPr>
        <w:t>.</w:t>
      </w:r>
    </w:p>
    <w:p w14:paraId="48793EE1" w14:textId="77777777" w:rsidR="002A517E" w:rsidRDefault="002A517E" w:rsidP="009072CF">
      <w:pPr>
        <w:pStyle w:val="CETBodytext"/>
        <w:rPr>
          <w:lang w:val="en-GB" w:eastAsia="it-IT"/>
        </w:rPr>
      </w:pPr>
    </w:p>
    <w:p w14:paraId="6CA14A43" w14:textId="7425642C" w:rsidR="009072CF" w:rsidRPr="00D77CAD" w:rsidRDefault="00A23970" w:rsidP="004863F0">
      <w:pPr>
        <w:pStyle w:val="CETBodytext"/>
        <w:jc w:val="center"/>
        <w:rPr>
          <w:lang w:eastAsia="it-IT"/>
        </w:rPr>
      </w:pPr>
      <w:r>
        <w:rPr>
          <w:noProof/>
          <w:lang w:val="it-IT" w:eastAsia="it-IT"/>
        </w:rPr>
        <w:drawing>
          <wp:inline distT="0" distB="0" distL="0" distR="0" wp14:anchorId="1605686E" wp14:editId="662D7F6C">
            <wp:extent cx="4792929" cy="2210779"/>
            <wp:effectExtent l="0" t="0" r="8255" b="0"/>
            <wp:docPr id="121964481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937" r="3922" b="3870"/>
                    <a:stretch/>
                  </pic:blipFill>
                  <pic:spPr bwMode="auto">
                    <a:xfrm>
                      <a:off x="0" y="0"/>
                      <a:ext cx="5000008" cy="2306296"/>
                    </a:xfrm>
                    <a:prstGeom prst="rect">
                      <a:avLst/>
                    </a:prstGeom>
                    <a:noFill/>
                    <a:ln>
                      <a:noFill/>
                    </a:ln>
                    <a:extLst>
                      <a:ext uri="{53640926-AAD7-44D8-BBD7-CCE9431645EC}">
                        <a14:shadowObscured xmlns:a14="http://schemas.microsoft.com/office/drawing/2010/main"/>
                      </a:ext>
                    </a:extLst>
                  </pic:spPr>
                </pic:pic>
              </a:graphicData>
            </a:graphic>
          </wp:inline>
        </w:drawing>
      </w:r>
    </w:p>
    <w:p w14:paraId="77C88DEF" w14:textId="118CE551" w:rsidR="00D77CAD" w:rsidRPr="00BD077D" w:rsidRDefault="00D77CAD" w:rsidP="00D77CAD">
      <w:pPr>
        <w:pStyle w:val="CETCaption"/>
      </w:pPr>
      <w:r w:rsidRPr="00630512">
        <w:rPr>
          <w:rStyle w:val="CETCaptionCarattere"/>
          <w:i/>
        </w:rPr>
        <w:t xml:space="preserve">Figure </w:t>
      </w:r>
      <w:r w:rsidR="002E3C29">
        <w:rPr>
          <w:rStyle w:val="CETCaptionCarattere"/>
          <w:i/>
        </w:rPr>
        <w:t>2</w:t>
      </w:r>
      <w:r w:rsidRPr="00630512">
        <w:rPr>
          <w:rStyle w:val="CETCaptionCarattere"/>
          <w:i/>
        </w:rPr>
        <w:t>: Layout of the investigated waste recycling plants: (a) Tito and (b) Latronico</w:t>
      </w:r>
    </w:p>
    <w:p w14:paraId="74D47292" w14:textId="319115CE" w:rsidR="009072CF" w:rsidRDefault="0073460F" w:rsidP="00E2211D">
      <w:pPr>
        <w:pStyle w:val="CETBodytext"/>
        <w:rPr>
          <w:lang w:eastAsia="it-IT"/>
        </w:rPr>
      </w:pPr>
      <w:r>
        <w:t>The Tito plant is characterised by a dual treatment-line configuration and includes, in addition to sorting activities, a specific mechanical treatment line (building C2.2) for the production of solid recovered fuel (SRF) from residual waste. While t</w:t>
      </w:r>
      <w:r w:rsidR="009072CF" w:rsidRPr="009072CF">
        <w:rPr>
          <w:lang w:eastAsia="it-IT"/>
        </w:rPr>
        <w:t xml:space="preserve">he Latronico plant presents a simpler configuration and is dedicated exclusively to the treatment of dry fractions </w:t>
      </w:r>
      <w:r>
        <w:t>from separately collected waste</w:t>
      </w:r>
      <w:r w:rsidR="009072CF" w:rsidRPr="009072CF">
        <w:rPr>
          <w:lang w:eastAsia="it-IT"/>
        </w:rPr>
        <w:t>.</w:t>
      </w:r>
      <w:r w:rsidR="009072CF">
        <w:rPr>
          <w:lang w:eastAsia="it-IT"/>
        </w:rPr>
        <w:t xml:space="preserve"> </w:t>
      </w:r>
    </w:p>
    <w:p w14:paraId="7C6E39D8" w14:textId="6572EF93" w:rsidR="0043237E" w:rsidRPr="0043237E" w:rsidRDefault="00810104" w:rsidP="003841BD">
      <w:pPr>
        <w:pStyle w:val="CETheadingx"/>
      </w:pPr>
      <w:r>
        <w:t>Odour s</w:t>
      </w:r>
      <w:r w:rsidRPr="00810104">
        <w:t>ource identification</w:t>
      </w:r>
      <w:r w:rsidR="006F1FF6">
        <w:t xml:space="preserve">, </w:t>
      </w:r>
      <w:r w:rsidRPr="00810104">
        <w:t>classification</w:t>
      </w:r>
      <w:r w:rsidR="006F1FF6">
        <w:t xml:space="preserve"> and characterization</w:t>
      </w:r>
      <w:r>
        <w:t xml:space="preserve"> </w:t>
      </w:r>
    </w:p>
    <w:p w14:paraId="264AD548" w14:textId="66AB931A" w:rsidR="00502BC1" w:rsidRDefault="0079315B" w:rsidP="0079315B">
      <w:pPr>
        <w:pStyle w:val="CETTabletitle"/>
        <w:jc w:val="both"/>
        <w:rPr>
          <w:i w:val="0"/>
          <w:lang w:val="en-US" w:eastAsia="it-IT"/>
        </w:rPr>
      </w:pPr>
      <w:r w:rsidRPr="0079315B">
        <w:rPr>
          <w:i w:val="0"/>
          <w:lang w:val="en-US" w:eastAsia="it-IT"/>
        </w:rPr>
        <w:t xml:space="preserve">Table 1 summarizes the criteria adopted for the identification of odour sources, together with the corresponding source types and the main recognized references, standards, and guidelines </w:t>
      </w:r>
      <w:r>
        <w:rPr>
          <w:i w:val="0"/>
          <w:lang w:val="en-US" w:eastAsia="it-IT"/>
        </w:rPr>
        <w:t xml:space="preserve">used </w:t>
      </w:r>
      <w:r w:rsidRPr="0079315B">
        <w:rPr>
          <w:i w:val="0"/>
          <w:lang w:val="en-US" w:eastAsia="it-IT"/>
        </w:rPr>
        <w:t>for their characterization</w:t>
      </w:r>
      <w:r w:rsidR="00502BC1" w:rsidRPr="00502BC1">
        <w:rPr>
          <w:i w:val="0"/>
          <w:lang w:val="en-US" w:eastAsia="it-IT"/>
        </w:rPr>
        <w:t>.</w:t>
      </w:r>
    </w:p>
    <w:p w14:paraId="32F6FB9E" w14:textId="3878FE6A" w:rsidR="004E6C20" w:rsidRPr="003841BD" w:rsidRDefault="004E6C20" w:rsidP="00502BC1">
      <w:pPr>
        <w:pStyle w:val="CETCaption"/>
      </w:pPr>
      <w:r w:rsidRPr="003841BD">
        <w:t xml:space="preserve">Table 1: </w:t>
      </w:r>
      <w:r w:rsidR="00F14313">
        <w:t>O</w:t>
      </w:r>
      <w:r w:rsidR="00F14313" w:rsidRPr="003841BD">
        <w:t xml:space="preserve">dour emission sources </w:t>
      </w:r>
      <w:r w:rsidR="00E47CA3">
        <w:t>identification, classifcation criteria and characterization</w:t>
      </w:r>
      <w:r w:rsidR="004814DA" w:rsidRPr="003841BD">
        <w:t xml:space="preserve"> </w:t>
      </w:r>
    </w:p>
    <w:tbl>
      <w:tblPr>
        <w:tblW w:w="7938"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127"/>
        <w:gridCol w:w="2232"/>
        <w:gridCol w:w="3579"/>
      </w:tblGrid>
      <w:tr w:rsidR="004E6C20" w:rsidRPr="00B57B36" w14:paraId="14037E30" w14:textId="77777777" w:rsidTr="00864A4B">
        <w:trPr>
          <w:trHeight w:val="449"/>
        </w:trPr>
        <w:tc>
          <w:tcPr>
            <w:tcW w:w="2127" w:type="dxa"/>
            <w:tcBorders>
              <w:top w:val="single" w:sz="12" w:space="0" w:color="008000"/>
              <w:bottom w:val="single" w:sz="12" w:space="0" w:color="008000"/>
            </w:tcBorders>
            <w:shd w:val="clear" w:color="auto" w:fill="FFFFFF"/>
            <w:vAlign w:val="center"/>
          </w:tcPr>
          <w:p w14:paraId="698873F1" w14:textId="325D80AF" w:rsidR="004E6C20" w:rsidRPr="004E6C20" w:rsidRDefault="004E6C20" w:rsidP="004E6C20">
            <w:pPr>
              <w:pStyle w:val="CETBodytext"/>
              <w:jc w:val="center"/>
              <w:rPr>
                <w:b/>
                <w:bCs/>
                <w:sz w:val="16"/>
                <w:szCs w:val="16"/>
                <w:lang w:val="en-GB"/>
              </w:rPr>
            </w:pPr>
            <w:r w:rsidRPr="004E6C20">
              <w:rPr>
                <w:b/>
                <w:bCs/>
                <w:sz w:val="16"/>
                <w:szCs w:val="16"/>
                <w:lang w:val="en-GB"/>
              </w:rPr>
              <w:t>Classification criteria</w:t>
            </w:r>
          </w:p>
        </w:tc>
        <w:tc>
          <w:tcPr>
            <w:tcW w:w="2232" w:type="dxa"/>
            <w:tcBorders>
              <w:top w:val="single" w:sz="12" w:space="0" w:color="008000"/>
              <w:bottom w:val="single" w:sz="12" w:space="0" w:color="008000"/>
            </w:tcBorders>
            <w:shd w:val="clear" w:color="auto" w:fill="FFFFFF"/>
            <w:vAlign w:val="center"/>
          </w:tcPr>
          <w:p w14:paraId="32D4E115" w14:textId="561311D0" w:rsidR="004E6C20" w:rsidRPr="004E6C20" w:rsidRDefault="004E6C20" w:rsidP="004E6C20">
            <w:pPr>
              <w:pStyle w:val="CETBodytext"/>
              <w:jc w:val="center"/>
              <w:rPr>
                <w:b/>
                <w:bCs/>
                <w:sz w:val="16"/>
                <w:szCs w:val="16"/>
                <w:lang w:val="en-GB"/>
              </w:rPr>
            </w:pPr>
            <w:r w:rsidRPr="004E6C20">
              <w:rPr>
                <w:b/>
                <w:bCs/>
                <w:sz w:val="16"/>
                <w:szCs w:val="16"/>
                <w:lang w:val="en-GB"/>
              </w:rPr>
              <w:t>Source type</w:t>
            </w:r>
          </w:p>
        </w:tc>
        <w:tc>
          <w:tcPr>
            <w:tcW w:w="3579" w:type="dxa"/>
            <w:tcBorders>
              <w:top w:val="single" w:sz="12" w:space="0" w:color="008000"/>
              <w:bottom w:val="single" w:sz="12" w:space="0" w:color="008000"/>
            </w:tcBorders>
            <w:shd w:val="clear" w:color="auto" w:fill="FFFFFF"/>
            <w:vAlign w:val="center"/>
          </w:tcPr>
          <w:p w14:paraId="416360C4" w14:textId="63E0F7E0" w:rsidR="004E6C20" w:rsidRPr="004E6C20" w:rsidRDefault="0079315B" w:rsidP="0073460F">
            <w:pPr>
              <w:pStyle w:val="CETBodytext"/>
              <w:ind w:right="-1"/>
              <w:jc w:val="center"/>
              <w:rPr>
                <w:b/>
                <w:bCs/>
                <w:sz w:val="16"/>
                <w:szCs w:val="16"/>
                <w:lang w:val="en-GB"/>
              </w:rPr>
            </w:pPr>
            <w:r>
              <w:rPr>
                <w:b/>
                <w:bCs/>
                <w:sz w:val="16"/>
                <w:szCs w:val="16"/>
                <w:lang w:val="en-GB"/>
              </w:rPr>
              <w:t>R</w:t>
            </w:r>
            <w:r w:rsidR="004E6C20" w:rsidRPr="004E6C20">
              <w:rPr>
                <w:b/>
                <w:bCs/>
                <w:sz w:val="16"/>
                <w:szCs w:val="16"/>
                <w:lang w:val="en-GB"/>
              </w:rPr>
              <w:t>eference</w:t>
            </w:r>
            <w:r w:rsidR="0073460F">
              <w:rPr>
                <w:b/>
                <w:bCs/>
                <w:sz w:val="16"/>
                <w:szCs w:val="16"/>
                <w:lang w:val="en-GB"/>
              </w:rPr>
              <w:t>,</w:t>
            </w:r>
            <w:r w:rsidR="004E6C20" w:rsidRPr="004E6C20">
              <w:rPr>
                <w:b/>
                <w:bCs/>
                <w:sz w:val="16"/>
                <w:szCs w:val="16"/>
                <w:lang w:val="en-GB"/>
              </w:rPr>
              <w:t xml:space="preserve"> standards and guidelines</w:t>
            </w:r>
            <w:r w:rsidR="00F14313">
              <w:rPr>
                <w:b/>
                <w:bCs/>
                <w:sz w:val="16"/>
                <w:szCs w:val="16"/>
                <w:lang w:val="en-GB"/>
              </w:rPr>
              <w:t xml:space="preserve"> for odour characterization</w:t>
            </w:r>
          </w:p>
        </w:tc>
      </w:tr>
      <w:tr w:rsidR="0043237E" w:rsidRPr="00502BC1" w14:paraId="13DC47B3" w14:textId="77777777" w:rsidTr="00502BC1">
        <w:trPr>
          <w:trHeight w:val="197"/>
        </w:trPr>
        <w:tc>
          <w:tcPr>
            <w:tcW w:w="2127" w:type="dxa"/>
            <w:vMerge w:val="restart"/>
            <w:tcBorders>
              <w:top w:val="single" w:sz="12" w:space="0" w:color="008000"/>
              <w:bottom w:val="nil"/>
            </w:tcBorders>
            <w:shd w:val="clear" w:color="auto" w:fill="FFFFFF"/>
            <w:vAlign w:val="center"/>
          </w:tcPr>
          <w:p w14:paraId="650CA943" w14:textId="0A455FAD" w:rsidR="0043237E" w:rsidRPr="00864A4B" w:rsidRDefault="00741A6F" w:rsidP="00741A6F">
            <w:pPr>
              <w:pStyle w:val="CETBodytext"/>
              <w:jc w:val="center"/>
              <w:rPr>
                <w:b/>
                <w:bCs/>
                <w:sz w:val="16"/>
                <w:szCs w:val="16"/>
                <w:lang w:val="en-GB"/>
              </w:rPr>
            </w:pPr>
            <w:r>
              <w:rPr>
                <w:b/>
                <w:bCs/>
                <w:sz w:val="16"/>
                <w:szCs w:val="16"/>
                <w:lang w:val="en-GB"/>
              </w:rPr>
              <w:t>t</w:t>
            </w:r>
            <w:r w:rsidR="0043237E" w:rsidRPr="00864A4B">
              <w:rPr>
                <w:b/>
                <w:bCs/>
                <w:sz w:val="16"/>
                <w:szCs w:val="16"/>
                <w:lang w:val="en-GB"/>
              </w:rPr>
              <w:t>yp</w:t>
            </w:r>
            <w:r>
              <w:rPr>
                <w:b/>
                <w:bCs/>
                <w:sz w:val="16"/>
                <w:szCs w:val="16"/>
                <w:lang w:val="en-GB"/>
              </w:rPr>
              <w:t>e</w:t>
            </w:r>
          </w:p>
        </w:tc>
        <w:tc>
          <w:tcPr>
            <w:tcW w:w="2232" w:type="dxa"/>
            <w:tcBorders>
              <w:top w:val="single" w:sz="12" w:space="0" w:color="008000"/>
              <w:bottom w:val="single" w:sz="6" w:space="0" w:color="008000"/>
            </w:tcBorders>
            <w:shd w:val="clear" w:color="auto" w:fill="FFFFFF"/>
            <w:vAlign w:val="center"/>
          </w:tcPr>
          <w:p w14:paraId="31C66787" w14:textId="7EFB8261" w:rsidR="0043237E" w:rsidRPr="004E6C20" w:rsidRDefault="0043237E" w:rsidP="00741A6F">
            <w:pPr>
              <w:pStyle w:val="CETBodytext"/>
              <w:jc w:val="center"/>
              <w:rPr>
                <w:rFonts w:cs="Arial"/>
                <w:sz w:val="16"/>
                <w:szCs w:val="16"/>
                <w:lang w:val="en-GB"/>
              </w:rPr>
            </w:pPr>
            <w:r w:rsidRPr="004E6C20">
              <w:rPr>
                <w:rFonts w:cs="Arial"/>
                <w:sz w:val="16"/>
                <w:szCs w:val="16"/>
                <w:lang w:val="it-IT"/>
              </w:rPr>
              <w:t>point</w:t>
            </w:r>
          </w:p>
        </w:tc>
        <w:tc>
          <w:tcPr>
            <w:tcW w:w="3579" w:type="dxa"/>
            <w:vMerge w:val="restart"/>
            <w:tcBorders>
              <w:top w:val="single" w:sz="12" w:space="0" w:color="008000"/>
            </w:tcBorders>
            <w:shd w:val="clear" w:color="auto" w:fill="FFFFFF"/>
            <w:vAlign w:val="center"/>
          </w:tcPr>
          <w:p w14:paraId="749626F2" w14:textId="09DAA9BC" w:rsidR="00502BC1" w:rsidRPr="007C511E" w:rsidRDefault="00502BC1" w:rsidP="00502BC1">
            <w:pPr>
              <w:pStyle w:val="CETBodytext"/>
              <w:numPr>
                <w:ilvl w:val="0"/>
                <w:numId w:val="27"/>
              </w:numPr>
              <w:jc w:val="left"/>
              <w:rPr>
                <w:rFonts w:cs="Arial"/>
                <w:sz w:val="16"/>
                <w:szCs w:val="16"/>
                <w:lang w:val="sv-SE"/>
              </w:rPr>
            </w:pPr>
            <w:r w:rsidRPr="007C511E">
              <w:rPr>
                <w:rFonts w:cs="Arial"/>
                <w:sz w:val="16"/>
                <w:szCs w:val="16"/>
                <w:lang w:val="sv-SE"/>
              </w:rPr>
              <w:t>EN 13725:2022</w:t>
            </w:r>
          </w:p>
          <w:p w14:paraId="3F610EBF" w14:textId="77777777" w:rsidR="00502BC1" w:rsidRPr="007C511E" w:rsidRDefault="00502BC1" w:rsidP="00502BC1">
            <w:pPr>
              <w:pStyle w:val="CETBodytext"/>
              <w:numPr>
                <w:ilvl w:val="0"/>
                <w:numId w:val="27"/>
              </w:numPr>
              <w:ind w:right="-1"/>
              <w:jc w:val="left"/>
              <w:rPr>
                <w:rFonts w:cs="Arial"/>
                <w:sz w:val="16"/>
                <w:szCs w:val="16"/>
                <w:lang w:val="sv-SE"/>
              </w:rPr>
            </w:pPr>
            <w:r w:rsidRPr="007C511E">
              <w:rPr>
                <w:rFonts w:cs="Arial"/>
                <w:sz w:val="16"/>
                <w:szCs w:val="16"/>
                <w:lang w:val="sv-SE"/>
              </w:rPr>
              <w:t>SNPA Guidelines (2025)</w:t>
            </w:r>
          </w:p>
          <w:p w14:paraId="097F808B" w14:textId="77777777" w:rsidR="00502BC1" w:rsidRPr="007C511E" w:rsidRDefault="00502BC1" w:rsidP="00502BC1">
            <w:pPr>
              <w:pStyle w:val="CETBodytext"/>
              <w:numPr>
                <w:ilvl w:val="0"/>
                <w:numId w:val="27"/>
              </w:numPr>
              <w:jc w:val="left"/>
              <w:rPr>
                <w:rFonts w:cs="Arial"/>
                <w:sz w:val="16"/>
                <w:szCs w:val="16"/>
                <w:lang w:val="sv-SE"/>
              </w:rPr>
            </w:pPr>
            <w:r w:rsidRPr="007C511E">
              <w:rPr>
                <w:rFonts w:cs="Arial"/>
                <w:sz w:val="16"/>
                <w:szCs w:val="16"/>
                <w:lang w:val="sv-SE"/>
              </w:rPr>
              <w:t>MASE DD 309/2023</w:t>
            </w:r>
          </w:p>
          <w:p w14:paraId="7B730F16" w14:textId="77777777" w:rsidR="00502BC1" w:rsidRPr="00F56ECA" w:rsidRDefault="00502BC1" w:rsidP="00502BC1">
            <w:pPr>
              <w:pStyle w:val="CETBodytext"/>
              <w:numPr>
                <w:ilvl w:val="0"/>
                <w:numId w:val="27"/>
              </w:numPr>
              <w:jc w:val="left"/>
              <w:rPr>
                <w:sz w:val="16"/>
                <w:szCs w:val="16"/>
                <w:lang w:val="it-IT"/>
              </w:rPr>
            </w:pPr>
            <w:r w:rsidRPr="00F56ECA">
              <w:rPr>
                <w:sz w:val="16"/>
                <w:szCs w:val="16"/>
                <w:lang w:val="it-IT"/>
              </w:rPr>
              <w:t>Zarra et al., 2009</w:t>
            </w:r>
          </w:p>
          <w:p w14:paraId="0816C0D9" w14:textId="6C619EB9" w:rsidR="00502BC1" w:rsidRPr="00F56ECA" w:rsidRDefault="00502BC1" w:rsidP="00502BC1">
            <w:pPr>
              <w:pStyle w:val="CETBodytext"/>
              <w:numPr>
                <w:ilvl w:val="0"/>
                <w:numId w:val="27"/>
              </w:numPr>
              <w:jc w:val="left"/>
              <w:rPr>
                <w:lang w:val="it-IT"/>
              </w:rPr>
            </w:pPr>
            <w:r w:rsidRPr="00F56ECA">
              <w:rPr>
                <w:sz w:val="16"/>
                <w:szCs w:val="16"/>
                <w:lang w:val="it-IT"/>
              </w:rPr>
              <w:t>Belgiorno et al., 201</w:t>
            </w:r>
            <w:r w:rsidR="0024644A" w:rsidRPr="00F56ECA">
              <w:rPr>
                <w:sz w:val="16"/>
                <w:szCs w:val="16"/>
                <w:lang w:val="it-IT"/>
              </w:rPr>
              <w:t>3</w:t>
            </w:r>
          </w:p>
          <w:p w14:paraId="43427DB6" w14:textId="011EBAF1" w:rsidR="0043237E" w:rsidRPr="00502BC1" w:rsidRDefault="0043237E" w:rsidP="00502BC1">
            <w:pPr>
              <w:pStyle w:val="CETBodytext"/>
              <w:ind w:right="-1"/>
              <w:jc w:val="left"/>
              <w:rPr>
                <w:rFonts w:cs="Arial"/>
                <w:sz w:val="16"/>
                <w:szCs w:val="16"/>
                <w:lang w:val="it-IT"/>
              </w:rPr>
            </w:pPr>
          </w:p>
        </w:tc>
      </w:tr>
      <w:tr w:rsidR="0043237E" w:rsidRPr="00B57B36" w14:paraId="1869AE74" w14:textId="77777777" w:rsidTr="00317941">
        <w:trPr>
          <w:trHeight w:val="197"/>
        </w:trPr>
        <w:tc>
          <w:tcPr>
            <w:tcW w:w="2127" w:type="dxa"/>
            <w:vMerge/>
            <w:tcBorders>
              <w:top w:val="nil"/>
              <w:bottom w:val="nil"/>
            </w:tcBorders>
            <w:shd w:val="clear" w:color="auto" w:fill="FFFFFF"/>
            <w:vAlign w:val="center"/>
          </w:tcPr>
          <w:p w14:paraId="3D9F7F21" w14:textId="77777777" w:rsidR="0043237E" w:rsidRPr="00502BC1" w:rsidRDefault="0043237E" w:rsidP="004E6C20">
            <w:pPr>
              <w:pStyle w:val="CETBodytext"/>
              <w:jc w:val="center"/>
              <w:rPr>
                <w:b/>
                <w:bCs/>
                <w:sz w:val="16"/>
                <w:szCs w:val="16"/>
                <w:lang w:val="it-IT"/>
              </w:rPr>
            </w:pPr>
          </w:p>
        </w:tc>
        <w:tc>
          <w:tcPr>
            <w:tcW w:w="2232" w:type="dxa"/>
            <w:tcBorders>
              <w:top w:val="single" w:sz="6" w:space="0" w:color="008000"/>
              <w:bottom w:val="single" w:sz="6" w:space="0" w:color="008000"/>
            </w:tcBorders>
            <w:shd w:val="clear" w:color="auto" w:fill="FFFFFF"/>
            <w:vAlign w:val="center"/>
          </w:tcPr>
          <w:p w14:paraId="2ADCF473" w14:textId="7AB31D1B" w:rsidR="0043237E" w:rsidRPr="004E6C20" w:rsidRDefault="00741A6F" w:rsidP="00741A6F">
            <w:pPr>
              <w:pStyle w:val="CETBodytext"/>
              <w:jc w:val="center"/>
              <w:rPr>
                <w:rFonts w:cs="Arial"/>
                <w:sz w:val="16"/>
                <w:szCs w:val="16"/>
                <w:lang w:val="en-GB"/>
              </w:rPr>
            </w:pPr>
            <w:r>
              <w:rPr>
                <w:rFonts w:cs="Arial"/>
                <w:sz w:val="16"/>
                <w:szCs w:val="16"/>
                <w:lang w:val="it-IT"/>
              </w:rPr>
              <w:t>a</w:t>
            </w:r>
            <w:r w:rsidR="0043237E" w:rsidRPr="004E6C20">
              <w:rPr>
                <w:rFonts w:cs="Arial"/>
                <w:sz w:val="16"/>
                <w:szCs w:val="16"/>
                <w:lang w:val="it-IT"/>
              </w:rPr>
              <w:t>ctive area</w:t>
            </w:r>
            <w:r w:rsidR="00256416">
              <w:rPr>
                <w:rFonts w:cs="Arial"/>
                <w:sz w:val="16"/>
                <w:szCs w:val="16"/>
                <w:lang w:val="it-IT"/>
              </w:rPr>
              <w:t>l</w:t>
            </w:r>
          </w:p>
        </w:tc>
        <w:tc>
          <w:tcPr>
            <w:tcW w:w="3579" w:type="dxa"/>
            <w:vMerge/>
            <w:shd w:val="clear" w:color="auto" w:fill="FFFFFF"/>
          </w:tcPr>
          <w:p w14:paraId="3C6B9B21" w14:textId="12F66B92" w:rsidR="0043237E" w:rsidRPr="004E6C20" w:rsidRDefault="0043237E" w:rsidP="00864A4B">
            <w:pPr>
              <w:pStyle w:val="CETBodytext"/>
              <w:numPr>
                <w:ilvl w:val="0"/>
                <w:numId w:val="24"/>
              </w:numPr>
              <w:ind w:right="-1"/>
              <w:jc w:val="left"/>
              <w:rPr>
                <w:rFonts w:cs="Arial"/>
                <w:sz w:val="16"/>
                <w:szCs w:val="16"/>
                <w:lang w:val="en-GB"/>
              </w:rPr>
            </w:pPr>
          </w:p>
        </w:tc>
      </w:tr>
      <w:tr w:rsidR="0043237E" w:rsidRPr="00B57B36" w14:paraId="7A42AEE1" w14:textId="77777777" w:rsidTr="00317941">
        <w:trPr>
          <w:trHeight w:val="197"/>
        </w:trPr>
        <w:tc>
          <w:tcPr>
            <w:tcW w:w="2127" w:type="dxa"/>
            <w:vMerge/>
            <w:tcBorders>
              <w:top w:val="nil"/>
              <w:bottom w:val="nil"/>
            </w:tcBorders>
            <w:shd w:val="clear" w:color="auto" w:fill="FFFFFF"/>
            <w:vAlign w:val="center"/>
          </w:tcPr>
          <w:p w14:paraId="675AE971" w14:textId="77777777" w:rsidR="0043237E" w:rsidRPr="00864A4B" w:rsidRDefault="0043237E" w:rsidP="004E6C20">
            <w:pPr>
              <w:pStyle w:val="CETBodytext"/>
              <w:jc w:val="center"/>
              <w:rPr>
                <w:b/>
                <w:bCs/>
                <w:sz w:val="16"/>
                <w:szCs w:val="16"/>
                <w:lang w:val="en-GB"/>
              </w:rPr>
            </w:pPr>
          </w:p>
        </w:tc>
        <w:tc>
          <w:tcPr>
            <w:tcW w:w="2232" w:type="dxa"/>
            <w:tcBorders>
              <w:top w:val="single" w:sz="6" w:space="0" w:color="008000"/>
              <w:bottom w:val="single" w:sz="6" w:space="0" w:color="008000"/>
            </w:tcBorders>
            <w:shd w:val="clear" w:color="auto" w:fill="FFFFFF"/>
            <w:vAlign w:val="center"/>
          </w:tcPr>
          <w:p w14:paraId="25BA87E4" w14:textId="78E16A2C" w:rsidR="0043237E" w:rsidRPr="004E6C20" w:rsidRDefault="00741A6F" w:rsidP="00741A6F">
            <w:pPr>
              <w:pStyle w:val="CETBodytext"/>
              <w:jc w:val="center"/>
              <w:rPr>
                <w:rFonts w:cs="Arial"/>
                <w:sz w:val="16"/>
                <w:szCs w:val="16"/>
                <w:lang w:val="en-GB"/>
              </w:rPr>
            </w:pPr>
            <w:r>
              <w:rPr>
                <w:rFonts w:cs="Arial"/>
                <w:sz w:val="16"/>
                <w:szCs w:val="16"/>
                <w:lang w:val="it-IT"/>
              </w:rPr>
              <w:t>p</w:t>
            </w:r>
            <w:r w:rsidR="0043237E" w:rsidRPr="004E6C20">
              <w:rPr>
                <w:rFonts w:cs="Arial"/>
                <w:sz w:val="16"/>
                <w:szCs w:val="16"/>
                <w:lang w:val="it-IT"/>
              </w:rPr>
              <w:t>assive area</w:t>
            </w:r>
            <w:r w:rsidR="00256416">
              <w:rPr>
                <w:rFonts w:cs="Arial"/>
                <w:sz w:val="16"/>
                <w:szCs w:val="16"/>
                <w:lang w:val="it-IT"/>
              </w:rPr>
              <w:t>l</w:t>
            </w:r>
          </w:p>
        </w:tc>
        <w:tc>
          <w:tcPr>
            <w:tcW w:w="3579" w:type="dxa"/>
            <w:vMerge/>
            <w:shd w:val="clear" w:color="auto" w:fill="FFFFFF"/>
          </w:tcPr>
          <w:p w14:paraId="02E3B0F4" w14:textId="1289867A" w:rsidR="0043237E" w:rsidRPr="004E6C20" w:rsidRDefault="0043237E" w:rsidP="00864A4B">
            <w:pPr>
              <w:pStyle w:val="CETBodytext"/>
              <w:numPr>
                <w:ilvl w:val="0"/>
                <w:numId w:val="24"/>
              </w:numPr>
              <w:ind w:right="-1"/>
              <w:jc w:val="left"/>
              <w:rPr>
                <w:rFonts w:cs="Arial"/>
                <w:sz w:val="16"/>
                <w:szCs w:val="16"/>
                <w:lang w:val="en-GB"/>
              </w:rPr>
            </w:pPr>
          </w:p>
        </w:tc>
      </w:tr>
      <w:tr w:rsidR="0043237E" w:rsidRPr="00B57B36" w14:paraId="062F837C" w14:textId="77777777" w:rsidTr="00317941">
        <w:trPr>
          <w:trHeight w:val="188"/>
        </w:trPr>
        <w:tc>
          <w:tcPr>
            <w:tcW w:w="2127" w:type="dxa"/>
            <w:vMerge/>
            <w:tcBorders>
              <w:top w:val="nil"/>
              <w:bottom w:val="nil"/>
            </w:tcBorders>
            <w:shd w:val="clear" w:color="auto" w:fill="FFFFFF"/>
            <w:vAlign w:val="center"/>
          </w:tcPr>
          <w:p w14:paraId="5A62A58C" w14:textId="77777777" w:rsidR="0043237E" w:rsidRPr="00864A4B" w:rsidRDefault="0043237E" w:rsidP="004E6C20">
            <w:pPr>
              <w:pStyle w:val="CETBodytext"/>
              <w:ind w:right="-1"/>
              <w:jc w:val="center"/>
              <w:rPr>
                <w:rFonts w:cs="Arial"/>
                <w:b/>
                <w:bCs/>
                <w:sz w:val="16"/>
                <w:szCs w:val="16"/>
                <w:lang w:val="en-GB"/>
              </w:rPr>
            </w:pPr>
          </w:p>
        </w:tc>
        <w:tc>
          <w:tcPr>
            <w:tcW w:w="2232" w:type="dxa"/>
            <w:tcBorders>
              <w:top w:val="single" w:sz="6" w:space="0" w:color="008000"/>
              <w:bottom w:val="single" w:sz="6" w:space="0" w:color="008000"/>
            </w:tcBorders>
            <w:shd w:val="clear" w:color="auto" w:fill="FFFFFF"/>
            <w:vAlign w:val="center"/>
          </w:tcPr>
          <w:p w14:paraId="1575E313" w14:textId="3175D993" w:rsidR="0043237E" w:rsidRPr="004E6C20" w:rsidRDefault="00741A6F" w:rsidP="00741A6F">
            <w:pPr>
              <w:pStyle w:val="CETBodytext"/>
              <w:ind w:right="-1"/>
              <w:jc w:val="center"/>
              <w:rPr>
                <w:rFonts w:cs="Arial"/>
                <w:sz w:val="16"/>
                <w:szCs w:val="16"/>
                <w:lang w:val="en-GB"/>
              </w:rPr>
            </w:pPr>
            <w:r>
              <w:rPr>
                <w:rFonts w:cs="Arial"/>
                <w:sz w:val="16"/>
                <w:szCs w:val="16"/>
                <w:lang w:val="it-IT"/>
              </w:rPr>
              <w:t>v</w:t>
            </w:r>
            <w:r w:rsidR="0043237E" w:rsidRPr="004E6C20">
              <w:rPr>
                <w:rFonts w:cs="Arial"/>
                <w:sz w:val="16"/>
                <w:szCs w:val="16"/>
                <w:lang w:val="it-IT"/>
              </w:rPr>
              <w:t>olume</w:t>
            </w:r>
            <w:r w:rsidR="00256416">
              <w:rPr>
                <w:rFonts w:cs="Arial"/>
                <w:sz w:val="16"/>
                <w:szCs w:val="16"/>
                <w:lang w:val="it-IT"/>
              </w:rPr>
              <w:t>tric</w:t>
            </w:r>
          </w:p>
        </w:tc>
        <w:tc>
          <w:tcPr>
            <w:tcW w:w="3579" w:type="dxa"/>
            <w:vMerge/>
            <w:shd w:val="clear" w:color="auto" w:fill="FFFFFF"/>
          </w:tcPr>
          <w:p w14:paraId="7DA1128E" w14:textId="40F8AB68" w:rsidR="0043237E" w:rsidRPr="004E6C20" w:rsidRDefault="0043237E" w:rsidP="00864A4B">
            <w:pPr>
              <w:pStyle w:val="CETBodytext"/>
              <w:numPr>
                <w:ilvl w:val="0"/>
                <w:numId w:val="24"/>
              </w:numPr>
              <w:ind w:right="-1"/>
              <w:jc w:val="left"/>
              <w:rPr>
                <w:rFonts w:cs="Arial"/>
                <w:sz w:val="16"/>
                <w:szCs w:val="16"/>
                <w:lang w:val="en-GB"/>
              </w:rPr>
            </w:pPr>
          </w:p>
        </w:tc>
      </w:tr>
      <w:tr w:rsidR="0043237E" w:rsidRPr="004E6C20" w14:paraId="50BE5588" w14:textId="77777777" w:rsidTr="00934D25">
        <w:trPr>
          <w:trHeight w:val="314"/>
        </w:trPr>
        <w:tc>
          <w:tcPr>
            <w:tcW w:w="2127" w:type="dxa"/>
            <w:vMerge/>
            <w:tcBorders>
              <w:top w:val="nil"/>
              <w:bottom w:val="nil"/>
            </w:tcBorders>
            <w:shd w:val="clear" w:color="auto" w:fill="FFFFFF"/>
            <w:vAlign w:val="center"/>
          </w:tcPr>
          <w:p w14:paraId="24BCD2FD" w14:textId="77777777" w:rsidR="0043237E" w:rsidRPr="00864A4B" w:rsidRDefault="0043237E" w:rsidP="004E6C20">
            <w:pPr>
              <w:pStyle w:val="CETBodytext"/>
              <w:ind w:right="-1"/>
              <w:jc w:val="center"/>
              <w:rPr>
                <w:rFonts w:cs="Arial"/>
                <w:b/>
                <w:bCs/>
                <w:sz w:val="16"/>
                <w:szCs w:val="16"/>
                <w:lang w:val="en-GB"/>
              </w:rPr>
            </w:pPr>
          </w:p>
        </w:tc>
        <w:tc>
          <w:tcPr>
            <w:tcW w:w="2232" w:type="dxa"/>
            <w:tcBorders>
              <w:top w:val="single" w:sz="6" w:space="0" w:color="008000"/>
              <w:bottom w:val="single" w:sz="6" w:space="0" w:color="008000"/>
            </w:tcBorders>
            <w:shd w:val="clear" w:color="auto" w:fill="FFFFFF"/>
            <w:vAlign w:val="center"/>
          </w:tcPr>
          <w:p w14:paraId="7AF6EC1A" w14:textId="7339799D" w:rsidR="0043237E" w:rsidRPr="004E6C20" w:rsidRDefault="00741A6F" w:rsidP="00741A6F">
            <w:pPr>
              <w:pStyle w:val="CETBodytext"/>
              <w:ind w:right="-1"/>
              <w:jc w:val="center"/>
              <w:rPr>
                <w:rFonts w:cs="Arial"/>
                <w:sz w:val="16"/>
                <w:szCs w:val="16"/>
                <w:lang w:val="en-GB"/>
              </w:rPr>
            </w:pPr>
            <w:r>
              <w:rPr>
                <w:rFonts w:cs="Arial"/>
                <w:sz w:val="16"/>
                <w:szCs w:val="16"/>
                <w:lang w:val="it-IT"/>
              </w:rPr>
              <w:t>f</w:t>
            </w:r>
            <w:r w:rsidR="0043237E" w:rsidRPr="004E6C20">
              <w:rPr>
                <w:rFonts w:cs="Arial"/>
                <w:sz w:val="16"/>
                <w:szCs w:val="16"/>
                <w:lang w:val="it-IT"/>
              </w:rPr>
              <w:t>ugitive</w:t>
            </w:r>
          </w:p>
        </w:tc>
        <w:tc>
          <w:tcPr>
            <w:tcW w:w="3579" w:type="dxa"/>
            <w:vMerge/>
            <w:shd w:val="clear" w:color="auto" w:fill="FFFFFF"/>
          </w:tcPr>
          <w:p w14:paraId="5FB55FCA" w14:textId="1ED49601" w:rsidR="0043237E" w:rsidRPr="004E6C20" w:rsidRDefault="0043237E" w:rsidP="00864A4B">
            <w:pPr>
              <w:pStyle w:val="CETBodytext"/>
              <w:numPr>
                <w:ilvl w:val="0"/>
                <w:numId w:val="24"/>
              </w:numPr>
              <w:ind w:right="-1"/>
              <w:jc w:val="left"/>
              <w:rPr>
                <w:rFonts w:cs="Arial"/>
                <w:sz w:val="16"/>
                <w:szCs w:val="16"/>
                <w:lang w:val="it-IT"/>
              </w:rPr>
            </w:pPr>
          </w:p>
        </w:tc>
      </w:tr>
      <w:tr w:rsidR="0043237E" w:rsidRPr="00B57B36" w14:paraId="6C3165B0" w14:textId="77777777" w:rsidTr="00317941">
        <w:trPr>
          <w:trHeight w:val="188"/>
        </w:trPr>
        <w:tc>
          <w:tcPr>
            <w:tcW w:w="2127" w:type="dxa"/>
            <w:vMerge w:val="restart"/>
            <w:tcBorders>
              <w:top w:val="single" w:sz="12" w:space="0" w:color="008000"/>
              <w:bottom w:val="single" w:sz="6" w:space="0" w:color="008000"/>
            </w:tcBorders>
            <w:shd w:val="clear" w:color="auto" w:fill="FFFFFF"/>
            <w:vAlign w:val="center"/>
          </w:tcPr>
          <w:p w14:paraId="043E65BB" w14:textId="4EAA1B4E" w:rsidR="0043237E" w:rsidRPr="00864A4B" w:rsidRDefault="00741A6F" w:rsidP="004E6C20">
            <w:pPr>
              <w:pStyle w:val="CETBodytext"/>
              <w:ind w:right="-1"/>
              <w:jc w:val="center"/>
              <w:rPr>
                <w:rFonts w:cs="Arial"/>
                <w:b/>
                <w:bCs/>
                <w:sz w:val="16"/>
                <w:szCs w:val="16"/>
                <w:lang w:val="en-GB"/>
              </w:rPr>
            </w:pPr>
            <w:r>
              <w:rPr>
                <w:b/>
                <w:bCs/>
                <w:sz w:val="16"/>
                <w:szCs w:val="16"/>
                <w:lang w:val="it-IT"/>
              </w:rPr>
              <w:t>o</w:t>
            </w:r>
            <w:r w:rsidR="0043237E" w:rsidRPr="004E6C20">
              <w:rPr>
                <w:b/>
                <w:bCs/>
                <w:sz w:val="16"/>
                <w:szCs w:val="16"/>
                <w:lang w:val="it-IT"/>
              </w:rPr>
              <w:t>perational condition</w:t>
            </w:r>
          </w:p>
        </w:tc>
        <w:tc>
          <w:tcPr>
            <w:tcW w:w="2232" w:type="dxa"/>
            <w:tcBorders>
              <w:top w:val="single" w:sz="12" w:space="0" w:color="008000"/>
              <w:bottom w:val="single" w:sz="6" w:space="0" w:color="008000"/>
            </w:tcBorders>
            <w:shd w:val="clear" w:color="auto" w:fill="FFFFFF"/>
            <w:vAlign w:val="center"/>
          </w:tcPr>
          <w:p w14:paraId="68D171FA" w14:textId="1128A3BD" w:rsidR="0043237E" w:rsidRPr="001226FA" w:rsidRDefault="00741A6F" w:rsidP="00256416">
            <w:pPr>
              <w:pStyle w:val="CETBodytext"/>
              <w:ind w:right="-1"/>
              <w:jc w:val="center"/>
              <w:rPr>
                <w:rFonts w:cs="Arial"/>
                <w:sz w:val="16"/>
                <w:szCs w:val="16"/>
                <w:lang w:val="en-GB"/>
              </w:rPr>
            </w:pPr>
            <w:r>
              <w:rPr>
                <w:sz w:val="16"/>
                <w:szCs w:val="16"/>
                <w:lang w:val="it-IT"/>
              </w:rPr>
              <w:t>r</w:t>
            </w:r>
            <w:r w:rsidR="0043237E" w:rsidRPr="001226FA">
              <w:rPr>
                <w:sz w:val="16"/>
                <w:szCs w:val="16"/>
                <w:lang w:val="it-IT"/>
              </w:rPr>
              <w:t>eal</w:t>
            </w:r>
          </w:p>
        </w:tc>
        <w:tc>
          <w:tcPr>
            <w:tcW w:w="3579" w:type="dxa"/>
            <w:vMerge/>
            <w:shd w:val="clear" w:color="auto" w:fill="FFFFFF"/>
          </w:tcPr>
          <w:p w14:paraId="30EF6546" w14:textId="69BB3902" w:rsidR="0043237E" w:rsidRPr="001226FA" w:rsidRDefault="0043237E" w:rsidP="00864A4B">
            <w:pPr>
              <w:pStyle w:val="CETBodytext"/>
              <w:numPr>
                <w:ilvl w:val="0"/>
                <w:numId w:val="24"/>
              </w:numPr>
              <w:ind w:right="-1"/>
              <w:jc w:val="left"/>
              <w:rPr>
                <w:rFonts w:cs="Arial"/>
                <w:sz w:val="16"/>
                <w:szCs w:val="16"/>
                <w:lang w:val="en-GB"/>
              </w:rPr>
            </w:pPr>
          </w:p>
        </w:tc>
      </w:tr>
      <w:tr w:rsidR="0043237E" w:rsidRPr="00B57B36" w14:paraId="73E6A1A0" w14:textId="77777777" w:rsidTr="00317941">
        <w:trPr>
          <w:trHeight w:val="188"/>
        </w:trPr>
        <w:tc>
          <w:tcPr>
            <w:tcW w:w="2127" w:type="dxa"/>
            <w:vMerge/>
            <w:tcBorders>
              <w:top w:val="single" w:sz="6" w:space="0" w:color="008000"/>
            </w:tcBorders>
            <w:shd w:val="clear" w:color="auto" w:fill="FFFFFF"/>
            <w:vAlign w:val="center"/>
          </w:tcPr>
          <w:p w14:paraId="3CABC2F9" w14:textId="77777777" w:rsidR="0043237E" w:rsidRPr="00864A4B" w:rsidRDefault="0043237E" w:rsidP="004E6C20">
            <w:pPr>
              <w:pStyle w:val="CETBodytext"/>
              <w:ind w:right="-1"/>
              <w:jc w:val="center"/>
              <w:rPr>
                <w:rFonts w:cs="Arial"/>
                <w:b/>
                <w:bCs/>
                <w:sz w:val="16"/>
                <w:szCs w:val="16"/>
                <w:lang w:val="en-GB"/>
              </w:rPr>
            </w:pPr>
          </w:p>
        </w:tc>
        <w:tc>
          <w:tcPr>
            <w:tcW w:w="2232" w:type="dxa"/>
            <w:tcBorders>
              <w:top w:val="single" w:sz="6" w:space="0" w:color="008000"/>
              <w:bottom w:val="single" w:sz="6" w:space="0" w:color="008000"/>
            </w:tcBorders>
            <w:shd w:val="clear" w:color="auto" w:fill="FFFFFF"/>
            <w:vAlign w:val="center"/>
          </w:tcPr>
          <w:p w14:paraId="2463905E" w14:textId="572CBB85" w:rsidR="0043237E" w:rsidRPr="001226FA" w:rsidRDefault="00741A6F" w:rsidP="004E6C20">
            <w:pPr>
              <w:pStyle w:val="CETBodytext"/>
              <w:ind w:right="-1"/>
              <w:jc w:val="center"/>
              <w:rPr>
                <w:rFonts w:cs="Arial"/>
                <w:sz w:val="16"/>
                <w:szCs w:val="16"/>
                <w:lang w:val="en-GB"/>
              </w:rPr>
            </w:pPr>
            <w:r>
              <w:rPr>
                <w:sz w:val="16"/>
                <w:szCs w:val="16"/>
                <w:lang w:val="it-IT"/>
              </w:rPr>
              <w:t>p</w:t>
            </w:r>
            <w:r w:rsidR="0043237E" w:rsidRPr="001226FA">
              <w:rPr>
                <w:sz w:val="16"/>
                <w:szCs w:val="16"/>
                <w:lang w:val="it-IT"/>
              </w:rPr>
              <w:t>otential</w:t>
            </w:r>
          </w:p>
        </w:tc>
        <w:tc>
          <w:tcPr>
            <w:tcW w:w="3579" w:type="dxa"/>
            <w:vMerge/>
            <w:shd w:val="clear" w:color="auto" w:fill="FFFFFF"/>
          </w:tcPr>
          <w:p w14:paraId="1AA62BAF" w14:textId="4E86E3BB" w:rsidR="0043237E" w:rsidRPr="001226FA" w:rsidRDefault="0043237E" w:rsidP="00864A4B">
            <w:pPr>
              <w:pStyle w:val="CETBodytext"/>
              <w:numPr>
                <w:ilvl w:val="0"/>
                <w:numId w:val="24"/>
              </w:numPr>
              <w:ind w:right="-1"/>
              <w:jc w:val="left"/>
              <w:rPr>
                <w:rFonts w:cs="Arial"/>
                <w:sz w:val="16"/>
                <w:szCs w:val="16"/>
                <w:lang w:val="en-GB"/>
              </w:rPr>
            </w:pPr>
          </w:p>
        </w:tc>
      </w:tr>
      <w:tr w:rsidR="0043237E" w:rsidRPr="00B57B36" w14:paraId="4E4CD397" w14:textId="77777777" w:rsidTr="00317941">
        <w:trPr>
          <w:trHeight w:val="188"/>
        </w:trPr>
        <w:tc>
          <w:tcPr>
            <w:tcW w:w="2127" w:type="dxa"/>
            <w:vMerge/>
            <w:tcBorders>
              <w:bottom w:val="single" w:sz="12" w:space="0" w:color="008000"/>
            </w:tcBorders>
            <w:shd w:val="clear" w:color="auto" w:fill="FFFFFF"/>
            <w:vAlign w:val="center"/>
          </w:tcPr>
          <w:p w14:paraId="2319372C" w14:textId="77777777" w:rsidR="0043237E" w:rsidRPr="00864A4B" w:rsidRDefault="0043237E" w:rsidP="004E6C20">
            <w:pPr>
              <w:pStyle w:val="CETBodytext"/>
              <w:ind w:right="-1"/>
              <w:jc w:val="center"/>
              <w:rPr>
                <w:rFonts w:cs="Arial"/>
                <w:b/>
                <w:bCs/>
                <w:sz w:val="16"/>
                <w:szCs w:val="16"/>
                <w:lang w:val="en-GB"/>
              </w:rPr>
            </w:pPr>
          </w:p>
        </w:tc>
        <w:tc>
          <w:tcPr>
            <w:tcW w:w="2232" w:type="dxa"/>
            <w:tcBorders>
              <w:top w:val="single" w:sz="6" w:space="0" w:color="008000"/>
              <w:bottom w:val="single" w:sz="12" w:space="0" w:color="008000"/>
            </w:tcBorders>
            <w:shd w:val="clear" w:color="auto" w:fill="FFFFFF"/>
            <w:vAlign w:val="center"/>
          </w:tcPr>
          <w:p w14:paraId="196652C0" w14:textId="51C7E078" w:rsidR="0043237E" w:rsidRPr="001226FA" w:rsidRDefault="00741A6F" w:rsidP="004E6C20">
            <w:pPr>
              <w:pStyle w:val="CETBodytext"/>
              <w:ind w:right="-1"/>
              <w:jc w:val="center"/>
              <w:rPr>
                <w:rFonts w:cs="Arial"/>
                <w:sz w:val="16"/>
                <w:szCs w:val="16"/>
                <w:lang w:val="en-GB"/>
              </w:rPr>
            </w:pPr>
            <w:r>
              <w:rPr>
                <w:sz w:val="16"/>
                <w:szCs w:val="16"/>
                <w:lang w:val="it-IT"/>
              </w:rPr>
              <w:t>f</w:t>
            </w:r>
            <w:r w:rsidR="0043237E" w:rsidRPr="001226FA">
              <w:rPr>
                <w:sz w:val="16"/>
                <w:szCs w:val="16"/>
                <w:lang w:val="it-IT"/>
              </w:rPr>
              <w:t>uture potential</w:t>
            </w:r>
          </w:p>
        </w:tc>
        <w:tc>
          <w:tcPr>
            <w:tcW w:w="3579" w:type="dxa"/>
            <w:vMerge/>
            <w:shd w:val="clear" w:color="auto" w:fill="FFFFFF"/>
          </w:tcPr>
          <w:p w14:paraId="05815955" w14:textId="27DB6D41" w:rsidR="0043237E" w:rsidRPr="001226FA" w:rsidRDefault="0043237E" w:rsidP="00864A4B">
            <w:pPr>
              <w:pStyle w:val="CETBodytext"/>
              <w:numPr>
                <w:ilvl w:val="0"/>
                <w:numId w:val="24"/>
              </w:numPr>
              <w:ind w:right="-1"/>
              <w:jc w:val="left"/>
              <w:rPr>
                <w:rFonts w:cs="Arial"/>
                <w:sz w:val="16"/>
                <w:szCs w:val="16"/>
                <w:lang w:val="en-GB"/>
              </w:rPr>
            </w:pPr>
          </w:p>
        </w:tc>
      </w:tr>
      <w:tr w:rsidR="0043237E" w:rsidRPr="00B57B36" w14:paraId="097A7663" w14:textId="77777777" w:rsidTr="00317941">
        <w:trPr>
          <w:trHeight w:val="188"/>
        </w:trPr>
        <w:tc>
          <w:tcPr>
            <w:tcW w:w="2127" w:type="dxa"/>
            <w:vMerge w:val="restart"/>
            <w:tcBorders>
              <w:top w:val="single" w:sz="12" w:space="0" w:color="008000"/>
            </w:tcBorders>
            <w:shd w:val="clear" w:color="auto" w:fill="FFFFFF"/>
            <w:vAlign w:val="center"/>
          </w:tcPr>
          <w:p w14:paraId="30B6EEBB" w14:textId="117692D6" w:rsidR="0043237E" w:rsidRPr="00864A4B" w:rsidRDefault="00741A6F" w:rsidP="004E6C20">
            <w:pPr>
              <w:pStyle w:val="CETBodytext"/>
              <w:ind w:right="-1"/>
              <w:jc w:val="center"/>
              <w:rPr>
                <w:rFonts w:cs="Arial"/>
                <w:b/>
                <w:bCs/>
                <w:sz w:val="16"/>
                <w:szCs w:val="16"/>
                <w:lang w:val="en-GB"/>
              </w:rPr>
            </w:pPr>
            <w:r>
              <w:rPr>
                <w:rFonts w:cs="Arial"/>
                <w:b/>
                <w:bCs/>
                <w:sz w:val="16"/>
                <w:szCs w:val="16"/>
                <w:lang w:val="en-GB"/>
              </w:rPr>
              <w:t>o</w:t>
            </w:r>
            <w:r w:rsidR="0043237E" w:rsidRPr="00864A4B">
              <w:rPr>
                <w:rFonts w:cs="Arial"/>
                <w:b/>
                <w:bCs/>
                <w:sz w:val="16"/>
                <w:szCs w:val="16"/>
                <w:lang w:val="en-GB"/>
              </w:rPr>
              <w:t>rigin</w:t>
            </w:r>
          </w:p>
        </w:tc>
        <w:tc>
          <w:tcPr>
            <w:tcW w:w="2232" w:type="dxa"/>
            <w:tcBorders>
              <w:top w:val="single" w:sz="12" w:space="0" w:color="008000"/>
              <w:bottom w:val="single" w:sz="6" w:space="0" w:color="008000"/>
            </w:tcBorders>
            <w:shd w:val="clear" w:color="auto" w:fill="FFFFFF"/>
            <w:vAlign w:val="center"/>
          </w:tcPr>
          <w:p w14:paraId="74F141EA" w14:textId="601058E2" w:rsidR="0043237E" w:rsidRPr="004E6C20" w:rsidRDefault="00741A6F" w:rsidP="00741A6F">
            <w:pPr>
              <w:pStyle w:val="CETBodytext"/>
              <w:ind w:right="-1"/>
              <w:jc w:val="center"/>
              <w:rPr>
                <w:rFonts w:cs="Arial"/>
                <w:sz w:val="16"/>
                <w:szCs w:val="16"/>
                <w:lang w:val="en-GB"/>
              </w:rPr>
            </w:pPr>
            <w:r>
              <w:rPr>
                <w:sz w:val="16"/>
                <w:szCs w:val="16"/>
                <w:lang w:val="it-IT"/>
              </w:rPr>
              <w:t>d</w:t>
            </w:r>
            <w:r w:rsidR="0043237E" w:rsidRPr="004E6C20">
              <w:rPr>
                <w:sz w:val="16"/>
                <w:szCs w:val="16"/>
                <w:lang w:val="it-IT"/>
              </w:rPr>
              <w:t>irect</w:t>
            </w:r>
          </w:p>
        </w:tc>
        <w:tc>
          <w:tcPr>
            <w:tcW w:w="3579" w:type="dxa"/>
            <w:vMerge/>
            <w:shd w:val="clear" w:color="auto" w:fill="FFFFFF"/>
          </w:tcPr>
          <w:p w14:paraId="667AA0DF" w14:textId="27FB14CE" w:rsidR="0043237E" w:rsidRPr="004E6C20" w:rsidRDefault="0043237E" w:rsidP="00864A4B">
            <w:pPr>
              <w:pStyle w:val="CETBodytext"/>
              <w:numPr>
                <w:ilvl w:val="0"/>
                <w:numId w:val="24"/>
              </w:numPr>
              <w:ind w:right="-1"/>
              <w:jc w:val="left"/>
              <w:rPr>
                <w:rFonts w:cs="Arial"/>
                <w:sz w:val="16"/>
                <w:szCs w:val="16"/>
                <w:lang w:val="en-GB"/>
              </w:rPr>
            </w:pPr>
          </w:p>
        </w:tc>
      </w:tr>
      <w:tr w:rsidR="0043237E" w:rsidRPr="00B57B36" w14:paraId="5772A4D8" w14:textId="77777777" w:rsidTr="00317941">
        <w:trPr>
          <w:trHeight w:val="188"/>
        </w:trPr>
        <w:tc>
          <w:tcPr>
            <w:tcW w:w="2127" w:type="dxa"/>
            <w:vMerge/>
            <w:tcBorders>
              <w:bottom w:val="single" w:sz="18" w:space="0" w:color="008000"/>
            </w:tcBorders>
            <w:shd w:val="clear" w:color="auto" w:fill="FFFFFF"/>
            <w:vAlign w:val="center"/>
          </w:tcPr>
          <w:p w14:paraId="1A19802B" w14:textId="77777777" w:rsidR="0043237E" w:rsidRPr="004E6C20" w:rsidRDefault="0043237E" w:rsidP="004E6C20">
            <w:pPr>
              <w:pStyle w:val="CETBodytext"/>
              <w:ind w:right="-1"/>
              <w:jc w:val="center"/>
              <w:rPr>
                <w:rFonts w:cs="Arial"/>
                <w:sz w:val="16"/>
                <w:szCs w:val="16"/>
                <w:lang w:val="en-GB"/>
              </w:rPr>
            </w:pPr>
          </w:p>
        </w:tc>
        <w:tc>
          <w:tcPr>
            <w:tcW w:w="2232" w:type="dxa"/>
            <w:tcBorders>
              <w:top w:val="single" w:sz="6" w:space="0" w:color="008000"/>
              <w:bottom w:val="single" w:sz="18" w:space="0" w:color="008000"/>
            </w:tcBorders>
            <w:shd w:val="clear" w:color="auto" w:fill="FFFFFF"/>
            <w:vAlign w:val="center"/>
          </w:tcPr>
          <w:p w14:paraId="5F56A0C0" w14:textId="3C5B7637" w:rsidR="0043237E" w:rsidRPr="004E6C20" w:rsidRDefault="00741A6F" w:rsidP="004E6C20">
            <w:pPr>
              <w:pStyle w:val="CETBodytext"/>
              <w:ind w:right="-1"/>
              <w:jc w:val="center"/>
              <w:rPr>
                <w:rFonts w:cs="Arial"/>
                <w:sz w:val="16"/>
                <w:szCs w:val="16"/>
                <w:lang w:val="en-GB"/>
              </w:rPr>
            </w:pPr>
            <w:r>
              <w:rPr>
                <w:sz w:val="16"/>
                <w:szCs w:val="16"/>
                <w:lang w:val="it-IT"/>
              </w:rPr>
              <w:t>i</w:t>
            </w:r>
            <w:r w:rsidR="0043237E" w:rsidRPr="004E6C20">
              <w:rPr>
                <w:sz w:val="16"/>
                <w:szCs w:val="16"/>
                <w:lang w:val="it-IT"/>
              </w:rPr>
              <w:t>ndirect</w:t>
            </w:r>
          </w:p>
        </w:tc>
        <w:tc>
          <w:tcPr>
            <w:tcW w:w="3579" w:type="dxa"/>
            <w:vMerge/>
            <w:tcBorders>
              <w:bottom w:val="single" w:sz="18" w:space="0" w:color="008000"/>
            </w:tcBorders>
            <w:shd w:val="clear" w:color="auto" w:fill="FFFFFF"/>
          </w:tcPr>
          <w:p w14:paraId="1961C942" w14:textId="6659F388" w:rsidR="0043237E" w:rsidRPr="004E6C20" w:rsidRDefault="0043237E" w:rsidP="00864A4B">
            <w:pPr>
              <w:pStyle w:val="CETBodytext"/>
              <w:numPr>
                <w:ilvl w:val="0"/>
                <w:numId w:val="24"/>
              </w:numPr>
              <w:ind w:right="-1"/>
              <w:jc w:val="left"/>
              <w:rPr>
                <w:rFonts w:cs="Arial"/>
                <w:sz w:val="16"/>
                <w:szCs w:val="16"/>
                <w:lang w:val="en-GB"/>
              </w:rPr>
            </w:pPr>
          </w:p>
        </w:tc>
      </w:tr>
    </w:tbl>
    <w:p w14:paraId="65E408BE" w14:textId="77777777" w:rsidR="00736F8C" w:rsidRDefault="00736F8C" w:rsidP="00E47CA3">
      <w:pPr>
        <w:pStyle w:val="CETBodytext"/>
        <w:rPr>
          <w:lang w:val="en-GB"/>
        </w:rPr>
      </w:pPr>
    </w:p>
    <w:p w14:paraId="1230997D" w14:textId="18B3B6DC" w:rsidR="00803415" w:rsidRDefault="00CC5D32" w:rsidP="00E47CA3">
      <w:pPr>
        <w:pStyle w:val="CETBodytext"/>
        <w:rPr>
          <w:lang w:val="en-GB"/>
        </w:rPr>
      </w:pPr>
      <w:r w:rsidRPr="00CC5D32">
        <w:rPr>
          <w:lang w:val="en-GB"/>
        </w:rPr>
        <w:t xml:space="preserve">While for the </w:t>
      </w:r>
      <w:r w:rsidRPr="00CC5D32">
        <w:t>determina</w:t>
      </w:r>
      <w:r>
        <w:t>tion of odour concentrations by dynamic olfactometry, in accordance with UNI EN 13725:2022, a TO8 olfactometer (Ecoma GmbH, D) was employed</w:t>
      </w:r>
      <w:r w:rsidR="007A751C">
        <w:t xml:space="preserve"> (Zarra et al., 2012a)</w:t>
      </w:r>
      <w:r>
        <w:t>.</w:t>
      </w:r>
    </w:p>
    <w:p w14:paraId="7D9CC406" w14:textId="27145B6C" w:rsidR="00B84483" w:rsidRPr="00F33631" w:rsidRDefault="004814DA" w:rsidP="00D6513C">
      <w:pPr>
        <w:pStyle w:val="CETheadingx"/>
      </w:pPr>
      <w:r w:rsidRPr="00F33631">
        <w:t>Dispersion modelling and odour impact assessment</w:t>
      </w:r>
    </w:p>
    <w:p w14:paraId="09231F8B" w14:textId="1954945C" w:rsidR="00D429F9" w:rsidRDefault="00803415" w:rsidP="00803415">
      <w:pPr>
        <w:pStyle w:val="CETBodytext"/>
        <w:rPr>
          <w:lang w:eastAsia="it-IT"/>
        </w:rPr>
      </w:pPr>
      <w:r>
        <w:rPr>
          <w:lang w:eastAsia="it-IT"/>
        </w:rPr>
        <w:t xml:space="preserve">Odour dispersion was assessed using the </w:t>
      </w:r>
      <w:r w:rsidR="00C93959">
        <w:rPr>
          <w:lang w:eastAsia="it-IT"/>
        </w:rPr>
        <w:t>MMS Calpuff</w:t>
      </w:r>
      <w:r>
        <w:rPr>
          <w:lang w:eastAsia="it-IT"/>
        </w:rPr>
        <w:t xml:space="preserve"> modelling system</w:t>
      </w:r>
      <w:r w:rsidR="00C93959">
        <w:rPr>
          <w:lang w:eastAsia="it-IT"/>
        </w:rPr>
        <w:t xml:space="preserve"> (Maind srl, Italy)</w:t>
      </w:r>
      <w:r>
        <w:rPr>
          <w:lang w:eastAsia="it-IT"/>
        </w:rPr>
        <w:t xml:space="preserve">, which includes the </w:t>
      </w:r>
      <w:r w:rsidRPr="007C511E">
        <w:rPr>
          <w:lang w:eastAsia="it-IT"/>
        </w:rPr>
        <w:t xml:space="preserve">meteorological pre-processor CALMET, the dispersion model CALPUFF and the post-processing module CALPOST (Scire et al., 2000). </w:t>
      </w:r>
      <w:r w:rsidR="00C93959" w:rsidRPr="007C511E">
        <w:rPr>
          <w:lang w:eastAsia="it-IT"/>
        </w:rPr>
        <w:t>The meteorological input dataset, provided by Maind srl (Italy) for 2024, has been utilized within a prognostic model designed for environmental assessment and simulation. This dataset supports high-resolution numerical weather prediction or dispersion modeling applications, ensuring accurate spatial and temporal representation of atmospheric conditions</w:t>
      </w:r>
      <w:r w:rsidR="00C93959" w:rsidRPr="00C93959">
        <w:rPr>
          <w:lang w:eastAsia="it-IT"/>
        </w:rPr>
        <w:t xml:space="preserve">. </w:t>
      </w:r>
      <w:r>
        <w:rPr>
          <w:lang w:eastAsia="it-IT"/>
        </w:rPr>
        <w:t xml:space="preserve">The modelling domain covers an area of 4 × 4 km² </w:t>
      </w:r>
      <w:r w:rsidR="00CB40AD">
        <w:rPr>
          <w:lang w:eastAsia="it-IT"/>
        </w:rPr>
        <w:t xml:space="preserve">and 2 × 2 km², respectively for Tito and Latronico WRPs, </w:t>
      </w:r>
      <w:r>
        <w:rPr>
          <w:lang w:eastAsia="it-IT"/>
        </w:rPr>
        <w:t>with a spatial resolution of 100 m, allowing a detailed representation of local-scale dispersion processes.</w:t>
      </w:r>
      <w:r w:rsidR="00CB40AD">
        <w:rPr>
          <w:lang w:eastAsia="it-IT"/>
        </w:rPr>
        <w:t xml:space="preserve"> A peak to mean ratio of 2,3, according to the MASE DD 309/2023 guidelines was used.</w:t>
      </w:r>
      <w:r w:rsidR="0027311C">
        <w:rPr>
          <w:lang w:eastAsia="it-IT"/>
        </w:rPr>
        <w:t xml:space="preserve"> </w:t>
      </w:r>
      <w:r w:rsidR="00502BC1" w:rsidRPr="00502BC1">
        <w:rPr>
          <w:lang w:val="en-GB" w:eastAsia="it-IT"/>
        </w:rPr>
        <w:t xml:space="preserve">The results were </w:t>
      </w:r>
      <w:r w:rsidR="00C93959">
        <w:rPr>
          <w:lang w:val="en-GB" w:eastAsia="it-IT"/>
        </w:rPr>
        <w:t>evaluated</w:t>
      </w:r>
      <w:r w:rsidR="00502BC1" w:rsidRPr="00502BC1">
        <w:rPr>
          <w:lang w:val="en-GB" w:eastAsia="it-IT"/>
        </w:rPr>
        <w:t xml:space="preserve"> in accordance with the criteria defined by the Regional Law </w:t>
      </w:r>
      <w:r w:rsidR="008C10FD">
        <w:rPr>
          <w:lang w:val="en-GB" w:eastAsia="it-IT"/>
        </w:rPr>
        <w:t>of Basilicata Regione n.39/2021</w:t>
      </w:r>
      <w:r w:rsidR="00502BC1" w:rsidRPr="00502BC1">
        <w:rPr>
          <w:lang w:val="en-GB" w:eastAsia="it-IT"/>
        </w:rPr>
        <w:t xml:space="preserve"> (</w:t>
      </w:r>
      <w:r w:rsidR="008C10FD">
        <w:rPr>
          <w:lang w:val="en-GB" w:eastAsia="it-IT"/>
        </w:rPr>
        <w:t>Regione Basilicata 2021</w:t>
      </w:r>
      <w:r w:rsidR="00502BC1" w:rsidRPr="00502BC1">
        <w:rPr>
          <w:lang w:val="en-GB" w:eastAsia="it-IT"/>
        </w:rPr>
        <w:t>), which establishes odour acceptability thresholds based on the 98th percentile of hourly peak odour concentrations (OU</w:t>
      </w:r>
      <w:r w:rsidR="00502BC1" w:rsidRPr="00502BC1">
        <w:rPr>
          <w:vertAlign w:val="subscript"/>
          <w:lang w:val="en-GB" w:eastAsia="it-IT"/>
        </w:rPr>
        <w:t>E</w:t>
      </w:r>
      <w:r w:rsidR="00502BC1" w:rsidRPr="00502BC1">
        <w:rPr>
          <w:lang w:val="en-GB" w:eastAsia="it-IT"/>
        </w:rPr>
        <w:t xml:space="preserve">/m³) at sensitive receptors. Specifically, the regulation defines different threshold values depending </w:t>
      </w:r>
      <w:r w:rsidR="000B67A0">
        <w:t>on both the land-use classification of the area in which the receptors are located and the distance from the nearest emission sources. For receptors located in industrial areas, limit values of 2, 3, and 4 OU</w:t>
      </w:r>
      <w:r w:rsidR="000B67A0" w:rsidRPr="000B67A0">
        <w:rPr>
          <w:vertAlign w:val="subscript"/>
        </w:rPr>
        <w:t>E</w:t>
      </w:r>
      <w:r w:rsidR="000B67A0">
        <w:t>/m³ are established for distances respectively greater than 500 m, between 200 and 500 m, and less than 200 m</w:t>
      </w:r>
      <w:r w:rsidR="00502BC1">
        <w:rPr>
          <w:lang w:val="en-GB" w:eastAsia="it-IT"/>
        </w:rPr>
        <w:t xml:space="preserve">. </w:t>
      </w:r>
      <w:r w:rsidR="00F52509">
        <w:t>A total of 64 and 26 receptors were identified and/or validated by the Regional Agency for Environmental Protection of Basilicata (ARPAB) in the surroundings of the Tito and Latronico WRPs, respectively</w:t>
      </w:r>
      <w:r w:rsidR="00D429F9">
        <w:t xml:space="preserve">. </w:t>
      </w:r>
    </w:p>
    <w:p w14:paraId="637E95D1" w14:textId="60FAB5AA" w:rsidR="00B84483" w:rsidRDefault="004814DA" w:rsidP="004814DA">
      <w:pPr>
        <w:pStyle w:val="CETHeading1"/>
      </w:pPr>
      <w:r>
        <w:t xml:space="preserve">Results and discussion </w:t>
      </w:r>
    </w:p>
    <w:p w14:paraId="536D8F79" w14:textId="6A0AEE05" w:rsidR="00D6513C" w:rsidRPr="00D6513C" w:rsidRDefault="00886687" w:rsidP="00D6513C">
      <w:pPr>
        <w:pStyle w:val="CETheadingx"/>
      </w:pPr>
      <w:r>
        <w:t>O</w:t>
      </w:r>
      <w:r w:rsidRPr="002E40E7">
        <w:t>dour emission sources</w:t>
      </w:r>
      <w:r>
        <w:t xml:space="preserve"> identification, c</w:t>
      </w:r>
      <w:r w:rsidR="002E40E7" w:rsidRPr="002E40E7">
        <w:t xml:space="preserve">lassification </w:t>
      </w:r>
      <w:r w:rsidR="003841BD">
        <w:t>and characterization</w:t>
      </w:r>
      <w:r w:rsidR="005735EB">
        <w:t xml:space="preserve"> </w:t>
      </w:r>
    </w:p>
    <w:p w14:paraId="29621567" w14:textId="0C233C30" w:rsidR="00B16CC3" w:rsidRDefault="00733F75" w:rsidP="00733F75">
      <w:pPr>
        <w:pStyle w:val="CETBodytext"/>
        <w:rPr>
          <w:i/>
        </w:rPr>
      </w:pPr>
      <w:r w:rsidRPr="00733F75">
        <w:t xml:space="preserve">Table 2 </w:t>
      </w:r>
      <w:r w:rsidR="00D314A7">
        <w:t>summarizes</w:t>
      </w:r>
      <w:r w:rsidRPr="00733F75">
        <w:t xml:space="preserve"> the odour emission sources identified for the two </w:t>
      </w:r>
      <w:r w:rsidR="00D429F9">
        <w:t>investigated WRPs</w:t>
      </w:r>
      <w:r w:rsidRPr="00733F75">
        <w:t xml:space="preserve">, their classification, their correspondence with the </w:t>
      </w:r>
      <w:r w:rsidR="00D429F9">
        <w:t>plant layout</w:t>
      </w:r>
      <w:r w:rsidRPr="00733F75">
        <w:t xml:space="preserve"> reported in Figure 2, and the associated </w:t>
      </w:r>
      <w:r w:rsidR="00B04D0E">
        <w:t xml:space="preserve">maximum </w:t>
      </w:r>
      <w:r w:rsidRPr="00733F75">
        <w:t xml:space="preserve">odour concentrations </w:t>
      </w:r>
      <w:r w:rsidR="00D429F9">
        <w:t>detected</w:t>
      </w:r>
      <w:r w:rsidRPr="00733F75">
        <w:t xml:space="preserve"> from field measurements </w:t>
      </w:r>
      <w:r w:rsidR="00D429F9">
        <w:t>for the existing sources</w:t>
      </w:r>
      <w:r w:rsidR="0027311C">
        <w:t xml:space="preserve"> (S1 – S6)</w:t>
      </w:r>
      <w:r w:rsidR="00D429F9">
        <w:t xml:space="preserve">, </w:t>
      </w:r>
      <w:r w:rsidRPr="00733F75">
        <w:t xml:space="preserve">or </w:t>
      </w:r>
      <w:r w:rsidR="00D429F9">
        <w:t xml:space="preserve">defined </w:t>
      </w:r>
      <w:r w:rsidRPr="00733F75">
        <w:t xml:space="preserve">from </w:t>
      </w:r>
      <w:r w:rsidR="00D429F9">
        <w:t xml:space="preserve">the analysis of the scientific </w:t>
      </w:r>
      <w:r w:rsidRPr="00733F75">
        <w:t>literature</w:t>
      </w:r>
      <w:r w:rsidR="00D429F9">
        <w:t>,</w:t>
      </w:r>
      <w:r w:rsidRPr="00733F75">
        <w:t xml:space="preserve"> for </w:t>
      </w:r>
      <w:r w:rsidR="00D429F9">
        <w:t>the</w:t>
      </w:r>
      <w:r w:rsidRPr="00733F75">
        <w:t xml:space="preserve"> future sources</w:t>
      </w:r>
      <w:r w:rsidR="0027311C">
        <w:t xml:space="preserve"> (S7)</w:t>
      </w:r>
      <w:r w:rsidR="00B16CC3">
        <w:rPr>
          <w:i/>
        </w:rPr>
        <w:t xml:space="preserve">. </w:t>
      </w:r>
    </w:p>
    <w:p w14:paraId="42058AAB" w14:textId="5EDDAA76" w:rsidR="00DA6CCC" w:rsidRDefault="00DA6CCC" w:rsidP="00DA6CCC">
      <w:pPr>
        <w:pStyle w:val="CETTabletitle"/>
      </w:pPr>
      <w:r w:rsidRPr="00B57B36">
        <w:t xml:space="preserve">Table </w:t>
      </w:r>
      <w:r>
        <w:t>2</w:t>
      </w:r>
      <w:r w:rsidRPr="00B57B36">
        <w:t xml:space="preserve">: </w:t>
      </w:r>
      <w:r w:rsidRPr="004814DA">
        <w:t xml:space="preserve">Classification </w:t>
      </w:r>
      <w:r>
        <w:t>and characterization of</w:t>
      </w:r>
      <w:r w:rsidRPr="004814DA">
        <w:t xml:space="preserve"> odour emission sources</w:t>
      </w:r>
      <w:r w:rsidR="00803415">
        <w:t xml:space="preserve"> </w:t>
      </w:r>
      <w:r w:rsidR="00256416">
        <w:t>for the</w:t>
      </w:r>
      <w:r w:rsidR="00803415">
        <w:t xml:space="preserve"> </w:t>
      </w:r>
      <w:r w:rsidR="00127CA1">
        <w:t xml:space="preserve">Tito and Latronico </w:t>
      </w:r>
      <w:r w:rsidR="00256416">
        <w:t>WRP</w:t>
      </w:r>
    </w:p>
    <w:tbl>
      <w:tblPr>
        <w:tblW w:w="8787"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732"/>
        <w:gridCol w:w="1762"/>
        <w:gridCol w:w="1732"/>
        <w:gridCol w:w="49"/>
        <w:gridCol w:w="1684"/>
        <w:gridCol w:w="2828"/>
      </w:tblGrid>
      <w:tr w:rsidR="005735EB" w:rsidRPr="00B57B36" w14:paraId="38AB5283" w14:textId="28C3530C" w:rsidTr="00726730">
        <w:trPr>
          <w:trHeight w:val="172"/>
        </w:trPr>
        <w:tc>
          <w:tcPr>
            <w:tcW w:w="732" w:type="dxa"/>
            <w:vMerge w:val="restart"/>
            <w:tcBorders>
              <w:top w:val="single" w:sz="12" w:space="0" w:color="008000"/>
            </w:tcBorders>
            <w:shd w:val="clear" w:color="auto" w:fill="FFFFFF"/>
            <w:vAlign w:val="center"/>
          </w:tcPr>
          <w:p w14:paraId="69A58B19" w14:textId="77777777" w:rsidR="005735EB" w:rsidRPr="002E3AA1" w:rsidRDefault="005735EB" w:rsidP="00726730">
            <w:pPr>
              <w:pStyle w:val="CETBodytext"/>
              <w:jc w:val="center"/>
              <w:rPr>
                <w:b/>
                <w:bCs/>
                <w:szCs w:val="18"/>
                <w:lang w:val="en-GB"/>
              </w:rPr>
            </w:pPr>
            <w:r w:rsidRPr="002E3AA1">
              <w:rPr>
                <w:b/>
                <w:bCs/>
                <w:szCs w:val="18"/>
                <w:lang w:val="en-GB"/>
              </w:rPr>
              <w:t>ID Source</w:t>
            </w:r>
          </w:p>
        </w:tc>
        <w:tc>
          <w:tcPr>
            <w:tcW w:w="1762" w:type="dxa"/>
            <w:vMerge w:val="restart"/>
            <w:tcBorders>
              <w:top w:val="single" w:sz="12" w:space="0" w:color="008000"/>
            </w:tcBorders>
            <w:shd w:val="clear" w:color="auto" w:fill="FFFFFF"/>
            <w:vAlign w:val="center"/>
          </w:tcPr>
          <w:p w14:paraId="0ED63B24" w14:textId="77777777" w:rsidR="005735EB" w:rsidRPr="002E3AA1" w:rsidRDefault="005735EB" w:rsidP="00726730">
            <w:pPr>
              <w:pStyle w:val="CETBodytext"/>
              <w:jc w:val="center"/>
              <w:rPr>
                <w:b/>
                <w:bCs/>
                <w:szCs w:val="18"/>
                <w:lang w:val="en-GB"/>
              </w:rPr>
            </w:pPr>
            <w:r w:rsidRPr="002E3AA1">
              <w:rPr>
                <w:b/>
                <w:bCs/>
                <w:szCs w:val="18"/>
                <w:lang w:val="en-GB"/>
              </w:rPr>
              <w:t>Source type</w:t>
            </w:r>
          </w:p>
        </w:tc>
        <w:tc>
          <w:tcPr>
            <w:tcW w:w="3465" w:type="dxa"/>
            <w:gridSpan w:val="3"/>
            <w:tcBorders>
              <w:top w:val="single" w:sz="12" w:space="0" w:color="008000"/>
            </w:tcBorders>
            <w:shd w:val="clear" w:color="auto" w:fill="FFFFFF"/>
            <w:vAlign w:val="center"/>
          </w:tcPr>
          <w:p w14:paraId="14B27097" w14:textId="20F0923E" w:rsidR="005735EB" w:rsidRPr="002E3AA1" w:rsidRDefault="005735EB" w:rsidP="004B2713">
            <w:pPr>
              <w:pStyle w:val="CETBodytext"/>
              <w:ind w:right="-1"/>
              <w:jc w:val="center"/>
              <w:rPr>
                <w:b/>
                <w:bCs/>
                <w:szCs w:val="18"/>
                <w:lang w:val="en-GB"/>
              </w:rPr>
            </w:pPr>
            <w:r w:rsidRPr="00C01DAD">
              <w:rPr>
                <w:b/>
                <w:bCs/>
                <w:szCs w:val="18"/>
                <w:lang w:val="en-GB"/>
              </w:rPr>
              <w:t>Location</w:t>
            </w:r>
            <w:r>
              <w:rPr>
                <w:b/>
                <w:bCs/>
                <w:szCs w:val="18"/>
                <w:lang w:val="en-GB"/>
              </w:rPr>
              <w:t xml:space="preserve"> </w:t>
            </w:r>
            <w:r w:rsidRPr="001B66C9">
              <w:rPr>
                <w:bCs/>
                <w:i/>
                <w:szCs w:val="18"/>
                <w:lang w:val="en-GB"/>
              </w:rPr>
              <w:t>(Fig</w:t>
            </w:r>
            <w:r w:rsidR="001B66C9" w:rsidRPr="001B66C9">
              <w:rPr>
                <w:bCs/>
                <w:i/>
                <w:szCs w:val="18"/>
                <w:lang w:val="en-GB"/>
              </w:rPr>
              <w:t>ure</w:t>
            </w:r>
            <w:r w:rsidRPr="001B66C9">
              <w:rPr>
                <w:bCs/>
                <w:i/>
                <w:szCs w:val="18"/>
                <w:lang w:val="en-GB"/>
              </w:rPr>
              <w:t xml:space="preserve"> 2)</w:t>
            </w:r>
          </w:p>
        </w:tc>
        <w:tc>
          <w:tcPr>
            <w:tcW w:w="2828" w:type="dxa"/>
            <w:vMerge w:val="restart"/>
            <w:tcBorders>
              <w:top w:val="single" w:sz="12" w:space="0" w:color="008000"/>
            </w:tcBorders>
            <w:shd w:val="clear" w:color="auto" w:fill="FFFFFF"/>
            <w:vAlign w:val="center"/>
          </w:tcPr>
          <w:p w14:paraId="66F2C3EC" w14:textId="77777777" w:rsidR="00B04D0E" w:rsidRDefault="00B04D0E" w:rsidP="00726730">
            <w:pPr>
              <w:pStyle w:val="CETBodytext"/>
              <w:ind w:right="-1"/>
              <w:jc w:val="center"/>
              <w:rPr>
                <w:b/>
                <w:bCs/>
                <w:szCs w:val="18"/>
                <w:lang w:val="en-GB"/>
              </w:rPr>
            </w:pPr>
            <w:r>
              <w:rPr>
                <w:b/>
                <w:bCs/>
                <w:szCs w:val="18"/>
                <w:lang w:val="en-GB"/>
              </w:rPr>
              <w:t xml:space="preserve">Maximum </w:t>
            </w:r>
          </w:p>
          <w:p w14:paraId="6855C5B4" w14:textId="0EA18EDF" w:rsidR="005735EB" w:rsidRPr="002E3AA1" w:rsidRDefault="005735EB" w:rsidP="00726730">
            <w:pPr>
              <w:pStyle w:val="CETBodytext"/>
              <w:ind w:right="-1"/>
              <w:jc w:val="center"/>
              <w:rPr>
                <w:b/>
                <w:bCs/>
                <w:szCs w:val="18"/>
                <w:lang w:val="en-GB"/>
              </w:rPr>
            </w:pPr>
            <w:r w:rsidRPr="002E3AA1">
              <w:rPr>
                <w:b/>
                <w:bCs/>
                <w:szCs w:val="18"/>
                <w:lang w:val="en-GB"/>
              </w:rPr>
              <w:t>Odour concentration</w:t>
            </w:r>
          </w:p>
        </w:tc>
      </w:tr>
      <w:tr w:rsidR="005735EB" w:rsidRPr="00B57B36" w14:paraId="7D6ABFBE" w14:textId="77777777" w:rsidTr="005E47B9">
        <w:trPr>
          <w:trHeight w:val="172"/>
        </w:trPr>
        <w:tc>
          <w:tcPr>
            <w:tcW w:w="732" w:type="dxa"/>
            <w:vMerge/>
            <w:shd w:val="clear" w:color="auto" w:fill="FFFFFF"/>
            <w:vAlign w:val="center"/>
          </w:tcPr>
          <w:p w14:paraId="08E453E4" w14:textId="77777777" w:rsidR="005735EB" w:rsidRPr="002E3AA1" w:rsidRDefault="005735EB" w:rsidP="00C01DAD">
            <w:pPr>
              <w:pStyle w:val="CETBodytext"/>
              <w:jc w:val="center"/>
              <w:rPr>
                <w:b/>
                <w:bCs/>
                <w:szCs w:val="18"/>
                <w:lang w:val="en-GB"/>
              </w:rPr>
            </w:pPr>
          </w:p>
        </w:tc>
        <w:tc>
          <w:tcPr>
            <w:tcW w:w="1762" w:type="dxa"/>
            <w:vMerge/>
            <w:shd w:val="clear" w:color="auto" w:fill="FFFFFF"/>
            <w:vAlign w:val="center"/>
          </w:tcPr>
          <w:p w14:paraId="3A730EBF" w14:textId="77777777" w:rsidR="005735EB" w:rsidRPr="002E3AA1" w:rsidRDefault="005735EB" w:rsidP="00C01DAD">
            <w:pPr>
              <w:pStyle w:val="CETBodytext"/>
              <w:jc w:val="center"/>
              <w:rPr>
                <w:b/>
                <w:bCs/>
                <w:szCs w:val="18"/>
                <w:lang w:val="en-GB"/>
              </w:rPr>
            </w:pPr>
          </w:p>
        </w:tc>
        <w:tc>
          <w:tcPr>
            <w:tcW w:w="1732" w:type="dxa"/>
            <w:tcBorders>
              <w:top w:val="single" w:sz="12" w:space="0" w:color="008000"/>
            </w:tcBorders>
            <w:shd w:val="clear" w:color="auto" w:fill="FFFFFF"/>
            <w:vAlign w:val="center"/>
          </w:tcPr>
          <w:p w14:paraId="7EBE38BA" w14:textId="20A0B3C9" w:rsidR="005735EB" w:rsidRPr="002E3AA1" w:rsidRDefault="005735EB" w:rsidP="001B66C9">
            <w:pPr>
              <w:pStyle w:val="CETBodytext"/>
              <w:ind w:left="720" w:right="-1"/>
              <w:rPr>
                <w:b/>
                <w:bCs/>
                <w:szCs w:val="18"/>
                <w:lang w:val="en-GB"/>
              </w:rPr>
            </w:pPr>
            <w:r>
              <w:rPr>
                <w:b/>
                <w:bCs/>
                <w:szCs w:val="18"/>
                <w:lang w:val="en-GB"/>
              </w:rPr>
              <w:t>Tito</w:t>
            </w:r>
            <w:r w:rsidR="001B66C9">
              <w:rPr>
                <w:b/>
                <w:bCs/>
                <w:szCs w:val="18"/>
                <w:lang w:val="en-GB"/>
              </w:rPr>
              <w:t xml:space="preserve"> </w:t>
            </w:r>
            <w:r w:rsidR="001B66C9" w:rsidRPr="001B66C9">
              <w:rPr>
                <w:bCs/>
                <w:i/>
                <w:szCs w:val="18"/>
                <w:lang w:val="en-GB"/>
              </w:rPr>
              <w:t>(a)</w:t>
            </w:r>
          </w:p>
        </w:tc>
        <w:tc>
          <w:tcPr>
            <w:tcW w:w="1733" w:type="dxa"/>
            <w:gridSpan w:val="2"/>
            <w:tcBorders>
              <w:top w:val="single" w:sz="12" w:space="0" w:color="008000"/>
            </w:tcBorders>
            <w:shd w:val="clear" w:color="auto" w:fill="FFFFFF"/>
            <w:vAlign w:val="center"/>
          </w:tcPr>
          <w:p w14:paraId="6B0982B6" w14:textId="0B06FB4A" w:rsidR="005735EB" w:rsidRPr="002E3AA1" w:rsidRDefault="005735EB" w:rsidP="001B66C9">
            <w:pPr>
              <w:pStyle w:val="CETBodytext"/>
              <w:ind w:right="-1"/>
              <w:jc w:val="center"/>
              <w:rPr>
                <w:b/>
                <w:bCs/>
                <w:szCs w:val="18"/>
                <w:lang w:val="en-GB"/>
              </w:rPr>
            </w:pPr>
            <w:r>
              <w:rPr>
                <w:b/>
                <w:bCs/>
                <w:szCs w:val="18"/>
                <w:lang w:val="en-GB"/>
              </w:rPr>
              <w:t>Latronico</w:t>
            </w:r>
            <w:r w:rsidR="001B66C9">
              <w:rPr>
                <w:b/>
                <w:bCs/>
                <w:szCs w:val="18"/>
                <w:lang w:val="en-GB"/>
              </w:rPr>
              <w:t xml:space="preserve"> </w:t>
            </w:r>
            <w:r w:rsidR="001B66C9" w:rsidRPr="001B66C9">
              <w:rPr>
                <w:bCs/>
                <w:i/>
                <w:szCs w:val="18"/>
                <w:lang w:val="en-GB"/>
              </w:rPr>
              <w:t>(b)</w:t>
            </w:r>
          </w:p>
        </w:tc>
        <w:tc>
          <w:tcPr>
            <w:tcW w:w="2828" w:type="dxa"/>
            <w:vMerge/>
            <w:shd w:val="clear" w:color="auto" w:fill="FFFFFF"/>
          </w:tcPr>
          <w:p w14:paraId="66E86B56" w14:textId="77777777" w:rsidR="005735EB" w:rsidRPr="002E3AA1" w:rsidRDefault="005735EB" w:rsidP="00502BC1">
            <w:pPr>
              <w:pStyle w:val="CETBodytext"/>
              <w:ind w:right="-1"/>
              <w:jc w:val="center"/>
              <w:rPr>
                <w:b/>
                <w:bCs/>
                <w:szCs w:val="18"/>
                <w:lang w:val="en-GB"/>
              </w:rPr>
            </w:pPr>
          </w:p>
        </w:tc>
      </w:tr>
      <w:tr w:rsidR="005735EB" w:rsidRPr="00B57B36" w14:paraId="13BD6370" w14:textId="3D8E7C22" w:rsidTr="00173BDF">
        <w:trPr>
          <w:trHeight w:val="325"/>
        </w:trPr>
        <w:tc>
          <w:tcPr>
            <w:tcW w:w="732" w:type="dxa"/>
            <w:tcBorders>
              <w:top w:val="single" w:sz="4" w:space="0" w:color="008000"/>
              <w:bottom w:val="nil"/>
            </w:tcBorders>
            <w:shd w:val="clear" w:color="auto" w:fill="FFFFFF"/>
            <w:vAlign w:val="center"/>
          </w:tcPr>
          <w:p w14:paraId="1F8931F3" w14:textId="46ED4C58" w:rsidR="005735EB" w:rsidRPr="007F796C" w:rsidRDefault="005735EB" w:rsidP="005735EB">
            <w:pPr>
              <w:pStyle w:val="CETBodytext"/>
              <w:jc w:val="center"/>
              <w:rPr>
                <w:b/>
                <w:bCs/>
                <w:szCs w:val="18"/>
                <w:lang w:val="en-GB"/>
              </w:rPr>
            </w:pPr>
            <w:r w:rsidRPr="007F796C">
              <w:rPr>
                <w:szCs w:val="18"/>
                <w:lang w:val="it-IT"/>
              </w:rPr>
              <w:t>S1</w:t>
            </w:r>
          </w:p>
        </w:tc>
        <w:tc>
          <w:tcPr>
            <w:tcW w:w="1762" w:type="dxa"/>
            <w:tcBorders>
              <w:top w:val="single" w:sz="4" w:space="0" w:color="008000"/>
              <w:bottom w:val="nil"/>
            </w:tcBorders>
            <w:shd w:val="clear" w:color="auto" w:fill="FFFFFF"/>
            <w:vAlign w:val="center"/>
          </w:tcPr>
          <w:p w14:paraId="6D4E0041" w14:textId="3A841465" w:rsidR="005735EB" w:rsidRPr="007F796C" w:rsidRDefault="00256416" w:rsidP="00256416">
            <w:pPr>
              <w:pStyle w:val="CETBodytext"/>
              <w:jc w:val="center"/>
              <w:rPr>
                <w:b/>
                <w:bCs/>
                <w:szCs w:val="18"/>
                <w:lang w:val="en-GB"/>
              </w:rPr>
            </w:pPr>
            <w:r w:rsidRPr="007F796C">
              <w:rPr>
                <w:szCs w:val="18"/>
                <w:lang w:val="it-IT"/>
              </w:rPr>
              <w:t>r</w:t>
            </w:r>
            <w:r w:rsidR="005735EB" w:rsidRPr="007F796C">
              <w:rPr>
                <w:szCs w:val="18"/>
                <w:lang w:val="it-IT"/>
              </w:rPr>
              <w:t>eal</w:t>
            </w:r>
            <w:r w:rsidRPr="007F796C">
              <w:rPr>
                <w:szCs w:val="18"/>
                <w:lang w:val="it-IT"/>
              </w:rPr>
              <w:t>, conveyed point</w:t>
            </w:r>
          </w:p>
        </w:tc>
        <w:tc>
          <w:tcPr>
            <w:tcW w:w="1781" w:type="dxa"/>
            <w:gridSpan w:val="2"/>
            <w:tcBorders>
              <w:top w:val="single" w:sz="4" w:space="0" w:color="008000"/>
            </w:tcBorders>
            <w:shd w:val="clear" w:color="auto" w:fill="FFFFFF"/>
            <w:vAlign w:val="center"/>
          </w:tcPr>
          <w:p w14:paraId="6414C58E" w14:textId="5A6E94CA" w:rsidR="005735EB" w:rsidRPr="007F796C" w:rsidRDefault="005735EB" w:rsidP="00B04D0E">
            <w:pPr>
              <w:pStyle w:val="CETBodytext"/>
              <w:ind w:right="-1"/>
              <w:jc w:val="center"/>
              <w:rPr>
                <w:szCs w:val="18"/>
                <w:lang w:val="en-GB"/>
              </w:rPr>
            </w:pPr>
            <w:r w:rsidRPr="007F796C">
              <w:t xml:space="preserve">C1.2 - </w:t>
            </w:r>
            <w:r w:rsidR="00B04D0E" w:rsidRPr="007F796C">
              <w:t>e</w:t>
            </w:r>
            <w:r w:rsidRPr="007F796C">
              <w:t>xhaust stack</w:t>
            </w:r>
          </w:p>
        </w:tc>
        <w:tc>
          <w:tcPr>
            <w:tcW w:w="1684" w:type="dxa"/>
            <w:tcBorders>
              <w:top w:val="single" w:sz="4" w:space="0" w:color="008000"/>
            </w:tcBorders>
            <w:shd w:val="clear" w:color="auto" w:fill="FFFFFF"/>
            <w:vAlign w:val="center"/>
          </w:tcPr>
          <w:p w14:paraId="646CBAAB" w14:textId="49618B1F" w:rsidR="005735EB" w:rsidRPr="007F796C" w:rsidRDefault="005735EB" w:rsidP="007F796C">
            <w:pPr>
              <w:pStyle w:val="CETBodytext"/>
              <w:ind w:right="-1"/>
              <w:jc w:val="center"/>
              <w:rPr>
                <w:szCs w:val="18"/>
                <w:lang w:val="en-GB"/>
              </w:rPr>
            </w:pPr>
            <w:r w:rsidRPr="007F796C">
              <w:t xml:space="preserve">C1- </w:t>
            </w:r>
            <w:r w:rsidR="007F796C" w:rsidRPr="007F796C">
              <w:t>e</w:t>
            </w:r>
            <w:r w:rsidRPr="007F796C">
              <w:t>xhaust stacks</w:t>
            </w:r>
          </w:p>
        </w:tc>
        <w:tc>
          <w:tcPr>
            <w:tcW w:w="2828" w:type="dxa"/>
            <w:tcBorders>
              <w:top w:val="single" w:sz="4" w:space="0" w:color="008000"/>
            </w:tcBorders>
            <w:shd w:val="clear" w:color="auto" w:fill="FFFFFF"/>
            <w:vAlign w:val="center"/>
          </w:tcPr>
          <w:p w14:paraId="1E3CF3DA" w14:textId="2CC0849B" w:rsidR="005735EB" w:rsidRPr="007F796C" w:rsidRDefault="005735EB" w:rsidP="00090448">
            <w:pPr>
              <w:pStyle w:val="CETBodytext"/>
              <w:ind w:right="-1"/>
              <w:jc w:val="center"/>
            </w:pPr>
            <w:r w:rsidRPr="007F796C">
              <w:rPr>
                <w:szCs w:val="18"/>
              </w:rPr>
              <w:t xml:space="preserve">688 </w:t>
            </w:r>
            <w:r w:rsidR="00090448" w:rsidRPr="007F796C">
              <w:rPr>
                <w:szCs w:val="18"/>
              </w:rPr>
              <w:t>OU</w:t>
            </w:r>
            <w:r w:rsidRPr="007F796C">
              <w:rPr>
                <w:szCs w:val="18"/>
                <w:vertAlign w:val="subscript"/>
              </w:rPr>
              <w:t>E</w:t>
            </w:r>
            <w:r w:rsidRPr="007F796C">
              <w:rPr>
                <w:szCs w:val="18"/>
              </w:rPr>
              <w:t>/m³</w:t>
            </w:r>
          </w:p>
        </w:tc>
      </w:tr>
      <w:tr w:rsidR="005735EB" w:rsidRPr="00B57B36" w14:paraId="337565D0" w14:textId="2363C152" w:rsidTr="00173BDF">
        <w:trPr>
          <w:trHeight w:val="325"/>
        </w:trPr>
        <w:tc>
          <w:tcPr>
            <w:tcW w:w="732" w:type="dxa"/>
            <w:tcBorders>
              <w:top w:val="nil"/>
              <w:bottom w:val="nil"/>
            </w:tcBorders>
            <w:shd w:val="clear" w:color="auto" w:fill="FFFFFF"/>
            <w:vAlign w:val="center"/>
          </w:tcPr>
          <w:p w14:paraId="6F117647" w14:textId="066D4A9A" w:rsidR="005735EB" w:rsidRPr="007F796C" w:rsidRDefault="005735EB" w:rsidP="005735EB">
            <w:pPr>
              <w:pStyle w:val="CETBodytext"/>
              <w:jc w:val="center"/>
              <w:rPr>
                <w:b/>
                <w:bCs/>
                <w:szCs w:val="18"/>
                <w:lang w:val="en-GB"/>
              </w:rPr>
            </w:pPr>
            <w:r w:rsidRPr="007F796C">
              <w:rPr>
                <w:szCs w:val="18"/>
                <w:lang w:val="it-IT"/>
              </w:rPr>
              <w:t>S2</w:t>
            </w:r>
          </w:p>
        </w:tc>
        <w:tc>
          <w:tcPr>
            <w:tcW w:w="1762" w:type="dxa"/>
            <w:tcBorders>
              <w:top w:val="nil"/>
              <w:bottom w:val="nil"/>
            </w:tcBorders>
            <w:shd w:val="clear" w:color="auto" w:fill="FFFFFF"/>
            <w:vAlign w:val="center"/>
          </w:tcPr>
          <w:p w14:paraId="0BF37590" w14:textId="73D437FB" w:rsidR="005735EB" w:rsidRPr="007F796C" w:rsidRDefault="007F796C" w:rsidP="001B66C9">
            <w:pPr>
              <w:pStyle w:val="CETBodytext"/>
              <w:jc w:val="center"/>
              <w:rPr>
                <w:b/>
                <w:bCs/>
                <w:szCs w:val="18"/>
                <w:lang w:val="en-GB"/>
              </w:rPr>
            </w:pPr>
            <w:r w:rsidRPr="007F796C">
              <w:rPr>
                <w:szCs w:val="18"/>
                <w:lang w:val="it-IT"/>
              </w:rPr>
              <w:t xml:space="preserve">real </w:t>
            </w:r>
            <w:r w:rsidR="001B66C9" w:rsidRPr="007F796C">
              <w:rPr>
                <w:szCs w:val="18"/>
                <w:lang w:val="it-IT"/>
              </w:rPr>
              <w:t>p</w:t>
            </w:r>
            <w:r w:rsidR="00256416" w:rsidRPr="007F796C">
              <w:rPr>
                <w:szCs w:val="18"/>
                <w:lang w:val="it-IT"/>
              </w:rPr>
              <w:t>otential</w:t>
            </w:r>
            <w:r w:rsidR="001B66C9" w:rsidRPr="007F796C">
              <w:rPr>
                <w:szCs w:val="18"/>
                <w:lang w:val="it-IT"/>
              </w:rPr>
              <w:t>,</w:t>
            </w:r>
            <w:r w:rsidR="00256416" w:rsidRPr="007F796C">
              <w:rPr>
                <w:szCs w:val="18"/>
                <w:lang w:val="it-IT"/>
              </w:rPr>
              <w:t xml:space="preserve"> volumetric</w:t>
            </w:r>
          </w:p>
        </w:tc>
        <w:tc>
          <w:tcPr>
            <w:tcW w:w="1781" w:type="dxa"/>
            <w:gridSpan w:val="2"/>
            <w:shd w:val="clear" w:color="auto" w:fill="FFFFFF"/>
            <w:vAlign w:val="center"/>
          </w:tcPr>
          <w:p w14:paraId="0561CC99" w14:textId="74D4F54C" w:rsidR="005735EB" w:rsidRPr="007F796C" w:rsidRDefault="005735EB" w:rsidP="00B04D0E">
            <w:pPr>
              <w:pStyle w:val="CETBodytext"/>
              <w:ind w:right="-1"/>
              <w:jc w:val="center"/>
              <w:rPr>
                <w:szCs w:val="18"/>
                <w:lang w:val="en-GB"/>
              </w:rPr>
            </w:pPr>
            <w:r w:rsidRPr="007F796C">
              <w:rPr>
                <w:szCs w:val="18"/>
                <w:lang w:val="en-GB"/>
              </w:rPr>
              <w:t xml:space="preserve">C1.2- </w:t>
            </w:r>
            <w:r w:rsidR="00B04D0E" w:rsidRPr="007F796C">
              <w:rPr>
                <w:szCs w:val="18"/>
                <w:lang w:val="en-GB"/>
              </w:rPr>
              <w:t>door</w:t>
            </w:r>
            <w:r w:rsidR="007F796C" w:rsidRPr="007F796C">
              <w:rPr>
                <w:szCs w:val="18"/>
                <w:lang w:val="en-GB"/>
              </w:rPr>
              <w:t>s</w:t>
            </w:r>
          </w:p>
        </w:tc>
        <w:tc>
          <w:tcPr>
            <w:tcW w:w="1684" w:type="dxa"/>
            <w:shd w:val="clear" w:color="auto" w:fill="FFFFFF"/>
            <w:vAlign w:val="center"/>
          </w:tcPr>
          <w:p w14:paraId="15F1BADB" w14:textId="1E8181EE" w:rsidR="005735EB" w:rsidRPr="007F796C" w:rsidRDefault="005735EB" w:rsidP="007F796C">
            <w:pPr>
              <w:pStyle w:val="CETBodytext"/>
              <w:ind w:right="-1"/>
              <w:jc w:val="center"/>
              <w:rPr>
                <w:szCs w:val="18"/>
                <w:lang w:val="en-GB"/>
              </w:rPr>
            </w:pPr>
            <w:r w:rsidRPr="007F796C">
              <w:rPr>
                <w:szCs w:val="18"/>
                <w:lang w:val="en-GB"/>
              </w:rPr>
              <w:t xml:space="preserve">C1 - </w:t>
            </w:r>
            <w:r w:rsidR="007F796C" w:rsidRPr="007F796C">
              <w:rPr>
                <w:szCs w:val="18"/>
                <w:lang w:val="en-GB"/>
              </w:rPr>
              <w:t>doors</w:t>
            </w:r>
          </w:p>
        </w:tc>
        <w:tc>
          <w:tcPr>
            <w:tcW w:w="2828" w:type="dxa"/>
            <w:shd w:val="clear" w:color="auto" w:fill="FFFFFF"/>
            <w:vAlign w:val="center"/>
          </w:tcPr>
          <w:p w14:paraId="44FC396F" w14:textId="5F325AB4" w:rsidR="005735EB" w:rsidRPr="007F796C" w:rsidRDefault="005735EB" w:rsidP="00B04D0E">
            <w:pPr>
              <w:pStyle w:val="CETBodytext"/>
              <w:ind w:right="-1"/>
              <w:jc w:val="center"/>
              <w:rPr>
                <w:szCs w:val="18"/>
                <w:lang w:val="en-GB"/>
              </w:rPr>
            </w:pPr>
            <w:r w:rsidRPr="007F796C">
              <w:rPr>
                <w:szCs w:val="18"/>
              </w:rPr>
              <w:t xml:space="preserve">267 </w:t>
            </w:r>
            <w:r w:rsidR="00B04D0E" w:rsidRPr="007F796C">
              <w:rPr>
                <w:szCs w:val="18"/>
              </w:rPr>
              <w:t>OU</w:t>
            </w:r>
            <w:r w:rsidRPr="007F796C">
              <w:rPr>
                <w:szCs w:val="18"/>
                <w:vertAlign w:val="subscript"/>
              </w:rPr>
              <w:t>E</w:t>
            </w:r>
            <w:r w:rsidRPr="007F796C">
              <w:rPr>
                <w:szCs w:val="18"/>
              </w:rPr>
              <w:t>/m³</w:t>
            </w:r>
          </w:p>
        </w:tc>
      </w:tr>
      <w:tr w:rsidR="005735EB" w:rsidRPr="00B57B36" w14:paraId="4A8E444C" w14:textId="1B343E94" w:rsidTr="00173BDF">
        <w:trPr>
          <w:trHeight w:val="325"/>
        </w:trPr>
        <w:tc>
          <w:tcPr>
            <w:tcW w:w="732" w:type="dxa"/>
            <w:tcBorders>
              <w:top w:val="nil"/>
              <w:bottom w:val="nil"/>
            </w:tcBorders>
            <w:shd w:val="clear" w:color="auto" w:fill="FFFFFF"/>
            <w:vAlign w:val="center"/>
          </w:tcPr>
          <w:p w14:paraId="020B826B" w14:textId="376AEDAB" w:rsidR="005735EB" w:rsidRPr="007F796C" w:rsidRDefault="005735EB" w:rsidP="005735EB">
            <w:pPr>
              <w:pStyle w:val="CETBodytext"/>
              <w:jc w:val="center"/>
              <w:rPr>
                <w:szCs w:val="18"/>
                <w:lang w:val="it-IT"/>
              </w:rPr>
            </w:pPr>
            <w:r w:rsidRPr="007F796C">
              <w:rPr>
                <w:szCs w:val="18"/>
                <w:lang w:val="it-IT"/>
              </w:rPr>
              <w:t>S3</w:t>
            </w:r>
          </w:p>
        </w:tc>
        <w:tc>
          <w:tcPr>
            <w:tcW w:w="1762" w:type="dxa"/>
            <w:tcBorders>
              <w:top w:val="nil"/>
              <w:bottom w:val="nil"/>
            </w:tcBorders>
            <w:shd w:val="clear" w:color="auto" w:fill="FFFFFF"/>
            <w:vAlign w:val="center"/>
          </w:tcPr>
          <w:p w14:paraId="0E96E7D0" w14:textId="5ECF3936" w:rsidR="005735EB" w:rsidRPr="007F796C" w:rsidRDefault="001B66C9" w:rsidP="001B66C9">
            <w:pPr>
              <w:pStyle w:val="CETBodytext"/>
              <w:jc w:val="center"/>
              <w:rPr>
                <w:szCs w:val="18"/>
                <w:lang w:val="it-IT"/>
              </w:rPr>
            </w:pPr>
            <w:r w:rsidRPr="007F796C">
              <w:rPr>
                <w:szCs w:val="18"/>
                <w:lang w:val="it-IT"/>
              </w:rPr>
              <w:t>real, conveyed point</w:t>
            </w:r>
          </w:p>
        </w:tc>
        <w:tc>
          <w:tcPr>
            <w:tcW w:w="1781" w:type="dxa"/>
            <w:gridSpan w:val="2"/>
            <w:shd w:val="clear" w:color="auto" w:fill="FFFFFF"/>
            <w:vAlign w:val="center"/>
          </w:tcPr>
          <w:p w14:paraId="1B4C40FF" w14:textId="71E8626F" w:rsidR="005735EB" w:rsidRPr="007F796C" w:rsidRDefault="005735EB" w:rsidP="00B04D0E">
            <w:pPr>
              <w:pStyle w:val="CETBodytext"/>
              <w:ind w:right="-1"/>
              <w:jc w:val="center"/>
              <w:rPr>
                <w:szCs w:val="18"/>
                <w:lang w:val="en-GB"/>
              </w:rPr>
            </w:pPr>
            <w:r w:rsidRPr="007F796C">
              <w:t>C2.</w:t>
            </w:r>
            <w:r w:rsidR="004112A7" w:rsidRPr="007F796C">
              <w:t>2</w:t>
            </w:r>
            <w:r w:rsidRPr="007F796C">
              <w:t xml:space="preserve"> - </w:t>
            </w:r>
            <w:r w:rsidR="00B04D0E" w:rsidRPr="007F796C">
              <w:t>e</w:t>
            </w:r>
            <w:r w:rsidRPr="007F796C">
              <w:t>xhaust stack</w:t>
            </w:r>
          </w:p>
        </w:tc>
        <w:tc>
          <w:tcPr>
            <w:tcW w:w="1684" w:type="dxa"/>
            <w:shd w:val="clear" w:color="auto" w:fill="FFFFFF"/>
            <w:vAlign w:val="center"/>
          </w:tcPr>
          <w:p w14:paraId="4E47DF18" w14:textId="42D7749D" w:rsidR="005735EB" w:rsidRPr="007F796C" w:rsidRDefault="005735EB" w:rsidP="005735EB">
            <w:pPr>
              <w:pStyle w:val="CETBodytext"/>
              <w:ind w:right="-1"/>
              <w:jc w:val="center"/>
              <w:rPr>
                <w:szCs w:val="18"/>
                <w:lang w:val="en-GB"/>
              </w:rPr>
            </w:pPr>
            <w:r w:rsidRPr="007F796C">
              <w:rPr>
                <w:szCs w:val="18"/>
                <w:lang w:val="en-GB"/>
              </w:rPr>
              <w:t>-</w:t>
            </w:r>
          </w:p>
        </w:tc>
        <w:tc>
          <w:tcPr>
            <w:tcW w:w="2828" w:type="dxa"/>
            <w:shd w:val="clear" w:color="auto" w:fill="FFFFFF"/>
            <w:vAlign w:val="center"/>
          </w:tcPr>
          <w:p w14:paraId="3E5172C8" w14:textId="3B931001" w:rsidR="005735EB" w:rsidRPr="007F796C" w:rsidRDefault="005735EB" w:rsidP="00090448">
            <w:pPr>
              <w:pStyle w:val="CETBodytext"/>
              <w:ind w:right="-1"/>
              <w:jc w:val="center"/>
              <w:rPr>
                <w:szCs w:val="18"/>
                <w:lang w:val="en-GB"/>
              </w:rPr>
            </w:pPr>
            <w:r w:rsidRPr="007F796C">
              <w:rPr>
                <w:szCs w:val="18"/>
              </w:rPr>
              <w:t xml:space="preserve">176 </w:t>
            </w:r>
            <w:r w:rsidR="00090448" w:rsidRPr="007F796C">
              <w:rPr>
                <w:szCs w:val="18"/>
              </w:rPr>
              <w:t>OU</w:t>
            </w:r>
            <w:r w:rsidRPr="007F796C">
              <w:rPr>
                <w:szCs w:val="18"/>
                <w:vertAlign w:val="subscript"/>
              </w:rPr>
              <w:t>E</w:t>
            </w:r>
            <w:r w:rsidRPr="007F796C">
              <w:rPr>
                <w:szCs w:val="18"/>
              </w:rPr>
              <w:t>/m</w:t>
            </w:r>
            <w:r w:rsidRPr="007F796C">
              <w:rPr>
                <w:szCs w:val="18"/>
                <w:vertAlign w:val="superscript"/>
              </w:rPr>
              <w:t>3</w:t>
            </w:r>
          </w:p>
        </w:tc>
      </w:tr>
      <w:tr w:rsidR="005735EB" w:rsidRPr="00B57B36" w14:paraId="7FFC0F84" w14:textId="55AD3347" w:rsidTr="00173BDF">
        <w:trPr>
          <w:trHeight w:val="325"/>
        </w:trPr>
        <w:tc>
          <w:tcPr>
            <w:tcW w:w="732" w:type="dxa"/>
            <w:tcBorders>
              <w:top w:val="nil"/>
              <w:bottom w:val="nil"/>
            </w:tcBorders>
            <w:shd w:val="clear" w:color="auto" w:fill="FFFFFF"/>
            <w:vAlign w:val="center"/>
          </w:tcPr>
          <w:p w14:paraId="39CFB1E8" w14:textId="71CD1E8A" w:rsidR="005735EB" w:rsidRPr="007F796C" w:rsidRDefault="005735EB" w:rsidP="005735EB">
            <w:pPr>
              <w:pStyle w:val="CETBodytext"/>
              <w:jc w:val="center"/>
              <w:rPr>
                <w:b/>
                <w:bCs/>
                <w:szCs w:val="18"/>
                <w:lang w:val="en-GB"/>
              </w:rPr>
            </w:pPr>
            <w:r w:rsidRPr="007F796C">
              <w:rPr>
                <w:szCs w:val="18"/>
                <w:lang w:val="it-IT"/>
              </w:rPr>
              <w:t>S4</w:t>
            </w:r>
          </w:p>
        </w:tc>
        <w:tc>
          <w:tcPr>
            <w:tcW w:w="1762" w:type="dxa"/>
            <w:tcBorders>
              <w:top w:val="nil"/>
              <w:bottom w:val="nil"/>
            </w:tcBorders>
            <w:shd w:val="clear" w:color="auto" w:fill="FFFFFF"/>
            <w:vAlign w:val="center"/>
          </w:tcPr>
          <w:p w14:paraId="6FE8E6D9" w14:textId="16081C46" w:rsidR="005735EB" w:rsidRPr="007F796C" w:rsidRDefault="007F796C" w:rsidP="001B66C9">
            <w:pPr>
              <w:pStyle w:val="CETBodytext"/>
              <w:jc w:val="center"/>
              <w:rPr>
                <w:b/>
                <w:bCs/>
                <w:szCs w:val="18"/>
                <w:lang w:val="en-GB"/>
              </w:rPr>
            </w:pPr>
            <w:r w:rsidRPr="007F796C">
              <w:rPr>
                <w:szCs w:val="18"/>
                <w:lang w:val="it-IT"/>
              </w:rPr>
              <w:t xml:space="preserve">real </w:t>
            </w:r>
            <w:r w:rsidR="001B66C9" w:rsidRPr="007F796C">
              <w:rPr>
                <w:szCs w:val="18"/>
                <w:lang w:val="it-IT"/>
              </w:rPr>
              <w:t>potential, volumetric</w:t>
            </w:r>
          </w:p>
        </w:tc>
        <w:tc>
          <w:tcPr>
            <w:tcW w:w="1781" w:type="dxa"/>
            <w:gridSpan w:val="2"/>
            <w:shd w:val="clear" w:color="auto" w:fill="FFFFFF"/>
            <w:vAlign w:val="center"/>
          </w:tcPr>
          <w:p w14:paraId="47C7C862" w14:textId="28D3651D" w:rsidR="005735EB" w:rsidRPr="007F796C" w:rsidRDefault="005735EB" w:rsidP="00B04D0E">
            <w:pPr>
              <w:pStyle w:val="CETBodytext"/>
              <w:ind w:right="-1"/>
              <w:jc w:val="center"/>
              <w:rPr>
                <w:szCs w:val="18"/>
                <w:lang w:val="en-GB"/>
              </w:rPr>
            </w:pPr>
            <w:r w:rsidRPr="007F796C">
              <w:rPr>
                <w:szCs w:val="18"/>
                <w:lang w:val="en-GB"/>
              </w:rPr>
              <w:t>C2.</w:t>
            </w:r>
            <w:r w:rsidR="00B04D0E" w:rsidRPr="007F796C">
              <w:rPr>
                <w:szCs w:val="18"/>
                <w:lang w:val="en-GB"/>
              </w:rPr>
              <w:t>2</w:t>
            </w:r>
            <w:r w:rsidRPr="007F796C">
              <w:rPr>
                <w:szCs w:val="18"/>
                <w:lang w:val="en-GB"/>
              </w:rPr>
              <w:t xml:space="preserve">- </w:t>
            </w:r>
            <w:r w:rsidR="00B04D0E" w:rsidRPr="007F796C">
              <w:rPr>
                <w:szCs w:val="18"/>
                <w:lang w:val="en-GB"/>
              </w:rPr>
              <w:t>door</w:t>
            </w:r>
            <w:r w:rsidR="007F796C" w:rsidRPr="007F796C">
              <w:rPr>
                <w:szCs w:val="18"/>
                <w:lang w:val="en-GB"/>
              </w:rPr>
              <w:t>s</w:t>
            </w:r>
          </w:p>
        </w:tc>
        <w:tc>
          <w:tcPr>
            <w:tcW w:w="1684" w:type="dxa"/>
            <w:shd w:val="clear" w:color="auto" w:fill="FFFFFF"/>
            <w:vAlign w:val="center"/>
          </w:tcPr>
          <w:p w14:paraId="54ECFD4E" w14:textId="66A0072F" w:rsidR="005735EB" w:rsidRPr="007F796C" w:rsidRDefault="005735EB" w:rsidP="005735EB">
            <w:pPr>
              <w:pStyle w:val="CETBodytext"/>
              <w:ind w:right="-1"/>
              <w:jc w:val="center"/>
              <w:rPr>
                <w:szCs w:val="18"/>
                <w:lang w:val="en-GB"/>
              </w:rPr>
            </w:pPr>
            <w:r w:rsidRPr="007F796C">
              <w:rPr>
                <w:szCs w:val="18"/>
                <w:lang w:val="en-GB"/>
              </w:rPr>
              <w:t>-</w:t>
            </w:r>
          </w:p>
        </w:tc>
        <w:tc>
          <w:tcPr>
            <w:tcW w:w="2828" w:type="dxa"/>
            <w:shd w:val="clear" w:color="auto" w:fill="FFFFFF"/>
            <w:vAlign w:val="center"/>
          </w:tcPr>
          <w:p w14:paraId="709515B7" w14:textId="2D187BD1" w:rsidR="005735EB" w:rsidRPr="007F796C" w:rsidRDefault="005735EB" w:rsidP="00B04D0E">
            <w:pPr>
              <w:pStyle w:val="CETBodytext"/>
              <w:ind w:right="-1"/>
              <w:jc w:val="center"/>
              <w:rPr>
                <w:szCs w:val="18"/>
                <w:lang w:val="en-GB"/>
              </w:rPr>
            </w:pPr>
            <w:r w:rsidRPr="007F796C">
              <w:rPr>
                <w:szCs w:val="18"/>
              </w:rPr>
              <w:t xml:space="preserve">128 </w:t>
            </w:r>
            <w:r w:rsidR="00B04D0E" w:rsidRPr="007F796C">
              <w:rPr>
                <w:szCs w:val="18"/>
              </w:rPr>
              <w:t>OU</w:t>
            </w:r>
            <w:r w:rsidRPr="007F796C">
              <w:rPr>
                <w:szCs w:val="18"/>
                <w:vertAlign w:val="subscript"/>
              </w:rPr>
              <w:t>E</w:t>
            </w:r>
            <w:r w:rsidRPr="007F796C">
              <w:rPr>
                <w:szCs w:val="18"/>
              </w:rPr>
              <w:t>/m³</w:t>
            </w:r>
          </w:p>
        </w:tc>
      </w:tr>
      <w:tr w:rsidR="005735EB" w:rsidRPr="00B57B36" w14:paraId="6661B0CD" w14:textId="226EEF0A" w:rsidTr="00173BDF">
        <w:trPr>
          <w:trHeight w:val="325"/>
        </w:trPr>
        <w:tc>
          <w:tcPr>
            <w:tcW w:w="732" w:type="dxa"/>
            <w:tcBorders>
              <w:top w:val="nil"/>
              <w:bottom w:val="nil"/>
            </w:tcBorders>
            <w:shd w:val="clear" w:color="auto" w:fill="FFFFFF"/>
            <w:vAlign w:val="center"/>
          </w:tcPr>
          <w:p w14:paraId="03EC31DE" w14:textId="222B6FAE" w:rsidR="005735EB" w:rsidRPr="007F796C" w:rsidRDefault="005735EB" w:rsidP="005735EB">
            <w:pPr>
              <w:pStyle w:val="CETBodytext"/>
              <w:jc w:val="center"/>
              <w:rPr>
                <w:b/>
                <w:bCs/>
                <w:szCs w:val="18"/>
                <w:lang w:val="en-GB"/>
              </w:rPr>
            </w:pPr>
            <w:r w:rsidRPr="007F796C">
              <w:rPr>
                <w:szCs w:val="18"/>
                <w:lang w:val="it-IT"/>
              </w:rPr>
              <w:t>S5</w:t>
            </w:r>
          </w:p>
        </w:tc>
        <w:tc>
          <w:tcPr>
            <w:tcW w:w="1762" w:type="dxa"/>
            <w:tcBorders>
              <w:top w:val="nil"/>
              <w:bottom w:val="nil"/>
            </w:tcBorders>
            <w:shd w:val="clear" w:color="auto" w:fill="FFFFFF"/>
            <w:vAlign w:val="center"/>
          </w:tcPr>
          <w:p w14:paraId="1741CF51" w14:textId="0B6888EC" w:rsidR="005735EB" w:rsidRPr="007F796C" w:rsidRDefault="001B66C9" w:rsidP="001B66C9">
            <w:pPr>
              <w:pStyle w:val="CETBodytext"/>
              <w:jc w:val="center"/>
              <w:rPr>
                <w:b/>
                <w:bCs/>
                <w:szCs w:val="18"/>
                <w:lang w:val="en-GB"/>
              </w:rPr>
            </w:pPr>
            <w:r w:rsidRPr="007F796C">
              <w:rPr>
                <w:szCs w:val="18"/>
                <w:lang w:val="it-IT"/>
              </w:rPr>
              <w:t>real, passive areal</w:t>
            </w:r>
          </w:p>
        </w:tc>
        <w:tc>
          <w:tcPr>
            <w:tcW w:w="1781" w:type="dxa"/>
            <w:gridSpan w:val="2"/>
            <w:shd w:val="clear" w:color="auto" w:fill="FFFFFF"/>
            <w:vAlign w:val="center"/>
          </w:tcPr>
          <w:p w14:paraId="02F9A46E" w14:textId="4399AAB3" w:rsidR="005735EB" w:rsidRPr="007F796C" w:rsidRDefault="005735EB" w:rsidP="00B04D0E">
            <w:pPr>
              <w:pStyle w:val="CETBodytext"/>
              <w:ind w:right="-1"/>
              <w:jc w:val="center"/>
              <w:rPr>
                <w:szCs w:val="18"/>
                <w:lang w:val="en-GB"/>
              </w:rPr>
            </w:pPr>
            <w:r w:rsidRPr="007F796C">
              <w:rPr>
                <w:szCs w:val="18"/>
                <w:lang w:val="en-GB"/>
              </w:rPr>
              <w:t xml:space="preserve">A1.1 </w:t>
            </w:r>
            <w:r w:rsidR="007F796C" w:rsidRPr="007F796C">
              <w:rPr>
                <w:szCs w:val="18"/>
                <w:lang w:val="en-GB"/>
              </w:rPr>
              <w:t>-</w:t>
            </w:r>
            <w:r w:rsidRPr="007F796C">
              <w:rPr>
                <w:szCs w:val="18"/>
                <w:lang w:val="en-GB"/>
              </w:rPr>
              <w:t xml:space="preserve"> </w:t>
            </w:r>
            <w:r w:rsidR="00B04D0E" w:rsidRPr="007F796C">
              <w:rPr>
                <w:szCs w:val="18"/>
                <w:lang w:val="en-GB"/>
              </w:rPr>
              <w:t>g</w:t>
            </w:r>
            <w:r w:rsidR="00D429F9" w:rsidRPr="007F796C">
              <w:rPr>
                <w:szCs w:val="18"/>
                <w:lang w:val="en-GB"/>
              </w:rPr>
              <w:t>l</w:t>
            </w:r>
            <w:r w:rsidRPr="007F796C">
              <w:rPr>
                <w:szCs w:val="18"/>
                <w:lang w:val="en-GB"/>
              </w:rPr>
              <w:t xml:space="preserve">ass </w:t>
            </w:r>
            <w:r w:rsidR="007F796C" w:rsidRPr="007F796C">
              <w:rPr>
                <w:szCs w:val="18"/>
                <w:lang w:val="en-GB"/>
              </w:rPr>
              <w:t xml:space="preserve">open </w:t>
            </w:r>
            <w:r w:rsidR="001B66C9" w:rsidRPr="007F796C">
              <w:rPr>
                <w:szCs w:val="18"/>
                <w:lang w:val="en-GB"/>
              </w:rPr>
              <w:t>bunker</w:t>
            </w:r>
          </w:p>
        </w:tc>
        <w:tc>
          <w:tcPr>
            <w:tcW w:w="1684" w:type="dxa"/>
            <w:shd w:val="clear" w:color="auto" w:fill="FFFFFF"/>
            <w:vAlign w:val="center"/>
          </w:tcPr>
          <w:p w14:paraId="52BB1CB5" w14:textId="789AD3A6" w:rsidR="005735EB" w:rsidRPr="007F796C" w:rsidRDefault="005735EB" w:rsidP="007F796C">
            <w:pPr>
              <w:pStyle w:val="CETBodytext"/>
              <w:ind w:right="-1"/>
              <w:jc w:val="center"/>
              <w:rPr>
                <w:szCs w:val="18"/>
                <w:lang w:val="en-GB"/>
              </w:rPr>
            </w:pPr>
            <w:r w:rsidRPr="007F796C">
              <w:rPr>
                <w:szCs w:val="18"/>
                <w:lang w:val="en-GB"/>
              </w:rPr>
              <w:t>A4</w:t>
            </w:r>
            <w:r w:rsidR="007F796C" w:rsidRPr="007F796C">
              <w:rPr>
                <w:szCs w:val="18"/>
                <w:lang w:val="en-GB"/>
              </w:rPr>
              <w:t xml:space="preserve"> </w:t>
            </w:r>
            <w:r w:rsidRPr="007F796C">
              <w:rPr>
                <w:szCs w:val="18"/>
                <w:lang w:val="en-GB"/>
              </w:rPr>
              <w:t xml:space="preserve">- </w:t>
            </w:r>
            <w:r w:rsidR="007F796C" w:rsidRPr="007F796C">
              <w:rPr>
                <w:szCs w:val="18"/>
                <w:lang w:val="en-GB"/>
              </w:rPr>
              <w:t>g</w:t>
            </w:r>
            <w:r w:rsidRPr="007F796C">
              <w:rPr>
                <w:szCs w:val="18"/>
                <w:lang w:val="en-GB"/>
              </w:rPr>
              <w:t xml:space="preserve">lass </w:t>
            </w:r>
            <w:r w:rsidR="007F796C" w:rsidRPr="007F796C">
              <w:rPr>
                <w:szCs w:val="18"/>
                <w:lang w:val="en-GB"/>
              </w:rPr>
              <w:t xml:space="preserve">closed </w:t>
            </w:r>
            <w:r w:rsidRPr="007F796C">
              <w:rPr>
                <w:szCs w:val="18"/>
                <w:lang w:val="en-GB"/>
              </w:rPr>
              <w:t>container</w:t>
            </w:r>
          </w:p>
        </w:tc>
        <w:tc>
          <w:tcPr>
            <w:tcW w:w="2828" w:type="dxa"/>
            <w:shd w:val="clear" w:color="auto" w:fill="FFFFFF"/>
            <w:vAlign w:val="center"/>
          </w:tcPr>
          <w:p w14:paraId="14D5194B" w14:textId="4A7CFF04" w:rsidR="005735EB" w:rsidRPr="007F796C" w:rsidRDefault="005735EB" w:rsidP="001B66C9">
            <w:pPr>
              <w:pStyle w:val="CETBodytext"/>
              <w:ind w:right="-1"/>
              <w:jc w:val="center"/>
              <w:rPr>
                <w:szCs w:val="18"/>
                <w:lang w:val="en-GB"/>
              </w:rPr>
            </w:pPr>
            <w:r w:rsidRPr="007F796C">
              <w:rPr>
                <w:szCs w:val="18"/>
              </w:rPr>
              <w:t xml:space="preserve">450 </w:t>
            </w:r>
            <w:r w:rsidR="001B66C9" w:rsidRPr="007F796C">
              <w:rPr>
                <w:szCs w:val="18"/>
              </w:rPr>
              <w:t>OU</w:t>
            </w:r>
            <w:r w:rsidRPr="007F796C">
              <w:rPr>
                <w:szCs w:val="18"/>
                <w:vertAlign w:val="subscript"/>
              </w:rPr>
              <w:t>E</w:t>
            </w:r>
            <w:r w:rsidRPr="007F796C">
              <w:rPr>
                <w:szCs w:val="18"/>
              </w:rPr>
              <w:t>/m³</w:t>
            </w:r>
          </w:p>
        </w:tc>
      </w:tr>
      <w:tr w:rsidR="005735EB" w:rsidRPr="00B57B36" w14:paraId="6634D20D" w14:textId="4E3810BC" w:rsidTr="00256416">
        <w:trPr>
          <w:trHeight w:val="136"/>
        </w:trPr>
        <w:tc>
          <w:tcPr>
            <w:tcW w:w="732" w:type="dxa"/>
            <w:tcBorders>
              <w:top w:val="nil"/>
              <w:bottom w:val="nil"/>
            </w:tcBorders>
            <w:shd w:val="clear" w:color="auto" w:fill="FFFFFF"/>
            <w:vAlign w:val="center"/>
          </w:tcPr>
          <w:p w14:paraId="4CC88801" w14:textId="722F49C4" w:rsidR="005735EB" w:rsidRPr="007F796C" w:rsidRDefault="005735EB" w:rsidP="005735EB">
            <w:pPr>
              <w:pStyle w:val="CETBodytext"/>
              <w:ind w:right="-1"/>
              <w:jc w:val="center"/>
              <w:rPr>
                <w:rFonts w:cs="Arial"/>
                <w:szCs w:val="18"/>
                <w:lang w:val="en-GB"/>
              </w:rPr>
            </w:pPr>
            <w:r w:rsidRPr="007F796C">
              <w:rPr>
                <w:szCs w:val="18"/>
                <w:lang w:val="it-IT"/>
              </w:rPr>
              <w:t>S6</w:t>
            </w:r>
          </w:p>
        </w:tc>
        <w:tc>
          <w:tcPr>
            <w:tcW w:w="1762" w:type="dxa"/>
            <w:tcBorders>
              <w:top w:val="nil"/>
              <w:bottom w:val="nil"/>
            </w:tcBorders>
            <w:shd w:val="clear" w:color="auto" w:fill="FFFFFF"/>
            <w:vAlign w:val="center"/>
          </w:tcPr>
          <w:p w14:paraId="44167EE8" w14:textId="5A9FF25D" w:rsidR="005735EB" w:rsidRPr="007F796C" w:rsidRDefault="001B66C9" w:rsidP="001B66C9">
            <w:pPr>
              <w:pStyle w:val="CETBodytext"/>
              <w:ind w:right="-1"/>
              <w:jc w:val="center"/>
              <w:rPr>
                <w:rFonts w:cs="Arial"/>
                <w:szCs w:val="18"/>
                <w:lang w:val="en-GB"/>
              </w:rPr>
            </w:pPr>
            <w:r w:rsidRPr="007F796C">
              <w:rPr>
                <w:szCs w:val="18"/>
                <w:lang w:val="it-IT"/>
              </w:rPr>
              <w:t>r</w:t>
            </w:r>
            <w:r w:rsidR="005735EB" w:rsidRPr="007F796C">
              <w:rPr>
                <w:szCs w:val="18"/>
                <w:lang w:val="it-IT"/>
              </w:rPr>
              <w:t>eal</w:t>
            </w:r>
            <w:r w:rsidRPr="007F796C">
              <w:rPr>
                <w:szCs w:val="18"/>
                <w:lang w:val="it-IT"/>
              </w:rPr>
              <w:t>,</w:t>
            </w:r>
            <w:r w:rsidR="005735EB" w:rsidRPr="007F796C">
              <w:rPr>
                <w:szCs w:val="18"/>
                <w:lang w:val="it-IT"/>
              </w:rPr>
              <w:t xml:space="preserve"> passive </w:t>
            </w:r>
            <w:r w:rsidRPr="007F796C">
              <w:rPr>
                <w:szCs w:val="18"/>
                <w:lang w:val="it-IT"/>
              </w:rPr>
              <w:t>areal</w:t>
            </w:r>
          </w:p>
        </w:tc>
        <w:tc>
          <w:tcPr>
            <w:tcW w:w="1781" w:type="dxa"/>
            <w:gridSpan w:val="2"/>
            <w:shd w:val="clear" w:color="auto" w:fill="FFFFFF"/>
            <w:vAlign w:val="center"/>
          </w:tcPr>
          <w:p w14:paraId="569E6805" w14:textId="75AA26E1" w:rsidR="005735EB" w:rsidRPr="007F796C" w:rsidRDefault="005735EB" w:rsidP="00B04D0E">
            <w:pPr>
              <w:pStyle w:val="CETBodytext"/>
              <w:ind w:right="-1"/>
              <w:jc w:val="center"/>
              <w:rPr>
                <w:rFonts w:cs="Arial"/>
                <w:szCs w:val="18"/>
                <w:lang w:val="en-GB"/>
              </w:rPr>
            </w:pPr>
            <w:r w:rsidRPr="007F796C">
              <w:rPr>
                <w:rFonts w:cs="Arial"/>
                <w:szCs w:val="18"/>
                <w:lang w:val="en-GB"/>
              </w:rPr>
              <w:t xml:space="preserve">A1.2 - </w:t>
            </w:r>
            <w:r w:rsidR="00B04D0E" w:rsidRPr="007F796C">
              <w:rPr>
                <w:rFonts w:cs="Arial"/>
                <w:szCs w:val="18"/>
                <w:lang w:val="en-GB"/>
              </w:rPr>
              <w:t>m</w:t>
            </w:r>
            <w:r w:rsidRPr="007F796C">
              <w:rPr>
                <w:rFonts w:cs="Arial"/>
                <w:szCs w:val="18"/>
                <w:lang w:val="en-GB"/>
              </w:rPr>
              <w:t>ultimaterial storage area</w:t>
            </w:r>
          </w:p>
        </w:tc>
        <w:tc>
          <w:tcPr>
            <w:tcW w:w="1684" w:type="dxa"/>
            <w:shd w:val="clear" w:color="auto" w:fill="FFFFFF"/>
            <w:vAlign w:val="center"/>
          </w:tcPr>
          <w:p w14:paraId="2E0F5D61" w14:textId="3BC6069D" w:rsidR="005735EB" w:rsidRPr="007F796C" w:rsidRDefault="005735EB" w:rsidP="007F796C">
            <w:pPr>
              <w:pStyle w:val="CETBodytext"/>
              <w:ind w:right="-1"/>
              <w:jc w:val="center"/>
              <w:rPr>
                <w:rFonts w:cs="Arial"/>
                <w:szCs w:val="18"/>
                <w:lang w:val="en-GB"/>
              </w:rPr>
            </w:pPr>
            <w:r w:rsidRPr="007F796C">
              <w:rPr>
                <w:rFonts w:cs="Arial"/>
                <w:szCs w:val="18"/>
                <w:lang w:val="en-GB"/>
              </w:rPr>
              <w:t xml:space="preserve"> A</w:t>
            </w:r>
            <w:r w:rsidR="007F796C" w:rsidRPr="007F796C">
              <w:rPr>
                <w:rFonts w:cs="Arial"/>
                <w:szCs w:val="18"/>
                <w:lang w:val="en-GB"/>
              </w:rPr>
              <w:t>1, A2</w:t>
            </w:r>
            <w:r w:rsidRPr="007F796C">
              <w:rPr>
                <w:rFonts w:cs="Arial"/>
                <w:szCs w:val="18"/>
                <w:lang w:val="en-GB"/>
              </w:rPr>
              <w:t xml:space="preserve">  - </w:t>
            </w:r>
            <w:r w:rsidR="007F796C" w:rsidRPr="007F796C">
              <w:rPr>
                <w:rFonts w:cs="Arial"/>
                <w:szCs w:val="18"/>
                <w:lang w:val="en-GB"/>
              </w:rPr>
              <w:t>m</w:t>
            </w:r>
            <w:r w:rsidRPr="007F796C">
              <w:rPr>
                <w:rFonts w:cs="Arial"/>
                <w:szCs w:val="18"/>
                <w:lang w:val="en-GB"/>
              </w:rPr>
              <w:t>ultimaterial storage area</w:t>
            </w:r>
          </w:p>
        </w:tc>
        <w:tc>
          <w:tcPr>
            <w:tcW w:w="2828" w:type="dxa"/>
            <w:shd w:val="clear" w:color="auto" w:fill="FFFFFF"/>
            <w:vAlign w:val="center"/>
          </w:tcPr>
          <w:p w14:paraId="57E6E8DE" w14:textId="268E0D54" w:rsidR="005735EB" w:rsidRPr="007F796C" w:rsidRDefault="005735EB" w:rsidP="005735EB">
            <w:pPr>
              <w:pStyle w:val="CETBodytext"/>
              <w:ind w:right="-1"/>
              <w:jc w:val="center"/>
              <w:rPr>
                <w:rFonts w:cs="Arial"/>
                <w:szCs w:val="18"/>
                <w:lang w:val="en-GB"/>
              </w:rPr>
            </w:pPr>
            <w:r w:rsidRPr="007F796C">
              <w:rPr>
                <w:szCs w:val="18"/>
              </w:rPr>
              <w:t xml:space="preserve">318 </w:t>
            </w:r>
            <w:r w:rsidR="006C5CAC" w:rsidRPr="007F796C">
              <w:rPr>
                <w:szCs w:val="18"/>
              </w:rPr>
              <w:t>OU</w:t>
            </w:r>
            <w:r w:rsidR="006C5CAC" w:rsidRPr="007F796C">
              <w:rPr>
                <w:szCs w:val="18"/>
                <w:vertAlign w:val="subscript"/>
              </w:rPr>
              <w:t>E</w:t>
            </w:r>
            <w:r w:rsidRPr="007F796C">
              <w:rPr>
                <w:szCs w:val="18"/>
              </w:rPr>
              <w:t>/m³</w:t>
            </w:r>
          </w:p>
        </w:tc>
      </w:tr>
      <w:tr w:rsidR="00256416" w:rsidRPr="00B57B36" w14:paraId="45D78EE4" w14:textId="77777777" w:rsidTr="00173BDF">
        <w:trPr>
          <w:trHeight w:val="136"/>
        </w:trPr>
        <w:tc>
          <w:tcPr>
            <w:tcW w:w="732" w:type="dxa"/>
            <w:tcBorders>
              <w:top w:val="nil"/>
              <w:bottom w:val="single" w:sz="18" w:space="0" w:color="008000"/>
            </w:tcBorders>
            <w:shd w:val="clear" w:color="auto" w:fill="FFFFFF"/>
            <w:vAlign w:val="center"/>
          </w:tcPr>
          <w:p w14:paraId="420FCE26" w14:textId="63D2EDAD" w:rsidR="00256416" w:rsidRPr="007F796C" w:rsidRDefault="00256416" w:rsidP="005735EB">
            <w:pPr>
              <w:pStyle w:val="CETBodytext"/>
              <w:ind w:right="-1"/>
              <w:jc w:val="center"/>
              <w:rPr>
                <w:szCs w:val="18"/>
                <w:lang w:val="it-IT"/>
              </w:rPr>
            </w:pPr>
            <w:r w:rsidRPr="007F796C">
              <w:rPr>
                <w:szCs w:val="18"/>
                <w:lang w:val="it-IT"/>
              </w:rPr>
              <w:t>S7</w:t>
            </w:r>
          </w:p>
        </w:tc>
        <w:tc>
          <w:tcPr>
            <w:tcW w:w="1762" w:type="dxa"/>
            <w:tcBorders>
              <w:top w:val="nil"/>
              <w:bottom w:val="single" w:sz="18" w:space="0" w:color="008000"/>
            </w:tcBorders>
            <w:shd w:val="clear" w:color="auto" w:fill="FFFFFF"/>
            <w:vAlign w:val="center"/>
          </w:tcPr>
          <w:p w14:paraId="73646A7C" w14:textId="5C5827D2" w:rsidR="00256416" w:rsidRPr="007F796C" w:rsidRDefault="00B04D0E" w:rsidP="005735EB">
            <w:pPr>
              <w:pStyle w:val="CETBodytext"/>
              <w:ind w:right="-1"/>
              <w:jc w:val="center"/>
              <w:rPr>
                <w:szCs w:val="18"/>
                <w:lang w:val="it-IT"/>
              </w:rPr>
            </w:pPr>
            <w:r w:rsidRPr="007F796C">
              <w:rPr>
                <w:szCs w:val="18"/>
                <w:lang w:val="it-IT"/>
              </w:rPr>
              <w:t>future potential, passive areal</w:t>
            </w:r>
          </w:p>
        </w:tc>
        <w:tc>
          <w:tcPr>
            <w:tcW w:w="1781" w:type="dxa"/>
            <w:gridSpan w:val="2"/>
            <w:tcBorders>
              <w:bottom w:val="single" w:sz="18" w:space="0" w:color="008000"/>
            </w:tcBorders>
            <w:shd w:val="clear" w:color="auto" w:fill="FFFFFF"/>
            <w:vAlign w:val="center"/>
          </w:tcPr>
          <w:p w14:paraId="6E55F95A" w14:textId="3A3FEF57" w:rsidR="00256416" w:rsidRPr="007F796C" w:rsidRDefault="00B04D0E" w:rsidP="005735EB">
            <w:pPr>
              <w:pStyle w:val="CETBodytext"/>
              <w:ind w:right="-1"/>
              <w:jc w:val="center"/>
              <w:rPr>
                <w:rFonts w:cs="Arial"/>
                <w:szCs w:val="18"/>
                <w:lang w:val="en-GB"/>
              </w:rPr>
            </w:pPr>
            <w:r w:rsidRPr="007F796C">
              <w:rPr>
                <w:rFonts w:cs="Arial"/>
                <w:szCs w:val="18"/>
                <w:lang w:val="en-GB"/>
              </w:rPr>
              <w:t xml:space="preserve">A2.1 </w:t>
            </w:r>
            <w:r w:rsidR="007F796C" w:rsidRPr="007F796C">
              <w:rPr>
                <w:szCs w:val="18"/>
                <w:lang w:val="en-GB"/>
              </w:rPr>
              <w:t>-</w:t>
            </w:r>
            <w:r w:rsidRPr="007F796C">
              <w:rPr>
                <w:rFonts w:cs="Arial"/>
                <w:szCs w:val="18"/>
                <w:lang w:val="en-GB"/>
              </w:rPr>
              <w:t xml:space="preserve"> organic fraction bunker</w:t>
            </w:r>
          </w:p>
        </w:tc>
        <w:tc>
          <w:tcPr>
            <w:tcW w:w="1684" w:type="dxa"/>
            <w:tcBorders>
              <w:bottom w:val="single" w:sz="18" w:space="0" w:color="008000"/>
            </w:tcBorders>
            <w:shd w:val="clear" w:color="auto" w:fill="FFFFFF"/>
            <w:vAlign w:val="center"/>
          </w:tcPr>
          <w:p w14:paraId="734BD785" w14:textId="2ABA2516" w:rsidR="00256416" w:rsidRPr="007F796C" w:rsidRDefault="007F796C" w:rsidP="005735EB">
            <w:pPr>
              <w:pStyle w:val="CETBodytext"/>
              <w:ind w:right="-1"/>
              <w:jc w:val="center"/>
              <w:rPr>
                <w:rFonts w:cs="Arial"/>
                <w:szCs w:val="18"/>
                <w:lang w:val="en-GB"/>
              </w:rPr>
            </w:pPr>
            <w:r>
              <w:rPr>
                <w:rFonts w:cs="Arial"/>
                <w:szCs w:val="18"/>
                <w:lang w:val="en-GB"/>
              </w:rPr>
              <w:t>-</w:t>
            </w:r>
          </w:p>
        </w:tc>
        <w:tc>
          <w:tcPr>
            <w:tcW w:w="2828" w:type="dxa"/>
            <w:tcBorders>
              <w:bottom w:val="single" w:sz="18" w:space="0" w:color="008000"/>
            </w:tcBorders>
            <w:shd w:val="clear" w:color="auto" w:fill="FFFFFF"/>
            <w:vAlign w:val="center"/>
          </w:tcPr>
          <w:p w14:paraId="3F9803D3" w14:textId="70E27BCF" w:rsidR="00256416" w:rsidRPr="007F796C" w:rsidRDefault="00B04D0E" w:rsidP="005735EB">
            <w:pPr>
              <w:pStyle w:val="CETBodytext"/>
              <w:ind w:right="-1"/>
              <w:jc w:val="center"/>
              <w:rPr>
                <w:szCs w:val="18"/>
              </w:rPr>
            </w:pPr>
            <w:r w:rsidRPr="007F796C">
              <w:rPr>
                <w:szCs w:val="18"/>
              </w:rPr>
              <w:t>4380 OU</w:t>
            </w:r>
            <w:r w:rsidRPr="007F796C">
              <w:rPr>
                <w:szCs w:val="18"/>
                <w:vertAlign w:val="subscript"/>
              </w:rPr>
              <w:t>E</w:t>
            </w:r>
            <w:r w:rsidRPr="007F796C">
              <w:rPr>
                <w:szCs w:val="18"/>
              </w:rPr>
              <w:t>/m</w:t>
            </w:r>
            <w:r w:rsidRPr="007F796C">
              <w:rPr>
                <w:szCs w:val="18"/>
                <w:vertAlign w:val="superscript"/>
              </w:rPr>
              <w:t>3</w:t>
            </w:r>
          </w:p>
        </w:tc>
      </w:tr>
    </w:tbl>
    <w:p w14:paraId="59B00561" w14:textId="77777777" w:rsidR="008F0916" w:rsidRDefault="008F0916" w:rsidP="00064554">
      <w:pPr>
        <w:pStyle w:val="CETBodytext"/>
      </w:pPr>
    </w:p>
    <w:p w14:paraId="2140250D" w14:textId="4D7F21C9" w:rsidR="00064554" w:rsidRPr="00064554" w:rsidRDefault="00D314A7" w:rsidP="00064554">
      <w:pPr>
        <w:pStyle w:val="CETBodytext"/>
        <w:rPr>
          <w:lang w:val="en-GB"/>
        </w:rPr>
      </w:pPr>
      <w:r>
        <w:t xml:space="preserve">Overall, a maximum of seven emission sources were identified. </w:t>
      </w:r>
      <w:r w:rsidR="00064554" w:rsidRPr="00064554">
        <w:t xml:space="preserve">The identified sources include conveyed point sources associated with exhaust stacks, volumetric sources related to industrial building doors used for the passage of transport vehicles for waste unloading and/or for mechanical equipment dedicated to waste handling (front loaders), and passive areal sources linked to external storage units, namely the open concrete bunker for glass, the closed container for glass, the closed concrete </w:t>
      </w:r>
      <w:r w:rsidR="00064554" w:rsidRPr="00064554">
        <w:rPr>
          <w:lang w:val="en-GB"/>
        </w:rPr>
        <w:t xml:space="preserve">bunker for the organic fraction, and the multimaterial storage area. </w:t>
      </w:r>
    </w:p>
    <w:p w14:paraId="0CC686C5" w14:textId="7B634B4C" w:rsidR="00733F75" w:rsidRPr="00064554" w:rsidRDefault="00064554" w:rsidP="00064554">
      <w:pPr>
        <w:pStyle w:val="CETBodytext"/>
        <w:rPr>
          <w:lang w:val="en-GB"/>
        </w:rPr>
      </w:pPr>
      <w:r w:rsidRPr="00064554">
        <w:rPr>
          <w:lang w:val="en-GB"/>
        </w:rPr>
        <w:lastRenderedPageBreak/>
        <w:t>The highest odour concentration at the Tito plant was detected at the exhaust air stack of the main waste treatment building (C1.2), with a value of 688 OU</w:t>
      </w:r>
      <w:r w:rsidRPr="00064554">
        <w:rPr>
          <w:vertAlign w:val="subscript"/>
          <w:lang w:val="en-GB"/>
        </w:rPr>
        <w:t>E</w:t>
      </w:r>
      <w:r w:rsidRPr="00064554">
        <w:rPr>
          <w:lang w:val="en-GB"/>
        </w:rPr>
        <w:t>/m³, while the lowest concentration was detected at the door openings of building C2.2, with a value of 128 OU</w:t>
      </w:r>
      <w:r w:rsidRPr="00064554">
        <w:rPr>
          <w:vertAlign w:val="subscript"/>
          <w:lang w:val="en-GB"/>
        </w:rPr>
        <w:t>E</w:t>
      </w:r>
      <w:r w:rsidRPr="00064554">
        <w:rPr>
          <w:lang w:val="en-GB"/>
        </w:rPr>
        <w:t>/m³</w:t>
      </w:r>
      <w:r w:rsidR="00733F75" w:rsidRPr="00064554">
        <w:rPr>
          <w:lang w:val="en-GB"/>
        </w:rPr>
        <w:t>.</w:t>
      </w:r>
    </w:p>
    <w:p w14:paraId="5085C804" w14:textId="14B9AA41" w:rsidR="00D6513C" w:rsidRDefault="008F0916" w:rsidP="001C3F22">
      <w:pPr>
        <w:pStyle w:val="CETheadingx"/>
      </w:pPr>
      <w:r>
        <w:t xml:space="preserve">Odour impact assessment </w:t>
      </w:r>
      <w:r w:rsidR="003841BD" w:rsidRPr="00C01DAD">
        <w:t xml:space="preserve"> </w:t>
      </w:r>
    </w:p>
    <w:p w14:paraId="716F180E" w14:textId="34FC129C" w:rsidR="001C3F22" w:rsidRDefault="009379DD" w:rsidP="001C3F22">
      <w:pPr>
        <w:pStyle w:val="CETBodytext"/>
        <w:rPr>
          <w:lang w:val="en-GB"/>
        </w:rPr>
      </w:pPr>
      <w:r>
        <w:t>Figure 3 shows the annual 98th percentile isoconcentration maps of hourly peak odour concentrations for the Tito and Latronico WRPs, obtained according to the methodological framework established by the Basilicata Regional Law L.R. 39/2021.</w:t>
      </w:r>
    </w:p>
    <w:p w14:paraId="13B913F2" w14:textId="77777777" w:rsidR="00E47B80" w:rsidRDefault="00E47B80" w:rsidP="001C3F22">
      <w:pPr>
        <w:pStyle w:val="CETBodytext"/>
        <w:rPr>
          <w:lang w:val="en-GB"/>
        </w:rPr>
      </w:pPr>
    </w:p>
    <w:p w14:paraId="1AE91322" w14:textId="311BB896" w:rsidR="00C01DAD" w:rsidRDefault="0027311C" w:rsidP="0027311C">
      <w:pPr>
        <w:pStyle w:val="CETBodytext"/>
        <w:jc w:val="center"/>
        <w:rPr>
          <w:lang w:val="en-GB"/>
        </w:rPr>
      </w:pPr>
      <w:r>
        <w:rPr>
          <w:noProof/>
          <w:lang w:val="it-IT" w:eastAsia="it-IT"/>
        </w:rPr>
        <mc:AlternateContent>
          <mc:Choice Requires="wps">
            <w:drawing>
              <wp:anchor distT="0" distB="0" distL="114300" distR="114300" simplePos="0" relativeHeight="251661312" behindDoc="0" locked="0" layoutInCell="1" allowOverlap="1" wp14:anchorId="672F4C06" wp14:editId="2D7E8C92">
                <wp:simplePos x="0" y="0"/>
                <wp:positionH relativeFrom="column">
                  <wp:posOffset>3572510</wp:posOffset>
                </wp:positionH>
                <wp:positionV relativeFrom="paragraph">
                  <wp:posOffset>2661707</wp:posOffset>
                </wp:positionV>
                <wp:extent cx="374072" cy="309563"/>
                <wp:effectExtent l="0" t="0" r="0" b="0"/>
                <wp:wrapNone/>
                <wp:docPr id="1459970953" name="Casella di testo 1"/>
                <wp:cNvGraphicFramePr/>
                <a:graphic xmlns:a="http://schemas.openxmlformats.org/drawingml/2006/main">
                  <a:graphicData uri="http://schemas.microsoft.com/office/word/2010/wordprocessingShape">
                    <wps:wsp>
                      <wps:cNvSpPr txBox="1"/>
                      <wps:spPr>
                        <a:xfrm>
                          <a:off x="0" y="0"/>
                          <a:ext cx="374072" cy="309563"/>
                        </a:xfrm>
                        <a:prstGeom prst="rect">
                          <a:avLst/>
                        </a:prstGeom>
                        <a:noFill/>
                        <a:ln w="6350">
                          <a:noFill/>
                        </a:ln>
                      </wps:spPr>
                      <wps:txbx>
                        <w:txbxContent>
                          <w:p w14:paraId="66F60FE0" w14:textId="29FE52BD" w:rsidR="0043237E" w:rsidRPr="00BD425F" w:rsidRDefault="0043237E" w:rsidP="0043237E">
                            <w:pPr>
                              <w:jc w:val="center"/>
                              <w:rPr>
                                <w:b/>
                                <w:bCs/>
                                <w:sz w:val="16"/>
                                <w:szCs w:val="18"/>
                              </w:rPr>
                            </w:pPr>
                            <w:r w:rsidRPr="00BD425F">
                              <w:rPr>
                                <w:b/>
                                <w:bCs/>
                                <w:sz w:val="16"/>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2F4C06" id="_x0000_t202" coordsize="21600,21600" o:spt="202" path="m,l,21600r21600,l21600,xe">
                <v:stroke joinstyle="miter"/>
                <v:path gradientshapeok="t" o:connecttype="rect"/>
              </v:shapetype>
              <v:shape id="Casella di testo 1" o:spid="_x0000_s1026" type="#_x0000_t202" style="position:absolute;left:0;text-align:left;margin-left:281.3pt;margin-top:209.6pt;width:29.45pt;height:2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" filled="f" stroked="f" strokeweight=".5pt">
                <v:textbox>
                  <w:txbxContent>
                    <w:p w14:paraId="66F60FE0" w14:textId="29FE52BD" w:rsidR="0043237E" w:rsidRPr="00BD425F" w:rsidRDefault="0043237E" w:rsidP="0043237E">
                      <w:pPr>
                        <w:jc w:val="center"/>
                        <w:rPr>
                          <w:b/>
                          <w:bCs/>
                          <w:sz w:val="16"/>
                          <w:szCs w:val="18"/>
                        </w:rPr>
                      </w:pPr>
                      <w:r w:rsidRPr="00BD425F">
                        <w:rPr>
                          <w:b/>
                          <w:bCs/>
                          <w:sz w:val="16"/>
                          <w:szCs w:val="18"/>
                        </w:rPr>
                        <w:t>b)</w:t>
                      </w:r>
                    </w:p>
                  </w:txbxContent>
                </v:textbox>
              </v:shape>
            </w:pict>
          </mc:Fallback>
        </mc:AlternateContent>
      </w:r>
      <w:r>
        <w:rPr>
          <w:noProof/>
          <w:lang w:val="it-IT" w:eastAsia="it-IT"/>
        </w:rPr>
        <mc:AlternateContent>
          <mc:Choice Requires="wps">
            <w:drawing>
              <wp:anchor distT="0" distB="0" distL="114300" distR="114300" simplePos="0" relativeHeight="251659264" behindDoc="0" locked="0" layoutInCell="1" allowOverlap="1" wp14:anchorId="0D6E7CFF" wp14:editId="732FB4C6">
                <wp:simplePos x="0" y="0"/>
                <wp:positionH relativeFrom="column">
                  <wp:posOffset>960755</wp:posOffset>
                </wp:positionH>
                <wp:positionV relativeFrom="paragraph">
                  <wp:posOffset>2650307</wp:posOffset>
                </wp:positionV>
                <wp:extent cx="374072" cy="309563"/>
                <wp:effectExtent l="0" t="0" r="0" b="0"/>
                <wp:wrapNone/>
                <wp:docPr id="1462679953" name="Casella di testo 1"/>
                <wp:cNvGraphicFramePr/>
                <a:graphic xmlns:a="http://schemas.openxmlformats.org/drawingml/2006/main">
                  <a:graphicData uri="http://schemas.microsoft.com/office/word/2010/wordprocessingShape">
                    <wps:wsp>
                      <wps:cNvSpPr txBox="1"/>
                      <wps:spPr>
                        <a:xfrm>
                          <a:off x="0" y="0"/>
                          <a:ext cx="374072" cy="309563"/>
                        </a:xfrm>
                        <a:prstGeom prst="rect">
                          <a:avLst/>
                        </a:prstGeom>
                        <a:noFill/>
                        <a:ln w="6350">
                          <a:noFill/>
                        </a:ln>
                      </wps:spPr>
                      <wps:txbx>
                        <w:txbxContent>
                          <w:p w14:paraId="7DDEDC44" w14:textId="1E5B62B4" w:rsidR="0043237E" w:rsidRPr="00BD425F" w:rsidRDefault="0043237E" w:rsidP="0043237E">
                            <w:pPr>
                              <w:jc w:val="center"/>
                              <w:rPr>
                                <w:b/>
                                <w:bCs/>
                                <w:sz w:val="16"/>
                                <w:szCs w:val="18"/>
                              </w:rPr>
                            </w:pPr>
                            <w:r w:rsidRPr="00BD425F">
                              <w:rPr>
                                <w:b/>
                                <w:bCs/>
                                <w:sz w:val="16"/>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E7CFF" id="_x0000_s1027" type="#_x0000_t202" style="position:absolute;left:0;text-align:left;margin-left:75.65pt;margin-top:208.7pt;width:29.45pt;height: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" filled="f" stroked="f" strokeweight=".5pt">
                <v:textbox>
                  <w:txbxContent>
                    <w:p w14:paraId="7DDEDC44" w14:textId="1E5B62B4" w:rsidR="0043237E" w:rsidRPr="00BD425F" w:rsidRDefault="0043237E" w:rsidP="0043237E">
                      <w:pPr>
                        <w:jc w:val="center"/>
                        <w:rPr>
                          <w:b/>
                          <w:bCs/>
                          <w:sz w:val="16"/>
                          <w:szCs w:val="18"/>
                        </w:rPr>
                      </w:pPr>
                      <w:r w:rsidRPr="00BD425F">
                        <w:rPr>
                          <w:b/>
                          <w:bCs/>
                          <w:sz w:val="16"/>
                          <w:szCs w:val="18"/>
                        </w:rPr>
                        <w:t>a)</w:t>
                      </w:r>
                    </w:p>
                  </w:txbxContent>
                </v:textbox>
              </v:shape>
            </w:pict>
          </mc:Fallback>
        </mc:AlternateContent>
      </w:r>
      <w:r w:rsidR="00BD425F" w:rsidRPr="00BD425F">
        <w:rPr>
          <w:noProof/>
          <w:lang w:val="it-IT" w:eastAsia="it-IT"/>
        </w:rPr>
        <w:drawing>
          <wp:inline distT="0" distB="0" distL="0" distR="0" wp14:anchorId="50FCA169" wp14:editId="10A75C8E">
            <wp:extent cx="5302292" cy="2699118"/>
            <wp:effectExtent l="0" t="0" r="0" b="6350"/>
            <wp:docPr id="28" name="Immagine 27">
              <a:extLst xmlns:a="http://schemas.openxmlformats.org/drawingml/2006/main">
                <a:ext uri="{FF2B5EF4-FFF2-40B4-BE49-F238E27FC236}">
                  <a16:creationId xmlns:a16="http://schemas.microsoft.com/office/drawing/2014/main" id="{7CB989DD-CC9A-17D5-24BB-EF2C5191E3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7">
                      <a:extLst>
                        <a:ext uri="{FF2B5EF4-FFF2-40B4-BE49-F238E27FC236}">
                          <a16:creationId xmlns:a16="http://schemas.microsoft.com/office/drawing/2014/main" id="{7CB989DD-CC9A-17D5-24BB-EF2C5191E3E9}"/>
                        </a:ext>
                      </a:extLst>
                    </pic:cNvPr>
                    <pic:cNvPicPr>
                      <a:picLocks noChangeAspect="1"/>
                    </pic:cNvPicPr>
                  </pic:nvPicPr>
                  <pic:blipFill>
                    <a:blip r:embed="rId13"/>
                    <a:stretch>
                      <a:fillRect/>
                    </a:stretch>
                  </pic:blipFill>
                  <pic:spPr>
                    <a:xfrm>
                      <a:off x="0" y="0"/>
                      <a:ext cx="5314650" cy="2705409"/>
                    </a:xfrm>
                    <a:prstGeom prst="rect">
                      <a:avLst/>
                    </a:prstGeom>
                  </pic:spPr>
                </pic:pic>
              </a:graphicData>
            </a:graphic>
          </wp:inline>
        </w:drawing>
      </w:r>
    </w:p>
    <w:p w14:paraId="781F59FF" w14:textId="7C441D9F" w:rsidR="003D519D" w:rsidRDefault="003D519D" w:rsidP="003D519D">
      <w:pPr>
        <w:pStyle w:val="CETCaption"/>
      </w:pPr>
      <w:r>
        <w:t xml:space="preserve">Figure </w:t>
      </w:r>
      <w:r w:rsidR="002E3C29">
        <w:t xml:space="preserve">3: </w:t>
      </w:r>
      <w:r w:rsidR="002E3C29" w:rsidRPr="002E3C29">
        <w:rPr>
          <w:b/>
          <w:bCs/>
        </w:rPr>
        <w:t>Figure 3.</w:t>
      </w:r>
      <w:r w:rsidR="002E3C29" w:rsidRPr="002E3C29">
        <w:t xml:space="preserve"> Annual 98th percentile isoconcentration maps of hourly peak odour concentrations for the investigated plants: (a) Tito and (b) Latronico.</w:t>
      </w:r>
    </w:p>
    <w:p w14:paraId="34BED103" w14:textId="0D9FF2EC" w:rsidR="009379DD" w:rsidRDefault="009379DD" w:rsidP="00BD425F">
      <w:pPr>
        <w:pStyle w:val="CETBodytext"/>
      </w:pPr>
      <w:r>
        <w:t xml:space="preserve">The simulated ground-level </w:t>
      </w:r>
      <w:r w:rsidR="0027311C">
        <w:t xml:space="preserve">( + 1,80 m) </w:t>
      </w:r>
      <w:r>
        <w:t>odour concentrations demonstrate that, for both facilities, the predicted impacts are widely within the acceptability criteria established by the regional regulation, with no exceedances observed at the investigated receptors or within the surrounding areas. In particular, the highest odour concentrations are mainly confined to the immediate vicinity of the emission sources and progressively decrease with increasing distance from the plants. For both Tito (Figure 3a) and Latronico (Figure 3b), the outer portions of the 200 m and 500 m buffer areas are characterized by low odour concentration levels, confirming the limited spatial extent of the odour plumes and the absence of significant off-site impacts.</w:t>
      </w:r>
    </w:p>
    <w:p w14:paraId="35419202" w14:textId="2669209F" w:rsidR="00B16CC3" w:rsidRPr="00B16CC3" w:rsidRDefault="00BD425F" w:rsidP="00BD425F">
      <w:pPr>
        <w:pStyle w:val="CETBodytext"/>
      </w:pPr>
      <w:r w:rsidRPr="00BD425F">
        <w:rPr>
          <w:lang w:val="en-GB"/>
        </w:rPr>
        <w:t xml:space="preserve">At a distance 200 m from the plant boundary, the maximum modelled concentrations are </w:t>
      </w:r>
      <w:r>
        <w:rPr>
          <w:lang w:val="en-GB"/>
        </w:rPr>
        <w:t>1,5</w:t>
      </w:r>
      <w:r w:rsidRPr="00BD425F">
        <w:rPr>
          <w:lang w:val="en-GB"/>
        </w:rPr>
        <w:t xml:space="preserve"> </w:t>
      </w:r>
      <w:r w:rsidR="009379DD">
        <w:rPr>
          <w:lang w:val="en-GB"/>
        </w:rPr>
        <w:t>OU</w:t>
      </w:r>
      <w:r w:rsidRPr="009379DD">
        <w:rPr>
          <w:vertAlign w:val="subscript"/>
          <w:lang w:val="en-GB"/>
        </w:rPr>
        <w:t>E</w:t>
      </w:r>
      <w:r w:rsidRPr="00BD425F">
        <w:rPr>
          <w:lang w:val="en-GB"/>
        </w:rPr>
        <w:t>/m³ for the Tito plant and below</w:t>
      </w:r>
      <w:r>
        <w:rPr>
          <w:lang w:val="en-GB"/>
        </w:rPr>
        <w:t xml:space="preserve"> 0,25</w:t>
      </w:r>
      <w:r w:rsidRPr="00BD425F">
        <w:rPr>
          <w:lang w:val="en-GB"/>
        </w:rPr>
        <w:t xml:space="preserve"> </w:t>
      </w:r>
      <w:r w:rsidR="009379DD">
        <w:rPr>
          <w:lang w:val="en-GB"/>
        </w:rPr>
        <w:t>OU</w:t>
      </w:r>
      <w:r w:rsidRPr="009379DD">
        <w:rPr>
          <w:vertAlign w:val="subscript"/>
          <w:lang w:val="en-GB"/>
        </w:rPr>
        <w:t>E</w:t>
      </w:r>
      <w:r w:rsidRPr="00BD425F">
        <w:rPr>
          <w:lang w:val="en-GB"/>
        </w:rPr>
        <w:t xml:space="preserve">/m³ for the Latronico plant, both significantly lower than the regulatory reference limit of 4 </w:t>
      </w:r>
      <w:r w:rsidR="009379DD">
        <w:rPr>
          <w:lang w:val="en-GB"/>
        </w:rPr>
        <w:t>OU</w:t>
      </w:r>
      <w:r w:rsidRPr="009379DD">
        <w:rPr>
          <w:vertAlign w:val="subscript"/>
          <w:lang w:val="en-GB"/>
        </w:rPr>
        <w:t>E</w:t>
      </w:r>
      <w:r w:rsidRPr="00BD425F">
        <w:rPr>
          <w:lang w:val="en-GB"/>
        </w:rPr>
        <w:t>/m³.</w:t>
      </w:r>
      <w:r w:rsidR="0027311C">
        <w:rPr>
          <w:lang w:val="en-GB"/>
        </w:rPr>
        <w:t xml:space="preserve"> </w:t>
      </w:r>
      <w:r w:rsidR="005B7C61">
        <w:t>Although the Tito plant exhibits a broader dispersion pattern and higher concentration gradients compared to the Latronico facility, mainly due to the greater number of identified emission sources and the presence of passive areal sources associated with waste storage activities, the simulated concentrations remain fully compatible with the acceptability thresholds defined by L.R. 39/2021. Similarly, the Latronico plant shows a localized and limited odour dispersion pattern, with rapidly decreasing concentrations outside the plant boundary.</w:t>
      </w:r>
      <w:r w:rsidR="00FB5181">
        <w:t xml:space="preserve"> </w:t>
      </w:r>
      <w:r w:rsidR="005B7C61">
        <w:t>Overall, the modelling results indicate that neither plant generates significant odour nuisance conditions for the surrounding environment or nearby receptors. Therefore, both facilities can be considered compatible with their current territorial context and receptor distribution, demonstrating negligible environmental impact in terms of odour emissions under the analysed operating conditions</w:t>
      </w:r>
      <w:r w:rsidRPr="00BD425F">
        <w:rPr>
          <w:lang w:val="en-GB"/>
        </w:rPr>
        <w:t>.</w:t>
      </w:r>
    </w:p>
    <w:p w14:paraId="2E22BD07" w14:textId="77777777" w:rsidR="0094677E" w:rsidRDefault="0094677E" w:rsidP="0094677E">
      <w:pPr>
        <w:pStyle w:val="CETHeading1"/>
        <w:tabs>
          <w:tab w:val="clear" w:pos="360"/>
        </w:tabs>
        <w:rPr>
          <w:lang w:val="en-GB"/>
        </w:rPr>
      </w:pPr>
      <w:r w:rsidRPr="00B57B36">
        <w:rPr>
          <w:lang w:val="en-GB"/>
        </w:rPr>
        <w:t>Conclusions</w:t>
      </w:r>
    </w:p>
    <w:p w14:paraId="7F1634D8" w14:textId="3780C771" w:rsidR="00B16CC3" w:rsidRDefault="004D5A73" w:rsidP="00B16CC3">
      <w:pPr>
        <w:pStyle w:val="CETBodytext"/>
      </w:pPr>
      <w:r>
        <w:t>The study presents and discusses an integrated framework for the identification, characterization and assessment of odour emissions from waste recycling plants, combining source-oriented analysis, dynamic olfactometry and atmospheric dispersion modelling. The application to two full-scale facilities highlighted the presence of multiple emission typologies, including conveyed point sources, volumetric sources associated with building openings, and passive areal sources related to waste storage areas such as glass storage tanks and multimaterial storage areas</w:t>
      </w:r>
      <w:r w:rsidR="00B16CC3" w:rsidRPr="00B16CC3">
        <w:t xml:space="preserve">. </w:t>
      </w:r>
      <w:r>
        <w:t xml:space="preserve">The measured odour concentrations showed significant variability among the </w:t>
      </w:r>
      <w:r>
        <w:lastRenderedPageBreak/>
        <w:t>identified sources, with the highest values generally associated with exhaust stacks of the treatment buildings, while lower concentrations were observed for diffuse and volumetric emissions. The dispersion modelling results, expressed as the annual 98th percentile of hourly peak concentrations, indicate that odour impacts remain confined to the areas immediately surrounding the plants and fully comply with the regulatory acceptability criteria, even under worst-case scenario conditions. These findings confirm the negligible odour impact of both facilities on the surrounding environment and nearby receptors</w:t>
      </w:r>
      <w:r w:rsidR="00B16CC3" w:rsidRPr="00B16CC3">
        <w:t>.</w:t>
      </w:r>
      <w:r w:rsidR="00B16CC3">
        <w:t xml:space="preserve"> </w:t>
      </w:r>
    </w:p>
    <w:p w14:paraId="6A0756F2" w14:textId="223D7800" w:rsidR="004814DA" w:rsidRPr="00B16CC3" w:rsidRDefault="004D5A73" w:rsidP="00B16CC3">
      <w:pPr>
        <w:pStyle w:val="CETBodytext"/>
      </w:pPr>
      <w:r>
        <w:t>Overall, the proposed approach provides a robust and systematic framework for the identification and characterization of odour emission sources and for the assessment of their environmental impact. The methodology therefore represents an effective decision-making support tool for the integrated management and control of odour-generating facilities, particularly waste recovery and recycling plants. Furthermore, the framework can support the development of targeted odour mitigation and management strategies, contributing to the prevention and reduction of potential impacts in environmentally sensitive areas</w:t>
      </w:r>
      <w:r w:rsidR="00B16CC3" w:rsidRPr="00B16CC3">
        <w:t>.</w:t>
      </w:r>
    </w:p>
    <w:p w14:paraId="3B82B0CE" w14:textId="7D6AD656" w:rsidR="0024644A" w:rsidRPr="0024644A" w:rsidRDefault="004814DA" w:rsidP="0024644A">
      <w:pPr>
        <w:pStyle w:val="CETReference"/>
        <w:rPr>
          <w:lang w:val="it-IT"/>
        </w:rPr>
      </w:pPr>
      <w:r w:rsidRPr="00D6513C">
        <w:rPr>
          <w:lang w:val="it-IT"/>
        </w:rPr>
        <w:t>References</w:t>
      </w:r>
    </w:p>
    <w:p w14:paraId="36E172CF" w14:textId="74A905A4" w:rsidR="00CC5EFD" w:rsidRDefault="00CC5EFD" w:rsidP="00CC5EFD">
      <w:pPr>
        <w:pStyle w:val="CETReferencetext"/>
      </w:pPr>
      <w:r w:rsidRPr="00622DEE">
        <w:rPr>
          <w:lang w:val="it-IT"/>
        </w:rPr>
        <w:t xml:space="preserve">Belgiorno, V., Naddeo, V., Zarra, T., 2013. </w:t>
      </w:r>
      <w:r w:rsidRPr="0024644A">
        <w:t xml:space="preserve">Odour Impact Assessment Handbook. </w:t>
      </w:r>
      <w:r w:rsidRPr="00CC5EFD">
        <w:t>https://doi.org/10.1002/9781118481264</w:t>
      </w:r>
      <w:r w:rsidRPr="0024644A">
        <w:t>.</w:t>
      </w:r>
    </w:p>
    <w:p w14:paraId="349577CF" w14:textId="4F121B30" w:rsidR="00CC5EFD" w:rsidRPr="0024644A" w:rsidRDefault="00CC5EFD" w:rsidP="00CC5EFD">
      <w:pPr>
        <w:pStyle w:val="CETReferencetext"/>
      </w:pPr>
      <w:r w:rsidRPr="00622DEE">
        <w:rPr>
          <w:lang w:val="it-IT"/>
        </w:rPr>
        <w:t xml:space="preserve">Capelli, L., Sironi, S., Del Rosso, R., Guillot, L., 2013. </w:t>
      </w:r>
      <w:r w:rsidRPr="0024644A">
        <w:t>Measuring Odours in the Environment vs. Dispersion Modelling: A Review. Atm</w:t>
      </w:r>
      <w:r w:rsidR="007A751C">
        <w:t>.</w:t>
      </w:r>
      <w:r w:rsidRPr="0024644A">
        <w:t xml:space="preserve"> Environment 79: 731–43. https://doi.org/10.1016/j.atmosenv.2013.07.029.</w:t>
      </w:r>
    </w:p>
    <w:p w14:paraId="4B5831F1" w14:textId="77777777" w:rsidR="00CC5EFD" w:rsidRDefault="00CC5EFD" w:rsidP="00CC5EFD">
      <w:pPr>
        <w:pStyle w:val="CETReferencetext"/>
      </w:pPr>
      <w:r w:rsidRPr="0024644A">
        <w:t>Dudin, M., Frolova E., Gryzunova, N., Shuvalova.E., 2015. The Deming Cycle (PDCA) Concept as an Efficient Tool for Continuous Quality Improvement in the Agribusiness. SSRN Scholarly Paper No. 2587597. Social Science Research Network. https://papers.ssrn.com/abstract=2587597.</w:t>
      </w:r>
    </w:p>
    <w:p w14:paraId="3016D1D1" w14:textId="5A9EEE92" w:rsidR="00462605" w:rsidRPr="00622DEE" w:rsidRDefault="00622DEE" w:rsidP="00CC5EFD">
      <w:pPr>
        <w:pStyle w:val="CETReferencetext"/>
        <w:rPr>
          <w:color w:val="FF0000"/>
          <w:lang w:val="en-US"/>
        </w:rPr>
      </w:pPr>
      <w:r w:rsidRPr="00622DEE">
        <w:t xml:space="preserve">EN 13725, 2003. Air quality and determination of odour concentration by dynamic olfactometry.  </w:t>
      </w:r>
    </w:p>
    <w:p w14:paraId="37A00B32" w14:textId="61C72657" w:rsidR="00CC5EFD" w:rsidRPr="0024644A" w:rsidRDefault="00CC5EFD" w:rsidP="00CC5EFD">
      <w:pPr>
        <w:pStyle w:val="CETReferencetext"/>
      </w:pPr>
      <w:r w:rsidRPr="00622DEE">
        <w:rPr>
          <w:lang w:val="it-IT"/>
        </w:rPr>
        <w:t xml:space="preserve">Fasolino, I., Grimaldi, M., Zarra, T., Naddeo, V., 2016. </w:t>
      </w:r>
      <w:r w:rsidRPr="0024644A">
        <w:t>Odour control strategies for a sustainable nuisances action plan. Global NEST Journal 18, 734–741. https://doi.org/10.30955/gnj.002109</w:t>
      </w:r>
    </w:p>
    <w:p w14:paraId="1460B898" w14:textId="77777777" w:rsidR="00CC5EFD" w:rsidRPr="0024644A" w:rsidRDefault="00CC5EFD" w:rsidP="00CC5EFD">
      <w:pPr>
        <w:pStyle w:val="CETReferencetext"/>
      </w:pPr>
      <w:r w:rsidRPr="0024644A">
        <w:t>Font, X., Artola, A., &amp; Sánchez, A., 2011. Detection, Composition and Treatment of Volatile Organic Compounds from Waste Treatment Plants. Sensors, 11(4), 4043-4059. https://doi.org/10.3390/s110404043</w:t>
      </w:r>
    </w:p>
    <w:p w14:paraId="4FE4ED49" w14:textId="77777777" w:rsidR="00CC5EFD" w:rsidRPr="00C8299E" w:rsidRDefault="00CC5EFD" w:rsidP="00CC5EFD">
      <w:pPr>
        <w:pStyle w:val="CETReferencetext"/>
        <w:rPr>
          <w:lang w:val="it-IT"/>
        </w:rPr>
      </w:pPr>
      <w:r w:rsidRPr="0024644A">
        <w:t xml:space="preserve">Jonca,J., Bezyk, Y., Miller, U., Wróbel, M., Arsen, A., Szrek, J., Muraszkowski, A., Włóka, A., Janicka, A., Sówka, I. 2025. Holistic approach to odour impact assessment on the basis of three waste management plants. </w:t>
      </w:r>
      <w:r w:rsidRPr="00C8299E">
        <w:rPr>
          <w:lang w:val="it-IT"/>
        </w:rPr>
        <w:t>Waste Management, 208, 115156. https://doi.org/10.1016/j.wasman.2025.115156</w:t>
      </w:r>
    </w:p>
    <w:p w14:paraId="6C4CC6BB" w14:textId="359A3366" w:rsidR="007C511E" w:rsidRPr="007C511E" w:rsidRDefault="007C511E" w:rsidP="00462605">
      <w:pPr>
        <w:pStyle w:val="CETReferencetext"/>
        <w:rPr>
          <w:lang w:val="it-IT"/>
        </w:rPr>
      </w:pPr>
      <w:r w:rsidRPr="007C511E">
        <w:rPr>
          <w:lang w:val="it-IT"/>
        </w:rPr>
        <w:t>Ministero dell’Ambiente e della Sicurezza Energetica (MASE), 2023.  D</w:t>
      </w:r>
      <w:r w:rsidR="0027311C">
        <w:rPr>
          <w:lang w:val="it-IT"/>
        </w:rPr>
        <w:t xml:space="preserve">D </w:t>
      </w:r>
      <w:r w:rsidRPr="007C511E">
        <w:rPr>
          <w:lang w:val="it-IT"/>
        </w:rPr>
        <w:t>n. 309 del 28/06/2023</w:t>
      </w:r>
      <w:r w:rsidR="0027311C">
        <w:rPr>
          <w:lang w:val="it-IT"/>
        </w:rPr>
        <w:t xml:space="preserve"> </w:t>
      </w:r>
      <w:r w:rsidRPr="007C511E">
        <w:rPr>
          <w:lang w:val="it-IT"/>
        </w:rPr>
        <w:t>“Indirizzi per l'applicazione dell'articolo 272-bis in materia di emissioni odorigene di impianti e attività”.</w:t>
      </w:r>
    </w:p>
    <w:p w14:paraId="7BC2186C" w14:textId="15C687BD" w:rsidR="00CC5EFD" w:rsidRPr="0024644A" w:rsidRDefault="00CC5EFD" w:rsidP="00CC5EFD">
      <w:pPr>
        <w:pStyle w:val="CETReferencetext"/>
      </w:pPr>
      <w:r w:rsidRPr="00C8299E">
        <w:rPr>
          <w:lang w:val="en-US"/>
        </w:rPr>
        <w:t>Minelgaitė, A</w:t>
      </w:r>
      <w:r w:rsidRPr="0024644A">
        <w:t>., Liobikienė, G., 2019. Waste problem in European Union and its influence on waste management behaviours. Science of The Total Environment 667: 86–93. https://doi.org/10.1016/j.scitotenv.2019.02.313.</w:t>
      </w:r>
    </w:p>
    <w:p w14:paraId="2427A086" w14:textId="77777777" w:rsidR="00CC5EFD" w:rsidRPr="0024644A" w:rsidRDefault="00CC5EFD" w:rsidP="00CC5EFD">
      <w:pPr>
        <w:pStyle w:val="CETReferencetext"/>
      </w:pPr>
      <w:r w:rsidRPr="00622DEE">
        <w:rPr>
          <w:lang w:val="it-IT"/>
        </w:rPr>
        <w:t xml:space="preserve">Naddeo, V., Zarra, T., Giuliani, S., Belgiorno, V., 2012. </w:t>
      </w:r>
      <w:r w:rsidRPr="0024644A">
        <w:t>Odour Impact Assessment in Industrial Areas. Chemical Engineering Transactions, 30, pp. 85–90. https://doi.org/10.3303/CET1230015</w:t>
      </w:r>
    </w:p>
    <w:p w14:paraId="3D09BD5B" w14:textId="77777777" w:rsidR="00CC5EFD" w:rsidRPr="00622DEE" w:rsidRDefault="00CC5EFD" w:rsidP="00CC5EFD">
      <w:pPr>
        <w:pStyle w:val="CETReferencetext"/>
        <w:rPr>
          <w:lang w:val="it-IT"/>
        </w:rPr>
      </w:pPr>
      <w:r w:rsidRPr="00C8299E">
        <w:rPr>
          <w:lang w:val="it-IT"/>
        </w:rPr>
        <w:t xml:space="preserve">Oliva, G., Zarra, T., Pittoni, G., Senatore, V., Galang, M.G., Castellani, M., Belgiorno, V., Naddeo, V., 2021. </w:t>
      </w:r>
      <w:r w:rsidRPr="0024644A">
        <w:t xml:space="preserve">Next-generation of instrumental odour monitoring system (IOMS) for the gaseous emissions control in complex industrial plants. </w:t>
      </w:r>
      <w:r w:rsidRPr="00622DEE">
        <w:rPr>
          <w:lang w:val="it-IT"/>
        </w:rPr>
        <w:t>Chemosphere 271, 129768. https://doi.org/10.1016/j.chemosphere.2021.129768</w:t>
      </w:r>
    </w:p>
    <w:p w14:paraId="747D94DF" w14:textId="77777777" w:rsidR="00CC5EFD" w:rsidRPr="007C511E" w:rsidRDefault="00CC5EFD" w:rsidP="00CC5EFD">
      <w:pPr>
        <w:pStyle w:val="CETReferencetext"/>
      </w:pPr>
      <w:r w:rsidRPr="00622DEE">
        <w:rPr>
          <w:lang w:val="it-IT"/>
        </w:rPr>
        <w:t xml:space="preserve">Regione Basilicata, Legge Regionale 23 settembre 2021, n. 39. Norme per la prevenzione e la limitazione delle </w:t>
      </w:r>
      <w:r w:rsidRPr="00C8299E">
        <w:rPr>
          <w:lang w:val="it-IT"/>
        </w:rPr>
        <w:t xml:space="preserve">emissioni odorigene. </w:t>
      </w:r>
      <w:r w:rsidRPr="007C511E">
        <w:t>Bollettino Ufficiale n. 74 (Speciale) del 24 settembre 2021.</w:t>
      </w:r>
    </w:p>
    <w:p w14:paraId="5D2BA342" w14:textId="239F19A0" w:rsidR="007C511E" w:rsidRPr="00C8299E" w:rsidRDefault="007C511E" w:rsidP="0024644A">
      <w:pPr>
        <w:pStyle w:val="CETReferencetext"/>
        <w:rPr>
          <w:lang w:val="it-IT"/>
        </w:rPr>
      </w:pPr>
      <w:r w:rsidRPr="007C511E">
        <w:rPr>
          <w:lang w:val="it-IT"/>
        </w:rPr>
        <w:t xml:space="preserve">Scire, J. S., Strimaitis, D. G., &amp; Yamartino, R. J. , 2000. </w:t>
      </w:r>
      <w:r w:rsidRPr="007C511E">
        <w:t>A user’s guide for the CALPUFF dispersion model. </w:t>
      </w:r>
      <w:r w:rsidRPr="00C8299E">
        <w:rPr>
          <w:i/>
          <w:iCs/>
          <w:lang w:val="it-IT"/>
        </w:rPr>
        <w:t>Earth Tech</w:t>
      </w:r>
      <w:r w:rsidRPr="00C8299E">
        <w:rPr>
          <w:lang w:val="it-IT"/>
        </w:rPr>
        <w:t>, Inc, 521, 1-521.</w:t>
      </w:r>
    </w:p>
    <w:p w14:paraId="7C6EEBD2" w14:textId="2165E5BF" w:rsidR="0024644A" w:rsidRPr="00C8299E" w:rsidRDefault="0024644A" w:rsidP="0024644A">
      <w:pPr>
        <w:pStyle w:val="CETReferencetext"/>
        <w:rPr>
          <w:lang w:val="it-IT"/>
        </w:rPr>
      </w:pPr>
      <w:r w:rsidRPr="00622DEE">
        <w:rPr>
          <w:lang w:val="it-IT"/>
        </w:rPr>
        <w:t xml:space="preserve">Sironi, S., Capelli, L., Céntola, P., Del Rosso, R., Pierucci, S., 2010. </w:t>
      </w:r>
      <w:r w:rsidRPr="0024644A">
        <w:t xml:space="preserve">Odour Impact Assessment by Means of Dynamic Olfactometry, Dispersion Modelling and Social Participation. </w:t>
      </w:r>
      <w:r w:rsidRPr="00C8299E">
        <w:rPr>
          <w:lang w:val="it-IT"/>
        </w:rPr>
        <w:t>Atmospheric Environment 44 (3): 354–60. https://doi.org/10.1016/j.atmosenv.2009.10.029.</w:t>
      </w:r>
    </w:p>
    <w:p w14:paraId="56BE8888" w14:textId="09EF65F1" w:rsidR="0024644A" w:rsidRDefault="0024644A" w:rsidP="0024644A">
      <w:pPr>
        <w:pStyle w:val="CETReferencetext"/>
      </w:pPr>
      <w:r w:rsidRPr="00622DEE">
        <w:rPr>
          <w:lang w:val="it-IT"/>
        </w:rPr>
        <w:t xml:space="preserve">Zarra, T., Giuliani, S., Naddeo, V., Belgiorno, V., 2012. </w:t>
      </w:r>
      <w:r w:rsidRPr="0024644A">
        <w:t>Control of odour emission in wastewater treatment plants by direct and undirect measurement of odour emission capacity. Water Science and Technology 66(8), 1627–1633. https://doi.org/10.2166/wst.2012.362</w:t>
      </w:r>
    </w:p>
    <w:p w14:paraId="6F40D67C" w14:textId="050FACF8" w:rsidR="007A751C" w:rsidRPr="007E3975" w:rsidRDefault="007A751C" w:rsidP="007A751C">
      <w:pPr>
        <w:pStyle w:val="CETReferencetext"/>
        <w:rPr>
          <w:lang w:val="it-IT"/>
        </w:rPr>
      </w:pPr>
      <w:r w:rsidRPr="007E3975">
        <w:t>Zarra, T., Reiser</w:t>
      </w:r>
      <w:r>
        <w:t xml:space="preserve">, M., </w:t>
      </w:r>
      <w:r w:rsidRPr="007E3975">
        <w:t>Naddeo,</w:t>
      </w:r>
      <w:r>
        <w:t xml:space="preserve"> V., </w:t>
      </w:r>
      <w:r w:rsidRPr="007E3975">
        <w:t>Belgiorno</w:t>
      </w:r>
      <w:r>
        <w:t>, V.</w:t>
      </w:r>
      <w:r w:rsidRPr="007E3975">
        <w:t>, Kranert</w:t>
      </w:r>
      <w:r>
        <w:t>, M.</w:t>
      </w:r>
      <w:r w:rsidRPr="007E3975">
        <w:t xml:space="preserve"> 2012. A Comparative and Critical Evaluation of Different Sampling Materials in the Measurement of Odour Concentration by Dynamic Olfactometry. </w:t>
      </w:r>
      <w:r w:rsidRPr="007E3975">
        <w:rPr>
          <w:iCs/>
          <w:lang w:val="it-IT"/>
        </w:rPr>
        <w:t>Chemical Engineering Transactions</w:t>
      </w:r>
      <w:r w:rsidRPr="007E3975">
        <w:rPr>
          <w:lang w:val="it-IT"/>
        </w:rPr>
        <w:t xml:space="preserve"> 30: 307–12. https://doi.org/10.3303/CET1230052.</w:t>
      </w:r>
    </w:p>
    <w:p w14:paraId="6688A3EB" w14:textId="77777777" w:rsidR="0024644A" w:rsidRPr="00622DEE" w:rsidRDefault="0024644A" w:rsidP="0024644A">
      <w:pPr>
        <w:pStyle w:val="CETReferencetext"/>
        <w:rPr>
          <w:lang w:val="it-IT"/>
        </w:rPr>
      </w:pPr>
      <w:r w:rsidRPr="0024644A">
        <w:t xml:space="preserve">Zarra, T., Naddeo, V., Belgiorno, V., 2009. A novel tool for estimating the odour emissions of composting plants in air pollution management. </w:t>
      </w:r>
      <w:r w:rsidRPr="00622DEE">
        <w:rPr>
          <w:lang w:val="it-IT"/>
        </w:rPr>
        <w:t>Global Nest Journal, 11(4), 477–486. https://doi.org/10.30955/gnj.000484</w:t>
      </w:r>
    </w:p>
    <w:p w14:paraId="23055866" w14:textId="77777777" w:rsidR="0024644A" w:rsidRPr="0024644A" w:rsidRDefault="0024644A" w:rsidP="0024644A">
      <w:pPr>
        <w:pStyle w:val="CETReferencetext"/>
      </w:pPr>
      <w:r w:rsidRPr="00622DEE">
        <w:rPr>
          <w:lang w:val="it-IT"/>
        </w:rPr>
        <w:t xml:space="preserve">Zarra, T., Naddeo, V., Giuliani, S., Belgiorno, V., 2010. </w:t>
      </w:r>
      <w:r w:rsidRPr="0024644A">
        <w:t>Optimization of field inspection method for odour impact assessment. Chemical Engineering Transactions, 23, pp. 93–98. https://doi.org/10.3303/CET1123016</w:t>
      </w:r>
    </w:p>
    <w:p w14:paraId="54CF8491" w14:textId="04A9CD8B" w:rsidR="007A751C" w:rsidRPr="0024644A" w:rsidRDefault="0024644A" w:rsidP="0027311C">
      <w:pPr>
        <w:pStyle w:val="CETReferencetext"/>
      </w:pPr>
      <w:r w:rsidRPr="0024644A">
        <w:t>Zarra, T., Naddeo, V., Oliva, G., Belgiorno, V., 2016. Odour emissions characterization for impact prediction in anaerobic-aerobic integrated treatment plants of municipal solid waste. Chemical Engineering Transactions, 54, pp. 91–96. https://doi.org/10.3303/CET1654016</w:t>
      </w:r>
    </w:p>
    <w:sectPr w:rsidR="007A751C" w:rsidRPr="0024644A"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FC2F5" w14:textId="77777777" w:rsidR="00A454CF" w:rsidRDefault="00A454CF" w:rsidP="004F5E36">
      <w:r>
        <w:separator/>
      </w:r>
    </w:p>
  </w:endnote>
  <w:endnote w:type="continuationSeparator" w:id="0">
    <w:p w14:paraId="7305F581" w14:textId="77777777" w:rsidR="00A454CF" w:rsidRDefault="00A454CF"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E45AC" w14:textId="77777777" w:rsidR="00A454CF" w:rsidRDefault="00A454CF" w:rsidP="004F5E36">
      <w:r>
        <w:separator/>
      </w:r>
    </w:p>
  </w:footnote>
  <w:footnote w:type="continuationSeparator" w:id="0">
    <w:p w14:paraId="25F53F0C" w14:textId="77777777" w:rsidR="00A454CF" w:rsidRDefault="00A454CF" w:rsidP="004F5E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58AF15E"/>
    <w:lvl w:ilvl="0">
      <w:start w:val="1"/>
      <w:numFmt w:val="decimal"/>
      <w:pStyle w:val="Numeroelenco5"/>
      <w:lvlText w:val="%1."/>
      <w:lvlJc w:val="left"/>
      <w:pPr>
        <w:tabs>
          <w:tab w:val="num" w:pos="1274"/>
        </w:tabs>
        <w:ind w:left="1274"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7213A69"/>
    <w:multiLevelType w:val="hybridMultilevel"/>
    <w:tmpl w:val="1362E8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FC51B84"/>
    <w:multiLevelType w:val="hybridMultilevel"/>
    <w:tmpl w:val="B50E6F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6782B5D"/>
    <w:multiLevelType w:val="hybridMultilevel"/>
    <w:tmpl w:val="00F4F3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E822A0"/>
    <w:multiLevelType w:val="hybridMultilevel"/>
    <w:tmpl w:val="0456A1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38217E"/>
    <w:multiLevelType w:val="multilevel"/>
    <w:tmpl w:val="8822EB00"/>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4819"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5"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50A03DE"/>
    <w:multiLevelType w:val="hybridMultilevel"/>
    <w:tmpl w:val="00F4F3A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8BF0876"/>
    <w:multiLevelType w:val="hybridMultilevel"/>
    <w:tmpl w:val="6F92B7A6"/>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1" w15:restartNumberingAfterBreak="0">
    <w:nsid w:val="48D01EB3"/>
    <w:multiLevelType w:val="hybridMultilevel"/>
    <w:tmpl w:val="6430FC80"/>
    <w:lvl w:ilvl="0" w:tplc="1FA0B80E">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5"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9E50FF2"/>
    <w:multiLevelType w:val="hybridMultilevel"/>
    <w:tmpl w:val="EE12C3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24"/>
  </w:num>
  <w:num w:numId="13">
    <w:abstractNumId w:val="17"/>
  </w:num>
  <w:num w:numId="14">
    <w:abstractNumId w:val="25"/>
  </w:num>
  <w:num w:numId="15">
    <w:abstractNumId w:val="27"/>
  </w:num>
  <w:num w:numId="16">
    <w:abstractNumId w:val="26"/>
  </w:num>
  <w:num w:numId="17">
    <w:abstractNumId w:val="15"/>
  </w:num>
  <w:num w:numId="18">
    <w:abstractNumId w:val="17"/>
    <w:lvlOverride w:ilvl="0">
      <w:startOverride w:val="1"/>
    </w:lvlOverride>
  </w:num>
  <w:num w:numId="19">
    <w:abstractNumId w:val="23"/>
  </w:num>
  <w:num w:numId="20">
    <w:abstractNumId w:val="22"/>
  </w:num>
  <w:num w:numId="21">
    <w:abstractNumId w:val="19"/>
  </w:num>
  <w:num w:numId="22">
    <w:abstractNumId w:val="18"/>
  </w:num>
  <w:num w:numId="23">
    <w:abstractNumId w:val="10"/>
  </w:num>
  <w:num w:numId="24">
    <w:abstractNumId w:val="13"/>
  </w:num>
  <w:num w:numId="25">
    <w:abstractNumId w:val="21"/>
  </w:num>
  <w:num w:numId="26">
    <w:abstractNumId w:val="20"/>
  </w:num>
  <w:num w:numId="27">
    <w:abstractNumId w:val="28"/>
  </w:num>
  <w:num w:numId="28">
    <w:abstractNumId w:val="16"/>
  </w:num>
  <w:num w:numId="29">
    <w:abstractNumId w:val="12"/>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14195"/>
    <w:rsid w:val="00027E7F"/>
    <w:rsid w:val="0003148D"/>
    <w:rsid w:val="00031EEC"/>
    <w:rsid w:val="0003226D"/>
    <w:rsid w:val="00051566"/>
    <w:rsid w:val="000562A9"/>
    <w:rsid w:val="00061B6E"/>
    <w:rsid w:val="00062A9A"/>
    <w:rsid w:val="00064554"/>
    <w:rsid w:val="00065058"/>
    <w:rsid w:val="00070082"/>
    <w:rsid w:val="00086C39"/>
    <w:rsid w:val="00090448"/>
    <w:rsid w:val="00094685"/>
    <w:rsid w:val="000A03B2"/>
    <w:rsid w:val="000B5771"/>
    <w:rsid w:val="000B67A0"/>
    <w:rsid w:val="000D0268"/>
    <w:rsid w:val="000D34BE"/>
    <w:rsid w:val="000E102F"/>
    <w:rsid w:val="000E36F1"/>
    <w:rsid w:val="000E3A73"/>
    <w:rsid w:val="000E414A"/>
    <w:rsid w:val="000E75FD"/>
    <w:rsid w:val="000F093C"/>
    <w:rsid w:val="000F787B"/>
    <w:rsid w:val="0012091F"/>
    <w:rsid w:val="001226FA"/>
    <w:rsid w:val="00124AAD"/>
    <w:rsid w:val="001256F3"/>
    <w:rsid w:val="00126BC2"/>
    <w:rsid w:val="00127CA1"/>
    <w:rsid w:val="001308B6"/>
    <w:rsid w:val="0013121F"/>
    <w:rsid w:val="00131BC4"/>
    <w:rsid w:val="00131FE6"/>
    <w:rsid w:val="0013263F"/>
    <w:rsid w:val="001331DF"/>
    <w:rsid w:val="00134DE4"/>
    <w:rsid w:val="0014034D"/>
    <w:rsid w:val="00140FE3"/>
    <w:rsid w:val="00144D16"/>
    <w:rsid w:val="00150E59"/>
    <w:rsid w:val="00152DE3"/>
    <w:rsid w:val="001561F3"/>
    <w:rsid w:val="00164CF9"/>
    <w:rsid w:val="001667A6"/>
    <w:rsid w:val="00170A44"/>
    <w:rsid w:val="00184AD6"/>
    <w:rsid w:val="001A0154"/>
    <w:rsid w:val="001A4AF7"/>
    <w:rsid w:val="001B0349"/>
    <w:rsid w:val="001B1E93"/>
    <w:rsid w:val="001B5A63"/>
    <w:rsid w:val="001B65C1"/>
    <w:rsid w:val="001B66C9"/>
    <w:rsid w:val="001C0684"/>
    <w:rsid w:val="001C260F"/>
    <w:rsid w:val="001C3042"/>
    <w:rsid w:val="001C33F1"/>
    <w:rsid w:val="001C3F22"/>
    <w:rsid w:val="001C40A4"/>
    <w:rsid w:val="001C684B"/>
    <w:rsid w:val="001D0CFB"/>
    <w:rsid w:val="001D21AF"/>
    <w:rsid w:val="001D2D4B"/>
    <w:rsid w:val="001D53FC"/>
    <w:rsid w:val="001E05A4"/>
    <w:rsid w:val="001F35D3"/>
    <w:rsid w:val="001F42A5"/>
    <w:rsid w:val="001F7B9D"/>
    <w:rsid w:val="002000E3"/>
    <w:rsid w:val="00201C93"/>
    <w:rsid w:val="00203070"/>
    <w:rsid w:val="0021613E"/>
    <w:rsid w:val="00217069"/>
    <w:rsid w:val="002224B4"/>
    <w:rsid w:val="0024373B"/>
    <w:rsid w:val="002447EF"/>
    <w:rsid w:val="00245F73"/>
    <w:rsid w:val="0024644A"/>
    <w:rsid w:val="00251550"/>
    <w:rsid w:val="00256416"/>
    <w:rsid w:val="00261BE3"/>
    <w:rsid w:val="00263B05"/>
    <w:rsid w:val="0027221A"/>
    <w:rsid w:val="0027311C"/>
    <w:rsid w:val="00275B61"/>
    <w:rsid w:val="00280FAF"/>
    <w:rsid w:val="00282656"/>
    <w:rsid w:val="00287353"/>
    <w:rsid w:val="00296B83"/>
    <w:rsid w:val="002A517E"/>
    <w:rsid w:val="002B4015"/>
    <w:rsid w:val="002B78CE"/>
    <w:rsid w:val="002C2FB6"/>
    <w:rsid w:val="002E3AA1"/>
    <w:rsid w:val="002E3C29"/>
    <w:rsid w:val="002E40E7"/>
    <w:rsid w:val="002E5FA7"/>
    <w:rsid w:val="002F3309"/>
    <w:rsid w:val="003008CE"/>
    <w:rsid w:val="003009B7"/>
    <w:rsid w:val="00300E56"/>
    <w:rsid w:val="0030152C"/>
    <w:rsid w:val="0030469C"/>
    <w:rsid w:val="00321CA6"/>
    <w:rsid w:val="00323763"/>
    <w:rsid w:val="00323C5F"/>
    <w:rsid w:val="00334C09"/>
    <w:rsid w:val="003723D4"/>
    <w:rsid w:val="00381905"/>
    <w:rsid w:val="003841BD"/>
    <w:rsid w:val="003841F3"/>
    <w:rsid w:val="00384CC8"/>
    <w:rsid w:val="003871FD"/>
    <w:rsid w:val="003A1E30"/>
    <w:rsid w:val="003A2829"/>
    <w:rsid w:val="003A37E2"/>
    <w:rsid w:val="003A7D1C"/>
    <w:rsid w:val="003B0B19"/>
    <w:rsid w:val="003B304B"/>
    <w:rsid w:val="003B3146"/>
    <w:rsid w:val="003D1E02"/>
    <w:rsid w:val="003D519D"/>
    <w:rsid w:val="003E1135"/>
    <w:rsid w:val="003F015E"/>
    <w:rsid w:val="00400414"/>
    <w:rsid w:val="004112A7"/>
    <w:rsid w:val="0041446B"/>
    <w:rsid w:val="004169B0"/>
    <w:rsid w:val="0043237E"/>
    <w:rsid w:val="0044071E"/>
    <w:rsid w:val="0044329C"/>
    <w:rsid w:val="004514E9"/>
    <w:rsid w:val="00453E24"/>
    <w:rsid w:val="00457456"/>
    <w:rsid w:val="004577FE"/>
    <w:rsid w:val="00457B9C"/>
    <w:rsid w:val="0046164A"/>
    <w:rsid w:val="00462605"/>
    <w:rsid w:val="004628D2"/>
    <w:rsid w:val="00462DCD"/>
    <w:rsid w:val="004648AD"/>
    <w:rsid w:val="004703A9"/>
    <w:rsid w:val="004760DE"/>
    <w:rsid w:val="004763D7"/>
    <w:rsid w:val="004814DA"/>
    <w:rsid w:val="004863F0"/>
    <w:rsid w:val="004A004E"/>
    <w:rsid w:val="004A09AF"/>
    <w:rsid w:val="004A1606"/>
    <w:rsid w:val="004A24CF"/>
    <w:rsid w:val="004A5E57"/>
    <w:rsid w:val="004B2713"/>
    <w:rsid w:val="004B7B18"/>
    <w:rsid w:val="004C194F"/>
    <w:rsid w:val="004C3D1D"/>
    <w:rsid w:val="004C3D84"/>
    <w:rsid w:val="004C7913"/>
    <w:rsid w:val="004D5A73"/>
    <w:rsid w:val="004E4DD6"/>
    <w:rsid w:val="004E6C20"/>
    <w:rsid w:val="004F5E36"/>
    <w:rsid w:val="00502BC1"/>
    <w:rsid w:val="00507B47"/>
    <w:rsid w:val="00507BEF"/>
    <w:rsid w:val="00507CC9"/>
    <w:rsid w:val="005119A5"/>
    <w:rsid w:val="00521F85"/>
    <w:rsid w:val="005229A1"/>
    <w:rsid w:val="005278B7"/>
    <w:rsid w:val="00532016"/>
    <w:rsid w:val="005346C8"/>
    <w:rsid w:val="005376FE"/>
    <w:rsid w:val="00537EC4"/>
    <w:rsid w:val="00543E7D"/>
    <w:rsid w:val="00547A68"/>
    <w:rsid w:val="00550D01"/>
    <w:rsid w:val="005531C9"/>
    <w:rsid w:val="00570C43"/>
    <w:rsid w:val="005735EB"/>
    <w:rsid w:val="00592274"/>
    <w:rsid w:val="00595009"/>
    <w:rsid w:val="005A3C51"/>
    <w:rsid w:val="005B2110"/>
    <w:rsid w:val="005B2795"/>
    <w:rsid w:val="005B61E6"/>
    <w:rsid w:val="005B7C61"/>
    <w:rsid w:val="005C525B"/>
    <w:rsid w:val="005C77E1"/>
    <w:rsid w:val="005D668A"/>
    <w:rsid w:val="005D6A2F"/>
    <w:rsid w:val="005E0592"/>
    <w:rsid w:val="005E181A"/>
    <w:rsid w:val="005E1A82"/>
    <w:rsid w:val="005E794C"/>
    <w:rsid w:val="005F0A28"/>
    <w:rsid w:val="005F0E5E"/>
    <w:rsid w:val="00600535"/>
    <w:rsid w:val="006007AC"/>
    <w:rsid w:val="00610CD6"/>
    <w:rsid w:val="00620DEE"/>
    <w:rsid w:val="00621F92"/>
    <w:rsid w:val="0062280A"/>
    <w:rsid w:val="00622DEE"/>
    <w:rsid w:val="006231E1"/>
    <w:rsid w:val="00625639"/>
    <w:rsid w:val="00630512"/>
    <w:rsid w:val="00631B33"/>
    <w:rsid w:val="0064184D"/>
    <w:rsid w:val="006422CC"/>
    <w:rsid w:val="00651D18"/>
    <w:rsid w:val="006554AB"/>
    <w:rsid w:val="00660E3E"/>
    <w:rsid w:val="00662E74"/>
    <w:rsid w:val="006751CD"/>
    <w:rsid w:val="00680C23"/>
    <w:rsid w:val="00683A0F"/>
    <w:rsid w:val="00683E23"/>
    <w:rsid w:val="00693766"/>
    <w:rsid w:val="00696BFB"/>
    <w:rsid w:val="006A3281"/>
    <w:rsid w:val="006B4888"/>
    <w:rsid w:val="006C2E45"/>
    <w:rsid w:val="006C359C"/>
    <w:rsid w:val="006C5579"/>
    <w:rsid w:val="006C5CAC"/>
    <w:rsid w:val="006C6B8A"/>
    <w:rsid w:val="006C769E"/>
    <w:rsid w:val="006D6E8B"/>
    <w:rsid w:val="006D7209"/>
    <w:rsid w:val="006E737D"/>
    <w:rsid w:val="006F1D62"/>
    <w:rsid w:val="006F1FF6"/>
    <w:rsid w:val="0070071A"/>
    <w:rsid w:val="00707DD1"/>
    <w:rsid w:val="00713973"/>
    <w:rsid w:val="00720A24"/>
    <w:rsid w:val="00726730"/>
    <w:rsid w:val="00730F47"/>
    <w:rsid w:val="00732386"/>
    <w:rsid w:val="00733F75"/>
    <w:rsid w:val="0073460F"/>
    <w:rsid w:val="0073514D"/>
    <w:rsid w:val="00736599"/>
    <w:rsid w:val="00736F8C"/>
    <w:rsid w:val="00741348"/>
    <w:rsid w:val="00741A6F"/>
    <w:rsid w:val="007447F3"/>
    <w:rsid w:val="0075499F"/>
    <w:rsid w:val="007617CC"/>
    <w:rsid w:val="00763519"/>
    <w:rsid w:val="007661C8"/>
    <w:rsid w:val="0077098D"/>
    <w:rsid w:val="00773DC4"/>
    <w:rsid w:val="00777010"/>
    <w:rsid w:val="0078563D"/>
    <w:rsid w:val="00785BF9"/>
    <w:rsid w:val="00786D66"/>
    <w:rsid w:val="0079315B"/>
    <w:rsid w:val="007931FA"/>
    <w:rsid w:val="007A4861"/>
    <w:rsid w:val="007A6049"/>
    <w:rsid w:val="007A751C"/>
    <w:rsid w:val="007A7BBA"/>
    <w:rsid w:val="007B0C50"/>
    <w:rsid w:val="007B48F9"/>
    <w:rsid w:val="007C1A43"/>
    <w:rsid w:val="007C4A34"/>
    <w:rsid w:val="007C511E"/>
    <w:rsid w:val="007D0951"/>
    <w:rsid w:val="007D6B58"/>
    <w:rsid w:val="007F27C8"/>
    <w:rsid w:val="007F796C"/>
    <w:rsid w:val="0080013E"/>
    <w:rsid w:val="0080184B"/>
    <w:rsid w:val="00803415"/>
    <w:rsid w:val="00807384"/>
    <w:rsid w:val="00810104"/>
    <w:rsid w:val="00813288"/>
    <w:rsid w:val="008168FC"/>
    <w:rsid w:val="00830996"/>
    <w:rsid w:val="008314D7"/>
    <w:rsid w:val="00832536"/>
    <w:rsid w:val="008345F1"/>
    <w:rsid w:val="008644C9"/>
    <w:rsid w:val="00864A4B"/>
    <w:rsid w:val="00865B07"/>
    <w:rsid w:val="008667EA"/>
    <w:rsid w:val="0087637F"/>
    <w:rsid w:val="00886687"/>
    <w:rsid w:val="00892AD5"/>
    <w:rsid w:val="008A1512"/>
    <w:rsid w:val="008B0EF6"/>
    <w:rsid w:val="008C10FD"/>
    <w:rsid w:val="008C6CEF"/>
    <w:rsid w:val="008D32B9"/>
    <w:rsid w:val="008D37E0"/>
    <w:rsid w:val="008D433B"/>
    <w:rsid w:val="008D4A16"/>
    <w:rsid w:val="008E209A"/>
    <w:rsid w:val="008E45BC"/>
    <w:rsid w:val="008E566E"/>
    <w:rsid w:val="008F082C"/>
    <w:rsid w:val="008F0916"/>
    <w:rsid w:val="0090161A"/>
    <w:rsid w:val="00901EB6"/>
    <w:rsid w:val="009041F8"/>
    <w:rsid w:val="00904863"/>
    <w:rsid w:val="00904C62"/>
    <w:rsid w:val="009072CF"/>
    <w:rsid w:val="009126FE"/>
    <w:rsid w:val="00920664"/>
    <w:rsid w:val="00922BA8"/>
    <w:rsid w:val="00924DAC"/>
    <w:rsid w:val="00927058"/>
    <w:rsid w:val="00934D25"/>
    <w:rsid w:val="00934D9E"/>
    <w:rsid w:val="009379DD"/>
    <w:rsid w:val="00942750"/>
    <w:rsid w:val="009450CE"/>
    <w:rsid w:val="009459BB"/>
    <w:rsid w:val="0094677E"/>
    <w:rsid w:val="00947179"/>
    <w:rsid w:val="0095164B"/>
    <w:rsid w:val="00954090"/>
    <w:rsid w:val="009573E7"/>
    <w:rsid w:val="00963E05"/>
    <w:rsid w:val="00964A45"/>
    <w:rsid w:val="00967843"/>
    <w:rsid w:val="00967D54"/>
    <w:rsid w:val="00971028"/>
    <w:rsid w:val="00993B84"/>
    <w:rsid w:val="00996483"/>
    <w:rsid w:val="00996F5A"/>
    <w:rsid w:val="009B041A"/>
    <w:rsid w:val="009C37C3"/>
    <w:rsid w:val="009C55C1"/>
    <w:rsid w:val="009C7C86"/>
    <w:rsid w:val="009D268F"/>
    <w:rsid w:val="009D2FF7"/>
    <w:rsid w:val="009E7884"/>
    <w:rsid w:val="009E788A"/>
    <w:rsid w:val="009F0E08"/>
    <w:rsid w:val="009F7922"/>
    <w:rsid w:val="00A079AE"/>
    <w:rsid w:val="00A1462A"/>
    <w:rsid w:val="00A1763D"/>
    <w:rsid w:val="00A17CEC"/>
    <w:rsid w:val="00A23970"/>
    <w:rsid w:val="00A26CBB"/>
    <w:rsid w:val="00A27EF0"/>
    <w:rsid w:val="00A30D8F"/>
    <w:rsid w:val="00A42361"/>
    <w:rsid w:val="00A454CF"/>
    <w:rsid w:val="00A50B20"/>
    <w:rsid w:val="00A51390"/>
    <w:rsid w:val="00A60D13"/>
    <w:rsid w:val="00A61A42"/>
    <w:rsid w:val="00A65468"/>
    <w:rsid w:val="00A7223D"/>
    <w:rsid w:val="00A72745"/>
    <w:rsid w:val="00A76EFC"/>
    <w:rsid w:val="00A8087E"/>
    <w:rsid w:val="00A87D50"/>
    <w:rsid w:val="00A91010"/>
    <w:rsid w:val="00A97F29"/>
    <w:rsid w:val="00AA702E"/>
    <w:rsid w:val="00AA7D26"/>
    <w:rsid w:val="00AB0964"/>
    <w:rsid w:val="00AB5011"/>
    <w:rsid w:val="00AC7368"/>
    <w:rsid w:val="00AD0278"/>
    <w:rsid w:val="00AD16B9"/>
    <w:rsid w:val="00AE377D"/>
    <w:rsid w:val="00AE5B29"/>
    <w:rsid w:val="00AF0EBA"/>
    <w:rsid w:val="00B02C8A"/>
    <w:rsid w:val="00B04D0E"/>
    <w:rsid w:val="00B149C6"/>
    <w:rsid w:val="00B16CC3"/>
    <w:rsid w:val="00B17FBD"/>
    <w:rsid w:val="00B315A6"/>
    <w:rsid w:val="00B31813"/>
    <w:rsid w:val="00B33365"/>
    <w:rsid w:val="00B43640"/>
    <w:rsid w:val="00B456F2"/>
    <w:rsid w:val="00B57B36"/>
    <w:rsid w:val="00B57E6F"/>
    <w:rsid w:val="00B71035"/>
    <w:rsid w:val="00B84483"/>
    <w:rsid w:val="00B8686D"/>
    <w:rsid w:val="00B93F69"/>
    <w:rsid w:val="00BA525C"/>
    <w:rsid w:val="00BA7F85"/>
    <w:rsid w:val="00BB1DDC"/>
    <w:rsid w:val="00BB3D6F"/>
    <w:rsid w:val="00BC28BE"/>
    <w:rsid w:val="00BC30C9"/>
    <w:rsid w:val="00BD077D"/>
    <w:rsid w:val="00BD425F"/>
    <w:rsid w:val="00BD4C16"/>
    <w:rsid w:val="00BD519C"/>
    <w:rsid w:val="00BE3AB7"/>
    <w:rsid w:val="00BE3E58"/>
    <w:rsid w:val="00BE5C2F"/>
    <w:rsid w:val="00BF582F"/>
    <w:rsid w:val="00BF6218"/>
    <w:rsid w:val="00C01616"/>
    <w:rsid w:val="00C0162B"/>
    <w:rsid w:val="00C01959"/>
    <w:rsid w:val="00C01DAD"/>
    <w:rsid w:val="00C03F8A"/>
    <w:rsid w:val="00C068ED"/>
    <w:rsid w:val="00C208E9"/>
    <w:rsid w:val="00C22E0C"/>
    <w:rsid w:val="00C24D67"/>
    <w:rsid w:val="00C312BB"/>
    <w:rsid w:val="00C345B1"/>
    <w:rsid w:val="00C40142"/>
    <w:rsid w:val="00C52C3C"/>
    <w:rsid w:val="00C57182"/>
    <w:rsid w:val="00C57863"/>
    <w:rsid w:val="00C640AF"/>
    <w:rsid w:val="00C655FD"/>
    <w:rsid w:val="00C72342"/>
    <w:rsid w:val="00C75407"/>
    <w:rsid w:val="00C8299E"/>
    <w:rsid w:val="00C841C6"/>
    <w:rsid w:val="00C870A8"/>
    <w:rsid w:val="00C93959"/>
    <w:rsid w:val="00C94434"/>
    <w:rsid w:val="00CA0D75"/>
    <w:rsid w:val="00CA1C95"/>
    <w:rsid w:val="00CA3E5C"/>
    <w:rsid w:val="00CA4BF7"/>
    <w:rsid w:val="00CA5A9C"/>
    <w:rsid w:val="00CB40AD"/>
    <w:rsid w:val="00CC1B9F"/>
    <w:rsid w:val="00CC4C20"/>
    <w:rsid w:val="00CC5D32"/>
    <w:rsid w:val="00CC5EFD"/>
    <w:rsid w:val="00CD1DB7"/>
    <w:rsid w:val="00CD3517"/>
    <w:rsid w:val="00CD5C46"/>
    <w:rsid w:val="00CD5FE2"/>
    <w:rsid w:val="00CE7C68"/>
    <w:rsid w:val="00CF2069"/>
    <w:rsid w:val="00D02B4C"/>
    <w:rsid w:val="00D040C4"/>
    <w:rsid w:val="00D0684F"/>
    <w:rsid w:val="00D07C01"/>
    <w:rsid w:val="00D20AD1"/>
    <w:rsid w:val="00D2582C"/>
    <w:rsid w:val="00D314A7"/>
    <w:rsid w:val="00D429F9"/>
    <w:rsid w:val="00D46B7E"/>
    <w:rsid w:val="00D57C84"/>
    <w:rsid w:val="00D6057D"/>
    <w:rsid w:val="00D6513C"/>
    <w:rsid w:val="00D71640"/>
    <w:rsid w:val="00D77CAD"/>
    <w:rsid w:val="00D836C5"/>
    <w:rsid w:val="00D84576"/>
    <w:rsid w:val="00DA1399"/>
    <w:rsid w:val="00DA24C6"/>
    <w:rsid w:val="00DA4D7B"/>
    <w:rsid w:val="00DA6CCC"/>
    <w:rsid w:val="00DB4B67"/>
    <w:rsid w:val="00DD271C"/>
    <w:rsid w:val="00DD54F0"/>
    <w:rsid w:val="00DE264A"/>
    <w:rsid w:val="00DF5072"/>
    <w:rsid w:val="00E02D18"/>
    <w:rsid w:val="00E041E7"/>
    <w:rsid w:val="00E04335"/>
    <w:rsid w:val="00E15022"/>
    <w:rsid w:val="00E15489"/>
    <w:rsid w:val="00E22048"/>
    <w:rsid w:val="00E2211D"/>
    <w:rsid w:val="00E23CA1"/>
    <w:rsid w:val="00E302B9"/>
    <w:rsid w:val="00E409A8"/>
    <w:rsid w:val="00E47B80"/>
    <w:rsid w:val="00E47CA3"/>
    <w:rsid w:val="00E47D61"/>
    <w:rsid w:val="00E5073A"/>
    <w:rsid w:val="00E50C12"/>
    <w:rsid w:val="00E65B91"/>
    <w:rsid w:val="00E67F8E"/>
    <w:rsid w:val="00E7209D"/>
    <w:rsid w:val="00E72EAD"/>
    <w:rsid w:val="00E77223"/>
    <w:rsid w:val="00E832F7"/>
    <w:rsid w:val="00E8528B"/>
    <w:rsid w:val="00E85B94"/>
    <w:rsid w:val="00E95294"/>
    <w:rsid w:val="00E977B9"/>
    <w:rsid w:val="00E978D0"/>
    <w:rsid w:val="00EA3298"/>
    <w:rsid w:val="00EA4613"/>
    <w:rsid w:val="00EA7F91"/>
    <w:rsid w:val="00EB05DB"/>
    <w:rsid w:val="00EB1523"/>
    <w:rsid w:val="00EC0E49"/>
    <w:rsid w:val="00EC101F"/>
    <w:rsid w:val="00EC1D9F"/>
    <w:rsid w:val="00EE0131"/>
    <w:rsid w:val="00EE17B0"/>
    <w:rsid w:val="00EE5D07"/>
    <w:rsid w:val="00EF06D9"/>
    <w:rsid w:val="00EF0982"/>
    <w:rsid w:val="00F03AF7"/>
    <w:rsid w:val="00F0692F"/>
    <w:rsid w:val="00F14313"/>
    <w:rsid w:val="00F3049E"/>
    <w:rsid w:val="00F30C64"/>
    <w:rsid w:val="00F32BA2"/>
    <w:rsid w:val="00F32CDB"/>
    <w:rsid w:val="00F3348F"/>
    <w:rsid w:val="00F33631"/>
    <w:rsid w:val="00F37280"/>
    <w:rsid w:val="00F41EE4"/>
    <w:rsid w:val="00F52509"/>
    <w:rsid w:val="00F565FE"/>
    <w:rsid w:val="00F56ECA"/>
    <w:rsid w:val="00F63A70"/>
    <w:rsid w:val="00F63D8C"/>
    <w:rsid w:val="00F64493"/>
    <w:rsid w:val="00F645E7"/>
    <w:rsid w:val="00F7534E"/>
    <w:rsid w:val="00F848F3"/>
    <w:rsid w:val="00F93EDF"/>
    <w:rsid w:val="00FA1802"/>
    <w:rsid w:val="00FA21D0"/>
    <w:rsid w:val="00FA58EC"/>
    <w:rsid w:val="00FA5F5F"/>
    <w:rsid w:val="00FB5181"/>
    <w:rsid w:val="00FB730C"/>
    <w:rsid w:val="00FC1479"/>
    <w:rsid w:val="00FC2695"/>
    <w:rsid w:val="00FC3E03"/>
    <w:rsid w:val="00FC3F70"/>
    <w:rsid w:val="00FC3FC1"/>
    <w:rsid w:val="00FC7D40"/>
    <w:rsid w:val="00FD4D3A"/>
    <w:rsid w:val="00FF11B7"/>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E0CC22"/>
  <w14:defaultImageDpi w14:val="330"/>
  <w15:docId w15:val="{F829E670-3C1B-4B3E-8E35-E3A0CC2F2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ind w:left="0"/>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D6513C"/>
    <w:pPr>
      <w:keepNext/>
      <w:numPr>
        <w:ilvl w:val="2"/>
        <w:numId w:val="1"/>
      </w:numPr>
      <w:suppressAutoHyphens/>
      <w:spacing w:before="120" w:after="120" w:line="240" w:lineRule="auto"/>
    </w:pPr>
    <w:rPr>
      <w:rFonts w:ascii="Arial" w:eastAsia="Times New Roman" w:hAnsi="Arial" w:cs="Times New Roman"/>
      <w:b/>
      <w:sz w:val="18"/>
      <w:szCs w:val="20"/>
      <w:lang w:val="en-GB"/>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D6513C"/>
    <w:rPr>
      <w:rFonts w:ascii="Arial" w:eastAsia="Times New Roman" w:hAnsi="Arial" w:cs="Times New Roman"/>
      <w:b/>
      <w:sz w:val="18"/>
      <w:szCs w:val="20"/>
      <w:lang w:val="en-GB"/>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after="240"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semiHidden/>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trike w:val="0"/>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character" w:styleId="Rimandonotaapidipagina">
    <w:name w:val="footnote reference"/>
    <w:basedOn w:val="Carpredefinitoparagrafo"/>
    <w:uiPriority w:val="99"/>
    <w:semiHidden/>
    <w:unhideWhenUsed/>
    <w:rsid w:val="008C6CEF"/>
    <w:rPr>
      <w:vertAlign w:val="superscript"/>
    </w:rPr>
  </w:style>
  <w:style w:type="character" w:styleId="Enfasigrassetto">
    <w:name w:val="Strong"/>
    <w:basedOn w:val="Carpredefinitoparagrafo"/>
    <w:uiPriority w:val="22"/>
    <w:qFormat/>
    <w:rsid w:val="00AE5B29"/>
    <w:rPr>
      <w:b/>
      <w:bCs/>
    </w:rPr>
  </w:style>
  <w:style w:type="character" w:customStyle="1" w:styleId="Menzionenonrisolta1">
    <w:name w:val="Menzione non risolta1"/>
    <w:basedOn w:val="Carpredefinitoparagrafo"/>
    <w:uiPriority w:val="99"/>
    <w:semiHidden/>
    <w:unhideWhenUsed/>
    <w:rsid w:val="005735EB"/>
    <w:rPr>
      <w:color w:val="605E5C"/>
      <w:shd w:val="clear" w:color="auto" w:fill="E1DFDD"/>
    </w:rPr>
  </w:style>
  <w:style w:type="character" w:styleId="Collegamentovisitato">
    <w:name w:val="FollowedHyperlink"/>
    <w:basedOn w:val="Carpredefinitoparagrafo"/>
    <w:uiPriority w:val="99"/>
    <w:semiHidden/>
    <w:unhideWhenUsed/>
    <w:rsid w:val="00E302B9"/>
    <w:rPr>
      <w:color w:val="800080" w:themeColor="followedHyperlink"/>
      <w:u w:val="single"/>
    </w:rPr>
  </w:style>
  <w:style w:type="character" w:styleId="Enfasicorsivo">
    <w:name w:val="Emphasis"/>
    <w:basedOn w:val="Carpredefinitoparagrafo"/>
    <w:uiPriority w:val="20"/>
    <w:qFormat/>
    <w:rsid w:val="00537EC4"/>
    <w:rPr>
      <w:i/>
      <w:iCs/>
    </w:rPr>
  </w:style>
  <w:style w:type="character" w:customStyle="1" w:styleId="react-xocs-alternative-link">
    <w:name w:val="react-xocs-alternative-link"/>
    <w:basedOn w:val="Carpredefinitoparagrafo"/>
    <w:rsid w:val="00E15022"/>
  </w:style>
  <w:style w:type="character" w:customStyle="1" w:styleId="given-name">
    <w:name w:val="given-name"/>
    <w:basedOn w:val="Carpredefinitoparagrafo"/>
    <w:rsid w:val="00E15022"/>
  </w:style>
  <w:style w:type="character" w:customStyle="1" w:styleId="text">
    <w:name w:val="text"/>
    <w:basedOn w:val="Carpredefinitoparagrafo"/>
    <w:rsid w:val="00E15022"/>
  </w:style>
  <w:style w:type="character" w:customStyle="1" w:styleId="author-ref">
    <w:name w:val="author-ref"/>
    <w:basedOn w:val="Carpredefinitoparagrafo"/>
    <w:rsid w:val="00E15022"/>
  </w:style>
  <w:style w:type="character" w:customStyle="1" w:styleId="anchor-text">
    <w:name w:val="anchor-text"/>
    <w:basedOn w:val="Carpredefinitoparagrafo"/>
    <w:rsid w:val="00E15022"/>
  </w:style>
  <w:style w:type="character" w:customStyle="1" w:styleId="Menzionenonrisolta2">
    <w:name w:val="Menzione non risolta2"/>
    <w:basedOn w:val="Carpredefinitoparagrafo"/>
    <w:uiPriority w:val="99"/>
    <w:semiHidden/>
    <w:unhideWhenUsed/>
    <w:rsid w:val="0024644A"/>
    <w:rPr>
      <w:color w:val="605E5C"/>
      <w:shd w:val="clear" w:color="auto" w:fill="E1DFDD"/>
    </w:rPr>
  </w:style>
  <w:style w:type="character" w:customStyle="1" w:styleId="UnresolvedMention">
    <w:name w:val="Unresolved Mention"/>
    <w:basedOn w:val="Carpredefinitoparagrafo"/>
    <w:uiPriority w:val="99"/>
    <w:semiHidden/>
    <w:unhideWhenUsed/>
    <w:rsid w:val="00622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9265">
      <w:bodyDiv w:val="1"/>
      <w:marLeft w:val="0"/>
      <w:marRight w:val="0"/>
      <w:marTop w:val="0"/>
      <w:marBottom w:val="0"/>
      <w:divBdr>
        <w:top w:val="none" w:sz="0" w:space="0" w:color="auto"/>
        <w:left w:val="none" w:sz="0" w:space="0" w:color="auto"/>
        <w:bottom w:val="none" w:sz="0" w:space="0" w:color="auto"/>
        <w:right w:val="none" w:sz="0" w:space="0" w:color="auto"/>
      </w:divBdr>
    </w:div>
    <w:div w:id="590165201">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6816">
      <w:bodyDiv w:val="1"/>
      <w:marLeft w:val="0"/>
      <w:marRight w:val="0"/>
      <w:marTop w:val="0"/>
      <w:marBottom w:val="0"/>
      <w:divBdr>
        <w:top w:val="none" w:sz="0" w:space="0" w:color="auto"/>
        <w:left w:val="none" w:sz="0" w:space="0" w:color="auto"/>
        <w:bottom w:val="none" w:sz="0" w:space="0" w:color="auto"/>
        <w:right w:val="none" w:sz="0" w:space="0" w:color="auto"/>
      </w:divBdr>
      <w:divsChild>
        <w:div w:id="1599220338">
          <w:marLeft w:val="0"/>
          <w:marRight w:val="0"/>
          <w:marTop w:val="0"/>
          <w:marBottom w:val="0"/>
          <w:divBdr>
            <w:top w:val="none" w:sz="0" w:space="0" w:color="auto"/>
            <w:left w:val="none" w:sz="0" w:space="0" w:color="auto"/>
            <w:bottom w:val="none" w:sz="0" w:space="0" w:color="auto"/>
            <w:right w:val="none" w:sz="0" w:space="0" w:color="auto"/>
          </w:divBdr>
        </w:div>
        <w:div w:id="1795445224">
          <w:marLeft w:val="0"/>
          <w:marRight w:val="0"/>
          <w:marTop w:val="0"/>
          <w:marBottom w:val="0"/>
          <w:divBdr>
            <w:top w:val="none" w:sz="0" w:space="0" w:color="auto"/>
            <w:left w:val="none" w:sz="0" w:space="0" w:color="auto"/>
            <w:bottom w:val="none" w:sz="0" w:space="0" w:color="auto"/>
            <w:right w:val="none" w:sz="0" w:space="0" w:color="auto"/>
          </w:divBdr>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02748514">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397679">
      <w:bodyDiv w:val="1"/>
      <w:marLeft w:val="0"/>
      <w:marRight w:val="0"/>
      <w:marTop w:val="0"/>
      <w:marBottom w:val="0"/>
      <w:divBdr>
        <w:top w:val="none" w:sz="0" w:space="0" w:color="auto"/>
        <w:left w:val="none" w:sz="0" w:space="0" w:color="auto"/>
        <w:bottom w:val="none" w:sz="0" w:space="0" w:color="auto"/>
        <w:right w:val="none" w:sz="0" w:space="0" w:color="auto"/>
      </w:divBdr>
    </w:div>
    <w:div w:id="1728609768">
      <w:bodyDiv w:val="1"/>
      <w:marLeft w:val="0"/>
      <w:marRight w:val="0"/>
      <w:marTop w:val="0"/>
      <w:marBottom w:val="0"/>
      <w:divBdr>
        <w:top w:val="none" w:sz="0" w:space="0" w:color="auto"/>
        <w:left w:val="none" w:sz="0" w:space="0" w:color="auto"/>
        <w:bottom w:val="none" w:sz="0" w:space="0" w:color="auto"/>
        <w:right w:val="none" w:sz="0" w:space="0" w:color="auto"/>
      </w:divBdr>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BE321-F688-4435-A230-9B381E725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6</Pages>
  <Words>5334</Words>
  <Characters>30409</Characters>
  <Application>Microsoft Office Word</Application>
  <DocSecurity>0</DocSecurity>
  <Lines>253</Lines>
  <Paragraphs>71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35672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dc:creator>
  <cp:keywords/>
  <dc:description/>
  <cp:lastModifiedBy>Tiziano ZARRA</cp:lastModifiedBy>
  <cp:revision>90</cp:revision>
  <cp:lastPrinted>2015-05-12T18:31:00Z</cp:lastPrinted>
  <dcterms:created xsi:type="dcterms:W3CDTF">2026-04-22T09:51:00Z</dcterms:created>
  <dcterms:modified xsi:type="dcterms:W3CDTF">2026-06-18T18:10:00Z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id="c55QvuLh"/&gt;&lt;style id="http://www.zotero.org/styles/chicago-author-date" locale="it-IT" hasBibliography="1" bibliographyStyleHasBeenSet="1"/&gt;&lt;prefs&gt;&lt;pref name="fieldType" value="Field"/&gt;&lt;pref name</vt:lpwstr>
  </property>
  <property fmtid="{D5CDD505-2E9C-101B-9397-08002B2CF9AE}" pid="3" name="ZOTERO_PREF_2">
    <vt:lpwstr>="storeReferences" value="true"/&gt;&lt;/prefs&gt;&lt;/data&gt;</vt:lpwstr>
  </property>
</Properties>
</file>