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01B8F6E1" w:rsidR="00E978D0" w:rsidRPr="00086114" w:rsidRDefault="001A3164" w:rsidP="00E978D0">
      <w:pPr>
        <w:pStyle w:val="CETTitle"/>
      </w:pPr>
      <w:r w:rsidRPr="00086114">
        <w:t xml:space="preserve">Waste-to-Energy Nexus Approach for Odour Abatement and </w:t>
      </w:r>
      <w:r w:rsidR="003959AA" w:rsidRPr="00086114">
        <w:t>CO2</w:t>
      </w:r>
      <w:r w:rsidRPr="00086114">
        <w:t xml:space="preserve"> Biofixation in Environmental Engineering Plants</w:t>
      </w:r>
    </w:p>
    <w:p w14:paraId="0488FED2" w14:textId="3006C882" w:rsidR="00B57E6F" w:rsidRPr="00086114" w:rsidRDefault="001B5A63" w:rsidP="00B57E6F">
      <w:pPr>
        <w:pStyle w:val="CETAuthors"/>
        <w:rPr>
          <w:lang w:val="it-IT"/>
        </w:rPr>
      </w:pPr>
      <w:r w:rsidRPr="00086114">
        <w:rPr>
          <w:lang w:val="it-IT"/>
        </w:rPr>
        <w:t>Lorenzo Raso</w:t>
      </w:r>
      <w:r w:rsidR="00B57E6F" w:rsidRPr="00086114">
        <w:rPr>
          <w:vertAlign w:val="superscript"/>
          <w:lang w:val="it-IT"/>
        </w:rPr>
        <w:t>a</w:t>
      </w:r>
      <w:r w:rsidR="00B57E6F" w:rsidRPr="00086114">
        <w:rPr>
          <w:lang w:val="it-IT"/>
        </w:rPr>
        <w:t>,</w:t>
      </w:r>
      <w:r w:rsidRPr="00086114">
        <w:rPr>
          <w:lang w:val="it-IT"/>
        </w:rPr>
        <w:t xml:space="preserve"> </w:t>
      </w:r>
      <w:r w:rsidR="001A3164" w:rsidRPr="00086114">
        <w:rPr>
          <w:lang w:val="it-IT"/>
        </w:rPr>
        <w:t>Letizia Leva</w:t>
      </w:r>
      <w:r w:rsidR="001A3164" w:rsidRPr="00086114">
        <w:rPr>
          <w:vertAlign w:val="superscript"/>
          <w:lang w:val="it-IT"/>
        </w:rPr>
        <w:t>a</w:t>
      </w:r>
      <w:r w:rsidRPr="00086114">
        <w:rPr>
          <w:lang w:val="it-IT"/>
        </w:rPr>
        <w:t>,</w:t>
      </w:r>
      <w:r w:rsidR="001A3164" w:rsidRPr="00086114">
        <w:rPr>
          <w:lang w:val="it-IT"/>
        </w:rPr>
        <w:t xml:space="preserve"> Aniello Mariniello</w:t>
      </w:r>
      <w:r w:rsidR="001A3164" w:rsidRPr="00086114">
        <w:rPr>
          <w:vertAlign w:val="superscript"/>
          <w:lang w:val="it-IT"/>
        </w:rPr>
        <w:t>a</w:t>
      </w:r>
      <w:r w:rsidR="001A3164" w:rsidRPr="00086114">
        <w:rPr>
          <w:lang w:val="it-IT"/>
        </w:rPr>
        <w:t>, Giuseppina Oliva</w:t>
      </w:r>
      <w:r w:rsidR="001A3164" w:rsidRPr="00086114">
        <w:rPr>
          <w:vertAlign w:val="superscript"/>
          <w:lang w:val="it-IT"/>
        </w:rPr>
        <w:t>a</w:t>
      </w:r>
      <w:r w:rsidR="001A3164" w:rsidRPr="00086114">
        <w:rPr>
          <w:lang w:val="it-IT"/>
        </w:rPr>
        <w:t>,</w:t>
      </w:r>
      <w:r w:rsidR="006373A7" w:rsidRPr="00086114">
        <w:rPr>
          <w:lang w:val="it-IT"/>
        </w:rPr>
        <w:t xml:space="preserve"> </w:t>
      </w:r>
      <w:r w:rsidR="001A3164" w:rsidRPr="00086114">
        <w:rPr>
          <w:lang w:val="it-IT"/>
        </w:rPr>
        <w:t>Vincenzo Belgiorno</w:t>
      </w:r>
      <w:r w:rsidR="001A3164" w:rsidRPr="00086114">
        <w:rPr>
          <w:vertAlign w:val="superscript"/>
          <w:lang w:val="it-IT"/>
        </w:rPr>
        <w:t>a</w:t>
      </w:r>
      <w:r w:rsidR="001A3164" w:rsidRPr="00086114">
        <w:rPr>
          <w:lang w:val="it-IT"/>
        </w:rPr>
        <w:t>,</w:t>
      </w:r>
      <w:r w:rsidRPr="00086114">
        <w:rPr>
          <w:lang w:val="it-IT"/>
        </w:rPr>
        <w:t xml:space="preserve"> Vincenzo Naddeo</w:t>
      </w:r>
      <w:r w:rsidRPr="00086114">
        <w:rPr>
          <w:vertAlign w:val="superscript"/>
          <w:lang w:val="it-IT"/>
        </w:rPr>
        <w:t>a</w:t>
      </w:r>
      <w:r w:rsidRPr="00086114">
        <w:rPr>
          <w:lang w:val="it-IT"/>
        </w:rPr>
        <w:t>, Tiziano Zarra</w:t>
      </w:r>
      <w:r w:rsidRPr="00086114">
        <w:rPr>
          <w:vertAlign w:val="superscript"/>
          <w:lang w:val="it-IT"/>
        </w:rPr>
        <w:t>a</w:t>
      </w:r>
      <w:r w:rsidRPr="00086114">
        <w:rPr>
          <w:lang w:val="it-IT"/>
        </w:rPr>
        <w:t>,</w:t>
      </w:r>
      <w:r w:rsidR="00B57E6F" w:rsidRPr="00086114">
        <w:rPr>
          <w:lang w:val="it-IT"/>
        </w:rPr>
        <w:t xml:space="preserve"> </w:t>
      </w:r>
    </w:p>
    <w:p w14:paraId="6B2D21B3" w14:textId="10DAC5AA" w:rsidR="00B57E6F" w:rsidRPr="00086114" w:rsidRDefault="00B57E6F" w:rsidP="00B57E6F">
      <w:pPr>
        <w:pStyle w:val="CETAddress"/>
        <w:rPr>
          <w:lang w:val="en-US"/>
        </w:rPr>
      </w:pPr>
      <w:r w:rsidRPr="00086114">
        <w:rPr>
          <w:vertAlign w:val="superscript"/>
          <w:lang w:val="en-US"/>
        </w:rPr>
        <w:t>a</w:t>
      </w:r>
      <w:r w:rsidR="001B5A63" w:rsidRPr="00086114">
        <w:rPr>
          <w:lang w:val="en-US"/>
        </w:rPr>
        <w:t xml:space="preserve"> Sanitary Environmental Engineering Division (SEED), Department of Civil Engineering University of Salerno – G. Paolo II, 132 - 84084 Fisciano (SA) Italy </w:t>
      </w:r>
    </w:p>
    <w:p w14:paraId="73F1267A" w14:textId="196C2A01" w:rsidR="00B57E6F" w:rsidRPr="00086114" w:rsidRDefault="001B5A63" w:rsidP="00B57E6F">
      <w:pPr>
        <w:pStyle w:val="CETemail"/>
        <w:rPr>
          <w:lang w:val="fr-FR"/>
        </w:rPr>
      </w:pPr>
      <w:r w:rsidRPr="00086114">
        <w:rPr>
          <w:lang w:val="fr-FR"/>
        </w:rPr>
        <w:t>lraso</w:t>
      </w:r>
      <w:r w:rsidR="00B57E6F" w:rsidRPr="00086114">
        <w:rPr>
          <w:lang w:val="fr-FR"/>
        </w:rPr>
        <w:t>@</w:t>
      </w:r>
      <w:r w:rsidRPr="00086114">
        <w:rPr>
          <w:lang w:val="fr-FR"/>
        </w:rPr>
        <w:t>unisa.it</w:t>
      </w:r>
    </w:p>
    <w:p w14:paraId="3EA66522" w14:textId="5BBBBCB9" w:rsidR="00A61A42" w:rsidRPr="00086114" w:rsidRDefault="00DA4123" w:rsidP="00DA4123">
      <w:pPr>
        <w:pStyle w:val="CETBodytext"/>
      </w:pPr>
      <w:r w:rsidRPr="00086114">
        <w:t>Odour emissions from environmental engineering plants represent a significant environmental and social issue, requiring sustainable mitigation strategies. Th</w:t>
      </w:r>
      <w:r w:rsidR="005928F3" w:rsidRPr="00086114">
        <w:t>e</w:t>
      </w:r>
      <w:r w:rsidRPr="00086114">
        <w:t xml:space="preserve"> </w:t>
      </w:r>
      <w:r w:rsidR="0066496E" w:rsidRPr="00086114">
        <w:t>research</w:t>
      </w:r>
      <w:r w:rsidRPr="00086114">
        <w:t xml:space="preserve"> </w:t>
      </w:r>
      <w:r w:rsidR="001C1211" w:rsidRPr="00086114">
        <w:t>presents and discusses</w:t>
      </w:r>
      <w:r w:rsidRPr="00086114">
        <w:t xml:space="preserve"> the development and experimental validation of an</w:t>
      </w:r>
      <w:r w:rsidR="001C1211" w:rsidRPr="00086114">
        <w:t xml:space="preserve"> advanced</w:t>
      </w:r>
      <w:r w:rsidRPr="00086114">
        <w:t xml:space="preserve"> integrated biotechnological system for the treatment of real odo</w:t>
      </w:r>
      <w:r w:rsidR="00BB3769" w:rsidRPr="00086114">
        <w:t>ur</w:t>
      </w:r>
      <w:r w:rsidRPr="00086114">
        <w:t xml:space="preserve"> emissions</w:t>
      </w:r>
      <w:r w:rsidR="001C1211" w:rsidRPr="00086114">
        <w:t>, combining a Moving Bed Biofilm Reactor (MBBR) with a downstream algal photobioreactor</w:t>
      </w:r>
      <w:r w:rsidR="00BB3769" w:rsidRPr="00086114">
        <w:t xml:space="preserve"> (aPBR)</w:t>
      </w:r>
      <w:r w:rsidR="001C1211" w:rsidRPr="00086114">
        <w:t>. The proposed platform enables simultaneous odour abatement and carbon valorisation through microbial degradation and CO</w:t>
      </w:r>
      <w:r w:rsidR="001C1211" w:rsidRPr="00086114">
        <w:rPr>
          <w:rFonts w:ascii="Cambria Math" w:hAnsi="Cambria Math" w:cs="Cambria Math"/>
        </w:rPr>
        <w:t>₂</w:t>
      </w:r>
      <w:r w:rsidR="001C1211" w:rsidRPr="00086114">
        <w:t xml:space="preserve"> biofixation, within a waste-to-energy nexus framework integrating emission control and resource recovery</w:t>
      </w:r>
      <w:r w:rsidRPr="00086114">
        <w:t xml:space="preserve">. Experimental </w:t>
      </w:r>
      <w:r w:rsidR="001F6E1F" w:rsidRPr="00086114">
        <w:t>validation</w:t>
      </w:r>
      <w:r w:rsidRPr="00086114">
        <w:t xml:space="preserve"> w</w:t>
      </w:r>
      <w:r w:rsidR="001F6E1F" w:rsidRPr="00086114">
        <w:t>as</w:t>
      </w:r>
      <w:r w:rsidRPr="00086114">
        <w:t xml:space="preserve"> </w:t>
      </w:r>
      <w:r w:rsidR="00BB3769" w:rsidRPr="00086114">
        <w:t>performed</w:t>
      </w:r>
      <w:r w:rsidRPr="00086114">
        <w:t xml:space="preserve"> under controlled laboratory </w:t>
      </w:r>
      <w:r w:rsidR="001F6E1F" w:rsidRPr="00086114">
        <w:t xml:space="preserve">batch </w:t>
      </w:r>
      <w:r w:rsidRPr="00086114">
        <w:t xml:space="preserve">conditions using real </w:t>
      </w:r>
      <w:r w:rsidR="001F6E1F" w:rsidRPr="00086114">
        <w:t xml:space="preserve">odour emissions </w:t>
      </w:r>
      <w:r w:rsidR="00BB3769" w:rsidRPr="00086114">
        <w:t xml:space="preserve">collected from </w:t>
      </w:r>
      <w:r w:rsidRPr="00086114">
        <w:t xml:space="preserve">a full-scale wastewater treatment plant </w:t>
      </w:r>
      <w:r w:rsidR="00BB3769" w:rsidRPr="00086114">
        <w:t xml:space="preserve">(WWTP) located </w:t>
      </w:r>
      <w:r w:rsidRPr="00086114">
        <w:t xml:space="preserve">in </w:t>
      </w:r>
      <w:r w:rsidR="001F6E1F" w:rsidRPr="00086114">
        <w:t>the munic</w:t>
      </w:r>
      <w:r w:rsidR="00193781" w:rsidRPr="00086114">
        <w:t>i</w:t>
      </w:r>
      <w:r w:rsidR="001F6E1F" w:rsidRPr="00086114">
        <w:t>pality of Salerno (Campania Region, Italy)</w:t>
      </w:r>
      <w:r w:rsidRPr="00086114">
        <w:t xml:space="preserve">. </w:t>
      </w:r>
      <w:r w:rsidR="00BB3769" w:rsidRPr="00086114">
        <w:t>System performance was assessed by determining odour concentration (OUE m</w:t>
      </w:r>
      <w:r w:rsidR="00BB3769" w:rsidRPr="00086114">
        <w:rPr>
          <w:rFonts w:ascii="Cambria Math" w:hAnsi="Cambria Math" w:cs="Cambria Math"/>
        </w:rPr>
        <w:t>⁻</w:t>
      </w:r>
      <w:r w:rsidR="00BB3769" w:rsidRPr="00086114">
        <w:rPr>
          <w:rFonts w:cs="Arial"/>
        </w:rPr>
        <w:t>³</w:t>
      </w:r>
      <w:r w:rsidR="00BB3769" w:rsidRPr="00086114">
        <w:t>) abatement, removal efficiencies of target compounds, and CO</w:t>
      </w:r>
      <w:r w:rsidR="00BB3769" w:rsidRPr="00086114">
        <w:rPr>
          <w:rFonts w:ascii="Cambria Math" w:hAnsi="Cambria Math" w:cs="Cambria Math"/>
        </w:rPr>
        <w:t>₂</w:t>
      </w:r>
      <w:r w:rsidR="00BB3769" w:rsidRPr="00086114">
        <w:t xml:space="preserve"> biofixation rates. The results showed odour removal efficiencies of up to 95%, with nearly complete removal (~100%) of the target compound methyl mercaptan. The algal photobioreactor achieved CO</w:t>
      </w:r>
      <w:r w:rsidR="00BB3769" w:rsidRPr="00086114">
        <w:rPr>
          <w:rFonts w:ascii="Cambria Math" w:hAnsi="Cambria Math" w:cs="Cambria Math"/>
        </w:rPr>
        <w:t>₂</w:t>
      </w:r>
      <w:r w:rsidR="00BB3769" w:rsidRPr="00086114">
        <w:t xml:space="preserve"> biofixation efficiencies of up to 86% while producing algal biomass with a lipid content of approximately 22%, supporting its potential for energy recovery</w:t>
      </w:r>
      <w:r w:rsidR="0066496E" w:rsidRPr="00086114">
        <w:t>.</w:t>
      </w:r>
      <w:r w:rsidRPr="00086114">
        <w:t xml:space="preserve"> </w:t>
      </w:r>
      <w:r w:rsidR="0066496E" w:rsidRPr="00086114">
        <w:t>The study highlights the potential of integrated biotechnological solutions to simultaneously address odour control, climate change mitigation, and resource recovery, contributing to the development of next-generation sustainable emission management strategies</w:t>
      </w:r>
      <w:r w:rsidRPr="00086114">
        <w:t>.</w:t>
      </w:r>
    </w:p>
    <w:p w14:paraId="20347C2A" w14:textId="77777777" w:rsidR="00A61A42" w:rsidRPr="00086114" w:rsidRDefault="00A61A42" w:rsidP="00A61A42">
      <w:pPr>
        <w:pStyle w:val="CETHeading1"/>
        <w:rPr>
          <w:lang w:val="en-GB"/>
        </w:rPr>
      </w:pPr>
      <w:r w:rsidRPr="00086114">
        <w:rPr>
          <w:lang w:val="en-GB"/>
        </w:rPr>
        <w:t>Introduction</w:t>
      </w:r>
    </w:p>
    <w:p w14:paraId="4E2896D3" w14:textId="22072039" w:rsidR="00DA5508" w:rsidRPr="00086114" w:rsidRDefault="00DA5508" w:rsidP="00DA4123">
      <w:pPr>
        <w:pStyle w:val="CETBodytext"/>
      </w:pPr>
      <w:r w:rsidRPr="00086114">
        <w:t xml:space="preserve">Odour emissions from environmental engineering facilities, </w:t>
      </w:r>
      <w:r w:rsidR="00BB3769" w:rsidRPr="00086114">
        <w:t>such as</w:t>
      </w:r>
      <w:r w:rsidRPr="00086114">
        <w:t xml:space="preserve"> wastewater treatment plants</w:t>
      </w:r>
      <w:r w:rsidR="00BB3769" w:rsidRPr="00086114">
        <w:t xml:space="preserve"> (WWTPs)</w:t>
      </w:r>
      <w:r w:rsidRPr="00086114">
        <w:t xml:space="preserve">, represent a significant environmental and societal issue due to their </w:t>
      </w:r>
      <w:r w:rsidR="00BB3769" w:rsidRPr="00086114">
        <w:t>adverse effects</w:t>
      </w:r>
      <w:r w:rsidRPr="00086114">
        <w:t xml:space="preserve"> on the quality of life of exposed populations</w:t>
      </w:r>
      <w:r w:rsidR="00A807AC" w:rsidRPr="00086114">
        <w:fldChar w:fldCharType="begin"/>
      </w:r>
      <w:r w:rsidR="00322184" w:rsidRPr="00086114">
        <w:instrText xml:space="preserve"> ADDIN ZOTERO_ITEM CSL_CITATION {"citationID":"VvRuED6t","properties":{"formattedCitation":"(Belgiorno et al. 2013; Sironi et al. 2010)","plainCitation":"(Belgiorno et al. 2013; Sironi et al. 2010)","dontUpdate":true,"noteIndex":0},"citationItems":[{"id":564,"uris":["http://zotero.org/users/12965785/items/GVMLI5Y6"],"itemData":{"id":564,"type":"book","abstract":"Odours have become a priority concern for facility operators, engineers and urban planners who deal with waste and industrial treatment plants. The subjectivity of smell perception, its variability due to frequency and weather conditions, and the complex nature of the substances involved, has long hampered the regulation of odour emissions.\n\nThis book provides a comprehensive framework for the assessment, measurement and monitoring of odour emissions, and covers:\n- Odour characterization and exposure effects\n- Instruments and methods for sampling and measurement\n- Strategies for odour control\n- Dispersion modelling for odour exposure assessment\n- Odour regulations and policies\n- Procedures for odour impact assessment\n- Case studies: Wastewater treatment, composting, industrial and CAFO plants, and landfill\nIntended for researchers in environmental chemistry, environmental engineering, and civil engineering, this book is also an invaluable guide for industry professionals working in wastewater treatment, environmental and air analysis, and waste management.","ISBN":"978-1-119-96928-0","note":"DOI: 10.1002/9781118481264","source":"ResearchGate","title":"Odour Impact Assessment Handbook","author":[{"family":"Belgiorno","given":"Vincenzo"},{"family":"Naddeo","given":"Vincenzo"},{"family":"Zarra","given":"Tiziano"}],"issued":{"date-parts":[["2013",1,1]]}}},{"id":549,"uris":["http://zotero.org/users/12965785/items/CGJDVGTD"],"itemData":{"id":549,"type":"article-journal","abstract":"This work discusses how it is possible to assess odour impact in presence of multiple similar sources by illustrating a case study. The study was conducted on an area of northern Italy comprising three small municipalities where four rendering plants are located near to each other. Based on the emission data resulting from olfactometric surveys conducted in different periods of the year the overall odour emission rate emitted by each plant were evaluated, showing that the major contributor to the odour impact on the territory was plant 2. These data were linked with meteorological and orographical data in order to evaluate odour dispersion with a model (Calpuff). The results of the odour dispersion modelling conﬁrmed the outcomes of the olfactometric survey and they were further validated through a “questioning” survey, conducted with the aim of involving the population by means of questionnaires for reporting the perceived odour episodes, which showed a good correspondence (86.5%) between odour perceptions and simulated odour immissions.","container-title":"Atmospheric Environment","DOI":"10.1016/j.atmosenv.2009.10.029","ISSN":"13522310","issue":"3","journalAbbreviation":"Atmospheric Environment","language":"en","license":"https://www.elsevier.com/tdm/userlicense/1.0/","page":"354-360","source":"DOI.org (Crossref)","title":"Odour impact assessment by means of dynamic olfactometry, dispersion modelling and social participation","volume":"44","author":[{"family":"Sironi","given":"Selena"},{"family":"Capelli","given":"Laura"},{"family":"Céntola","given":"Paolo"},{"family":"Del Rosso","given":"Renato"},{"family":"Pierucci","given":"Sauro"}],"issued":{"date-parts":[["2010",1]]}}}],"schema":"https://github.com/citation-style-language/schema/raw/master/csl-citation.json"} </w:instrText>
      </w:r>
      <w:r w:rsidR="00A807AC" w:rsidRPr="00086114">
        <w:fldChar w:fldCharType="separate"/>
      </w:r>
      <w:r w:rsidR="00A807AC" w:rsidRPr="00086114">
        <w:rPr>
          <w:rFonts w:cs="Arial"/>
        </w:rPr>
        <w:t>(Belgiorno et al. 201</w:t>
      </w:r>
      <w:r w:rsidR="00322184" w:rsidRPr="00086114">
        <w:rPr>
          <w:rFonts w:cs="Arial"/>
        </w:rPr>
        <w:t>2</w:t>
      </w:r>
      <w:r w:rsidR="00A807AC" w:rsidRPr="00086114">
        <w:rPr>
          <w:rFonts w:cs="Arial"/>
        </w:rPr>
        <w:t>; Sironi et al. 2010)</w:t>
      </w:r>
      <w:r w:rsidR="00A807AC" w:rsidRPr="00086114">
        <w:fldChar w:fldCharType="end"/>
      </w:r>
      <w:r w:rsidRPr="00086114">
        <w:t xml:space="preserve"> . Even at concentrations </w:t>
      </w:r>
      <w:r w:rsidR="00445F95" w:rsidRPr="00086114">
        <w:t xml:space="preserve">well </w:t>
      </w:r>
      <w:r w:rsidRPr="00086114">
        <w:t xml:space="preserve">below toxicological thresholds, odorous compounds can </w:t>
      </w:r>
      <w:r w:rsidR="00445F95" w:rsidRPr="00086114">
        <w:t>induce</w:t>
      </w:r>
      <w:r w:rsidRPr="00086114">
        <w:t xml:space="preserve"> nuisance, discomfort, and </w:t>
      </w:r>
      <w:r w:rsidR="00445F95" w:rsidRPr="00086114">
        <w:t>persistent</w:t>
      </w:r>
      <w:r w:rsidRPr="00086114">
        <w:t xml:space="preserve"> complaints, often leading to conflicts between plant operators and </w:t>
      </w:r>
      <w:r w:rsidR="00445F95" w:rsidRPr="00086114">
        <w:t>surrounding exposed</w:t>
      </w:r>
      <w:r w:rsidRPr="00086114">
        <w:t xml:space="preserve"> communities </w:t>
      </w:r>
      <w:r w:rsidR="00A807AC" w:rsidRPr="00086114">
        <w:fldChar w:fldCharType="begin"/>
      </w:r>
      <w:r w:rsidR="00CC351B" w:rsidRPr="00086114">
        <w:instrText xml:space="preserve"> ADDIN ZOTERO_ITEM CSL_CITATION {"citationID":"IOlOvaOC","properties":{"formattedCitation":"(Oliva et al. 2023)","plainCitation":"(Oliva et al. 2023)","noteIndex":0},"citationItems":[{"id":591,"uris":["http://zotero.org/users/12965785/items/W4RBZU3I"],"itemData":{"id":591,"type":"chapter","abstract":"Odour emissions from wastewater treatment plants (WWTPs) have become a critical issue. Therefore, smart technologies are strongly required to efficien…","container-title":"Current Developments in Biotechnology and Bioengineering","language":"en-US","note":"DOI: 10.1016/B978-0-323-99920-5.00004-4","page":"315-332","publisher":"Elsevier","source":"www.sciencedirect.com","title":"Advanced technologies for a smart and integrated control of odour emissions from wastewater treatment plant","URL":"https://www.sciencedirect.com/science/chapter/edited-volume/abs/pii/B9780323999205000044","author":[{"family":"Oliva","given":"G."},{"family":"Galang","given":"M. G."},{"family":"Zarra","given":"T."},{"family":"Belgiorno","given":"V."},{"family":"Naddeo","given":"V."}],"accessed":{"date-parts":[["2026",4,24]]},"issued":{"date-parts":[["2023",1,1]]}}}],"schema":"https://github.com/citation-style-language/schema/raw/master/csl-citation.json"} </w:instrText>
      </w:r>
      <w:r w:rsidR="00A807AC" w:rsidRPr="00086114">
        <w:fldChar w:fldCharType="separate"/>
      </w:r>
      <w:r w:rsidR="00CC351B" w:rsidRPr="00086114">
        <w:rPr>
          <w:rFonts w:cs="Arial"/>
        </w:rPr>
        <w:t>(Oliva et al. 2023)</w:t>
      </w:r>
      <w:r w:rsidR="00A807AC" w:rsidRPr="00086114">
        <w:fldChar w:fldCharType="end"/>
      </w:r>
      <w:r w:rsidRPr="00086114">
        <w:t xml:space="preserve">. </w:t>
      </w:r>
      <w:r w:rsidR="00445F95" w:rsidRPr="00086114">
        <w:t xml:space="preserve">Consequently, </w:t>
      </w:r>
      <w:r w:rsidRPr="00086114">
        <w:t>odour pollution is increasingly recognised as a relevant environmental pressure requiring structured monitoring</w:t>
      </w:r>
      <w:r w:rsidR="00445F95" w:rsidRPr="00086114">
        <w:t>, regulation,</w:t>
      </w:r>
      <w:r w:rsidRPr="00086114">
        <w:t xml:space="preserve"> and mitigation strategies</w:t>
      </w:r>
      <w:r w:rsidR="00322184" w:rsidRPr="00086114">
        <w:t xml:space="preserve"> </w:t>
      </w:r>
      <w:r w:rsidR="00322184" w:rsidRPr="00086114">
        <w:fldChar w:fldCharType="begin"/>
      </w:r>
      <w:r w:rsidR="00322184" w:rsidRPr="00086114">
        <w:instrText xml:space="preserve"> ADDIN ZOTERO_ITEM CSL_CITATION {"citationID":"2GyhTlYk","properties":{"formattedCitation":"(Naddeo et al. 2012; Capelli et al. 2020)","plainCitation":"(Naddeo et al. 2012; Capelli et al. 2020)","noteIndex":0},"citationItems":[{"id":568,"uris":["http://zotero.org/users/12965785/items/MMAYXB73"],"itemData":{"id":568,"type":"article-journal","abstract":"Odours emitted by multi-source facilities, like industrial complexes, have become a major concern for local authorities because the resulting annoyance in the neighbourhood is generally high compex compared to a single source one. In the case of such multi-source odour emissions especially, common chemical analyses or odour concentration measurement methods are not often applicable.\nThis paper describes the methodology adopted for assessing the odour impact on the industrial area of the city of Salerno (Italy), caused by the co-presence of two strategic plants: wastewater treatment plant and composting plant of organic fraction of solid waste. The combination of olfactometric analyses and dispersion modelling allowed both the quantification of the odour emissions and the evaluation of their potential impact on the surrounding areas. Odour impact criteria, input parameters and emissive rate were evaluated. Results discuss and compare different emissive scenarios to assessment odour impacts in the industrial area.","container-title":"Chemical Engineering Transactions","DOI":"10.3303/CET1230015","journalAbbreviation":"Chemical Engineering Transactions","page":"85-90","source":"ResearchGate","title":"Odour Impact Assessment in Industrial Areas","volume":"30","author":[{"family":"Naddeo","given":"Vincenzo"},{"family":"Zarra","given":"Tiziano"},{"family":"Giuliani","given":"Stefano"},{"family":"Belgiorno","given":"Vincenzo"}],"issued":{"date-parts":[["2012",9,1]]}}},{"id":566,"uris":["http://zotero.org/users/12965785/items/PEC2A53Y"],"itemData":{"id":566,"type":"article-journal","abstract":"Odour pollution is a well-known problem related to a number of different industrial activities. It is also one of the main causes of citizens’ complaints to local authorities. Specific programs are needed to manage persistent odour pollution problems within communities in order to avoid possible socio-environmental conflicts. The H2020 project D-NOSES (Distributed Network for Odour Sensing, Empowerment and Sustainability) aims to help citizens co-create local solutions in collaboration with industries, regional &amp; local authorities, and odour experts. The project will develop an innovative bottom-up approach to odour pollution governance by combining citizen science and stakeholder management methods using a quadruple helix model. The first aim of this article is to introduce the D-NOSES project and its methodology. Aside from that, the article presents an overview of the existing odour impact assessment methods currently available to quantify odour pollution. Finally, the different odour measurement methods are compared in terms of their applicability and limitations. This overview will be made available online as a first step towards the development of the International Odour Observatory, a platform to be created within the D-NOSES project to help promote odour pollution management and resolve regulation issues. The platform will become a global resource on odour issues and also include information about odour abatement systems, chemical substances in odour emissions, and odour regulations around the world.","container-title":"Detritus","DOI":"10.31025/2611-4135/2020.14003","ISSN":"2611-4135","issue":"12","language":"en","note":"publisher: CISA Publisher","page":"169","source":"digital.detritusjournal.com","title":"OVERVIEW OF ODOUR MEASUREMENT METHODS: THE ODOUR OBSERVATORY AS AN INFORMATIVE TOOL FOR CITIZEN SCIENCE BASED APPROACHES TO ODOUR MANAGEMENT","title-short":"OVERVIEW OF ODOUR MEASUREMENT METHODS","author":[{"family":"Capelli","given":"Laura"},{"family":"Arias","given":"Rosa"},{"family":"Uribe","given":"Jose"},{"family":"Sironi","given":"Selena"}],"issued":{"date-parts":[["2020",9,7]]}}}],"schema":"https://github.com/citation-style-language/schema/raw/master/csl-citation.json"} </w:instrText>
      </w:r>
      <w:r w:rsidR="00322184" w:rsidRPr="00086114">
        <w:fldChar w:fldCharType="separate"/>
      </w:r>
      <w:r w:rsidR="00322184" w:rsidRPr="00086114">
        <w:rPr>
          <w:rFonts w:cs="Arial"/>
        </w:rPr>
        <w:t>(Naddeo et al. 2012; Capelli et al. 2020)</w:t>
      </w:r>
      <w:r w:rsidR="00322184" w:rsidRPr="00086114">
        <w:fldChar w:fldCharType="end"/>
      </w:r>
      <w:r w:rsidRPr="00086114">
        <w:t>.</w:t>
      </w:r>
    </w:p>
    <w:p w14:paraId="273C9FA8" w14:textId="4523CBF1" w:rsidR="002E647C" w:rsidRPr="00086114" w:rsidRDefault="00DA5508" w:rsidP="00DA4123">
      <w:pPr>
        <w:pStyle w:val="CETBodytext"/>
      </w:pPr>
      <w:r w:rsidRPr="00086114">
        <w:t xml:space="preserve">In </w:t>
      </w:r>
      <w:r w:rsidR="00445F95" w:rsidRPr="00086114">
        <w:t>WWTPs</w:t>
      </w:r>
      <w:r w:rsidRPr="00086114">
        <w:t>, odo</w:t>
      </w:r>
      <w:r w:rsidR="00445F95" w:rsidRPr="00086114">
        <w:t>ur</w:t>
      </w:r>
      <w:r w:rsidRPr="00086114">
        <w:t xml:space="preserve"> emissions are mainly associated with the </w:t>
      </w:r>
      <w:r w:rsidR="00445F95" w:rsidRPr="00086114">
        <w:t>bio</w:t>
      </w:r>
      <w:r w:rsidRPr="00086114">
        <w:t xml:space="preserve">degradation of organic matter under anaerobic </w:t>
      </w:r>
      <w:r w:rsidR="00445F95" w:rsidRPr="00086114">
        <w:t xml:space="preserve">or anoxic </w:t>
      </w:r>
      <w:r w:rsidRPr="00086114">
        <w:t xml:space="preserve">conditions, where microbial </w:t>
      </w:r>
      <w:r w:rsidR="00445F95" w:rsidRPr="00086114">
        <w:t xml:space="preserve">metabolism promotes the formation of </w:t>
      </w:r>
      <w:r w:rsidRPr="00086114">
        <w:t xml:space="preserve">volatile </w:t>
      </w:r>
      <w:r w:rsidR="00445F95" w:rsidRPr="00086114">
        <w:t xml:space="preserve">and malodorous </w:t>
      </w:r>
      <w:r w:rsidRPr="00086114">
        <w:t xml:space="preserve">compounds </w:t>
      </w:r>
      <w:r w:rsidR="00322184" w:rsidRPr="00086114">
        <w:fldChar w:fldCharType="begin"/>
      </w:r>
      <w:r w:rsidR="00322184" w:rsidRPr="00086114">
        <w:instrText xml:space="preserve"> ADDIN ZOTERO_ITEM CSL_CITATION {"citationID":"NPhgGdkN","properties":{"formattedCitation":"(Lewkowska et al. 2016)","plainCitation":"(Lewkowska et al. 2016)","noteIndex":0},"citationItems":[{"id":571,"uris":["http://zotero.org/users/12965785/items/3JUJBMB7"],"itemData":{"id":571,"type":"article-journal","abstract":"Odors emitted from municipal wastewater treatment plants belong to a group of pollutants, which is the main cause of people complaining about atmospheric air quality. The limitation of emissions of unpleasant odors generated by wastewater treatment plants by using appropriate deodorization methods is omitted on numerous occasions. This can have a negative influence on public trust and the quality of atmospheric air. The article presents basic information on the characteristics of odors from wastewater treatment lines and wastewater processing and management lines in a model biological wastewater treatment plant conducting the biogas recovery process and also information is provided on deodorization methods, such as odor masking, biofiltration, thermal disposal and diffusion through activated sludge dedicated to neutralization of odors in biological treatment plants. The main focus is on the field olfactometry technique, which is one of the tools used in environmental protection. Its application facilitates performance of tests concerning the assessment of olfactory properties of odorants in polluted air.","container-title":"Environmental Research","DOI":"10.1016/j.envres.2016.08.030","ISSN":"0013-9351","journalAbbreviation":"Environmental Research","page":"573-586","source":"ScienceDirect","title":"Characteristics of odors emitted from municipal wastewater treatment plant and methods for their identification and deodorization techniques","volume":"151","author":[{"family":"Lewkowska","given":"Paulina"},{"family":"Cieślik","given":"Bartłomiej"},{"family":"Dymerski","given":"Tomasz"},{"family":"Konieczka","given":"Piotr"},{"family":"Namieśnik","given":"Jacek"}],"issued":{"date-parts":[["2016",11,1]]}}}],"schema":"https://github.com/citation-style-language/schema/raw/master/csl-citation.json"} </w:instrText>
      </w:r>
      <w:r w:rsidR="00322184" w:rsidRPr="00086114">
        <w:fldChar w:fldCharType="separate"/>
      </w:r>
      <w:r w:rsidR="00322184" w:rsidRPr="00086114">
        <w:rPr>
          <w:rFonts w:cs="Arial"/>
        </w:rPr>
        <w:t>(Lewkowska et al. 2016)</w:t>
      </w:r>
      <w:r w:rsidR="00322184" w:rsidRPr="00086114">
        <w:fldChar w:fldCharType="end"/>
      </w:r>
      <w:r w:rsidRPr="00086114">
        <w:t xml:space="preserve">. </w:t>
      </w:r>
      <w:r w:rsidR="00445F95" w:rsidRPr="00086114">
        <w:t>Among these</w:t>
      </w:r>
      <w:r w:rsidRPr="00086114">
        <w:t>, reduced sulphur compounds, such as hydrogen sulphide (H</w:t>
      </w:r>
      <w:r w:rsidRPr="00086114">
        <w:rPr>
          <w:rFonts w:ascii="Cambria Math" w:hAnsi="Cambria Math" w:cs="Cambria Math"/>
        </w:rPr>
        <w:t>₂</w:t>
      </w:r>
      <w:r w:rsidRPr="00086114">
        <w:t xml:space="preserve">S) and mercaptans, are among the </w:t>
      </w:r>
      <w:r w:rsidR="00445F95" w:rsidRPr="00086114">
        <w:t>dominant</w:t>
      </w:r>
      <w:r w:rsidRPr="00086114">
        <w:t xml:space="preserve"> contributors to odour nuisance, </w:t>
      </w:r>
      <w:r w:rsidR="00445F95" w:rsidRPr="00086114">
        <w:t>alongside</w:t>
      </w:r>
      <w:r w:rsidRPr="00086114">
        <w:t xml:space="preserve"> ammonia and volatile fatty acids </w:t>
      </w:r>
      <w:r w:rsidR="00322184" w:rsidRPr="00086114">
        <w:fldChar w:fldCharType="begin"/>
      </w:r>
      <w:r w:rsidR="00B3661C" w:rsidRPr="00086114">
        <w:instrText xml:space="preserve"> ADDIN ZOTERO_ITEM CSL_CITATION {"citationID":"sUuxczUR","properties":{"formattedCitation":"(T. Zarra et al. 2012)","plainCitation":"(T. Zarra et al. 2012)","dontUpdate":true,"noteIndex":0},"citationItems":[{"id":554,"uris":["http://zotero.org/users/12965785/items/L236SA6W"],"itemData":{"id":554,"type":"article-journal","abstract":"Odour emissions from wastewater treatment plants (WWTPs) are considered to be the main causes of disturbance noticed by the exposed population and have relevant impacts on both tourism economy and land costs. Odour impact from WWTPs is generated by primary and secondary odour emissions. Primary odour emissions are related especially to the wastewater type and variability discharged into the sewer and directed to the WWTP, and to the wastewater collection and sewage system. Secondary odours are related to the treatment units of the plant. Several studies describe the key role of primary odour emissions and how they are strongly related to odour impacts of WWTPs. In this way, a opportune characterization of the emission capacity of primary odour could be an effective way to control odour emission in the WWTPs. In this study the odour emission capacity (OEC) of different domestic sewers was described and investigated; a correlation between the OEC and the main physical–chemical parameters of wastewater quality was also carried out. Results of this study identify the optimum conditions for sampling and measuring OEC in wastewaters and define its dependence by wastewater quality. These results can contribute to setting the standards for the maximum odourant content of wastewater that are discharged into the publicly owned sewage system.","container-title":"Water Science and Technology","DOI":"10.2166/wst.2012.362","ISSN":"0273-1223","issue":"8","journalAbbreviation":"Water Sci Technol","page":"1627-1633","source":"Silverchair","title":"Control of odour emission in wastewater treatment plants by direct and undirected measurement of odour emission capacity","volume":"66","author":[{"family":"Zarra","given":"T."},{"family":"Giuliani","given":"S."},{"family":"Naddeo","given":"V."},{"family":"Belgiorno","given":"V."}],"issued":{"date-parts":[["2012",10,1]]}}}],"schema":"https://github.com/citation-style-language/schema/raw/master/csl-citation.json"} </w:instrText>
      </w:r>
      <w:r w:rsidR="00322184" w:rsidRPr="00086114">
        <w:fldChar w:fldCharType="separate"/>
      </w:r>
      <w:r w:rsidR="007E4DDD" w:rsidRPr="00086114">
        <w:rPr>
          <w:rFonts w:cs="Arial"/>
        </w:rPr>
        <w:t>(Zarra et al. 2012)</w:t>
      </w:r>
      <w:r w:rsidR="00322184" w:rsidRPr="00086114">
        <w:fldChar w:fldCharType="end"/>
      </w:r>
      <w:r w:rsidRPr="00086114">
        <w:t xml:space="preserve">. The most critical emission sources are typically </w:t>
      </w:r>
      <w:r w:rsidR="00445F95" w:rsidRPr="00086114">
        <w:t>identified</w:t>
      </w:r>
      <w:r w:rsidRPr="00086114">
        <w:t xml:space="preserve"> in preliminary treatment units and sludge handling processes, where high organic loads, </w:t>
      </w:r>
      <w:r w:rsidR="00445F95" w:rsidRPr="00086114">
        <w:t>extended</w:t>
      </w:r>
      <w:r w:rsidRPr="00086114">
        <w:t xml:space="preserve"> retention times, and </w:t>
      </w:r>
      <w:r w:rsidR="00445F95" w:rsidRPr="00086114">
        <w:t>enhanced volatilisation favour the release of odorous substances</w:t>
      </w:r>
      <w:r w:rsidR="007E4DDD" w:rsidRPr="00086114">
        <w:t xml:space="preserve"> </w:t>
      </w:r>
      <w:r w:rsidR="007E4DDD" w:rsidRPr="00086114">
        <w:fldChar w:fldCharType="begin"/>
      </w:r>
      <w:r w:rsidR="007E4DDD" w:rsidRPr="00086114">
        <w:instrText xml:space="preserve"> ADDIN ZOTERO_ITEM CSL_CITATION {"citationID":"E0fYffNr","properties":{"formattedCitation":"(Zarra et al. 2008)","plainCitation":"(Zarra et al. 2008)","noteIndex":0},"citationItems":[{"id":582,"uris":["http://zotero.org/users/12965785/items/KKIKUU9C"],"itemData":{"id":582,"type":"article-journal","abstract":"Odour emissions are a major environmental issue in sanitary environmental engineering \nplants, due to the increasing number of complaints being made by the exposed population. \nThe particular and complex nature of the substances considered to be the cause of the odour \nimpact, their variability in time and the climatic conditions, as well as the subjectivity of the \nodour perception, are the elements that have delayed their regulation. For this reason there \nare few international laws that set the limits of odour emissions from industrial sources and/or \ndefine the criteria of quality related to the smell. In particular, there are currently no \nregulations that deal with this problem in Italy. \nAnalytical techniques such as the use of surrogate chemical markers (i.e. H2S or NH3) as well \nas the chemical analysis of odorous mixtures by chromatographic techniques (i.e. GC-MS) \ncan be used for continuous assessment, but are limited, due to usually being compound \nspecific, which may not always relate to olfactory perception. Whereas olfactory assessment \noffers an accurate measurement of olfactory annoyance. However, the cost, potential \nsubjectivity and time restrictions (due to being laboratory based) make them unsuitable for \ncontinuous assessment in terms of air quality monitoring. \nIn this study, a novel tool based on a highly innovative on-site analytical instrument (Portable \nGC-MS Hapsite, Inficon) was used to identify and characterize the volatile substances that \ncause odour annoyance and the main sources in a composting plant. At the same time, this \nwork identified odours key compounds and investigated the relationship between their \nconcentration measured by GC-MS analysis and the performances of the plant. The main \nchemical substances responsible for the olfactory annoyances were also identified. In \nconclusion, odour abatement system (static biofilter) efficiency was tested in terms of \nreduction of both key compounds and quality of the clean gas composition. \nThe results highlight the applicability of this tool in directly monitoring odour emissions in \nterms of air pollution management. 38 different substances are detected, with almost half \nbeing smell relevant components as well as responsible for the typical smell of composting \nplants. Limonene and 2-Butanone are identified as key compounds connected to the specific \nproduction process.","container-title":"Global NEST Journal","DOI":"10.30955/gnj.000484","ISSN":"1790-7632, 2241-777X","issue":"4","page":"477-486","source":"DOI.org (Crossref)","title":"A novel tool for estimating the odour emissions of composting plants in air pollution management","volume":"11","author":[{"family":"Zarra","given":""},{"family":"Naddeo","given":""},{"family":"Belgiorno","given":""}],"issued":{"date-parts":[["2008"]]}}}],"schema":"https://github.com/citation-style-language/schema/raw/master/csl-citation.json"} </w:instrText>
      </w:r>
      <w:r w:rsidR="007E4DDD" w:rsidRPr="00086114">
        <w:fldChar w:fldCharType="separate"/>
      </w:r>
      <w:r w:rsidR="007E4DDD" w:rsidRPr="00086114">
        <w:rPr>
          <w:rFonts w:cs="Arial"/>
        </w:rPr>
        <w:t>(Zarra et al. 2008)</w:t>
      </w:r>
      <w:r w:rsidR="007E4DDD" w:rsidRPr="00086114">
        <w:fldChar w:fldCharType="end"/>
      </w:r>
      <w:r w:rsidRPr="00086114">
        <w:t xml:space="preserve">. These emission patterns are strongly influenced by </w:t>
      </w:r>
      <w:r w:rsidR="00445F95" w:rsidRPr="00086114">
        <w:t>plant configuration, hydraulic and operational conditions, and wastewater characteristics, resulting in high temporal and spatial variability</w:t>
      </w:r>
      <w:r w:rsidRPr="00086114">
        <w:t>. The treatment of od</w:t>
      </w:r>
      <w:r w:rsidR="00445F95" w:rsidRPr="00086114">
        <w:t>our</w:t>
      </w:r>
      <w:r w:rsidRPr="00086114">
        <w:t xml:space="preserve"> emissions remains challenging </w:t>
      </w:r>
      <w:r w:rsidR="00445F95" w:rsidRPr="00086114">
        <w:t>due to their complex composition and fluctuating nature</w:t>
      </w:r>
      <w:r w:rsidR="007E4DDD" w:rsidRPr="00086114">
        <w:t xml:space="preserve"> </w:t>
      </w:r>
      <w:r w:rsidR="007E4DDD" w:rsidRPr="00086114">
        <w:fldChar w:fldCharType="begin"/>
      </w:r>
      <w:r w:rsidR="007E4DDD" w:rsidRPr="00086114">
        <w:instrText xml:space="preserve"> ADDIN ZOTERO_ITEM CSL_CITATION {"citationID":"jxSO4S88","properties":{"formattedCitation":"(Fasolino et al. 2016)","plainCitation":"(Fasolino et al. 2016)","noteIndex":0},"citationItems":[{"id":584,"uris":["http://zotero.org/users/12965785/items/BU2RYYJE"],"itemData":{"id":584,"type":"article-journal","abstract":"&lt;p&gt;Different land uses, infrastructures, industrial activities and residential patterns of developed cities expose simultaneously people to several annoying sources.&lt;/p&gt; \n \n&lt;p&gt;Over recent years, the European Union has provided several tools to harmonize noise mapping methodologies and relative Noise Action Plans through directives. Unfortunately, the same effort has not been made for the harmonization of approaches of other annoying sources such as odours. As a consequence, each European Member State has defined its own direct or indirect approach to limit odour impacts.&lt;/p&gt; \n \n&lt;p&gt;The most common approach to deal with noise impact is the use of priority indices to highlight areas that are sensitive to both noise and, generally, odour impacts. The aim of the present research is to provide a brief review of the most widely used European strategies in noise action plans as well as try to extend the approaches to the definition of a nuisance action plan, capable of controlling both odour and noise.&lt;/p&gt; \n \n&lt;p&gt;The analysis underlines that is possible to define the degree of sensitivity of areas according to population, land uses, levels of exposures and/or distance from the annoying sources. Nuisance acceptability levels are then definable according to the sensitivity degree of the locations.&lt;/p&gt;","container-title":"Global NEST Journal","DOI":"10.30955/gnj.002109","ISSN":"1790-7632, 2241-777X","issue":"4","page":"734-741","source":"DOI.org (Crossref)","title":"Odour control strategies for a sustainable nuisances action plan","volume":"18","author":[{"family":"Fasolino","given":"I."},{"family":"Grimaldi","given":"M."},{"family":"Zarra","given":"T."},{"family":"Naddeo","given":"V."}],"issued":{"date-parts":[["2016",10,12]]}}}],"schema":"https://github.com/citation-style-language/schema/raw/master/csl-citation.json"} </w:instrText>
      </w:r>
      <w:r w:rsidR="007E4DDD" w:rsidRPr="00086114">
        <w:fldChar w:fldCharType="separate"/>
      </w:r>
      <w:r w:rsidR="007E4DDD" w:rsidRPr="00086114">
        <w:rPr>
          <w:rFonts w:cs="Arial"/>
        </w:rPr>
        <w:t>(Fasolino et al. 2016)</w:t>
      </w:r>
      <w:r w:rsidR="007E4DDD" w:rsidRPr="00086114">
        <w:fldChar w:fldCharType="end"/>
      </w:r>
      <w:r w:rsidRPr="00086114">
        <w:t xml:space="preserve"> . Conventional abatement technologies, including scrubbers, adsorption systems, and biofilters, are widely used and </w:t>
      </w:r>
      <w:r w:rsidR="00445F95" w:rsidRPr="00086114">
        <w:t xml:space="preserve">can achieve high removal </w:t>
      </w:r>
      <w:r w:rsidR="00445F95" w:rsidRPr="00086114">
        <w:lastRenderedPageBreak/>
        <w:t xml:space="preserve">efficiencies under optimised operating conditions </w:t>
      </w:r>
      <w:r w:rsidR="007E4DDD" w:rsidRPr="00086114">
        <w:t xml:space="preserve"> </w:t>
      </w:r>
      <w:r w:rsidR="007E4DDD" w:rsidRPr="00086114">
        <w:fldChar w:fldCharType="begin"/>
      </w:r>
      <w:r w:rsidR="007E4DDD" w:rsidRPr="00086114">
        <w:instrText xml:space="preserve"> ADDIN ZOTERO_ITEM CSL_CITATION {"citationID":"RRGJd5U7","properties":{"formattedCitation":"(Senatore et al. 2021)","plainCitation":"(Senatore et al. 2021)","noteIndex":0},"citationItems":[{"id":586,"uris":["http://zotero.org/users/12965785/items/VJAD2TR2"],"itemData":{"id":586,"type":"article-journal","abstract":"Odours emissions from various facilities such as wastewater treatment plants (WWTPs), are becoming one of the main issues to face down for the plant operators to avoid complaints and potential impact, especially for the plants located nearby to the residential areas. The need to implement odour control strategies, for instance by using treatment technologies, is therefore a key point in the management of the plant. Moreover, in a world increasingly concerned about sustainability and environmental preservation, the identification of environmentally friendly odour treatment technologies is to be recommended and prescribed. The research presents the development of an advanced sustainable biotechnology-based control system able to treat odour and greenhouse gas emissions (GHG), with the aim to guarantee a sustainable process. The performance of the advanced biotechnology system is highlighted in terms of CO 2 capture and reduction, by analysing different operating conditions (e.g. CO 2 inlet load, L/G liquid:gas ratio and light intensity). The result shows that the proposed technology can capture up to 80% of CO 2 concentration, produce microalgae biomass (742 mg l-1) and potentially biodegrade aromatic substances such as VOCs. The proposed advanced biotechnology system proves to be effective sustainable treatment process for the fixation of CO 2 , but further studies are necessary for evaluate the treatment efficiency of VOCs. The information presented in this research will be of interest to anyone involved with carbon capture and utilization (CCU) technology.","container-title":"Chemical Engineering Transactions","DOI":"10.3303/CET2185005","journalAbbreviation":"Chemical Engineering Transactions","page":"25-30","source":"ResearchGate","title":"Sustainable Odour and Greenhouse Gas Emissions Control in Wastewater Treatment Plant by Advanced Biotechnology-based System","volume":"85","author":[{"family":"Senatore","given":"Vincenzo"},{"family":"Zarra","given":"Tiziano"},{"family":"Pahunang","given":"R"},{"family":"Oliva","given":"Giusy"},{"family":"Belgiorno","given":"Vincenzo"},{"family":"Ballesteros Jr","given":"Florencio"},{"family":"Naddeo","given":"Vincenzo"}],"issued":{"date-parts":[["2021",4,7]]}}}],"schema":"https://github.com/citation-style-language/schema/raw/master/csl-citation.json"} </w:instrText>
      </w:r>
      <w:r w:rsidR="007E4DDD" w:rsidRPr="00086114">
        <w:fldChar w:fldCharType="separate"/>
      </w:r>
      <w:r w:rsidR="007E4DDD" w:rsidRPr="00086114">
        <w:rPr>
          <w:rFonts w:cs="Arial"/>
        </w:rPr>
        <w:t>(Senatore et al. 2021)</w:t>
      </w:r>
      <w:r w:rsidR="007E4DDD" w:rsidRPr="00086114">
        <w:fldChar w:fldCharType="end"/>
      </w:r>
      <w:r w:rsidRPr="00086114">
        <w:t xml:space="preserve">. Among these, biological processes are particularly attractive due to their lower environmental </w:t>
      </w:r>
      <w:r w:rsidR="002E647C" w:rsidRPr="00086114">
        <w:t xml:space="preserve">footprint, cost-effectiveness, and capability to degrade a broad spectrum of pollutants </w:t>
      </w:r>
      <w:r w:rsidR="00B3661C" w:rsidRPr="00086114">
        <w:fldChar w:fldCharType="begin"/>
      </w:r>
      <w:r w:rsidR="00CC351B" w:rsidRPr="00086114">
        <w:instrText xml:space="preserve"> ADDIN ZOTERO_ITEM CSL_CITATION {"citationID":"QyJR1Ltl","properties":{"formattedCitation":"(T. Zarra, Reiser, et al. 2012; G. Oliva et al. 2021)","plainCitation":"(T. Zarra, Reiser, et al. 2012; G. Oliva et al. 2021)","dontUpdate":true,"noteIndex":0},"citationItems":[{"id":589,"uris":["http://zotero.org/users/12965785/items/8UBYP5U2"],"itemData":{"id":589,"type":"article-journal","abstract":"The selection of an odour sampling device and relative materials may influence the composition of the resulting odour sample. Current literature is limited to discussing how the measurement of emission rates derived from the same odour source could be related to materials and methods. There is therefore compelling evidence that current odour sampling practices should have greater regard for the fundamental physical and chemical principles, the nature of the odour source and the conditions created by the sampling device. Additional studies are necessary to identify the most appropriate situations under which the use of these devices may or may not be correct.The scope of this study is to investigate the influence on the determination of odour concentration with dynamic olfactometry, according to EN 13725 (2003) standards, applying different initial sampling condition, with the objective to define the optimal criteria to evaluate the odour concentration and obtain the highest repeatability and accuracy of the sensorial measure.A critical evaluation was carried out in relation to the same odour source with the comparison of sampling bag materials (Nalophantm, Tedlar®, TeflonTM) and intervals of time elapsed between the sampling and analysis phase (3, 7, 14, 30, 48 h).The results obtained show that the selection of an odour sampling materials may influence the composition of the resulting odour sample. There is therefore compelling evidence that current odour sampling practices should have regard for these factors and identify the situations under which these material and methods may be used appropriately.","container-title":"Chemical Engineering Transactions","DOI":"10.3303/CET1230052","ISSN":"2283-9216","language":"en","license":"Copyright (c)","page":"307-312","source":"www.cetjournal.it","title":"A Comparative and Critical Evaluation of Different Sampling Materials in the Measurement of Odour Concentration by Dynamic Olfactometry","volume":"30","author":[{"family":"Zarra","given":"T."},{"family":"Reiser","given":"M."},{"family":"Naddeo","given":"V."},{"family":"Belgiorno","given":"V."},{"family":"Kranert","given":"M."}],"issued":{"date-parts":[["2012",9,20]]}}},{"id":556,"uris":["http://zotero.org/users/12965785/items/P6KW3EV6"],"itemData":{"id":556,"type":"article-journal","abstract":"Odour emissions from complex industrial plants may cause potential impacts on the surrounding areas. Consequently, the validation of effective tools for the control of the associated environmental pressures, without hindering economic growth, is strongly needed. Nowadays, senso-instrumental methods by using Instrumental Odour Emissions Systems (IOMSs) is among the most attractive tool for the continuous monitoring of environmental odours, allowing the possibility of obtaining real-time information to support the decision-making process and proactive approach. The systems complexity and scarcity of real data limited their wider full-scale employment. The study presents an advanced prototype of IOMS for the continuous classification and quantification of the odours emitted in ambient air by complex industrial plants, to continuously control the plants emissions with backwards approach. The IOMS device was designed and optimized and included the system for the automatic control of the conditions inside the measurement chamber. The designed operational procedures were presented and discussed. Results highlighted the influence of temperature and air flow rate for the measurement repeatability. Accurate prediction model was created and optimized and resulted able to distinguish 3 different industrial odour sources with accuracy approximately equal to 96%. The models were optimized thanks to the software features, which allowed to automatically apply the designed statistical procedures on the identified dataset with different pre-processing approach. The usefulness of having a fully-developed and user-friendly flexible system that allowed to select and automatically compare different settings options, including the different feature extraction methods, was demonstrated in order to identify the best prediction model.","container-title":"Chemosphere","DOI":"10.1016/j.chemosphere.2021.129768","ISSN":"0045-6535","journalAbbreviation":"Chemosphere","page":"129768","source":"ScienceDirect","title":"Next-generation of instrumental odour monitoring system (IOMS) for the gaseous emissions control in complex industrial plants","volume":"271","author":[{"family":"Oliva","given":"G."},{"family":"Zarra","given":"T."},{"family":"Pittoni","given":"G."},{"family":"Senatore","given":"V."},{"family":"Galang","given":"M. G."},{"family":"Castellani","given":"M."},{"family":"Belgiorno","given":"V."},{"family":"Naddeo","given":"V."}],"issued":{"date-parts":[["2021",5,1]]}}}],"schema":"https://github.com/citation-style-language/schema/raw/master/csl-citation.json"} </w:instrText>
      </w:r>
      <w:r w:rsidR="00B3661C" w:rsidRPr="00086114">
        <w:fldChar w:fldCharType="separate"/>
      </w:r>
      <w:r w:rsidR="00CC351B" w:rsidRPr="00086114">
        <w:rPr>
          <w:rFonts w:cs="Arial"/>
          <w:lang w:val="it-IT"/>
        </w:rPr>
        <w:t>( Zarra, et al. 2012; G. Oliva et al. 2021)</w:t>
      </w:r>
      <w:r w:rsidR="00B3661C" w:rsidRPr="00086114">
        <w:fldChar w:fldCharType="end"/>
      </w:r>
      <w:r w:rsidRPr="00086114">
        <w:rPr>
          <w:lang w:val="it-IT"/>
        </w:rPr>
        <w:t xml:space="preserve">. </w:t>
      </w:r>
      <w:r w:rsidR="002E647C" w:rsidRPr="00086114">
        <w:t>Nevertheless, these technologies are typically designed for pollutant removal only and do not inherently promote resource recovery. In this context, increasing attention has been directed towards integrated treatment approaches aligned with circular economy principles and climate change mitigation objectives (European Commission, 2020)</w:t>
      </w:r>
      <w:r w:rsidRPr="00086114">
        <w:t xml:space="preserve">. Microalgae-based systems have emerged as a promising </w:t>
      </w:r>
      <w:r w:rsidR="002E647C" w:rsidRPr="00086114">
        <w:t>solution</w:t>
      </w:r>
      <w:r w:rsidRPr="00086114">
        <w:t>, as they enable CO</w:t>
      </w:r>
      <w:r w:rsidRPr="00086114">
        <w:rPr>
          <w:rFonts w:ascii="Cambria Math" w:hAnsi="Cambria Math" w:cs="Cambria Math"/>
        </w:rPr>
        <w:t>2</w:t>
      </w:r>
      <w:r w:rsidRPr="00086114">
        <w:t xml:space="preserve"> biofixation </w:t>
      </w:r>
      <w:r w:rsidR="002E647C" w:rsidRPr="00086114">
        <w:t>through photosynthetic activity while generating biomass that can be valorised for bioenergy or bioproducts</w:t>
      </w:r>
      <w:r w:rsidRPr="00086114">
        <w:t xml:space="preserve"> </w:t>
      </w:r>
      <w:r w:rsidR="00B3661C" w:rsidRPr="00086114">
        <w:fldChar w:fldCharType="begin"/>
      </w:r>
      <w:r w:rsidR="00CC351B" w:rsidRPr="00086114">
        <w:instrText xml:space="preserve"> ADDIN ZOTERO_ITEM CSL_CITATION {"citationID":"PZWGpr1A","properties":{"formattedCitation":"(G. Oliva et al. 2023; Senatore et al. 2021)","plainCitation":"(G. Oliva et al. 2023; Senatore et al. 2021)","dontUpdate":true,"noteIndex":0},"citationItems":[{"id":591,"uris":["http://zotero.org/users/12965785/items/W4RBZU3I"],"itemData":{"id":591,"type":"chapter","abstract":"Odour emissions from wastewater treatment plants (WWTPs) have become a critical issue. Therefore, smart technologies are strongly required to efficien…","container-title":"Current Developments in Biotechnology and Bioengineering","language":"en-US","note":"DOI: 10.1016/B978-0-323-99920-5.00004-4","page":"315-332","publisher":"Elsevier","source":"www.sciencedirect.com","title":"Advanced technologies for a smart and integrated control of odour emissions from wastewater treatment plant","URL":"https://www.sciencedirect.com/science/chapter/edited-volume/abs/pii/B9780323999205000044","author":[{"family":"Oliva","given":"G."},{"family":"Galang","given":"M. G."},{"family":"Zarra","given":"T."},{"family":"Belgiorno","given":"V."},{"family":"Naddeo","given":"V."}],"accessed":{"date-parts":[["2026",4,24]]},"issued":{"date-parts":[["2023",1,1]]}}},{"id":586,"uris":["http://zotero.org/users/12965785/items/VJAD2TR2"],"itemData":{"id":586,"type":"article-journal","abstract":"Odours emissions from various facilities such as wastewater treatment plants (WWTPs), are becoming one of the main issues to face down for the plant operators to avoid complaints and potential impact, especially for the plants located nearby to the residential areas. The need to implement odour control strategies, for instance by using treatment technologies, is therefore a key point in the management of the plant. Moreover, in a world increasingly concerned about sustainability and environmental preservation, the identification of environmentally friendly odour treatment technologies is to be recommended and prescribed. The research presents the development of an advanced sustainable biotechnology-based control system able to treat odour and greenhouse gas emissions (GHG), with the aim to guarantee a sustainable process. The performance of the advanced biotechnology system is highlighted in terms of CO 2 capture and reduction, by analysing different operating conditions (e.g. CO 2 inlet load, L/G liquid:gas ratio and light intensity). The result shows that the proposed technology can capture up to 80% of CO 2 concentration, produce microalgae biomass (742 mg l-1) and potentially biodegrade aromatic substances such as VOCs. The proposed advanced biotechnology system proves to be effective sustainable treatment process for the fixation of CO 2 , but further studies are necessary for evaluate the treatment efficiency of VOCs. The information presented in this research will be of interest to anyone involved with carbon capture and utilization (CCU) technology.","container-title":"Chemical Engineering Transactions","DOI":"10.3303/CET2185005","journalAbbreviation":"Chemical Engineering Transactions","page":"25-30","source":"ResearchGate","title":"Sustainable Odour and Greenhouse Gas Emissions Control in Wastewater Treatment Plant by Advanced Biotechnology-based System","volume":"85","author":[{"family":"Senatore","given":"Vincenzo"},{"family":"Zarra","given":"Tiziano"},{"family":"Pahunang","given":"R"},{"family":"Oliva","given":"Giusy"},{"family":"Belgiorno","given":"Vincenzo"},{"family":"Ballesteros Jr","given":"Florencio"},{"family":"Naddeo","given":"Vincenzo"}],"issued":{"date-parts":[["2021",4,7]]}}}],"schema":"https://github.com/citation-style-language/schema/raw/master/csl-citation.json"} </w:instrText>
      </w:r>
      <w:r w:rsidR="00B3661C" w:rsidRPr="00086114">
        <w:fldChar w:fldCharType="separate"/>
      </w:r>
      <w:r w:rsidR="00B3661C" w:rsidRPr="00086114">
        <w:rPr>
          <w:rFonts w:cs="Arial"/>
          <w:lang w:val="it-IT"/>
        </w:rPr>
        <w:t>(Oliva et al. 2023; Senatore et al. 2021)</w:t>
      </w:r>
      <w:r w:rsidR="00B3661C" w:rsidRPr="00086114">
        <w:fldChar w:fldCharType="end"/>
      </w:r>
      <w:r w:rsidRPr="00086114">
        <w:rPr>
          <w:lang w:val="it-IT"/>
        </w:rPr>
        <w:t xml:space="preserve">. </w:t>
      </w:r>
      <w:r w:rsidR="002E647C" w:rsidRPr="00086114">
        <w:t>The integration of microalgal processes with biological gas treatment technologies offers the potential to couple emission abatement with carbon capture and resource recovery within a waste-to-energy framework.</w:t>
      </w:r>
      <w:r w:rsidRPr="00086114">
        <w:t xml:space="preserve"> </w:t>
      </w:r>
      <w:r w:rsidR="002E647C" w:rsidRPr="00086114">
        <w:t>Despite these advancements, studies addressing the combined application of biological odour removal and microalgal CO</w:t>
      </w:r>
      <w:r w:rsidR="002E647C" w:rsidRPr="00086114">
        <w:rPr>
          <w:rFonts w:ascii="Cambria Math" w:hAnsi="Cambria Math" w:cs="Cambria Math"/>
        </w:rPr>
        <w:t>₂</w:t>
      </w:r>
      <w:r w:rsidR="002E647C" w:rsidRPr="00086114">
        <w:t xml:space="preserve"> valorisation under real emission conditions remain limited.</w:t>
      </w:r>
      <w:r w:rsidRPr="00086114">
        <w:t xml:space="preserve"> </w:t>
      </w:r>
      <w:r w:rsidR="00193781" w:rsidRPr="00086114">
        <w:t>T</w:t>
      </w:r>
      <w:r w:rsidRPr="00086114">
        <w:t>h</w:t>
      </w:r>
      <w:r w:rsidR="00193781" w:rsidRPr="00086114">
        <w:t>e</w:t>
      </w:r>
      <w:r w:rsidRPr="00086114">
        <w:t xml:space="preserve"> </w:t>
      </w:r>
      <w:r w:rsidR="00193781" w:rsidRPr="00086114">
        <w:t>research</w:t>
      </w:r>
      <w:r w:rsidRPr="00086114">
        <w:t xml:space="preserve"> </w:t>
      </w:r>
      <w:r w:rsidR="00193781" w:rsidRPr="00086114">
        <w:t>presents and experimentally validates an innovative integrated biotechnological system for the treatment of odour emissions, combining a Moving Bed Biofilm Reactor (MBBR) with a downstream algal photobioreactor</w:t>
      </w:r>
      <w:r w:rsidR="002E647C" w:rsidRPr="00086114">
        <w:t xml:space="preserve"> (aPBR)</w:t>
      </w:r>
      <w:r w:rsidR="00193781" w:rsidRPr="00086114">
        <w:t xml:space="preserve">. </w:t>
      </w:r>
      <w:r w:rsidR="002E647C" w:rsidRPr="00086114">
        <w:t>Experimental assessment of the system was carried out under controlled laboratory batch conditions, employing real odorous streams sourced from a full-scale wastewater treatment facility in Salerno (Campania, Italy).</w:t>
      </w:r>
      <w:r w:rsidR="00193781" w:rsidRPr="00086114">
        <w:t xml:space="preserve"> The research highlights </w:t>
      </w:r>
      <w:r w:rsidR="002E647C" w:rsidRPr="00086114">
        <w:t xml:space="preserve">the effectiveness of developing integrated biotechnological approaches </w:t>
      </w:r>
      <w:r w:rsidR="00F32BE0" w:rsidRPr="00086114">
        <w:t>aimed at</w:t>
      </w:r>
      <w:r w:rsidR="002E647C" w:rsidRPr="00086114">
        <w:t xml:space="preserve"> </w:t>
      </w:r>
      <w:r w:rsidR="00F32BE0" w:rsidRPr="00086114">
        <w:t>simultaneously addressing multiple environmental challenges, including odour mitigation, greenhouse gas reduction, and resource recovery, thereby representing a promising pathway towards next-generation sustainable and circular emission management frameworks.</w:t>
      </w:r>
    </w:p>
    <w:p w14:paraId="2E2E3DFE" w14:textId="77777777" w:rsidR="00193781" w:rsidRPr="00086114" w:rsidRDefault="00193781" w:rsidP="00193781">
      <w:pPr>
        <w:pStyle w:val="CETHeading1"/>
        <w:tabs>
          <w:tab w:val="clear" w:pos="360"/>
          <w:tab w:val="right" w:pos="7100"/>
        </w:tabs>
        <w:jc w:val="both"/>
        <w:rPr>
          <w:lang w:val="en-GB"/>
        </w:rPr>
      </w:pPr>
      <w:r w:rsidRPr="00086114">
        <w:rPr>
          <w:lang w:val="en-GB"/>
        </w:rPr>
        <w:t>Material and Methods</w:t>
      </w:r>
    </w:p>
    <w:p w14:paraId="129B6BB6" w14:textId="20495C83" w:rsidR="00E2211D" w:rsidRPr="00086114" w:rsidRDefault="005928F3" w:rsidP="005928F3">
      <w:pPr>
        <w:pStyle w:val="CETheadingx"/>
      </w:pPr>
      <w:r w:rsidRPr="00086114">
        <w:t>Advanced integrated biotechnological system</w:t>
      </w:r>
    </w:p>
    <w:p w14:paraId="05E0E2E7" w14:textId="5F2BCD59" w:rsidR="005928F3" w:rsidRPr="00086114" w:rsidRDefault="00616B10" w:rsidP="00DA4123">
      <w:pPr>
        <w:pStyle w:val="CETBodytext"/>
      </w:pPr>
      <w:r w:rsidRPr="00086114">
        <w:t xml:space="preserve">Figure 1 schematically illustrates the advanced integrated biotechnological platform, including its main components and </w:t>
      </w:r>
      <w:r w:rsidR="00F32BE0" w:rsidRPr="00086114">
        <w:t xml:space="preserve">process </w:t>
      </w:r>
      <w:r w:rsidRPr="00086114">
        <w:t xml:space="preserve">flow lines. The system </w:t>
      </w:r>
      <w:r w:rsidR="00F32BE0" w:rsidRPr="00086114">
        <w:t xml:space="preserve">integrates </w:t>
      </w:r>
      <w:r w:rsidRPr="00086114">
        <w:t xml:space="preserve">a Moving Bed Biofilm Reactor (MBBR, R1) with a downstream algal photobioreactor (aPBR, R2). In the first reactor (R1), odorous compounds are biologically degraded </w:t>
      </w:r>
      <w:r w:rsidR="00F32BE0" w:rsidRPr="00086114">
        <w:t>via</w:t>
      </w:r>
      <w:r w:rsidRPr="00086114">
        <w:t xml:space="preserve"> heterotrophic </w:t>
      </w:r>
      <w:r w:rsidR="00F32BE0" w:rsidRPr="00086114">
        <w:t>metabolism</w:t>
      </w:r>
      <w:r w:rsidRPr="00086114">
        <w:t>, w</w:t>
      </w:r>
      <w:r w:rsidR="00F32BE0" w:rsidRPr="00086114">
        <w:t>hereas</w:t>
      </w:r>
      <w:r w:rsidRPr="00086114">
        <w:t xml:space="preserve"> in the second reactor (R2), the CO</w:t>
      </w:r>
      <w:r w:rsidRPr="00086114">
        <w:rPr>
          <w:rFonts w:ascii="Cambria Math" w:hAnsi="Cambria Math" w:cs="Cambria Math"/>
        </w:rPr>
        <w:t>₂</w:t>
      </w:r>
      <w:r w:rsidRPr="00086114">
        <w:t xml:space="preserve"> </w:t>
      </w:r>
      <w:r w:rsidR="00F32BE0" w:rsidRPr="00086114">
        <w:t>present</w:t>
      </w:r>
      <w:r w:rsidRPr="00086114">
        <w:t xml:space="preserve"> in the inlet stream and </w:t>
      </w:r>
      <w:r w:rsidR="00F32BE0" w:rsidRPr="00086114">
        <w:t>produced</w:t>
      </w:r>
      <w:r w:rsidRPr="00086114">
        <w:t xml:space="preserve"> during biological oxidation is biofixed through autotrophic algal growth.</w:t>
      </w:r>
    </w:p>
    <w:p w14:paraId="2C3D759D" w14:textId="77777777" w:rsidR="00616B10" w:rsidRPr="00086114" w:rsidRDefault="00616B10" w:rsidP="00DA4123">
      <w:pPr>
        <w:pStyle w:val="CETBodytext"/>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5928F3" w:rsidRPr="00086114" w14:paraId="0102FD9A" w14:textId="77777777" w:rsidTr="00CA5D47">
        <w:tc>
          <w:tcPr>
            <w:tcW w:w="8777" w:type="dxa"/>
          </w:tcPr>
          <w:p w14:paraId="2E40A4E7" w14:textId="761964E9" w:rsidR="005928F3" w:rsidRPr="00086114" w:rsidRDefault="001B54EE" w:rsidP="005928F3">
            <w:pPr>
              <w:pStyle w:val="CETBodytext"/>
              <w:jc w:val="left"/>
            </w:pPr>
            <w:r w:rsidRPr="00086114">
              <w:rPr>
                <w:noProof/>
                <w:lang w:val="it-IT" w:eastAsia="it-IT"/>
              </w:rPr>
              <mc:AlternateContent>
                <mc:Choice Requires="wps">
                  <w:drawing>
                    <wp:anchor distT="0" distB="0" distL="114300" distR="114300" simplePos="0" relativeHeight="251659264" behindDoc="0" locked="0" layoutInCell="1" allowOverlap="1" wp14:anchorId="55B23F4F" wp14:editId="383DA0E7">
                      <wp:simplePos x="0" y="0"/>
                      <wp:positionH relativeFrom="column">
                        <wp:posOffset>3994785</wp:posOffset>
                      </wp:positionH>
                      <wp:positionV relativeFrom="paragraph">
                        <wp:posOffset>113666</wp:posOffset>
                      </wp:positionV>
                      <wp:extent cx="962025" cy="1943100"/>
                      <wp:effectExtent l="0" t="0" r="28575" b="19050"/>
                      <wp:wrapNone/>
                      <wp:docPr id="2" name="Rettangolo 2"/>
                      <wp:cNvGraphicFramePr/>
                      <a:graphic xmlns:a="http://schemas.openxmlformats.org/drawingml/2006/main">
                        <a:graphicData uri="http://schemas.microsoft.com/office/word/2010/wordprocessingShape">
                          <wps:wsp>
                            <wps:cNvSpPr/>
                            <wps:spPr>
                              <a:xfrm>
                                <a:off x="0" y="0"/>
                                <a:ext cx="962025" cy="1943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2A591" id="Rettangolo 2" o:spid="_x0000_s1026" style="position:absolute;margin-left:314.55pt;margin-top:8.95pt;width:75.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" filled="f" strokecolor="black [3213]" strokeweight=".5pt"/>
                  </w:pict>
                </mc:Fallback>
              </mc:AlternateContent>
            </w:r>
            <w:r w:rsidRPr="00086114">
              <w:rPr>
                <w:noProof/>
                <w:lang w:val="it-IT" w:eastAsia="it-IT"/>
              </w:rPr>
              <w:drawing>
                <wp:anchor distT="0" distB="0" distL="114300" distR="114300" simplePos="0" relativeHeight="251658240" behindDoc="0" locked="0" layoutInCell="1" allowOverlap="1" wp14:anchorId="152505B4" wp14:editId="033400C8">
                  <wp:simplePos x="0" y="0"/>
                  <wp:positionH relativeFrom="column">
                    <wp:posOffset>4051936</wp:posOffset>
                  </wp:positionH>
                  <wp:positionV relativeFrom="paragraph">
                    <wp:posOffset>170815</wp:posOffset>
                  </wp:positionV>
                  <wp:extent cx="872356" cy="1800225"/>
                  <wp:effectExtent l="0" t="0" r="4445"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72952" t="2849" r="1004" b="2947"/>
                          <a:stretch/>
                        </pic:blipFill>
                        <pic:spPr bwMode="auto">
                          <a:xfrm>
                            <a:off x="0" y="0"/>
                            <a:ext cx="874830" cy="18053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8F3" w:rsidRPr="00086114">
              <w:rPr>
                <w:noProof/>
                <w:lang w:eastAsia="it-IT"/>
              </w:rPr>
              <w:t xml:space="preserve">                   </w:t>
            </w:r>
            <w:r w:rsidR="005928F3" w:rsidRPr="00086114">
              <w:rPr>
                <w:noProof/>
                <w:lang w:val="it-IT" w:eastAsia="it-IT"/>
              </w:rPr>
              <w:drawing>
                <wp:inline distT="0" distB="0" distL="0" distR="0" wp14:anchorId="1EFA1335" wp14:editId="5D143EBD">
                  <wp:extent cx="2667000" cy="2043503"/>
                  <wp:effectExtent l="0" t="0" r="0" b="0"/>
                  <wp:docPr id="64839025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621" t="2849" r="28420" b="2947"/>
                          <a:stretch/>
                        </pic:blipFill>
                        <pic:spPr bwMode="auto">
                          <a:xfrm>
                            <a:off x="0" y="0"/>
                            <a:ext cx="2696053" cy="20657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CF5D63" w14:textId="45CDDE97" w:rsidR="00000DB3" w:rsidRPr="00086114" w:rsidRDefault="00000DB3" w:rsidP="00BA4A43">
      <w:pPr>
        <w:pStyle w:val="CETCaption"/>
        <w:spacing w:before="0"/>
      </w:pPr>
      <w:r w:rsidRPr="00086114">
        <w:rPr>
          <w:rStyle w:val="CETCaptionCarattere"/>
          <w:i/>
        </w:rPr>
        <w:t xml:space="preserve">Figure 1: </w:t>
      </w:r>
      <w:r w:rsidR="005928F3" w:rsidRPr="00086114">
        <w:t>Advanced integrated biotechnological system</w:t>
      </w:r>
    </w:p>
    <w:p w14:paraId="16278895" w14:textId="5C0A29CD" w:rsidR="008708CF" w:rsidRPr="00086114" w:rsidRDefault="008708CF" w:rsidP="008708CF">
      <w:pPr>
        <w:pStyle w:val="CETBodytext"/>
      </w:pPr>
      <w:r w:rsidRPr="00086114">
        <w:t xml:space="preserve">The layout of the system includes a gas supply line, </w:t>
      </w:r>
      <w:r w:rsidR="00F32BE0" w:rsidRPr="00086114">
        <w:t>in which</w:t>
      </w:r>
      <w:r w:rsidRPr="00086114">
        <w:t xml:space="preserve"> the </w:t>
      </w:r>
      <w:r w:rsidR="00F32BE0" w:rsidRPr="00086114">
        <w:t xml:space="preserve">influent </w:t>
      </w:r>
      <w:r w:rsidRPr="00086114">
        <w:t xml:space="preserve">gas stream </w:t>
      </w:r>
      <w:r w:rsidR="00F32BE0" w:rsidRPr="00086114">
        <w:t>is</w:t>
      </w:r>
      <w:r w:rsidRPr="00086114">
        <w:t xml:space="preserve"> regulated </w:t>
      </w:r>
      <w:r w:rsidR="00F32BE0" w:rsidRPr="00086114">
        <w:t xml:space="preserve">by </w:t>
      </w:r>
      <w:r w:rsidRPr="00086114">
        <w:t>a flowmeter and maintained at a constant flow rate of 0.5 L/min. The gas is monitored through a first sampling port (GSP1) located upstream of the MBBR.</w:t>
      </w:r>
      <w:r w:rsidR="003959AA" w:rsidRPr="00086114">
        <w:t xml:space="preserve"> </w:t>
      </w:r>
      <w:r w:rsidRPr="00086114">
        <w:t xml:space="preserve">The MBBR, constructed </w:t>
      </w:r>
      <w:r w:rsidR="00F32BE0" w:rsidRPr="00086114">
        <w:t xml:space="preserve">of </w:t>
      </w:r>
      <w:r w:rsidRPr="00086114">
        <w:t xml:space="preserve">Pyrex glass with a working volume of 10 L, represents the biological treatment unit of the system. </w:t>
      </w:r>
      <w:r w:rsidR="00F32BE0" w:rsidRPr="00086114">
        <w:t xml:space="preserve">The reactor </w:t>
      </w:r>
      <w:r w:rsidRPr="00086114">
        <w:t xml:space="preserve">contains activated sludge and plastic carriers, which provide support for the development of heterotrophic biofilm. Mixing is </w:t>
      </w:r>
      <w:r w:rsidR="00F32BE0" w:rsidRPr="00086114">
        <w:t>achieved</w:t>
      </w:r>
      <w:r w:rsidRPr="00086114">
        <w:t xml:space="preserve"> by a magnetic stirrer, while the gas is introduced </w:t>
      </w:r>
      <w:r w:rsidR="009F2B7E" w:rsidRPr="00086114">
        <w:t xml:space="preserve">at the </w:t>
      </w:r>
      <w:r w:rsidRPr="00086114">
        <w:t xml:space="preserve">bottom through a diffuser to enhance gas–liquid mass transfer and </w:t>
      </w:r>
      <w:r w:rsidR="009F2B7E" w:rsidRPr="00086114">
        <w:t xml:space="preserve">promote effective </w:t>
      </w:r>
      <w:r w:rsidRPr="00086114">
        <w:t>contact with the biomass.</w:t>
      </w:r>
      <w:r w:rsidR="001B54EE" w:rsidRPr="00086114">
        <w:t xml:space="preserve"> </w:t>
      </w:r>
      <w:r w:rsidRPr="00086114">
        <w:t xml:space="preserve">Downstream of the MBBR, a second gas sampling port (GSP2) is installed to </w:t>
      </w:r>
      <w:r w:rsidR="009F2B7E" w:rsidRPr="00086114">
        <w:t xml:space="preserve">monitor the characteristics of the treated gas stream prior to its transfer to the algal photobioreactor. The aPBR, constructed of Plexiglass with an operating volume of 26 L, contains a suspension of </w:t>
      </w:r>
      <w:r w:rsidR="009F2B7E" w:rsidRPr="00086114">
        <w:rPr>
          <w:i/>
        </w:rPr>
        <w:t>Chlorella vulgaris</w:t>
      </w:r>
      <w:r w:rsidR="009F2B7E" w:rsidRPr="00086114">
        <w:t xml:space="preserve"> cultivated in a nutrient medium. Illumination is supplied by both internal and external LED systems, while </w:t>
      </w:r>
      <w:r w:rsidR="009F2B7E" w:rsidRPr="00086114">
        <w:lastRenderedPageBreak/>
        <w:t>aeration and mixing are provided via a bottom diffuser. The gas stream exiting the photobioreactor is finally sampled at the outlet through a third sampling port (GSP3).</w:t>
      </w:r>
    </w:p>
    <w:p w14:paraId="6A76FC28" w14:textId="196E1A0F" w:rsidR="00531BC1" w:rsidRPr="00086114" w:rsidRDefault="00000DB3" w:rsidP="000B7E87">
      <w:pPr>
        <w:pStyle w:val="CETheadingx"/>
      </w:pPr>
      <w:r w:rsidRPr="00086114">
        <w:t xml:space="preserve">Experimental </w:t>
      </w:r>
      <w:r w:rsidR="001A1B42" w:rsidRPr="00086114">
        <w:t>plan and program</w:t>
      </w:r>
      <w:r w:rsidRPr="00086114">
        <w:t xml:space="preserve"> </w:t>
      </w:r>
    </w:p>
    <w:p w14:paraId="242D0773" w14:textId="6BB2A159" w:rsidR="00D35C11" w:rsidRPr="00086114" w:rsidRDefault="009F2B7E" w:rsidP="009F2B7E">
      <w:pPr>
        <w:pStyle w:val="CETTabletitle"/>
        <w:jc w:val="both"/>
        <w:rPr>
          <w:i w:val="0"/>
          <w:lang w:val="en-US"/>
        </w:rPr>
      </w:pPr>
      <w:r w:rsidRPr="00086114">
        <w:rPr>
          <w:i w:val="0"/>
          <w:lang w:val="en-US"/>
        </w:rPr>
        <w:t xml:space="preserve">To assess the performance of the integrated system under representative operating conditions, real odour </w:t>
      </w:r>
      <w:r w:rsidR="001B54EE" w:rsidRPr="00086114">
        <w:rPr>
          <w:i w:val="0"/>
          <w:lang w:val="en-US"/>
        </w:rPr>
        <w:t>emissions</w:t>
      </w:r>
      <w:r w:rsidRPr="00086114">
        <w:rPr>
          <w:i w:val="0"/>
          <w:lang w:val="en-US"/>
        </w:rPr>
        <w:t xml:space="preserve"> were collected and analysed. The sampling activities were conducted at a full-scale wastewater treatment plant located in Salerno (Campania, Italy). Two representative emission sources were selected: P1, corresponding to the screening unit in the wastewater line, and P2, associated with the sludge thickening unit in the sludge line</w:t>
      </w:r>
      <w:r w:rsidR="00D35C11" w:rsidRPr="00086114">
        <w:rPr>
          <w:i w:val="0"/>
          <w:lang w:val="en-US"/>
        </w:rPr>
        <w:t xml:space="preserve">. For each </w:t>
      </w:r>
      <w:r w:rsidR="00CD46F4" w:rsidRPr="00086114">
        <w:rPr>
          <w:i w:val="0"/>
          <w:lang w:val="en-US"/>
        </w:rPr>
        <w:t>odour source</w:t>
      </w:r>
      <w:r w:rsidR="00D35C11" w:rsidRPr="00086114">
        <w:rPr>
          <w:i w:val="0"/>
          <w:lang w:val="en-US"/>
        </w:rPr>
        <w:t>, gaseous samples were collected using a vacuum sampling system (ECOMA</w:t>
      </w:r>
      <w:r w:rsidRPr="00086114">
        <w:rPr>
          <w:i w:val="0"/>
          <w:lang w:val="en-US"/>
        </w:rPr>
        <w:t xml:space="preserve"> GmBH, D</w:t>
      </w:r>
      <w:r w:rsidR="00D35C11" w:rsidRPr="00086114">
        <w:rPr>
          <w:i w:val="0"/>
          <w:lang w:val="en-US"/>
        </w:rPr>
        <w:t>) equipped with Nalophan</w:t>
      </w:r>
      <w:r w:rsidRPr="00086114">
        <w:rPr>
          <w:rFonts w:cs="Arial"/>
          <w:i w:val="0"/>
          <w:lang w:val="en-US"/>
        </w:rPr>
        <w:t>®</w:t>
      </w:r>
      <w:r w:rsidR="00D35C11" w:rsidRPr="00086114">
        <w:rPr>
          <w:i w:val="0"/>
          <w:lang w:val="en-US"/>
        </w:rPr>
        <w:t xml:space="preserve"> bags, with a total volume of 49 L per </w:t>
      </w:r>
      <w:r w:rsidR="00CD46F4" w:rsidRPr="00086114">
        <w:rPr>
          <w:i w:val="0"/>
          <w:lang w:val="en-US"/>
        </w:rPr>
        <w:t>campaign</w:t>
      </w:r>
      <w:r w:rsidR="00D35C11" w:rsidRPr="00086114">
        <w:rPr>
          <w:i w:val="0"/>
          <w:lang w:val="en-US"/>
        </w:rPr>
        <w:t xml:space="preserve">. A total of five campaigns were performed on a weekly basis. The collected samples were characterized before, during, and after treatment in terms of odour concentration and selected target compounds, </w:t>
      </w:r>
      <w:r w:rsidR="001B54EE" w:rsidRPr="00086114">
        <w:rPr>
          <w:i w:val="0"/>
          <w:lang w:val="en-US"/>
        </w:rPr>
        <w:t>to</w:t>
      </w:r>
      <w:r w:rsidR="00D35C11" w:rsidRPr="00086114">
        <w:rPr>
          <w:i w:val="0"/>
          <w:lang w:val="en-US"/>
        </w:rPr>
        <w:t xml:space="preserve"> evaluate the </w:t>
      </w:r>
      <w:r w:rsidR="00CD46F4" w:rsidRPr="00086114">
        <w:rPr>
          <w:i w:val="0"/>
          <w:lang w:val="en-US"/>
        </w:rPr>
        <w:t>system’s abatement performance</w:t>
      </w:r>
      <w:r w:rsidR="00D35C11" w:rsidRPr="00086114">
        <w:rPr>
          <w:i w:val="0"/>
          <w:lang w:val="en-US"/>
        </w:rPr>
        <w:t xml:space="preserve">. Each experimental </w:t>
      </w:r>
      <w:r w:rsidR="001B54EE" w:rsidRPr="00086114">
        <w:rPr>
          <w:i w:val="0"/>
          <w:lang w:val="en-US"/>
        </w:rPr>
        <w:t>treatment</w:t>
      </w:r>
      <w:r w:rsidR="00D35C11" w:rsidRPr="00086114">
        <w:rPr>
          <w:i w:val="0"/>
          <w:lang w:val="en-US"/>
        </w:rPr>
        <w:t xml:space="preserve"> was </w:t>
      </w:r>
      <w:r w:rsidR="00CD46F4" w:rsidRPr="00086114">
        <w:rPr>
          <w:i w:val="0"/>
          <w:lang w:val="en-US"/>
        </w:rPr>
        <w:t xml:space="preserve">carried out </w:t>
      </w:r>
      <w:r w:rsidR="00D35C11" w:rsidRPr="00086114">
        <w:rPr>
          <w:i w:val="0"/>
          <w:lang w:val="en-US"/>
        </w:rPr>
        <w:t xml:space="preserve">with a feeding time of 1.5 hours. Synthetic dairy wastewater (DWW) </w:t>
      </w:r>
      <w:r w:rsidR="00CD46F4" w:rsidRPr="00086114">
        <w:rPr>
          <w:i w:val="0"/>
          <w:lang w:val="en-US"/>
        </w:rPr>
        <w:t xml:space="preserve">served </w:t>
      </w:r>
      <w:r w:rsidR="00D35C11" w:rsidRPr="00086114">
        <w:rPr>
          <w:i w:val="0"/>
          <w:lang w:val="en-US"/>
        </w:rPr>
        <w:t xml:space="preserve">as </w:t>
      </w:r>
      <w:r w:rsidR="00CD46F4" w:rsidRPr="00086114">
        <w:rPr>
          <w:i w:val="0"/>
          <w:lang w:val="en-US"/>
        </w:rPr>
        <w:t xml:space="preserve">the </w:t>
      </w:r>
      <w:r w:rsidR="00D35C11" w:rsidRPr="00086114">
        <w:rPr>
          <w:i w:val="0"/>
          <w:lang w:val="en-US"/>
        </w:rPr>
        <w:t xml:space="preserve">culture medium to support both bacterial and algal activity. The algal photobioreactor </w:t>
      </w:r>
      <w:r w:rsidR="00CD46F4" w:rsidRPr="00086114">
        <w:rPr>
          <w:i w:val="0"/>
          <w:lang w:val="en-US"/>
        </w:rPr>
        <w:t>operated</w:t>
      </w:r>
      <w:r w:rsidR="00D35C11" w:rsidRPr="00086114">
        <w:rPr>
          <w:i w:val="0"/>
          <w:lang w:val="en-US"/>
        </w:rPr>
        <w:t xml:space="preserve"> under controlled illumination (5000 lux) with a light/dark cycle of 12/12 hours. Table 1 summarizes the investigated parameters, analytical methods, monitoring frequency, and the corresponding sampling phase</w:t>
      </w:r>
      <w:r w:rsidR="00CD46F4" w:rsidRPr="00086114">
        <w:rPr>
          <w:i w:val="0"/>
          <w:lang w:val="en-US"/>
        </w:rPr>
        <w:t>s</w:t>
      </w:r>
      <w:r w:rsidR="00D35C11" w:rsidRPr="00086114">
        <w:rPr>
          <w:i w:val="0"/>
          <w:lang w:val="en-US"/>
        </w:rPr>
        <w:t xml:space="preserve"> (before</w:t>
      </w:r>
      <w:r w:rsidR="00CD46F4" w:rsidRPr="00086114">
        <w:rPr>
          <w:i w:val="0"/>
          <w:lang w:val="en-US"/>
        </w:rPr>
        <w:t>,</w:t>
      </w:r>
      <w:r w:rsidR="00D35C11" w:rsidRPr="00086114">
        <w:rPr>
          <w:i w:val="0"/>
          <w:lang w:val="en-US"/>
        </w:rPr>
        <w:t xml:space="preserve"> “B”</w:t>
      </w:r>
      <w:r w:rsidR="00CD46F4" w:rsidRPr="00086114">
        <w:rPr>
          <w:i w:val="0"/>
          <w:lang w:val="en-US"/>
        </w:rPr>
        <w:t>;</w:t>
      </w:r>
      <w:r w:rsidR="00D35C11" w:rsidRPr="00086114">
        <w:rPr>
          <w:i w:val="0"/>
          <w:lang w:val="en-US"/>
        </w:rPr>
        <w:t xml:space="preserve"> during</w:t>
      </w:r>
      <w:r w:rsidR="00CD46F4" w:rsidRPr="00086114">
        <w:rPr>
          <w:i w:val="0"/>
          <w:lang w:val="en-US"/>
        </w:rPr>
        <w:t>,</w:t>
      </w:r>
      <w:r w:rsidR="00D35C11" w:rsidRPr="00086114">
        <w:rPr>
          <w:i w:val="0"/>
          <w:lang w:val="en-US"/>
        </w:rPr>
        <w:t xml:space="preserve"> “D”</w:t>
      </w:r>
      <w:r w:rsidR="00CD46F4" w:rsidRPr="00086114">
        <w:rPr>
          <w:i w:val="0"/>
          <w:lang w:val="en-US"/>
        </w:rPr>
        <w:t>;</w:t>
      </w:r>
      <w:r w:rsidR="00D35C11" w:rsidRPr="00086114">
        <w:rPr>
          <w:i w:val="0"/>
          <w:lang w:val="en-US"/>
        </w:rPr>
        <w:t xml:space="preserve"> and after</w:t>
      </w:r>
      <w:r w:rsidR="00CD46F4" w:rsidRPr="00086114">
        <w:rPr>
          <w:i w:val="0"/>
          <w:lang w:val="en-US"/>
        </w:rPr>
        <w:t>,</w:t>
      </w:r>
      <w:r w:rsidR="00D35C11" w:rsidRPr="00086114">
        <w:rPr>
          <w:i w:val="0"/>
          <w:lang w:val="en-US"/>
        </w:rPr>
        <w:t xml:space="preserve"> “A” treatment), as well as the matrix type (gas or liquid).</w:t>
      </w:r>
    </w:p>
    <w:p w14:paraId="7A765EE0" w14:textId="6D82DA8E" w:rsidR="008708CF" w:rsidRPr="00086114" w:rsidRDefault="003959AA" w:rsidP="00CD46F4">
      <w:pPr>
        <w:pStyle w:val="CETTabletitle"/>
        <w:jc w:val="both"/>
        <w:rPr>
          <w:rStyle w:val="CETCaptionCarattere"/>
          <w:i/>
        </w:rPr>
      </w:pPr>
      <w:r w:rsidRPr="00086114">
        <w:rPr>
          <w:rStyle w:val="CETCaptionCarattere"/>
          <w:i/>
        </w:rPr>
        <w:t>Table 1:</w:t>
      </w:r>
      <w:r w:rsidR="00CD46F4" w:rsidRPr="00086114">
        <w:rPr>
          <w:rStyle w:val="CETCaptionCarattere"/>
          <w:i/>
        </w:rPr>
        <w:t xml:space="preserve"> Investigated </w:t>
      </w:r>
      <w:r w:rsidR="00BA0B6F" w:rsidRPr="00086114">
        <w:t>parameters</w:t>
      </w:r>
      <w:r w:rsidR="00CD46F4" w:rsidRPr="00086114">
        <w:t xml:space="preserve">, </w:t>
      </w:r>
      <w:r w:rsidR="00BA0B6F" w:rsidRPr="00086114">
        <w:t>analytical methods</w:t>
      </w:r>
      <w:r w:rsidR="00CD46F4" w:rsidRPr="00086114">
        <w:t>, monitoring frequency and phases</w:t>
      </w:r>
      <w:r w:rsidR="00825F83" w:rsidRPr="00086114">
        <w:t xml:space="preserve"> for each </w:t>
      </w:r>
      <w:r w:rsidR="00CD46F4" w:rsidRPr="00086114">
        <w:t xml:space="preserve">treatment </w:t>
      </w:r>
      <w:r w:rsidR="00825F83" w:rsidRPr="00086114">
        <w:t>run</w:t>
      </w:r>
      <w:r w:rsidR="00BA0B6F" w:rsidRPr="00086114">
        <w:t>.</w:t>
      </w:r>
    </w:p>
    <w:tbl>
      <w:tblPr>
        <w:tblW w:w="8649" w:type="dxa"/>
        <w:jc w:val="center"/>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773"/>
        <w:gridCol w:w="2039"/>
        <w:gridCol w:w="1463"/>
        <w:gridCol w:w="4374"/>
      </w:tblGrid>
      <w:tr w:rsidR="00D02550" w:rsidRPr="00086114" w14:paraId="7CD5DBD3" w14:textId="77777777" w:rsidTr="00BA4A43">
        <w:trPr>
          <w:trHeight w:val="443"/>
          <w:jc w:val="center"/>
        </w:trPr>
        <w:tc>
          <w:tcPr>
            <w:tcW w:w="773" w:type="dxa"/>
            <w:tcBorders>
              <w:top w:val="single" w:sz="12" w:space="0" w:color="008000"/>
              <w:bottom w:val="single" w:sz="6" w:space="0" w:color="008000"/>
            </w:tcBorders>
            <w:shd w:val="clear" w:color="auto" w:fill="FFFFFF"/>
            <w:vAlign w:val="center"/>
          </w:tcPr>
          <w:p w14:paraId="03D4914E" w14:textId="5A9048F0" w:rsidR="00D02550" w:rsidRPr="00086114" w:rsidRDefault="00D02550" w:rsidP="00BA4A43">
            <w:pPr>
              <w:pStyle w:val="CETBodytext"/>
              <w:jc w:val="center"/>
              <w:rPr>
                <w:b/>
                <w:bCs/>
                <w:sz w:val="16"/>
                <w:lang w:val="en-GB"/>
              </w:rPr>
            </w:pPr>
            <w:r w:rsidRPr="00086114">
              <w:rPr>
                <w:b/>
                <w:bCs/>
                <w:sz w:val="16"/>
                <w:lang w:val="it-IT"/>
              </w:rPr>
              <w:t>Matrix</w:t>
            </w:r>
          </w:p>
        </w:tc>
        <w:tc>
          <w:tcPr>
            <w:tcW w:w="2039" w:type="dxa"/>
            <w:tcBorders>
              <w:top w:val="single" w:sz="12" w:space="0" w:color="008000"/>
              <w:bottom w:val="single" w:sz="6" w:space="0" w:color="008000"/>
            </w:tcBorders>
            <w:shd w:val="clear" w:color="auto" w:fill="FFFFFF"/>
            <w:vAlign w:val="center"/>
          </w:tcPr>
          <w:p w14:paraId="5AE5389A" w14:textId="2C869A94" w:rsidR="00D02550" w:rsidRPr="00086114" w:rsidRDefault="00D02550" w:rsidP="00D35C11">
            <w:pPr>
              <w:pStyle w:val="CETBodytext"/>
              <w:jc w:val="center"/>
              <w:rPr>
                <w:b/>
                <w:bCs/>
                <w:sz w:val="16"/>
                <w:lang w:val="it-IT"/>
              </w:rPr>
            </w:pPr>
            <w:r w:rsidRPr="00086114">
              <w:rPr>
                <w:b/>
                <w:bCs/>
                <w:sz w:val="16"/>
                <w:lang w:val="it-IT"/>
              </w:rPr>
              <w:t>Parameter</w:t>
            </w:r>
          </w:p>
        </w:tc>
        <w:tc>
          <w:tcPr>
            <w:tcW w:w="1463" w:type="dxa"/>
            <w:tcBorders>
              <w:top w:val="single" w:sz="12" w:space="0" w:color="008000"/>
              <w:bottom w:val="single" w:sz="6" w:space="0" w:color="008000"/>
            </w:tcBorders>
            <w:shd w:val="clear" w:color="auto" w:fill="FFFFFF"/>
            <w:vAlign w:val="center"/>
          </w:tcPr>
          <w:p w14:paraId="0CD71550" w14:textId="16C84842" w:rsidR="00D02550" w:rsidRPr="00086114" w:rsidRDefault="00D02550" w:rsidP="00D35C11">
            <w:pPr>
              <w:pStyle w:val="CETBodytext"/>
              <w:jc w:val="center"/>
              <w:rPr>
                <w:b/>
                <w:bCs/>
                <w:sz w:val="16"/>
                <w:lang w:val="en-GB"/>
              </w:rPr>
            </w:pPr>
            <w:r w:rsidRPr="00086114">
              <w:rPr>
                <w:b/>
                <w:bCs/>
                <w:sz w:val="16"/>
                <w:lang w:val="it-IT"/>
              </w:rPr>
              <w:t>Frequency/phase</w:t>
            </w:r>
          </w:p>
        </w:tc>
        <w:tc>
          <w:tcPr>
            <w:tcW w:w="4374" w:type="dxa"/>
            <w:tcBorders>
              <w:top w:val="single" w:sz="12" w:space="0" w:color="008000"/>
              <w:bottom w:val="single" w:sz="6" w:space="0" w:color="008000"/>
            </w:tcBorders>
            <w:shd w:val="clear" w:color="auto" w:fill="FFFFFF"/>
            <w:vAlign w:val="center"/>
          </w:tcPr>
          <w:p w14:paraId="3259457A" w14:textId="50B8B9C3" w:rsidR="00D02550" w:rsidRPr="00086114" w:rsidRDefault="00D02550" w:rsidP="00D35C11">
            <w:pPr>
              <w:pStyle w:val="CETBodytext"/>
              <w:jc w:val="center"/>
              <w:rPr>
                <w:b/>
                <w:bCs/>
                <w:sz w:val="16"/>
                <w:lang w:val="en-GB"/>
              </w:rPr>
            </w:pPr>
            <w:r w:rsidRPr="00086114">
              <w:rPr>
                <w:b/>
                <w:bCs/>
                <w:sz w:val="16"/>
                <w:lang w:val="it-IT"/>
              </w:rPr>
              <w:t>Instrument or Method</w:t>
            </w:r>
          </w:p>
        </w:tc>
      </w:tr>
      <w:tr w:rsidR="00D02550" w:rsidRPr="00086114" w14:paraId="38DE0363" w14:textId="77777777" w:rsidTr="00BA4A43">
        <w:trPr>
          <w:trHeight w:val="183"/>
          <w:jc w:val="center"/>
        </w:trPr>
        <w:tc>
          <w:tcPr>
            <w:tcW w:w="773" w:type="dxa"/>
            <w:vMerge w:val="restart"/>
            <w:tcBorders>
              <w:top w:val="single" w:sz="6" w:space="0" w:color="008000"/>
              <w:bottom w:val="nil"/>
            </w:tcBorders>
            <w:shd w:val="clear" w:color="auto" w:fill="FFFFFF"/>
            <w:vAlign w:val="center"/>
          </w:tcPr>
          <w:p w14:paraId="335F32A7" w14:textId="73D465E6" w:rsidR="00D02550" w:rsidRPr="00086114" w:rsidRDefault="00D02550" w:rsidP="00D35C11">
            <w:pPr>
              <w:pStyle w:val="CETBodytext"/>
              <w:jc w:val="center"/>
              <w:rPr>
                <w:sz w:val="16"/>
                <w:lang w:val="en-GB"/>
              </w:rPr>
            </w:pPr>
            <w:r w:rsidRPr="00086114">
              <w:rPr>
                <w:sz w:val="16"/>
                <w:lang w:val="en-GB"/>
              </w:rPr>
              <w:t>Liquid</w:t>
            </w:r>
          </w:p>
        </w:tc>
        <w:tc>
          <w:tcPr>
            <w:tcW w:w="2039" w:type="dxa"/>
            <w:tcBorders>
              <w:top w:val="single" w:sz="6" w:space="0" w:color="008000"/>
              <w:bottom w:val="nil"/>
            </w:tcBorders>
            <w:shd w:val="clear" w:color="auto" w:fill="FFFFFF"/>
            <w:vAlign w:val="center"/>
          </w:tcPr>
          <w:p w14:paraId="2CDF3FE2" w14:textId="5E05EC1F" w:rsidR="00D02550" w:rsidRPr="00086114" w:rsidRDefault="00D02550" w:rsidP="00D35C11">
            <w:pPr>
              <w:pStyle w:val="CETBodytext"/>
              <w:jc w:val="center"/>
              <w:rPr>
                <w:sz w:val="16"/>
              </w:rPr>
            </w:pPr>
            <w:r w:rsidRPr="00086114">
              <w:rPr>
                <w:sz w:val="16"/>
              </w:rPr>
              <w:t>T (°C), pH</w:t>
            </w:r>
            <w:r w:rsidR="0020603E" w:rsidRPr="00086114">
              <w:rPr>
                <w:sz w:val="16"/>
              </w:rPr>
              <w:t>, DO (mg/L)</w:t>
            </w:r>
          </w:p>
        </w:tc>
        <w:tc>
          <w:tcPr>
            <w:tcW w:w="1463" w:type="dxa"/>
            <w:tcBorders>
              <w:top w:val="single" w:sz="6" w:space="0" w:color="008000"/>
              <w:bottom w:val="nil"/>
            </w:tcBorders>
            <w:shd w:val="clear" w:color="auto" w:fill="FFFFFF"/>
            <w:vAlign w:val="center"/>
          </w:tcPr>
          <w:p w14:paraId="6626F407" w14:textId="4927C8A5" w:rsidR="00D02550" w:rsidRPr="00086114" w:rsidRDefault="00D02550" w:rsidP="00D35C11">
            <w:pPr>
              <w:pStyle w:val="CETBodytext"/>
              <w:jc w:val="center"/>
              <w:rPr>
                <w:sz w:val="16"/>
                <w:lang w:val="en-GB"/>
              </w:rPr>
            </w:pPr>
            <w:r w:rsidRPr="00086114">
              <w:rPr>
                <w:sz w:val="16"/>
              </w:rPr>
              <w:t>3 times/B,D,A</w:t>
            </w:r>
          </w:p>
        </w:tc>
        <w:tc>
          <w:tcPr>
            <w:tcW w:w="4374" w:type="dxa"/>
            <w:tcBorders>
              <w:top w:val="single" w:sz="6" w:space="0" w:color="008000"/>
              <w:bottom w:val="nil"/>
            </w:tcBorders>
            <w:shd w:val="clear" w:color="auto" w:fill="FFFFFF"/>
            <w:vAlign w:val="center"/>
          </w:tcPr>
          <w:p w14:paraId="7F6C95B1" w14:textId="570CBA9F" w:rsidR="00D02550" w:rsidRPr="00086114" w:rsidRDefault="00D02550" w:rsidP="00D35C11">
            <w:pPr>
              <w:pStyle w:val="CETBodytext"/>
              <w:jc w:val="center"/>
              <w:rPr>
                <w:sz w:val="16"/>
                <w:lang w:val="en-GB"/>
              </w:rPr>
            </w:pPr>
            <w:r w:rsidRPr="00086114">
              <w:rPr>
                <w:sz w:val="16"/>
              </w:rPr>
              <w:t>Multiparameter probe (HI9829, Hanna Instruments)</w:t>
            </w:r>
          </w:p>
        </w:tc>
      </w:tr>
      <w:tr w:rsidR="00D02550" w:rsidRPr="00086114" w14:paraId="093AC03A" w14:textId="77777777" w:rsidTr="00BA4A43">
        <w:trPr>
          <w:trHeight w:val="183"/>
          <w:jc w:val="center"/>
        </w:trPr>
        <w:tc>
          <w:tcPr>
            <w:tcW w:w="773" w:type="dxa"/>
            <w:vMerge/>
            <w:tcBorders>
              <w:top w:val="nil"/>
              <w:bottom w:val="nil"/>
            </w:tcBorders>
            <w:shd w:val="clear" w:color="auto" w:fill="FFFFFF"/>
            <w:vAlign w:val="center"/>
          </w:tcPr>
          <w:p w14:paraId="5E27F45D" w14:textId="13EC8B28" w:rsidR="00D02550" w:rsidRPr="00086114" w:rsidRDefault="00D02550" w:rsidP="00D02550">
            <w:pPr>
              <w:pStyle w:val="CETBodytext"/>
              <w:jc w:val="center"/>
              <w:rPr>
                <w:sz w:val="16"/>
                <w:lang w:val="en-GB"/>
              </w:rPr>
            </w:pPr>
          </w:p>
        </w:tc>
        <w:tc>
          <w:tcPr>
            <w:tcW w:w="2039" w:type="dxa"/>
            <w:tcBorders>
              <w:top w:val="nil"/>
              <w:bottom w:val="nil"/>
            </w:tcBorders>
            <w:shd w:val="clear" w:color="auto" w:fill="FFFFFF"/>
            <w:vAlign w:val="center"/>
          </w:tcPr>
          <w:p w14:paraId="3356D4DA" w14:textId="0A02AF98" w:rsidR="00D02550" w:rsidRPr="00086114" w:rsidRDefault="00D02550" w:rsidP="00D02550">
            <w:pPr>
              <w:pStyle w:val="CETBodytext"/>
              <w:jc w:val="center"/>
              <w:rPr>
                <w:sz w:val="16"/>
              </w:rPr>
            </w:pPr>
            <w:r w:rsidRPr="00086114">
              <w:rPr>
                <w:sz w:val="16"/>
              </w:rPr>
              <w:t>TSS (g/L)</w:t>
            </w:r>
          </w:p>
        </w:tc>
        <w:tc>
          <w:tcPr>
            <w:tcW w:w="1463" w:type="dxa"/>
            <w:tcBorders>
              <w:top w:val="nil"/>
              <w:bottom w:val="nil"/>
            </w:tcBorders>
            <w:shd w:val="clear" w:color="auto" w:fill="FFFFFF"/>
            <w:vAlign w:val="center"/>
          </w:tcPr>
          <w:p w14:paraId="3DD68B5F" w14:textId="4001B0FF" w:rsidR="00D02550" w:rsidRPr="00086114" w:rsidRDefault="00D02550" w:rsidP="00D02550">
            <w:pPr>
              <w:pStyle w:val="CETBodytext"/>
              <w:jc w:val="center"/>
              <w:rPr>
                <w:sz w:val="16"/>
                <w:lang w:val="en-GB"/>
              </w:rPr>
            </w:pPr>
            <w:r w:rsidRPr="00086114">
              <w:rPr>
                <w:sz w:val="16"/>
              </w:rPr>
              <w:t>3 times/ B,D,A</w:t>
            </w:r>
          </w:p>
        </w:tc>
        <w:tc>
          <w:tcPr>
            <w:tcW w:w="4374" w:type="dxa"/>
            <w:tcBorders>
              <w:top w:val="nil"/>
              <w:bottom w:val="nil"/>
            </w:tcBorders>
            <w:shd w:val="clear" w:color="auto" w:fill="FFFFFF"/>
            <w:vAlign w:val="center"/>
          </w:tcPr>
          <w:p w14:paraId="6AAD9174" w14:textId="364A8DDD" w:rsidR="00D02550" w:rsidRPr="00086114" w:rsidRDefault="0020603E" w:rsidP="00D02550">
            <w:pPr>
              <w:pStyle w:val="CETBodytext"/>
              <w:jc w:val="center"/>
              <w:rPr>
                <w:sz w:val="16"/>
                <w:lang w:val="en-GB"/>
              </w:rPr>
            </w:pPr>
            <w:r w:rsidRPr="00086114">
              <w:rPr>
                <w:rFonts w:cs="Arial"/>
                <w:sz w:val="16"/>
                <w:shd w:val="clear" w:color="auto" w:fill="FFFFFF"/>
              </w:rPr>
              <w:t>APHA 2540 D</w:t>
            </w:r>
          </w:p>
        </w:tc>
      </w:tr>
      <w:tr w:rsidR="00D02550" w:rsidRPr="00086114" w14:paraId="65BB9160" w14:textId="77777777" w:rsidTr="00BA4A43">
        <w:trPr>
          <w:trHeight w:val="183"/>
          <w:jc w:val="center"/>
        </w:trPr>
        <w:tc>
          <w:tcPr>
            <w:tcW w:w="773" w:type="dxa"/>
            <w:vMerge/>
            <w:tcBorders>
              <w:top w:val="nil"/>
              <w:bottom w:val="nil"/>
            </w:tcBorders>
            <w:shd w:val="clear" w:color="auto" w:fill="FFFFFF"/>
            <w:vAlign w:val="center"/>
          </w:tcPr>
          <w:p w14:paraId="031AD388" w14:textId="74A33E1E" w:rsidR="00D02550" w:rsidRPr="00086114" w:rsidRDefault="00D02550" w:rsidP="00D02550">
            <w:pPr>
              <w:pStyle w:val="CETBodytext"/>
              <w:jc w:val="center"/>
              <w:rPr>
                <w:sz w:val="16"/>
                <w:lang w:val="en-GB"/>
              </w:rPr>
            </w:pPr>
          </w:p>
        </w:tc>
        <w:tc>
          <w:tcPr>
            <w:tcW w:w="2039" w:type="dxa"/>
            <w:tcBorders>
              <w:top w:val="nil"/>
              <w:bottom w:val="nil"/>
            </w:tcBorders>
            <w:shd w:val="clear" w:color="auto" w:fill="FFFFFF"/>
            <w:vAlign w:val="center"/>
          </w:tcPr>
          <w:p w14:paraId="524DCCB5" w14:textId="6625FE09" w:rsidR="00D02550" w:rsidRPr="00086114" w:rsidRDefault="00D02550" w:rsidP="00D02550">
            <w:pPr>
              <w:pStyle w:val="CETBodytext"/>
              <w:jc w:val="center"/>
              <w:rPr>
                <w:sz w:val="16"/>
              </w:rPr>
            </w:pPr>
            <w:r w:rsidRPr="00086114">
              <w:rPr>
                <w:sz w:val="16"/>
              </w:rPr>
              <w:t>Chlorophyll (mg/L)</w:t>
            </w:r>
          </w:p>
        </w:tc>
        <w:tc>
          <w:tcPr>
            <w:tcW w:w="1463" w:type="dxa"/>
            <w:tcBorders>
              <w:top w:val="nil"/>
              <w:bottom w:val="nil"/>
            </w:tcBorders>
            <w:shd w:val="clear" w:color="auto" w:fill="FFFFFF"/>
            <w:vAlign w:val="center"/>
          </w:tcPr>
          <w:p w14:paraId="3731C879" w14:textId="5A8F8E3D" w:rsidR="00D02550" w:rsidRPr="00086114" w:rsidRDefault="00D02550" w:rsidP="00D02550">
            <w:pPr>
              <w:pStyle w:val="CETBodytext"/>
              <w:jc w:val="center"/>
              <w:rPr>
                <w:sz w:val="16"/>
                <w:lang w:val="en-GB"/>
              </w:rPr>
            </w:pPr>
            <w:r w:rsidRPr="00086114">
              <w:rPr>
                <w:sz w:val="16"/>
              </w:rPr>
              <w:t>1 time/D</w:t>
            </w:r>
          </w:p>
        </w:tc>
        <w:tc>
          <w:tcPr>
            <w:tcW w:w="4374" w:type="dxa"/>
            <w:tcBorders>
              <w:top w:val="nil"/>
              <w:bottom w:val="nil"/>
            </w:tcBorders>
            <w:shd w:val="clear" w:color="auto" w:fill="FFFFFF"/>
            <w:vAlign w:val="center"/>
          </w:tcPr>
          <w:p w14:paraId="0BE4890D" w14:textId="3A6214AA" w:rsidR="00D02550" w:rsidRPr="00086114" w:rsidRDefault="00D02550" w:rsidP="00D02550">
            <w:pPr>
              <w:pStyle w:val="CETBodytext"/>
              <w:jc w:val="center"/>
              <w:rPr>
                <w:sz w:val="16"/>
                <w:lang w:val="en-GB"/>
              </w:rPr>
            </w:pPr>
            <w:r w:rsidRPr="00086114">
              <w:rPr>
                <w:sz w:val="16"/>
              </w:rPr>
              <w:t>Spectrophotometer (PerkinElmer Lambda 25)</w:t>
            </w:r>
            <w:r w:rsidR="00226D82" w:rsidRPr="00086114">
              <w:rPr>
                <w:sz w:val="16"/>
              </w:rPr>
              <w:t>, Standard Methods 10200 H</w:t>
            </w:r>
          </w:p>
        </w:tc>
      </w:tr>
      <w:tr w:rsidR="00D02550" w:rsidRPr="00086114" w14:paraId="197AB1DE" w14:textId="77777777" w:rsidTr="00BA4A43">
        <w:trPr>
          <w:trHeight w:val="183"/>
          <w:jc w:val="center"/>
        </w:trPr>
        <w:tc>
          <w:tcPr>
            <w:tcW w:w="773" w:type="dxa"/>
            <w:vMerge/>
            <w:tcBorders>
              <w:top w:val="nil"/>
              <w:bottom w:val="single" w:sz="6" w:space="0" w:color="008000"/>
            </w:tcBorders>
            <w:shd w:val="clear" w:color="auto" w:fill="FFFFFF"/>
            <w:vAlign w:val="center"/>
          </w:tcPr>
          <w:p w14:paraId="6143DB02" w14:textId="3592F4C4" w:rsidR="00D02550" w:rsidRPr="00086114" w:rsidRDefault="00D02550" w:rsidP="00D02550">
            <w:pPr>
              <w:pStyle w:val="CETBodytext"/>
              <w:jc w:val="center"/>
              <w:rPr>
                <w:sz w:val="16"/>
                <w:lang w:val="en-GB"/>
              </w:rPr>
            </w:pPr>
          </w:p>
        </w:tc>
        <w:tc>
          <w:tcPr>
            <w:tcW w:w="2039" w:type="dxa"/>
            <w:tcBorders>
              <w:top w:val="nil"/>
              <w:bottom w:val="single" w:sz="6" w:space="0" w:color="008000"/>
            </w:tcBorders>
            <w:shd w:val="clear" w:color="auto" w:fill="FFFFFF"/>
            <w:vAlign w:val="center"/>
          </w:tcPr>
          <w:p w14:paraId="2C0DC5D9" w14:textId="75BCD253" w:rsidR="00D02550" w:rsidRPr="00086114" w:rsidRDefault="00D02550" w:rsidP="00D02550">
            <w:pPr>
              <w:pStyle w:val="CETBodytext"/>
              <w:jc w:val="center"/>
              <w:rPr>
                <w:sz w:val="16"/>
              </w:rPr>
            </w:pPr>
            <w:r w:rsidRPr="00086114">
              <w:rPr>
                <w:sz w:val="16"/>
              </w:rPr>
              <w:t>Lipids (g)</w:t>
            </w:r>
          </w:p>
        </w:tc>
        <w:tc>
          <w:tcPr>
            <w:tcW w:w="1463" w:type="dxa"/>
            <w:tcBorders>
              <w:top w:val="nil"/>
              <w:bottom w:val="single" w:sz="6" w:space="0" w:color="008000"/>
            </w:tcBorders>
            <w:shd w:val="clear" w:color="auto" w:fill="FFFFFF"/>
            <w:vAlign w:val="center"/>
          </w:tcPr>
          <w:p w14:paraId="0335D171" w14:textId="6ED417F0" w:rsidR="00D02550" w:rsidRPr="00086114" w:rsidRDefault="00D02550" w:rsidP="00D02550">
            <w:pPr>
              <w:pStyle w:val="CETBodytext"/>
              <w:jc w:val="center"/>
              <w:rPr>
                <w:sz w:val="16"/>
                <w:lang w:val="en-GB"/>
              </w:rPr>
            </w:pPr>
            <w:r w:rsidRPr="00086114">
              <w:rPr>
                <w:sz w:val="16"/>
              </w:rPr>
              <w:t>End of tests</w:t>
            </w:r>
            <w:r w:rsidR="0020603E" w:rsidRPr="00086114">
              <w:rPr>
                <w:sz w:val="16"/>
              </w:rPr>
              <w:t>/A</w:t>
            </w:r>
          </w:p>
        </w:tc>
        <w:tc>
          <w:tcPr>
            <w:tcW w:w="4374" w:type="dxa"/>
            <w:tcBorders>
              <w:top w:val="nil"/>
              <w:bottom w:val="single" w:sz="6" w:space="0" w:color="008000"/>
            </w:tcBorders>
            <w:shd w:val="clear" w:color="auto" w:fill="FFFFFF"/>
            <w:vAlign w:val="center"/>
          </w:tcPr>
          <w:p w14:paraId="42B09D3D" w14:textId="4F21389F" w:rsidR="00D02550" w:rsidRPr="00086114" w:rsidRDefault="00D02550" w:rsidP="00BA4A43">
            <w:pPr>
              <w:pStyle w:val="CETBodytext"/>
              <w:jc w:val="center"/>
              <w:rPr>
                <w:sz w:val="16"/>
                <w:lang w:val="en-GB"/>
              </w:rPr>
            </w:pPr>
            <w:r w:rsidRPr="00086114">
              <w:rPr>
                <w:sz w:val="16"/>
              </w:rPr>
              <w:t>Rotary evaporator</w:t>
            </w:r>
            <w:r w:rsidR="00A812F4" w:rsidRPr="00086114">
              <w:rPr>
                <w:sz w:val="16"/>
              </w:rPr>
              <w:t xml:space="preserve"> (R-300)</w:t>
            </w:r>
            <w:r w:rsidR="00226D82" w:rsidRPr="00086114">
              <w:rPr>
                <w:sz w:val="16"/>
              </w:rPr>
              <w:t>, Specify extraction protocol</w:t>
            </w:r>
            <w:r w:rsidR="00A812F4" w:rsidRPr="00086114">
              <w:rPr>
                <w:sz w:val="16"/>
              </w:rPr>
              <w:t xml:space="preserve"> </w:t>
            </w:r>
          </w:p>
        </w:tc>
      </w:tr>
      <w:tr w:rsidR="00D02550" w:rsidRPr="00086114" w14:paraId="7DE05CDC" w14:textId="77777777" w:rsidTr="00BA4A43">
        <w:trPr>
          <w:trHeight w:val="183"/>
          <w:jc w:val="center"/>
        </w:trPr>
        <w:tc>
          <w:tcPr>
            <w:tcW w:w="773" w:type="dxa"/>
            <w:vMerge w:val="restart"/>
            <w:tcBorders>
              <w:top w:val="single" w:sz="6" w:space="0" w:color="008000"/>
            </w:tcBorders>
            <w:shd w:val="clear" w:color="auto" w:fill="FFFFFF"/>
            <w:vAlign w:val="center"/>
          </w:tcPr>
          <w:p w14:paraId="0C4C504B" w14:textId="3221B843" w:rsidR="00D02550" w:rsidRPr="00086114" w:rsidRDefault="00CD46F4" w:rsidP="00D02550">
            <w:pPr>
              <w:pStyle w:val="CETBodytext"/>
              <w:jc w:val="center"/>
              <w:rPr>
                <w:sz w:val="16"/>
                <w:lang w:val="en-GB"/>
              </w:rPr>
            </w:pPr>
            <w:r w:rsidRPr="00086114">
              <w:rPr>
                <w:sz w:val="16"/>
                <w:lang w:val="en-GB"/>
              </w:rPr>
              <w:t>Gas</w:t>
            </w:r>
          </w:p>
        </w:tc>
        <w:tc>
          <w:tcPr>
            <w:tcW w:w="2039" w:type="dxa"/>
            <w:tcBorders>
              <w:top w:val="single" w:sz="6" w:space="0" w:color="008000"/>
            </w:tcBorders>
            <w:shd w:val="clear" w:color="auto" w:fill="FFFFFF"/>
            <w:vAlign w:val="center"/>
          </w:tcPr>
          <w:p w14:paraId="66B0FDDF" w14:textId="5D54D7D6" w:rsidR="00D02550" w:rsidRPr="00086114" w:rsidRDefault="00D02550" w:rsidP="00D02550">
            <w:pPr>
              <w:pStyle w:val="CETBodytext"/>
              <w:jc w:val="center"/>
              <w:rPr>
                <w:sz w:val="16"/>
              </w:rPr>
            </w:pPr>
            <w:r w:rsidRPr="00086114">
              <w:rPr>
                <w:sz w:val="16"/>
              </w:rPr>
              <w:t>CH</w:t>
            </w:r>
            <w:r w:rsidRPr="00086114">
              <w:rPr>
                <w:rFonts w:ascii="Cambria Math" w:hAnsi="Cambria Math" w:cs="Cambria Math"/>
                <w:sz w:val="16"/>
              </w:rPr>
              <w:t>₃</w:t>
            </w:r>
            <w:r w:rsidRPr="00086114">
              <w:rPr>
                <w:sz w:val="16"/>
              </w:rPr>
              <w:t>SH, CO2 (ppm)</w:t>
            </w:r>
          </w:p>
        </w:tc>
        <w:tc>
          <w:tcPr>
            <w:tcW w:w="1463" w:type="dxa"/>
            <w:tcBorders>
              <w:top w:val="single" w:sz="6" w:space="0" w:color="008000"/>
            </w:tcBorders>
            <w:shd w:val="clear" w:color="auto" w:fill="FFFFFF"/>
            <w:vAlign w:val="center"/>
          </w:tcPr>
          <w:p w14:paraId="2F084FCB" w14:textId="1AE902D6" w:rsidR="00D02550" w:rsidRPr="00086114" w:rsidRDefault="00D02550" w:rsidP="00D02550">
            <w:pPr>
              <w:pStyle w:val="CETBodytext"/>
              <w:jc w:val="center"/>
              <w:rPr>
                <w:sz w:val="16"/>
              </w:rPr>
            </w:pPr>
            <w:r w:rsidRPr="00086114">
              <w:rPr>
                <w:sz w:val="16"/>
              </w:rPr>
              <w:t>9 times/ B,D,A</w:t>
            </w:r>
          </w:p>
        </w:tc>
        <w:tc>
          <w:tcPr>
            <w:tcW w:w="4374" w:type="dxa"/>
            <w:tcBorders>
              <w:top w:val="single" w:sz="6" w:space="0" w:color="008000"/>
            </w:tcBorders>
            <w:shd w:val="clear" w:color="auto" w:fill="FFFFFF"/>
            <w:vAlign w:val="center"/>
          </w:tcPr>
          <w:p w14:paraId="6CE9FB48" w14:textId="781E9A44" w:rsidR="00D02550" w:rsidRPr="00086114" w:rsidRDefault="00D02550" w:rsidP="00D02550">
            <w:pPr>
              <w:pStyle w:val="CETBodytext"/>
              <w:jc w:val="center"/>
              <w:rPr>
                <w:sz w:val="16"/>
              </w:rPr>
            </w:pPr>
            <w:r w:rsidRPr="00086114">
              <w:rPr>
                <w:sz w:val="16"/>
              </w:rPr>
              <w:t>MultiRAE (Recom srl)</w:t>
            </w:r>
          </w:p>
        </w:tc>
      </w:tr>
      <w:tr w:rsidR="00D02550" w:rsidRPr="00086114" w14:paraId="3E3107BE" w14:textId="77777777" w:rsidTr="001B54EE">
        <w:trPr>
          <w:trHeight w:val="80"/>
          <w:jc w:val="center"/>
        </w:trPr>
        <w:tc>
          <w:tcPr>
            <w:tcW w:w="773" w:type="dxa"/>
            <w:vMerge/>
            <w:shd w:val="clear" w:color="auto" w:fill="FFFFFF"/>
            <w:vAlign w:val="center"/>
          </w:tcPr>
          <w:p w14:paraId="3834AE01" w14:textId="597A73FE" w:rsidR="00D02550" w:rsidRPr="00086114" w:rsidRDefault="00D02550" w:rsidP="00D02550">
            <w:pPr>
              <w:pStyle w:val="CETBodytext"/>
              <w:ind w:right="-1"/>
              <w:jc w:val="center"/>
              <w:rPr>
                <w:rFonts w:cs="Arial"/>
                <w:sz w:val="16"/>
                <w:szCs w:val="18"/>
                <w:lang w:val="en-GB"/>
              </w:rPr>
            </w:pPr>
          </w:p>
        </w:tc>
        <w:tc>
          <w:tcPr>
            <w:tcW w:w="2039" w:type="dxa"/>
            <w:shd w:val="clear" w:color="auto" w:fill="FFFFFF"/>
            <w:vAlign w:val="center"/>
          </w:tcPr>
          <w:p w14:paraId="2B3D1560" w14:textId="79D45054" w:rsidR="00D02550" w:rsidRPr="00086114" w:rsidRDefault="00D02550" w:rsidP="00D02550">
            <w:pPr>
              <w:pStyle w:val="CETBodytext"/>
              <w:ind w:right="-1"/>
              <w:jc w:val="center"/>
              <w:rPr>
                <w:sz w:val="16"/>
              </w:rPr>
            </w:pPr>
            <w:r w:rsidRPr="00086114">
              <w:rPr>
                <w:sz w:val="16"/>
              </w:rPr>
              <w:t>Odour concentration (ouE/m³)</w:t>
            </w:r>
          </w:p>
        </w:tc>
        <w:tc>
          <w:tcPr>
            <w:tcW w:w="1463" w:type="dxa"/>
            <w:shd w:val="clear" w:color="auto" w:fill="FFFFFF"/>
            <w:vAlign w:val="center"/>
          </w:tcPr>
          <w:p w14:paraId="58042950" w14:textId="593E7BAD" w:rsidR="00D02550" w:rsidRPr="00086114" w:rsidRDefault="0020603E" w:rsidP="0020603E">
            <w:pPr>
              <w:pStyle w:val="CETBodytext"/>
              <w:ind w:right="-1"/>
              <w:jc w:val="center"/>
              <w:rPr>
                <w:rFonts w:cs="Arial"/>
                <w:sz w:val="16"/>
                <w:szCs w:val="18"/>
                <w:lang w:val="en-GB"/>
              </w:rPr>
            </w:pPr>
            <w:r w:rsidRPr="00086114">
              <w:rPr>
                <w:sz w:val="16"/>
              </w:rPr>
              <w:t>2</w:t>
            </w:r>
            <w:r w:rsidR="00D02550" w:rsidRPr="00086114">
              <w:rPr>
                <w:sz w:val="16"/>
              </w:rPr>
              <w:t xml:space="preserve"> time/ B</w:t>
            </w:r>
            <w:r w:rsidRPr="00086114">
              <w:rPr>
                <w:sz w:val="16"/>
              </w:rPr>
              <w:t xml:space="preserve">, </w:t>
            </w:r>
            <w:r w:rsidR="00D02550" w:rsidRPr="00086114">
              <w:rPr>
                <w:sz w:val="16"/>
              </w:rPr>
              <w:t>A</w:t>
            </w:r>
          </w:p>
        </w:tc>
        <w:tc>
          <w:tcPr>
            <w:tcW w:w="4374" w:type="dxa"/>
            <w:shd w:val="clear" w:color="auto" w:fill="FFFFFF"/>
            <w:vAlign w:val="center"/>
          </w:tcPr>
          <w:p w14:paraId="6D01CDCA" w14:textId="5524FAA1" w:rsidR="00D02550" w:rsidRPr="00086114" w:rsidRDefault="00A812F4" w:rsidP="00D02550">
            <w:pPr>
              <w:pStyle w:val="CETBodytext"/>
              <w:ind w:right="-1"/>
              <w:jc w:val="center"/>
              <w:rPr>
                <w:sz w:val="16"/>
              </w:rPr>
            </w:pPr>
            <w:r w:rsidRPr="00086114">
              <w:rPr>
                <w:sz w:val="16"/>
              </w:rPr>
              <w:t>O</w:t>
            </w:r>
            <w:r w:rsidR="00D02550" w:rsidRPr="00086114">
              <w:rPr>
                <w:sz w:val="16"/>
              </w:rPr>
              <w:t>lfactometer (</w:t>
            </w:r>
            <w:r w:rsidRPr="00086114">
              <w:rPr>
                <w:sz w:val="16"/>
              </w:rPr>
              <w:t xml:space="preserve">TO8 </w:t>
            </w:r>
            <w:r w:rsidR="00D02550" w:rsidRPr="00086114">
              <w:rPr>
                <w:sz w:val="16"/>
              </w:rPr>
              <w:t>Ecoma GmBH)</w:t>
            </w:r>
            <w:r w:rsidR="0020603E" w:rsidRPr="00086114">
              <w:rPr>
                <w:sz w:val="16"/>
              </w:rPr>
              <w:t>,</w:t>
            </w:r>
            <w:r w:rsidR="00D02550" w:rsidRPr="00086114">
              <w:rPr>
                <w:sz w:val="16"/>
              </w:rPr>
              <w:t xml:space="preserve"> </w:t>
            </w:r>
          </w:p>
          <w:p w14:paraId="32B1D0CF" w14:textId="1E603C9B" w:rsidR="00D02550" w:rsidRPr="00086114" w:rsidRDefault="00D02550" w:rsidP="00D02550">
            <w:pPr>
              <w:pStyle w:val="CETBodytext"/>
              <w:ind w:right="-1"/>
              <w:jc w:val="center"/>
              <w:rPr>
                <w:rFonts w:cs="Arial"/>
                <w:sz w:val="16"/>
                <w:szCs w:val="18"/>
                <w:lang w:val="en-GB"/>
              </w:rPr>
            </w:pPr>
            <w:r w:rsidRPr="00086114">
              <w:rPr>
                <w:sz w:val="16"/>
              </w:rPr>
              <w:t xml:space="preserve">EN 13725:2022 </w:t>
            </w:r>
          </w:p>
        </w:tc>
      </w:tr>
    </w:tbl>
    <w:p w14:paraId="4F858DC7" w14:textId="6F806AF0" w:rsidR="00531BC1" w:rsidRPr="00086114" w:rsidRDefault="000C4718" w:rsidP="000B7E87">
      <w:pPr>
        <w:pStyle w:val="CETheadingx"/>
      </w:pPr>
      <w:r w:rsidRPr="00086114">
        <w:t>Performance indicators</w:t>
      </w:r>
    </w:p>
    <w:p w14:paraId="659A8677" w14:textId="77777777" w:rsidR="00C22A69" w:rsidRPr="00086114" w:rsidRDefault="000C4718" w:rsidP="000C4718">
      <w:pPr>
        <w:pStyle w:val="CETBodytext"/>
      </w:pPr>
      <w:r w:rsidRPr="00086114">
        <w:t>System performance was evaluated through a set of indicators related to the removal of target gas</w:t>
      </w:r>
      <w:r w:rsidR="00C22A69" w:rsidRPr="00086114">
        <w:t>eous</w:t>
      </w:r>
      <w:r w:rsidRPr="00086114">
        <w:t xml:space="preserve"> compounds, odour abatement, </w:t>
      </w:r>
      <w:r w:rsidR="003959AA" w:rsidRPr="00086114">
        <w:t>CO</w:t>
      </w:r>
      <w:r w:rsidR="003959AA" w:rsidRPr="00086114">
        <w:rPr>
          <w:vertAlign w:val="subscript"/>
        </w:rPr>
        <w:t>2</w:t>
      </w:r>
      <w:r w:rsidRPr="00086114">
        <w:t xml:space="preserve"> biofixation, and biomass production.</w:t>
      </w:r>
      <w:r w:rsidR="00DA4123" w:rsidRPr="00086114">
        <w:t xml:space="preserve"> </w:t>
      </w:r>
    </w:p>
    <w:p w14:paraId="7531E709" w14:textId="1F8FA194" w:rsidR="000C4718" w:rsidRPr="00086114" w:rsidRDefault="000C4718" w:rsidP="000C4718">
      <w:pPr>
        <w:pStyle w:val="CETBodytext"/>
      </w:pPr>
      <w:r w:rsidRPr="00086114">
        <w:t>The removal efficiency of target gas</w:t>
      </w:r>
      <w:r w:rsidR="00C22A69" w:rsidRPr="00086114">
        <w:t>eous</w:t>
      </w:r>
      <w:r w:rsidRPr="00086114">
        <w:t xml:space="preserve"> compounds was calculated</w:t>
      </w:r>
      <w:r w:rsidR="008C5F50" w:rsidRPr="00086114">
        <w:t xml:space="preserve"> according to </w:t>
      </w:r>
      <w:r w:rsidR="00B10041" w:rsidRPr="00086114">
        <w:t xml:space="preserve">Equation </w:t>
      </w:r>
      <w:r w:rsidR="00C22A69" w:rsidRPr="00086114">
        <w:t>(</w:t>
      </w:r>
      <w:r w:rsidR="00B10041" w:rsidRPr="00086114">
        <w:t>1</w:t>
      </w:r>
      <w:r w:rsidR="00C22A69" w:rsidRPr="00086114">
        <w:t>):</w:t>
      </w:r>
      <w:r w:rsidR="00B10041" w:rsidRPr="00086114">
        <w:t xml:space="preserve"> </w:t>
      </w:r>
    </w:p>
    <w:tbl>
      <w:tblPr>
        <w:tblW w:w="5000" w:type="pct"/>
        <w:tblLook w:val="04A0" w:firstRow="1" w:lastRow="0" w:firstColumn="1" w:lastColumn="0" w:noHBand="0" w:noVBand="1"/>
      </w:tblPr>
      <w:tblGrid>
        <w:gridCol w:w="7983"/>
        <w:gridCol w:w="804"/>
      </w:tblGrid>
      <w:tr w:rsidR="00DA4123" w:rsidRPr="00086114" w14:paraId="31A1C16A" w14:textId="77777777" w:rsidTr="009E47C5">
        <w:tc>
          <w:tcPr>
            <w:tcW w:w="8188" w:type="dxa"/>
            <w:vAlign w:val="center"/>
          </w:tcPr>
          <w:p w14:paraId="7E2A431A" w14:textId="75675875" w:rsidR="00DA4123" w:rsidRPr="00086114" w:rsidRDefault="00DA4123" w:rsidP="00DA4123">
            <w:pPr>
              <w:pStyle w:val="CETEquation"/>
            </w:pPr>
            <m:oMathPara>
              <m:oMath>
                <m:r>
                  <w:rPr>
                    <w:rFonts w:ascii="Cambria Math" w:hAnsi="Cambria Math"/>
                  </w:rPr>
                  <m:t>R</m:t>
                </m:r>
                <m:sSub>
                  <m:sSubPr>
                    <m:ctrlPr>
                      <w:rPr>
                        <w:rFonts w:ascii="Cambria Math" w:hAnsi="Cambria Math"/>
                      </w:rPr>
                    </m:ctrlPr>
                  </m:sSubPr>
                  <m:e>
                    <m:r>
                      <w:rPr>
                        <w:rFonts w:ascii="Cambria Math" w:hAnsi="Cambria Math"/>
                      </w:rPr>
                      <m:t>E</m:t>
                    </m:r>
                  </m:e>
                  <m:sub>
                    <m:r>
                      <w:rPr>
                        <w:rFonts w:ascii="Cambria Math" w:hAnsi="Cambria Math"/>
                      </w:rPr>
                      <m:t>gas</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in</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out</m:t>
                        </m:r>
                      </m:sub>
                    </m:sSub>
                  </m:num>
                  <m:den>
                    <m:sSub>
                      <m:sSubPr>
                        <m:ctrlPr>
                          <w:rPr>
                            <w:rFonts w:ascii="Cambria Math" w:hAnsi="Cambria Math"/>
                          </w:rPr>
                        </m:ctrlPr>
                      </m:sSubPr>
                      <m:e>
                        <m:r>
                          <w:rPr>
                            <w:rFonts w:ascii="Cambria Math" w:hAnsi="Cambria Math"/>
                          </w:rPr>
                          <m:t>C</m:t>
                        </m:r>
                      </m:e>
                      <m:sub>
                        <m:r>
                          <w:rPr>
                            <w:rFonts w:ascii="Cambria Math" w:hAnsi="Cambria Math"/>
                          </w:rPr>
                          <m:t>in</m:t>
                        </m:r>
                      </m:sub>
                    </m:sSub>
                  </m:den>
                </m:f>
                <m:r>
                  <m:rPr>
                    <m:sty m:val="p"/>
                  </m:rPr>
                  <w:rPr>
                    <w:rFonts w:ascii="Cambria Math" w:hAnsi="Cambria Math"/>
                  </w:rPr>
                  <m:t>⋅100</m:t>
                </m:r>
              </m:oMath>
            </m:oMathPara>
          </w:p>
        </w:tc>
        <w:tc>
          <w:tcPr>
            <w:tcW w:w="815" w:type="dxa"/>
            <w:vAlign w:val="center"/>
          </w:tcPr>
          <w:p w14:paraId="365D3AB3" w14:textId="77777777" w:rsidR="00DA4123" w:rsidRPr="00086114" w:rsidRDefault="00DA4123" w:rsidP="009E47C5">
            <w:pPr>
              <w:pStyle w:val="CETEquation"/>
              <w:jc w:val="right"/>
            </w:pPr>
            <w:r w:rsidRPr="00086114">
              <w:t>(1)</w:t>
            </w:r>
          </w:p>
        </w:tc>
      </w:tr>
    </w:tbl>
    <w:p w14:paraId="1679333E" w14:textId="2B3E8953" w:rsidR="000C4718" w:rsidRPr="00086114" w:rsidRDefault="000C4718" w:rsidP="000C4718">
      <w:pPr>
        <w:pStyle w:val="CETBodytext"/>
      </w:pPr>
      <w:r w:rsidRPr="00086114">
        <w:t xml:space="preserve">where </w:t>
      </w:r>
      <m:oMath>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in</m:t>
            </m:r>
          </m:sub>
        </m:sSub>
      </m:oMath>
      <w:r w:rsidRPr="00086114">
        <w:t xml:space="preserve">and </w:t>
      </w:r>
      <m:oMath>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out</m:t>
            </m:r>
          </m:sub>
        </m:sSub>
      </m:oMath>
      <w:r w:rsidR="00DA4123" w:rsidRPr="00086114">
        <w:t xml:space="preserve"> </w:t>
      </w:r>
      <w:r w:rsidRPr="00086114">
        <w:t xml:space="preserve">are the </w:t>
      </w:r>
      <w:r w:rsidR="008C5F50" w:rsidRPr="00086114">
        <w:t xml:space="preserve">inlet and outlet </w:t>
      </w:r>
      <w:r w:rsidRPr="00086114">
        <w:t>concentrations of the target compounds, respectively.</w:t>
      </w:r>
    </w:p>
    <w:p w14:paraId="28364C71" w14:textId="5B3D8A43" w:rsidR="00B10041" w:rsidRPr="00086114" w:rsidRDefault="000C4718" w:rsidP="00B10041">
      <w:pPr>
        <w:pStyle w:val="CETBodytext"/>
      </w:pPr>
      <w:r w:rsidRPr="00086114">
        <w:t xml:space="preserve">The odour removal efficiency was determined </w:t>
      </w:r>
      <w:r w:rsidR="008C5F50" w:rsidRPr="00086114">
        <w:t xml:space="preserve">according to </w:t>
      </w:r>
      <w:r w:rsidR="00B10041" w:rsidRPr="00086114">
        <w:t xml:space="preserve">Equation </w:t>
      </w:r>
      <w:r w:rsidR="00C22A69" w:rsidRPr="00086114">
        <w:t>(</w:t>
      </w:r>
      <w:r w:rsidR="00B10041" w:rsidRPr="00086114">
        <w:t>2</w:t>
      </w:r>
      <w:r w:rsidR="00C22A69" w:rsidRPr="00086114">
        <w:t>):</w:t>
      </w:r>
      <w:r w:rsidR="00B10041" w:rsidRPr="00086114">
        <w:t xml:space="preserve"> </w:t>
      </w:r>
    </w:p>
    <w:tbl>
      <w:tblPr>
        <w:tblW w:w="5000" w:type="pct"/>
        <w:tblLook w:val="04A0" w:firstRow="1" w:lastRow="0" w:firstColumn="1" w:lastColumn="0" w:noHBand="0" w:noVBand="1"/>
      </w:tblPr>
      <w:tblGrid>
        <w:gridCol w:w="7984"/>
        <w:gridCol w:w="803"/>
      </w:tblGrid>
      <w:tr w:rsidR="00DA4123" w:rsidRPr="00086114" w14:paraId="74DF9144" w14:textId="77777777" w:rsidTr="009E47C5">
        <w:tc>
          <w:tcPr>
            <w:tcW w:w="8188" w:type="dxa"/>
            <w:vAlign w:val="center"/>
          </w:tcPr>
          <w:p w14:paraId="1F2086E8" w14:textId="516E41A9" w:rsidR="00DA4123" w:rsidRPr="00086114" w:rsidRDefault="00DA4123" w:rsidP="009E47C5">
            <w:pPr>
              <w:pStyle w:val="CETEquation"/>
            </w:pPr>
            <m:oMathPara>
              <m:oMath>
                <m:r>
                  <w:rPr>
                    <w:rFonts w:ascii="Cambria Math" w:hAnsi="Cambria Math"/>
                    <w:lang w:val="it-IT"/>
                  </w:rPr>
                  <m:t>R</m:t>
                </m:r>
                <m:sSub>
                  <m:sSubPr>
                    <m:ctrlPr>
                      <w:rPr>
                        <w:rFonts w:ascii="Cambria Math" w:hAnsi="Cambria Math"/>
                        <w:lang w:val="it-IT"/>
                      </w:rPr>
                    </m:ctrlPr>
                  </m:sSubPr>
                  <m:e>
                    <m:r>
                      <w:rPr>
                        <w:rFonts w:ascii="Cambria Math" w:hAnsi="Cambria Math"/>
                        <w:lang w:val="it-IT"/>
                      </w:rPr>
                      <m:t>E</m:t>
                    </m:r>
                  </m:e>
                  <m:sub>
                    <m:r>
                      <w:rPr>
                        <w:rFonts w:ascii="Cambria Math" w:hAnsi="Cambria Math"/>
                        <w:lang w:val="it-IT"/>
                      </w:rPr>
                      <m:t>odour</m:t>
                    </m:r>
                  </m:sub>
                </m:sSub>
                <m:r>
                  <w:rPr>
                    <w:rFonts w:ascii="Cambria Math" w:hAnsi="Cambria Math"/>
                    <w:lang w:val="it-IT"/>
                  </w:rPr>
                  <m:t>(</m:t>
                </m:r>
                <m:r>
                  <m:rPr>
                    <m:sty m:val="p"/>
                  </m:rPr>
                  <w:rPr>
                    <w:rFonts w:ascii="Cambria Math" w:hAnsi="Cambria Math"/>
                    <w:lang w:val="it-IT"/>
                  </w:rPr>
                  <m:t>%</m:t>
                </m:r>
                <m:r>
                  <w:rPr>
                    <w:rFonts w:ascii="Cambria Math" w:hAnsi="Cambria Math"/>
                    <w:lang w:val="it-IT"/>
                  </w:rPr>
                  <m:t>)=</m:t>
                </m:r>
                <m:f>
                  <m:fPr>
                    <m:ctrlPr>
                      <w:rPr>
                        <w:rFonts w:ascii="Cambria Math" w:hAnsi="Cambria Math"/>
                        <w:lang w:val="it-IT"/>
                      </w:rPr>
                    </m:ctrlPr>
                  </m:fPr>
                  <m:num>
                    <m:r>
                      <w:rPr>
                        <w:rFonts w:ascii="Cambria Math" w:hAnsi="Cambria Math"/>
                        <w:lang w:val="it-IT"/>
                      </w:rPr>
                      <m:t>O</m:t>
                    </m:r>
                    <m:sSub>
                      <m:sSubPr>
                        <m:ctrlPr>
                          <w:rPr>
                            <w:rFonts w:ascii="Cambria Math" w:hAnsi="Cambria Math"/>
                            <w:lang w:val="it-IT"/>
                          </w:rPr>
                        </m:ctrlPr>
                      </m:sSubPr>
                      <m:e>
                        <m:r>
                          <w:rPr>
                            <w:rFonts w:ascii="Cambria Math" w:hAnsi="Cambria Math"/>
                            <w:lang w:val="it-IT"/>
                          </w:rPr>
                          <m:t>U</m:t>
                        </m:r>
                      </m:e>
                      <m:sub>
                        <m:r>
                          <w:rPr>
                            <w:rFonts w:ascii="Cambria Math" w:hAnsi="Cambria Math"/>
                            <w:lang w:val="it-IT"/>
                          </w:rPr>
                          <m:t>in</m:t>
                        </m:r>
                      </m:sub>
                    </m:sSub>
                    <m:r>
                      <w:rPr>
                        <w:rFonts w:ascii="Cambria Math" w:hAnsi="Cambria Math"/>
                        <w:lang w:val="it-IT"/>
                      </w:rPr>
                      <m:t>-O</m:t>
                    </m:r>
                    <m:sSub>
                      <m:sSubPr>
                        <m:ctrlPr>
                          <w:rPr>
                            <w:rFonts w:ascii="Cambria Math" w:hAnsi="Cambria Math"/>
                            <w:lang w:val="it-IT"/>
                          </w:rPr>
                        </m:ctrlPr>
                      </m:sSubPr>
                      <m:e>
                        <m:r>
                          <w:rPr>
                            <w:rFonts w:ascii="Cambria Math" w:hAnsi="Cambria Math"/>
                            <w:lang w:val="it-IT"/>
                          </w:rPr>
                          <m:t>U</m:t>
                        </m:r>
                      </m:e>
                      <m:sub>
                        <m:r>
                          <w:rPr>
                            <w:rFonts w:ascii="Cambria Math" w:hAnsi="Cambria Math"/>
                            <w:lang w:val="it-IT"/>
                          </w:rPr>
                          <m:t>out</m:t>
                        </m:r>
                      </m:sub>
                    </m:sSub>
                  </m:num>
                  <m:den>
                    <m:r>
                      <w:rPr>
                        <w:rFonts w:ascii="Cambria Math" w:hAnsi="Cambria Math"/>
                        <w:lang w:val="it-IT"/>
                      </w:rPr>
                      <m:t>O</m:t>
                    </m:r>
                    <m:sSub>
                      <m:sSubPr>
                        <m:ctrlPr>
                          <w:rPr>
                            <w:rFonts w:ascii="Cambria Math" w:hAnsi="Cambria Math"/>
                            <w:lang w:val="it-IT"/>
                          </w:rPr>
                        </m:ctrlPr>
                      </m:sSubPr>
                      <m:e>
                        <m:r>
                          <w:rPr>
                            <w:rFonts w:ascii="Cambria Math" w:hAnsi="Cambria Math"/>
                            <w:lang w:val="it-IT"/>
                          </w:rPr>
                          <m:t>U</m:t>
                        </m:r>
                      </m:e>
                      <m:sub>
                        <m:r>
                          <w:rPr>
                            <w:rFonts w:ascii="Cambria Math" w:hAnsi="Cambria Math"/>
                            <w:lang w:val="it-IT"/>
                          </w:rPr>
                          <m:t>in</m:t>
                        </m:r>
                      </m:sub>
                    </m:sSub>
                  </m:den>
                </m:f>
                <m:r>
                  <w:rPr>
                    <w:rFonts w:ascii="Cambria Math" w:hAnsi="Cambria Math"/>
                    <w:lang w:val="it-IT"/>
                  </w:rPr>
                  <m:t>⋅100</m:t>
                </m:r>
              </m:oMath>
            </m:oMathPara>
          </w:p>
        </w:tc>
        <w:tc>
          <w:tcPr>
            <w:tcW w:w="815" w:type="dxa"/>
            <w:vAlign w:val="center"/>
          </w:tcPr>
          <w:p w14:paraId="3DE42801" w14:textId="7791ED12" w:rsidR="00DA4123" w:rsidRPr="00086114" w:rsidRDefault="00DA4123" w:rsidP="009E47C5">
            <w:pPr>
              <w:pStyle w:val="CETEquation"/>
              <w:jc w:val="right"/>
            </w:pPr>
            <w:r w:rsidRPr="00086114">
              <w:t>(2)</w:t>
            </w:r>
          </w:p>
        </w:tc>
      </w:tr>
    </w:tbl>
    <w:p w14:paraId="177B7538" w14:textId="734C59C3" w:rsidR="000C4718" w:rsidRPr="00086114" w:rsidRDefault="000C4718" w:rsidP="000C4718">
      <w:pPr>
        <w:pStyle w:val="CETBodytext"/>
      </w:pPr>
      <w:r w:rsidRPr="00086114">
        <w:t xml:space="preserve">where </w:t>
      </w:r>
      <m:oMath>
        <m:r>
          <w:rPr>
            <w:rFonts w:ascii="Cambria Math" w:hAnsi="Cambria Math"/>
            <w:lang w:val="it-IT"/>
          </w:rPr>
          <m:t>O</m:t>
        </m:r>
        <m:sSub>
          <m:sSubPr>
            <m:ctrlPr>
              <w:rPr>
                <w:rFonts w:ascii="Cambria Math" w:hAnsi="Cambria Math"/>
                <w:lang w:val="it-IT"/>
              </w:rPr>
            </m:ctrlPr>
          </m:sSubPr>
          <m:e>
            <m:r>
              <w:rPr>
                <w:rFonts w:ascii="Cambria Math" w:hAnsi="Cambria Math"/>
                <w:lang w:val="it-IT"/>
              </w:rPr>
              <m:t>U</m:t>
            </m:r>
          </m:e>
          <m:sub>
            <m:r>
              <w:rPr>
                <w:rFonts w:ascii="Cambria Math" w:hAnsi="Cambria Math"/>
                <w:lang w:val="it-IT"/>
              </w:rPr>
              <m:t>in</m:t>
            </m:r>
          </m:sub>
        </m:sSub>
      </m:oMath>
      <w:r w:rsidRPr="00086114">
        <w:t xml:space="preserve">and </w:t>
      </w:r>
      <m:oMath>
        <m:r>
          <w:rPr>
            <w:rFonts w:ascii="Cambria Math" w:hAnsi="Cambria Math"/>
            <w:lang w:val="it-IT"/>
          </w:rPr>
          <m:t>O</m:t>
        </m:r>
        <m:sSub>
          <m:sSubPr>
            <m:ctrlPr>
              <w:rPr>
                <w:rFonts w:ascii="Cambria Math" w:hAnsi="Cambria Math"/>
                <w:lang w:val="it-IT"/>
              </w:rPr>
            </m:ctrlPr>
          </m:sSubPr>
          <m:e>
            <m:r>
              <w:rPr>
                <w:rFonts w:ascii="Cambria Math" w:hAnsi="Cambria Math"/>
                <w:lang w:val="it-IT"/>
              </w:rPr>
              <m:t>U</m:t>
            </m:r>
          </m:e>
          <m:sub>
            <m:r>
              <w:rPr>
                <w:rFonts w:ascii="Cambria Math" w:hAnsi="Cambria Math"/>
                <w:lang w:val="it-IT"/>
              </w:rPr>
              <m:t>out</m:t>
            </m:r>
          </m:sub>
        </m:sSub>
        <m:r>
          <w:rPr>
            <w:rFonts w:ascii="Cambria Math" w:hAnsi="Cambria Math"/>
          </w:rPr>
          <m:t xml:space="preserve"> </m:t>
        </m:r>
      </m:oMath>
      <w:r w:rsidRPr="00086114">
        <w:t>represent the odour concentration</w:t>
      </w:r>
      <w:r w:rsidR="00C22A69" w:rsidRPr="00086114">
        <w:t>s</w:t>
      </w:r>
      <w:r w:rsidRPr="00086114">
        <w:t xml:space="preserve"> at the inlet </w:t>
      </w:r>
      <w:r w:rsidR="008C5F50" w:rsidRPr="00086114">
        <w:t xml:space="preserve">and outlet </w:t>
      </w:r>
      <w:r w:rsidRPr="00086114">
        <w:t xml:space="preserve">of the system, </w:t>
      </w:r>
      <w:r w:rsidR="00C22A69" w:rsidRPr="00086114">
        <w:t xml:space="preserve">respectively, </w:t>
      </w:r>
      <w:r w:rsidRPr="00086114">
        <w:t xml:space="preserve">expressed in </w:t>
      </w:r>
      <w:r w:rsidR="00C22A69" w:rsidRPr="00086114">
        <w:t>OU</w:t>
      </w:r>
      <w:r w:rsidRPr="00086114">
        <w:rPr>
          <w:vertAlign w:val="subscript"/>
        </w:rPr>
        <w:t>E</w:t>
      </w:r>
      <w:r w:rsidRPr="00086114">
        <w:t>/m³.</w:t>
      </w:r>
    </w:p>
    <w:p w14:paraId="764CB5D0" w14:textId="349077A1" w:rsidR="000C4718" w:rsidRPr="00086114" w:rsidRDefault="000C4718" w:rsidP="000C4718">
      <w:pPr>
        <w:pStyle w:val="CETBodytext"/>
      </w:pPr>
      <w:r w:rsidRPr="00086114">
        <w:t xml:space="preserve">The </w:t>
      </w:r>
      <w:r w:rsidR="003959AA" w:rsidRPr="00086114">
        <w:t>CO</w:t>
      </w:r>
      <w:r w:rsidR="003959AA" w:rsidRPr="00086114">
        <w:rPr>
          <w:vertAlign w:val="subscript"/>
        </w:rPr>
        <w:t>2</w:t>
      </w:r>
      <w:r w:rsidRPr="00086114">
        <w:t xml:space="preserve"> biofixation efficiency in the photobioreactor was calculated </w:t>
      </w:r>
      <w:r w:rsidR="008C5F50" w:rsidRPr="00086114">
        <w:t xml:space="preserve">according to </w:t>
      </w:r>
      <w:r w:rsidR="00B10041" w:rsidRPr="00086114">
        <w:t xml:space="preserve">Equation </w:t>
      </w:r>
      <w:r w:rsidR="00C22A69" w:rsidRPr="00086114">
        <w:t>(</w:t>
      </w:r>
      <w:r w:rsidR="00B10041" w:rsidRPr="00086114">
        <w:t>3</w:t>
      </w:r>
      <w:r w:rsidR="00C22A69" w:rsidRPr="00086114">
        <w:t>):</w:t>
      </w:r>
      <w:r w:rsidR="00B10041" w:rsidRPr="00086114">
        <w:t xml:space="preserve"> </w:t>
      </w:r>
    </w:p>
    <w:tbl>
      <w:tblPr>
        <w:tblW w:w="5000" w:type="pct"/>
        <w:tblLook w:val="04A0" w:firstRow="1" w:lastRow="0" w:firstColumn="1" w:lastColumn="0" w:noHBand="0" w:noVBand="1"/>
      </w:tblPr>
      <w:tblGrid>
        <w:gridCol w:w="7983"/>
        <w:gridCol w:w="804"/>
      </w:tblGrid>
      <w:tr w:rsidR="00DA4123" w:rsidRPr="00086114" w14:paraId="0EF116E6" w14:textId="77777777" w:rsidTr="009E47C5">
        <w:tc>
          <w:tcPr>
            <w:tcW w:w="8188" w:type="dxa"/>
            <w:vAlign w:val="center"/>
          </w:tcPr>
          <w:p w14:paraId="353BD85D" w14:textId="72F4B59E" w:rsidR="00DA4123" w:rsidRPr="00086114" w:rsidRDefault="00000000" w:rsidP="00DA4123">
            <w:pPr>
              <w:pStyle w:val="CETBodytext"/>
              <w:rPr>
                <w:lang w:val="it-IT"/>
              </w:rPr>
            </w:pPr>
            <m:oMathPara>
              <m:oMath>
                <m:sSub>
                  <m:sSubPr>
                    <m:ctrlPr>
                      <w:rPr>
                        <w:rFonts w:ascii="Cambria Math" w:hAnsi="Cambria Math"/>
                        <w:lang w:val="it-IT"/>
                      </w:rPr>
                    </m:ctrlPr>
                  </m:sSubPr>
                  <m:e>
                    <m:r>
                      <w:rPr>
                        <w:rFonts w:ascii="Cambria Math" w:hAnsi="Cambria Math"/>
                        <w:lang w:val="it-IT"/>
                      </w:rPr>
                      <m:t>η</m:t>
                    </m:r>
                  </m:e>
                  <m:sub>
                    <m:r>
                      <w:rPr>
                        <w:rFonts w:ascii="Cambria Math" w:hAnsi="Cambria Math"/>
                        <w:lang w:val="it-IT"/>
                      </w:rPr>
                      <m:t>C</m:t>
                    </m:r>
                    <m:sSub>
                      <m:sSubPr>
                        <m:ctrlPr>
                          <w:rPr>
                            <w:rFonts w:ascii="Cambria Math" w:hAnsi="Cambria Math"/>
                            <w:lang w:val="it-IT"/>
                          </w:rPr>
                        </m:ctrlPr>
                      </m:sSubPr>
                      <m:e>
                        <m:r>
                          <w:rPr>
                            <w:rFonts w:ascii="Cambria Math" w:hAnsi="Cambria Math"/>
                            <w:lang w:val="it-IT"/>
                          </w:rPr>
                          <m:t>O</m:t>
                        </m:r>
                      </m:e>
                      <m:sub>
                        <m:r>
                          <w:rPr>
                            <w:rFonts w:ascii="Cambria Math" w:hAnsi="Cambria Math"/>
                            <w:lang w:val="it-IT"/>
                          </w:rPr>
                          <m:t>2</m:t>
                        </m:r>
                      </m:sub>
                    </m:sSub>
                  </m:sub>
                </m:sSub>
                <m:r>
                  <w:rPr>
                    <w:rFonts w:ascii="Cambria Math" w:hAnsi="Cambria Math"/>
                    <w:lang w:val="it-IT"/>
                  </w:rPr>
                  <m:t>(</m:t>
                </m:r>
                <m:r>
                  <m:rPr>
                    <m:sty m:val="p"/>
                  </m:rPr>
                  <w:rPr>
                    <w:rFonts w:ascii="Cambria Math" w:hAnsi="Cambria Math"/>
                    <w:lang w:val="it-IT"/>
                  </w:rPr>
                  <m:t>%</m:t>
                </m:r>
                <m:r>
                  <w:rPr>
                    <w:rFonts w:ascii="Cambria Math" w:hAnsi="Cambria Math"/>
                    <w:lang w:val="it-IT"/>
                  </w:rPr>
                  <m:t>)=</m:t>
                </m:r>
                <m:f>
                  <m:fPr>
                    <m:ctrlPr>
                      <w:rPr>
                        <w:rFonts w:ascii="Cambria Math" w:hAnsi="Cambria Math"/>
                        <w:lang w:val="it-IT"/>
                      </w:rPr>
                    </m:ctrlPr>
                  </m:fPr>
                  <m:num>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in</m:t>
                        </m:r>
                      </m:sub>
                    </m:sSub>
                    <m:r>
                      <w:rPr>
                        <w:rFonts w:ascii="Cambria Math" w:hAnsi="Cambria Math"/>
                        <w:lang w:val="it-IT"/>
                      </w:rPr>
                      <m:t>-</m:t>
                    </m:r>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out</m:t>
                        </m:r>
                      </m:sub>
                    </m:sSub>
                  </m:num>
                  <m:den>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in</m:t>
                        </m:r>
                      </m:sub>
                    </m:sSub>
                  </m:den>
                </m:f>
                <m:r>
                  <w:rPr>
                    <w:rFonts w:ascii="Cambria Math" w:hAnsi="Cambria Math"/>
                    <w:lang w:val="it-IT"/>
                  </w:rPr>
                  <m:t>⋅100</m:t>
                </m:r>
                <m:r>
                  <m:rPr>
                    <m:sty m:val="p"/>
                  </m:rPr>
                  <w:rPr>
                    <w:lang w:val="it-IT"/>
                  </w:rPr>
                  <w:br/>
                </m:r>
              </m:oMath>
            </m:oMathPara>
          </w:p>
        </w:tc>
        <w:tc>
          <w:tcPr>
            <w:tcW w:w="815" w:type="dxa"/>
            <w:vAlign w:val="center"/>
          </w:tcPr>
          <w:p w14:paraId="53E83975" w14:textId="5E04F16B" w:rsidR="00DA4123" w:rsidRPr="00086114" w:rsidRDefault="00DA4123" w:rsidP="009E47C5">
            <w:pPr>
              <w:pStyle w:val="CETEquation"/>
              <w:jc w:val="right"/>
            </w:pPr>
            <w:r w:rsidRPr="00086114">
              <w:t>(3)</w:t>
            </w:r>
          </w:p>
        </w:tc>
      </w:tr>
    </w:tbl>
    <w:p w14:paraId="17EBA785" w14:textId="0E58A296" w:rsidR="000C4718" w:rsidRPr="00086114" w:rsidRDefault="000C4718" w:rsidP="000C4718">
      <w:pPr>
        <w:pStyle w:val="CETBodytext"/>
      </w:pPr>
      <w:r w:rsidRPr="00086114">
        <w:t xml:space="preserve">where </w:t>
      </w:r>
      <m:oMath>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in</m:t>
            </m:r>
          </m:sub>
        </m:sSub>
      </m:oMath>
      <w:r w:rsidRPr="00086114">
        <w:t xml:space="preserve">and </w:t>
      </w:r>
      <m:oMath>
        <m:sSub>
          <m:sSubPr>
            <m:ctrlPr>
              <w:rPr>
                <w:rFonts w:ascii="Cambria Math" w:hAnsi="Cambria Math"/>
                <w:lang w:val="it-IT"/>
              </w:rPr>
            </m:ctrlPr>
          </m:sSubPr>
          <m:e>
            <m:r>
              <w:rPr>
                <w:rFonts w:ascii="Cambria Math" w:hAnsi="Cambria Math"/>
                <w:lang w:val="it-IT"/>
              </w:rPr>
              <m:t>C</m:t>
            </m:r>
          </m:e>
          <m:sub>
            <m:r>
              <w:rPr>
                <w:rFonts w:ascii="Cambria Math" w:hAnsi="Cambria Math"/>
                <w:lang w:val="it-IT"/>
              </w:rPr>
              <m:t>out</m:t>
            </m:r>
          </m:sub>
        </m:sSub>
      </m:oMath>
      <w:r w:rsidRPr="00086114">
        <w:t xml:space="preserve">refer to the </w:t>
      </w:r>
      <w:r w:rsidR="003959AA" w:rsidRPr="00086114">
        <w:t>CO</w:t>
      </w:r>
      <w:r w:rsidR="003959AA" w:rsidRPr="00086114">
        <w:rPr>
          <w:vertAlign w:val="subscript"/>
        </w:rPr>
        <w:t>2</w:t>
      </w:r>
      <w:r w:rsidRPr="00086114">
        <w:t xml:space="preserve"> concentration</w:t>
      </w:r>
      <w:r w:rsidR="00C22A69" w:rsidRPr="00086114">
        <w:t>s measured</w:t>
      </w:r>
      <w:r w:rsidRPr="00086114">
        <w:t xml:space="preserve"> at the inlet and outlet of the photobioreactor</w:t>
      </w:r>
      <w:r w:rsidR="00C22A69" w:rsidRPr="00086114">
        <w:t>, respectively</w:t>
      </w:r>
      <w:r w:rsidRPr="00086114">
        <w:t>.</w:t>
      </w:r>
    </w:p>
    <w:p w14:paraId="4686661E" w14:textId="57A3E33C" w:rsidR="000C4718" w:rsidRPr="00086114" w:rsidRDefault="000C4718" w:rsidP="000C4718">
      <w:pPr>
        <w:pStyle w:val="CETBodytext"/>
      </w:pPr>
      <w:r w:rsidRPr="00086114">
        <w:t xml:space="preserve">Biomass production was evaluated in terms of volumetric productivity, calculated </w:t>
      </w:r>
      <w:r w:rsidR="00C22A69" w:rsidRPr="00086114">
        <w:t xml:space="preserve">according to </w:t>
      </w:r>
      <w:r w:rsidR="00B10041" w:rsidRPr="00086114">
        <w:t xml:space="preserve">Equation </w:t>
      </w:r>
      <w:r w:rsidR="00C22A69" w:rsidRPr="00086114">
        <w:t>(</w:t>
      </w:r>
      <w:r w:rsidR="00B10041" w:rsidRPr="00086114">
        <w:t>4</w:t>
      </w:r>
      <w:r w:rsidR="00C22A69" w:rsidRPr="00086114">
        <w:t>):</w:t>
      </w:r>
    </w:p>
    <w:tbl>
      <w:tblPr>
        <w:tblW w:w="5071" w:type="pct"/>
        <w:tblLook w:val="04A0" w:firstRow="1" w:lastRow="0" w:firstColumn="1" w:lastColumn="0" w:noHBand="0" w:noVBand="1"/>
      </w:tblPr>
      <w:tblGrid>
        <w:gridCol w:w="8097"/>
        <w:gridCol w:w="815"/>
      </w:tblGrid>
      <w:tr w:rsidR="00DA4123" w:rsidRPr="00086114" w14:paraId="792B0AB3" w14:textId="77777777" w:rsidTr="00D02550">
        <w:trPr>
          <w:trHeight w:val="309"/>
        </w:trPr>
        <w:tc>
          <w:tcPr>
            <w:tcW w:w="8096" w:type="dxa"/>
            <w:vAlign w:val="center"/>
          </w:tcPr>
          <w:p w14:paraId="102FCD62" w14:textId="5C804F27" w:rsidR="00DA4123" w:rsidRPr="00086114" w:rsidRDefault="00DA4123" w:rsidP="009E47C5">
            <w:pPr>
              <w:pStyle w:val="CETBodytext"/>
              <w:rPr>
                <w:lang w:val="it-IT"/>
              </w:rPr>
            </w:pPr>
            <m:oMathPara>
              <m:oMath>
                <m:r>
                  <w:rPr>
                    <w:rFonts w:ascii="Cambria Math" w:hAnsi="Cambria Math"/>
                    <w:lang w:val="it-IT"/>
                  </w:rPr>
                  <m:t>P=</m:t>
                </m:r>
                <m:f>
                  <m:fPr>
                    <m:ctrlPr>
                      <w:rPr>
                        <w:rFonts w:ascii="Cambria Math" w:hAnsi="Cambria Math"/>
                        <w:lang w:val="it-IT"/>
                      </w:rPr>
                    </m:ctrlPr>
                  </m:fPr>
                  <m:num>
                    <m:sSub>
                      <m:sSubPr>
                        <m:ctrlPr>
                          <w:rPr>
                            <w:rFonts w:ascii="Cambria Math" w:hAnsi="Cambria Math"/>
                            <w:lang w:val="it-IT"/>
                          </w:rPr>
                        </m:ctrlPr>
                      </m:sSubPr>
                      <m:e>
                        <m:r>
                          <w:rPr>
                            <w:rFonts w:ascii="Cambria Math" w:hAnsi="Cambria Math"/>
                            <w:lang w:val="it-IT"/>
                          </w:rPr>
                          <m:t>X</m:t>
                        </m:r>
                      </m:e>
                      <m:sub>
                        <m:r>
                          <w:rPr>
                            <w:rFonts w:ascii="Cambria Math" w:hAnsi="Cambria Math"/>
                            <w:lang w:val="it-IT"/>
                          </w:rPr>
                          <m:t>t</m:t>
                        </m:r>
                      </m:sub>
                    </m:sSub>
                    <m:r>
                      <w:rPr>
                        <w:rFonts w:ascii="Cambria Math" w:hAnsi="Cambria Math"/>
                        <w:lang w:val="it-IT"/>
                      </w:rPr>
                      <m:t>-</m:t>
                    </m:r>
                    <m:sSub>
                      <m:sSubPr>
                        <m:ctrlPr>
                          <w:rPr>
                            <w:rFonts w:ascii="Cambria Math" w:hAnsi="Cambria Math"/>
                            <w:lang w:val="it-IT"/>
                          </w:rPr>
                        </m:ctrlPr>
                      </m:sSubPr>
                      <m:e>
                        <m:r>
                          <w:rPr>
                            <w:rFonts w:ascii="Cambria Math" w:hAnsi="Cambria Math"/>
                            <w:lang w:val="it-IT"/>
                          </w:rPr>
                          <m:t>X</m:t>
                        </m:r>
                      </m:e>
                      <m:sub>
                        <m:r>
                          <w:rPr>
                            <w:rFonts w:ascii="Cambria Math" w:hAnsi="Cambria Math"/>
                            <w:lang w:val="it-IT"/>
                          </w:rPr>
                          <m:t>t0</m:t>
                        </m:r>
                      </m:sub>
                    </m:sSub>
                  </m:num>
                  <m:den>
                    <m:r>
                      <w:rPr>
                        <w:rFonts w:ascii="Cambria Math" w:hAnsi="Cambria Math"/>
                        <w:lang w:val="it-IT"/>
                      </w:rPr>
                      <m:t>t-</m:t>
                    </m:r>
                    <m:sSub>
                      <m:sSubPr>
                        <m:ctrlPr>
                          <w:rPr>
                            <w:rFonts w:ascii="Cambria Math" w:hAnsi="Cambria Math"/>
                            <w:lang w:val="it-IT"/>
                          </w:rPr>
                        </m:ctrlPr>
                      </m:sSubPr>
                      <m:e>
                        <m:r>
                          <w:rPr>
                            <w:rFonts w:ascii="Cambria Math" w:hAnsi="Cambria Math"/>
                            <w:lang w:val="it-IT"/>
                          </w:rPr>
                          <m:t>t</m:t>
                        </m:r>
                      </m:e>
                      <m:sub>
                        <m:r>
                          <w:rPr>
                            <w:rFonts w:ascii="Cambria Math" w:hAnsi="Cambria Math"/>
                            <w:lang w:val="it-IT"/>
                          </w:rPr>
                          <m:t>0</m:t>
                        </m:r>
                      </m:sub>
                    </m:sSub>
                  </m:den>
                </m:f>
              </m:oMath>
            </m:oMathPara>
          </w:p>
        </w:tc>
        <w:tc>
          <w:tcPr>
            <w:tcW w:w="815" w:type="dxa"/>
            <w:vAlign w:val="center"/>
          </w:tcPr>
          <w:p w14:paraId="14E6E6A5" w14:textId="03DEC932" w:rsidR="00DA4123" w:rsidRPr="00086114" w:rsidRDefault="00DA4123" w:rsidP="009E47C5">
            <w:pPr>
              <w:pStyle w:val="CETEquation"/>
              <w:jc w:val="right"/>
            </w:pPr>
            <w:r w:rsidRPr="00086114">
              <w:t>(4)</w:t>
            </w:r>
          </w:p>
        </w:tc>
      </w:tr>
    </w:tbl>
    <w:p w14:paraId="40D719B5" w14:textId="45516770" w:rsidR="00B10041" w:rsidRPr="00086114" w:rsidRDefault="000C4718" w:rsidP="000C4718">
      <w:pPr>
        <w:pStyle w:val="CETBodytext"/>
      </w:pPr>
      <w:r w:rsidRPr="00086114">
        <w:t xml:space="preserve">where </w:t>
      </w:r>
      <m:oMath>
        <m:sSub>
          <m:sSubPr>
            <m:ctrlPr>
              <w:rPr>
                <w:rFonts w:ascii="Cambria Math" w:hAnsi="Cambria Math"/>
                <w:lang w:val="it-IT"/>
              </w:rPr>
            </m:ctrlPr>
          </m:sSubPr>
          <m:e>
            <m:r>
              <w:rPr>
                <w:rFonts w:ascii="Cambria Math" w:hAnsi="Cambria Math"/>
                <w:lang w:val="it-IT"/>
              </w:rPr>
              <m:t>X</m:t>
            </m:r>
          </m:e>
          <m:sub>
            <m:r>
              <w:rPr>
                <w:rFonts w:ascii="Cambria Math" w:hAnsi="Cambria Math"/>
                <w:lang w:val="it-IT"/>
              </w:rPr>
              <m:t>t</m:t>
            </m:r>
          </m:sub>
        </m:sSub>
      </m:oMath>
      <w:r w:rsidRPr="00086114">
        <w:t xml:space="preserve">and </w:t>
      </w:r>
      <m:oMath>
        <m:sSub>
          <m:sSubPr>
            <m:ctrlPr>
              <w:rPr>
                <w:rFonts w:ascii="Cambria Math" w:hAnsi="Cambria Math"/>
                <w:lang w:val="it-IT"/>
              </w:rPr>
            </m:ctrlPr>
          </m:sSubPr>
          <m:e>
            <m:r>
              <w:rPr>
                <w:rFonts w:ascii="Cambria Math" w:hAnsi="Cambria Math"/>
                <w:lang w:val="it-IT"/>
              </w:rPr>
              <m:t>X</m:t>
            </m:r>
          </m:e>
          <m:sub>
            <m:r>
              <w:rPr>
                <w:rFonts w:ascii="Cambria Math" w:hAnsi="Cambria Math"/>
                <w:lang w:val="it-IT"/>
              </w:rPr>
              <m:t>t</m:t>
            </m:r>
            <m:r>
              <w:rPr>
                <w:rFonts w:ascii="Cambria Math" w:hAnsi="Cambria Math"/>
              </w:rPr>
              <m:t>0</m:t>
            </m:r>
          </m:sub>
        </m:sSub>
      </m:oMath>
      <w:r w:rsidRPr="00086114">
        <w:t xml:space="preserve">are the biomass concentrations at time </w:t>
      </w:r>
      <m:oMath>
        <m:r>
          <w:rPr>
            <w:rFonts w:ascii="Cambria Math" w:hAnsi="Cambria Math"/>
            <w:lang w:val="it-IT"/>
          </w:rPr>
          <m:t>t</m:t>
        </m:r>
        <m:r>
          <w:rPr>
            <w:rFonts w:ascii="Cambria Math" w:hAnsi="Cambria Math"/>
          </w:rPr>
          <m:t xml:space="preserve"> </m:t>
        </m:r>
      </m:oMath>
      <w:r w:rsidRPr="00086114">
        <w:t xml:space="preserve">and initial time </w:t>
      </w:r>
      <m:oMath>
        <m:sSub>
          <m:sSubPr>
            <m:ctrlPr>
              <w:rPr>
                <w:rFonts w:ascii="Cambria Math" w:hAnsi="Cambria Math"/>
                <w:lang w:val="it-IT"/>
              </w:rPr>
            </m:ctrlPr>
          </m:sSubPr>
          <m:e>
            <m:r>
              <w:rPr>
                <w:rFonts w:ascii="Cambria Math" w:hAnsi="Cambria Math"/>
                <w:lang w:val="it-IT"/>
              </w:rPr>
              <m:t>t</m:t>
            </m:r>
          </m:e>
          <m:sub>
            <m:r>
              <w:rPr>
                <w:rFonts w:ascii="Cambria Math" w:hAnsi="Cambria Math"/>
              </w:rPr>
              <m:t>0</m:t>
            </m:r>
          </m:sub>
        </m:sSub>
      </m:oMath>
      <w:r w:rsidRPr="00086114">
        <w:t>, respectively.</w:t>
      </w:r>
    </w:p>
    <w:p w14:paraId="672F277B" w14:textId="0220B46A" w:rsidR="000C4718" w:rsidRPr="00086114" w:rsidRDefault="000C4718" w:rsidP="000C4718">
      <w:pPr>
        <w:pStyle w:val="CETHeading1"/>
      </w:pPr>
      <w:r w:rsidRPr="00086114">
        <w:lastRenderedPageBreak/>
        <w:t xml:space="preserve">Results and discussion </w:t>
      </w:r>
    </w:p>
    <w:p w14:paraId="06A20489" w14:textId="17A930A1" w:rsidR="00531BC1" w:rsidRPr="00086114" w:rsidRDefault="00A94700" w:rsidP="00DA4123">
      <w:pPr>
        <w:pStyle w:val="CETheadingx"/>
        <w:jc w:val="both"/>
      </w:pPr>
      <w:r w:rsidRPr="00086114">
        <w:t xml:space="preserve">Physico-chemical </w:t>
      </w:r>
      <w:r w:rsidR="008C5F50" w:rsidRPr="00086114">
        <w:t>characterization</w:t>
      </w:r>
    </w:p>
    <w:p w14:paraId="157ABE90" w14:textId="6028E612" w:rsidR="00531BC1" w:rsidRPr="00086114" w:rsidRDefault="00A84935" w:rsidP="00DA4123">
      <w:pPr>
        <w:pStyle w:val="CETBodytext"/>
      </w:pPr>
      <w:r w:rsidRPr="00086114">
        <w:t>Figure 2 shows the average values of temperature (T), pH, dissolved oxygen (DO), and total suspended solids (TSS), calculated over the five experimental campaigns for both reactors (MBBR and aPBR), considering the two investigated odour emission sources (P1 and P2) across the three phases of the treatment process (before, “B”, inlet; during, “D”; after, “A”, outlet).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E10790" w:rsidRPr="00086114" w14:paraId="41B9AADC" w14:textId="77777777" w:rsidTr="00CA5D47">
        <w:tc>
          <w:tcPr>
            <w:tcW w:w="8777" w:type="dxa"/>
          </w:tcPr>
          <w:p w14:paraId="3B22C5CA" w14:textId="77777777" w:rsidR="00E10790" w:rsidRPr="00086114" w:rsidRDefault="00E10790" w:rsidP="00E10790">
            <w:pPr>
              <w:pStyle w:val="CETBodytext"/>
              <w:jc w:val="center"/>
            </w:pPr>
          </w:p>
          <w:p w14:paraId="1BC0779E" w14:textId="35E092F5" w:rsidR="00E63A94" w:rsidRPr="00086114" w:rsidRDefault="00872F25" w:rsidP="00A812F4">
            <w:pPr>
              <w:pStyle w:val="CETBodytext"/>
              <w:jc w:val="center"/>
            </w:pPr>
            <w:r w:rsidRPr="00086114">
              <w:rPr>
                <w:noProof/>
                <w:lang w:val="it-IT" w:eastAsia="it-IT"/>
              </w:rPr>
              <w:drawing>
                <wp:inline distT="0" distB="0" distL="0" distR="0" wp14:anchorId="38259551" wp14:editId="386F6BF7">
                  <wp:extent cx="4295775" cy="3067493"/>
                  <wp:effectExtent l="0" t="0" r="0" b="0"/>
                  <wp:docPr id="9" name="Immagine 9"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333494" cy="3094427"/>
                          </a:xfrm>
                          <a:prstGeom prst="rect">
                            <a:avLst/>
                          </a:prstGeom>
                          <a:noFill/>
                          <a:ln>
                            <a:noFill/>
                          </a:ln>
                        </pic:spPr>
                      </pic:pic>
                    </a:graphicData>
                  </a:graphic>
                </wp:inline>
              </w:drawing>
            </w:r>
          </w:p>
        </w:tc>
      </w:tr>
    </w:tbl>
    <w:p w14:paraId="1B326382" w14:textId="39F4A357" w:rsidR="00A94700" w:rsidRPr="00086114" w:rsidRDefault="00A94700" w:rsidP="00BA4A43">
      <w:pPr>
        <w:pStyle w:val="CETCaption"/>
        <w:spacing w:before="0"/>
        <w:rPr>
          <w:rStyle w:val="CETCaptionCarattere"/>
        </w:rPr>
      </w:pPr>
      <w:r w:rsidRPr="00086114">
        <w:rPr>
          <w:rStyle w:val="CETCaptionCarattere"/>
          <w:i/>
        </w:rPr>
        <w:t xml:space="preserve">Figure 2: </w:t>
      </w:r>
      <w:r w:rsidR="00A84935" w:rsidRPr="00086114">
        <w:t>Average physico-chemical parameters measured in the MBBR (R1) and aPBR (R2) for P1 and P2 emission sources during the three phases of the treatment process (B, D, A)</w:t>
      </w:r>
      <w:r w:rsidRPr="00086114">
        <w:rPr>
          <w:rStyle w:val="CETCaptionCarattere"/>
        </w:rPr>
        <w:t>.</w:t>
      </w:r>
    </w:p>
    <w:p w14:paraId="3260FB7F" w14:textId="713108A7" w:rsidR="00A94700" w:rsidRPr="00086114" w:rsidRDefault="00E10790" w:rsidP="00DA4123">
      <w:pPr>
        <w:pStyle w:val="CETBodytext"/>
      </w:pPr>
      <w:r w:rsidRPr="00086114">
        <w:t>Results highlight how i</w:t>
      </w:r>
      <w:r w:rsidR="00A94700" w:rsidRPr="00086114">
        <w:t>n the MBBR (R1), pH remained close to neutrality, while dissolved oxygen slightly decreased due to consumption by heterotrophic biomass during aerobic degradation. TSS values remained stable, confirming the maintenance of active biomass.</w:t>
      </w:r>
    </w:p>
    <w:p w14:paraId="18AB8983" w14:textId="651702B4" w:rsidR="003959AA" w:rsidRPr="00086114" w:rsidRDefault="00A94700" w:rsidP="00DA4123">
      <w:pPr>
        <w:pStyle w:val="CETBodytext"/>
      </w:pPr>
      <w:r w:rsidRPr="00086114">
        <w:t xml:space="preserve">In the aPBR (R2), higher pH and DO values were observed, with a slight increase over time, consistent with algal photosynthetic activity, which promotes </w:t>
      </w:r>
      <w:r w:rsidR="003959AA" w:rsidRPr="00086114">
        <w:t>CO2</w:t>
      </w:r>
      <w:r w:rsidRPr="00086114">
        <w:t xml:space="preserve"> uptake and oxygen production. TSS values also remained stable, indicating effective biomass retention.</w:t>
      </w:r>
      <w:r w:rsidR="00FB1ED1" w:rsidRPr="00086114">
        <w:t xml:space="preserve"> </w:t>
      </w:r>
      <w:r w:rsidR="003653A7" w:rsidRPr="00086114">
        <w:t>Similar</w:t>
      </w:r>
      <w:r w:rsidRPr="00086114">
        <w:t xml:space="preserve"> behaviour was observed for both P1 and P2. Slightly lower pH and DO values were recorded in the MBBR for P2, likely due to the different emission characteristics, while the aPBR showed recovery of optimal conditions.</w:t>
      </w:r>
    </w:p>
    <w:p w14:paraId="06140177" w14:textId="44827484" w:rsidR="00FB1ED1" w:rsidRPr="00086114" w:rsidRDefault="003959AA" w:rsidP="000B1417">
      <w:pPr>
        <w:pStyle w:val="CETheadingx"/>
        <w:jc w:val="both"/>
      </w:pPr>
      <w:r w:rsidRPr="00086114">
        <w:t>System performance</w:t>
      </w:r>
      <w:r w:rsidR="000B7E87" w:rsidRPr="00086114">
        <w:t>s</w:t>
      </w:r>
      <w:r w:rsidRPr="00086114">
        <w:t xml:space="preserve"> evaluation</w:t>
      </w:r>
    </w:p>
    <w:p w14:paraId="4E7115A0" w14:textId="47072B1F" w:rsidR="00DA4123" w:rsidRPr="00086114" w:rsidRDefault="00FB1ED1" w:rsidP="00FB1ED1">
      <w:pPr>
        <w:pStyle w:val="CETBodytext"/>
      </w:pPr>
      <w:r w:rsidRPr="00086114">
        <w:t>Complete removal of the target compound (CH</w:t>
      </w:r>
      <w:r w:rsidRPr="00086114">
        <w:rPr>
          <w:rFonts w:ascii="Cambria Math" w:hAnsi="Cambria Math" w:cs="Cambria Math"/>
        </w:rPr>
        <w:t>₃</w:t>
      </w:r>
      <w:r w:rsidRPr="00086114">
        <w:t>SH) was achieved under all tested conditions</w:t>
      </w:r>
      <w:r w:rsidR="00431AEF" w:rsidRPr="00086114">
        <w:t xml:space="preserve"> f</w:t>
      </w:r>
      <w:r w:rsidRPr="00086114">
        <w:t>or both investigated emission sources (P1 and P2). Despite the significantly higher inlet concentration observed for P2 (4.16 ppm) compared to P1 (0.17 ppm), the system maintained full removal efficiency, confirming the robustness of the biological stage towards variable sulphur loads.</w:t>
      </w:r>
      <w:r w:rsidR="001B54EE" w:rsidRPr="00086114">
        <w:t xml:space="preserve"> The observed removal can be attributed to the activity of heterotrophic sulphur-oxidizing microorganisms attached to the biofilm carriers, whereas CO</w:t>
      </w:r>
      <w:r w:rsidR="001B54EE" w:rsidRPr="00086114">
        <w:rPr>
          <w:rFonts w:ascii="Cambria Math" w:hAnsi="Cambria Math" w:cs="Cambria Math"/>
        </w:rPr>
        <w:t>₂</w:t>
      </w:r>
      <w:r w:rsidR="001B54EE" w:rsidRPr="00086114">
        <w:t xml:space="preserve"> reduction in the aPBR was promoted by photosynthetic carbon fixation performed by Chlorella vulgaris (Senatore et al., 2021). </w:t>
      </w:r>
      <w:r w:rsidRPr="00086114">
        <w:t xml:space="preserve">Table 2 reports the </w:t>
      </w:r>
      <w:r w:rsidR="00CA5D47" w:rsidRPr="00086114">
        <w:t xml:space="preserve">average </w:t>
      </w:r>
      <w:r w:rsidRPr="00086114">
        <w:t>CO</w:t>
      </w:r>
      <w:r w:rsidRPr="00086114">
        <w:rPr>
          <w:rFonts w:ascii="Cambria Math" w:hAnsi="Cambria Math" w:cs="Cambria Math"/>
        </w:rPr>
        <w:t>₂</w:t>
      </w:r>
      <w:r w:rsidRPr="00086114">
        <w:t xml:space="preserve"> concentrations measured at the inlet </w:t>
      </w:r>
      <w:r w:rsidR="00CA5D47" w:rsidRPr="00086114">
        <w:t xml:space="preserve">(Cin) </w:t>
      </w:r>
      <w:r w:rsidR="00A84935" w:rsidRPr="00086114">
        <w:t>and</w:t>
      </w:r>
      <w:r w:rsidR="00CA5D47" w:rsidRPr="00086114">
        <w:t xml:space="preserve"> the outlet (Cout1) of the MBBR (R1</w:t>
      </w:r>
      <w:r w:rsidRPr="00086114">
        <w:t xml:space="preserve">), and at the outlet </w:t>
      </w:r>
      <w:r w:rsidR="00CA5D47" w:rsidRPr="00086114">
        <w:t xml:space="preserve">(Cout2) </w:t>
      </w:r>
      <w:r w:rsidRPr="00086114">
        <w:t xml:space="preserve">of the </w:t>
      </w:r>
      <w:r w:rsidR="00A84935" w:rsidRPr="00086114">
        <w:t xml:space="preserve">algal </w:t>
      </w:r>
      <w:r w:rsidRPr="00086114">
        <w:t xml:space="preserve">photobioreactor (R2), together with the corresponding biofixation efficiencies </w:t>
      </w:r>
      <w:r w:rsidR="00CA5D47" w:rsidRPr="00086114">
        <w:t xml:space="preserve">(RE) </w:t>
      </w:r>
      <w:r w:rsidRPr="00086114">
        <w:t xml:space="preserve">for the investigated </w:t>
      </w:r>
      <w:r w:rsidR="00A84935" w:rsidRPr="00086114">
        <w:t xml:space="preserve">odour </w:t>
      </w:r>
      <w:r w:rsidRPr="00086114">
        <w:t>emission sources</w:t>
      </w:r>
      <w:r w:rsidR="00CA5D47" w:rsidRPr="00086114">
        <w:t xml:space="preserve"> (P1, P2) over the entire monitoring period</w:t>
      </w:r>
      <w:r w:rsidRPr="00086114">
        <w:t>.</w:t>
      </w:r>
    </w:p>
    <w:p w14:paraId="6AC79552" w14:textId="5BF70D85" w:rsidR="00DA4123" w:rsidRPr="00086114" w:rsidRDefault="00DA4123" w:rsidP="00FB1ED1">
      <w:pPr>
        <w:pStyle w:val="CETTabletitle"/>
      </w:pPr>
      <w:r w:rsidRPr="00086114">
        <w:rPr>
          <w:rStyle w:val="CETCaptionCarattere"/>
        </w:rPr>
        <w:t xml:space="preserve">Table </w:t>
      </w:r>
      <w:r w:rsidR="00FB1ED1" w:rsidRPr="00086114">
        <w:rPr>
          <w:rStyle w:val="CETCaptionCarattere"/>
          <w:i/>
        </w:rPr>
        <w:t>2</w:t>
      </w:r>
      <w:r w:rsidRPr="00086114">
        <w:rPr>
          <w:rStyle w:val="CETCaptionCarattere"/>
        </w:rPr>
        <w:t xml:space="preserve">. </w:t>
      </w:r>
      <w:r w:rsidRPr="00086114">
        <w:t>CO</w:t>
      </w:r>
      <w:r w:rsidRPr="00086114">
        <w:rPr>
          <w:rFonts w:ascii="Cambria Math" w:hAnsi="Cambria Math" w:cs="Cambria Math"/>
        </w:rPr>
        <w:t xml:space="preserve">2 </w:t>
      </w:r>
      <w:r w:rsidRPr="00086114">
        <w:t>concentrations and biofixation efficienc</w:t>
      </w:r>
      <w:r w:rsidR="00CA5D47" w:rsidRPr="00086114">
        <w:t>ies</w:t>
      </w:r>
      <w:r w:rsidRPr="00086114">
        <w:t xml:space="preserve"> for the investigated </w:t>
      </w:r>
      <w:r w:rsidR="00CA5D47" w:rsidRPr="00086114">
        <w:t xml:space="preserve">odour </w:t>
      </w:r>
      <w:r w:rsidRPr="00086114">
        <w:t>emission sources.</w:t>
      </w:r>
    </w:p>
    <w:tbl>
      <w:tblPr>
        <w:tblW w:w="7251" w:type="dxa"/>
        <w:jc w:val="center"/>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224"/>
        <w:gridCol w:w="1980"/>
        <w:gridCol w:w="1586"/>
        <w:gridCol w:w="1564"/>
        <w:gridCol w:w="897"/>
      </w:tblGrid>
      <w:tr w:rsidR="00DA4123" w:rsidRPr="00086114" w14:paraId="5875C8D3" w14:textId="68D7168E" w:rsidTr="00BA4A43">
        <w:trPr>
          <w:trHeight w:val="434"/>
          <w:jc w:val="center"/>
        </w:trPr>
        <w:tc>
          <w:tcPr>
            <w:tcW w:w="1224" w:type="dxa"/>
            <w:tcBorders>
              <w:top w:val="single" w:sz="12" w:space="0" w:color="008000"/>
              <w:bottom w:val="single" w:sz="6" w:space="0" w:color="008000"/>
            </w:tcBorders>
            <w:shd w:val="clear" w:color="auto" w:fill="FFFFFF"/>
            <w:vAlign w:val="center"/>
          </w:tcPr>
          <w:p w14:paraId="10119CD3" w14:textId="77777777" w:rsidR="00DA4123" w:rsidRPr="00086114" w:rsidRDefault="00DA4123" w:rsidP="00DA4123">
            <w:pPr>
              <w:pStyle w:val="CETBodytext"/>
              <w:jc w:val="center"/>
              <w:rPr>
                <w:b/>
                <w:bCs/>
                <w:sz w:val="16"/>
                <w:lang w:val="en-GB"/>
              </w:rPr>
            </w:pPr>
            <w:r w:rsidRPr="00086114">
              <w:rPr>
                <w:b/>
                <w:bCs/>
                <w:sz w:val="16"/>
                <w:lang w:val="en-GB"/>
              </w:rPr>
              <w:t>Sampling point</w:t>
            </w:r>
          </w:p>
        </w:tc>
        <w:tc>
          <w:tcPr>
            <w:tcW w:w="1980" w:type="dxa"/>
            <w:tcBorders>
              <w:top w:val="single" w:sz="12" w:space="0" w:color="008000"/>
              <w:bottom w:val="single" w:sz="6" w:space="0" w:color="008000"/>
            </w:tcBorders>
            <w:shd w:val="clear" w:color="auto" w:fill="FFFFFF"/>
            <w:vAlign w:val="center"/>
          </w:tcPr>
          <w:p w14:paraId="44223A8A" w14:textId="67A07EDF" w:rsidR="00DA4123" w:rsidRPr="00086114" w:rsidRDefault="00DA4123" w:rsidP="00DA4123">
            <w:pPr>
              <w:pStyle w:val="CETBodytext"/>
              <w:jc w:val="center"/>
              <w:rPr>
                <w:b/>
                <w:bCs/>
                <w:sz w:val="16"/>
                <w:lang w:val="en-GB"/>
              </w:rPr>
            </w:pPr>
            <w:r w:rsidRPr="00086114">
              <w:rPr>
                <w:b/>
                <w:bCs/>
                <w:sz w:val="16"/>
                <w:lang w:val="en-GB"/>
              </w:rPr>
              <w:t>C</w:t>
            </w:r>
            <w:r w:rsidR="00A812F4" w:rsidRPr="00086114">
              <w:rPr>
                <w:b/>
                <w:bCs/>
                <w:sz w:val="16"/>
                <w:lang w:val="en-GB"/>
              </w:rPr>
              <w:t xml:space="preserve"> </w:t>
            </w:r>
            <w:r w:rsidRPr="00086114">
              <w:rPr>
                <w:b/>
                <w:bCs/>
                <w:sz w:val="16"/>
                <w:lang w:val="en-GB"/>
              </w:rPr>
              <w:t>in (CO2)</w:t>
            </w:r>
          </w:p>
          <w:p w14:paraId="0EB9FD9B" w14:textId="702C97F2" w:rsidR="00DA4123" w:rsidRPr="00086114" w:rsidRDefault="00DA4123" w:rsidP="00DA4123">
            <w:pPr>
              <w:pStyle w:val="CETBodytext"/>
              <w:jc w:val="center"/>
              <w:rPr>
                <w:b/>
                <w:bCs/>
                <w:sz w:val="16"/>
                <w:lang w:val="en-GB"/>
              </w:rPr>
            </w:pPr>
            <w:r w:rsidRPr="00086114">
              <w:rPr>
                <w:b/>
                <w:bCs/>
                <w:sz w:val="16"/>
                <w:lang w:val="en-GB"/>
              </w:rPr>
              <w:t>[ppm]</w:t>
            </w:r>
          </w:p>
        </w:tc>
        <w:tc>
          <w:tcPr>
            <w:tcW w:w="1586" w:type="dxa"/>
            <w:tcBorders>
              <w:top w:val="single" w:sz="12" w:space="0" w:color="008000"/>
              <w:bottom w:val="single" w:sz="6" w:space="0" w:color="008000"/>
            </w:tcBorders>
            <w:shd w:val="clear" w:color="auto" w:fill="FFFFFF"/>
            <w:vAlign w:val="center"/>
          </w:tcPr>
          <w:p w14:paraId="426809FE" w14:textId="40892014" w:rsidR="00DA4123" w:rsidRPr="00086114" w:rsidRDefault="00DA4123" w:rsidP="00DA4123">
            <w:pPr>
              <w:pStyle w:val="CETBodytext"/>
              <w:jc w:val="center"/>
              <w:rPr>
                <w:b/>
                <w:bCs/>
                <w:sz w:val="16"/>
                <w:lang w:val="en-GB"/>
              </w:rPr>
            </w:pPr>
            <w:r w:rsidRPr="00086114">
              <w:rPr>
                <w:b/>
                <w:bCs/>
                <w:sz w:val="16"/>
                <w:lang w:val="en-GB"/>
              </w:rPr>
              <w:t>C</w:t>
            </w:r>
            <w:r w:rsidR="00A812F4" w:rsidRPr="00086114">
              <w:rPr>
                <w:b/>
                <w:bCs/>
                <w:sz w:val="16"/>
                <w:lang w:val="en-GB"/>
              </w:rPr>
              <w:t xml:space="preserve"> </w:t>
            </w:r>
            <w:r w:rsidRPr="00086114">
              <w:rPr>
                <w:b/>
                <w:bCs/>
                <w:sz w:val="16"/>
                <w:lang w:val="en-GB"/>
              </w:rPr>
              <w:t>out1 (CO2)</w:t>
            </w:r>
          </w:p>
          <w:p w14:paraId="1042EA92" w14:textId="2C543303" w:rsidR="00DA4123" w:rsidRPr="00086114" w:rsidRDefault="00DA4123" w:rsidP="00DA4123">
            <w:pPr>
              <w:pStyle w:val="CETBodytext"/>
              <w:jc w:val="center"/>
              <w:rPr>
                <w:b/>
                <w:bCs/>
                <w:sz w:val="16"/>
                <w:lang w:val="en-GB"/>
              </w:rPr>
            </w:pPr>
            <w:r w:rsidRPr="00086114">
              <w:rPr>
                <w:b/>
                <w:bCs/>
                <w:sz w:val="16"/>
                <w:lang w:val="en-GB"/>
              </w:rPr>
              <w:t>[ppm]</w:t>
            </w:r>
          </w:p>
        </w:tc>
        <w:tc>
          <w:tcPr>
            <w:tcW w:w="1564" w:type="dxa"/>
            <w:tcBorders>
              <w:top w:val="single" w:sz="12" w:space="0" w:color="008000"/>
              <w:bottom w:val="single" w:sz="6" w:space="0" w:color="008000"/>
            </w:tcBorders>
            <w:shd w:val="clear" w:color="auto" w:fill="FFFFFF"/>
            <w:vAlign w:val="center"/>
          </w:tcPr>
          <w:p w14:paraId="34873CE0" w14:textId="13302887" w:rsidR="00DA4123" w:rsidRPr="00086114" w:rsidRDefault="00DA4123" w:rsidP="00DA4123">
            <w:pPr>
              <w:pStyle w:val="CETBodytext"/>
              <w:jc w:val="center"/>
              <w:rPr>
                <w:sz w:val="16"/>
                <w:lang w:val="it-IT"/>
              </w:rPr>
            </w:pPr>
            <w:r w:rsidRPr="00086114">
              <w:rPr>
                <w:b/>
                <w:bCs/>
                <w:sz w:val="16"/>
                <w:lang w:val="it-IT"/>
              </w:rPr>
              <w:t>C</w:t>
            </w:r>
            <w:r w:rsidR="00A812F4" w:rsidRPr="00086114">
              <w:rPr>
                <w:b/>
                <w:bCs/>
                <w:sz w:val="16"/>
                <w:lang w:val="it-IT"/>
              </w:rPr>
              <w:t xml:space="preserve"> </w:t>
            </w:r>
            <w:r w:rsidRPr="00086114">
              <w:rPr>
                <w:b/>
                <w:bCs/>
                <w:sz w:val="16"/>
                <w:lang w:val="it-IT"/>
              </w:rPr>
              <w:t>out2</w:t>
            </w:r>
            <w:r w:rsidRPr="00086114">
              <w:rPr>
                <w:b/>
                <w:bCs/>
                <w:sz w:val="16"/>
                <w:vertAlign w:val="subscript"/>
                <w:lang w:val="it-IT"/>
              </w:rPr>
              <w:t xml:space="preserve"> </w:t>
            </w:r>
            <w:r w:rsidRPr="00086114">
              <w:rPr>
                <w:b/>
                <w:bCs/>
                <w:sz w:val="16"/>
                <w:lang w:val="it-IT"/>
              </w:rPr>
              <w:t>(CO</w:t>
            </w:r>
            <w:r w:rsidRPr="00086114">
              <w:rPr>
                <w:b/>
                <w:bCs/>
                <w:sz w:val="16"/>
                <w:vertAlign w:val="subscript"/>
                <w:lang w:val="it-IT"/>
              </w:rPr>
              <w:t>2</w:t>
            </w:r>
            <w:r w:rsidRPr="00086114">
              <w:rPr>
                <w:b/>
                <w:bCs/>
                <w:sz w:val="16"/>
                <w:lang w:val="it-IT"/>
              </w:rPr>
              <w:t>)</w:t>
            </w:r>
          </w:p>
          <w:p w14:paraId="722D8C8C" w14:textId="4337283A" w:rsidR="00DA4123" w:rsidRPr="00086114" w:rsidRDefault="00DA4123" w:rsidP="00DA4123">
            <w:pPr>
              <w:pStyle w:val="CETBodytext"/>
              <w:ind w:right="-1"/>
              <w:jc w:val="center"/>
              <w:rPr>
                <w:rFonts w:cs="Arial"/>
                <w:b/>
                <w:bCs/>
                <w:sz w:val="16"/>
                <w:szCs w:val="18"/>
                <w:lang w:val="en-GB"/>
              </w:rPr>
            </w:pPr>
            <w:r w:rsidRPr="00086114">
              <w:rPr>
                <w:b/>
                <w:bCs/>
                <w:sz w:val="16"/>
                <w:lang w:val="it-IT"/>
              </w:rPr>
              <w:t>[ppm]</w:t>
            </w:r>
          </w:p>
        </w:tc>
        <w:tc>
          <w:tcPr>
            <w:tcW w:w="897" w:type="dxa"/>
            <w:tcBorders>
              <w:top w:val="single" w:sz="12" w:space="0" w:color="008000"/>
              <w:bottom w:val="single" w:sz="6" w:space="0" w:color="008000"/>
            </w:tcBorders>
            <w:shd w:val="clear" w:color="auto" w:fill="FFFFFF"/>
            <w:vAlign w:val="center"/>
          </w:tcPr>
          <w:p w14:paraId="37A7EF03" w14:textId="77777777" w:rsidR="00A812F4" w:rsidRPr="00086114" w:rsidRDefault="00DA4123" w:rsidP="00DA4123">
            <w:pPr>
              <w:pStyle w:val="CETBodytext"/>
              <w:ind w:right="-1"/>
              <w:jc w:val="center"/>
              <w:rPr>
                <w:b/>
                <w:bCs/>
                <w:sz w:val="16"/>
                <w:lang w:val="it-IT"/>
              </w:rPr>
            </w:pPr>
            <w:r w:rsidRPr="00086114">
              <w:rPr>
                <w:b/>
                <w:bCs/>
                <w:sz w:val="16"/>
                <w:lang w:val="it-IT"/>
              </w:rPr>
              <w:t>RE</w:t>
            </w:r>
          </w:p>
          <w:p w14:paraId="1E89390E" w14:textId="608DB6BA" w:rsidR="00DA4123" w:rsidRPr="00086114" w:rsidRDefault="00DA4123" w:rsidP="00DA4123">
            <w:pPr>
              <w:pStyle w:val="CETBodytext"/>
              <w:ind w:right="-1"/>
              <w:jc w:val="center"/>
              <w:rPr>
                <w:rFonts w:cs="Arial"/>
                <w:b/>
                <w:bCs/>
                <w:sz w:val="16"/>
                <w:szCs w:val="18"/>
                <w:lang w:val="en-GB"/>
              </w:rPr>
            </w:pPr>
            <w:r w:rsidRPr="00086114">
              <w:rPr>
                <w:b/>
                <w:bCs/>
                <w:sz w:val="16"/>
                <w:vertAlign w:val="superscript"/>
                <w:lang w:val="it-IT"/>
              </w:rPr>
              <w:t xml:space="preserve"> </w:t>
            </w:r>
            <w:r w:rsidRPr="00086114">
              <w:rPr>
                <w:b/>
                <w:bCs/>
                <w:sz w:val="16"/>
                <w:lang w:val="it-IT"/>
              </w:rPr>
              <w:t>[%]</w:t>
            </w:r>
          </w:p>
        </w:tc>
      </w:tr>
      <w:tr w:rsidR="00DA4123" w:rsidRPr="00086114" w14:paraId="53FEFDF6" w14:textId="115E7E0B" w:rsidTr="00BA4A43">
        <w:trPr>
          <w:trHeight w:val="180"/>
          <w:jc w:val="center"/>
        </w:trPr>
        <w:tc>
          <w:tcPr>
            <w:tcW w:w="1224" w:type="dxa"/>
            <w:shd w:val="clear" w:color="auto" w:fill="FFFFFF"/>
            <w:vAlign w:val="center"/>
          </w:tcPr>
          <w:p w14:paraId="39A62B22" w14:textId="77777777" w:rsidR="00DA4123" w:rsidRPr="00086114" w:rsidRDefault="00DA4123" w:rsidP="00DA4123">
            <w:pPr>
              <w:pStyle w:val="CETBodytext"/>
              <w:jc w:val="center"/>
              <w:rPr>
                <w:sz w:val="16"/>
                <w:lang w:val="en-GB"/>
              </w:rPr>
            </w:pPr>
            <w:r w:rsidRPr="00086114">
              <w:rPr>
                <w:sz w:val="16"/>
                <w:lang w:val="en-GB"/>
              </w:rPr>
              <w:lastRenderedPageBreak/>
              <w:t>P1</w:t>
            </w:r>
          </w:p>
        </w:tc>
        <w:tc>
          <w:tcPr>
            <w:tcW w:w="1980" w:type="dxa"/>
            <w:shd w:val="clear" w:color="auto" w:fill="FFFFFF"/>
            <w:vAlign w:val="center"/>
          </w:tcPr>
          <w:p w14:paraId="36D18115" w14:textId="72C6FEC8" w:rsidR="00DA4123" w:rsidRPr="00086114" w:rsidRDefault="00DA4123" w:rsidP="00DA4123">
            <w:pPr>
              <w:pStyle w:val="CETBodytext"/>
              <w:jc w:val="center"/>
              <w:rPr>
                <w:sz w:val="16"/>
                <w:lang w:val="en-GB"/>
              </w:rPr>
            </w:pPr>
            <w:r w:rsidRPr="00086114">
              <w:rPr>
                <w:sz w:val="16"/>
                <w:lang w:val="it-IT"/>
              </w:rPr>
              <w:t>266</w:t>
            </w:r>
          </w:p>
        </w:tc>
        <w:tc>
          <w:tcPr>
            <w:tcW w:w="1586" w:type="dxa"/>
            <w:shd w:val="clear" w:color="auto" w:fill="FFFFFF"/>
            <w:vAlign w:val="center"/>
          </w:tcPr>
          <w:p w14:paraId="1E51D248" w14:textId="299CF8DA" w:rsidR="00DA4123" w:rsidRPr="00086114" w:rsidRDefault="00DA4123" w:rsidP="00DA4123">
            <w:pPr>
              <w:pStyle w:val="CETBodytext"/>
              <w:jc w:val="center"/>
              <w:rPr>
                <w:sz w:val="16"/>
                <w:lang w:val="en-GB"/>
              </w:rPr>
            </w:pPr>
            <w:r w:rsidRPr="00086114">
              <w:rPr>
                <w:sz w:val="16"/>
                <w:lang w:val="it-IT"/>
              </w:rPr>
              <w:t>1531</w:t>
            </w:r>
          </w:p>
        </w:tc>
        <w:tc>
          <w:tcPr>
            <w:tcW w:w="1564" w:type="dxa"/>
            <w:shd w:val="clear" w:color="auto" w:fill="FFFFFF"/>
            <w:vAlign w:val="center"/>
          </w:tcPr>
          <w:p w14:paraId="43FCCADB" w14:textId="53EE50F7" w:rsidR="00DA4123" w:rsidRPr="00086114" w:rsidRDefault="00DA4123" w:rsidP="00DA4123">
            <w:pPr>
              <w:pStyle w:val="CETBodytext"/>
              <w:ind w:right="-1"/>
              <w:jc w:val="center"/>
              <w:rPr>
                <w:rFonts w:cs="Arial"/>
                <w:sz w:val="16"/>
                <w:szCs w:val="18"/>
                <w:lang w:val="en-GB"/>
              </w:rPr>
            </w:pPr>
            <w:r w:rsidRPr="00086114">
              <w:rPr>
                <w:sz w:val="16"/>
                <w:lang w:val="it-IT"/>
              </w:rPr>
              <w:t>278</w:t>
            </w:r>
          </w:p>
        </w:tc>
        <w:tc>
          <w:tcPr>
            <w:tcW w:w="897" w:type="dxa"/>
            <w:shd w:val="clear" w:color="auto" w:fill="FFFFFF"/>
            <w:vAlign w:val="center"/>
          </w:tcPr>
          <w:p w14:paraId="7116290F" w14:textId="78A5016C" w:rsidR="00DA4123" w:rsidRPr="00086114" w:rsidRDefault="00DA4123" w:rsidP="00DA4123">
            <w:pPr>
              <w:pStyle w:val="CETBodytext"/>
              <w:ind w:right="-1"/>
              <w:jc w:val="center"/>
              <w:rPr>
                <w:rFonts w:cs="Arial"/>
                <w:sz w:val="16"/>
                <w:szCs w:val="18"/>
                <w:lang w:val="en-GB"/>
              </w:rPr>
            </w:pPr>
            <w:r w:rsidRPr="00086114">
              <w:rPr>
                <w:sz w:val="16"/>
                <w:lang w:val="it-IT"/>
              </w:rPr>
              <w:t>86</w:t>
            </w:r>
          </w:p>
        </w:tc>
      </w:tr>
      <w:tr w:rsidR="00DA4123" w:rsidRPr="00086114" w14:paraId="1BA2D79A" w14:textId="7A322612" w:rsidTr="001B54EE">
        <w:trPr>
          <w:trHeight w:val="80"/>
          <w:jc w:val="center"/>
        </w:trPr>
        <w:tc>
          <w:tcPr>
            <w:tcW w:w="1224" w:type="dxa"/>
            <w:shd w:val="clear" w:color="auto" w:fill="FFFFFF"/>
            <w:vAlign w:val="center"/>
          </w:tcPr>
          <w:p w14:paraId="7861AE5D" w14:textId="77777777" w:rsidR="00DA4123" w:rsidRPr="00086114" w:rsidRDefault="00DA4123" w:rsidP="00DA4123">
            <w:pPr>
              <w:pStyle w:val="CETBodytext"/>
              <w:ind w:right="-1"/>
              <w:jc w:val="center"/>
              <w:rPr>
                <w:rFonts w:cs="Arial"/>
                <w:sz w:val="16"/>
                <w:szCs w:val="18"/>
                <w:lang w:val="en-GB"/>
              </w:rPr>
            </w:pPr>
            <w:r w:rsidRPr="00086114">
              <w:rPr>
                <w:rFonts w:cs="Arial"/>
                <w:sz w:val="16"/>
                <w:szCs w:val="18"/>
                <w:lang w:val="en-GB"/>
              </w:rPr>
              <w:t>P2</w:t>
            </w:r>
          </w:p>
        </w:tc>
        <w:tc>
          <w:tcPr>
            <w:tcW w:w="1980" w:type="dxa"/>
            <w:shd w:val="clear" w:color="auto" w:fill="FFFFFF"/>
            <w:vAlign w:val="center"/>
          </w:tcPr>
          <w:p w14:paraId="566B2A7B" w14:textId="6554848B" w:rsidR="00DA4123" w:rsidRPr="00086114" w:rsidRDefault="00DA4123" w:rsidP="00DA4123">
            <w:pPr>
              <w:pStyle w:val="CETBodytext"/>
              <w:ind w:right="-1"/>
              <w:jc w:val="center"/>
              <w:rPr>
                <w:rFonts w:cs="Arial"/>
                <w:sz w:val="16"/>
                <w:szCs w:val="18"/>
                <w:lang w:val="en-GB"/>
              </w:rPr>
            </w:pPr>
            <w:r w:rsidRPr="00086114">
              <w:rPr>
                <w:sz w:val="16"/>
                <w:lang w:val="it-IT"/>
              </w:rPr>
              <w:t>380</w:t>
            </w:r>
          </w:p>
        </w:tc>
        <w:tc>
          <w:tcPr>
            <w:tcW w:w="1586" w:type="dxa"/>
            <w:shd w:val="clear" w:color="auto" w:fill="FFFFFF"/>
            <w:vAlign w:val="center"/>
          </w:tcPr>
          <w:p w14:paraId="6849A4E5" w14:textId="13897B9C" w:rsidR="00DA4123" w:rsidRPr="00086114" w:rsidRDefault="00DA4123" w:rsidP="00DA4123">
            <w:pPr>
              <w:pStyle w:val="CETBodytext"/>
              <w:ind w:right="-1"/>
              <w:jc w:val="center"/>
              <w:rPr>
                <w:rFonts w:cs="Arial"/>
                <w:sz w:val="16"/>
                <w:szCs w:val="18"/>
                <w:lang w:val="en-GB"/>
              </w:rPr>
            </w:pPr>
            <w:r w:rsidRPr="00086114">
              <w:rPr>
                <w:sz w:val="16"/>
                <w:lang w:val="it-IT"/>
              </w:rPr>
              <w:t>1373,3</w:t>
            </w:r>
          </w:p>
        </w:tc>
        <w:tc>
          <w:tcPr>
            <w:tcW w:w="1564" w:type="dxa"/>
            <w:shd w:val="clear" w:color="auto" w:fill="FFFFFF"/>
            <w:vAlign w:val="center"/>
          </w:tcPr>
          <w:p w14:paraId="6C47DAD4" w14:textId="70983B70" w:rsidR="00DA4123" w:rsidRPr="00086114" w:rsidRDefault="00DA4123" w:rsidP="00DA4123">
            <w:pPr>
              <w:pStyle w:val="CETBodytext"/>
              <w:ind w:right="-1"/>
              <w:jc w:val="center"/>
              <w:rPr>
                <w:rFonts w:cs="Arial"/>
                <w:sz w:val="16"/>
                <w:szCs w:val="18"/>
                <w:lang w:val="en-GB"/>
              </w:rPr>
            </w:pPr>
            <w:r w:rsidRPr="00086114">
              <w:rPr>
                <w:sz w:val="16"/>
                <w:lang w:val="it-IT"/>
              </w:rPr>
              <w:t>273,3</w:t>
            </w:r>
          </w:p>
        </w:tc>
        <w:tc>
          <w:tcPr>
            <w:tcW w:w="897" w:type="dxa"/>
            <w:shd w:val="clear" w:color="auto" w:fill="FFFFFF"/>
            <w:vAlign w:val="center"/>
          </w:tcPr>
          <w:p w14:paraId="70EB8A08" w14:textId="1B2D1979" w:rsidR="00DA4123" w:rsidRPr="00086114" w:rsidRDefault="00DA4123" w:rsidP="00DA4123">
            <w:pPr>
              <w:pStyle w:val="CETBodytext"/>
              <w:ind w:right="-1"/>
              <w:jc w:val="center"/>
              <w:rPr>
                <w:rFonts w:cs="Arial"/>
                <w:sz w:val="16"/>
                <w:szCs w:val="18"/>
                <w:lang w:val="en-GB"/>
              </w:rPr>
            </w:pPr>
            <w:r w:rsidRPr="00086114">
              <w:rPr>
                <w:sz w:val="16"/>
                <w:lang w:val="it-IT"/>
              </w:rPr>
              <w:t>80</w:t>
            </w:r>
          </w:p>
        </w:tc>
      </w:tr>
    </w:tbl>
    <w:p w14:paraId="5F661D22" w14:textId="77777777" w:rsidR="000B1417" w:rsidRPr="00086114" w:rsidRDefault="000B1417" w:rsidP="000B1417">
      <w:pPr>
        <w:pStyle w:val="CETBodytext"/>
        <w:rPr>
          <w:lang w:val="en-GB"/>
        </w:rPr>
      </w:pPr>
    </w:p>
    <w:p w14:paraId="36DEC361" w14:textId="5D7B251E" w:rsidR="00EE1FF2" w:rsidRPr="00086114" w:rsidRDefault="000B1417" w:rsidP="00FB1ED1">
      <w:pPr>
        <w:pStyle w:val="CETBodytext"/>
      </w:pPr>
      <w:r w:rsidRPr="00086114">
        <w:t xml:space="preserve">For both </w:t>
      </w:r>
      <w:r w:rsidR="00CA5D47" w:rsidRPr="00086114">
        <w:t>investigated odour emission sources</w:t>
      </w:r>
      <w:r w:rsidRPr="00086114">
        <w:t xml:space="preserve">, </w:t>
      </w:r>
      <w:r w:rsidR="00CA5D47" w:rsidRPr="00086114">
        <w:t>CO</w:t>
      </w:r>
      <w:r w:rsidR="00CA5D47" w:rsidRPr="00086114">
        <w:rPr>
          <w:rFonts w:ascii="Cambria Math" w:hAnsi="Cambria Math" w:cs="Cambria Math"/>
        </w:rPr>
        <w:t>₂</w:t>
      </w:r>
      <w:r w:rsidR="00CA5D47" w:rsidRPr="00086114">
        <w:t xml:space="preserve"> concentrations increased across the MBBR (from 266 to 1531 ppm for P1 and from 380 to 1373 ppm for P2) due to biological </w:t>
      </w:r>
      <w:r w:rsidR="003653A7" w:rsidRPr="00086114">
        <w:t>oxidation and</w:t>
      </w:r>
      <w:r w:rsidR="00CA5D47" w:rsidRPr="00086114">
        <w:t xml:space="preserve"> were subsequently reduced in the aPBR to 278 ppm (P1) and 273.3 ppm (P2). Biofixation efficiencies reached 86% and 80% for P1 and P2, respectively, confirming the effective role of the algal stage under variable inlet conditions and performances comparable to or exceeding those of standalone photobioreactors.</w:t>
      </w:r>
      <w:r w:rsidR="001B54EE" w:rsidRPr="00086114">
        <w:t xml:space="preserve"> </w:t>
      </w:r>
      <w:r w:rsidR="001B54EE" w:rsidRPr="00086114">
        <w:rPr>
          <w:lang w:val="en-GB"/>
        </w:rPr>
        <w:t>These odour removal efficiencies are comparable to those reported for conventional biological treatment technologies such as biofilters and biotrickling filters (Zarra et al., 2012; Fasolino et al., 2016), while additionally enabling CO</w:t>
      </w:r>
      <w:r w:rsidR="001B54EE" w:rsidRPr="00086114">
        <w:rPr>
          <w:rFonts w:ascii="Cambria Math" w:hAnsi="Cambria Math" w:cs="Cambria Math"/>
          <w:lang w:val="en-GB"/>
        </w:rPr>
        <w:t>₂</w:t>
      </w:r>
      <w:r w:rsidR="001B54EE" w:rsidRPr="00086114">
        <w:rPr>
          <w:lang w:val="en-GB"/>
        </w:rPr>
        <w:t xml:space="preserve"> biofixation and biomass production. </w:t>
      </w:r>
      <w:r w:rsidR="00EE1FF2" w:rsidRPr="00086114">
        <w:t xml:space="preserve">Figure </w:t>
      </w:r>
      <w:r w:rsidRPr="00086114">
        <w:t>3</w:t>
      </w:r>
      <w:r w:rsidR="00EE1FF2" w:rsidRPr="00086114">
        <w:t xml:space="preserve"> shows the odour removal efficiency </w:t>
      </w:r>
      <w:r w:rsidR="00431AEF" w:rsidRPr="00086114">
        <w:t xml:space="preserve">(RE) </w:t>
      </w:r>
      <w:r w:rsidR="00EE1FF2" w:rsidRPr="00086114">
        <w:t xml:space="preserve">evaluated at the outlet of the system, together with the </w:t>
      </w:r>
      <w:r w:rsidR="00CA5D47" w:rsidRPr="00086114">
        <w:t xml:space="preserve">measured </w:t>
      </w:r>
      <w:r w:rsidR="00EE1FF2" w:rsidRPr="00086114">
        <w:t>inlet</w:t>
      </w:r>
      <w:r w:rsidR="00CA5D47" w:rsidRPr="00086114">
        <w:t xml:space="preserve"> (Cod IN)</w:t>
      </w:r>
      <w:r w:rsidR="00EE1FF2" w:rsidRPr="00086114">
        <w:t xml:space="preserve"> and outlet </w:t>
      </w:r>
      <w:r w:rsidR="00CA5D47" w:rsidRPr="00086114">
        <w:t xml:space="preserve">(Cod OUT) </w:t>
      </w:r>
      <w:r w:rsidR="00EE1FF2" w:rsidRPr="00086114">
        <w:t>odour concentrations for P1 (left) and P2 (right)</w:t>
      </w:r>
      <w:r w:rsidR="00E63A94" w:rsidRPr="00086114">
        <w:t xml:space="preserve"> in the five </w:t>
      </w:r>
      <w:r w:rsidR="00CA5D47" w:rsidRPr="00086114">
        <w:t xml:space="preserve">experimental </w:t>
      </w:r>
      <w:r w:rsidR="00E63A94" w:rsidRPr="00086114">
        <w:t>campaigns</w:t>
      </w:r>
      <w:r w:rsidR="00EE1FF2" w:rsidRPr="00086114">
        <w:t>.</w:t>
      </w:r>
    </w:p>
    <w:p w14:paraId="6E75C3F5" w14:textId="77777777" w:rsidR="00CA5D47" w:rsidRPr="00086114" w:rsidRDefault="00CA5D47" w:rsidP="00FB1ED1">
      <w:pPr>
        <w:pStyle w:val="CETBodytext"/>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A812F4" w:rsidRPr="00086114" w14:paraId="341E268A" w14:textId="77777777" w:rsidTr="00CA5D47">
        <w:tc>
          <w:tcPr>
            <w:tcW w:w="8777" w:type="dxa"/>
          </w:tcPr>
          <w:p w14:paraId="7FBA961F" w14:textId="45D42800" w:rsidR="00A812F4" w:rsidRPr="00086114" w:rsidRDefault="00A812F4" w:rsidP="00BA4A43">
            <w:pPr>
              <w:pStyle w:val="CETBodytext"/>
              <w:jc w:val="center"/>
            </w:pPr>
            <w:r w:rsidRPr="00086114">
              <w:rPr>
                <w:noProof/>
                <w:lang w:val="it-IT" w:eastAsia="it-IT"/>
              </w:rPr>
              <w:drawing>
                <wp:inline distT="0" distB="0" distL="0" distR="0" wp14:anchorId="770F740B" wp14:editId="1561415F">
                  <wp:extent cx="4210050" cy="1840309"/>
                  <wp:effectExtent l="0" t="0" r="0" b="7620"/>
                  <wp:docPr id="16" name="Immagine 15">
                    <a:extLst xmlns:a="http://schemas.openxmlformats.org/drawingml/2006/main">
                      <a:ext uri="{FF2B5EF4-FFF2-40B4-BE49-F238E27FC236}">
                        <a16:creationId xmlns:a16="http://schemas.microsoft.com/office/drawing/2014/main" id="{3E6277C1-FA8A-DEB9-64E7-2BBD475C4C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5">
                            <a:extLst>
                              <a:ext uri="{FF2B5EF4-FFF2-40B4-BE49-F238E27FC236}">
                                <a16:creationId xmlns:a16="http://schemas.microsoft.com/office/drawing/2014/main" id="{3E6277C1-FA8A-DEB9-64E7-2BBD475C4C6F}"/>
                              </a:ext>
                            </a:extLst>
                          </pic:cNvPr>
                          <pic:cNvPicPr>
                            <a:picLocks noChangeAspect="1"/>
                          </pic:cNvPicPr>
                        </pic:nvPicPr>
                        <pic:blipFill>
                          <a:blip r:embed="rId13"/>
                          <a:stretch>
                            <a:fillRect/>
                          </a:stretch>
                        </pic:blipFill>
                        <pic:spPr>
                          <a:xfrm>
                            <a:off x="0" y="0"/>
                            <a:ext cx="4480999" cy="1958747"/>
                          </a:xfrm>
                          <a:prstGeom prst="rect">
                            <a:avLst/>
                          </a:prstGeom>
                        </pic:spPr>
                      </pic:pic>
                    </a:graphicData>
                  </a:graphic>
                </wp:inline>
              </w:drawing>
            </w:r>
          </w:p>
        </w:tc>
      </w:tr>
    </w:tbl>
    <w:p w14:paraId="2A194A9B" w14:textId="20B0010D" w:rsidR="00EE1FF2" w:rsidRPr="00086114" w:rsidRDefault="00EE1FF2" w:rsidP="00BA4A43">
      <w:pPr>
        <w:pStyle w:val="CETCaption"/>
        <w:spacing w:before="0"/>
      </w:pPr>
      <w:r w:rsidRPr="00086114">
        <w:rPr>
          <w:rStyle w:val="CETCaptionCarattere"/>
          <w:i/>
        </w:rPr>
        <w:t>Figure</w:t>
      </w:r>
      <w:r w:rsidR="00652460" w:rsidRPr="00086114">
        <w:rPr>
          <w:rStyle w:val="CETCaptionCarattere"/>
          <w:i/>
        </w:rPr>
        <w:t xml:space="preserve"> </w:t>
      </w:r>
      <w:r w:rsidR="000B1417" w:rsidRPr="00086114">
        <w:rPr>
          <w:rStyle w:val="CETCaptionCarattere"/>
          <w:i/>
        </w:rPr>
        <w:t>3</w:t>
      </w:r>
      <w:r w:rsidRPr="00086114">
        <w:rPr>
          <w:rStyle w:val="CETCaptionCarattere"/>
          <w:i/>
        </w:rPr>
        <w:t>: Odour removal efficiency evaluated at the outlet of the system, together with average inlet and outlet odour concentrations for P1 (left) and P2 (right).</w:t>
      </w:r>
    </w:p>
    <w:p w14:paraId="772DB4B5" w14:textId="77A0D519" w:rsidR="003959AA" w:rsidRPr="00086114" w:rsidRDefault="00E10790" w:rsidP="00DA4123">
      <w:pPr>
        <w:pStyle w:val="CETBodytext"/>
      </w:pPr>
      <w:r w:rsidRPr="00086114">
        <w:t xml:space="preserve">The results showed a </w:t>
      </w:r>
      <w:r w:rsidR="00EE1FF2" w:rsidRPr="00086114">
        <w:t xml:space="preserve">significant reduction in odour concentration </w:t>
      </w:r>
      <w:r w:rsidR="00DF07C2" w:rsidRPr="00086114">
        <w:t>under all tested conditions</w:t>
      </w:r>
      <w:r w:rsidR="00EE1FF2" w:rsidRPr="00086114">
        <w:t xml:space="preserve">. For P1, the average value decreased from 533.4 to 57.2 </w:t>
      </w:r>
      <w:r w:rsidR="00DF07C2" w:rsidRPr="00086114">
        <w:t>OU</w:t>
      </w:r>
      <w:r w:rsidR="00DF07C2" w:rsidRPr="00086114">
        <w:rPr>
          <w:vertAlign w:val="subscript"/>
        </w:rPr>
        <w:t>E</w:t>
      </w:r>
      <w:r w:rsidR="00DF07C2" w:rsidRPr="00086114">
        <w:t xml:space="preserve"> </w:t>
      </w:r>
      <w:r w:rsidR="00EE1FF2" w:rsidRPr="00086114">
        <w:t xml:space="preserve">/m³, corresponding to a removal efficiency of 92%, while for P2 it decreased from 1773.4 to 130.8 </w:t>
      </w:r>
      <w:r w:rsidR="00DF07C2" w:rsidRPr="00086114">
        <w:t>OU</w:t>
      </w:r>
      <w:r w:rsidR="00DF07C2" w:rsidRPr="00086114">
        <w:rPr>
          <w:vertAlign w:val="subscript"/>
        </w:rPr>
        <w:t>E</w:t>
      </w:r>
      <w:r w:rsidR="00DF07C2" w:rsidRPr="00086114">
        <w:t xml:space="preserve"> </w:t>
      </w:r>
      <w:r w:rsidR="00EE1FF2" w:rsidRPr="00086114">
        <w:t xml:space="preserve">/m³, with a removal efficiency of 95%. </w:t>
      </w:r>
      <w:r w:rsidR="00DF07C2" w:rsidRPr="00086114">
        <w:t>In all experimental runs, outlet odour concentrations were consistently well below 300 OU</w:t>
      </w:r>
      <w:r w:rsidR="00DF07C2" w:rsidRPr="00086114">
        <w:rPr>
          <w:vertAlign w:val="subscript"/>
        </w:rPr>
        <w:t>E</w:t>
      </w:r>
      <w:r w:rsidR="00DF07C2" w:rsidRPr="00086114">
        <w:t xml:space="preserve"> /m³; value adopted in the literature as a reference threshold for emissions from biological treatment systems to </w:t>
      </w:r>
      <w:r w:rsidR="00645EDB" w:rsidRPr="00086114">
        <w:t>minimize</w:t>
      </w:r>
      <w:r w:rsidR="00DF07C2" w:rsidRPr="00086114">
        <w:t xml:space="preserve"> potential odour impact and ensure compliance with typical regulatory and permitting requirements </w:t>
      </w:r>
      <w:r w:rsidR="00B3661C" w:rsidRPr="00086114">
        <w:fldChar w:fldCharType="begin"/>
      </w:r>
      <w:r w:rsidR="00C608DD" w:rsidRPr="00086114">
        <w:instrText xml:space="preserve"> ADDIN ZOTERO_ITEM CSL_CITATION {"citationID":"4gmSk10N","properties":{"formattedCitation":"(Tiziano Zarra et al. 2022)","plainCitation":"(Tiziano Zarra et al. 2022)","dontUpdate":true,"noteIndex":0},"citationItems":[{"id":443,"uris":["http://zotero.org/users/12965785/items/TNNDRATB"],"itemData":{"id":443,"type":"article-journal","abstract":"Odour emission assessment in wastewater treatment plants (WWTP) is a key aspect that needs to be improved in the plant management to avoid complaints and guarantee a sustainable environment. The research presents a smart instrumental odour monitoring station (SiOMS) composed of an advanced instrumental odour monitoring system (IOMS) integrated with other measurement units, for the continuous characterization and measurement of the odour emissions, with the aim of managing the potential odour annoyance causes in real time, in order to avoid negative effects. The application and on-site validation procedure of the trained IOMS is discussed. Experimental studies have been conducted at a large-scale WWTP. Fingerprint analysis has been applied to analyze and identify the principal gaseous compounds responsible for the odour annoyance. The artificial neural network has been adopted to elaborate and dynamically update the odour monitoring classification and quantification models (OMMs) of the IOMS. The results highlight the usefulness of a real-time measurement and control system to provide continuous and different information to the plant operators, thus allowing the identification of the odour sources and the most appropriate mitigation actions to be implemented. The paper provides important information for WWTP operators, as well as for the regulating bodies, authorities, manufacturers and end-users of odour monitoring systems involved in environmental odour impact management.","container-title":"Chemosphere","DOI":"10.1016/j.chemosphere.2022.136665","ISSN":"0045-6535","journalAbbreviation":"Chemosphere","page":"136665","source":"ScienceDirect","title":"Smart instrumental Odour Monitoring Station for the efficient odour emission management and control in wastewater treatment plants","volume":"309","author":[{"family":"Zarra","given":"Tiziano"},{"family":"Galang","given":"Mark Gino K."},{"family":"Oliva","given":"Giuseppina"},{"family":"Belgiorno","given":"Vincenzo"}],"issued":{"date-parts":[["2022",12,1]]}}}],"schema":"https://github.com/citation-style-language/schema/raw/master/csl-citation.json"} </w:instrText>
      </w:r>
      <w:r w:rsidR="00B3661C" w:rsidRPr="00086114">
        <w:fldChar w:fldCharType="separate"/>
      </w:r>
      <w:r w:rsidR="00B3661C" w:rsidRPr="00086114">
        <w:rPr>
          <w:rFonts w:cs="Arial"/>
        </w:rPr>
        <w:t>(Zarra et al. 20</w:t>
      </w:r>
      <w:r w:rsidR="004D4122" w:rsidRPr="00086114">
        <w:rPr>
          <w:rFonts w:cs="Arial"/>
        </w:rPr>
        <w:t>1</w:t>
      </w:r>
      <w:r w:rsidR="00B3661C" w:rsidRPr="00086114">
        <w:rPr>
          <w:rFonts w:cs="Arial"/>
        </w:rPr>
        <w:t>2)</w:t>
      </w:r>
      <w:r w:rsidR="00B3661C" w:rsidRPr="00086114">
        <w:fldChar w:fldCharType="end"/>
      </w:r>
      <w:r w:rsidR="00EE1FF2" w:rsidRPr="00086114">
        <w:t>.</w:t>
      </w:r>
    </w:p>
    <w:p w14:paraId="367FF54A" w14:textId="0CEDDDD3" w:rsidR="003959AA" w:rsidRPr="00086114" w:rsidRDefault="00CD69C9" w:rsidP="00CD69C9">
      <w:pPr>
        <w:pStyle w:val="CETheadingx"/>
      </w:pPr>
      <w:r w:rsidRPr="00086114">
        <w:t xml:space="preserve">Algal biomass </w:t>
      </w:r>
      <w:r w:rsidR="000607B9" w:rsidRPr="00086114">
        <w:t xml:space="preserve">characterization </w:t>
      </w:r>
    </w:p>
    <w:p w14:paraId="301F8C5B" w14:textId="1F5E4F2F" w:rsidR="00431AEF" w:rsidRPr="00086114" w:rsidRDefault="00652460" w:rsidP="00431AEF">
      <w:pPr>
        <w:pStyle w:val="CETBodytext"/>
      </w:pPr>
      <w:r w:rsidRPr="00086114">
        <w:t xml:space="preserve">Figure 4 shows the temporal evolution of total suspended solids (TSS) and chlorophyll concentration in the algal photobioreactor for the two investigated emission sources. </w:t>
      </w:r>
    </w:p>
    <w:p w14:paraId="0C7491C1" w14:textId="153FC733" w:rsidR="00CD69C9" w:rsidRPr="00086114" w:rsidRDefault="00CD69C9" w:rsidP="00DA4123">
      <w:pPr>
        <w:pStyle w:val="CETBodytext"/>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A812F4" w:rsidRPr="00086114" w14:paraId="0DFCEE48" w14:textId="77777777" w:rsidTr="00BA4A43">
        <w:tc>
          <w:tcPr>
            <w:tcW w:w="8777" w:type="dxa"/>
          </w:tcPr>
          <w:p w14:paraId="0EE54E63" w14:textId="5F6BCA03" w:rsidR="00A812F4" w:rsidRPr="00086114" w:rsidRDefault="00A812F4" w:rsidP="00BA4A43">
            <w:pPr>
              <w:pStyle w:val="CETBodytext"/>
              <w:jc w:val="center"/>
            </w:pPr>
            <w:r w:rsidRPr="00086114">
              <w:rPr>
                <w:rStyle w:val="CETCaptionCarattere"/>
                <w:i w:val="0"/>
                <w:noProof/>
                <w:lang w:val="it-IT" w:eastAsia="it-IT"/>
              </w:rPr>
              <w:drawing>
                <wp:inline distT="0" distB="0" distL="0" distR="0" wp14:anchorId="4531AFD4" wp14:editId="2BFEE80F">
                  <wp:extent cx="4810125" cy="2003646"/>
                  <wp:effectExtent l="0" t="0" r="0" b="0"/>
                  <wp:docPr id="139119080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4972" cy="2034823"/>
                          </a:xfrm>
                          <a:prstGeom prst="rect">
                            <a:avLst/>
                          </a:prstGeom>
                          <a:noFill/>
                        </pic:spPr>
                      </pic:pic>
                    </a:graphicData>
                  </a:graphic>
                </wp:inline>
              </w:drawing>
            </w:r>
          </w:p>
        </w:tc>
      </w:tr>
    </w:tbl>
    <w:p w14:paraId="6F08611E" w14:textId="5B888CE5" w:rsidR="00CD69C9" w:rsidRPr="00086114" w:rsidRDefault="000B1417" w:rsidP="00BA4A43">
      <w:pPr>
        <w:pStyle w:val="CETCaption"/>
        <w:spacing w:before="0"/>
      </w:pPr>
      <w:r w:rsidRPr="00086114">
        <w:rPr>
          <w:rStyle w:val="CETCaptionCarattere"/>
          <w:i/>
        </w:rPr>
        <w:t>Figure4: Temporal evolution of TSS and chlorophyll concentration in the aPBR for P1 (left) and P2 (right)</w:t>
      </w:r>
      <w:r w:rsidR="00652460" w:rsidRPr="00086114">
        <w:rPr>
          <w:rStyle w:val="CETCaptionCarattere"/>
          <w:i/>
        </w:rPr>
        <w:t>, including r</w:t>
      </w:r>
      <w:r w:rsidRPr="00086114">
        <w:rPr>
          <w:rStyle w:val="CETCaptionCarattere"/>
          <w:i/>
        </w:rPr>
        <w:t>epresentative microscopic images of algal biomass.</w:t>
      </w:r>
    </w:p>
    <w:p w14:paraId="2FA895BF" w14:textId="2D510306" w:rsidR="00DA49CD" w:rsidRPr="00086114" w:rsidRDefault="00DA49CD" w:rsidP="00DA49CD">
      <w:pPr>
        <w:pStyle w:val="CETBodytext"/>
        <w:rPr>
          <w:lang w:val="en-GB"/>
        </w:rPr>
      </w:pPr>
      <w:r w:rsidRPr="00086114">
        <w:rPr>
          <w:lang w:val="en-GB"/>
        </w:rPr>
        <w:lastRenderedPageBreak/>
        <w:t>TSS concentrations showed a progressive increase over time in both configurations. In P1, biomass increased from 1.0 to 1.45 g/l, corresponding to an overall growth of 45%. Similarly, P2 exhibited a comparable trend, with TSS rising from 1.0 to 1.5 g/l, equivalent to a 50% increase. The average growth rate was slightly higher in P2, suggesting enhanced biomass accumulation, likely due to greater nutrient availability. Lipid content ranged between 18% and 22%, confirming the system’s potential for downstream energy valorization</w:t>
      </w:r>
    </w:p>
    <w:p w14:paraId="21D1EED2" w14:textId="3385A939" w:rsidR="00E652E9" w:rsidRPr="00086114" w:rsidRDefault="00DA4123" w:rsidP="00DA4123">
      <w:pPr>
        <w:pStyle w:val="CETHeading1"/>
      </w:pPr>
      <w:r w:rsidRPr="00086114">
        <w:t xml:space="preserve">Conclusion </w:t>
      </w:r>
    </w:p>
    <w:p w14:paraId="403429CC" w14:textId="6D7DC1A7" w:rsidR="00CD69C9" w:rsidRPr="00086114" w:rsidRDefault="00E652E9" w:rsidP="00E652E9">
      <w:pPr>
        <w:pStyle w:val="CETBodytext"/>
      </w:pPr>
      <w:r w:rsidRPr="00086114">
        <w:t>The research investigates an integrated MBBR–aPBR system for the treatment of real odour emissions. The results demonstrated complete removal of sulphur compounds, odour abatement efficiencies of 92–95% (with outlet concentrations consistently below 300 ouE m</w:t>
      </w:r>
      <w:r w:rsidRPr="00086114">
        <w:rPr>
          <w:rFonts w:ascii="Cambria Math" w:hAnsi="Cambria Math" w:cs="Cambria Math"/>
        </w:rPr>
        <w:t>⁻</w:t>
      </w:r>
      <w:r w:rsidRPr="00086114">
        <w:rPr>
          <w:rFonts w:cs="Arial"/>
        </w:rPr>
        <w:t>³</w:t>
      </w:r>
      <w:r w:rsidRPr="00086114">
        <w:t>), and CO</w:t>
      </w:r>
      <w:r w:rsidRPr="00086114">
        <w:rPr>
          <w:rFonts w:ascii="Cambria Math" w:hAnsi="Cambria Math" w:cs="Cambria Math"/>
        </w:rPr>
        <w:t>₂</w:t>
      </w:r>
      <w:r w:rsidRPr="00086114">
        <w:t xml:space="preserve"> biofixation efficiencies of up to 80%. Furthermore, the production of algal biomass with a lipid content ranging from 18% to 22% highlights the potential for energy valorisation and supports the integration of emission control and resource recovery within a circular economy framework. Although a detailed techno-economic assessment was beyond the scope of this study, the proposed configuration shows promising potential for future full-scale implementation in WWTPs by coupling odour treatment, carbon capture and biomass production. Overall, the integrated system represents a sustainable alternative to conventional end-of-pipe technologies, simultaneously addressing odour mitigation, greenhouse gas reduction and resource recovery within a waste-to-energy nexus perspective.</w:t>
      </w:r>
    </w:p>
    <w:p w14:paraId="2C345DB0" w14:textId="77777777" w:rsidR="00CD69C9" w:rsidRPr="00086114" w:rsidRDefault="00CD69C9" w:rsidP="00CD69C9">
      <w:pPr>
        <w:pStyle w:val="CETReference"/>
        <w:rPr>
          <w:lang w:val="it-IT"/>
        </w:rPr>
      </w:pPr>
      <w:r w:rsidRPr="00086114">
        <w:rPr>
          <w:lang w:val="it-IT"/>
        </w:rPr>
        <w:t>References</w:t>
      </w:r>
    </w:p>
    <w:p w14:paraId="41FB913D" w14:textId="77777777" w:rsidR="00CC351B" w:rsidRPr="00086114" w:rsidRDefault="00CD69C9" w:rsidP="00CC351B">
      <w:pPr>
        <w:pStyle w:val="CETReferencetext"/>
      </w:pPr>
      <w:r w:rsidRPr="00086114">
        <w:rPr>
          <w:highlight w:val="yellow"/>
        </w:rPr>
        <w:fldChar w:fldCharType="begin"/>
      </w:r>
      <w:r w:rsidR="00C608DD" w:rsidRPr="00086114">
        <w:rPr>
          <w:highlight w:val="yellow"/>
          <w:lang w:val="it-IT"/>
        </w:rPr>
        <w:instrText xml:space="preserve"> ADDIN ZOTERO_BIBL {"uncited":[],"omitted":[],"custom":[]} CSL_BIBLIOGRAPHY </w:instrText>
      </w:r>
      <w:r w:rsidRPr="00086114">
        <w:rPr>
          <w:highlight w:val="yellow"/>
        </w:rPr>
        <w:fldChar w:fldCharType="separate"/>
      </w:r>
      <w:r w:rsidR="00CC351B" w:rsidRPr="00086114">
        <w:rPr>
          <w:lang w:val="it-IT"/>
        </w:rPr>
        <w:t xml:space="preserve">Belgiorno, Vincenzo, Vincenzo Naddeo, e Tiziano Zarra. </w:t>
      </w:r>
      <w:r w:rsidR="00CC351B" w:rsidRPr="00086114">
        <w:t xml:space="preserve">2013. </w:t>
      </w:r>
      <w:r w:rsidR="00CC351B" w:rsidRPr="00086114">
        <w:rPr>
          <w:i/>
          <w:iCs/>
        </w:rPr>
        <w:t>Odour Impact Assessment Handbook</w:t>
      </w:r>
      <w:r w:rsidR="00CC351B" w:rsidRPr="00086114">
        <w:t>. https://doi.org/10.1002/9781118481264.</w:t>
      </w:r>
    </w:p>
    <w:p w14:paraId="6AFFB4D0" w14:textId="77777777" w:rsidR="00CC351B" w:rsidRPr="00086114" w:rsidRDefault="00CC351B" w:rsidP="00CC351B">
      <w:pPr>
        <w:pStyle w:val="CETReferencetext"/>
        <w:rPr>
          <w:lang w:val="it-IT"/>
        </w:rPr>
      </w:pPr>
      <w:r w:rsidRPr="00086114">
        <w:t xml:space="preserve">Capelli, Laura, Rosa Arias, Jose Uribe, e Selena Sironi. 2020. «OVERVIEW OF ODOUR MEASUREMENT METHODS: THE ODOUR OBSERVATORY AS AN INFORMATIVE TOOL FOR CITIZEN SCIENCE BASED APPROACHES TO ODOUR MANAGEMENT». </w:t>
      </w:r>
      <w:r w:rsidRPr="00086114">
        <w:rPr>
          <w:i/>
          <w:iCs/>
          <w:lang w:val="it-IT"/>
        </w:rPr>
        <w:t>Detritus</w:t>
      </w:r>
      <w:r w:rsidRPr="00086114">
        <w:rPr>
          <w:lang w:val="it-IT"/>
        </w:rPr>
        <w:t>, fasc. 12 (settembre): 169. https://doi.org/10.31025/2611-4135/2020.14003.</w:t>
      </w:r>
    </w:p>
    <w:p w14:paraId="6EC87FBA" w14:textId="77777777" w:rsidR="00CC351B" w:rsidRPr="00086114" w:rsidRDefault="00CC351B" w:rsidP="00CC351B">
      <w:pPr>
        <w:pStyle w:val="CETReferencetext"/>
      </w:pPr>
      <w:r w:rsidRPr="00086114">
        <w:rPr>
          <w:lang w:val="it-IT"/>
        </w:rPr>
        <w:t xml:space="preserve">Fasolino, I., M. Grimaldi, T. Zarra, e V. Naddeo. </w:t>
      </w:r>
      <w:r w:rsidRPr="00086114">
        <w:t xml:space="preserve">2016. «Odour control strategies for a sustainable nuisances action plan». </w:t>
      </w:r>
      <w:r w:rsidRPr="00086114">
        <w:rPr>
          <w:i/>
          <w:iCs/>
        </w:rPr>
        <w:t>Global NEST Journal</w:t>
      </w:r>
      <w:r w:rsidRPr="00086114">
        <w:t xml:space="preserve"> 18 (4): 734–41. https://doi.org/10.30955/gnj.002109.</w:t>
      </w:r>
    </w:p>
    <w:p w14:paraId="1CD8FFA1" w14:textId="77777777" w:rsidR="00CC351B" w:rsidRPr="00086114" w:rsidRDefault="00CC351B" w:rsidP="00CC351B">
      <w:pPr>
        <w:pStyle w:val="CETReferencetext"/>
        <w:rPr>
          <w:lang w:val="it-IT"/>
        </w:rPr>
      </w:pPr>
      <w:r w:rsidRPr="00086114">
        <w:t xml:space="preserve">Lewkowska, Paulina, Bartłomiej Cieślik, Tomasz Dymerski, Piotr Konieczka, e Jacek Namieśnik. 2016. «Characteristics of odors emitted from municipal wastewater treatment plant and methods for their identification and deodorization techniques». </w:t>
      </w:r>
      <w:r w:rsidRPr="00086114">
        <w:rPr>
          <w:i/>
          <w:iCs/>
          <w:lang w:val="it-IT"/>
        </w:rPr>
        <w:t>Environmental Research</w:t>
      </w:r>
      <w:r w:rsidRPr="00086114">
        <w:rPr>
          <w:lang w:val="it-IT"/>
        </w:rPr>
        <w:t xml:space="preserve"> 151 (novembre): 573–86. https://doi.org/10.1016/j.envres.2016.08.030.</w:t>
      </w:r>
    </w:p>
    <w:p w14:paraId="4BD37D1C" w14:textId="77777777" w:rsidR="00CC351B" w:rsidRPr="00086114" w:rsidRDefault="00CC351B" w:rsidP="00CC351B">
      <w:pPr>
        <w:pStyle w:val="CETReferencetext"/>
      </w:pPr>
      <w:r w:rsidRPr="00086114">
        <w:rPr>
          <w:lang w:val="it-IT"/>
        </w:rPr>
        <w:t xml:space="preserve">Naddeo, Vincenzo, Tiziano Zarra, Stefano Giuliani, e Vincenzo Belgiorno. </w:t>
      </w:r>
      <w:r w:rsidRPr="00086114">
        <w:t xml:space="preserve">2012. «Odour Impact Assessment in Industrial Areas». </w:t>
      </w:r>
      <w:r w:rsidRPr="00086114">
        <w:rPr>
          <w:i/>
          <w:iCs/>
        </w:rPr>
        <w:t>Chemical Engineering Transactions</w:t>
      </w:r>
      <w:r w:rsidRPr="00086114">
        <w:t xml:space="preserve"> 30 (settembre): 85–90. https://doi.org/10.3303/CET1230015.</w:t>
      </w:r>
    </w:p>
    <w:p w14:paraId="0B7368CD" w14:textId="77777777" w:rsidR="00CC351B" w:rsidRPr="00086114" w:rsidRDefault="00CC351B" w:rsidP="00CC351B">
      <w:pPr>
        <w:pStyle w:val="CETReferencetext"/>
      </w:pPr>
      <w:r w:rsidRPr="00086114">
        <w:rPr>
          <w:lang w:val="it-IT"/>
        </w:rPr>
        <w:t xml:space="preserve">Oliva, G., M. G. Galang, T. Zarra, V. Belgiorno, e V. Naddeo. </w:t>
      </w:r>
      <w:r w:rsidRPr="00086114">
        <w:t xml:space="preserve">2023. «Advanced Technologies for a Smart and Integrated Control of Odour Emissions from Wastewater Treatment Plant». In </w:t>
      </w:r>
      <w:r w:rsidRPr="00086114">
        <w:rPr>
          <w:i/>
          <w:iCs/>
        </w:rPr>
        <w:t>Current Developments in Biotechnology and Bioengineering</w:t>
      </w:r>
      <w:r w:rsidRPr="00086114">
        <w:t>. Elsevier. https://doi.org/10.1016/B978-0-323-99920-5.00004-4.</w:t>
      </w:r>
    </w:p>
    <w:p w14:paraId="65883AD7" w14:textId="77777777" w:rsidR="00CC351B" w:rsidRPr="00086114" w:rsidRDefault="00CC351B" w:rsidP="00CC351B">
      <w:pPr>
        <w:pStyle w:val="CETReferencetext"/>
        <w:rPr>
          <w:lang w:val="it-IT"/>
        </w:rPr>
      </w:pPr>
      <w:r w:rsidRPr="00086114">
        <w:rPr>
          <w:lang w:val="it-IT"/>
        </w:rPr>
        <w:t xml:space="preserve">Oliva, G., T. Zarra, G. Pittoni, et al. 2021. </w:t>
      </w:r>
      <w:r w:rsidRPr="00086114">
        <w:t xml:space="preserve">«Next-generation of instrumental odour monitoring system (IOMS) for the gaseous emissions control in complex industrial plants». </w:t>
      </w:r>
      <w:r w:rsidRPr="00086114">
        <w:rPr>
          <w:i/>
          <w:iCs/>
          <w:lang w:val="it-IT"/>
        </w:rPr>
        <w:t>Chemosphere</w:t>
      </w:r>
      <w:r w:rsidRPr="00086114">
        <w:rPr>
          <w:lang w:val="it-IT"/>
        </w:rPr>
        <w:t xml:space="preserve"> 271 (maggio): 129768. https://doi.org/10.1016/j.chemosphere.2021.129768.</w:t>
      </w:r>
    </w:p>
    <w:p w14:paraId="3646370D" w14:textId="77777777" w:rsidR="00CC351B" w:rsidRPr="00086114" w:rsidRDefault="00CC351B" w:rsidP="00CC351B">
      <w:pPr>
        <w:pStyle w:val="CETReferencetext"/>
        <w:rPr>
          <w:lang w:val="it-IT"/>
        </w:rPr>
      </w:pPr>
      <w:r w:rsidRPr="00086114">
        <w:rPr>
          <w:lang w:val="it-IT"/>
        </w:rPr>
        <w:t xml:space="preserve">Senatore, Vincenzo, Tiziano Zarra, R. Pahunang, et al. 2021. </w:t>
      </w:r>
      <w:r w:rsidRPr="00086114">
        <w:t xml:space="preserve">«Sustainable Odour and Greenhouse Gas Emissions Control in Wastewater Treatment Plant by Advanced Biotechnology-based System». </w:t>
      </w:r>
      <w:r w:rsidRPr="00086114">
        <w:rPr>
          <w:i/>
          <w:iCs/>
          <w:lang w:val="it-IT"/>
        </w:rPr>
        <w:t>Chemical Engineering Transactions</w:t>
      </w:r>
      <w:r w:rsidRPr="00086114">
        <w:rPr>
          <w:lang w:val="it-IT"/>
        </w:rPr>
        <w:t xml:space="preserve"> 85 (aprile): 25–30. https://doi.org/10.3303/CET2185005.</w:t>
      </w:r>
    </w:p>
    <w:p w14:paraId="3EBACB9C" w14:textId="77777777" w:rsidR="00CC351B" w:rsidRPr="00086114" w:rsidRDefault="00CC351B" w:rsidP="00CC351B">
      <w:pPr>
        <w:pStyle w:val="CETReferencetext"/>
      </w:pPr>
      <w:r w:rsidRPr="00086114">
        <w:rPr>
          <w:lang w:val="it-IT"/>
        </w:rPr>
        <w:t xml:space="preserve">Sironi, Selena, Laura Capelli, Paolo Céntola, Renato Del Rosso, e Sauro Pierucci. </w:t>
      </w:r>
      <w:r w:rsidRPr="00086114">
        <w:t xml:space="preserve">2010. «Odour Impact Assessment by Means of Dynamic Olfactometry, Dispersion Modelling and Social Participation». </w:t>
      </w:r>
      <w:r w:rsidRPr="00086114">
        <w:rPr>
          <w:i/>
          <w:iCs/>
        </w:rPr>
        <w:t>Atmospheric Environment</w:t>
      </w:r>
      <w:r w:rsidRPr="00086114">
        <w:t xml:space="preserve"> 44 (3): 354–60. https://doi.org/10.1016/j.atmosenv.2009.10.029.</w:t>
      </w:r>
    </w:p>
    <w:p w14:paraId="1F21EA01" w14:textId="77777777" w:rsidR="00CC351B" w:rsidRPr="00086114" w:rsidRDefault="00CC351B" w:rsidP="00CC351B">
      <w:pPr>
        <w:pStyle w:val="CETReferencetext"/>
        <w:rPr>
          <w:lang w:val="it-IT"/>
        </w:rPr>
      </w:pPr>
      <w:r w:rsidRPr="00086114">
        <w:t xml:space="preserve">Zarra, Naddeo, e Belgiorno. 2008. «A novel tool for estimating the odour emissions of composting plants in air pollution management». </w:t>
      </w:r>
      <w:r w:rsidRPr="00086114">
        <w:rPr>
          <w:i/>
          <w:iCs/>
          <w:lang w:val="it-IT"/>
        </w:rPr>
        <w:t>Global NEST Journal</w:t>
      </w:r>
      <w:r w:rsidRPr="00086114">
        <w:rPr>
          <w:lang w:val="it-IT"/>
        </w:rPr>
        <w:t xml:space="preserve"> 11 (4): 477–86. https://doi.org/10.30955/gnj.000484.</w:t>
      </w:r>
    </w:p>
    <w:p w14:paraId="731AE308" w14:textId="77777777" w:rsidR="00CC351B" w:rsidRPr="00086114" w:rsidRDefault="00CC351B" w:rsidP="00CC351B">
      <w:pPr>
        <w:pStyle w:val="CETReferencetext"/>
      </w:pPr>
      <w:r w:rsidRPr="00086114">
        <w:rPr>
          <w:lang w:val="it-IT"/>
        </w:rPr>
        <w:t xml:space="preserve">Zarra, T., S. Giuliani, V. Naddeo, e V. Belgiorno. </w:t>
      </w:r>
      <w:r w:rsidRPr="00086114">
        <w:t xml:space="preserve">2012. «Control of odour emission in wastewater treatment plants by direct and undirected measurement of odour emission capacity». </w:t>
      </w:r>
      <w:r w:rsidRPr="00086114">
        <w:rPr>
          <w:i/>
          <w:iCs/>
        </w:rPr>
        <w:t>Water Science and Technology</w:t>
      </w:r>
      <w:r w:rsidRPr="00086114">
        <w:t xml:space="preserve"> 66 (8): 1627–33. https://doi.org/10.2166/wst.2012.362.</w:t>
      </w:r>
    </w:p>
    <w:p w14:paraId="69848C5C" w14:textId="77777777" w:rsidR="00CC351B" w:rsidRPr="00086114" w:rsidRDefault="00CC351B" w:rsidP="00CC351B">
      <w:pPr>
        <w:pStyle w:val="CETReferencetext"/>
        <w:rPr>
          <w:lang w:val="it-IT"/>
        </w:rPr>
      </w:pPr>
      <w:r w:rsidRPr="00086114">
        <w:t xml:space="preserve">Zarra, T., M. Reiser, V. Naddeo, V. Belgiorno, e M. Kranert. 2012. «A Comparative and Critical Evaluation of Different Sampling Materials in the Measurement of Odour Concentration by Dynamic Olfactometry». </w:t>
      </w:r>
      <w:r w:rsidRPr="00086114">
        <w:rPr>
          <w:i/>
          <w:iCs/>
          <w:lang w:val="it-IT"/>
        </w:rPr>
        <w:t>Chemical Engineering Transactions</w:t>
      </w:r>
      <w:r w:rsidRPr="00086114">
        <w:rPr>
          <w:lang w:val="it-IT"/>
        </w:rPr>
        <w:t xml:space="preserve"> 30 (settembre): 307–12. https://doi.org/10.3303/CET1230052.</w:t>
      </w:r>
    </w:p>
    <w:p w14:paraId="1D099957" w14:textId="77777777" w:rsidR="00CC351B" w:rsidRPr="00086114" w:rsidRDefault="00CC351B" w:rsidP="00CC351B">
      <w:pPr>
        <w:pStyle w:val="CETReferencetext"/>
      </w:pPr>
      <w:r w:rsidRPr="00086114">
        <w:rPr>
          <w:lang w:val="it-IT"/>
        </w:rPr>
        <w:t xml:space="preserve">Zarra, Tiziano, Mark Gino K. Galang, Giuseppina Oliva, e Vincenzo Belgiorno. </w:t>
      </w:r>
      <w:r w:rsidRPr="00086114">
        <w:t xml:space="preserve">2022. «Smart instrumental Odour Monitoring Station for the efficient odour emission management and control in wastewater treatment plants». </w:t>
      </w:r>
      <w:r w:rsidRPr="00086114">
        <w:rPr>
          <w:i/>
          <w:iCs/>
        </w:rPr>
        <w:t>Chemosphere</w:t>
      </w:r>
      <w:r w:rsidRPr="00086114">
        <w:t xml:space="preserve"> 309 (dicembre): 136665. https://doi.org/10.1016/j.chemosphere.2022.136665.</w:t>
      </w:r>
    </w:p>
    <w:p w14:paraId="3DDC32AA" w14:textId="4EF2E16E" w:rsidR="00B10041" w:rsidRPr="00086114" w:rsidRDefault="00CD69C9" w:rsidP="00CC351B">
      <w:pPr>
        <w:pStyle w:val="CETReferencetext"/>
      </w:pPr>
      <w:r w:rsidRPr="00086114">
        <w:rPr>
          <w:highlight w:val="yellow"/>
        </w:rPr>
        <w:fldChar w:fldCharType="end"/>
      </w:r>
    </w:p>
    <w:sectPr w:rsidR="00B10041" w:rsidRPr="00086114"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0F67" w14:textId="77777777" w:rsidR="00CA4744" w:rsidRDefault="00CA4744" w:rsidP="004F5E36">
      <w:r>
        <w:separator/>
      </w:r>
    </w:p>
  </w:endnote>
  <w:endnote w:type="continuationSeparator" w:id="0">
    <w:p w14:paraId="1FACCCE3" w14:textId="77777777" w:rsidR="00CA4744" w:rsidRDefault="00CA4744"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8B72" w14:textId="77777777" w:rsidR="00CA4744" w:rsidRDefault="00CA4744" w:rsidP="004F5E36">
      <w:r>
        <w:separator/>
      </w:r>
    </w:p>
  </w:footnote>
  <w:footnote w:type="continuationSeparator" w:id="0">
    <w:p w14:paraId="77E3C270" w14:textId="77777777" w:rsidR="00CA4744" w:rsidRDefault="00CA4744"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274"/>
        </w:tabs>
        <w:ind w:left="1274"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7213A69"/>
    <w:multiLevelType w:val="hybridMultilevel"/>
    <w:tmpl w:val="1362E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E822A0"/>
    <w:multiLevelType w:val="hybridMultilevel"/>
    <w:tmpl w:val="0456A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38217E"/>
    <w:multiLevelType w:val="multilevel"/>
    <w:tmpl w:val="3348AC88"/>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3"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187666">
    <w:abstractNumId w:val="12"/>
  </w:num>
  <w:num w:numId="2" w16cid:durableId="2045903236">
    <w:abstractNumId w:val="8"/>
  </w:num>
  <w:num w:numId="3" w16cid:durableId="1037005445">
    <w:abstractNumId w:val="3"/>
  </w:num>
  <w:num w:numId="4" w16cid:durableId="257645175">
    <w:abstractNumId w:val="2"/>
  </w:num>
  <w:num w:numId="5" w16cid:durableId="2141263032">
    <w:abstractNumId w:val="1"/>
  </w:num>
  <w:num w:numId="6" w16cid:durableId="20788259">
    <w:abstractNumId w:val="0"/>
  </w:num>
  <w:num w:numId="7" w16cid:durableId="1490245742">
    <w:abstractNumId w:val="9"/>
  </w:num>
  <w:num w:numId="8" w16cid:durableId="689377953">
    <w:abstractNumId w:val="7"/>
  </w:num>
  <w:num w:numId="9" w16cid:durableId="1906062446">
    <w:abstractNumId w:val="6"/>
  </w:num>
  <w:num w:numId="10" w16cid:durableId="1370455719">
    <w:abstractNumId w:val="5"/>
  </w:num>
  <w:num w:numId="11" w16cid:durableId="1286696104">
    <w:abstractNumId w:val="4"/>
  </w:num>
  <w:num w:numId="12" w16cid:durableId="285698859">
    <w:abstractNumId w:val="19"/>
  </w:num>
  <w:num w:numId="13" w16cid:durableId="1735351677">
    <w:abstractNumId w:val="14"/>
  </w:num>
  <w:num w:numId="14" w16cid:durableId="1975480560">
    <w:abstractNumId w:val="20"/>
  </w:num>
  <w:num w:numId="15" w16cid:durableId="1237395461">
    <w:abstractNumId w:val="22"/>
  </w:num>
  <w:num w:numId="16" w16cid:durableId="589699474">
    <w:abstractNumId w:val="21"/>
  </w:num>
  <w:num w:numId="17" w16cid:durableId="1759326276">
    <w:abstractNumId w:val="13"/>
  </w:num>
  <w:num w:numId="18" w16cid:durableId="274021017">
    <w:abstractNumId w:val="14"/>
    <w:lvlOverride w:ilvl="0">
      <w:startOverride w:val="1"/>
    </w:lvlOverride>
  </w:num>
  <w:num w:numId="19" w16cid:durableId="1591310747">
    <w:abstractNumId w:val="18"/>
  </w:num>
  <w:num w:numId="20" w16cid:durableId="9568290">
    <w:abstractNumId w:val="17"/>
  </w:num>
  <w:num w:numId="21" w16cid:durableId="600381276">
    <w:abstractNumId w:val="16"/>
  </w:num>
  <w:num w:numId="22" w16cid:durableId="309136116">
    <w:abstractNumId w:val="15"/>
  </w:num>
  <w:num w:numId="23" w16cid:durableId="1049840169">
    <w:abstractNumId w:val="10"/>
  </w:num>
  <w:num w:numId="24" w16cid:durableId="1748384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0DB3"/>
    <w:rsid w:val="000027C0"/>
    <w:rsid w:val="000052FB"/>
    <w:rsid w:val="00005884"/>
    <w:rsid w:val="00005A19"/>
    <w:rsid w:val="000117CB"/>
    <w:rsid w:val="00020ABF"/>
    <w:rsid w:val="0003148D"/>
    <w:rsid w:val="00031EEC"/>
    <w:rsid w:val="00043990"/>
    <w:rsid w:val="00051566"/>
    <w:rsid w:val="000562A9"/>
    <w:rsid w:val="000607B9"/>
    <w:rsid w:val="00061B6E"/>
    <w:rsid w:val="00062A9A"/>
    <w:rsid w:val="00065058"/>
    <w:rsid w:val="00086114"/>
    <w:rsid w:val="00086C39"/>
    <w:rsid w:val="000A03B2"/>
    <w:rsid w:val="000B1417"/>
    <w:rsid w:val="000B7E87"/>
    <w:rsid w:val="000C4718"/>
    <w:rsid w:val="000D0268"/>
    <w:rsid w:val="000D34BE"/>
    <w:rsid w:val="000D3EAC"/>
    <w:rsid w:val="000E0C5B"/>
    <w:rsid w:val="000E102F"/>
    <w:rsid w:val="000E36F1"/>
    <w:rsid w:val="000E3A73"/>
    <w:rsid w:val="000E414A"/>
    <w:rsid w:val="000E75FD"/>
    <w:rsid w:val="000F093C"/>
    <w:rsid w:val="000F169A"/>
    <w:rsid w:val="000F787B"/>
    <w:rsid w:val="00110113"/>
    <w:rsid w:val="0012091F"/>
    <w:rsid w:val="00124AAD"/>
    <w:rsid w:val="00126BC2"/>
    <w:rsid w:val="001308B6"/>
    <w:rsid w:val="0013121F"/>
    <w:rsid w:val="00131FE6"/>
    <w:rsid w:val="0013263F"/>
    <w:rsid w:val="001331DF"/>
    <w:rsid w:val="00134DE4"/>
    <w:rsid w:val="0014034D"/>
    <w:rsid w:val="00140FE3"/>
    <w:rsid w:val="00144D16"/>
    <w:rsid w:val="00150E59"/>
    <w:rsid w:val="00152DE3"/>
    <w:rsid w:val="00164CF9"/>
    <w:rsid w:val="00165C49"/>
    <w:rsid w:val="001667A6"/>
    <w:rsid w:val="00170A44"/>
    <w:rsid w:val="00184AD6"/>
    <w:rsid w:val="00193781"/>
    <w:rsid w:val="001A0154"/>
    <w:rsid w:val="001A1B42"/>
    <w:rsid w:val="001A3164"/>
    <w:rsid w:val="001A4AF7"/>
    <w:rsid w:val="001B0349"/>
    <w:rsid w:val="001B1E93"/>
    <w:rsid w:val="001B24DC"/>
    <w:rsid w:val="001B54EE"/>
    <w:rsid w:val="001B5A63"/>
    <w:rsid w:val="001B65C1"/>
    <w:rsid w:val="001C1211"/>
    <w:rsid w:val="001C260F"/>
    <w:rsid w:val="001C33F1"/>
    <w:rsid w:val="001C684B"/>
    <w:rsid w:val="001D0CFB"/>
    <w:rsid w:val="001D21AF"/>
    <w:rsid w:val="001D53FC"/>
    <w:rsid w:val="001E05A4"/>
    <w:rsid w:val="001F42A5"/>
    <w:rsid w:val="001F6E1F"/>
    <w:rsid w:val="001F7B9D"/>
    <w:rsid w:val="00201C93"/>
    <w:rsid w:val="0020603E"/>
    <w:rsid w:val="0021613E"/>
    <w:rsid w:val="002224B4"/>
    <w:rsid w:val="00226D82"/>
    <w:rsid w:val="00236842"/>
    <w:rsid w:val="00240ED9"/>
    <w:rsid w:val="0024373B"/>
    <w:rsid w:val="002447EF"/>
    <w:rsid w:val="00251550"/>
    <w:rsid w:val="00263B05"/>
    <w:rsid w:val="0027221A"/>
    <w:rsid w:val="00275B61"/>
    <w:rsid w:val="00280FAF"/>
    <w:rsid w:val="00282656"/>
    <w:rsid w:val="00296B83"/>
    <w:rsid w:val="002B4015"/>
    <w:rsid w:val="002B78CE"/>
    <w:rsid w:val="002C2FB6"/>
    <w:rsid w:val="002D75D4"/>
    <w:rsid w:val="002E40E7"/>
    <w:rsid w:val="002E5FA7"/>
    <w:rsid w:val="002E647C"/>
    <w:rsid w:val="002F3309"/>
    <w:rsid w:val="003008CE"/>
    <w:rsid w:val="003009B7"/>
    <w:rsid w:val="00300E56"/>
    <w:rsid w:val="0030152C"/>
    <w:rsid w:val="0030469C"/>
    <w:rsid w:val="003168D7"/>
    <w:rsid w:val="00321CA6"/>
    <w:rsid w:val="00322184"/>
    <w:rsid w:val="00323763"/>
    <w:rsid w:val="00323C5F"/>
    <w:rsid w:val="00334C09"/>
    <w:rsid w:val="00337036"/>
    <w:rsid w:val="003626A2"/>
    <w:rsid w:val="003653A7"/>
    <w:rsid w:val="003723D4"/>
    <w:rsid w:val="00381905"/>
    <w:rsid w:val="00384CC8"/>
    <w:rsid w:val="003871FD"/>
    <w:rsid w:val="003959AA"/>
    <w:rsid w:val="003A1E30"/>
    <w:rsid w:val="003A2829"/>
    <w:rsid w:val="003A7D1C"/>
    <w:rsid w:val="003B304B"/>
    <w:rsid w:val="003B3146"/>
    <w:rsid w:val="003D1E02"/>
    <w:rsid w:val="003E1135"/>
    <w:rsid w:val="003F015E"/>
    <w:rsid w:val="00400414"/>
    <w:rsid w:val="0041446B"/>
    <w:rsid w:val="00431AEF"/>
    <w:rsid w:val="00431F53"/>
    <w:rsid w:val="0044071E"/>
    <w:rsid w:val="0044329C"/>
    <w:rsid w:val="00445F95"/>
    <w:rsid w:val="00453E24"/>
    <w:rsid w:val="00457456"/>
    <w:rsid w:val="004577FE"/>
    <w:rsid w:val="00457B9C"/>
    <w:rsid w:val="0046164A"/>
    <w:rsid w:val="004628D2"/>
    <w:rsid w:val="00462DCD"/>
    <w:rsid w:val="004648AD"/>
    <w:rsid w:val="004703A9"/>
    <w:rsid w:val="004760DE"/>
    <w:rsid w:val="004763D7"/>
    <w:rsid w:val="004814DA"/>
    <w:rsid w:val="004A004E"/>
    <w:rsid w:val="004A24CF"/>
    <w:rsid w:val="004A5E57"/>
    <w:rsid w:val="004C194F"/>
    <w:rsid w:val="004C3D1D"/>
    <w:rsid w:val="004C3D84"/>
    <w:rsid w:val="004C7913"/>
    <w:rsid w:val="004D4122"/>
    <w:rsid w:val="004E4DD6"/>
    <w:rsid w:val="004E6C20"/>
    <w:rsid w:val="004F5E36"/>
    <w:rsid w:val="00507B47"/>
    <w:rsid w:val="00507BEF"/>
    <w:rsid w:val="00507CC9"/>
    <w:rsid w:val="005102E0"/>
    <w:rsid w:val="005119A5"/>
    <w:rsid w:val="00521F85"/>
    <w:rsid w:val="005278B7"/>
    <w:rsid w:val="00531BC1"/>
    <w:rsid w:val="00532016"/>
    <w:rsid w:val="005346C8"/>
    <w:rsid w:val="005376FE"/>
    <w:rsid w:val="00543E7D"/>
    <w:rsid w:val="00547A68"/>
    <w:rsid w:val="00550D01"/>
    <w:rsid w:val="005531C9"/>
    <w:rsid w:val="00570C43"/>
    <w:rsid w:val="00590128"/>
    <w:rsid w:val="00592274"/>
    <w:rsid w:val="005928F3"/>
    <w:rsid w:val="00595009"/>
    <w:rsid w:val="005B2110"/>
    <w:rsid w:val="005B61E6"/>
    <w:rsid w:val="005C6C84"/>
    <w:rsid w:val="005C77E1"/>
    <w:rsid w:val="005D668A"/>
    <w:rsid w:val="005D6A2F"/>
    <w:rsid w:val="005E0592"/>
    <w:rsid w:val="005E1A82"/>
    <w:rsid w:val="005E794C"/>
    <w:rsid w:val="005F0A28"/>
    <w:rsid w:val="005F0E5E"/>
    <w:rsid w:val="00600535"/>
    <w:rsid w:val="00610CD6"/>
    <w:rsid w:val="00616B10"/>
    <w:rsid w:val="00620DEE"/>
    <w:rsid w:val="00621F92"/>
    <w:rsid w:val="0062280A"/>
    <w:rsid w:val="006231E1"/>
    <w:rsid w:val="00625639"/>
    <w:rsid w:val="00631B33"/>
    <w:rsid w:val="006359D9"/>
    <w:rsid w:val="006373A7"/>
    <w:rsid w:val="0064184D"/>
    <w:rsid w:val="006422CC"/>
    <w:rsid w:val="00645EDB"/>
    <w:rsid w:val="00651D18"/>
    <w:rsid w:val="00652460"/>
    <w:rsid w:val="006554AB"/>
    <w:rsid w:val="00660E3E"/>
    <w:rsid w:val="00662E74"/>
    <w:rsid w:val="0066496E"/>
    <w:rsid w:val="0066643F"/>
    <w:rsid w:val="00680C23"/>
    <w:rsid w:val="00683E23"/>
    <w:rsid w:val="00693766"/>
    <w:rsid w:val="00696BFB"/>
    <w:rsid w:val="006A3281"/>
    <w:rsid w:val="006B4307"/>
    <w:rsid w:val="006B4888"/>
    <w:rsid w:val="006C2E45"/>
    <w:rsid w:val="006C359C"/>
    <w:rsid w:val="006C5579"/>
    <w:rsid w:val="006D6E8B"/>
    <w:rsid w:val="006D7209"/>
    <w:rsid w:val="006E2702"/>
    <w:rsid w:val="006E4989"/>
    <w:rsid w:val="006E737D"/>
    <w:rsid w:val="00707DD1"/>
    <w:rsid w:val="00713973"/>
    <w:rsid w:val="00720A24"/>
    <w:rsid w:val="00732386"/>
    <w:rsid w:val="0073514D"/>
    <w:rsid w:val="007447F3"/>
    <w:rsid w:val="0075499F"/>
    <w:rsid w:val="007617CC"/>
    <w:rsid w:val="00765089"/>
    <w:rsid w:val="007661C8"/>
    <w:rsid w:val="0077098D"/>
    <w:rsid w:val="00785BF9"/>
    <w:rsid w:val="007931FA"/>
    <w:rsid w:val="007A4861"/>
    <w:rsid w:val="007A7BBA"/>
    <w:rsid w:val="007B0C50"/>
    <w:rsid w:val="007B48F9"/>
    <w:rsid w:val="007C1A43"/>
    <w:rsid w:val="007D0951"/>
    <w:rsid w:val="007E4DDD"/>
    <w:rsid w:val="007F27C8"/>
    <w:rsid w:val="0080013E"/>
    <w:rsid w:val="0080184B"/>
    <w:rsid w:val="00810104"/>
    <w:rsid w:val="00813288"/>
    <w:rsid w:val="008168FC"/>
    <w:rsid w:val="00825F83"/>
    <w:rsid w:val="00830996"/>
    <w:rsid w:val="008314D7"/>
    <w:rsid w:val="008345F1"/>
    <w:rsid w:val="00864A4B"/>
    <w:rsid w:val="00865B07"/>
    <w:rsid w:val="00865CE8"/>
    <w:rsid w:val="008667EA"/>
    <w:rsid w:val="008708CF"/>
    <w:rsid w:val="00872F25"/>
    <w:rsid w:val="0087637F"/>
    <w:rsid w:val="00892AD5"/>
    <w:rsid w:val="008A1512"/>
    <w:rsid w:val="008B0EF6"/>
    <w:rsid w:val="008C5A75"/>
    <w:rsid w:val="008C5F50"/>
    <w:rsid w:val="008C6CEF"/>
    <w:rsid w:val="008D32B9"/>
    <w:rsid w:val="008D433B"/>
    <w:rsid w:val="008D4A16"/>
    <w:rsid w:val="008E209A"/>
    <w:rsid w:val="008E45BC"/>
    <w:rsid w:val="008E566E"/>
    <w:rsid w:val="0090161A"/>
    <w:rsid w:val="00901EB6"/>
    <w:rsid w:val="009041F8"/>
    <w:rsid w:val="00904C62"/>
    <w:rsid w:val="00907CC7"/>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B041A"/>
    <w:rsid w:val="009C37C3"/>
    <w:rsid w:val="009C7C86"/>
    <w:rsid w:val="009D0A7E"/>
    <w:rsid w:val="009D2FF7"/>
    <w:rsid w:val="009D3995"/>
    <w:rsid w:val="009E7884"/>
    <w:rsid w:val="009E788A"/>
    <w:rsid w:val="009F0E08"/>
    <w:rsid w:val="009F2B7E"/>
    <w:rsid w:val="00A079AE"/>
    <w:rsid w:val="00A10CE1"/>
    <w:rsid w:val="00A1462A"/>
    <w:rsid w:val="00A1763D"/>
    <w:rsid w:val="00A17CEC"/>
    <w:rsid w:val="00A26CBB"/>
    <w:rsid w:val="00A27EF0"/>
    <w:rsid w:val="00A42361"/>
    <w:rsid w:val="00A43FD6"/>
    <w:rsid w:val="00A50B20"/>
    <w:rsid w:val="00A51390"/>
    <w:rsid w:val="00A60D13"/>
    <w:rsid w:val="00A61A42"/>
    <w:rsid w:val="00A7223D"/>
    <w:rsid w:val="00A72745"/>
    <w:rsid w:val="00A76EFC"/>
    <w:rsid w:val="00A807AC"/>
    <w:rsid w:val="00A812F4"/>
    <w:rsid w:val="00A84935"/>
    <w:rsid w:val="00A87D50"/>
    <w:rsid w:val="00A91010"/>
    <w:rsid w:val="00A94700"/>
    <w:rsid w:val="00A97F29"/>
    <w:rsid w:val="00AA702E"/>
    <w:rsid w:val="00AA7D26"/>
    <w:rsid w:val="00AB0964"/>
    <w:rsid w:val="00AB5011"/>
    <w:rsid w:val="00AC7368"/>
    <w:rsid w:val="00AD0278"/>
    <w:rsid w:val="00AD16B9"/>
    <w:rsid w:val="00AE377D"/>
    <w:rsid w:val="00AE5B29"/>
    <w:rsid w:val="00AF0EBA"/>
    <w:rsid w:val="00B02C8A"/>
    <w:rsid w:val="00B10041"/>
    <w:rsid w:val="00B17FBD"/>
    <w:rsid w:val="00B315A6"/>
    <w:rsid w:val="00B31813"/>
    <w:rsid w:val="00B33365"/>
    <w:rsid w:val="00B3661C"/>
    <w:rsid w:val="00B57B36"/>
    <w:rsid w:val="00B57E6F"/>
    <w:rsid w:val="00B84483"/>
    <w:rsid w:val="00B8686D"/>
    <w:rsid w:val="00B93F69"/>
    <w:rsid w:val="00BA0B6F"/>
    <w:rsid w:val="00BA4A43"/>
    <w:rsid w:val="00BB1DDC"/>
    <w:rsid w:val="00BB3769"/>
    <w:rsid w:val="00BC28BE"/>
    <w:rsid w:val="00BC30C9"/>
    <w:rsid w:val="00BD077D"/>
    <w:rsid w:val="00BD519C"/>
    <w:rsid w:val="00BE3E58"/>
    <w:rsid w:val="00BE5C2F"/>
    <w:rsid w:val="00BF4B4D"/>
    <w:rsid w:val="00BF582F"/>
    <w:rsid w:val="00C01616"/>
    <w:rsid w:val="00C0162B"/>
    <w:rsid w:val="00C068ED"/>
    <w:rsid w:val="00C208E9"/>
    <w:rsid w:val="00C22A69"/>
    <w:rsid w:val="00C22E0C"/>
    <w:rsid w:val="00C345B1"/>
    <w:rsid w:val="00C40142"/>
    <w:rsid w:val="00C453F4"/>
    <w:rsid w:val="00C46744"/>
    <w:rsid w:val="00C52C3C"/>
    <w:rsid w:val="00C55106"/>
    <w:rsid w:val="00C57182"/>
    <w:rsid w:val="00C57863"/>
    <w:rsid w:val="00C608DD"/>
    <w:rsid w:val="00C640AF"/>
    <w:rsid w:val="00C655FD"/>
    <w:rsid w:val="00C72342"/>
    <w:rsid w:val="00C75407"/>
    <w:rsid w:val="00C841C6"/>
    <w:rsid w:val="00C870A8"/>
    <w:rsid w:val="00C94434"/>
    <w:rsid w:val="00CA0D75"/>
    <w:rsid w:val="00CA1C95"/>
    <w:rsid w:val="00CA4744"/>
    <w:rsid w:val="00CA5A9C"/>
    <w:rsid w:val="00CA5D47"/>
    <w:rsid w:val="00CC351B"/>
    <w:rsid w:val="00CC4C20"/>
    <w:rsid w:val="00CD3517"/>
    <w:rsid w:val="00CD46F4"/>
    <w:rsid w:val="00CD5C46"/>
    <w:rsid w:val="00CD5FE2"/>
    <w:rsid w:val="00CD69C9"/>
    <w:rsid w:val="00CE7C68"/>
    <w:rsid w:val="00D02550"/>
    <w:rsid w:val="00D02B4C"/>
    <w:rsid w:val="00D040C4"/>
    <w:rsid w:val="00D20AD1"/>
    <w:rsid w:val="00D2582C"/>
    <w:rsid w:val="00D35C11"/>
    <w:rsid w:val="00D42D1D"/>
    <w:rsid w:val="00D46B7E"/>
    <w:rsid w:val="00D57C84"/>
    <w:rsid w:val="00D6057D"/>
    <w:rsid w:val="00D60D31"/>
    <w:rsid w:val="00D71640"/>
    <w:rsid w:val="00D836C5"/>
    <w:rsid w:val="00D84576"/>
    <w:rsid w:val="00DA1399"/>
    <w:rsid w:val="00DA24C6"/>
    <w:rsid w:val="00DA4123"/>
    <w:rsid w:val="00DA49CD"/>
    <w:rsid w:val="00DA4D7B"/>
    <w:rsid w:val="00DA5508"/>
    <w:rsid w:val="00DD271C"/>
    <w:rsid w:val="00DD7A14"/>
    <w:rsid w:val="00DE264A"/>
    <w:rsid w:val="00DF07C2"/>
    <w:rsid w:val="00DF5072"/>
    <w:rsid w:val="00E02D18"/>
    <w:rsid w:val="00E041E7"/>
    <w:rsid w:val="00E10790"/>
    <w:rsid w:val="00E22048"/>
    <w:rsid w:val="00E2211D"/>
    <w:rsid w:val="00E23CA1"/>
    <w:rsid w:val="00E409A8"/>
    <w:rsid w:val="00E43C87"/>
    <w:rsid w:val="00E47D61"/>
    <w:rsid w:val="00E50C12"/>
    <w:rsid w:val="00E63A94"/>
    <w:rsid w:val="00E652E9"/>
    <w:rsid w:val="00E65B91"/>
    <w:rsid w:val="00E67F8E"/>
    <w:rsid w:val="00E7209D"/>
    <w:rsid w:val="00E72EAD"/>
    <w:rsid w:val="00E77223"/>
    <w:rsid w:val="00E8528B"/>
    <w:rsid w:val="00E85B94"/>
    <w:rsid w:val="00E90A3C"/>
    <w:rsid w:val="00E978D0"/>
    <w:rsid w:val="00EA4613"/>
    <w:rsid w:val="00EA7949"/>
    <w:rsid w:val="00EA7F91"/>
    <w:rsid w:val="00EB1523"/>
    <w:rsid w:val="00EC0E49"/>
    <w:rsid w:val="00EC101F"/>
    <w:rsid w:val="00EC1D9F"/>
    <w:rsid w:val="00ED5DFC"/>
    <w:rsid w:val="00EE0131"/>
    <w:rsid w:val="00EE17B0"/>
    <w:rsid w:val="00EE1FF2"/>
    <w:rsid w:val="00EF06D9"/>
    <w:rsid w:val="00EF0982"/>
    <w:rsid w:val="00EF1FED"/>
    <w:rsid w:val="00F3049E"/>
    <w:rsid w:val="00F30C64"/>
    <w:rsid w:val="00F32BA2"/>
    <w:rsid w:val="00F32BE0"/>
    <w:rsid w:val="00F32CDB"/>
    <w:rsid w:val="00F3348F"/>
    <w:rsid w:val="00F37280"/>
    <w:rsid w:val="00F41B1E"/>
    <w:rsid w:val="00F41EE4"/>
    <w:rsid w:val="00F565FE"/>
    <w:rsid w:val="00F63A70"/>
    <w:rsid w:val="00F63D8C"/>
    <w:rsid w:val="00F645E7"/>
    <w:rsid w:val="00F7534E"/>
    <w:rsid w:val="00F93EDF"/>
    <w:rsid w:val="00FA1802"/>
    <w:rsid w:val="00FA21D0"/>
    <w:rsid w:val="00FA5F5F"/>
    <w:rsid w:val="00FB1ED1"/>
    <w:rsid w:val="00FB730C"/>
    <w:rsid w:val="00FC2695"/>
    <w:rsid w:val="00FC3E03"/>
    <w:rsid w:val="00FC3FC1"/>
    <w:rsid w:val="00FF67C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F829E670-3C1B-4B3E-8E35-E3A0CC2F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0B7E87"/>
    <w:pPr>
      <w:keepNext/>
      <w:numPr>
        <w:ilvl w:val="2"/>
        <w:numId w:val="1"/>
      </w:numPr>
      <w:suppressAutoHyphens/>
      <w:spacing w:before="240" w:after="240" w:line="240" w:lineRule="auto"/>
    </w:pPr>
    <w:rPr>
      <w:rFonts w:ascii="Arial" w:eastAsia="Times New Roman" w:hAnsi="Arial" w:cs="Times New Roman"/>
      <w:b/>
      <w:sz w:val="18"/>
      <w:szCs w:val="20"/>
      <w:lang w:val="en-GB"/>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0B7E87"/>
    <w:rPr>
      <w:rFonts w:ascii="Arial" w:eastAsia="Times New Roman" w:hAnsi="Arial" w:cs="Times New Roman"/>
      <w:b/>
      <w:sz w:val="18"/>
      <w:szCs w:val="20"/>
      <w:lang w:val="en-GB"/>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after="240"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trike w:val="0"/>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Rimandonotaapidipagina">
    <w:name w:val="footnote reference"/>
    <w:basedOn w:val="Carpredefinitoparagrafo"/>
    <w:uiPriority w:val="99"/>
    <w:semiHidden/>
    <w:unhideWhenUsed/>
    <w:rsid w:val="008C6CEF"/>
    <w:rPr>
      <w:vertAlign w:val="superscript"/>
    </w:rPr>
  </w:style>
  <w:style w:type="character" w:styleId="Enfasigrassetto">
    <w:name w:val="Strong"/>
    <w:basedOn w:val="Carpredefinitoparagrafo"/>
    <w:uiPriority w:val="22"/>
    <w:qFormat/>
    <w:rsid w:val="00AE5B29"/>
    <w:rPr>
      <w:b/>
      <w:bCs/>
    </w:rPr>
  </w:style>
  <w:style w:type="character" w:customStyle="1" w:styleId="katex-mathml">
    <w:name w:val="katex-mathml"/>
    <w:basedOn w:val="Carpredefinitoparagrafo"/>
    <w:rsid w:val="00DF07C2"/>
  </w:style>
  <w:style w:type="character" w:customStyle="1" w:styleId="mord">
    <w:name w:val="mord"/>
    <w:basedOn w:val="Carpredefinitoparagrafo"/>
    <w:rsid w:val="00DF07C2"/>
  </w:style>
  <w:style w:type="character" w:customStyle="1" w:styleId="vlist-s">
    <w:name w:val="vlist-s"/>
    <w:basedOn w:val="Carpredefinitoparagrafo"/>
    <w:rsid w:val="00DF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5082">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i_mobl17m5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FE67A-4849-4C7C-897B-085DFBB1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Pages>
  <Words>8144</Words>
  <Characters>46421</Characters>
  <Application>Microsoft Office Word</Application>
  <DocSecurity>0</DocSecurity>
  <Lines>386</Lines>
  <Paragraphs>108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54457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dc:description/>
  <cp:lastModifiedBy>Lorenzo Raso</cp:lastModifiedBy>
  <cp:revision>40</cp:revision>
  <cp:lastPrinted>2015-05-12T18:31:00Z</cp:lastPrinted>
  <dcterms:created xsi:type="dcterms:W3CDTF">2026-04-22T17:12:00Z</dcterms:created>
  <dcterms:modified xsi:type="dcterms:W3CDTF">2026-06-16T14:56:00Z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id="JeTUUDu7"/&gt;&lt;style id="http://www.zotero.org/styles/chicago-author-date" locale="it-IT" hasBibliography="1" bibliographyStyleHasBeenSet="1"/&gt;&lt;prefs&gt;&lt;pref name="fieldType" value="Field"/&gt;&lt;pref name</vt:lpwstr>
  </property>
  <property fmtid="{D5CDD505-2E9C-101B-9397-08002B2CF9AE}" pid="3" name="ZOTERO_PREF_2">
    <vt:lpwstr>="storeReferences" value="true"/&gt;&lt;/prefs&gt;&lt;/data&gt;</vt:lpwstr>
  </property>
</Properties>
</file>