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bottom w:val="single" w:sz="4" w:space="0" w:color="auto"/>
        </w:tblBorders>
        <w:tblLook w:val="01E0" w:firstRow="1" w:lastRow="1" w:firstColumn="1" w:lastColumn="1" w:noHBand="0" w:noVBand="0"/>
      </w:tblPr>
      <w:tblGrid>
        <w:gridCol w:w="6940"/>
        <w:gridCol w:w="1842"/>
      </w:tblGrid>
      <w:tr w:rsidR="000A03B2" w:rsidRPr="00AF0DE2" w14:paraId="2A131A54" w14:textId="77777777" w:rsidTr="00A030B4">
        <w:trPr>
          <w:trHeight w:val="852"/>
          <w:jc w:val="center"/>
        </w:trPr>
        <w:tc>
          <w:tcPr>
            <w:tcW w:w="6940" w:type="dxa"/>
            <w:vMerge w:val="restart"/>
            <w:tcBorders>
              <w:right w:val="single" w:sz="4" w:space="0" w:color="auto"/>
            </w:tcBorders>
          </w:tcPr>
          <w:p w14:paraId="38C3D2BA" w14:textId="77777777" w:rsidR="000A03B2" w:rsidRPr="00AF0DE2" w:rsidRDefault="000A03B2" w:rsidP="00DE264A">
            <w:pPr>
              <w:tabs>
                <w:tab w:val="left" w:pos="-108"/>
              </w:tabs>
              <w:ind w:left="-108"/>
              <w:jc w:val="left"/>
              <w:rPr>
                <w:rFonts w:cs="Arial"/>
                <w:b/>
                <w:bCs/>
                <w:i/>
                <w:iCs/>
                <w:color w:val="000066"/>
                <w:sz w:val="12"/>
                <w:szCs w:val="12"/>
                <w:lang w:eastAsia="it-IT"/>
              </w:rPr>
            </w:pPr>
            <w:bookmarkStart w:id="0" w:name="_Hlk145068772"/>
            <w:r w:rsidRPr="00AF0DE2">
              <w:rPr>
                <w:rFonts w:cs="Arial"/>
                <w:noProof/>
                <w:color w:val="241F20"/>
                <w:szCs w:val="18"/>
                <w:lang w:val="it-IT" w:eastAsia="it-IT"/>
              </w:rPr>
              <w:drawing>
                <wp:inline distT="0" distB="0" distL="0" distR="0" wp14:anchorId="02B7C3D3" wp14:editId="5EE03112">
                  <wp:extent cx="640080" cy="373380"/>
                  <wp:effectExtent l="0" t="0" r="7620" b="7620"/>
                  <wp:docPr id="5" name="Immagine 5" descr="ce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et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0080" cy="373380"/>
                          </a:xfrm>
                          <a:prstGeom prst="rect">
                            <a:avLst/>
                          </a:prstGeom>
                          <a:noFill/>
                          <a:ln>
                            <a:noFill/>
                          </a:ln>
                        </pic:spPr>
                      </pic:pic>
                    </a:graphicData>
                  </a:graphic>
                </wp:inline>
              </w:drawing>
            </w:r>
            <w:r w:rsidRPr="00AF0DE2">
              <w:rPr>
                <w:rFonts w:cs="Arial"/>
                <w:color w:val="241F20"/>
                <w:szCs w:val="18"/>
                <w:lang w:eastAsia="it-IT"/>
              </w:rPr>
              <w:t xml:space="preserve"> </w:t>
            </w:r>
            <w:r w:rsidRPr="00AF0DE2">
              <w:rPr>
                <w:rFonts w:cs="Arial"/>
                <w:b/>
                <w:bCs/>
                <w:i/>
                <w:iCs/>
                <w:color w:val="000066"/>
                <w:sz w:val="24"/>
                <w:szCs w:val="24"/>
                <w:lang w:eastAsia="it-IT"/>
              </w:rPr>
              <w:t>CHEMICAL ENGINEERING</w:t>
            </w:r>
            <w:r w:rsidRPr="00AF0DE2">
              <w:rPr>
                <w:rFonts w:cs="Arial"/>
                <w:b/>
                <w:bCs/>
                <w:i/>
                <w:iCs/>
                <w:color w:val="0033FF"/>
                <w:sz w:val="24"/>
                <w:szCs w:val="24"/>
                <w:lang w:eastAsia="it-IT"/>
              </w:rPr>
              <w:t xml:space="preserve"> </w:t>
            </w:r>
            <w:r w:rsidRPr="00AF0DE2">
              <w:rPr>
                <w:rFonts w:cs="Arial"/>
                <w:b/>
                <w:bCs/>
                <w:i/>
                <w:iCs/>
                <w:color w:val="666666"/>
                <w:sz w:val="24"/>
                <w:szCs w:val="24"/>
                <w:lang w:eastAsia="it-IT"/>
              </w:rPr>
              <w:t>TRANSACTIONS</w:t>
            </w:r>
            <w:r w:rsidRPr="00AF0DE2">
              <w:rPr>
                <w:rFonts w:cs="Arial"/>
                <w:color w:val="333333"/>
                <w:sz w:val="24"/>
                <w:szCs w:val="24"/>
                <w:lang w:eastAsia="it-IT"/>
              </w:rPr>
              <w:t xml:space="preserve"> </w:t>
            </w:r>
            <w:r w:rsidRPr="00AF0DE2">
              <w:rPr>
                <w:rFonts w:cs="Arial"/>
                <w:b/>
                <w:bCs/>
                <w:i/>
                <w:iCs/>
                <w:color w:val="000066"/>
                <w:sz w:val="27"/>
                <w:szCs w:val="27"/>
                <w:lang w:eastAsia="it-IT"/>
              </w:rPr>
              <w:br/>
            </w:r>
          </w:p>
          <w:p w14:paraId="4B780582" w14:textId="753620B8" w:rsidR="000A03B2" w:rsidRPr="00AF0DE2" w:rsidRDefault="00A76EFC" w:rsidP="001D21AF">
            <w:pPr>
              <w:tabs>
                <w:tab w:val="left" w:pos="-108"/>
              </w:tabs>
              <w:ind w:left="-108"/>
              <w:rPr>
                <w:rFonts w:cs="Arial"/>
                <w:b/>
                <w:bCs/>
                <w:i/>
                <w:iCs/>
                <w:color w:val="000066"/>
                <w:sz w:val="22"/>
                <w:szCs w:val="22"/>
                <w:lang w:eastAsia="it-IT"/>
              </w:rPr>
            </w:pPr>
            <w:r w:rsidRPr="00AF0DE2">
              <w:rPr>
                <w:rFonts w:cs="Arial"/>
                <w:b/>
                <w:bCs/>
                <w:i/>
                <w:iCs/>
                <w:color w:val="000066"/>
                <w:sz w:val="22"/>
                <w:szCs w:val="22"/>
                <w:lang w:eastAsia="it-IT"/>
              </w:rPr>
              <w:t>VOL.</w:t>
            </w:r>
            <w:r w:rsidR="00785BF9" w:rsidRPr="00AF0DE2">
              <w:rPr>
                <w:rFonts w:cs="Arial"/>
                <w:b/>
                <w:bCs/>
                <w:i/>
                <w:iCs/>
                <w:color w:val="000066"/>
                <w:sz w:val="22"/>
                <w:szCs w:val="22"/>
                <w:lang w:eastAsia="it-IT"/>
              </w:rPr>
              <w:t xml:space="preserve"> </w:t>
            </w:r>
            <w:r w:rsidR="00AD0278" w:rsidRPr="00AF0DE2">
              <w:rPr>
                <w:rFonts w:cs="Arial"/>
                <w:b/>
                <w:bCs/>
                <w:i/>
                <w:iCs/>
                <w:color w:val="000066"/>
                <w:sz w:val="22"/>
                <w:szCs w:val="22"/>
                <w:lang w:eastAsia="it-IT"/>
              </w:rPr>
              <w:t>xxx</w:t>
            </w:r>
            <w:r w:rsidR="007B48F9" w:rsidRPr="00AF0DE2">
              <w:rPr>
                <w:rFonts w:cs="Arial"/>
                <w:b/>
                <w:bCs/>
                <w:i/>
                <w:iCs/>
                <w:color w:val="000066"/>
                <w:sz w:val="22"/>
                <w:szCs w:val="22"/>
                <w:lang w:eastAsia="it-IT"/>
              </w:rPr>
              <w:t>,</w:t>
            </w:r>
            <w:r w:rsidR="00FA5F5F" w:rsidRPr="00AF0DE2">
              <w:rPr>
                <w:rFonts w:cs="Arial"/>
                <w:b/>
                <w:bCs/>
                <w:i/>
                <w:iCs/>
                <w:color w:val="000066"/>
                <w:sz w:val="22"/>
                <w:szCs w:val="22"/>
                <w:lang w:eastAsia="it-IT"/>
              </w:rPr>
              <w:t xml:space="preserve"> </w:t>
            </w:r>
            <w:r w:rsidR="0030152C" w:rsidRPr="00AF0DE2">
              <w:rPr>
                <w:rFonts w:cs="Arial"/>
                <w:b/>
                <w:bCs/>
                <w:i/>
                <w:iCs/>
                <w:color w:val="000066"/>
                <w:sz w:val="22"/>
                <w:szCs w:val="22"/>
                <w:lang w:eastAsia="it-IT"/>
              </w:rPr>
              <w:t>202</w:t>
            </w:r>
            <w:r w:rsidR="00AD0278" w:rsidRPr="00AF0DE2">
              <w:rPr>
                <w:rFonts w:cs="Arial"/>
                <w:b/>
                <w:bCs/>
                <w:i/>
                <w:iCs/>
                <w:color w:val="000066"/>
                <w:sz w:val="22"/>
                <w:szCs w:val="22"/>
                <w:lang w:eastAsia="it-IT"/>
              </w:rPr>
              <w:t>6</w:t>
            </w:r>
          </w:p>
        </w:tc>
        <w:tc>
          <w:tcPr>
            <w:tcW w:w="1842" w:type="dxa"/>
            <w:tcBorders>
              <w:left w:val="single" w:sz="4" w:space="0" w:color="auto"/>
              <w:bottom w:val="nil"/>
              <w:right w:val="single" w:sz="4" w:space="0" w:color="auto"/>
            </w:tcBorders>
          </w:tcPr>
          <w:p w14:paraId="56782132" w14:textId="77777777" w:rsidR="000A03B2" w:rsidRPr="00AF0DE2" w:rsidRDefault="000A03B2" w:rsidP="00CD5FE2">
            <w:pPr>
              <w:spacing w:line="140" w:lineRule="atLeast"/>
              <w:jc w:val="right"/>
              <w:rPr>
                <w:rFonts w:cs="Arial"/>
                <w:sz w:val="14"/>
                <w:szCs w:val="14"/>
              </w:rPr>
            </w:pPr>
            <w:r w:rsidRPr="00AF0DE2">
              <w:rPr>
                <w:rFonts w:cs="Arial"/>
                <w:sz w:val="14"/>
                <w:szCs w:val="14"/>
              </w:rPr>
              <w:t>A publication of</w:t>
            </w:r>
          </w:p>
          <w:p w14:paraId="599E5441" w14:textId="77777777" w:rsidR="000A03B2" w:rsidRPr="00AF0DE2" w:rsidRDefault="000A03B2" w:rsidP="00CD5FE2">
            <w:pPr>
              <w:jc w:val="right"/>
              <w:rPr>
                <w:rFonts w:cs="Arial"/>
              </w:rPr>
            </w:pPr>
            <w:r w:rsidRPr="00AF0DE2">
              <w:rPr>
                <w:rFonts w:cs="Arial"/>
                <w:noProof/>
                <w:lang w:val="it-IT" w:eastAsia="it-IT"/>
              </w:rPr>
              <w:drawing>
                <wp:inline distT="0" distB="0" distL="0" distR="0" wp14:anchorId="59C75AF4" wp14:editId="4FF92432">
                  <wp:extent cx="670560" cy="358140"/>
                  <wp:effectExtent l="0" t="0" r="0" b="3810"/>
                  <wp:docPr id="6" name="Immagine 6" descr="aidiclogo_gra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idiclogo_grand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0560" cy="358140"/>
                          </a:xfrm>
                          <a:prstGeom prst="rect">
                            <a:avLst/>
                          </a:prstGeom>
                          <a:noFill/>
                          <a:ln>
                            <a:noFill/>
                          </a:ln>
                        </pic:spPr>
                      </pic:pic>
                    </a:graphicData>
                  </a:graphic>
                </wp:inline>
              </w:drawing>
            </w:r>
          </w:p>
        </w:tc>
      </w:tr>
      <w:tr w:rsidR="000A03B2" w:rsidRPr="00AF0DE2" w14:paraId="380FA3CD" w14:textId="77777777" w:rsidTr="00A030B4">
        <w:trPr>
          <w:trHeight w:val="567"/>
          <w:jc w:val="center"/>
        </w:trPr>
        <w:tc>
          <w:tcPr>
            <w:tcW w:w="6940" w:type="dxa"/>
            <w:vMerge/>
            <w:tcBorders>
              <w:right w:val="single" w:sz="4" w:space="0" w:color="auto"/>
            </w:tcBorders>
          </w:tcPr>
          <w:p w14:paraId="39E5E4C1" w14:textId="77777777" w:rsidR="000A03B2" w:rsidRPr="00AF0DE2" w:rsidRDefault="000A03B2" w:rsidP="00CD5FE2">
            <w:pPr>
              <w:tabs>
                <w:tab w:val="left" w:pos="-108"/>
              </w:tabs>
              <w:rPr>
                <w:rFonts w:cs="Arial"/>
              </w:rPr>
            </w:pPr>
          </w:p>
        </w:tc>
        <w:tc>
          <w:tcPr>
            <w:tcW w:w="1842" w:type="dxa"/>
            <w:tcBorders>
              <w:left w:val="single" w:sz="4" w:space="0" w:color="auto"/>
              <w:bottom w:val="nil"/>
              <w:right w:val="single" w:sz="4" w:space="0" w:color="auto"/>
            </w:tcBorders>
          </w:tcPr>
          <w:p w14:paraId="43858A98" w14:textId="77777777" w:rsidR="000A03B2" w:rsidRPr="00AF0DE2" w:rsidRDefault="000A03B2" w:rsidP="00CD5FE2">
            <w:pPr>
              <w:spacing w:line="140" w:lineRule="atLeast"/>
              <w:jc w:val="right"/>
              <w:rPr>
                <w:rFonts w:cs="Arial"/>
                <w:sz w:val="14"/>
                <w:szCs w:val="14"/>
              </w:rPr>
            </w:pPr>
            <w:r w:rsidRPr="00AF0DE2">
              <w:rPr>
                <w:rFonts w:cs="Arial"/>
                <w:sz w:val="14"/>
                <w:szCs w:val="14"/>
              </w:rPr>
              <w:t>The Italian Association</w:t>
            </w:r>
          </w:p>
          <w:p w14:paraId="7522B1D2" w14:textId="77777777" w:rsidR="000A03B2" w:rsidRPr="00AF0DE2" w:rsidRDefault="000A03B2" w:rsidP="00CD5FE2">
            <w:pPr>
              <w:spacing w:line="140" w:lineRule="atLeast"/>
              <w:jc w:val="right"/>
              <w:rPr>
                <w:rFonts w:cs="Arial"/>
                <w:sz w:val="14"/>
                <w:szCs w:val="14"/>
              </w:rPr>
            </w:pPr>
            <w:r w:rsidRPr="00AF0DE2">
              <w:rPr>
                <w:rFonts w:cs="Arial"/>
                <w:sz w:val="14"/>
                <w:szCs w:val="14"/>
              </w:rPr>
              <w:t>of Chemical Engineering</w:t>
            </w:r>
          </w:p>
          <w:p w14:paraId="4F0CC5DE" w14:textId="47FDB2FC" w:rsidR="000A03B2" w:rsidRPr="00AF0DE2" w:rsidRDefault="000D0268" w:rsidP="00CD5FE2">
            <w:pPr>
              <w:spacing w:line="140" w:lineRule="atLeast"/>
              <w:jc w:val="right"/>
              <w:rPr>
                <w:rFonts w:cs="Arial"/>
                <w:sz w:val="13"/>
                <w:szCs w:val="13"/>
              </w:rPr>
            </w:pPr>
            <w:r w:rsidRPr="00AF0DE2">
              <w:rPr>
                <w:rFonts w:cs="Arial"/>
                <w:sz w:val="13"/>
                <w:szCs w:val="13"/>
              </w:rPr>
              <w:t>Online at www.cetjournal.it</w:t>
            </w:r>
          </w:p>
        </w:tc>
      </w:tr>
      <w:tr w:rsidR="000A03B2" w:rsidRPr="00AF0DE2" w14:paraId="2D1B7169" w14:textId="77777777" w:rsidTr="00A030B4">
        <w:trPr>
          <w:trHeight w:val="68"/>
          <w:jc w:val="center"/>
        </w:trPr>
        <w:tc>
          <w:tcPr>
            <w:tcW w:w="8782" w:type="dxa"/>
            <w:gridSpan w:val="2"/>
          </w:tcPr>
          <w:p w14:paraId="1D8DD3C9" w14:textId="354DD23C" w:rsidR="00AA7D26" w:rsidRPr="00AF0DE2" w:rsidRDefault="004A5E57" w:rsidP="004A5E57">
            <w:pPr>
              <w:ind w:left="-107"/>
              <w:outlineLvl w:val="2"/>
              <w:rPr>
                <w:rFonts w:cs="Arial"/>
                <w:bCs/>
                <w:color w:val="000000"/>
                <w:sz w:val="14"/>
                <w:szCs w:val="14"/>
                <w:lang w:val="it-IT" w:eastAsia="it-IT"/>
              </w:rPr>
            </w:pPr>
            <w:r w:rsidRPr="00AF0DE2">
              <w:rPr>
                <w:rFonts w:cs="Arial"/>
                <w:iCs/>
                <w:color w:val="333333"/>
                <w:sz w:val="14"/>
                <w:szCs w:val="14"/>
                <w:lang w:val="it-IT" w:eastAsia="it-IT"/>
              </w:rPr>
              <w:t>Guest Editors:</w:t>
            </w:r>
            <w:r w:rsidRPr="00AF0DE2">
              <w:rPr>
                <w:rFonts w:cs="Arial"/>
                <w:color w:val="000000"/>
                <w:sz w:val="14"/>
                <w:szCs w:val="14"/>
                <w:shd w:val="clear" w:color="auto" w:fill="FFFFFF"/>
                <w:lang w:val="it-IT"/>
              </w:rPr>
              <w:t xml:space="preserve"> </w:t>
            </w:r>
            <w:r w:rsidR="00550D01" w:rsidRPr="00AF0DE2">
              <w:rPr>
                <w:rFonts w:cs="Arial"/>
                <w:color w:val="000000"/>
                <w:sz w:val="14"/>
                <w:szCs w:val="14"/>
                <w:shd w:val="clear" w:color="auto" w:fill="FFFFFF"/>
                <w:lang w:val="it-IT"/>
              </w:rPr>
              <w:t>Laura Capelli, Marzio Invernizzi, Selena Sironi</w:t>
            </w:r>
          </w:p>
          <w:p w14:paraId="1B0F1814" w14:textId="710B7B96" w:rsidR="000A03B2" w:rsidRPr="00AF0DE2" w:rsidRDefault="00AA7D26" w:rsidP="00AA7D26">
            <w:pPr>
              <w:tabs>
                <w:tab w:val="left" w:pos="-108"/>
              </w:tabs>
              <w:spacing w:line="140" w:lineRule="atLeast"/>
              <w:ind w:left="-107"/>
              <w:jc w:val="left"/>
              <w:rPr>
                <w:rFonts w:cs="Arial"/>
              </w:rPr>
            </w:pPr>
            <w:r w:rsidRPr="00AF0DE2">
              <w:rPr>
                <w:rFonts w:cs="Arial"/>
                <w:iCs/>
                <w:color w:val="333333"/>
                <w:sz w:val="14"/>
                <w:szCs w:val="14"/>
                <w:lang w:eastAsia="it-IT"/>
              </w:rPr>
              <w:t>Copyright © 202</w:t>
            </w:r>
            <w:r w:rsidR="00005884" w:rsidRPr="00AF0DE2">
              <w:rPr>
                <w:rFonts w:cs="Arial"/>
                <w:iCs/>
                <w:color w:val="333333"/>
                <w:sz w:val="14"/>
                <w:szCs w:val="14"/>
                <w:lang w:eastAsia="it-IT"/>
              </w:rPr>
              <w:t>6</w:t>
            </w:r>
            <w:r w:rsidRPr="00AF0DE2">
              <w:rPr>
                <w:rFonts w:cs="Arial"/>
                <w:iCs/>
                <w:color w:val="333333"/>
                <w:sz w:val="14"/>
                <w:szCs w:val="14"/>
                <w:lang w:eastAsia="it-IT"/>
              </w:rPr>
              <w:t>, AIDIC Servizi S.r.l.</w:t>
            </w:r>
            <w:r w:rsidRPr="00AF0DE2">
              <w:rPr>
                <w:rFonts w:cs="Arial"/>
                <w:iCs/>
                <w:color w:val="333333"/>
                <w:sz w:val="14"/>
                <w:szCs w:val="14"/>
                <w:lang w:eastAsia="it-IT"/>
              </w:rPr>
              <w:br/>
            </w:r>
            <w:r w:rsidRPr="00AF0DE2">
              <w:rPr>
                <w:rFonts w:cs="Arial"/>
                <w:b/>
                <w:iCs/>
                <w:color w:val="000000"/>
                <w:sz w:val="14"/>
                <w:szCs w:val="14"/>
                <w:lang w:eastAsia="it-IT"/>
              </w:rPr>
              <w:t>ISBN</w:t>
            </w:r>
            <w:r w:rsidRPr="00AF0DE2">
              <w:rPr>
                <w:rFonts w:cs="Arial"/>
                <w:iCs/>
                <w:color w:val="000000"/>
                <w:sz w:val="14"/>
                <w:szCs w:val="14"/>
                <w:lang w:eastAsia="it-IT"/>
              </w:rPr>
              <w:t xml:space="preserve"> </w:t>
            </w:r>
            <w:r w:rsidR="00D2582C" w:rsidRPr="00AF0DE2">
              <w:rPr>
                <w:rFonts w:cs="Arial"/>
                <w:sz w:val="14"/>
                <w:szCs w:val="14"/>
              </w:rPr>
              <w:t>979-12-81206-</w:t>
            </w:r>
            <w:r w:rsidR="00005884" w:rsidRPr="00AF0DE2">
              <w:rPr>
                <w:rFonts w:cs="Arial"/>
                <w:sz w:val="14"/>
                <w:szCs w:val="14"/>
              </w:rPr>
              <w:t>xx</w:t>
            </w:r>
            <w:r w:rsidR="009041F8" w:rsidRPr="00AF0DE2">
              <w:rPr>
                <w:rFonts w:cs="Arial"/>
                <w:sz w:val="14"/>
                <w:szCs w:val="14"/>
              </w:rPr>
              <w:t>-</w:t>
            </w:r>
            <w:r w:rsidR="00005884" w:rsidRPr="00AF0DE2">
              <w:rPr>
                <w:rFonts w:cs="Arial"/>
                <w:sz w:val="14"/>
                <w:szCs w:val="14"/>
              </w:rPr>
              <w:t>x</w:t>
            </w:r>
            <w:r w:rsidRPr="00AF0DE2">
              <w:rPr>
                <w:rFonts w:cs="Arial"/>
                <w:iCs/>
                <w:color w:val="333333"/>
                <w:sz w:val="14"/>
                <w:szCs w:val="14"/>
                <w:lang w:eastAsia="it-IT"/>
              </w:rPr>
              <w:t xml:space="preserve">; </w:t>
            </w:r>
            <w:r w:rsidRPr="00AF0DE2">
              <w:rPr>
                <w:rFonts w:cs="Arial"/>
                <w:b/>
                <w:iCs/>
                <w:color w:val="333333"/>
                <w:sz w:val="14"/>
                <w:szCs w:val="14"/>
                <w:lang w:eastAsia="it-IT"/>
              </w:rPr>
              <w:t>ISSN</w:t>
            </w:r>
            <w:r w:rsidRPr="00AF0DE2">
              <w:rPr>
                <w:rFonts w:cs="Arial"/>
                <w:iCs/>
                <w:color w:val="333333"/>
                <w:sz w:val="14"/>
                <w:szCs w:val="14"/>
                <w:lang w:eastAsia="it-IT"/>
              </w:rPr>
              <w:t xml:space="preserve"> 2283-9216</w:t>
            </w:r>
          </w:p>
        </w:tc>
      </w:tr>
    </w:tbl>
    <w:bookmarkEnd w:id="0"/>
    <w:p w14:paraId="1D6FF4CD" w14:textId="0FD93DEF" w:rsidR="000F3E8F" w:rsidRPr="00AF0DE2" w:rsidRDefault="000F3E8F" w:rsidP="000F3E8F">
      <w:pPr>
        <w:pStyle w:val="CETTitle"/>
        <w:rPr>
          <w:rFonts w:cs="Arial"/>
          <w:lang w:val="en-US"/>
        </w:rPr>
      </w:pPr>
      <w:r w:rsidRPr="00AF0DE2">
        <w:rPr>
          <w:rFonts w:cs="Arial"/>
          <w:lang w:val="en-US"/>
        </w:rPr>
        <w:t xml:space="preserve">Challenge of monitoring </w:t>
      </w:r>
      <w:proofErr w:type="spellStart"/>
      <w:r w:rsidRPr="00AF0DE2">
        <w:rPr>
          <w:rFonts w:cs="Arial"/>
          <w:lang w:val="en-US"/>
        </w:rPr>
        <w:t>sulphur</w:t>
      </w:r>
      <w:proofErr w:type="spellEnd"/>
      <w:r w:rsidRPr="00AF0DE2">
        <w:rPr>
          <w:rFonts w:cs="Arial"/>
          <w:lang w:val="en-US"/>
        </w:rPr>
        <w:t xml:space="preserve"> compounds at low concentration: experimental application of a UV detector </w:t>
      </w:r>
    </w:p>
    <w:p w14:paraId="63EC55E1" w14:textId="037A35C5" w:rsidR="00A030B4" w:rsidRPr="00AF0DE2" w:rsidRDefault="00A030B4" w:rsidP="00A030B4">
      <w:pPr>
        <w:pStyle w:val="CETAuthors"/>
        <w:rPr>
          <w:rFonts w:cs="Arial"/>
          <w:vertAlign w:val="superscript"/>
          <w:lang w:val="it-IT"/>
        </w:rPr>
      </w:pPr>
      <w:r w:rsidRPr="00AF0DE2">
        <w:rPr>
          <w:rFonts w:cs="Arial"/>
          <w:lang w:val="it-IT"/>
        </w:rPr>
        <w:t>Elisa Polvara</w:t>
      </w:r>
      <w:r w:rsidR="00B57E6F" w:rsidRPr="00AF0DE2">
        <w:rPr>
          <w:rFonts w:cs="Arial"/>
          <w:vertAlign w:val="superscript"/>
          <w:lang w:val="it-IT"/>
        </w:rPr>
        <w:t>a</w:t>
      </w:r>
      <w:r w:rsidR="00B57E6F" w:rsidRPr="00AF0DE2">
        <w:rPr>
          <w:rFonts w:cs="Arial"/>
          <w:lang w:val="it-IT"/>
        </w:rPr>
        <w:t xml:space="preserve">, </w:t>
      </w:r>
      <w:r w:rsidRPr="00AF0DE2">
        <w:rPr>
          <w:rFonts w:cs="Arial"/>
          <w:lang w:val="it-IT"/>
        </w:rPr>
        <w:t>Francesca Broglia</w:t>
      </w:r>
      <w:r w:rsidRPr="00AF0DE2">
        <w:rPr>
          <w:rFonts w:cs="Arial"/>
          <w:vertAlign w:val="superscript"/>
          <w:lang w:val="it-IT"/>
        </w:rPr>
        <w:t>a</w:t>
      </w:r>
      <w:r w:rsidRPr="00AF0DE2">
        <w:rPr>
          <w:rFonts w:cs="Arial"/>
          <w:lang w:val="it-IT"/>
        </w:rPr>
        <w:t>, Marzio Invernizzi</w:t>
      </w:r>
      <w:r w:rsidRPr="00AF0DE2">
        <w:rPr>
          <w:rFonts w:cs="Arial"/>
          <w:vertAlign w:val="superscript"/>
          <w:lang w:val="it-IT"/>
        </w:rPr>
        <w:t>a</w:t>
      </w:r>
      <w:r w:rsidR="00B57E6F" w:rsidRPr="00AF0DE2">
        <w:rPr>
          <w:rFonts w:cs="Arial"/>
          <w:vertAlign w:val="superscript"/>
          <w:lang w:val="it-IT"/>
        </w:rPr>
        <w:t>,</w:t>
      </w:r>
      <w:r w:rsidR="00B57E6F" w:rsidRPr="00AF0DE2">
        <w:rPr>
          <w:rFonts w:cs="Arial"/>
          <w:lang w:val="it-IT"/>
        </w:rPr>
        <w:t xml:space="preserve">*, </w:t>
      </w:r>
      <w:r w:rsidRPr="00AF0DE2">
        <w:rPr>
          <w:rFonts w:cs="Arial"/>
          <w:lang w:val="it-IT"/>
        </w:rPr>
        <w:t>Selena Sironi</w:t>
      </w:r>
      <w:r w:rsidRPr="00AF0DE2">
        <w:rPr>
          <w:rFonts w:cs="Arial"/>
          <w:vertAlign w:val="superscript"/>
          <w:lang w:val="it-IT"/>
        </w:rPr>
        <w:t xml:space="preserve">a </w:t>
      </w:r>
    </w:p>
    <w:p w14:paraId="5FBFCA22" w14:textId="168CF273" w:rsidR="00A030B4" w:rsidRPr="00AF0DE2" w:rsidRDefault="00B57E6F" w:rsidP="00A030B4">
      <w:pPr>
        <w:pStyle w:val="CETAddress"/>
        <w:rPr>
          <w:rFonts w:cs="Arial"/>
        </w:rPr>
      </w:pPr>
      <w:r w:rsidRPr="00AF0DE2">
        <w:rPr>
          <w:rFonts w:cs="Arial"/>
          <w:vertAlign w:val="superscript"/>
        </w:rPr>
        <w:t>a</w:t>
      </w:r>
      <w:r w:rsidR="00A030B4" w:rsidRPr="00AF0DE2">
        <w:rPr>
          <w:rFonts w:cs="Arial"/>
          <w:noProof w:val="0"/>
          <w:sz w:val="20"/>
          <w:bdr w:val="none" w:sz="0" w:space="0" w:color="auto" w:frame="1"/>
          <w:shd w:val="clear" w:color="auto" w:fill="FFFFFF"/>
          <w:lang w:eastAsia="it-IT"/>
        </w:rPr>
        <w:t xml:space="preserve"> </w:t>
      </w:r>
      <w:r w:rsidR="00A030B4" w:rsidRPr="00AF0DE2">
        <w:rPr>
          <w:rFonts w:cs="Arial"/>
        </w:rPr>
        <w:t>Department of Chemistry, Materials and Chemical Engineering “Giulio Natta”, Politecnico di Milano, Milano, Italy</w:t>
      </w:r>
    </w:p>
    <w:p w14:paraId="73F1267A" w14:textId="2E07F631" w:rsidR="00B57E6F" w:rsidRPr="00AF0DE2" w:rsidRDefault="00DF213C" w:rsidP="00B57E6F">
      <w:pPr>
        <w:pStyle w:val="CETemail"/>
        <w:rPr>
          <w:rFonts w:cs="Arial"/>
          <w:lang w:val="fr-FR"/>
        </w:rPr>
      </w:pPr>
      <w:hyperlink r:id="rId10" w:history="1">
        <w:r w:rsidRPr="00AF0DE2">
          <w:rPr>
            <w:rStyle w:val="Collegamentoipertestuale"/>
            <w:rFonts w:cs="Arial"/>
            <w:lang w:val="fr-FR"/>
          </w:rPr>
          <w:t>marzio.invernizzi@polimi.it</w:t>
        </w:r>
      </w:hyperlink>
    </w:p>
    <w:p w14:paraId="298F4073" w14:textId="0A68D519" w:rsidR="00DF213C" w:rsidRPr="00AF0DE2" w:rsidRDefault="00BB21B2" w:rsidP="00DF213C">
      <w:pPr>
        <w:pStyle w:val="CETBodytext"/>
        <w:rPr>
          <w:rFonts w:cs="Arial"/>
        </w:rPr>
      </w:pPr>
      <w:r w:rsidRPr="00AF0DE2">
        <w:rPr>
          <w:rFonts w:cs="Arial"/>
        </w:rPr>
        <w:t xml:space="preserve">Volatile </w:t>
      </w:r>
      <w:proofErr w:type="spellStart"/>
      <w:r w:rsidRPr="00AF0DE2">
        <w:rPr>
          <w:rFonts w:cs="Arial"/>
        </w:rPr>
        <w:t>sulphur</w:t>
      </w:r>
      <w:proofErr w:type="spellEnd"/>
      <w:r w:rsidRPr="00AF0DE2">
        <w:rPr>
          <w:rFonts w:cs="Arial"/>
        </w:rPr>
        <w:t xml:space="preserve"> compounds (VOSCs) and hydrogen </w:t>
      </w:r>
      <w:proofErr w:type="spellStart"/>
      <w:r w:rsidRPr="00AF0DE2">
        <w:rPr>
          <w:rFonts w:cs="Arial"/>
        </w:rPr>
        <w:t>sulphide</w:t>
      </w:r>
      <w:proofErr w:type="spellEnd"/>
      <w:r w:rsidRPr="00AF0DE2">
        <w:rPr>
          <w:rFonts w:cs="Arial"/>
        </w:rPr>
        <w:t xml:space="preserve"> </w:t>
      </w:r>
      <w:r w:rsidR="00DF213C" w:rsidRPr="00AF0DE2">
        <w:rPr>
          <w:rFonts w:cs="Arial"/>
        </w:rPr>
        <w:t xml:space="preserve">are key contributors to </w:t>
      </w:r>
      <w:proofErr w:type="spellStart"/>
      <w:r w:rsidR="00DF213C" w:rsidRPr="00AF0DE2">
        <w:rPr>
          <w:rFonts w:cs="Arial"/>
        </w:rPr>
        <w:t>odour</w:t>
      </w:r>
      <w:proofErr w:type="spellEnd"/>
      <w:r w:rsidR="00DF213C" w:rsidRPr="00AF0DE2">
        <w:rPr>
          <w:rFonts w:cs="Arial"/>
        </w:rPr>
        <w:t xml:space="preserve"> emissions and represent a significant challenge for accurate </w:t>
      </w:r>
      <w:proofErr w:type="spellStart"/>
      <w:r w:rsidR="004711A4" w:rsidRPr="00AF0DE2">
        <w:rPr>
          <w:rFonts w:cs="Arial"/>
        </w:rPr>
        <w:t>odour</w:t>
      </w:r>
      <w:proofErr w:type="spellEnd"/>
      <w:r w:rsidR="004711A4" w:rsidRPr="00AF0DE2">
        <w:rPr>
          <w:rFonts w:cs="Arial"/>
        </w:rPr>
        <w:t xml:space="preserve"> </w:t>
      </w:r>
      <w:r w:rsidR="00DF213C" w:rsidRPr="00AF0DE2">
        <w:rPr>
          <w:rFonts w:cs="Arial"/>
        </w:rPr>
        <w:t xml:space="preserve">monitoring due to their low </w:t>
      </w:r>
      <w:proofErr w:type="spellStart"/>
      <w:r w:rsidR="00DF213C" w:rsidRPr="00AF0DE2">
        <w:rPr>
          <w:rFonts w:cs="Arial"/>
        </w:rPr>
        <w:t>odour</w:t>
      </w:r>
      <w:proofErr w:type="spellEnd"/>
      <w:r w:rsidR="00DF213C" w:rsidRPr="00AF0DE2">
        <w:rPr>
          <w:rFonts w:cs="Arial"/>
        </w:rPr>
        <w:t xml:space="preserve"> thresholds and the potential analytical interferences. This study evaluates the performance of HORIBA APSA-370 designed for the detection of </w:t>
      </w:r>
      <w:proofErr w:type="spellStart"/>
      <w:r w:rsidR="00DF213C" w:rsidRPr="00AF0DE2">
        <w:rPr>
          <w:rFonts w:cs="Arial"/>
        </w:rPr>
        <w:t>sulphur</w:t>
      </w:r>
      <w:proofErr w:type="spellEnd"/>
      <w:r w:rsidR="00DF213C" w:rsidRPr="00AF0DE2">
        <w:rPr>
          <w:rFonts w:cs="Arial"/>
        </w:rPr>
        <w:t xml:space="preserve"> species</w:t>
      </w:r>
      <w:r w:rsidR="004711A4" w:rsidRPr="00AF0DE2">
        <w:rPr>
          <w:rFonts w:cs="Arial"/>
        </w:rPr>
        <w:t xml:space="preserve"> thanks to two</w:t>
      </w:r>
      <w:r w:rsidR="00DF213C" w:rsidRPr="00AF0DE2">
        <w:rPr>
          <w:rFonts w:cs="Arial"/>
        </w:rPr>
        <w:t xml:space="preserve"> conversion units for </w:t>
      </w:r>
      <w:r w:rsidR="004711A4" w:rsidRPr="00AF0DE2">
        <w:rPr>
          <w:rFonts w:cs="Arial"/>
        </w:rPr>
        <w:t xml:space="preserve">specific detection and quantification of </w:t>
      </w:r>
      <w:r w:rsidR="00DF213C" w:rsidRPr="00AF0DE2">
        <w:rPr>
          <w:rFonts w:cs="Arial"/>
        </w:rPr>
        <w:t>H</w:t>
      </w:r>
      <w:r w:rsidR="00DF213C" w:rsidRPr="00AF0DE2">
        <w:rPr>
          <w:rFonts w:ascii="Cambria Math" w:hAnsi="Cambria Math" w:cs="Cambria Math"/>
        </w:rPr>
        <w:t>₂</w:t>
      </w:r>
      <w:r w:rsidR="00DF213C" w:rsidRPr="00AF0DE2">
        <w:rPr>
          <w:rFonts w:cs="Arial"/>
        </w:rPr>
        <w:t xml:space="preserve">S and </w:t>
      </w:r>
      <w:r w:rsidR="003E7B19">
        <w:rPr>
          <w:rFonts w:cs="Arial"/>
        </w:rPr>
        <w:t>T</w:t>
      </w:r>
      <w:r w:rsidR="00DF213C" w:rsidRPr="00AF0DE2">
        <w:rPr>
          <w:rFonts w:cs="Arial"/>
        </w:rPr>
        <w:t xml:space="preserve">otal </w:t>
      </w:r>
      <w:r w:rsidR="003E7B19">
        <w:rPr>
          <w:rFonts w:cs="Arial"/>
        </w:rPr>
        <w:t>R</w:t>
      </w:r>
      <w:r w:rsidR="00DF213C" w:rsidRPr="00AF0DE2">
        <w:rPr>
          <w:rFonts w:cs="Arial"/>
        </w:rPr>
        <w:t xml:space="preserve">educed </w:t>
      </w:r>
      <w:r w:rsidR="003E7B19">
        <w:rPr>
          <w:rFonts w:cs="Arial"/>
        </w:rPr>
        <w:t>S</w:t>
      </w:r>
      <w:r w:rsidR="00DF213C" w:rsidRPr="00AF0DE2">
        <w:rPr>
          <w:rFonts w:cs="Arial"/>
        </w:rPr>
        <w:t>ulphur</w:t>
      </w:r>
      <w:r w:rsidR="003E7B19">
        <w:rPr>
          <w:rFonts w:cs="Arial"/>
        </w:rPr>
        <w:t xml:space="preserve"> (TRS)</w:t>
      </w:r>
      <w:r w:rsidR="00DF213C" w:rsidRPr="00AF0DE2">
        <w:rPr>
          <w:rFonts w:cs="Arial"/>
        </w:rPr>
        <w:t xml:space="preserve">. </w:t>
      </w:r>
      <w:r w:rsidR="004711A4" w:rsidRPr="00AF0DE2">
        <w:rPr>
          <w:rFonts w:cs="Arial"/>
        </w:rPr>
        <w:t>From the obtained results, t</w:t>
      </w:r>
      <w:r w:rsidR="00DF213C" w:rsidRPr="00AF0DE2">
        <w:rPr>
          <w:rFonts w:cs="Arial"/>
        </w:rPr>
        <w:t>he instrument demonstrated good selectivity and reliability for SO</w:t>
      </w:r>
      <w:r w:rsidR="00DF213C" w:rsidRPr="00AF0DE2">
        <w:rPr>
          <w:rFonts w:ascii="Cambria Math" w:hAnsi="Cambria Math" w:cs="Cambria Math"/>
        </w:rPr>
        <w:t>₂</w:t>
      </w:r>
      <w:r w:rsidR="00DF213C" w:rsidRPr="00AF0DE2">
        <w:rPr>
          <w:rFonts w:cs="Arial"/>
        </w:rPr>
        <w:t xml:space="preserve"> measurements</w:t>
      </w:r>
      <w:r w:rsidR="004711A4" w:rsidRPr="00AF0DE2">
        <w:rPr>
          <w:rFonts w:cs="Arial"/>
        </w:rPr>
        <w:t xml:space="preserve"> in the </w:t>
      </w:r>
      <w:r w:rsidR="009D780D" w:rsidRPr="00AF0DE2">
        <w:rPr>
          <w:rFonts w:cs="Arial"/>
        </w:rPr>
        <w:t>simpler configuration (detector UV for SO</w:t>
      </w:r>
      <w:r w:rsidR="009D780D" w:rsidRPr="00AF0DE2">
        <w:rPr>
          <w:rFonts w:cs="Arial"/>
          <w:vertAlign w:val="subscript"/>
        </w:rPr>
        <w:t>2</w:t>
      </w:r>
      <w:r w:rsidR="009D780D" w:rsidRPr="00AF0DE2">
        <w:rPr>
          <w:rFonts w:cs="Arial"/>
        </w:rPr>
        <w:t>)</w:t>
      </w:r>
      <w:r w:rsidR="00DF213C" w:rsidRPr="00AF0DE2">
        <w:rPr>
          <w:rFonts w:cs="Arial"/>
        </w:rPr>
        <w:t xml:space="preserve">, with no significant interference observed from tested </w:t>
      </w:r>
      <w:proofErr w:type="spellStart"/>
      <w:r w:rsidR="00DF213C" w:rsidRPr="00AF0DE2">
        <w:rPr>
          <w:rFonts w:cs="Arial"/>
        </w:rPr>
        <w:t>sulphur</w:t>
      </w:r>
      <w:proofErr w:type="spellEnd"/>
      <w:r w:rsidR="00DF213C" w:rsidRPr="00AF0DE2">
        <w:rPr>
          <w:rFonts w:cs="Arial"/>
        </w:rPr>
        <w:t>-containing and aromatic compounds. In contrast, the internal H</w:t>
      </w:r>
      <w:r w:rsidR="00DF213C" w:rsidRPr="00AF0DE2">
        <w:rPr>
          <w:rFonts w:ascii="Cambria Math" w:hAnsi="Cambria Math" w:cs="Cambria Math"/>
        </w:rPr>
        <w:t>₂</w:t>
      </w:r>
      <w:r w:rsidR="00DF213C" w:rsidRPr="00AF0DE2">
        <w:rPr>
          <w:rFonts w:cs="Arial"/>
        </w:rPr>
        <w:t xml:space="preserve">S conversion unit showed </w:t>
      </w:r>
      <w:r w:rsidR="006E6D0C" w:rsidRPr="00AF0DE2">
        <w:rPr>
          <w:rFonts w:cs="Arial"/>
        </w:rPr>
        <w:t xml:space="preserve">limited </w:t>
      </w:r>
      <w:r w:rsidR="00DF213C" w:rsidRPr="00AF0DE2">
        <w:rPr>
          <w:rFonts w:cs="Arial"/>
        </w:rPr>
        <w:t xml:space="preserve">selectivity, with substantial signal interference from other </w:t>
      </w:r>
      <w:proofErr w:type="spellStart"/>
      <w:r w:rsidR="00DF213C" w:rsidRPr="00AF0DE2">
        <w:rPr>
          <w:rFonts w:cs="Arial"/>
        </w:rPr>
        <w:t>sulphur</w:t>
      </w:r>
      <w:proofErr w:type="spellEnd"/>
      <w:r w:rsidR="00DF213C" w:rsidRPr="00AF0DE2">
        <w:rPr>
          <w:rFonts w:cs="Arial"/>
        </w:rPr>
        <w:t xml:space="preserve"> species even</w:t>
      </w:r>
      <w:r w:rsidR="006E6D0C" w:rsidRPr="00AF0DE2">
        <w:rPr>
          <w:rFonts w:cs="Arial"/>
        </w:rPr>
        <w:t xml:space="preserve"> if present</w:t>
      </w:r>
      <w:r w:rsidR="00DF213C" w:rsidRPr="00AF0DE2">
        <w:rPr>
          <w:rFonts w:cs="Arial"/>
        </w:rPr>
        <w:t xml:space="preserve"> at low concentrations, limiting its applicability for specific H</w:t>
      </w:r>
      <w:r w:rsidR="00DF213C" w:rsidRPr="00AF0DE2">
        <w:rPr>
          <w:rFonts w:ascii="Cambria Math" w:hAnsi="Cambria Math" w:cs="Cambria Math"/>
        </w:rPr>
        <w:t>₂</w:t>
      </w:r>
      <w:r w:rsidR="00DF213C" w:rsidRPr="00AF0DE2">
        <w:rPr>
          <w:rFonts w:cs="Arial"/>
        </w:rPr>
        <w:t xml:space="preserve">S quantification. The TRS conversion unit, however, provided robust and accurate oxidation of </w:t>
      </w:r>
      <w:proofErr w:type="spellStart"/>
      <w:r w:rsidR="00DF213C" w:rsidRPr="00AF0DE2">
        <w:rPr>
          <w:rFonts w:cs="Arial"/>
        </w:rPr>
        <w:t>sulphur</w:t>
      </w:r>
      <w:proofErr w:type="spellEnd"/>
      <w:r w:rsidR="00DF213C" w:rsidRPr="00AF0DE2">
        <w:rPr>
          <w:rFonts w:cs="Arial"/>
        </w:rPr>
        <w:t xml:space="preserve"> compounds across a concentration range of 5–1000 ppb, yielding consistent results for both simple and complex sample matrices. These findings highlight the limitations associated with selective H</w:t>
      </w:r>
      <w:r w:rsidR="00DF213C" w:rsidRPr="00AF0DE2">
        <w:rPr>
          <w:rFonts w:ascii="Cambria Math" w:hAnsi="Cambria Math" w:cs="Cambria Math"/>
        </w:rPr>
        <w:t>₂</w:t>
      </w:r>
      <w:r w:rsidR="00DF213C" w:rsidRPr="00AF0DE2">
        <w:rPr>
          <w:rFonts w:cs="Arial"/>
        </w:rPr>
        <w:t xml:space="preserve">S monitoring in the presence of mixed VOSCs, while </w:t>
      </w:r>
      <w:r w:rsidR="006E6D0C" w:rsidRPr="00AF0DE2">
        <w:rPr>
          <w:rFonts w:cs="Arial"/>
        </w:rPr>
        <w:t>showing promising perspectives</w:t>
      </w:r>
      <w:r w:rsidR="00DF213C" w:rsidRPr="00AF0DE2">
        <w:rPr>
          <w:rFonts w:cs="Arial"/>
        </w:rPr>
        <w:t xml:space="preserve"> for broader </w:t>
      </w:r>
      <w:proofErr w:type="spellStart"/>
      <w:r w:rsidR="00DF213C" w:rsidRPr="00AF0DE2">
        <w:rPr>
          <w:rFonts w:cs="Arial"/>
        </w:rPr>
        <w:t>sulphur</w:t>
      </w:r>
      <w:proofErr w:type="spellEnd"/>
      <w:r w:rsidR="00DF213C" w:rsidRPr="00AF0DE2">
        <w:rPr>
          <w:rFonts w:cs="Arial"/>
        </w:rPr>
        <w:t xml:space="preserve"> compound analysis in </w:t>
      </w:r>
      <w:proofErr w:type="spellStart"/>
      <w:r w:rsidR="00DF213C" w:rsidRPr="00AF0DE2">
        <w:rPr>
          <w:rFonts w:cs="Arial"/>
        </w:rPr>
        <w:t>odour</w:t>
      </w:r>
      <w:proofErr w:type="spellEnd"/>
      <w:r w:rsidR="00DF213C" w:rsidRPr="00AF0DE2">
        <w:rPr>
          <w:rFonts w:cs="Arial"/>
        </w:rPr>
        <w:t>-related applications.</w:t>
      </w:r>
    </w:p>
    <w:p w14:paraId="476B2F2E" w14:textId="77777777" w:rsidR="00600535" w:rsidRPr="00AF0DE2" w:rsidRDefault="00600535" w:rsidP="00600535">
      <w:pPr>
        <w:pStyle w:val="CETHeading1"/>
        <w:rPr>
          <w:rFonts w:cs="Arial"/>
          <w:lang w:val="en-GB"/>
        </w:rPr>
      </w:pPr>
      <w:r w:rsidRPr="00AF0DE2">
        <w:rPr>
          <w:rFonts w:cs="Arial"/>
          <w:lang w:val="en-GB"/>
        </w:rPr>
        <w:t>Introduction</w:t>
      </w:r>
    </w:p>
    <w:p w14:paraId="30E323F8" w14:textId="01782F0C" w:rsidR="00707FAE" w:rsidRPr="00AF0DE2" w:rsidRDefault="00A030B4" w:rsidP="00600535">
      <w:pPr>
        <w:pStyle w:val="CETBodytext"/>
        <w:rPr>
          <w:rFonts w:cs="Arial"/>
          <w:lang w:val="en-GB"/>
        </w:rPr>
      </w:pPr>
      <w:r w:rsidRPr="00AF0DE2">
        <w:rPr>
          <w:rFonts w:cs="Arial"/>
          <w:lang w:val="en-GB"/>
        </w:rPr>
        <w:t>Odorous emissions constitute a relevant environmental issue in numerous industrial activities</w:t>
      </w:r>
      <w:r w:rsidR="00093D15" w:rsidRPr="00AF0DE2">
        <w:rPr>
          <w:rFonts w:cs="Arial"/>
          <w:lang w:val="en-GB"/>
        </w:rPr>
        <w:t xml:space="preserve">. </w:t>
      </w:r>
      <w:r w:rsidR="00332C72" w:rsidRPr="00AF0DE2">
        <w:rPr>
          <w:rFonts w:cs="Arial"/>
          <w:lang w:val="en-GB"/>
        </w:rPr>
        <w:t>Between the molecules responsible of odour harassment</w:t>
      </w:r>
      <w:r w:rsidR="00093D15" w:rsidRPr="00AF0DE2">
        <w:rPr>
          <w:rFonts w:cs="Arial"/>
          <w:lang w:val="en-GB"/>
        </w:rPr>
        <w:t>, volatile organic sulphur compounds (VOSCs) and hydrogen sulphide (H</w:t>
      </w:r>
      <w:r w:rsidR="00093D15" w:rsidRPr="00AF0DE2">
        <w:rPr>
          <w:rFonts w:ascii="Cambria Math" w:hAnsi="Cambria Math" w:cs="Cambria Math"/>
          <w:lang w:val="en-GB"/>
        </w:rPr>
        <w:t>₂</w:t>
      </w:r>
      <w:r w:rsidR="00093D15" w:rsidRPr="00AF0DE2">
        <w:rPr>
          <w:rFonts w:cs="Arial"/>
          <w:lang w:val="en-GB"/>
        </w:rPr>
        <w:t xml:space="preserve">S) </w:t>
      </w:r>
      <w:r w:rsidR="00E13709" w:rsidRPr="00AF0DE2">
        <w:rPr>
          <w:rFonts w:cs="Arial"/>
          <w:lang w:val="en-GB"/>
        </w:rPr>
        <w:t xml:space="preserve">are widely recognized as key contributors to odour annoyance </w:t>
      </w:r>
      <w:r w:rsidR="00D7380E" w:rsidRPr="00AF0DE2">
        <w:rPr>
          <w:rFonts w:cs="Arial"/>
          <w:lang w:val="en-GB"/>
        </w:rPr>
        <w:t xml:space="preserve">due to their extremely low odour thresholds (ppb range) and their ubiquitous presence in industrial emissions </w:t>
      </w:r>
      <w:sdt>
        <w:sdtPr>
          <w:rPr>
            <w:rFonts w:cs="Arial"/>
            <w:color w:val="000000"/>
            <w:lang w:val="en-GB"/>
          </w:rPr>
          <w:tag w:val="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"/>
          <w:id w:val="1702204991"/>
          <w:placeholder>
            <w:docPart w:val="DefaultPlaceholder_-1854013440"/>
          </w:placeholder>
        </w:sdtPr>
        <w:sdtContent>
          <w:r w:rsidR="00E22496" w:rsidRPr="00AF0DE2">
            <w:rPr>
              <w:rFonts w:cs="Arial"/>
              <w:color w:val="000000"/>
            </w:rPr>
            <w:t>(Czarnota et al., 2023; Gostelow et al., 2001; Ma et al., 2024)</w:t>
          </w:r>
        </w:sdtContent>
      </w:sdt>
      <w:r w:rsidR="00E13709" w:rsidRPr="00AF0DE2">
        <w:rPr>
          <w:rFonts w:cs="Arial"/>
          <w:lang w:val="en-GB"/>
        </w:rPr>
        <w:t xml:space="preserve">. Consequently, their </w:t>
      </w:r>
      <w:r w:rsidR="008A1DBE" w:rsidRPr="00AF0DE2">
        <w:rPr>
          <w:rFonts w:cs="Arial"/>
          <w:lang w:val="en-GB"/>
        </w:rPr>
        <w:t xml:space="preserve">effective and </w:t>
      </w:r>
      <w:r w:rsidR="00E13709" w:rsidRPr="00AF0DE2">
        <w:rPr>
          <w:rFonts w:cs="Arial"/>
          <w:lang w:val="en-GB"/>
        </w:rPr>
        <w:t>reliable monitoring is a central requirement in odour assessment and management strategies</w:t>
      </w:r>
      <w:r w:rsidR="00903036" w:rsidRPr="00AF0DE2">
        <w:rPr>
          <w:rFonts w:cs="Arial"/>
          <w:lang w:val="en-GB"/>
        </w:rPr>
        <w:t xml:space="preserve"> </w:t>
      </w:r>
      <w:sdt>
        <w:sdtPr>
          <w:rPr>
            <w:rFonts w:cs="Arial"/>
            <w:color w:val="000000"/>
            <w:lang w:val="en-GB"/>
          </w:rPr>
          <w:tag w:val="MENDELEY_CITATION_v3_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"/>
          <w:id w:val="-78525292"/>
          <w:placeholder>
            <w:docPart w:val="DefaultPlaceholder_-1854013440"/>
          </w:placeholder>
        </w:sdtPr>
        <w:sdtContent>
          <w:r w:rsidR="00E22496" w:rsidRPr="00AF0DE2">
            <w:rPr>
              <w:rFonts w:cs="Arial"/>
              <w:color w:val="000000"/>
              <w:lang w:val="en-GB"/>
            </w:rPr>
            <w:t>(Polvara et al., 2024)</w:t>
          </w:r>
        </w:sdtContent>
      </w:sdt>
      <w:r w:rsidR="00E13709" w:rsidRPr="00AF0DE2">
        <w:rPr>
          <w:rFonts w:cs="Arial"/>
          <w:lang w:val="en-GB"/>
        </w:rPr>
        <w:t>.</w:t>
      </w:r>
      <w:r w:rsidR="008A1DBE" w:rsidRPr="00AF0DE2">
        <w:rPr>
          <w:rFonts w:cs="Arial"/>
          <w:lang w:val="en-GB"/>
        </w:rPr>
        <w:t xml:space="preserve"> Despite their well-known potential, the analytical detection and quantification of these compounds</w:t>
      </w:r>
      <w:r w:rsidR="009D780D" w:rsidRPr="00AF0DE2">
        <w:rPr>
          <w:rFonts w:cs="Arial"/>
          <w:lang w:val="en-GB"/>
        </w:rPr>
        <w:t xml:space="preserve"> </w:t>
      </w:r>
      <w:r w:rsidR="00707FAE" w:rsidRPr="00AF0DE2">
        <w:rPr>
          <w:rFonts w:cs="Arial"/>
          <w:lang w:val="en-GB"/>
        </w:rPr>
        <w:t xml:space="preserve"> is inherently complex, owing to a convergence of analytical, physicochemical, and environmental challenges</w:t>
      </w:r>
      <w:r w:rsidR="0083653B" w:rsidRPr="00AF0DE2">
        <w:rPr>
          <w:rFonts w:cs="Arial"/>
          <w:lang w:val="en-GB"/>
        </w:rPr>
        <w:t xml:space="preserve"> </w:t>
      </w:r>
      <w:sdt>
        <w:sdtPr>
          <w:rPr>
            <w:rFonts w:cs="Arial"/>
            <w:color w:val="000000"/>
            <w:lang w:val="en-GB"/>
          </w:rPr>
          <w:tag w:val="MENDELEY_CITATION_v3_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"/>
          <w:id w:val="-210046733"/>
          <w:placeholder>
            <w:docPart w:val="DefaultPlaceholder_-1854013440"/>
          </w:placeholder>
        </w:sdtPr>
        <w:sdtContent>
          <w:r w:rsidR="00E22496" w:rsidRPr="00AF0DE2">
            <w:rPr>
              <w:rFonts w:cs="Arial"/>
              <w:color w:val="000000"/>
            </w:rPr>
            <w:t>(Pandey et al., 2012)</w:t>
          </w:r>
        </w:sdtContent>
      </w:sdt>
      <w:r w:rsidR="00707FAE" w:rsidRPr="00AF0DE2">
        <w:rPr>
          <w:rFonts w:cs="Arial"/>
          <w:lang w:val="en-GB"/>
        </w:rPr>
        <w:t>.</w:t>
      </w:r>
      <w:r w:rsidR="00335310" w:rsidRPr="00AF0DE2">
        <w:rPr>
          <w:rFonts w:cs="Arial"/>
          <w:lang w:val="en-GB"/>
        </w:rPr>
        <w:t>Three principal obstacles recur: the trace-level concentrations at which these compounds are relevant for odour perception; the limited selectivity of commonly employed sensing technologies; and the wide range of chemical and physical interferences affecting measurement reliability under real-world conditions.</w:t>
      </w:r>
      <w:r w:rsidR="00DF213C" w:rsidRPr="00AF0DE2">
        <w:rPr>
          <w:rFonts w:cs="Arial"/>
          <w:lang w:val="en-GB"/>
        </w:rPr>
        <w:t xml:space="preserve"> </w:t>
      </w:r>
      <w:r w:rsidR="00A22347" w:rsidRPr="00AF0DE2">
        <w:rPr>
          <w:rFonts w:cs="Arial"/>
          <w:lang w:val="en-GB"/>
        </w:rPr>
        <w:t>These challenges are particularly acute in the context of continuous ambient monitoring, which is increasingly recognised as a necessary tool for effective odour managemen</w:t>
      </w:r>
      <w:r w:rsidR="00D92B6E" w:rsidRPr="00AF0DE2">
        <w:rPr>
          <w:rFonts w:cs="Arial"/>
          <w:lang w:val="en-GB"/>
        </w:rPr>
        <w:t>t</w:t>
      </w:r>
      <w:r w:rsidR="00A22347" w:rsidRPr="00AF0DE2">
        <w:rPr>
          <w:rFonts w:cs="Arial"/>
          <w:lang w:val="en-GB"/>
        </w:rPr>
        <w:t>.</w:t>
      </w:r>
      <w:r w:rsidR="00DF213C" w:rsidRPr="00AF0DE2">
        <w:rPr>
          <w:rFonts w:cs="Arial"/>
          <w:lang w:val="en-GB"/>
        </w:rPr>
        <w:t xml:space="preserve"> </w:t>
      </w:r>
      <w:r w:rsidR="00707FAE" w:rsidRPr="00AF0DE2">
        <w:rPr>
          <w:rFonts w:cs="Arial"/>
          <w:lang w:val="en-GB"/>
        </w:rPr>
        <w:t>Focusing on the specificity of detection</w:t>
      </w:r>
      <w:r w:rsidR="00A22347" w:rsidRPr="00AF0DE2">
        <w:rPr>
          <w:rFonts w:cs="Arial"/>
          <w:lang w:val="en-GB"/>
        </w:rPr>
        <w:t xml:space="preserve"> of </w:t>
      </w:r>
      <w:r w:rsidR="00DF749C" w:rsidRPr="00AF0DE2">
        <w:rPr>
          <w:rFonts w:cs="Arial"/>
          <w:lang w:val="en-GB"/>
        </w:rPr>
        <w:t>H</w:t>
      </w:r>
      <w:r w:rsidR="00A22347" w:rsidRPr="00AF0DE2">
        <w:rPr>
          <w:rFonts w:cs="Arial"/>
          <w:vertAlign w:val="subscript"/>
          <w:lang w:val="en-GB"/>
        </w:rPr>
        <w:t>2</w:t>
      </w:r>
      <w:r w:rsidR="00A22347" w:rsidRPr="00AF0DE2">
        <w:rPr>
          <w:rFonts w:cs="Arial"/>
          <w:lang w:val="en-GB"/>
        </w:rPr>
        <w:t>S</w:t>
      </w:r>
      <w:r w:rsidR="00707FAE" w:rsidRPr="00AF0DE2">
        <w:rPr>
          <w:rFonts w:cs="Arial"/>
          <w:lang w:val="en-GB"/>
        </w:rPr>
        <w:t xml:space="preserve">, most widely used field-deployable instruments - electrochemical sensors - operate via redox reactions at an electrode surface, generating a current proportional to the concentration of the target gas. However, this principle of operation renders them susceptible to cross-sensitivity: </w:t>
      </w:r>
      <w:r w:rsidR="006016EF" w:rsidRPr="00AF0DE2">
        <w:rPr>
          <w:rFonts w:cs="Arial"/>
          <w:lang w:val="en-GB"/>
        </w:rPr>
        <w:t>this effect</w:t>
      </w:r>
      <w:r w:rsidR="00707FAE" w:rsidRPr="00AF0DE2">
        <w:rPr>
          <w:rFonts w:cs="Arial"/>
          <w:lang w:val="en-GB"/>
        </w:rPr>
        <w:t xml:space="preserve"> occurs when other gases also react with the electrode surface and produce a current that interferes with the target gas signal, with the degree of interference dependent on electrode material, operating temperature, humidity, and sensor age</w:t>
      </w:r>
      <w:r w:rsidR="0083653B" w:rsidRPr="00AF0DE2">
        <w:rPr>
          <w:rFonts w:cs="Arial"/>
          <w:lang w:val="en-GB"/>
        </w:rPr>
        <w:t xml:space="preserve"> </w:t>
      </w:r>
      <w:sdt>
        <w:sdtPr>
          <w:rPr>
            <w:rFonts w:cs="Arial"/>
            <w:color w:val="000000"/>
            <w:lang w:val="en-GB"/>
          </w:rPr>
          <w:tag w:val="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"/>
          <w:id w:val="615179146"/>
          <w:placeholder>
            <w:docPart w:val="DefaultPlaceholder_-1854013440"/>
          </w:placeholder>
        </w:sdtPr>
        <w:sdtContent>
          <w:r w:rsidR="00E22496" w:rsidRPr="00AF0DE2">
            <w:rPr>
              <w:rFonts w:cs="Arial"/>
              <w:color w:val="000000"/>
            </w:rPr>
            <w:t>(</w:t>
          </w:r>
          <w:proofErr w:type="spellStart"/>
          <w:r w:rsidR="00E22496" w:rsidRPr="00AF0DE2">
            <w:rPr>
              <w:rFonts w:cs="Arial"/>
              <w:color w:val="000000"/>
            </w:rPr>
            <w:t>Huszal</w:t>
          </w:r>
          <w:proofErr w:type="spellEnd"/>
          <w:r w:rsidR="00E22496" w:rsidRPr="00AF0DE2">
            <w:rPr>
              <w:rFonts w:cs="Arial"/>
              <w:color w:val="000000"/>
            </w:rPr>
            <w:t xml:space="preserve"> et al., 2021; Khan et al., 2019)</w:t>
          </w:r>
        </w:sdtContent>
      </w:sdt>
      <w:r w:rsidR="00DF749C" w:rsidRPr="00AF0DE2">
        <w:rPr>
          <w:rFonts w:cs="Arial"/>
          <w:lang w:val="en-GB"/>
        </w:rPr>
        <w:t xml:space="preserve">. </w:t>
      </w:r>
      <w:r w:rsidR="00132A7E" w:rsidRPr="00AF0DE2">
        <w:rPr>
          <w:rFonts w:cs="Arial"/>
          <w:lang w:val="en-GB"/>
        </w:rPr>
        <w:t xml:space="preserve">Gas chromatography coupled with sulphur-selective </w:t>
      </w:r>
      <w:r w:rsidR="008A00C2" w:rsidRPr="00AF0DE2">
        <w:rPr>
          <w:rFonts w:cs="Arial"/>
          <w:lang w:val="en-GB"/>
        </w:rPr>
        <w:t>detectors</w:t>
      </w:r>
      <w:r w:rsidR="00132A7E" w:rsidRPr="00AF0DE2">
        <w:rPr>
          <w:rFonts w:cs="Arial"/>
          <w:lang w:val="en-GB"/>
        </w:rPr>
        <w:t xml:space="preserve"> offers the high specificity and sensitivity needed to resolve individual VOSCs, but </w:t>
      </w:r>
      <w:r w:rsidR="006016EF" w:rsidRPr="00AF0DE2">
        <w:rPr>
          <w:rFonts w:cs="Arial"/>
          <w:lang w:val="en-GB"/>
        </w:rPr>
        <w:t>is</w:t>
      </w:r>
      <w:r w:rsidR="00132A7E" w:rsidRPr="00AF0DE2">
        <w:rPr>
          <w:rFonts w:cs="Arial"/>
          <w:lang w:val="en-GB"/>
        </w:rPr>
        <w:t xml:space="preserve"> costly, complex and require specialised personnel and rigorous periodic calibrations</w:t>
      </w:r>
      <w:r w:rsidR="00AF0DE2" w:rsidRPr="00AF0DE2">
        <w:rPr>
          <w:rFonts w:cs="Arial"/>
          <w:lang w:val="en-GB"/>
        </w:rPr>
        <w:t>. All these aspects make</w:t>
      </w:r>
      <w:r w:rsidR="00132A7E" w:rsidRPr="00AF0DE2">
        <w:rPr>
          <w:rFonts w:cs="Arial"/>
          <w:lang w:val="en-GB"/>
        </w:rPr>
        <w:t xml:space="preserve"> </w:t>
      </w:r>
      <w:r w:rsidR="00AF0DE2" w:rsidRPr="00AF0DE2">
        <w:rPr>
          <w:rFonts w:cs="Arial"/>
          <w:lang w:val="en-GB"/>
        </w:rPr>
        <w:t xml:space="preserve">this </w:t>
      </w:r>
      <w:r w:rsidR="00132A7E" w:rsidRPr="00AF0DE2">
        <w:rPr>
          <w:rFonts w:cs="Arial"/>
          <w:lang w:val="en-GB"/>
        </w:rPr>
        <w:t>approach impractical for continuous field monitoring</w:t>
      </w:r>
      <w:r w:rsidR="0083653B" w:rsidRPr="00AF0DE2">
        <w:rPr>
          <w:rFonts w:cs="Arial"/>
          <w:lang w:val="en-GB"/>
        </w:rPr>
        <w:t xml:space="preserve"> </w:t>
      </w:r>
      <w:sdt>
        <w:sdtPr>
          <w:rPr>
            <w:rFonts w:cs="Arial"/>
            <w:color w:val="000000"/>
            <w:lang w:val="en-GB"/>
          </w:rPr>
          <w:tag w:val="MENDELEY_CITATION_v3_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"/>
          <w:id w:val="-900605480"/>
          <w:placeholder>
            <w:docPart w:val="DefaultPlaceholder_-1854013440"/>
          </w:placeholder>
        </w:sdtPr>
        <w:sdtContent>
          <w:r w:rsidR="00E22496" w:rsidRPr="00AF0DE2">
            <w:rPr>
              <w:rFonts w:cs="Arial"/>
              <w:color w:val="000000"/>
            </w:rPr>
            <w:t>(Pandey and Kim, 2009)</w:t>
          </w:r>
        </w:sdtContent>
      </w:sdt>
      <w:r w:rsidR="00132A7E" w:rsidRPr="00AF0DE2">
        <w:rPr>
          <w:rFonts w:cs="Arial"/>
          <w:lang w:val="en-GB"/>
        </w:rPr>
        <w:t>.</w:t>
      </w:r>
      <w:r w:rsidR="00DF213C" w:rsidRPr="00AF0DE2">
        <w:rPr>
          <w:rFonts w:cs="Arial"/>
          <w:lang w:val="en-GB"/>
        </w:rPr>
        <w:t xml:space="preserve"> </w:t>
      </w:r>
      <w:r w:rsidR="00132A7E" w:rsidRPr="00AF0DE2">
        <w:rPr>
          <w:rFonts w:cs="Arial"/>
          <w:lang w:val="en-GB"/>
        </w:rPr>
        <w:t xml:space="preserve">A possible solution, which has not yet been widely adopted in the context of odour emissions, </w:t>
      </w:r>
      <w:r w:rsidR="00A17B77" w:rsidRPr="00AF0DE2">
        <w:rPr>
          <w:rFonts w:cs="Arial"/>
          <w:lang w:val="en-GB"/>
        </w:rPr>
        <w:t>is the implementation of UV fluorescence instruments</w:t>
      </w:r>
      <w:r w:rsidR="00D92B6E" w:rsidRPr="00AF0DE2">
        <w:rPr>
          <w:rFonts w:cs="Arial"/>
          <w:lang w:val="en-GB"/>
        </w:rPr>
        <w:t xml:space="preserve"> coupled with specific catalysers</w:t>
      </w:r>
      <w:r w:rsidR="00A17B77" w:rsidRPr="00AF0DE2">
        <w:rPr>
          <w:rFonts w:cs="Arial"/>
          <w:lang w:val="en-GB"/>
        </w:rPr>
        <w:t>.</w:t>
      </w:r>
      <w:r w:rsidR="00D92B6E" w:rsidRPr="00AF0DE2">
        <w:rPr>
          <w:rFonts w:cs="Arial"/>
          <w:lang w:val="en-GB"/>
        </w:rPr>
        <w:t xml:space="preserve"> T</w:t>
      </w:r>
      <w:r w:rsidR="0037046E" w:rsidRPr="00AF0DE2">
        <w:rPr>
          <w:rFonts w:cs="Arial"/>
          <w:lang w:val="en-GB"/>
        </w:rPr>
        <w:t xml:space="preserve">his </w:t>
      </w:r>
      <w:r w:rsidR="00D92B6E" w:rsidRPr="00AF0DE2">
        <w:rPr>
          <w:rFonts w:cs="Arial"/>
          <w:lang w:val="en-GB"/>
        </w:rPr>
        <w:t>technology</w:t>
      </w:r>
      <w:r w:rsidR="0037046E" w:rsidRPr="00AF0DE2">
        <w:rPr>
          <w:rFonts w:cs="Arial"/>
          <w:lang w:val="en-GB"/>
        </w:rPr>
        <w:t xml:space="preserve"> represents a potentially valuable </w:t>
      </w:r>
      <w:r w:rsidR="0037046E" w:rsidRPr="00AF0DE2">
        <w:rPr>
          <w:rFonts w:cs="Arial"/>
          <w:lang w:val="en-GB"/>
        </w:rPr>
        <w:lastRenderedPageBreak/>
        <w:t>alternative for the continuous monitoring of H</w:t>
      </w:r>
      <w:r w:rsidR="0037046E" w:rsidRPr="00AF0DE2">
        <w:rPr>
          <w:rFonts w:ascii="Cambria Math" w:hAnsi="Cambria Math" w:cs="Cambria Math"/>
          <w:lang w:val="en-GB"/>
        </w:rPr>
        <w:t>₂</w:t>
      </w:r>
      <w:r w:rsidR="0037046E" w:rsidRPr="00AF0DE2">
        <w:rPr>
          <w:rFonts w:cs="Arial"/>
          <w:lang w:val="en-GB"/>
        </w:rPr>
        <w:t>S and sulphur compounds, combining high sensitivity with a selective detection principle</w:t>
      </w:r>
      <w:r w:rsidR="00CF36AD" w:rsidRPr="00AF0DE2">
        <w:rPr>
          <w:rFonts w:cs="Arial"/>
          <w:lang w:val="en-GB"/>
        </w:rPr>
        <w:t xml:space="preserve">. </w:t>
      </w:r>
      <w:r w:rsidR="00D92B6E" w:rsidRPr="00AF0DE2">
        <w:rPr>
          <w:rFonts w:cs="Arial"/>
          <w:lang w:val="en-GB"/>
        </w:rPr>
        <w:t>For these reasons, t</w:t>
      </w:r>
      <w:r w:rsidR="00CF36AD" w:rsidRPr="00AF0DE2">
        <w:rPr>
          <w:rFonts w:cs="Arial"/>
          <w:lang w:val="en-GB"/>
        </w:rPr>
        <w:t>hese instruments have been employed in previous odour monitoring campaigns for H</w:t>
      </w:r>
      <w:r w:rsidR="00CF36AD" w:rsidRPr="00AF0DE2">
        <w:rPr>
          <w:rFonts w:ascii="Cambria Math" w:hAnsi="Cambria Math" w:cs="Cambria Math"/>
          <w:lang w:val="en-GB"/>
        </w:rPr>
        <w:t>₂</w:t>
      </w:r>
      <w:r w:rsidR="00CF36AD" w:rsidRPr="00AF0DE2">
        <w:rPr>
          <w:rFonts w:cs="Arial"/>
          <w:lang w:val="en-GB"/>
        </w:rPr>
        <w:t>S measurement</w:t>
      </w:r>
      <w:r w:rsidR="008A00C2" w:rsidRPr="00AF0DE2">
        <w:rPr>
          <w:rFonts w:cs="Arial"/>
          <w:color w:val="000000"/>
          <w:lang w:val="en-GB"/>
        </w:rPr>
        <w:t xml:space="preserve"> </w:t>
      </w:r>
      <w:sdt>
        <w:sdtPr>
          <w:rPr>
            <w:rFonts w:cs="Arial"/>
            <w:color w:val="000000"/>
            <w:lang w:val="en-GB"/>
          </w:rPr>
          <w:tag w:val="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"/>
          <w:id w:val="-1159619132"/>
          <w:placeholder>
            <w:docPart w:val="D2E670E6434F4EE0B7043C90021A7B44"/>
          </w:placeholder>
        </w:sdtPr>
        <w:sdtContent>
          <w:r w:rsidR="00E22496" w:rsidRPr="00AF0DE2">
            <w:rPr>
              <w:rFonts w:cs="Arial"/>
              <w:color w:val="000000"/>
            </w:rPr>
            <w:t>(Constantin et al., 2025; Oliva et al., 2024; Traven et al., 2024)</w:t>
          </w:r>
        </w:sdtContent>
      </w:sdt>
      <w:r w:rsidR="00CF36AD" w:rsidRPr="00AF0DE2">
        <w:rPr>
          <w:rFonts w:cs="Arial"/>
          <w:lang w:val="en-GB"/>
        </w:rPr>
        <w:t xml:space="preserve">. </w:t>
      </w:r>
      <w:r w:rsidR="008A00C2" w:rsidRPr="00AF0DE2">
        <w:rPr>
          <w:rFonts w:cs="Arial"/>
          <w:lang w:val="en-GB"/>
        </w:rPr>
        <w:t>However, t</w:t>
      </w:r>
      <w:r w:rsidR="00CF36AD" w:rsidRPr="00AF0DE2">
        <w:rPr>
          <w:rFonts w:cs="Arial"/>
          <w:lang w:val="en-GB"/>
        </w:rPr>
        <w:t xml:space="preserve">heir performance, especially in relation to interference effects in complex odorous matrices, remains an area of ongoing investigation. </w:t>
      </w:r>
      <w:r w:rsidR="00DC4761" w:rsidRPr="00AF0DE2">
        <w:rPr>
          <w:rFonts w:cs="Arial"/>
          <w:lang w:val="en-GB"/>
        </w:rPr>
        <w:t>For these reasons, the present study aims to evaluate the applicability of the UV fluorescence instrument (Horiba APSA-370 with internal H2S Converter and TRS Converter) for monitoring sulphur compounds</w:t>
      </w:r>
      <w:r w:rsidR="000F3E8F" w:rsidRPr="00AF0DE2">
        <w:rPr>
          <w:rFonts w:cs="Arial"/>
          <w:lang w:val="en-GB"/>
        </w:rPr>
        <w:t xml:space="preserve"> at low concentration</w:t>
      </w:r>
      <w:r w:rsidR="00DC4761" w:rsidRPr="00AF0DE2">
        <w:rPr>
          <w:rFonts w:cs="Arial"/>
          <w:lang w:val="en-GB"/>
        </w:rPr>
        <w:t>, assessing the system’s performance in terms of low-level detection (LDL) capability, repeatability, and H2S selectivity in the presence of sulphur compounds and other potential interferents.</w:t>
      </w:r>
    </w:p>
    <w:p w14:paraId="2F1C9A0A" w14:textId="33E4A6B2" w:rsidR="00965FFB" w:rsidRPr="00AF0DE2" w:rsidRDefault="00965FFB" w:rsidP="00965FFB">
      <w:pPr>
        <w:pStyle w:val="CETHeading1"/>
        <w:rPr>
          <w:rFonts w:cs="Arial"/>
        </w:rPr>
      </w:pPr>
      <w:r w:rsidRPr="00AF0DE2">
        <w:rPr>
          <w:rFonts w:cs="Arial"/>
        </w:rPr>
        <w:t>Materials and methods</w:t>
      </w:r>
    </w:p>
    <w:p w14:paraId="15663DC1" w14:textId="095EE5CA" w:rsidR="00707FAE" w:rsidRPr="00AF0DE2" w:rsidRDefault="009F3307" w:rsidP="009F3307">
      <w:pPr>
        <w:pStyle w:val="CETheadingx"/>
        <w:rPr>
          <w:rFonts w:cs="Arial"/>
        </w:rPr>
      </w:pPr>
      <w:r w:rsidRPr="00AF0DE2">
        <w:rPr>
          <w:rFonts w:cs="Arial"/>
          <w:lang w:val="en-GB"/>
        </w:rPr>
        <w:t>APSA-370 + internal H2S Converter + TRS Converter</w:t>
      </w:r>
    </w:p>
    <w:p w14:paraId="24615315" w14:textId="5B85608C" w:rsidR="00491E6F" w:rsidRPr="00AF0DE2" w:rsidRDefault="009F3307" w:rsidP="00600535">
      <w:pPr>
        <w:pStyle w:val="CETBodytext"/>
        <w:rPr>
          <w:rFonts w:cs="Arial"/>
          <w:lang w:val="en-GB"/>
        </w:rPr>
      </w:pPr>
      <w:r w:rsidRPr="00AF0DE2">
        <w:rPr>
          <w:rFonts w:cs="Arial"/>
          <w:lang w:val="en-GB"/>
        </w:rPr>
        <w:t>The APSA 370</w:t>
      </w:r>
      <w:r w:rsidR="008A00C2" w:rsidRPr="00AF0DE2">
        <w:rPr>
          <w:rFonts w:cs="Arial"/>
          <w:lang w:val="en-GB"/>
        </w:rPr>
        <w:t xml:space="preserve"> (Horiba, Japan)</w:t>
      </w:r>
      <w:r w:rsidRPr="00AF0DE2">
        <w:rPr>
          <w:rFonts w:cs="Arial"/>
          <w:lang w:val="en-GB"/>
        </w:rPr>
        <w:t xml:space="preserve"> is an UV fluorescent analyser to measure the sulphur dioxide (SO</w:t>
      </w:r>
      <w:r w:rsidRPr="00AF0DE2">
        <w:rPr>
          <w:rFonts w:cs="Arial"/>
          <w:vertAlign w:val="subscript"/>
          <w:lang w:val="en-GB"/>
        </w:rPr>
        <w:t>2</w:t>
      </w:r>
      <w:r w:rsidRPr="00AF0DE2">
        <w:rPr>
          <w:rFonts w:cs="Arial"/>
          <w:lang w:val="en-GB"/>
        </w:rPr>
        <w:t>)</w:t>
      </w:r>
      <w:r w:rsidR="00926C81" w:rsidRPr="00AF0DE2">
        <w:rPr>
          <w:rFonts w:cs="Arial"/>
          <w:lang w:val="en-GB"/>
        </w:rPr>
        <w:t xml:space="preserve"> in ambient air</w:t>
      </w:r>
      <w:r w:rsidRPr="00AF0DE2">
        <w:rPr>
          <w:rFonts w:cs="Arial"/>
          <w:lang w:val="en-GB"/>
        </w:rPr>
        <w:t>. During the measure</w:t>
      </w:r>
      <w:r w:rsidR="006016EF" w:rsidRPr="00AF0DE2">
        <w:rPr>
          <w:rFonts w:cs="Arial"/>
          <w:lang w:val="en-GB"/>
        </w:rPr>
        <w:t>ment</w:t>
      </w:r>
      <w:r w:rsidRPr="00AF0DE2">
        <w:rPr>
          <w:rFonts w:cs="Arial"/>
          <w:lang w:val="en-GB"/>
        </w:rPr>
        <w:t>, the gas sample is irradiated by a UV (Xe) lamp, which causes the SO</w:t>
      </w:r>
      <w:r w:rsidRPr="00AF0DE2">
        <w:rPr>
          <w:rFonts w:cs="Arial"/>
          <w:vertAlign w:val="subscript"/>
          <w:lang w:val="en-GB"/>
        </w:rPr>
        <w:t>2</w:t>
      </w:r>
      <w:r w:rsidRPr="00AF0DE2">
        <w:rPr>
          <w:rFonts w:cs="Arial"/>
          <w:lang w:val="en-GB"/>
        </w:rPr>
        <w:t xml:space="preserve"> molecules to vibrate; the UV light emitted as the molecules relax is proportional to the concentration of </w:t>
      </w:r>
      <w:r w:rsidR="00491E6F" w:rsidRPr="00AF0DE2">
        <w:rPr>
          <w:rFonts w:cs="Arial"/>
          <w:lang w:val="en-GB"/>
        </w:rPr>
        <w:t>SO</w:t>
      </w:r>
      <w:r w:rsidR="00491E6F" w:rsidRPr="00AF0DE2">
        <w:rPr>
          <w:rFonts w:cs="Arial"/>
          <w:vertAlign w:val="subscript"/>
          <w:lang w:val="en-GB"/>
        </w:rPr>
        <w:t>2</w:t>
      </w:r>
      <w:r w:rsidRPr="00AF0DE2">
        <w:rPr>
          <w:rFonts w:cs="Arial"/>
          <w:lang w:val="en-GB"/>
        </w:rPr>
        <w:t xml:space="preserve"> in the sample.</w:t>
      </w:r>
      <w:r w:rsidR="00926C81" w:rsidRPr="00AF0DE2">
        <w:rPr>
          <w:rFonts w:cs="Arial"/>
          <w:lang w:val="en-GB"/>
        </w:rPr>
        <w:t xml:space="preserve"> Due to the potential interference of aromatic hydrocarbons, the instrument is equipped with a </w:t>
      </w:r>
      <w:r w:rsidR="00B52E26" w:rsidRPr="00AF0DE2">
        <w:rPr>
          <w:rFonts w:cs="Arial"/>
          <w:lang w:val="en-GB"/>
        </w:rPr>
        <w:t xml:space="preserve">HC </w:t>
      </w:r>
      <w:r w:rsidR="00926C81" w:rsidRPr="00AF0DE2">
        <w:rPr>
          <w:rFonts w:cs="Arial"/>
          <w:lang w:val="en-GB"/>
        </w:rPr>
        <w:t xml:space="preserve">cutter to reduce </w:t>
      </w:r>
      <w:r w:rsidR="00D92B6E" w:rsidRPr="00AF0DE2">
        <w:rPr>
          <w:rFonts w:cs="Arial"/>
          <w:lang w:val="en-GB"/>
        </w:rPr>
        <w:t xml:space="preserve">these </w:t>
      </w:r>
      <w:r w:rsidR="00926C81" w:rsidRPr="00AF0DE2">
        <w:rPr>
          <w:rFonts w:cs="Arial"/>
          <w:lang w:val="en-GB"/>
        </w:rPr>
        <w:t>interferences. The SO</w:t>
      </w:r>
      <w:r w:rsidR="00926C81" w:rsidRPr="00AF0DE2">
        <w:rPr>
          <w:rFonts w:cs="Arial"/>
          <w:vertAlign w:val="subscript"/>
          <w:lang w:val="en-GB"/>
        </w:rPr>
        <w:t>2</w:t>
      </w:r>
      <w:r w:rsidR="00926C81" w:rsidRPr="00AF0DE2">
        <w:rPr>
          <w:rFonts w:cs="Arial"/>
          <w:lang w:val="en-GB"/>
        </w:rPr>
        <w:t xml:space="preserve"> concentration range is 0-0.5 ppm</w:t>
      </w:r>
      <w:r w:rsidR="00B63508" w:rsidRPr="00AF0DE2">
        <w:rPr>
          <w:rFonts w:cs="Arial"/>
          <w:lang w:val="en-GB"/>
        </w:rPr>
        <w:t xml:space="preserve">, </w:t>
      </w:r>
      <w:r w:rsidR="006676C2" w:rsidRPr="00AF0DE2">
        <w:rPr>
          <w:rFonts w:cs="Arial"/>
          <w:lang w:val="en-GB"/>
        </w:rPr>
        <w:t>with a possible extension range</w:t>
      </w:r>
      <w:r w:rsidR="00926C81" w:rsidRPr="00AF0DE2">
        <w:rPr>
          <w:rFonts w:cs="Arial"/>
          <w:lang w:val="en-GB"/>
        </w:rPr>
        <w:t xml:space="preserve"> </w:t>
      </w:r>
      <w:r w:rsidR="00B63508" w:rsidRPr="00AF0DE2">
        <w:rPr>
          <w:rFonts w:cs="Arial"/>
          <w:lang w:val="en-GB"/>
        </w:rPr>
        <w:t>0-1</w:t>
      </w:r>
      <w:r w:rsidR="006B3DBC" w:rsidRPr="00AF0DE2">
        <w:rPr>
          <w:rFonts w:cs="Arial"/>
          <w:lang w:val="en-GB"/>
        </w:rPr>
        <w:t>0</w:t>
      </w:r>
      <w:r w:rsidR="00B63508" w:rsidRPr="00AF0DE2">
        <w:rPr>
          <w:rFonts w:cs="Arial"/>
          <w:lang w:val="en-GB"/>
        </w:rPr>
        <w:t xml:space="preserve"> ppm.</w:t>
      </w:r>
      <w:r w:rsidR="006B3DBC" w:rsidRPr="00AF0DE2">
        <w:rPr>
          <w:rFonts w:cs="Arial"/>
          <w:lang w:val="en-GB"/>
        </w:rPr>
        <w:t xml:space="preserve"> T</w:t>
      </w:r>
      <w:r w:rsidR="00926C81" w:rsidRPr="00AF0DE2">
        <w:rPr>
          <w:rFonts w:cs="Arial"/>
          <w:lang w:val="en-GB"/>
        </w:rPr>
        <w:t>he declared lowest detection limit (LDL) is 0.5 ppb.</w:t>
      </w:r>
      <w:r w:rsidR="00EB35D2" w:rsidRPr="00AF0DE2">
        <w:rPr>
          <w:rFonts w:cs="Arial"/>
          <w:lang w:val="en-GB"/>
        </w:rPr>
        <w:t xml:space="preserve"> </w:t>
      </w:r>
      <w:r w:rsidR="00AD1BA4" w:rsidRPr="00AF0DE2">
        <w:rPr>
          <w:rFonts w:cs="Arial"/>
          <w:lang w:val="en-GB"/>
        </w:rPr>
        <w:t>For measuring VOSCs and H</w:t>
      </w:r>
      <w:r w:rsidR="00AF0DE2" w:rsidRPr="00AF0DE2">
        <w:rPr>
          <w:rFonts w:cs="Arial"/>
          <w:vertAlign w:val="subscript"/>
          <w:lang w:val="en-GB"/>
        </w:rPr>
        <w:t>2</w:t>
      </w:r>
      <w:r w:rsidR="00AD1BA4" w:rsidRPr="00AF0DE2">
        <w:rPr>
          <w:rFonts w:cs="Arial"/>
          <w:lang w:val="en-GB"/>
        </w:rPr>
        <w:t xml:space="preserve">S, the instrument is equipped with two </w:t>
      </w:r>
      <w:r w:rsidR="00336975" w:rsidRPr="00AF0DE2">
        <w:rPr>
          <w:rFonts w:cs="Arial"/>
          <w:lang w:val="en-GB"/>
        </w:rPr>
        <w:t xml:space="preserve">different </w:t>
      </w:r>
      <w:r w:rsidR="00AD1BA4" w:rsidRPr="00AF0DE2">
        <w:rPr>
          <w:rFonts w:cs="Arial"/>
          <w:lang w:val="en-GB"/>
        </w:rPr>
        <w:t xml:space="preserve">converters. The </w:t>
      </w:r>
      <w:r w:rsidR="00AF0DE2" w:rsidRPr="00AF0DE2">
        <w:rPr>
          <w:rFonts w:cs="Arial"/>
          <w:lang w:val="en-GB"/>
        </w:rPr>
        <w:t>H</w:t>
      </w:r>
      <w:r w:rsidR="00AF0DE2" w:rsidRPr="00AF0DE2">
        <w:rPr>
          <w:rFonts w:cs="Arial"/>
          <w:vertAlign w:val="subscript"/>
          <w:lang w:val="en-GB"/>
        </w:rPr>
        <w:t>2</w:t>
      </w:r>
      <w:r w:rsidR="00AF0DE2" w:rsidRPr="00AF0DE2">
        <w:rPr>
          <w:rFonts w:cs="Arial"/>
          <w:lang w:val="en-GB"/>
        </w:rPr>
        <w:t>S</w:t>
      </w:r>
      <w:r w:rsidR="00AD1BA4" w:rsidRPr="00AF0DE2">
        <w:rPr>
          <w:rFonts w:cs="Arial"/>
          <w:lang w:val="en-GB"/>
        </w:rPr>
        <w:t xml:space="preserve"> converter unit is equipped with two </w:t>
      </w:r>
      <w:r w:rsidR="00171496" w:rsidRPr="00AF0DE2">
        <w:rPr>
          <w:rFonts w:cs="Arial"/>
          <w:lang w:val="en-GB"/>
        </w:rPr>
        <w:t xml:space="preserve">different </w:t>
      </w:r>
      <w:r w:rsidR="00AD1BA4" w:rsidRPr="00AF0DE2">
        <w:rPr>
          <w:rFonts w:cs="Arial"/>
          <w:lang w:val="en-GB"/>
        </w:rPr>
        <w:t xml:space="preserve">catalysers </w:t>
      </w:r>
      <w:r w:rsidR="008A00C2" w:rsidRPr="00AF0DE2">
        <w:rPr>
          <w:rFonts w:cs="Arial"/>
          <w:lang w:val="en-GB"/>
        </w:rPr>
        <w:t xml:space="preserve">- </w:t>
      </w:r>
      <w:r w:rsidR="00171496" w:rsidRPr="00AF0DE2">
        <w:rPr>
          <w:rFonts w:cs="Arial"/>
          <w:lang w:val="en-GB"/>
        </w:rPr>
        <w:t>t</w:t>
      </w:r>
      <w:r w:rsidR="00AD1BA4" w:rsidRPr="00AF0DE2">
        <w:rPr>
          <w:rFonts w:cs="Arial"/>
          <w:lang w:val="en-GB"/>
        </w:rPr>
        <w:t>he first one removes SO</w:t>
      </w:r>
      <w:r w:rsidR="00AD1BA4" w:rsidRPr="00AF0DE2">
        <w:rPr>
          <w:rFonts w:cs="Arial"/>
          <w:vertAlign w:val="subscript"/>
          <w:lang w:val="en-GB"/>
        </w:rPr>
        <w:t>X</w:t>
      </w:r>
      <w:r w:rsidR="00AD1BA4" w:rsidRPr="00AF0DE2">
        <w:rPr>
          <w:rFonts w:cs="Arial"/>
          <w:lang w:val="en-GB"/>
        </w:rPr>
        <w:t xml:space="preserve"> from the sample and a second converts H</w:t>
      </w:r>
      <w:r w:rsidR="00AD1BA4" w:rsidRPr="00AF0DE2">
        <w:rPr>
          <w:rFonts w:ascii="Cambria Math" w:hAnsi="Cambria Math" w:cs="Cambria Math"/>
          <w:lang w:val="en-GB"/>
        </w:rPr>
        <w:t>₂</w:t>
      </w:r>
      <w:r w:rsidR="00AD1BA4" w:rsidRPr="00AF0DE2">
        <w:rPr>
          <w:rFonts w:cs="Arial"/>
          <w:lang w:val="en-GB"/>
        </w:rPr>
        <w:t>S into SO</w:t>
      </w:r>
      <w:r w:rsidR="00AD1BA4" w:rsidRPr="00AF0DE2">
        <w:rPr>
          <w:rFonts w:cs="Arial"/>
          <w:vertAlign w:val="subscript"/>
          <w:lang w:val="en-GB"/>
        </w:rPr>
        <w:t>2</w:t>
      </w:r>
      <w:r w:rsidR="00AF0DE2">
        <w:rPr>
          <w:rFonts w:cs="Arial"/>
          <w:lang w:val="en-GB"/>
        </w:rPr>
        <w:t>. The</w:t>
      </w:r>
      <w:r w:rsidR="00AD1BA4" w:rsidRPr="00AF0DE2">
        <w:rPr>
          <w:rFonts w:cs="Arial"/>
          <w:lang w:val="en-GB"/>
        </w:rPr>
        <w:t xml:space="preserve"> oxidation temperature is equal to 300 °C and the declared efficiency is </w:t>
      </w:r>
      <w:r w:rsidR="00171496" w:rsidRPr="00AF0DE2">
        <w:rPr>
          <w:rFonts w:cs="Arial"/>
          <w:lang w:val="en-GB"/>
        </w:rPr>
        <w:t>≥</w:t>
      </w:r>
      <w:r w:rsidR="00AD1BA4" w:rsidRPr="00AF0DE2">
        <w:rPr>
          <w:rFonts w:cs="Arial"/>
          <w:lang w:val="en-GB"/>
        </w:rPr>
        <w:t xml:space="preserve"> 95%. For measuring the VOSCs, a TRS (</w:t>
      </w:r>
      <w:r w:rsidR="003E7B19">
        <w:rPr>
          <w:rFonts w:cs="Arial"/>
          <w:lang w:val="en-GB"/>
        </w:rPr>
        <w:t>T</w:t>
      </w:r>
      <w:r w:rsidR="00AD1BA4" w:rsidRPr="00AF0DE2">
        <w:rPr>
          <w:rFonts w:cs="Arial"/>
          <w:lang w:val="en-GB"/>
        </w:rPr>
        <w:t xml:space="preserve">otal </w:t>
      </w:r>
      <w:r w:rsidR="003E7B19">
        <w:rPr>
          <w:rFonts w:cs="Arial"/>
          <w:lang w:val="en-GB"/>
        </w:rPr>
        <w:t>R</w:t>
      </w:r>
      <w:r w:rsidR="00AD1BA4" w:rsidRPr="00AF0DE2">
        <w:rPr>
          <w:rFonts w:cs="Arial"/>
          <w:lang w:val="en-GB"/>
        </w:rPr>
        <w:t xml:space="preserve">educed </w:t>
      </w:r>
      <w:r w:rsidR="003E7B19">
        <w:rPr>
          <w:rFonts w:cs="Arial"/>
          <w:lang w:val="en-GB"/>
        </w:rPr>
        <w:t>S</w:t>
      </w:r>
      <w:r w:rsidR="00AD1BA4" w:rsidRPr="00AF0DE2">
        <w:rPr>
          <w:rFonts w:cs="Arial"/>
          <w:lang w:val="en-GB"/>
        </w:rPr>
        <w:t xml:space="preserve">ulphur) unit is installed upstream of the UV detector. It </w:t>
      </w:r>
      <w:r w:rsidR="00391BF6" w:rsidRPr="00AF0DE2">
        <w:rPr>
          <w:rFonts w:cs="Arial"/>
          <w:lang w:val="en-GB"/>
        </w:rPr>
        <w:t>can oxidise</w:t>
      </w:r>
      <w:r w:rsidR="00AD1BA4" w:rsidRPr="00AF0DE2">
        <w:rPr>
          <w:rFonts w:cs="Arial"/>
          <w:lang w:val="en-GB"/>
        </w:rPr>
        <w:t xml:space="preserve"> sulphur compounds to </w:t>
      </w:r>
      <w:r w:rsidR="00491E6F" w:rsidRPr="00AF0DE2">
        <w:rPr>
          <w:rFonts w:cs="Arial"/>
          <w:lang w:val="en-GB"/>
        </w:rPr>
        <w:t>SO</w:t>
      </w:r>
      <w:r w:rsidR="00491E6F" w:rsidRPr="00AF0DE2">
        <w:rPr>
          <w:rFonts w:cs="Arial"/>
          <w:vertAlign w:val="subscript"/>
          <w:lang w:val="en-GB"/>
        </w:rPr>
        <w:t>2</w:t>
      </w:r>
      <w:r w:rsidR="00AD1BA4" w:rsidRPr="00AF0DE2">
        <w:rPr>
          <w:rFonts w:cs="Arial"/>
          <w:lang w:val="en-GB"/>
        </w:rPr>
        <w:t xml:space="preserve"> by utilising the effect of temperature in an oxidising environment (i.e. atmospheric oxygen) downstream of a scrubber unit that removes </w:t>
      </w:r>
      <w:r w:rsidR="00844856" w:rsidRPr="00AF0DE2">
        <w:rPr>
          <w:rFonts w:cs="Arial"/>
          <w:lang w:val="en-GB"/>
        </w:rPr>
        <w:t>environmental</w:t>
      </w:r>
      <w:r w:rsidR="00491E6F" w:rsidRPr="00AF0DE2">
        <w:rPr>
          <w:rFonts w:cs="Arial"/>
          <w:lang w:val="en-GB"/>
        </w:rPr>
        <w:t xml:space="preserve"> </w:t>
      </w:r>
      <w:r w:rsidR="00AD1BA4" w:rsidRPr="00AF0DE2">
        <w:rPr>
          <w:rFonts w:cs="Arial"/>
          <w:lang w:val="en-GB"/>
        </w:rPr>
        <w:t>SO</w:t>
      </w:r>
      <w:r w:rsidR="00AF0DE2" w:rsidRPr="00AF0DE2">
        <w:rPr>
          <w:rFonts w:cs="Arial"/>
          <w:vertAlign w:val="subscript"/>
          <w:lang w:val="en-GB"/>
        </w:rPr>
        <w:t>2</w:t>
      </w:r>
      <w:r w:rsidR="00AD1BA4" w:rsidRPr="00AF0DE2">
        <w:rPr>
          <w:rFonts w:cs="Arial"/>
          <w:lang w:val="en-GB"/>
        </w:rPr>
        <w:t xml:space="preserve">. </w:t>
      </w:r>
      <w:r w:rsidR="00491E6F" w:rsidRPr="00AF0DE2">
        <w:rPr>
          <w:rFonts w:cs="Arial"/>
          <w:lang w:val="en-GB"/>
        </w:rPr>
        <w:t xml:space="preserve">The oxidation temperature of TRS unit is 950 °C and its declared efficiency is </w:t>
      </w:r>
      <w:r w:rsidR="006016EF" w:rsidRPr="00AF0DE2">
        <w:rPr>
          <w:rFonts w:cs="Arial"/>
          <w:lang w:val="en-GB"/>
        </w:rPr>
        <w:t>≥</w:t>
      </w:r>
      <w:r w:rsidR="00491E6F" w:rsidRPr="00AF0DE2">
        <w:rPr>
          <w:rFonts w:cs="Arial"/>
          <w:lang w:val="en-GB"/>
        </w:rPr>
        <w:t xml:space="preserve"> 90%.</w:t>
      </w:r>
    </w:p>
    <w:p w14:paraId="282E9D4A" w14:textId="414A18FC" w:rsidR="00491E6F" w:rsidRPr="00AF0DE2" w:rsidRDefault="00491E6F" w:rsidP="00491E6F">
      <w:pPr>
        <w:pStyle w:val="CETheadingx"/>
        <w:rPr>
          <w:rFonts w:cs="Arial"/>
          <w:lang w:val="en-GB"/>
        </w:rPr>
      </w:pPr>
      <w:r w:rsidRPr="00AF0DE2">
        <w:rPr>
          <w:rFonts w:cs="Arial"/>
          <w:lang w:val="en-GB"/>
        </w:rPr>
        <w:t>Samples preparation</w:t>
      </w:r>
    </w:p>
    <w:p w14:paraId="33F5FA76" w14:textId="66E0C064" w:rsidR="00330DBF" w:rsidRPr="00AF0DE2" w:rsidRDefault="00DF213C" w:rsidP="00391BF6">
      <w:pPr>
        <w:pStyle w:val="CETBodytext"/>
        <w:rPr>
          <w:rFonts w:cs="Arial"/>
          <w:lang w:val="en-GB"/>
        </w:rPr>
      </w:pPr>
      <w:r w:rsidRPr="00AF0DE2">
        <w:rPr>
          <w:rFonts w:cs="Arial"/>
          <w:lang w:val="en-GB"/>
        </w:rPr>
        <w:t>B</w:t>
      </w:r>
      <w:r w:rsidR="008C012D" w:rsidRPr="00AF0DE2">
        <w:rPr>
          <w:rFonts w:cs="Arial"/>
          <w:lang w:val="en-GB"/>
        </w:rPr>
        <w:t>oth standard gasses and real samples</w:t>
      </w:r>
      <w:r w:rsidRPr="00AF0DE2">
        <w:rPr>
          <w:rFonts w:cs="Arial"/>
          <w:lang w:val="en-GB"/>
        </w:rPr>
        <w:t xml:space="preserve"> have been employed to verify the instrument </w:t>
      </w:r>
      <w:r w:rsidR="008A00C2" w:rsidRPr="00AF0DE2">
        <w:rPr>
          <w:rFonts w:cs="Arial"/>
          <w:lang w:val="en-GB"/>
        </w:rPr>
        <w:t>performance</w:t>
      </w:r>
      <w:r w:rsidR="00391BF6" w:rsidRPr="00AF0DE2">
        <w:rPr>
          <w:rFonts w:cs="Arial"/>
          <w:lang w:val="en-GB"/>
        </w:rPr>
        <w:t xml:space="preserve">. </w:t>
      </w:r>
      <w:r w:rsidR="008C012D" w:rsidRPr="00AF0DE2">
        <w:rPr>
          <w:rFonts w:cs="Arial"/>
          <w:lang w:val="en-GB"/>
        </w:rPr>
        <w:t xml:space="preserve">All experiments were performed by directly analysing gas samples collected in </w:t>
      </w:r>
      <w:proofErr w:type="spellStart"/>
      <w:r w:rsidR="008C012D" w:rsidRPr="00AF0DE2">
        <w:rPr>
          <w:rFonts w:cs="Arial"/>
          <w:lang w:val="en-GB"/>
        </w:rPr>
        <w:t>Nalophan</w:t>
      </w:r>
      <w:r w:rsidR="008C012D" w:rsidRPr="00AF0DE2">
        <w:rPr>
          <w:rFonts w:cs="Arial"/>
          <w:vertAlign w:val="superscript"/>
          <w:lang w:val="en-GB"/>
        </w:rPr>
        <w:t>TM</w:t>
      </w:r>
      <w:proofErr w:type="spellEnd"/>
      <w:r w:rsidR="008C012D" w:rsidRPr="00AF0DE2">
        <w:rPr>
          <w:rFonts w:cs="Arial"/>
          <w:lang w:val="en-GB"/>
        </w:rPr>
        <w:t xml:space="preserve"> bags.</w:t>
      </w:r>
      <w:r w:rsidR="00E81FF6" w:rsidRPr="00AF0DE2">
        <w:rPr>
          <w:rFonts w:cs="Arial"/>
          <w:lang w:val="en-GB"/>
        </w:rPr>
        <w:t xml:space="preserve"> </w:t>
      </w:r>
      <w:r w:rsidR="007C6B13" w:rsidRPr="00AF0DE2">
        <w:rPr>
          <w:rFonts w:cs="Arial"/>
          <w:lang w:val="en-GB"/>
        </w:rPr>
        <w:t xml:space="preserve">Firstly, test with calibration gases </w:t>
      </w:r>
      <w:r w:rsidR="008C012D" w:rsidRPr="00AF0DE2">
        <w:rPr>
          <w:rFonts w:cs="Arial"/>
          <w:lang w:val="en-GB"/>
        </w:rPr>
        <w:t>were</w:t>
      </w:r>
      <w:r w:rsidR="007C6B13" w:rsidRPr="00AF0DE2">
        <w:rPr>
          <w:rFonts w:cs="Arial"/>
          <w:lang w:val="en-GB"/>
        </w:rPr>
        <w:t xml:space="preserve"> </w:t>
      </w:r>
      <w:r w:rsidR="008C012D" w:rsidRPr="00AF0DE2">
        <w:rPr>
          <w:rFonts w:cs="Arial"/>
          <w:lang w:val="en-GB"/>
        </w:rPr>
        <w:t>performed</w:t>
      </w:r>
      <w:r w:rsidR="00391BF6" w:rsidRPr="00AF0DE2">
        <w:rPr>
          <w:rFonts w:cs="Arial"/>
          <w:lang w:val="en-GB"/>
        </w:rPr>
        <w:t>.</w:t>
      </w:r>
      <w:r w:rsidR="007C6B13" w:rsidRPr="00AF0DE2">
        <w:rPr>
          <w:rFonts w:cs="Arial"/>
          <w:lang w:val="en-GB"/>
        </w:rPr>
        <w:t xml:space="preserve"> </w:t>
      </w:r>
      <w:r w:rsidR="00A35646" w:rsidRPr="00AF0DE2">
        <w:rPr>
          <w:rFonts w:cs="Arial"/>
          <w:lang w:val="en-GB"/>
        </w:rPr>
        <w:t xml:space="preserve"> At this stage, the molecules used in the tests were selected </w:t>
      </w:r>
      <w:r w:rsidR="00B52E26" w:rsidRPr="00AF0DE2">
        <w:rPr>
          <w:rFonts w:cs="Arial"/>
          <w:lang w:val="en-GB"/>
        </w:rPr>
        <w:t xml:space="preserve">to testing </w:t>
      </w:r>
      <w:r w:rsidR="00A35646" w:rsidRPr="00AF0DE2">
        <w:rPr>
          <w:rFonts w:cs="Arial"/>
          <w:lang w:val="en-GB"/>
        </w:rPr>
        <w:t>their affinity with the detector and the potential interferences with the detector and the catalysers/cutters. The investigated molecules are: H</w:t>
      </w:r>
      <w:r w:rsidR="00A35646" w:rsidRPr="00AF0DE2">
        <w:rPr>
          <w:rFonts w:cs="Arial"/>
          <w:vertAlign w:val="subscript"/>
          <w:lang w:val="en-GB"/>
        </w:rPr>
        <w:t>2</w:t>
      </w:r>
      <w:r w:rsidR="00A35646" w:rsidRPr="00AF0DE2">
        <w:rPr>
          <w:rFonts w:cs="Arial"/>
          <w:lang w:val="en-GB"/>
        </w:rPr>
        <w:t>S, methanethiol (</w:t>
      </w:r>
      <w:proofErr w:type="spellStart"/>
      <w:r w:rsidR="00A35646" w:rsidRPr="00AF0DE2">
        <w:rPr>
          <w:rFonts w:cs="Arial"/>
          <w:lang w:val="en-GB"/>
        </w:rPr>
        <w:t>MeSH</w:t>
      </w:r>
      <w:proofErr w:type="spellEnd"/>
      <w:r w:rsidR="00A35646" w:rsidRPr="00AF0DE2">
        <w:rPr>
          <w:rFonts w:cs="Arial"/>
          <w:lang w:val="en-GB"/>
        </w:rPr>
        <w:t xml:space="preserve">), dimethyl sulphide (DMS), dimethyl trisulphide (DMTS), tetrahydrothiophene (THT), benzene, toluene. In addition, mix of </w:t>
      </w:r>
      <w:r w:rsidR="008A00C2" w:rsidRPr="00AF0DE2">
        <w:rPr>
          <w:rFonts w:cs="Arial"/>
          <w:lang w:val="en-GB"/>
        </w:rPr>
        <w:t>these</w:t>
      </w:r>
      <w:r w:rsidR="00A35646" w:rsidRPr="00AF0DE2">
        <w:rPr>
          <w:rFonts w:cs="Arial"/>
          <w:lang w:val="en-GB"/>
        </w:rPr>
        <w:t xml:space="preserve"> gas</w:t>
      </w:r>
      <w:r w:rsidR="008A00C2" w:rsidRPr="00AF0DE2">
        <w:rPr>
          <w:rFonts w:cs="Arial"/>
          <w:lang w:val="en-GB"/>
        </w:rPr>
        <w:t xml:space="preserve">es </w:t>
      </w:r>
      <w:r w:rsidR="00A35646" w:rsidRPr="00AF0DE2">
        <w:rPr>
          <w:rFonts w:cs="Arial"/>
          <w:lang w:val="en-GB"/>
        </w:rPr>
        <w:t>were prepared: toluene + H</w:t>
      </w:r>
      <w:r w:rsidR="00A35646" w:rsidRPr="00AF0DE2">
        <w:rPr>
          <w:rFonts w:cs="Arial"/>
          <w:vertAlign w:val="subscript"/>
          <w:lang w:val="en-GB"/>
        </w:rPr>
        <w:t>2</w:t>
      </w:r>
      <w:r w:rsidR="00A35646" w:rsidRPr="00AF0DE2">
        <w:rPr>
          <w:rFonts w:cs="Arial"/>
          <w:lang w:val="en-GB"/>
        </w:rPr>
        <w:t xml:space="preserve">S, toluene + </w:t>
      </w:r>
      <w:proofErr w:type="spellStart"/>
      <w:r w:rsidR="00A35646" w:rsidRPr="00AF0DE2">
        <w:rPr>
          <w:rFonts w:cs="Arial"/>
          <w:lang w:val="en-GB"/>
        </w:rPr>
        <w:t>MeSH</w:t>
      </w:r>
      <w:proofErr w:type="spellEnd"/>
      <w:r w:rsidR="00A35646" w:rsidRPr="00AF0DE2">
        <w:rPr>
          <w:rFonts w:cs="Arial"/>
          <w:lang w:val="en-GB"/>
        </w:rPr>
        <w:t>, H</w:t>
      </w:r>
      <w:r w:rsidR="00A35646" w:rsidRPr="00AF0DE2">
        <w:rPr>
          <w:rFonts w:cs="Arial"/>
          <w:vertAlign w:val="subscript"/>
          <w:lang w:val="en-GB"/>
        </w:rPr>
        <w:t>2</w:t>
      </w:r>
      <w:r w:rsidR="00A35646" w:rsidRPr="00AF0DE2">
        <w:rPr>
          <w:rFonts w:cs="Arial"/>
          <w:lang w:val="en-GB"/>
        </w:rPr>
        <w:t xml:space="preserve">S + </w:t>
      </w:r>
      <w:proofErr w:type="spellStart"/>
      <w:r w:rsidR="00A35646" w:rsidRPr="00AF0DE2">
        <w:rPr>
          <w:rFonts w:cs="Arial"/>
          <w:lang w:val="en-GB"/>
        </w:rPr>
        <w:t>MeSH</w:t>
      </w:r>
      <w:proofErr w:type="spellEnd"/>
      <w:r w:rsidR="00A35646" w:rsidRPr="00AF0DE2">
        <w:rPr>
          <w:rFonts w:cs="Arial"/>
          <w:lang w:val="en-GB"/>
        </w:rPr>
        <w:t>.</w:t>
      </w:r>
      <w:r w:rsidR="007C6B13" w:rsidRPr="00AF0DE2">
        <w:rPr>
          <w:rFonts w:cs="Arial"/>
          <w:lang w:val="en-GB"/>
        </w:rPr>
        <w:t xml:space="preserve"> Certified gas mixtures (SIAD </w:t>
      </w:r>
      <w:r w:rsidR="008C012D" w:rsidRPr="00AF0DE2">
        <w:rPr>
          <w:rFonts w:cs="Arial"/>
          <w:lang w:val="en-GB"/>
        </w:rPr>
        <w:t xml:space="preserve">S.p.A. </w:t>
      </w:r>
      <w:r w:rsidR="007C6B13" w:rsidRPr="00AF0DE2">
        <w:rPr>
          <w:rFonts w:cs="Arial"/>
          <w:lang w:val="en-GB"/>
        </w:rPr>
        <w:t xml:space="preserve">and </w:t>
      </w:r>
      <w:r w:rsidR="00955A55" w:rsidRPr="00AF0DE2">
        <w:rPr>
          <w:rFonts w:cs="Arial"/>
          <w:lang w:val="en-GB"/>
        </w:rPr>
        <w:t>SAPIO S.r.l.</w:t>
      </w:r>
      <w:r w:rsidR="007C6B13" w:rsidRPr="00AF0DE2">
        <w:rPr>
          <w:rFonts w:cs="Arial"/>
          <w:lang w:val="en-GB"/>
        </w:rPr>
        <w:t xml:space="preserve">, Italy) were employed as primary standards. </w:t>
      </w:r>
      <w:r w:rsidR="006016EF" w:rsidRPr="00AF0DE2">
        <w:rPr>
          <w:rFonts w:cs="Arial"/>
        </w:rPr>
        <w:t xml:space="preserve">To obtain target concentrations within the instrument’s working range, a laboratory dilutor (EPD sample pre-dilution device, </w:t>
      </w:r>
      <w:proofErr w:type="spellStart"/>
      <w:r w:rsidR="006016EF" w:rsidRPr="00AF0DE2">
        <w:rPr>
          <w:rFonts w:cs="Arial"/>
        </w:rPr>
        <w:t>Olfasense</w:t>
      </w:r>
      <w:proofErr w:type="spellEnd"/>
      <w:r w:rsidR="006016EF" w:rsidRPr="00AF0DE2">
        <w:rPr>
          <w:rFonts w:cs="Arial"/>
        </w:rPr>
        <w:t xml:space="preserve"> GmbH, Germany) was used during bag filling before subsequent analysis</w:t>
      </w:r>
      <w:r w:rsidR="0043688A" w:rsidRPr="00AF0DE2">
        <w:rPr>
          <w:rFonts w:cs="Arial"/>
        </w:rPr>
        <w:t>.</w:t>
      </w:r>
      <w:r w:rsidR="0043688A" w:rsidRPr="00AF0DE2">
        <w:rPr>
          <w:rFonts w:cs="Arial"/>
          <w:lang w:val="en-GB"/>
        </w:rPr>
        <w:t xml:space="preserve"> </w:t>
      </w:r>
      <w:r w:rsidR="00B4021F" w:rsidRPr="00AF0DE2">
        <w:rPr>
          <w:rFonts w:cs="Arial"/>
        </w:rPr>
        <w:t xml:space="preserve">Analyses were carried out by directly connecting the </w:t>
      </w:r>
      <w:proofErr w:type="spellStart"/>
      <w:r w:rsidR="00B4021F" w:rsidRPr="00AF0DE2">
        <w:rPr>
          <w:rFonts w:cs="Arial"/>
        </w:rPr>
        <w:t>analyser</w:t>
      </w:r>
      <w:proofErr w:type="spellEnd"/>
      <w:r w:rsidR="00B4021F" w:rsidRPr="00AF0DE2">
        <w:rPr>
          <w:rFonts w:cs="Arial"/>
        </w:rPr>
        <w:t xml:space="preserve"> inlet for the measurement of SO2, H2S, and TRS concentrations.</w:t>
      </w:r>
      <w:r w:rsidR="00EB35D2" w:rsidRPr="00AF0DE2">
        <w:rPr>
          <w:rFonts w:cs="Arial"/>
        </w:rPr>
        <w:t xml:space="preserve"> </w:t>
      </w:r>
      <w:r w:rsidR="00330DBF" w:rsidRPr="00AF0DE2">
        <w:rPr>
          <w:rFonts w:cs="Arial"/>
          <w:lang w:val="en-GB"/>
        </w:rPr>
        <w:t>Real samples</w:t>
      </w:r>
      <w:r w:rsidR="00AD5C50" w:rsidRPr="00AF0DE2">
        <w:rPr>
          <w:rFonts w:cs="Arial"/>
          <w:lang w:val="en-GB"/>
        </w:rPr>
        <w:t xml:space="preserve"> from MSW plant</w:t>
      </w:r>
      <w:r w:rsidR="00330DBF" w:rsidRPr="00AF0DE2">
        <w:rPr>
          <w:rFonts w:cs="Arial"/>
          <w:lang w:val="en-GB"/>
        </w:rPr>
        <w:t xml:space="preserve"> - collected according to EN 13725:2022 - were analysed </w:t>
      </w:r>
      <w:r w:rsidR="008A00C2" w:rsidRPr="00AF0DE2">
        <w:rPr>
          <w:rFonts w:cs="Arial"/>
          <w:lang w:val="en-GB"/>
        </w:rPr>
        <w:t>to evaluate the instrument’s performance with complex real-world mixtures</w:t>
      </w:r>
      <w:r w:rsidR="00330DBF" w:rsidRPr="00AF0DE2">
        <w:rPr>
          <w:rFonts w:cs="Arial"/>
          <w:lang w:val="en-GB"/>
        </w:rPr>
        <w:t xml:space="preserve">. The samples’ sulphur content was independently determined by </w:t>
      </w:r>
      <w:r w:rsidR="00B63508" w:rsidRPr="00AF0DE2">
        <w:rPr>
          <w:rFonts w:cs="Arial"/>
          <w:lang w:val="en-GB"/>
        </w:rPr>
        <w:t xml:space="preserve">GC-PFPD analysis </w:t>
      </w:r>
      <w:sdt>
        <w:sdtPr>
          <w:rPr>
            <w:rFonts w:cs="Arial"/>
            <w:color w:val="000000"/>
            <w:lang w:val="en-GB"/>
          </w:rPr>
          <w:tag w:val="MENDELEY_CITATION_v3_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"/>
          <w:id w:val="-276796459"/>
          <w:placeholder>
            <w:docPart w:val="DefaultPlaceholder_-1854013440"/>
          </w:placeholder>
        </w:sdtPr>
        <w:sdtContent>
          <w:r w:rsidR="00E22496" w:rsidRPr="00AF0DE2">
            <w:rPr>
              <w:rFonts w:cs="Arial"/>
              <w:color w:val="000000"/>
            </w:rPr>
            <w:t>(Massimi et al., 2024)</w:t>
          </w:r>
        </w:sdtContent>
      </w:sdt>
      <w:r w:rsidR="00B52E26" w:rsidRPr="00AF0DE2">
        <w:rPr>
          <w:rFonts w:cs="Arial"/>
          <w:lang w:val="en-GB"/>
        </w:rPr>
        <w:t xml:space="preserve"> and compared with the APSA response.</w:t>
      </w:r>
      <w:r w:rsidR="00B63508" w:rsidRPr="00AF0DE2">
        <w:rPr>
          <w:rFonts w:cs="Arial"/>
          <w:lang w:val="en-GB"/>
        </w:rPr>
        <w:t xml:space="preserve"> </w:t>
      </w:r>
      <w:r w:rsidR="008A00C2" w:rsidRPr="00AF0DE2">
        <w:rPr>
          <w:rFonts w:cs="Arial"/>
          <w:lang w:val="en-GB"/>
        </w:rPr>
        <w:t>To conduct</w:t>
      </w:r>
      <w:r w:rsidR="00B63508" w:rsidRPr="00AF0DE2">
        <w:rPr>
          <w:rFonts w:cs="Arial"/>
          <w:lang w:val="en-GB"/>
        </w:rPr>
        <w:t xml:space="preserve"> the tests, the samples</w:t>
      </w:r>
      <w:r w:rsidR="00B4021F" w:rsidRPr="00AF0DE2">
        <w:rPr>
          <w:rFonts w:cs="Arial"/>
          <w:lang w:val="en-GB"/>
        </w:rPr>
        <w:t>, collected at the emission sources,</w:t>
      </w:r>
      <w:r w:rsidR="00B63508" w:rsidRPr="00AF0DE2">
        <w:rPr>
          <w:rFonts w:cs="Arial"/>
          <w:lang w:val="en-GB"/>
        </w:rPr>
        <w:t xml:space="preserve"> were diluted by factors of 10 and 100 using laboratory dilutor to match the </w:t>
      </w:r>
      <w:r w:rsidR="003A0891" w:rsidRPr="00AF0DE2">
        <w:rPr>
          <w:rFonts w:cs="Arial"/>
          <w:lang w:val="en-GB"/>
        </w:rPr>
        <w:t>APSA 370</w:t>
      </w:r>
      <w:r w:rsidR="00B63508" w:rsidRPr="00AF0DE2">
        <w:rPr>
          <w:rFonts w:cs="Arial"/>
          <w:lang w:val="en-GB"/>
        </w:rPr>
        <w:t xml:space="preserve"> </w:t>
      </w:r>
      <w:r w:rsidR="003A0891" w:rsidRPr="00AF0DE2">
        <w:rPr>
          <w:rFonts w:cs="Arial"/>
          <w:lang w:val="en-GB"/>
        </w:rPr>
        <w:t>operative</w:t>
      </w:r>
      <w:r w:rsidR="00B63508" w:rsidRPr="00AF0DE2">
        <w:rPr>
          <w:rFonts w:cs="Arial"/>
          <w:lang w:val="en-GB"/>
        </w:rPr>
        <w:t xml:space="preserve"> range.</w:t>
      </w:r>
    </w:p>
    <w:p w14:paraId="3388AB8F" w14:textId="66D27C89" w:rsidR="00B63508" w:rsidRPr="00AF0DE2" w:rsidRDefault="00B63508" w:rsidP="00B63508">
      <w:pPr>
        <w:pStyle w:val="CETHeading1"/>
        <w:rPr>
          <w:rFonts w:cs="Arial"/>
        </w:rPr>
      </w:pPr>
      <w:r w:rsidRPr="00AF0DE2">
        <w:rPr>
          <w:rFonts w:cs="Arial"/>
        </w:rPr>
        <w:t>Results</w:t>
      </w:r>
    </w:p>
    <w:p w14:paraId="6027999E" w14:textId="721DB25A" w:rsidR="00B63508" w:rsidRPr="00AF0DE2" w:rsidRDefault="006B3DBC" w:rsidP="00BB21B2">
      <w:pPr>
        <w:pStyle w:val="CETheadingx"/>
        <w:rPr>
          <w:rFonts w:cs="Arial"/>
          <w:lang w:val="en-GB"/>
        </w:rPr>
      </w:pPr>
      <w:r w:rsidRPr="00AF0DE2">
        <w:rPr>
          <w:rFonts w:cs="Arial"/>
          <w:lang w:val="en-GB"/>
        </w:rPr>
        <w:t>Determination of SO</w:t>
      </w:r>
      <w:r w:rsidR="0005165A" w:rsidRPr="00AF0DE2">
        <w:rPr>
          <w:rFonts w:cs="Arial"/>
          <w:vertAlign w:val="subscript"/>
          <w:lang w:val="en-GB"/>
        </w:rPr>
        <w:t>2</w:t>
      </w:r>
      <w:r w:rsidRPr="00AF0DE2">
        <w:rPr>
          <w:rFonts w:cs="Arial"/>
          <w:lang w:val="en-GB"/>
        </w:rPr>
        <w:t>: study of the potential interferences</w:t>
      </w:r>
      <w:r w:rsidR="00336975" w:rsidRPr="00AF0DE2">
        <w:rPr>
          <w:rFonts w:cs="Arial"/>
          <w:lang w:val="en-GB"/>
        </w:rPr>
        <w:t xml:space="preserve"> of APSA 370</w:t>
      </w:r>
    </w:p>
    <w:p w14:paraId="4C9C7AE8" w14:textId="3EA4F568" w:rsidR="00F81EE8" w:rsidRPr="00AF0DE2" w:rsidRDefault="00336975" w:rsidP="00844856">
      <w:pPr>
        <w:pStyle w:val="CETBodytext"/>
        <w:rPr>
          <w:rFonts w:cs="Arial"/>
          <w:lang w:val="en-GB"/>
        </w:rPr>
      </w:pPr>
      <w:r w:rsidRPr="00AF0DE2">
        <w:rPr>
          <w:rFonts w:cs="Arial"/>
          <w:lang w:val="en-GB"/>
        </w:rPr>
        <w:t xml:space="preserve">In </w:t>
      </w:r>
      <w:r w:rsidR="003A0891" w:rsidRPr="00AF0DE2">
        <w:rPr>
          <w:rFonts w:cs="Arial"/>
          <w:lang w:val="en-GB"/>
        </w:rPr>
        <w:t>its preliminary</w:t>
      </w:r>
      <w:r w:rsidRPr="00AF0DE2">
        <w:rPr>
          <w:rFonts w:cs="Arial"/>
          <w:lang w:val="en-GB"/>
        </w:rPr>
        <w:t xml:space="preserve"> configuration, APSA 370 can quantify the concentration of SO</w:t>
      </w:r>
      <w:r w:rsidRPr="00AF0DE2">
        <w:rPr>
          <w:rFonts w:cs="Arial"/>
          <w:vertAlign w:val="subscript"/>
          <w:lang w:val="en-GB"/>
        </w:rPr>
        <w:t>2</w:t>
      </w:r>
      <w:r w:rsidRPr="00AF0DE2">
        <w:rPr>
          <w:rFonts w:cs="Arial"/>
          <w:lang w:val="en-GB"/>
        </w:rPr>
        <w:t xml:space="preserve"> reached the UV detector, crossing the HC cutter. </w:t>
      </w:r>
      <w:r w:rsidRPr="00AF0DE2">
        <w:rPr>
          <w:rFonts w:cs="Arial"/>
          <w:lang w:val="en-GB"/>
        </w:rPr>
        <w:fldChar w:fldCharType="begin"/>
      </w:r>
      <w:r w:rsidRPr="00AF0DE2">
        <w:rPr>
          <w:rFonts w:cs="Arial"/>
          <w:lang w:val="en-GB"/>
        </w:rPr>
        <w:instrText xml:space="preserve"> REF _Ref226231350 \h </w:instrText>
      </w:r>
      <w:r w:rsidR="00AF0DE2">
        <w:rPr>
          <w:rFonts w:cs="Arial"/>
          <w:lang w:val="en-GB"/>
        </w:rPr>
        <w:instrText xml:space="preserve"> \* MERGEFORMAT </w:instrText>
      </w:r>
      <w:r w:rsidRPr="00AF0DE2">
        <w:rPr>
          <w:rFonts w:cs="Arial"/>
          <w:lang w:val="en-GB"/>
        </w:rPr>
      </w:r>
      <w:r w:rsidRPr="00AF0DE2">
        <w:rPr>
          <w:rFonts w:cs="Arial"/>
          <w:lang w:val="en-GB"/>
        </w:rPr>
        <w:fldChar w:fldCharType="separate"/>
      </w:r>
      <w:r w:rsidRPr="00AF0DE2">
        <w:rPr>
          <w:rFonts w:cs="Arial"/>
        </w:rPr>
        <w:t xml:space="preserve">Figure </w:t>
      </w:r>
      <w:r w:rsidRPr="00AF0DE2">
        <w:rPr>
          <w:rFonts w:cs="Arial"/>
          <w:noProof/>
        </w:rPr>
        <w:t>1</w:t>
      </w:r>
      <w:r w:rsidRPr="00AF0DE2">
        <w:rPr>
          <w:rFonts w:cs="Arial"/>
          <w:lang w:val="en-GB"/>
        </w:rPr>
        <w:fldChar w:fldCharType="end"/>
      </w:r>
      <w:r w:rsidRPr="00AF0DE2">
        <w:rPr>
          <w:rFonts w:cs="Arial"/>
          <w:lang w:val="en-GB"/>
        </w:rPr>
        <w:t xml:space="preserve"> shows the SO</w:t>
      </w:r>
      <w:r w:rsidRPr="00AF0DE2">
        <w:rPr>
          <w:rFonts w:cs="Arial"/>
          <w:vertAlign w:val="subscript"/>
          <w:lang w:val="en-GB"/>
        </w:rPr>
        <w:t xml:space="preserve">2 </w:t>
      </w:r>
      <w:r w:rsidRPr="00AF0DE2">
        <w:rPr>
          <w:rFonts w:cs="Arial"/>
          <w:lang w:val="en-GB"/>
        </w:rPr>
        <w:t xml:space="preserve">concentration measured during the analysis of the different </w:t>
      </w:r>
      <w:r w:rsidR="00B52E26" w:rsidRPr="00AF0DE2">
        <w:rPr>
          <w:rFonts w:cs="Arial"/>
          <w:lang w:val="en-GB"/>
        </w:rPr>
        <w:t>standard</w:t>
      </w:r>
      <w:r w:rsidRPr="00AF0DE2">
        <w:rPr>
          <w:rFonts w:cs="Arial"/>
          <w:lang w:val="en-GB"/>
        </w:rPr>
        <w:t xml:space="preserve"> gases (single compounds and mixtures).</w:t>
      </w:r>
      <w:r w:rsidR="003D0199" w:rsidRPr="00AF0DE2">
        <w:rPr>
          <w:rFonts w:cs="Arial"/>
          <w:lang w:val="en-GB"/>
        </w:rPr>
        <w:t xml:space="preserve"> </w:t>
      </w:r>
      <w:r w:rsidR="00462123" w:rsidRPr="00AF0DE2">
        <w:rPr>
          <w:rFonts w:cs="Arial"/>
          <w:lang w:val="en-GB"/>
        </w:rPr>
        <w:t xml:space="preserve">Observing </w:t>
      </w:r>
      <w:r w:rsidRPr="00AF0DE2">
        <w:rPr>
          <w:rFonts w:cs="Arial"/>
          <w:lang w:val="en-GB"/>
        </w:rPr>
        <w:t>the data, t</w:t>
      </w:r>
      <w:r w:rsidR="0005165A" w:rsidRPr="00AF0DE2">
        <w:rPr>
          <w:rFonts w:cs="Arial"/>
          <w:lang w:val="en-GB"/>
        </w:rPr>
        <w:t>he measured SO</w:t>
      </w:r>
      <w:r w:rsidR="0005165A" w:rsidRPr="00AF0DE2">
        <w:rPr>
          <w:rFonts w:cs="Arial"/>
          <w:vertAlign w:val="subscript"/>
          <w:lang w:val="en-GB"/>
        </w:rPr>
        <w:t>2</w:t>
      </w:r>
      <w:r w:rsidR="0005165A" w:rsidRPr="00AF0DE2">
        <w:rPr>
          <w:rFonts w:cs="Arial"/>
          <w:lang w:val="en-GB"/>
        </w:rPr>
        <w:t xml:space="preserve"> concentration is generally negligible (</w:t>
      </w:r>
      <w:r w:rsidR="00BB0037">
        <w:rPr>
          <w:rFonts w:cs="Arial"/>
          <w:lang w:val="en-GB"/>
        </w:rPr>
        <w:t>≤</w:t>
      </w:r>
      <w:r w:rsidR="0005165A" w:rsidRPr="00AF0DE2">
        <w:rPr>
          <w:rFonts w:cs="Arial"/>
          <w:lang w:val="en-GB"/>
        </w:rPr>
        <w:t>LDL, with an estimated interference equal to 0.1%) for all the teste</w:t>
      </w:r>
      <w:r w:rsidR="003A0891" w:rsidRPr="00AF0DE2">
        <w:rPr>
          <w:rFonts w:cs="Arial"/>
          <w:lang w:val="en-GB"/>
        </w:rPr>
        <w:t>d</w:t>
      </w:r>
      <w:r w:rsidR="0005165A" w:rsidRPr="00AF0DE2">
        <w:rPr>
          <w:rFonts w:cs="Arial"/>
          <w:lang w:val="en-GB"/>
        </w:rPr>
        <w:t xml:space="preserve"> compounds/mix, </w:t>
      </w:r>
      <w:r w:rsidR="00B52E26" w:rsidRPr="00AF0DE2">
        <w:rPr>
          <w:rFonts w:cs="Arial"/>
          <w:lang w:val="en-GB"/>
        </w:rPr>
        <w:t>except for</w:t>
      </w:r>
      <w:r w:rsidR="0005165A" w:rsidRPr="00AF0DE2">
        <w:rPr>
          <w:rFonts w:cs="Arial"/>
          <w:lang w:val="en-GB"/>
        </w:rPr>
        <w:t xml:space="preserve"> DMS at </w:t>
      </w:r>
      <w:r w:rsidR="003A0891" w:rsidRPr="00AF0DE2">
        <w:rPr>
          <w:rFonts w:cs="Arial"/>
          <w:lang w:val="en-GB"/>
        </w:rPr>
        <w:t>1</w:t>
      </w:r>
      <w:r w:rsidR="0005165A" w:rsidRPr="00AF0DE2">
        <w:rPr>
          <w:rFonts w:cs="Arial"/>
          <w:lang w:val="en-GB"/>
        </w:rPr>
        <w:t>0 ppm and toluene at 170 and 1</w:t>
      </w:r>
      <w:r w:rsidR="005E6790" w:rsidRPr="00AF0DE2">
        <w:rPr>
          <w:rFonts w:cs="Arial"/>
          <w:lang w:val="en-GB"/>
        </w:rPr>
        <w:t>7</w:t>
      </w:r>
      <w:r w:rsidR="0005165A" w:rsidRPr="00AF0DE2">
        <w:rPr>
          <w:rFonts w:cs="Arial"/>
          <w:lang w:val="en-GB"/>
        </w:rPr>
        <w:t xml:space="preserve"> ppm. </w:t>
      </w:r>
      <w:r w:rsidR="00B52E26" w:rsidRPr="00AF0DE2">
        <w:rPr>
          <w:rFonts w:cs="Arial"/>
          <w:lang w:val="en-GB"/>
        </w:rPr>
        <w:t>Indeed</w:t>
      </w:r>
      <w:r w:rsidR="0005165A" w:rsidRPr="00AF0DE2">
        <w:rPr>
          <w:rFonts w:cs="Arial"/>
          <w:lang w:val="en-GB"/>
        </w:rPr>
        <w:t xml:space="preserve">, a significant interference response is seen in these latter cases, as reported in </w:t>
      </w:r>
      <w:r w:rsidR="0005165A" w:rsidRPr="00AF0DE2">
        <w:rPr>
          <w:rFonts w:cs="Arial"/>
          <w:lang w:val="en-GB"/>
        </w:rPr>
        <w:fldChar w:fldCharType="begin"/>
      </w:r>
      <w:r w:rsidR="0005165A" w:rsidRPr="00AF0DE2">
        <w:rPr>
          <w:rFonts w:cs="Arial"/>
          <w:lang w:val="en-GB"/>
        </w:rPr>
        <w:instrText xml:space="preserve"> REF _Ref226231350 \h </w:instrText>
      </w:r>
      <w:r w:rsidR="00AF0DE2">
        <w:rPr>
          <w:rFonts w:cs="Arial"/>
          <w:lang w:val="en-GB"/>
        </w:rPr>
        <w:instrText xml:space="preserve"> \* MERGEFORMAT </w:instrText>
      </w:r>
      <w:r w:rsidR="0005165A" w:rsidRPr="00AF0DE2">
        <w:rPr>
          <w:rFonts w:cs="Arial"/>
          <w:lang w:val="en-GB"/>
        </w:rPr>
      </w:r>
      <w:r w:rsidR="0005165A" w:rsidRPr="00AF0DE2">
        <w:rPr>
          <w:rFonts w:cs="Arial"/>
          <w:lang w:val="en-GB"/>
        </w:rPr>
        <w:fldChar w:fldCharType="separate"/>
      </w:r>
      <w:r w:rsidR="0005165A" w:rsidRPr="00AF0DE2">
        <w:rPr>
          <w:rFonts w:cs="Arial"/>
        </w:rPr>
        <w:t xml:space="preserve">Figure </w:t>
      </w:r>
      <w:r w:rsidR="0005165A" w:rsidRPr="00AF0DE2">
        <w:rPr>
          <w:rFonts w:cs="Arial"/>
          <w:noProof/>
        </w:rPr>
        <w:t>1</w:t>
      </w:r>
      <w:r w:rsidR="0005165A" w:rsidRPr="00AF0DE2">
        <w:rPr>
          <w:rFonts w:cs="Arial"/>
          <w:lang w:val="en-GB"/>
        </w:rPr>
        <w:fldChar w:fldCharType="end"/>
      </w:r>
      <w:r w:rsidR="0005165A" w:rsidRPr="00AF0DE2">
        <w:rPr>
          <w:rFonts w:cs="Arial"/>
          <w:lang w:val="en-GB"/>
        </w:rPr>
        <w:t>A</w:t>
      </w:r>
      <w:r w:rsidR="003A0891" w:rsidRPr="00AF0DE2">
        <w:rPr>
          <w:rFonts w:cs="Arial"/>
          <w:lang w:val="en-GB"/>
        </w:rPr>
        <w:t xml:space="preserve"> (green points)</w:t>
      </w:r>
      <w:r w:rsidR="0005165A" w:rsidRPr="00AF0DE2">
        <w:rPr>
          <w:rFonts w:cs="Arial"/>
          <w:lang w:val="en-GB"/>
        </w:rPr>
        <w:t>. However, these values lie more than one order of magnitude above the upper limit of the manufacturer-declared linearity range, indicating that they fall outside the instrument’s reliable quantitative regime.</w:t>
      </w:r>
    </w:p>
    <w:p w14:paraId="622DFEB3" w14:textId="42EFCFC4" w:rsidR="003D0199" w:rsidRPr="00AF0DE2" w:rsidRDefault="00706F2D" w:rsidP="003D0199">
      <w:pPr>
        <w:pStyle w:val="CETBodytext"/>
        <w:keepNext/>
        <w:jc w:val="center"/>
        <w:rPr>
          <w:rFonts w:cs="Arial"/>
          <w:lang w:val="en-GB"/>
        </w:rPr>
      </w:pPr>
      <w:r w:rsidRPr="00AF0DE2">
        <w:rPr>
          <w:rFonts w:cs="Arial"/>
          <w:noProof/>
        </w:rPr>
        <w:lastRenderedPageBreak/>
        <w:drawing>
          <wp:inline distT="0" distB="0" distL="0" distR="0" wp14:anchorId="1BBBBEE0" wp14:editId="05026AFF">
            <wp:extent cx="5335163" cy="4320000"/>
            <wp:effectExtent l="0" t="0" r="0" b="4445"/>
            <wp:docPr id="1637317096" name="Elemento gra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317096" name=""/>
                    <pic:cNvPicPr/>
                  </pic:nvPicPr>
                  <pic:blipFill rotWithShape="1">
                    <a:blip r:embed="rId11">
                      <a:extLst>
                        <a:ext uri="{96DAC541-7B7A-43D3-8B79-37D633B846F1}">
                          <asvg:svgBlip xmlns:asvg="http://schemas.microsoft.com/office/drawing/2016/SVG/main" r:embed="rId12"/>
                        </a:ext>
                      </a:extLst>
                    </a:blip>
                    <a:srcRect r="9403"/>
                    <a:stretch>
                      <a:fillRect/>
                    </a:stretch>
                  </pic:blipFill>
                  <pic:spPr bwMode="auto">
                    <a:xfrm>
                      <a:off x="0" y="0"/>
                      <a:ext cx="5335163" cy="4320000"/>
                    </a:xfrm>
                    <a:prstGeom prst="rect">
                      <a:avLst/>
                    </a:prstGeom>
                    <a:ln>
                      <a:noFill/>
                    </a:ln>
                    <a:extLst>
                      <a:ext uri="{53640926-AAD7-44D8-BBD7-CCE9431645EC}">
                        <a14:shadowObscured xmlns:a14="http://schemas.microsoft.com/office/drawing/2010/main"/>
                      </a:ext>
                    </a:extLst>
                  </pic:spPr>
                </pic:pic>
              </a:graphicData>
            </a:graphic>
          </wp:inline>
        </w:drawing>
      </w:r>
    </w:p>
    <w:p w14:paraId="199106A6" w14:textId="55A2F4EF" w:rsidR="003D0199" w:rsidRPr="00AF0DE2" w:rsidRDefault="003D0199" w:rsidP="003D0199">
      <w:pPr>
        <w:pStyle w:val="CETCaption"/>
        <w:rPr>
          <w:rFonts w:cs="Arial"/>
        </w:rPr>
      </w:pPr>
      <w:bookmarkStart w:id="1" w:name="_Ref226231350"/>
      <w:r w:rsidRPr="00AF0DE2">
        <w:rPr>
          <w:rFonts w:cs="Arial"/>
        </w:rPr>
        <w:t xml:space="preserve">Figure </w:t>
      </w:r>
      <w:r w:rsidRPr="00AF0DE2">
        <w:rPr>
          <w:rFonts w:cs="Arial"/>
        </w:rPr>
        <w:fldChar w:fldCharType="begin"/>
      </w:r>
      <w:r w:rsidRPr="00AF0DE2">
        <w:rPr>
          <w:rFonts w:cs="Arial"/>
        </w:rPr>
        <w:instrText xml:space="preserve"> SEQ Figure \* ARABIC </w:instrText>
      </w:r>
      <w:r w:rsidRPr="00AF0DE2">
        <w:rPr>
          <w:rFonts w:cs="Arial"/>
        </w:rPr>
        <w:fldChar w:fldCharType="separate"/>
      </w:r>
      <w:r w:rsidRPr="00AF0DE2">
        <w:rPr>
          <w:rFonts w:cs="Arial"/>
          <w:noProof/>
        </w:rPr>
        <w:t>1</w:t>
      </w:r>
      <w:r w:rsidRPr="00AF0DE2">
        <w:rPr>
          <w:rFonts w:cs="Arial"/>
        </w:rPr>
        <w:fldChar w:fldCharType="end"/>
      </w:r>
      <w:bookmarkEnd w:id="1"/>
      <w:r w:rsidRPr="00AF0DE2">
        <w:rPr>
          <w:rFonts w:cs="Arial"/>
        </w:rPr>
        <w:t>: SO</w:t>
      </w:r>
      <w:r w:rsidRPr="00AF0DE2">
        <w:rPr>
          <w:rFonts w:cs="Arial"/>
          <w:vertAlign w:val="subscript"/>
        </w:rPr>
        <w:t>2</w:t>
      </w:r>
      <w:r w:rsidRPr="00AF0DE2">
        <w:rPr>
          <w:rFonts w:cs="Arial"/>
        </w:rPr>
        <w:t xml:space="preserve"> concentration measured using APSA 370</w:t>
      </w:r>
      <w:r w:rsidR="00B4021F" w:rsidRPr="00AF0DE2">
        <w:rPr>
          <w:rFonts w:cs="Arial"/>
        </w:rPr>
        <w:t xml:space="preserve"> for interference check</w:t>
      </w:r>
      <w:r w:rsidRPr="00AF0DE2">
        <w:rPr>
          <w:rFonts w:cs="Arial"/>
        </w:rPr>
        <w:t>: (A) and (B) individual compounds; (C) mix toluene and sulphur compound (H</w:t>
      </w:r>
      <w:r w:rsidRPr="00AF0DE2">
        <w:rPr>
          <w:rFonts w:cs="Arial"/>
          <w:vertAlign w:val="subscript"/>
        </w:rPr>
        <w:t>2</w:t>
      </w:r>
      <w:r w:rsidRPr="00AF0DE2">
        <w:rPr>
          <w:rFonts w:cs="Arial"/>
        </w:rPr>
        <w:t xml:space="preserve">S or </w:t>
      </w:r>
      <w:proofErr w:type="spellStart"/>
      <w:r w:rsidRPr="00AF0DE2">
        <w:rPr>
          <w:rFonts w:cs="Arial"/>
        </w:rPr>
        <w:t>MeSH</w:t>
      </w:r>
      <w:proofErr w:type="spellEnd"/>
      <w:r w:rsidRPr="00AF0DE2">
        <w:rPr>
          <w:rFonts w:cs="Arial"/>
        </w:rPr>
        <w:t>); (D) mix sulphur compounds (H</w:t>
      </w:r>
      <w:r w:rsidRPr="00AF0DE2">
        <w:rPr>
          <w:rFonts w:cs="Arial"/>
          <w:vertAlign w:val="subscript"/>
        </w:rPr>
        <w:t>2</w:t>
      </w:r>
      <w:r w:rsidRPr="00AF0DE2">
        <w:rPr>
          <w:rFonts w:cs="Arial"/>
        </w:rPr>
        <w:t xml:space="preserve">S + </w:t>
      </w:r>
      <w:proofErr w:type="spellStart"/>
      <w:r w:rsidRPr="00AF0DE2">
        <w:rPr>
          <w:rFonts w:cs="Arial"/>
        </w:rPr>
        <w:t>MeSH</w:t>
      </w:r>
      <w:proofErr w:type="spellEnd"/>
      <w:r w:rsidRPr="00AF0DE2">
        <w:rPr>
          <w:rFonts w:cs="Arial"/>
        </w:rPr>
        <w:t>)</w:t>
      </w:r>
    </w:p>
    <w:p w14:paraId="79C55FC7" w14:textId="3E1196EC" w:rsidR="0005165A" w:rsidRPr="00AF0DE2" w:rsidRDefault="0005165A" w:rsidP="0005165A">
      <w:pPr>
        <w:pStyle w:val="CETheadingx"/>
        <w:rPr>
          <w:rFonts w:cs="Arial"/>
        </w:rPr>
      </w:pPr>
      <w:r w:rsidRPr="00AF0DE2">
        <w:rPr>
          <w:rFonts w:cs="Arial"/>
        </w:rPr>
        <w:t>Determination of H</w:t>
      </w:r>
      <w:r w:rsidRPr="00AF0DE2">
        <w:rPr>
          <w:rFonts w:cs="Arial"/>
          <w:vertAlign w:val="subscript"/>
        </w:rPr>
        <w:t>2</w:t>
      </w:r>
      <w:r w:rsidRPr="00AF0DE2">
        <w:rPr>
          <w:rFonts w:cs="Arial"/>
        </w:rPr>
        <w:t>S: study of the potential interferences</w:t>
      </w:r>
      <w:r w:rsidR="00336975" w:rsidRPr="00AF0DE2">
        <w:rPr>
          <w:rFonts w:cs="Arial"/>
        </w:rPr>
        <w:t xml:space="preserve"> of </w:t>
      </w:r>
      <w:r w:rsidR="00336975" w:rsidRPr="00AF0DE2">
        <w:rPr>
          <w:rFonts w:cs="Arial"/>
          <w:lang w:val="en-GB"/>
        </w:rPr>
        <w:t>H</w:t>
      </w:r>
      <w:r w:rsidR="00336975" w:rsidRPr="00AF0DE2">
        <w:rPr>
          <w:rFonts w:ascii="Cambria Math" w:hAnsi="Cambria Math" w:cs="Cambria Math"/>
          <w:lang w:val="en-GB"/>
        </w:rPr>
        <w:t>₂</w:t>
      </w:r>
      <w:r w:rsidR="00336975" w:rsidRPr="00AF0DE2">
        <w:rPr>
          <w:rFonts w:cs="Arial"/>
          <w:lang w:val="en-GB"/>
        </w:rPr>
        <w:t>S converter unit</w:t>
      </w:r>
    </w:p>
    <w:p w14:paraId="4E992144" w14:textId="1D78528E" w:rsidR="00462123" w:rsidRPr="00AF0DE2" w:rsidRDefault="00336975" w:rsidP="0005165A">
      <w:pPr>
        <w:pStyle w:val="CETBodytext"/>
        <w:rPr>
          <w:rFonts w:cs="Arial"/>
        </w:rPr>
      </w:pPr>
      <w:r w:rsidRPr="00AF0DE2">
        <w:rPr>
          <w:rFonts w:cs="Arial"/>
        </w:rPr>
        <w:t>By coupling the APSA 370 with the H</w:t>
      </w:r>
      <w:r w:rsidRPr="00AF0DE2">
        <w:rPr>
          <w:rFonts w:ascii="Cambria Math" w:hAnsi="Cambria Math" w:cs="Cambria Math"/>
        </w:rPr>
        <w:t>₂</w:t>
      </w:r>
      <w:r w:rsidRPr="00AF0DE2">
        <w:rPr>
          <w:rFonts w:cs="Arial"/>
        </w:rPr>
        <w:t xml:space="preserve">S converter unit, it </w:t>
      </w:r>
      <w:r w:rsidR="003A0891" w:rsidRPr="00AF0DE2">
        <w:rPr>
          <w:rFonts w:cs="Arial"/>
        </w:rPr>
        <w:t>could be</w:t>
      </w:r>
      <w:r w:rsidRPr="00AF0DE2">
        <w:rPr>
          <w:rFonts w:cs="Arial"/>
        </w:rPr>
        <w:t xml:space="preserve"> possible to quantify specifically </w:t>
      </w:r>
      <w:r w:rsidR="00BB0037">
        <w:rPr>
          <w:rFonts w:cs="Arial"/>
        </w:rPr>
        <w:t>H</w:t>
      </w:r>
      <w:r w:rsidR="00BB0037">
        <w:rPr>
          <w:rFonts w:cs="Arial"/>
          <w:vertAlign w:val="subscript"/>
        </w:rPr>
        <w:t>2</w:t>
      </w:r>
      <w:r w:rsidR="00BB0037">
        <w:rPr>
          <w:rFonts w:cs="Arial"/>
        </w:rPr>
        <w:t>S</w:t>
      </w:r>
      <w:r w:rsidRPr="00AF0DE2">
        <w:rPr>
          <w:rFonts w:cs="Arial"/>
        </w:rPr>
        <w:t xml:space="preserve"> present in ambient air. </w:t>
      </w:r>
      <w:r w:rsidR="003A0891" w:rsidRPr="00AF0DE2">
        <w:rPr>
          <w:rFonts w:cs="Arial"/>
        </w:rPr>
        <w:t xml:space="preserve">The </w:t>
      </w:r>
      <w:r w:rsidR="0005165A" w:rsidRPr="00AF0DE2">
        <w:rPr>
          <w:rFonts w:cs="Arial"/>
        </w:rPr>
        <w:t>comparative analysis is reported for H</w:t>
      </w:r>
      <w:r w:rsidR="0005165A" w:rsidRPr="00AF0DE2">
        <w:rPr>
          <w:rFonts w:cs="Arial"/>
          <w:vertAlign w:val="subscript"/>
        </w:rPr>
        <w:t>2</w:t>
      </w:r>
      <w:r w:rsidR="0005165A" w:rsidRPr="00AF0DE2">
        <w:rPr>
          <w:rFonts w:cs="Arial"/>
        </w:rPr>
        <w:t>S</w:t>
      </w:r>
      <w:r w:rsidR="0005165A" w:rsidRPr="00AF0DE2">
        <w:rPr>
          <w:rFonts w:cs="Arial"/>
          <w:i/>
          <w:iCs/>
        </w:rPr>
        <w:t xml:space="preserve"> </w:t>
      </w:r>
      <w:r w:rsidR="0005165A" w:rsidRPr="00AF0DE2">
        <w:rPr>
          <w:rFonts w:cs="Arial"/>
        </w:rPr>
        <w:t xml:space="preserve">interferences study in </w:t>
      </w:r>
      <w:r w:rsidR="00EC1CB9" w:rsidRPr="00AF0DE2">
        <w:rPr>
          <w:rFonts w:cs="Arial"/>
        </w:rPr>
        <w:fldChar w:fldCharType="begin"/>
      </w:r>
      <w:r w:rsidR="00EC1CB9" w:rsidRPr="00AF0DE2">
        <w:rPr>
          <w:rFonts w:cs="Arial"/>
        </w:rPr>
        <w:instrText xml:space="preserve"> REF _Ref226232731 \h </w:instrText>
      </w:r>
      <w:r w:rsidR="00AF0DE2">
        <w:rPr>
          <w:rFonts w:cs="Arial"/>
        </w:rPr>
        <w:instrText xml:space="preserve"> \* MERGEFORMAT </w:instrText>
      </w:r>
      <w:r w:rsidR="00EC1CB9" w:rsidRPr="00AF0DE2">
        <w:rPr>
          <w:rFonts w:cs="Arial"/>
        </w:rPr>
      </w:r>
      <w:r w:rsidR="00EC1CB9" w:rsidRPr="00AF0DE2">
        <w:rPr>
          <w:rFonts w:cs="Arial"/>
        </w:rPr>
        <w:fldChar w:fldCharType="separate"/>
      </w:r>
      <w:r w:rsidR="00EC1CB9" w:rsidRPr="00AF0DE2">
        <w:rPr>
          <w:rFonts w:cs="Arial"/>
        </w:rPr>
        <w:t xml:space="preserve">Figure </w:t>
      </w:r>
      <w:r w:rsidR="00EC1CB9" w:rsidRPr="00AF0DE2">
        <w:rPr>
          <w:rFonts w:cs="Arial"/>
          <w:noProof/>
        </w:rPr>
        <w:t>2</w:t>
      </w:r>
      <w:r w:rsidR="00EC1CB9" w:rsidRPr="00AF0DE2">
        <w:rPr>
          <w:rFonts w:cs="Arial"/>
        </w:rPr>
        <w:fldChar w:fldCharType="end"/>
      </w:r>
      <w:r w:rsidR="0005165A" w:rsidRPr="00AF0DE2">
        <w:rPr>
          <w:rFonts w:cs="Arial"/>
        </w:rPr>
        <w:t xml:space="preserve">. </w:t>
      </w:r>
      <w:r w:rsidR="003A0891" w:rsidRPr="00AF0DE2">
        <w:rPr>
          <w:rFonts w:cs="Arial"/>
        </w:rPr>
        <w:t>A significant discrepancy can be observed between the data obtained and the findings of the SO</w:t>
      </w:r>
      <w:r w:rsidR="003A0891" w:rsidRPr="00AF0DE2">
        <w:rPr>
          <w:rFonts w:cs="Arial"/>
          <w:vertAlign w:val="subscript"/>
        </w:rPr>
        <w:t>2</w:t>
      </w:r>
      <w:r w:rsidR="003A0891" w:rsidRPr="00AF0DE2">
        <w:rPr>
          <w:rFonts w:cs="Arial"/>
        </w:rPr>
        <w:t xml:space="preserve"> analysis, </w:t>
      </w:r>
      <w:proofErr w:type="gramStart"/>
      <w:r w:rsidR="003A0891" w:rsidRPr="00AF0DE2">
        <w:rPr>
          <w:rFonts w:cs="Arial"/>
        </w:rPr>
        <w:t>in particular in</w:t>
      </w:r>
      <w:proofErr w:type="gramEnd"/>
      <w:r w:rsidR="003A0891" w:rsidRPr="00AF0DE2">
        <w:rPr>
          <w:rFonts w:cs="Arial"/>
        </w:rPr>
        <w:t xml:space="preserve"> terms of </w:t>
      </w:r>
      <w:r w:rsidR="00EC1CB9" w:rsidRPr="00AF0DE2">
        <w:rPr>
          <w:rFonts w:cs="Arial"/>
        </w:rPr>
        <w:t>interferences</w:t>
      </w:r>
      <w:r w:rsidR="0005165A" w:rsidRPr="00AF0DE2">
        <w:rPr>
          <w:rFonts w:cs="Arial"/>
        </w:rPr>
        <w:t>.</w:t>
      </w:r>
      <w:r w:rsidR="00E81FF6" w:rsidRPr="00AF0DE2">
        <w:rPr>
          <w:rFonts w:cs="Arial"/>
        </w:rPr>
        <w:t xml:space="preserve"> </w:t>
      </w:r>
      <w:r w:rsidR="00462123" w:rsidRPr="00AF0DE2">
        <w:rPr>
          <w:rFonts w:cs="Arial"/>
        </w:rPr>
        <w:t xml:space="preserve">Discussing the </w:t>
      </w:r>
      <w:r w:rsidR="005E6790" w:rsidRPr="00AF0DE2">
        <w:rPr>
          <w:rFonts w:cs="Arial"/>
        </w:rPr>
        <w:t>quantification</w:t>
      </w:r>
      <w:r w:rsidR="00462123" w:rsidRPr="00AF0DE2">
        <w:rPr>
          <w:rFonts w:cs="Arial"/>
        </w:rPr>
        <w:t xml:space="preserve"> of </w:t>
      </w:r>
      <w:r w:rsidR="00DF6B57" w:rsidRPr="00AF0DE2">
        <w:rPr>
          <w:rFonts w:cs="Arial"/>
        </w:rPr>
        <w:t>H</w:t>
      </w:r>
      <w:r w:rsidR="00DF6B57" w:rsidRPr="00AF0DE2">
        <w:rPr>
          <w:rFonts w:cs="Arial"/>
          <w:vertAlign w:val="subscript"/>
        </w:rPr>
        <w:t>2</w:t>
      </w:r>
      <w:r w:rsidR="00DF6B57" w:rsidRPr="00AF0DE2">
        <w:rPr>
          <w:rFonts w:cs="Arial"/>
        </w:rPr>
        <w:t>S</w:t>
      </w:r>
      <w:r w:rsidR="00462123" w:rsidRPr="00AF0DE2">
        <w:rPr>
          <w:rFonts w:cs="Arial"/>
        </w:rPr>
        <w:t xml:space="preserve">, the converter can be considered accurate (error &lt;5%) if only </w:t>
      </w:r>
      <w:r w:rsidR="00DF6B57" w:rsidRPr="00AF0DE2">
        <w:rPr>
          <w:rFonts w:cs="Arial"/>
        </w:rPr>
        <w:t>H</w:t>
      </w:r>
      <w:r w:rsidR="00DF6B57" w:rsidRPr="00AF0DE2">
        <w:rPr>
          <w:rFonts w:cs="Arial"/>
          <w:vertAlign w:val="subscript"/>
        </w:rPr>
        <w:t>2</w:t>
      </w:r>
      <w:r w:rsidR="00DF6B57" w:rsidRPr="00AF0DE2">
        <w:rPr>
          <w:rFonts w:cs="Arial"/>
        </w:rPr>
        <w:t>S</w:t>
      </w:r>
      <w:r w:rsidR="00462123" w:rsidRPr="00AF0DE2">
        <w:rPr>
          <w:rFonts w:cs="Arial"/>
        </w:rPr>
        <w:t xml:space="preserve"> is present. </w:t>
      </w:r>
      <w:r w:rsidR="005E6790" w:rsidRPr="00AF0DE2">
        <w:rPr>
          <w:rFonts w:cs="Arial"/>
        </w:rPr>
        <w:t xml:space="preserve">However, if the sample contains other </w:t>
      </w:r>
      <w:r w:rsidR="00B4021F" w:rsidRPr="00AF0DE2">
        <w:rPr>
          <w:rFonts w:cs="Arial"/>
        </w:rPr>
        <w:t xml:space="preserve">reduced </w:t>
      </w:r>
      <w:proofErr w:type="spellStart"/>
      <w:r w:rsidR="005E6790" w:rsidRPr="00AF0DE2">
        <w:rPr>
          <w:rFonts w:cs="Arial"/>
        </w:rPr>
        <w:t>sulphur</w:t>
      </w:r>
      <w:proofErr w:type="spellEnd"/>
      <w:r w:rsidR="005E6790" w:rsidRPr="00AF0DE2">
        <w:rPr>
          <w:rFonts w:cs="Arial"/>
        </w:rPr>
        <w:t xml:space="preserve"> compounds, either on their own or mixed with </w:t>
      </w:r>
      <w:r w:rsidR="00DF6B57" w:rsidRPr="00AF0DE2">
        <w:rPr>
          <w:rFonts w:cs="Arial"/>
        </w:rPr>
        <w:t>H</w:t>
      </w:r>
      <w:r w:rsidR="00DF6B57" w:rsidRPr="00AF0DE2">
        <w:rPr>
          <w:rFonts w:cs="Arial"/>
          <w:vertAlign w:val="subscript"/>
        </w:rPr>
        <w:t>2</w:t>
      </w:r>
      <w:r w:rsidR="00DF6B57" w:rsidRPr="00AF0DE2">
        <w:rPr>
          <w:rFonts w:cs="Arial"/>
        </w:rPr>
        <w:t>S</w:t>
      </w:r>
      <w:r w:rsidR="005E6790" w:rsidRPr="00AF0DE2">
        <w:rPr>
          <w:rFonts w:cs="Arial"/>
        </w:rPr>
        <w:t xml:space="preserve">, significant interference is observed in the </w:t>
      </w:r>
      <w:r w:rsidR="003A0891" w:rsidRPr="00AF0DE2">
        <w:rPr>
          <w:rFonts w:cs="Arial"/>
        </w:rPr>
        <w:t xml:space="preserve">instrument’s </w:t>
      </w:r>
      <w:r w:rsidR="005E6790" w:rsidRPr="00AF0DE2">
        <w:rPr>
          <w:rFonts w:cs="Arial"/>
        </w:rPr>
        <w:t xml:space="preserve">reading. This </w:t>
      </w:r>
      <w:r w:rsidR="003A0891" w:rsidRPr="00AF0DE2">
        <w:rPr>
          <w:rFonts w:cs="Arial"/>
        </w:rPr>
        <w:t xml:space="preserve">could </w:t>
      </w:r>
      <w:r w:rsidR="005E6790" w:rsidRPr="00AF0DE2">
        <w:rPr>
          <w:rFonts w:cs="Arial"/>
        </w:rPr>
        <w:t xml:space="preserve">indicate that the cutter is not </w:t>
      </w:r>
      <w:r w:rsidR="00B4021F" w:rsidRPr="00AF0DE2">
        <w:rPr>
          <w:rFonts w:cs="Arial"/>
        </w:rPr>
        <w:t xml:space="preserve">completely </w:t>
      </w:r>
      <w:r w:rsidR="005E6790" w:rsidRPr="00AF0DE2">
        <w:rPr>
          <w:rFonts w:cs="Arial"/>
        </w:rPr>
        <w:t xml:space="preserve">selective for </w:t>
      </w:r>
      <w:r w:rsidR="003E7B19" w:rsidRPr="00AF0DE2">
        <w:rPr>
          <w:rFonts w:cs="Arial"/>
        </w:rPr>
        <w:t>H</w:t>
      </w:r>
      <w:r w:rsidR="003E7B19" w:rsidRPr="00AF0DE2">
        <w:rPr>
          <w:rFonts w:cs="Arial"/>
          <w:vertAlign w:val="subscript"/>
        </w:rPr>
        <w:t>2</w:t>
      </w:r>
      <w:r w:rsidR="003E7B19" w:rsidRPr="00AF0DE2">
        <w:rPr>
          <w:rFonts w:cs="Arial"/>
        </w:rPr>
        <w:t>S</w:t>
      </w:r>
      <w:r w:rsidR="005E6790" w:rsidRPr="00AF0DE2">
        <w:rPr>
          <w:rFonts w:cs="Arial"/>
        </w:rPr>
        <w:t xml:space="preserve">. </w:t>
      </w:r>
      <w:r w:rsidR="00EB35D2" w:rsidRPr="00AF0DE2">
        <w:rPr>
          <w:rFonts w:cs="Arial"/>
        </w:rPr>
        <w:t>Significant</w:t>
      </w:r>
      <w:r w:rsidR="005E6790" w:rsidRPr="00AF0DE2">
        <w:rPr>
          <w:rFonts w:cs="Arial"/>
        </w:rPr>
        <w:t xml:space="preserve"> interference was observed for </w:t>
      </w:r>
      <w:proofErr w:type="spellStart"/>
      <w:r w:rsidR="005E6790" w:rsidRPr="00AF0DE2">
        <w:rPr>
          <w:rFonts w:cs="Arial"/>
        </w:rPr>
        <w:t>MeSH</w:t>
      </w:r>
      <w:proofErr w:type="spellEnd"/>
      <w:r w:rsidR="005E6790" w:rsidRPr="00AF0DE2">
        <w:rPr>
          <w:rFonts w:cs="Arial"/>
        </w:rPr>
        <w:t xml:space="preserve">, which is generally detected with </w:t>
      </w:r>
      <w:r w:rsidR="003E7B19" w:rsidRPr="00AF0DE2">
        <w:rPr>
          <w:rFonts w:cs="Arial"/>
        </w:rPr>
        <w:t>H</w:t>
      </w:r>
      <w:r w:rsidR="003E7B19" w:rsidRPr="00AF0DE2">
        <w:rPr>
          <w:rFonts w:cs="Arial"/>
          <w:vertAlign w:val="subscript"/>
        </w:rPr>
        <w:t>2</w:t>
      </w:r>
      <w:r w:rsidR="003E7B19" w:rsidRPr="00AF0DE2">
        <w:rPr>
          <w:rFonts w:cs="Arial"/>
        </w:rPr>
        <w:t>S</w:t>
      </w:r>
      <w:r w:rsidR="005E6790" w:rsidRPr="00AF0DE2">
        <w:rPr>
          <w:rFonts w:cs="Arial"/>
        </w:rPr>
        <w:t xml:space="preserve"> (with an oxidation efficiency greater than 70%)</w:t>
      </w:r>
      <w:r w:rsidR="003A0891" w:rsidRPr="00AF0DE2">
        <w:rPr>
          <w:rFonts w:cs="Arial"/>
        </w:rPr>
        <w:t>.</w:t>
      </w:r>
      <w:r w:rsidR="005E6790" w:rsidRPr="00AF0DE2">
        <w:rPr>
          <w:rFonts w:cs="Arial"/>
        </w:rPr>
        <w:t xml:space="preserve"> In the case of DMTS, a higher concentration of </w:t>
      </w:r>
      <w:r w:rsidR="003E7B19" w:rsidRPr="00AF0DE2">
        <w:rPr>
          <w:rFonts w:cs="Arial"/>
        </w:rPr>
        <w:t>H</w:t>
      </w:r>
      <w:r w:rsidR="003E7B19" w:rsidRPr="00AF0DE2">
        <w:rPr>
          <w:rFonts w:cs="Arial"/>
          <w:vertAlign w:val="subscript"/>
        </w:rPr>
        <w:t>2</w:t>
      </w:r>
      <w:r w:rsidR="003E7B19" w:rsidRPr="00AF0DE2">
        <w:rPr>
          <w:rFonts w:cs="Arial"/>
        </w:rPr>
        <w:t>S</w:t>
      </w:r>
      <w:r w:rsidR="005E6790" w:rsidRPr="00AF0DE2">
        <w:rPr>
          <w:rFonts w:cs="Arial"/>
        </w:rPr>
        <w:t xml:space="preserve"> is detected than the nominal concentration, </w:t>
      </w:r>
      <w:r w:rsidR="006B1998" w:rsidRPr="00AF0DE2">
        <w:rPr>
          <w:rFonts w:cs="Arial"/>
        </w:rPr>
        <w:t xml:space="preserve">confirming </w:t>
      </w:r>
      <w:r w:rsidR="005E6790" w:rsidRPr="00AF0DE2">
        <w:rPr>
          <w:rFonts w:cs="Arial"/>
        </w:rPr>
        <w:t xml:space="preserve">that for every S atom, a new </w:t>
      </w:r>
      <w:r w:rsidR="00332C72" w:rsidRPr="00AF0DE2">
        <w:rPr>
          <w:rFonts w:cs="Arial"/>
        </w:rPr>
        <w:t>oxidized</w:t>
      </w:r>
      <w:r w:rsidR="005E6790" w:rsidRPr="00AF0DE2">
        <w:rPr>
          <w:rFonts w:cs="Arial"/>
        </w:rPr>
        <w:t xml:space="preserve"> SO</w:t>
      </w:r>
      <w:r w:rsidR="003E7B19">
        <w:rPr>
          <w:rFonts w:cs="Arial"/>
          <w:vertAlign w:val="subscript"/>
        </w:rPr>
        <w:t>2</w:t>
      </w:r>
      <w:r w:rsidR="005E6790" w:rsidRPr="00AF0DE2">
        <w:rPr>
          <w:rFonts w:cs="Arial"/>
        </w:rPr>
        <w:t xml:space="preserve"> molecule is generated. Discussing the hydrocarbon interferences, once more, a substantial interference is discernible at elevated concentrations of toluene (</w:t>
      </w:r>
      <w:r w:rsidR="005E6790" w:rsidRPr="00AF0DE2">
        <w:rPr>
          <w:rFonts w:cs="Arial"/>
          <w:lang w:val="en-GB"/>
        </w:rPr>
        <w:t>170 and 17 ppm)</w:t>
      </w:r>
      <w:r w:rsidR="005E6790" w:rsidRPr="00AF0DE2">
        <w:rPr>
          <w:rFonts w:cs="Arial"/>
        </w:rPr>
        <w:t xml:space="preserve">. However, </w:t>
      </w:r>
      <w:r w:rsidR="006E3E16" w:rsidRPr="00AF0DE2">
        <w:rPr>
          <w:rFonts w:cs="Arial"/>
        </w:rPr>
        <w:t>these interferences</w:t>
      </w:r>
      <w:r w:rsidR="005E6790" w:rsidRPr="00AF0DE2">
        <w:rPr>
          <w:rFonts w:cs="Arial"/>
        </w:rPr>
        <w:t xml:space="preserve"> </w:t>
      </w:r>
      <w:r w:rsidR="006B1998" w:rsidRPr="00AF0DE2">
        <w:rPr>
          <w:rFonts w:cs="Arial"/>
        </w:rPr>
        <w:t xml:space="preserve">largely </w:t>
      </w:r>
      <w:r w:rsidR="005E6790" w:rsidRPr="00AF0DE2">
        <w:rPr>
          <w:rFonts w:cs="Arial"/>
        </w:rPr>
        <w:t>exceed the linearity range specified by the manufacturer.</w:t>
      </w:r>
      <w:r w:rsidR="00DF6B57" w:rsidRPr="00AF0DE2">
        <w:rPr>
          <w:rFonts w:cs="Arial"/>
        </w:rPr>
        <w:t xml:space="preserve"> Another significant observation pertains to the negative interference in H</w:t>
      </w:r>
      <w:r w:rsidR="00DF6B57" w:rsidRPr="00AF0DE2">
        <w:rPr>
          <w:rFonts w:cs="Arial"/>
          <w:vertAlign w:val="subscript"/>
        </w:rPr>
        <w:t>2</w:t>
      </w:r>
      <w:r w:rsidR="00DF6B57" w:rsidRPr="00AF0DE2">
        <w:rPr>
          <w:rFonts w:cs="Arial"/>
        </w:rPr>
        <w:t xml:space="preserve">S reading caused by the presence of hydrocarbons (toluene) in the mixture. As illustrated in </w:t>
      </w:r>
      <w:r w:rsidR="00DF6B57" w:rsidRPr="00AF0DE2">
        <w:rPr>
          <w:rFonts w:cs="Arial"/>
        </w:rPr>
        <w:fldChar w:fldCharType="begin"/>
      </w:r>
      <w:r w:rsidR="00DF6B57" w:rsidRPr="00AF0DE2">
        <w:rPr>
          <w:rFonts w:cs="Arial"/>
        </w:rPr>
        <w:instrText xml:space="preserve"> REF _Ref226232731 \h </w:instrText>
      </w:r>
      <w:r w:rsidR="00AF0DE2">
        <w:rPr>
          <w:rFonts w:cs="Arial"/>
        </w:rPr>
        <w:instrText xml:space="preserve"> \* MERGEFORMAT </w:instrText>
      </w:r>
      <w:r w:rsidR="00DF6B57" w:rsidRPr="00AF0DE2">
        <w:rPr>
          <w:rFonts w:cs="Arial"/>
        </w:rPr>
      </w:r>
      <w:r w:rsidR="00DF6B57" w:rsidRPr="00AF0DE2">
        <w:rPr>
          <w:rFonts w:cs="Arial"/>
        </w:rPr>
        <w:fldChar w:fldCharType="separate"/>
      </w:r>
      <w:r w:rsidR="00DF6B57" w:rsidRPr="00AF0DE2">
        <w:rPr>
          <w:rFonts w:cs="Arial"/>
        </w:rPr>
        <w:t xml:space="preserve">Figure </w:t>
      </w:r>
      <w:r w:rsidR="00DF6B57" w:rsidRPr="00AF0DE2">
        <w:rPr>
          <w:rFonts w:cs="Arial"/>
          <w:noProof/>
        </w:rPr>
        <w:t>2</w:t>
      </w:r>
      <w:r w:rsidR="00DF6B57" w:rsidRPr="00AF0DE2">
        <w:rPr>
          <w:rFonts w:cs="Arial"/>
        </w:rPr>
        <w:fldChar w:fldCharType="end"/>
      </w:r>
      <w:r w:rsidR="00DF6B57" w:rsidRPr="00AF0DE2">
        <w:rPr>
          <w:rFonts w:cs="Arial"/>
        </w:rPr>
        <w:t>C, H</w:t>
      </w:r>
      <w:r w:rsidR="00DF6B57" w:rsidRPr="00AF0DE2">
        <w:rPr>
          <w:rFonts w:cs="Arial"/>
          <w:vertAlign w:val="subscript"/>
        </w:rPr>
        <w:t>2</w:t>
      </w:r>
      <w:r w:rsidR="00DF6B57" w:rsidRPr="00AF0DE2">
        <w:rPr>
          <w:rFonts w:cs="Arial"/>
        </w:rPr>
        <w:t>S in the mixture is detected at a lower concentration than expected, with a conversion efficiency of approximately 75%, contrasting with the observations made for H</w:t>
      </w:r>
      <w:r w:rsidR="00DF6B57" w:rsidRPr="00AF0DE2">
        <w:rPr>
          <w:rFonts w:cs="Arial"/>
          <w:vertAlign w:val="subscript"/>
        </w:rPr>
        <w:t>2</w:t>
      </w:r>
      <w:r w:rsidR="00DF6B57" w:rsidRPr="00AF0DE2">
        <w:rPr>
          <w:rFonts w:cs="Arial"/>
        </w:rPr>
        <w:t>S alone.</w:t>
      </w:r>
    </w:p>
    <w:p w14:paraId="052CB43F" w14:textId="14322C65" w:rsidR="00DF6B57" w:rsidRPr="00AF0DE2" w:rsidRDefault="00DF6B57" w:rsidP="00DF6B57">
      <w:pPr>
        <w:pStyle w:val="CETheadingx"/>
        <w:rPr>
          <w:rFonts w:cs="Arial"/>
        </w:rPr>
      </w:pPr>
      <w:r w:rsidRPr="00AF0DE2">
        <w:rPr>
          <w:rFonts w:cs="Arial"/>
        </w:rPr>
        <w:t>Determination of V</w:t>
      </w:r>
      <w:r w:rsidR="00B1259A" w:rsidRPr="00AF0DE2">
        <w:rPr>
          <w:rFonts w:cs="Arial"/>
        </w:rPr>
        <w:t>S</w:t>
      </w:r>
      <w:r w:rsidRPr="00AF0DE2">
        <w:rPr>
          <w:rFonts w:cs="Arial"/>
        </w:rPr>
        <w:t xml:space="preserve">OCs: study of the potential interferences of </w:t>
      </w:r>
      <w:r w:rsidRPr="00AF0DE2">
        <w:rPr>
          <w:rFonts w:cs="Arial"/>
          <w:lang w:val="en-GB"/>
        </w:rPr>
        <w:t>TRS converter unit</w:t>
      </w:r>
    </w:p>
    <w:p w14:paraId="6BA75C73" w14:textId="5BF702DD" w:rsidR="006A5A81" w:rsidRPr="00AF0DE2" w:rsidRDefault="007E0E3A" w:rsidP="00042D78">
      <w:pPr>
        <w:pStyle w:val="CETBodytext"/>
        <w:rPr>
          <w:rFonts w:cs="Arial"/>
        </w:rPr>
      </w:pPr>
      <w:r w:rsidRPr="00AF0DE2">
        <w:rPr>
          <w:rFonts w:cs="Arial"/>
        </w:rPr>
        <w:t xml:space="preserve">By coupling the APSA 370 with the TRS converter unit, it is possible to quantify reduced species of Sulphur, expressed as Total Reduced Sulphur, present in ambient air. </w:t>
      </w:r>
      <w:r w:rsidR="006A5A81" w:rsidRPr="00AF0DE2">
        <w:rPr>
          <w:rFonts w:cs="Arial"/>
        </w:rPr>
        <w:t xml:space="preserve">The performance </w:t>
      </w:r>
      <w:r w:rsidRPr="00AF0DE2">
        <w:rPr>
          <w:rFonts w:cs="Arial"/>
        </w:rPr>
        <w:t>analysis</w:t>
      </w:r>
      <w:r w:rsidR="006A5A81" w:rsidRPr="00AF0DE2">
        <w:rPr>
          <w:rFonts w:cs="Arial"/>
        </w:rPr>
        <w:t xml:space="preserve"> of this configuration</w:t>
      </w:r>
      <w:r w:rsidRPr="00AF0DE2">
        <w:rPr>
          <w:rFonts w:cs="Arial"/>
        </w:rPr>
        <w:t xml:space="preserve"> is reported in</w:t>
      </w:r>
      <w:r w:rsidR="00B23AB8" w:rsidRPr="00AF0DE2">
        <w:rPr>
          <w:rFonts w:cs="Arial"/>
        </w:rPr>
        <w:t xml:space="preserve"> </w:t>
      </w:r>
      <w:r w:rsidR="00B23AB8" w:rsidRPr="00AF0DE2">
        <w:rPr>
          <w:rFonts w:cs="Arial"/>
        </w:rPr>
        <w:fldChar w:fldCharType="begin"/>
      </w:r>
      <w:r w:rsidR="00B23AB8" w:rsidRPr="00AF0DE2">
        <w:rPr>
          <w:rFonts w:cs="Arial"/>
        </w:rPr>
        <w:instrText xml:space="preserve"> REF _Ref226653599 \h </w:instrText>
      </w:r>
      <w:r w:rsidR="00AF0DE2">
        <w:rPr>
          <w:rFonts w:cs="Arial"/>
        </w:rPr>
        <w:instrText xml:space="preserve"> \* MERGEFORMAT </w:instrText>
      </w:r>
      <w:r w:rsidR="00B23AB8" w:rsidRPr="00AF0DE2">
        <w:rPr>
          <w:rFonts w:cs="Arial"/>
        </w:rPr>
      </w:r>
      <w:r w:rsidR="00B23AB8" w:rsidRPr="00AF0DE2">
        <w:rPr>
          <w:rFonts w:cs="Arial"/>
        </w:rPr>
        <w:fldChar w:fldCharType="separate"/>
      </w:r>
      <w:r w:rsidR="00B23AB8" w:rsidRPr="00AF0DE2">
        <w:rPr>
          <w:rFonts w:cs="Arial"/>
        </w:rPr>
        <w:t xml:space="preserve">Figure </w:t>
      </w:r>
      <w:r w:rsidR="00B23AB8" w:rsidRPr="00AF0DE2">
        <w:rPr>
          <w:rFonts w:cs="Arial"/>
          <w:noProof/>
        </w:rPr>
        <w:t>3</w:t>
      </w:r>
      <w:r w:rsidR="00B23AB8" w:rsidRPr="00AF0DE2">
        <w:rPr>
          <w:rFonts w:cs="Arial"/>
        </w:rPr>
        <w:fldChar w:fldCharType="end"/>
      </w:r>
      <w:r w:rsidRPr="00AF0DE2">
        <w:rPr>
          <w:rFonts w:cs="Arial"/>
        </w:rPr>
        <w:t xml:space="preserve">. </w:t>
      </w:r>
      <w:r w:rsidR="00B23AB8" w:rsidRPr="00AF0DE2">
        <w:rPr>
          <w:rFonts w:cs="Arial"/>
        </w:rPr>
        <w:t xml:space="preserve">The TRS concentrations for the different </w:t>
      </w:r>
      <w:proofErr w:type="spellStart"/>
      <w:r w:rsidR="00B23AB8" w:rsidRPr="00AF0DE2">
        <w:rPr>
          <w:rFonts w:cs="Arial"/>
        </w:rPr>
        <w:t>sulphur</w:t>
      </w:r>
      <w:proofErr w:type="spellEnd"/>
      <w:r w:rsidR="00B23AB8" w:rsidRPr="00AF0DE2">
        <w:rPr>
          <w:rFonts w:cs="Arial"/>
        </w:rPr>
        <w:t xml:space="preserve"> species are obtained by converted the concentration (</w:t>
      </w:r>
      <w:r w:rsidR="00200971" w:rsidRPr="00AF0DE2">
        <w:rPr>
          <w:rFonts w:cs="Arial"/>
        </w:rPr>
        <w:t xml:space="preserve">in ppb) of the single </w:t>
      </w:r>
      <w:r w:rsidR="00A71E77" w:rsidRPr="00AF0DE2">
        <w:rPr>
          <w:rFonts w:cs="Arial"/>
        </w:rPr>
        <w:t>species</w:t>
      </w:r>
      <w:r w:rsidR="00200971" w:rsidRPr="00AF0DE2">
        <w:rPr>
          <w:rFonts w:cs="Arial"/>
        </w:rPr>
        <w:t xml:space="preserve"> in </w:t>
      </w:r>
      <w:r w:rsidR="00A71E77" w:rsidRPr="00AF0DE2">
        <w:rPr>
          <w:rFonts w:cs="Arial"/>
        </w:rPr>
        <w:t>concentration of SO</w:t>
      </w:r>
      <w:r w:rsidR="00A71E77" w:rsidRPr="00AF0DE2">
        <w:rPr>
          <w:rFonts w:cs="Arial"/>
          <w:vertAlign w:val="subscript"/>
        </w:rPr>
        <w:t>2</w:t>
      </w:r>
      <w:r w:rsidR="00A71E77" w:rsidRPr="00AF0DE2">
        <w:rPr>
          <w:rFonts w:cs="Arial"/>
        </w:rPr>
        <w:t xml:space="preserve"> derived from the oxidation process. This value was compared to the SO</w:t>
      </w:r>
      <w:r w:rsidR="00A71E77" w:rsidRPr="00AF0DE2">
        <w:rPr>
          <w:rFonts w:cs="Arial"/>
          <w:vertAlign w:val="subscript"/>
        </w:rPr>
        <w:t xml:space="preserve">2 </w:t>
      </w:r>
      <w:r w:rsidR="00A71E77" w:rsidRPr="00AF0DE2">
        <w:rPr>
          <w:rFonts w:cs="Arial"/>
        </w:rPr>
        <w:t>read by the instrument.</w:t>
      </w:r>
      <w:r w:rsidR="00E81FF6" w:rsidRPr="00AF0DE2">
        <w:rPr>
          <w:rFonts w:cs="Arial"/>
        </w:rPr>
        <w:t xml:space="preserve"> </w:t>
      </w:r>
    </w:p>
    <w:p w14:paraId="3117E696" w14:textId="77777777" w:rsidR="003D0199" w:rsidRPr="00AF0DE2" w:rsidRDefault="003D0199" w:rsidP="00042D78">
      <w:pPr>
        <w:pStyle w:val="CETBodytext"/>
        <w:rPr>
          <w:rFonts w:cs="Arial"/>
          <w:lang w:val="en-GB"/>
        </w:rPr>
      </w:pPr>
    </w:p>
    <w:p w14:paraId="197328D0" w14:textId="20930FC0" w:rsidR="003D0199" w:rsidRPr="00AF0DE2" w:rsidRDefault="003D0199" w:rsidP="003D0199">
      <w:pPr>
        <w:pStyle w:val="CETBodytext"/>
        <w:jc w:val="center"/>
        <w:rPr>
          <w:rFonts w:cs="Arial"/>
          <w:lang w:val="en-GB"/>
        </w:rPr>
      </w:pPr>
    </w:p>
    <w:p w14:paraId="59DAB60A" w14:textId="026EC1B6" w:rsidR="00706F2D" w:rsidRPr="00AF0DE2" w:rsidRDefault="00706F2D" w:rsidP="003D0199">
      <w:pPr>
        <w:pStyle w:val="CETBodytext"/>
        <w:jc w:val="center"/>
        <w:rPr>
          <w:rFonts w:cs="Arial"/>
          <w:lang w:val="en-GB"/>
        </w:rPr>
      </w:pPr>
      <w:r w:rsidRPr="00AF0DE2">
        <w:rPr>
          <w:rFonts w:cs="Arial"/>
          <w:noProof/>
        </w:rPr>
        <w:drawing>
          <wp:inline distT="0" distB="0" distL="0" distR="0" wp14:anchorId="6E0A11B8" wp14:editId="7592ECCB">
            <wp:extent cx="4792003" cy="3780000"/>
            <wp:effectExtent l="0" t="0" r="0" b="0"/>
            <wp:docPr id="2122977530" name="Elemento gra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977530" name=""/>
                    <pic:cNvPicPr/>
                  </pic:nvPicPr>
                  <pic:blipFill rotWithShape="1">
                    <a:blip r:embed="rId13">
                      <a:extLst>
                        <a:ext uri="{96DAC541-7B7A-43D3-8B79-37D633B846F1}">
                          <asvg:svgBlip xmlns:asvg="http://schemas.microsoft.com/office/drawing/2016/SVG/main" r:embed="rId14"/>
                        </a:ext>
                      </a:extLst>
                    </a:blip>
                    <a:srcRect r="8012"/>
                    <a:stretch>
                      <a:fillRect/>
                    </a:stretch>
                  </pic:blipFill>
                  <pic:spPr bwMode="auto">
                    <a:xfrm>
                      <a:off x="0" y="0"/>
                      <a:ext cx="4792003" cy="3780000"/>
                    </a:xfrm>
                    <a:prstGeom prst="rect">
                      <a:avLst/>
                    </a:prstGeom>
                    <a:ln>
                      <a:noFill/>
                    </a:ln>
                    <a:extLst>
                      <a:ext uri="{53640926-AAD7-44D8-BBD7-CCE9431645EC}">
                        <a14:shadowObscured xmlns:a14="http://schemas.microsoft.com/office/drawing/2010/main"/>
                      </a:ext>
                    </a:extLst>
                  </pic:spPr>
                </pic:pic>
              </a:graphicData>
            </a:graphic>
          </wp:inline>
        </w:drawing>
      </w:r>
    </w:p>
    <w:p w14:paraId="4D03491C" w14:textId="5170CACD" w:rsidR="006A5A81" w:rsidRPr="00AF0DE2" w:rsidRDefault="003D0199" w:rsidP="00706F2D">
      <w:pPr>
        <w:pStyle w:val="CETCaption"/>
        <w:jc w:val="center"/>
        <w:rPr>
          <w:rFonts w:cs="Arial"/>
        </w:rPr>
      </w:pPr>
      <w:bookmarkStart w:id="2" w:name="_Ref226232731"/>
      <w:r w:rsidRPr="00AF0DE2">
        <w:rPr>
          <w:rFonts w:cs="Arial"/>
        </w:rPr>
        <w:t xml:space="preserve">Figure </w:t>
      </w:r>
      <w:r w:rsidRPr="00AF0DE2">
        <w:rPr>
          <w:rFonts w:cs="Arial"/>
        </w:rPr>
        <w:fldChar w:fldCharType="begin"/>
      </w:r>
      <w:r w:rsidRPr="00AF0DE2">
        <w:rPr>
          <w:rFonts w:cs="Arial"/>
        </w:rPr>
        <w:instrText xml:space="preserve"> SEQ Figure \* ARABIC </w:instrText>
      </w:r>
      <w:r w:rsidRPr="00AF0DE2">
        <w:rPr>
          <w:rFonts w:cs="Arial"/>
        </w:rPr>
        <w:fldChar w:fldCharType="separate"/>
      </w:r>
      <w:r w:rsidRPr="00AF0DE2">
        <w:rPr>
          <w:rFonts w:cs="Arial"/>
        </w:rPr>
        <w:t>2</w:t>
      </w:r>
      <w:r w:rsidRPr="00AF0DE2">
        <w:rPr>
          <w:rFonts w:cs="Arial"/>
        </w:rPr>
        <w:fldChar w:fldCharType="end"/>
      </w:r>
      <w:bookmarkEnd w:id="2"/>
      <w:r w:rsidRPr="00AF0DE2">
        <w:rPr>
          <w:rFonts w:cs="Arial"/>
        </w:rPr>
        <w:t xml:space="preserve">: H2S concentration measured using APSA 370 </w:t>
      </w:r>
      <w:r w:rsidR="00EB35D2" w:rsidRPr="00AF0DE2">
        <w:rPr>
          <w:rFonts w:cs="Arial"/>
        </w:rPr>
        <w:t xml:space="preserve">+ </w:t>
      </w:r>
      <w:r w:rsidRPr="00AF0DE2">
        <w:rPr>
          <w:rFonts w:cs="Arial"/>
        </w:rPr>
        <w:t>H</w:t>
      </w:r>
      <w:r w:rsidRPr="00AF0DE2">
        <w:rPr>
          <w:rFonts w:ascii="Cambria Math" w:hAnsi="Cambria Math" w:cs="Cambria Math"/>
        </w:rPr>
        <w:t>₂</w:t>
      </w:r>
      <w:r w:rsidRPr="00AF0DE2">
        <w:rPr>
          <w:rFonts w:cs="Arial"/>
        </w:rPr>
        <w:t xml:space="preserve">S converter unit: (A) (B) individual compounds; (C) mix toluene and sulphur compound (H2S or </w:t>
      </w:r>
      <w:proofErr w:type="spellStart"/>
      <w:r w:rsidRPr="00AF0DE2">
        <w:rPr>
          <w:rFonts w:cs="Arial"/>
        </w:rPr>
        <w:t>MeSH</w:t>
      </w:r>
      <w:proofErr w:type="spellEnd"/>
      <w:r w:rsidRPr="00AF0DE2">
        <w:rPr>
          <w:rFonts w:cs="Arial"/>
        </w:rPr>
        <w:t xml:space="preserve">); (D) mix sulphur compounds (H2S + </w:t>
      </w:r>
      <w:proofErr w:type="spellStart"/>
      <w:r w:rsidRPr="00AF0DE2">
        <w:rPr>
          <w:rFonts w:cs="Arial"/>
        </w:rPr>
        <w:t>MeSH</w:t>
      </w:r>
      <w:proofErr w:type="spellEnd"/>
      <w:r w:rsidRPr="00AF0DE2">
        <w:rPr>
          <w:rFonts w:cs="Arial"/>
        </w:rPr>
        <w:t>)</w:t>
      </w:r>
      <w:r w:rsidR="00706F2D" w:rsidRPr="00AF0DE2">
        <w:rPr>
          <w:rFonts w:cs="Arial"/>
          <w:noProof/>
        </w:rPr>
        <w:drawing>
          <wp:inline distT="0" distB="0" distL="0" distR="0" wp14:anchorId="370A9D75" wp14:editId="6B11E13F">
            <wp:extent cx="4628946" cy="3780000"/>
            <wp:effectExtent l="0" t="0" r="0" b="0"/>
            <wp:docPr id="1688767145" name="Elemento gra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767145" name=""/>
                    <pic:cNvPicPr/>
                  </pic:nvPicPr>
                  <pic:blipFill rotWithShape="1">
                    <a:blip r:embed="rId15">
                      <a:extLst>
                        <a:ext uri="{96DAC541-7B7A-43D3-8B79-37D633B846F1}">
                          <asvg:svgBlip xmlns:asvg="http://schemas.microsoft.com/office/drawing/2016/SVG/main" r:embed="rId16"/>
                        </a:ext>
                      </a:extLst>
                    </a:blip>
                    <a:srcRect r="5692"/>
                    <a:stretch>
                      <a:fillRect/>
                    </a:stretch>
                  </pic:blipFill>
                  <pic:spPr bwMode="auto">
                    <a:xfrm>
                      <a:off x="0" y="0"/>
                      <a:ext cx="4628946" cy="3780000"/>
                    </a:xfrm>
                    <a:prstGeom prst="rect">
                      <a:avLst/>
                    </a:prstGeom>
                    <a:ln>
                      <a:noFill/>
                    </a:ln>
                    <a:extLst>
                      <a:ext uri="{53640926-AAD7-44D8-BBD7-CCE9431645EC}">
                        <a14:shadowObscured xmlns:a14="http://schemas.microsoft.com/office/drawing/2010/main"/>
                      </a:ext>
                    </a:extLst>
                  </pic:spPr>
                </pic:pic>
              </a:graphicData>
            </a:graphic>
          </wp:inline>
        </w:drawing>
      </w:r>
      <w:bookmarkStart w:id="3" w:name="_Ref226653599"/>
      <w:r w:rsidR="004B6929" w:rsidRPr="00AF0DE2">
        <w:rPr>
          <w:rFonts w:cs="Arial"/>
        </w:rPr>
        <w:br/>
      </w:r>
      <w:r w:rsidR="00247DCE" w:rsidRPr="00AF0DE2">
        <w:rPr>
          <w:rFonts w:cs="Arial"/>
        </w:rPr>
        <w:t xml:space="preserve">Figure </w:t>
      </w:r>
      <w:r w:rsidR="00247DCE" w:rsidRPr="00AF0DE2">
        <w:rPr>
          <w:rFonts w:cs="Arial"/>
        </w:rPr>
        <w:fldChar w:fldCharType="begin"/>
      </w:r>
      <w:r w:rsidR="00247DCE" w:rsidRPr="00AF0DE2">
        <w:rPr>
          <w:rFonts w:cs="Arial"/>
        </w:rPr>
        <w:instrText xml:space="preserve"> SEQ Figure \* ARABIC </w:instrText>
      </w:r>
      <w:r w:rsidR="00247DCE" w:rsidRPr="00AF0DE2">
        <w:rPr>
          <w:rFonts w:cs="Arial"/>
        </w:rPr>
        <w:fldChar w:fldCharType="separate"/>
      </w:r>
      <w:r w:rsidR="00247DCE" w:rsidRPr="00AF0DE2">
        <w:rPr>
          <w:rFonts w:cs="Arial"/>
        </w:rPr>
        <w:t>3</w:t>
      </w:r>
      <w:r w:rsidR="00247DCE" w:rsidRPr="00AF0DE2">
        <w:rPr>
          <w:rFonts w:cs="Arial"/>
        </w:rPr>
        <w:fldChar w:fldCharType="end"/>
      </w:r>
      <w:bookmarkEnd w:id="3"/>
      <w:r w:rsidR="00247DCE" w:rsidRPr="00AF0DE2">
        <w:rPr>
          <w:rFonts w:cs="Arial"/>
        </w:rPr>
        <w:t>: TRS concentration measured using APSA 370</w:t>
      </w:r>
      <w:r w:rsidR="00EB35D2" w:rsidRPr="00AF0DE2">
        <w:rPr>
          <w:rFonts w:cs="Arial"/>
        </w:rPr>
        <w:t xml:space="preserve"> +</w:t>
      </w:r>
      <w:r w:rsidR="00247DCE" w:rsidRPr="00AF0DE2">
        <w:rPr>
          <w:rFonts w:cs="Arial"/>
        </w:rPr>
        <w:t xml:space="preserve"> TRS converter unit: (A) (B) individual compounds; (C) mix toluene and sulphur compound (H2S or </w:t>
      </w:r>
      <w:proofErr w:type="spellStart"/>
      <w:r w:rsidR="00247DCE" w:rsidRPr="00AF0DE2">
        <w:rPr>
          <w:rFonts w:cs="Arial"/>
        </w:rPr>
        <w:t>MeSH</w:t>
      </w:r>
      <w:proofErr w:type="spellEnd"/>
      <w:r w:rsidR="00247DCE" w:rsidRPr="00AF0DE2">
        <w:rPr>
          <w:rFonts w:cs="Arial"/>
        </w:rPr>
        <w:t xml:space="preserve">); (D) mix sulphur compounds (H2S + </w:t>
      </w:r>
      <w:proofErr w:type="spellStart"/>
      <w:r w:rsidR="004B6929" w:rsidRPr="00AF0DE2">
        <w:rPr>
          <w:rFonts w:cs="Arial"/>
        </w:rPr>
        <w:t>M</w:t>
      </w:r>
      <w:r w:rsidR="00247DCE" w:rsidRPr="00AF0DE2">
        <w:rPr>
          <w:rFonts w:cs="Arial"/>
        </w:rPr>
        <w:t>eSH</w:t>
      </w:r>
      <w:proofErr w:type="spellEnd"/>
      <w:r w:rsidR="00247DCE" w:rsidRPr="00AF0DE2">
        <w:rPr>
          <w:rFonts w:cs="Arial"/>
        </w:rPr>
        <w:t>)</w:t>
      </w:r>
    </w:p>
    <w:p w14:paraId="29C2DF77" w14:textId="77777777" w:rsidR="00EB35D2" w:rsidRPr="00AF0DE2" w:rsidRDefault="00EB35D2" w:rsidP="00EB35D2">
      <w:pPr>
        <w:pStyle w:val="CETBodytext"/>
        <w:rPr>
          <w:rFonts w:cs="Arial"/>
          <w:lang w:val="en-GB"/>
        </w:rPr>
      </w:pPr>
      <w:r w:rsidRPr="00AF0DE2">
        <w:rPr>
          <w:rFonts w:cs="Arial"/>
          <w:lang w:val="en-GB"/>
        </w:rPr>
        <w:lastRenderedPageBreak/>
        <w:t>The results for TRS measurements indicate an overall efficient oxidation process, with a maximum estimated error of approximately 25% observed at concentrations close to the lower detection limit (LDL). Aromatic hydrocarbons don’t introduce significant interference, even at elevated concentrations, confirming the selectivity of the instrument configuration under these experimental conditions. However, mixed samples (aromatic hydrocarbon + sulphur compounds) at limited concentration levels (~10 ppm) systematically lead to an overestimation of the measured values, suggesting the presence of interaction effects in this regime. Overall, the APSA + TRS configuration demonstrates high robustness and accuracy across the tested conditions, with the notable exception of low sulphur-concentration mixtures, where caution is required in data interpretation.</w:t>
      </w:r>
    </w:p>
    <w:p w14:paraId="639ECA1D" w14:textId="7D99FAFC" w:rsidR="00B1259A" w:rsidRPr="00AF0DE2" w:rsidRDefault="00B1259A" w:rsidP="00B1259A">
      <w:pPr>
        <w:pStyle w:val="CETheadingx"/>
        <w:rPr>
          <w:rFonts w:cs="Arial"/>
        </w:rPr>
      </w:pPr>
      <w:r w:rsidRPr="00AF0DE2">
        <w:rPr>
          <w:rFonts w:cs="Arial"/>
        </w:rPr>
        <w:t xml:space="preserve">Application of </w:t>
      </w:r>
      <w:r w:rsidR="008176E3" w:rsidRPr="00AF0DE2">
        <w:rPr>
          <w:rFonts w:cs="Arial"/>
        </w:rPr>
        <w:t xml:space="preserve">APSA 370 + </w:t>
      </w:r>
      <w:r w:rsidRPr="00AF0DE2">
        <w:rPr>
          <w:rFonts w:cs="Arial"/>
          <w:lang w:val="en-GB"/>
        </w:rPr>
        <w:t>TRS converter unit to real odorous samples</w:t>
      </w:r>
    </w:p>
    <w:p w14:paraId="6795F545" w14:textId="398222E7" w:rsidR="00330DBF" w:rsidRPr="00AF0DE2" w:rsidRDefault="00B1259A" w:rsidP="00391BF6">
      <w:pPr>
        <w:pStyle w:val="CETBodytext"/>
        <w:rPr>
          <w:rFonts w:cs="Arial"/>
          <w:lang w:val="en-GB"/>
        </w:rPr>
      </w:pPr>
      <w:r w:rsidRPr="00AF0DE2">
        <w:rPr>
          <w:rFonts w:cs="Arial"/>
          <w:lang w:val="en-GB"/>
        </w:rPr>
        <w:t xml:space="preserve">Based on the results obtained, an investigation was carried out into the applicability and robustness of the </w:t>
      </w:r>
      <w:r w:rsidR="008A00C2" w:rsidRPr="00AF0DE2">
        <w:rPr>
          <w:rFonts w:cs="Arial"/>
          <w:lang w:val="en-GB"/>
        </w:rPr>
        <w:t>APSA 370</w:t>
      </w:r>
      <w:r w:rsidRPr="00AF0DE2">
        <w:rPr>
          <w:rFonts w:cs="Arial"/>
          <w:lang w:val="en-GB"/>
        </w:rPr>
        <w:t xml:space="preserve"> + TRS configuration for the analysis of real odour samples. The results of this </w:t>
      </w:r>
      <w:r w:rsidR="00BF3A13" w:rsidRPr="00AF0DE2">
        <w:rPr>
          <w:rFonts w:cs="Arial"/>
          <w:lang w:val="en-GB"/>
        </w:rPr>
        <w:t>experimentation and the comparison with the VOSCs obtained by GC-PFPD analysis</w:t>
      </w:r>
      <w:r w:rsidRPr="00AF0DE2">
        <w:rPr>
          <w:rFonts w:cs="Arial"/>
          <w:lang w:val="en-GB"/>
        </w:rPr>
        <w:t xml:space="preserve"> </w:t>
      </w:r>
      <w:r w:rsidR="00BF3A13" w:rsidRPr="00AF0DE2">
        <w:rPr>
          <w:rFonts w:cs="Arial"/>
          <w:lang w:val="en-GB"/>
        </w:rPr>
        <w:t>were</w:t>
      </w:r>
      <w:r w:rsidRPr="00AF0DE2">
        <w:rPr>
          <w:rFonts w:cs="Arial"/>
          <w:lang w:val="en-GB"/>
        </w:rPr>
        <w:t xml:space="preserve"> reported be</w:t>
      </w:r>
      <w:r w:rsidR="00BF28E0" w:rsidRPr="00AF0DE2">
        <w:rPr>
          <w:rFonts w:cs="Arial"/>
          <w:lang w:val="en-GB"/>
        </w:rPr>
        <w:t>l</w:t>
      </w:r>
      <w:r w:rsidRPr="00AF0DE2">
        <w:rPr>
          <w:rFonts w:cs="Arial"/>
          <w:lang w:val="en-GB"/>
        </w:rPr>
        <w:t>ow.</w:t>
      </w:r>
      <w:r w:rsidR="00BF3A13" w:rsidRPr="00AF0DE2">
        <w:rPr>
          <w:rFonts w:cs="Arial"/>
          <w:lang w:val="en-GB"/>
        </w:rPr>
        <w:t xml:space="preserve"> Two dilutions of the samples were performed (1:10 and 1:100) to verify the operating range.</w:t>
      </w:r>
    </w:p>
    <w:p w14:paraId="5C610C24" w14:textId="41BBDAD8" w:rsidR="00BF3A13" w:rsidRPr="00AF0DE2" w:rsidRDefault="00BF3A13" w:rsidP="00BF3A13">
      <w:pPr>
        <w:pStyle w:val="CETTabletitle"/>
        <w:rPr>
          <w:rFonts w:cs="Arial"/>
        </w:rPr>
      </w:pPr>
      <w:r w:rsidRPr="00AF0DE2">
        <w:rPr>
          <w:rFonts w:cs="Arial"/>
        </w:rPr>
        <w:t xml:space="preserve">Table </w:t>
      </w:r>
      <w:r w:rsidRPr="00AF0DE2">
        <w:rPr>
          <w:rFonts w:cs="Arial"/>
        </w:rPr>
        <w:fldChar w:fldCharType="begin"/>
      </w:r>
      <w:r w:rsidRPr="00AF0DE2">
        <w:rPr>
          <w:rFonts w:cs="Arial"/>
        </w:rPr>
        <w:instrText xml:space="preserve"> SEQ Table \* ARABIC </w:instrText>
      </w:r>
      <w:r w:rsidRPr="00AF0DE2">
        <w:rPr>
          <w:rFonts w:cs="Arial"/>
        </w:rPr>
        <w:fldChar w:fldCharType="separate"/>
      </w:r>
      <w:r w:rsidRPr="00AF0DE2">
        <w:rPr>
          <w:rFonts w:cs="Arial"/>
        </w:rPr>
        <w:t>1</w:t>
      </w:r>
      <w:r w:rsidRPr="00AF0DE2">
        <w:rPr>
          <w:rFonts w:cs="Arial"/>
        </w:rPr>
        <w:fldChar w:fldCharType="end"/>
      </w:r>
      <w:r w:rsidRPr="00AF0DE2">
        <w:rPr>
          <w:rFonts w:cs="Arial"/>
        </w:rPr>
        <w:t xml:space="preserve">: </w:t>
      </w:r>
      <w:r w:rsidR="00AD5C50" w:rsidRPr="00AF0DE2">
        <w:rPr>
          <w:rFonts w:cs="Arial"/>
        </w:rPr>
        <w:t>TRS analysis of real odorous samples</w:t>
      </w:r>
    </w:p>
    <w:tbl>
      <w:tblPr>
        <w:tblW w:w="5000" w:type="pct"/>
        <w:tblBorders>
          <w:top w:val="single" w:sz="12" w:space="0" w:color="008000"/>
          <w:bottom w:val="single" w:sz="12" w:space="0" w:color="008000"/>
        </w:tblBorders>
        <w:shd w:val="clear" w:color="auto" w:fill="FFFFFF"/>
        <w:tblCellMar>
          <w:left w:w="0" w:type="dxa"/>
          <w:right w:w="0" w:type="dxa"/>
        </w:tblCellMar>
        <w:tblLook w:val="00A0" w:firstRow="1" w:lastRow="0" w:firstColumn="1" w:lastColumn="0" w:noHBand="0" w:noVBand="0"/>
      </w:tblPr>
      <w:tblGrid>
        <w:gridCol w:w="2927"/>
        <w:gridCol w:w="2930"/>
        <w:gridCol w:w="2930"/>
      </w:tblGrid>
      <w:tr w:rsidR="00AD5C50" w:rsidRPr="00AF0DE2" w14:paraId="1FB72CCE" w14:textId="77777777" w:rsidTr="00AD5C50">
        <w:tc>
          <w:tcPr>
            <w:tcW w:w="1666" w:type="pct"/>
            <w:tcBorders>
              <w:top w:val="single" w:sz="12" w:space="0" w:color="008000"/>
              <w:bottom w:val="single" w:sz="6" w:space="0" w:color="008000"/>
            </w:tcBorders>
            <w:shd w:val="clear" w:color="auto" w:fill="FFFFFF"/>
            <w:vAlign w:val="center"/>
          </w:tcPr>
          <w:p w14:paraId="2A6D4335" w14:textId="0281BFE4" w:rsidR="00AD5C50" w:rsidRPr="00AF0DE2" w:rsidRDefault="00AD5C50" w:rsidP="00AD5C50">
            <w:pPr>
              <w:pStyle w:val="CETBodytext"/>
              <w:jc w:val="center"/>
              <w:rPr>
                <w:rFonts w:cs="Arial"/>
                <w:lang w:val="en-GB"/>
              </w:rPr>
            </w:pPr>
            <w:r w:rsidRPr="00AF0DE2">
              <w:rPr>
                <w:rFonts w:cs="Arial"/>
                <w:lang w:val="en-GB"/>
              </w:rPr>
              <w:t>Sample</w:t>
            </w:r>
          </w:p>
        </w:tc>
        <w:tc>
          <w:tcPr>
            <w:tcW w:w="1667" w:type="pct"/>
            <w:tcBorders>
              <w:top w:val="single" w:sz="12" w:space="0" w:color="008000"/>
              <w:bottom w:val="single" w:sz="6" w:space="0" w:color="008000"/>
            </w:tcBorders>
            <w:shd w:val="clear" w:color="auto" w:fill="FFFFFF"/>
            <w:vAlign w:val="center"/>
          </w:tcPr>
          <w:p w14:paraId="1823CF58" w14:textId="77777777" w:rsidR="00AD5C50" w:rsidRPr="00AF0DE2" w:rsidRDefault="00AD5C50" w:rsidP="00AD5C50">
            <w:pPr>
              <w:pStyle w:val="CETBodytext"/>
              <w:jc w:val="center"/>
              <w:rPr>
                <w:rFonts w:cs="Arial"/>
                <w:lang w:val="en-GB"/>
              </w:rPr>
            </w:pPr>
            <w:r w:rsidRPr="00AF0DE2">
              <w:rPr>
                <w:rFonts w:cs="Arial"/>
                <w:lang w:val="en-GB"/>
              </w:rPr>
              <w:t>SO</w:t>
            </w:r>
            <w:r w:rsidRPr="00AF0DE2">
              <w:rPr>
                <w:rFonts w:cs="Arial"/>
                <w:vertAlign w:val="subscript"/>
                <w:lang w:val="en-GB"/>
              </w:rPr>
              <w:t>2</w:t>
            </w:r>
            <w:r w:rsidRPr="00AF0DE2">
              <w:rPr>
                <w:rFonts w:cs="Arial"/>
                <w:lang w:val="en-GB"/>
              </w:rPr>
              <w:t xml:space="preserve"> from GC-PFPD </w:t>
            </w:r>
          </w:p>
          <w:p w14:paraId="3CB8076B" w14:textId="18E4AF3F" w:rsidR="00AD5C50" w:rsidRPr="00AF0DE2" w:rsidRDefault="00AD5C50" w:rsidP="00AD5C50">
            <w:pPr>
              <w:pStyle w:val="CETBodytext"/>
              <w:jc w:val="center"/>
              <w:rPr>
                <w:rFonts w:cs="Arial"/>
                <w:lang w:val="en-GB"/>
              </w:rPr>
            </w:pPr>
            <w:r w:rsidRPr="00AF0DE2">
              <w:rPr>
                <w:rFonts w:cs="Arial"/>
                <w:lang w:val="en-GB"/>
              </w:rPr>
              <w:t>(ppb)</w:t>
            </w:r>
          </w:p>
        </w:tc>
        <w:tc>
          <w:tcPr>
            <w:tcW w:w="1667" w:type="pct"/>
            <w:tcBorders>
              <w:top w:val="single" w:sz="12" w:space="0" w:color="008000"/>
              <w:bottom w:val="single" w:sz="6" w:space="0" w:color="008000"/>
            </w:tcBorders>
            <w:shd w:val="clear" w:color="auto" w:fill="FFFFFF"/>
            <w:vAlign w:val="center"/>
          </w:tcPr>
          <w:p w14:paraId="1FA68AE8" w14:textId="35ABCD38" w:rsidR="00AD5C50" w:rsidRPr="00AF0DE2" w:rsidRDefault="00AD5C50" w:rsidP="00AD5C50">
            <w:pPr>
              <w:pStyle w:val="CETBodytext"/>
              <w:jc w:val="center"/>
              <w:rPr>
                <w:rFonts w:cs="Arial"/>
                <w:lang w:val="en-GB"/>
              </w:rPr>
            </w:pPr>
            <w:r w:rsidRPr="00AF0DE2">
              <w:rPr>
                <w:rFonts w:cs="Arial"/>
                <w:lang w:val="en-GB"/>
              </w:rPr>
              <w:t>SO</w:t>
            </w:r>
            <w:r w:rsidRPr="00AF0DE2">
              <w:rPr>
                <w:rFonts w:cs="Arial"/>
                <w:vertAlign w:val="subscript"/>
                <w:lang w:val="en-GB"/>
              </w:rPr>
              <w:t>2</w:t>
            </w:r>
            <w:r w:rsidRPr="00AF0DE2">
              <w:rPr>
                <w:rFonts w:cs="Arial"/>
                <w:lang w:val="en-GB"/>
              </w:rPr>
              <w:t xml:space="preserve"> from TRS Horiba</w:t>
            </w:r>
          </w:p>
          <w:p w14:paraId="7B01726D" w14:textId="30D61313" w:rsidR="00AD5C50" w:rsidRPr="00AF0DE2" w:rsidRDefault="00AD5C50" w:rsidP="00AD5C50">
            <w:pPr>
              <w:pStyle w:val="CETBodytext"/>
              <w:jc w:val="center"/>
              <w:rPr>
                <w:rFonts w:cs="Arial"/>
                <w:lang w:val="en-GB"/>
              </w:rPr>
            </w:pPr>
            <w:r w:rsidRPr="00AF0DE2">
              <w:rPr>
                <w:rFonts w:cs="Arial"/>
                <w:lang w:val="en-GB"/>
              </w:rPr>
              <w:t xml:space="preserve"> (ppb)</w:t>
            </w:r>
          </w:p>
        </w:tc>
      </w:tr>
      <w:tr w:rsidR="00AD5C50" w:rsidRPr="00AF0DE2" w14:paraId="7C545EE3" w14:textId="77777777" w:rsidTr="00AD5C50">
        <w:tc>
          <w:tcPr>
            <w:tcW w:w="1666" w:type="pct"/>
            <w:shd w:val="clear" w:color="auto" w:fill="FFFFFF"/>
            <w:vAlign w:val="center"/>
          </w:tcPr>
          <w:p w14:paraId="513E8FEB" w14:textId="410838A0" w:rsidR="00AD5C50" w:rsidRPr="00AF0DE2" w:rsidRDefault="00AD5C50" w:rsidP="00AD5C50">
            <w:pPr>
              <w:pStyle w:val="CETBodytext"/>
              <w:jc w:val="center"/>
              <w:rPr>
                <w:rFonts w:cs="Arial"/>
                <w:color w:val="000000" w:themeColor="text1"/>
                <w:lang w:val="en-GB"/>
              </w:rPr>
            </w:pPr>
            <w:r w:rsidRPr="00AF0DE2">
              <w:rPr>
                <w:rFonts w:cs="Arial"/>
                <w:color w:val="000000" w:themeColor="text1"/>
                <w:lang w:val="en-GB"/>
              </w:rPr>
              <w:t>OUT biofilter</w:t>
            </w:r>
          </w:p>
        </w:tc>
        <w:tc>
          <w:tcPr>
            <w:tcW w:w="1667" w:type="pct"/>
            <w:shd w:val="clear" w:color="auto" w:fill="FFFFFF"/>
            <w:vAlign w:val="center"/>
          </w:tcPr>
          <w:p w14:paraId="682403F2" w14:textId="331DD2C4" w:rsidR="00AD5C50" w:rsidRPr="00AF0DE2" w:rsidRDefault="00AD5C50" w:rsidP="00AD5C50">
            <w:pPr>
              <w:pStyle w:val="CETBodytext"/>
              <w:jc w:val="center"/>
              <w:rPr>
                <w:rFonts w:cs="Arial"/>
                <w:color w:val="000000" w:themeColor="text1"/>
                <w:lang w:val="en-GB"/>
              </w:rPr>
            </w:pPr>
            <w:r w:rsidRPr="00AF0DE2">
              <w:rPr>
                <w:rFonts w:cs="Arial"/>
                <w:color w:val="000000" w:themeColor="text1"/>
                <w:lang w:val="en-GB"/>
              </w:rPr>
              <w:t>278</w:t>
            </w:r>
          </w:p>
        </w:tc>
        <w:tc>
          <w:tcPr>
            <w:tcW w:w="1667" w:type="pct"/>
            <w:shd w:val="clear" w:color="auto" w:fill="FFFFFF"/>
            <w:vAlign w:val="center"/>
          </w:tcPr>
          <w:p w14:paraId="48B84DB4" w14:textId="1371619C" w:rsidR="00AD5C50" w:rsidRPr="00AF0DE2" w:rsidRDefault="00AD5C50" w:rsidP="00AD5C50">
            <w:pPr>
              <w:pStyle w:val="CETBodytext"/>
              <w:jc w:val="center"/>
              <w:rPr>
                <w:rFonts w:cs="Arial"/>
                <w:color w:val="000000" w:themeColor="text1"/>
                <w:lang w:val="en-GB"/>
              </w:rPr>
            </w:pPr>
            <w:r w:rsidRPr="00AF0DE2">
              <w:rPr>
                <w:rFonts w:cs="Arial"/>
                <w:color w:val="000000" w:themeColor="text1"/>
                <w:lang w:val="en-GB"/>
              </w:rPr>
              <w:t>268</w:t>
            </w:r>
          </w:p>
        </w:tc>
      </w:tr>
      <w:tr w:rsidR="00AD5C50" w:rsidRPr="00AF0DE2" w14:paraId="7088B54F" w14:textId="77777777" w:rsidTr="00AD5C50">
        <w:tc>
          <w:tcPr>
            <w:tcW w:w="1666" w:type="pct"/>
            <w:shd w:val="clear" w:color="auto" w:fill="FFFFFF"/>
          </w:tcPr>
          <w:p w14:paraId="5C0771EE" w14:textId="08EAF6B7" w:rsidR="00AD5C50" w:rsidRPr="00AF0DE2" w:rsidRDefault="00AD5C50" w:rsidP="00AD5C50">
            <w:pPr>
              <w:pStyle w:val="CETBodytext"/>
              <w:jc w:val="center"/>
              <w:rPr>
                <w:rFonts w:cs="Arial"/>
                <w:color w:val="000000" w:themeColor="text1"/>
                <w:lang w:val="en-GB"/>
              </w:rPr>
            </w:pPr>
            <w:r w:rsidRPr="00AF0DE2">
              <w:rPr>
                <w:rFonts w:cs="Arial"/>
                <w:color w:val="000000" w:themeColor="text1"/>
                <w:lang w:val="en-GB"/>
              </w:rPr>
              <w:t>OUT biofilter – 1:10</w:t>
            </w:r>
          </w:p>
        </w:tc>
        <w:tc>
          <w:tcPr>
            <w:tcW w:w="1667" w:type="pct"/>
            <w:shd w:val="clear" w:color="auto" w:fill="FFFFFF"/>
            <w:vAlign w:val="center"/>
          </w:tcPr>
          <w:p w14:paraId="24AAA72E" w14:textId="5754B990" w:rsidR="00AD5C50" w:rsidRPr="00AF0DE2" w:rsidRDefault="00AD5C50" w:rsidP="00AD5C50">
            <w:pPr>
              <w:pStyle w:val="CETBodytext"/>
              <w:jc w:val="center"/>
              <w:rPr>
                <w:rFonts w:cs="Arial"/>
                <w:color w:val="000000" w:themeColor="text1"/>
                <w:lang w:val="en-GB"/>
              </w:rPr>
            </w:pPr>
            <w:r w:rsidRPr="00AF0DE2">
              <w:rPr>
                <w:rFonts w:cs="Arial"/>
                <w:color w:val="000000" w:themeColor="text1"/>
                <w:lang w:val="en-GB"/>
              </w:rPr>
              <w:t>25</w:t>
            </w:r>
          </w:p>
        </w:tc>
        <w:tc>
          <w:tcPr>
            <w:tcW w:w="1667" w:type="pct"/>
            <w:shd w:val="clear" w:color="auto" w:fill="FFFFFF"/>
            <w:vAlign w:val="center"/>
          </w:tcPr>
          <w:p w14:paraId="41DC62E2" w14:textId="685FAAB8" w:rsidR="00AD5C50" w:rsidRPr="00AF0DE2" w:rsidRDefault="00AD5C50" w:rsidP="00AD5C50">
            <w:pPr>
              <w:pStyle w:val="CETBodytext"/>
              <w:jc w:val="center"/>
              <w:rPr>
                <w:rFonts w:cs="Arial"/>
                <w:color w:val="000000" w:themeColor="text1"/>
                <w:lang w:val="en-GB"/>
              </w:rPr>
            </w:pPr>
            <w:r w:rsidRPr="00AF0DE2">
              <w:rPr>
                <w:rFonts w:cs="Arial"/>
                <w:color w:val="000000" w:themeColor="text1"/>
                <w:lang w:val="en-GB"/>
              </w:rPr>
              <w:t>20</w:t>
            </w:r>
          </w:p>
        </w:tc>
      </w:tr>
      <w:tr w:rsidR="00AD5C50" w:rsidRPr="00AF0DE2" w14:paraId="05FDAB20" w14:textId="77777777" w:rsidTr="00AD5C50">
        <w:tc>
          <w:tcPr>
            <w:tcW w:w="1666" w:type="pct"/>
            <w:shd w:val="clear" w:color="auto" w:fill="FFFFFF"/>
          </w:tcPr>
          <w:p w14:paraId="06F6FDD9" w14:textId="6AEC69B3" w:rsidR="00AD5C50" w:rsidRPr="00AF0DE2" w:rsidRDefault="00AD5C50" w:rsidP="00AD5C50">
            <w:pPr>
              <w:pStyle w:val="CETBodytext"/>
              <w:jc w:val="center"/>
              <w:rPr>
                <w:rFonts w:cs="Arial"/>
                <w:color w:val="000000" w:themeColor="text1"/>
                <w:lang w:val="en-GB"/>
              </w:rPr>
            </w:pPr>
            <w:r w:rsidRPr="00AF0DE2">
              <w:rPr>
                <w:rFonts w:cs="Arial"/>
                <w:color w:val="000000" w:themeColor="text1"/>
                <w:lang w:val="en-GB"/>
              </w:rPr>
              <w:t>OUT biofilter- 1:100</w:t>
            </w:r>
          </w:p>
        </w:tc>
        <w:tc>
          <w:tcPr>
            <w:tcW w:w="1667" w:type="pct"/>
            <w:shd w:val="clear" w:color="auto" w:fill="FFFFFF"/>
            <w:vAlign w:val="center"/>
          </w:tcPr>
          <w:p w14:paraId="4C7515D8" w14:textId="392533C7" w:rsidR="00AD5C50" w:rsidRPr="00AF0DE2" w:rsidRDefault="00AD5C50" w:rsidP="00AD5C50">
            <w:pPr>
              <w:pStyle w:val="CETBodytext"/>
              <w:jc w:val="center"/>
              <w:rPr>
                <w:rFonts w:cs="Arial"/>
                <w:color w:val="000000" w:themeColor="text1"/>
                <w:lang w:val="en-GB"/>
              </w:rPr>
            </w:pPr>
            <w:r w:rsidRPr="00AF0DE2">
              <w:rPr>
                <w:rFonts w:cs="Arial"/>
                <w:color w:val="000000" w:themeColor="text1"/>
                <w:lang w:val="en-GB"/>
              </w:rPr>
              <w:t>3.4</w:t>
            </w:r>
          </w:p>
        </w:tc>
        <w:tc>
          <w:tcPr>
            <w:tcW w:w="1667" w:type="pct"/>
            <w:shd w:val="clear" w:color="auto" w:fill="FFFFFF"/>
            <w:vAlign w:val="center"/>
          </w:tcPr>
          <w:p w14:paraId="42D3D928" w14:textId="63403873" w:rsidR="00AD5C50" w:rsidRPr="00AF0DE2" w:rsidRDefault="00AD5C50" w:rsidP="00AD5C50">
            <w:pPr>
              <w:pStyle w:val="CETBodytext"/>
              <w:jc w:val="center"/>
              <w:rPr>
                <w:rFonts w:cs="Arial"/>
                <w:color w:val="000000" w:themeColor="text1"/>
                <w:lang w:val="en-GB"/>
              </w:rPr>
            </w:pPr>
            <w:r w:rsidRPr="00AF0DE2">
              <w:rPr>
                <w:rFonts w:cs="Arial"/>
                <w:color w:val="000000" w:themeColor="text1"/>
                <w:lang w:val="en-GB"/>
              </w:rPr>
              <w:t>5.3</w:t>
            </w:r>
          </w:p>
        </w:tc>
      </w:tr>
      <w:tr w:rsidR="00AD5C50" w:rsidRPr="00AF0DE2" w14:paraId="4BB72463" w14:textId="77777777" w:rsidTr="00AD5C50">
        <w:tc>
          <w:tcPr>
            <w:tcW w:w="1666" w:type="pct"/>
            <w:shd w:val="clear" w:color="auto" w:fill="FFFFFF"/>
            <w:vAlign w:val="center"/>
          </w:tcPr>
          <w:p w14:paraId="67368FC8" w14:textId="69F4F470" w:rsidR="00AD5C50" w:rsidRPr="00AF0DE2" w:rsidRDefault="00AD5C50" w:rsidP="00AD5C50">
            <w:pPr>
              <w:pStyle w:val="CETBodytext"/>
              <w:jc w:val="center"/>
              <w:rPr>
                <w:rFonts w:cs="Arial"/>
                <w:color w:val="000000" w:themeColor="text1"/>
                <w:lang w:val="en-GB"/>
              </w:rPr>
            </w:pPr>
            <w:r w:rsidRPr="00AF0DE2">
              <w:rPr>
                <w:rFonts w:cs="Arial"/>
                <w:color w:val="000000" w:themeColor="text1"/>
                <w:lang w:val="en-GB"/>
              </w:rPr>
              <w:t>IN biofilter</w:t>
            </w:r>
          </w:p>
        </w:tc>
        <w:tc>
          <w:tcPr>
            <w:tcW w:w="1667" w:type="pct"/>
            <w:shd w:val="clear" w:color="auto" w:fill="FFFFFF"/>
            <w:vAlign w:val="center"/>
          </w:tcPr>
          <w:p w14:paraId="3336E99D" w14:textId="5F98004D" w:rsidR="00AD5C50" w:rsidRPr="00AF0DE2" w:rsidRDefault="00AD5C50" w:rsidP="00AD5C50">
            <w:pPr>
              <w:pStyle w:val="CETBodytext"/>
              <w:jc w:val="center"/>
              <w:rPr>
                <w:rFonts w:cs="Arial"/>
                <w:color w:val="000000" w:themeColor="text1"/>
                <w:lang w:val="en-GB"/>
              </w:rPr>
            </w:pPr>
            <w:r w:rsidRPr="00AF0DE2">
              <w:rPr>
                <w:rFonts w:cs="Arial"/>
                <w:color w:val="000000" w:themeColor="text1"/>
                <w:lang w:val="en-GB"/>
              </w:rPr>
              <w:t>36</w:t>
            </w:r>
          </w:p>
        </w:tc>
        <w:tc>
          <w:tcPr>
            <w:tcW w:w="1667" w:type="pct"/>
            <w:shd w:val="clear" w:color="auto" w:fill="FFFFFF"/>
            <w:vAlign w:val="center"/>
          </w:tcPr>
          <w:p w14:paraId="5CACEC79" w14:textId="65508394" w:rsidR="00AD5C50" w:rsidRPr="00AF0DE2" w:rsidRDefault="00AD5C50" w:rsidP="00AD5C50">
            <w:pPr>
              <w:pStyle w:val="CETBodytext"/>
              <w:jc w:val="center"/>
              <w:rPr>
                <w:rFonts w:cs="Arial"/>
                <w:color w:val="000000" w:themeColor="text1"/>
                <w:lang w:val="en-GB"/>
              </w:rPr>
            </w:pPr>
            <w:r w:rsidRPr="00AF0DE2">
              <w:rPr>
                <w:rFonts w:cs="Arial"/>
                <w:color w:val="000000" w:themeColor="text1"/>
                <w:lang w:val="en-GB"/>
              </w:rPr>
              <w:t>27</w:t>
            </w:r>
          </w:p>
        </w:tc>
      </w:tr>
      <w:tr w:rsidR="00AD5C50" w:rsidRPr="00AF0DE2" w14:paraId="31B41940" w14:textId="77777777" w:rsidTr="00AD5C50">
        <w:tc>
          <w:tcPr>
            <w:tcW w:w="1666" w:type="pct"/>
            <w:shd w:val="clear" w:color="auto" w:fill="FFFFFF"/>
          </w:tcPr>
          <w:p w14:paraId="41CA96C6" w14:textId="33915845" w:rsidR="00AD5C50" w:rsidRPr="00AF0DE2" w:rsidRDefault="00AD5C50" w:rsidP="00AD5C50">
            <w:pPr>
              <w:pStyle w:val="CETBodytext"/>
              <w:jc w:val="center"/>
              <w:rPr>
                <w:rFonts w:cs="Arial"/>
                <w:color w:val="000000" w:themeColor="text1"/>
                <w:lang w:val="en-GB"/>
              </w:rPr>
            </w:pPr>
            <w:r w:rsidRPr="00AF0DE2">
              <w:rPr>
                <w:rFonts w:cs="Arial"/>
                <w:color w:val="000000" w:themeColor="text1"/>
                <w:lang w:val="en-GB"/>
              </w:rPr>
              <w:t>IN biofilter – 1:10</w:t>
            </w:r>
          </w:p>
        </w:tc>
        <w:tc>
          <w:tcPr>
            <w:tcW w:w="1667" w:type="pct"/>
            <w:shd w:val="clear" w:color="auto" w:fill="FFFFFF"/>
            <w:vAlign w:val="center"/>
          </w:tcPr>
          <w:p w14:paraId="1406F8FB" w14:textId="5CD4BD66" w:rsidR="00AD5C50" w:rsidRPr="00AF0DE2" w:rsidRDefault="00AD5C50" w:rsidP="00AD5C50">
            <w:pPr>
              <w:pStyle w:val="CETBodytext"/>
              <w:jc w:val="center"/>
              <w:rPr>
                <w:rFonts w:cs="Arial"/>
                <w:color w:val="000000" w:themeColor="text1"/>
                <w:lang w:val="en-GB"/>
              </w:rPr>
            </w:pPr>
            <w:r w:rsidRPr="00AF0DE2">
              <w:rPr>
                <w:rFonts w:cs="Arial"/>
                <w:color w:val="000000" w:themeColor="text1"/>
                <w:lang w:val="en-GB"/>
              </w:rPr>
              <w:t>3.3</w:t>
            </w:r>
          </w:p>
        </w:tc>
        <w:tc>
          <w:tcPr>
            <w:tcW w:w="1667" w:type="pct"/>
            <w:shd w:val="clear" w:color="auto" w:fill="FFFFFF"/>
            <w:vAlign w:val="center"/>
          </w:tcPr>
          <w:p w14:paraId="6A8A80DC" w14:textId="6872DCD3" w:rsidR="00AD5C50" w:rsidRPr="00AF0DE2" w:rsidRDefault="00AD5C50" w:rsidP="00AD5C50">
            <w:pPr>
              <w:pStyle w:val="CETBodytext"/>
              <w:jc w:val="center"/>
              <w:rPr>
                <w:rFonts w:cs="Arial"/>
                <w:color w:val="000000" w:themeColor="text1"/>
                <w:lang w:val="en-GB"/>
              </w:rPr>
            </w:pPr>
            <w:r w:rsidRPr="00AF0DE2">
              <w:rPr>
                <w:rFonts w:cs="Arial"/>
                <w:color w:val="000000" w:themeColor="text1"/>
                <w:lang w:val="en-GB"/>
              </w:rPr>
              <w:t>5.6</w:t>
            </w:r>
          </w:p>
        </w:tc>
      </w:tr>
      <w:tr w:rsidR="00AD5C50" w:rsidRPr="00AF0DE2" w14:paraId="78B794B6" w14:textId="77777777" w:rsidTr="00AD5C50">
        <w:tc>
          <w:tcPr>
            <w:tcW w:w="1666" w:type="pct"/>
            <w:shd w:val="clear" w:color="auto" w:fill="FFFFFF"/>
          </w:tcPr>
          <w:p w14:paraId="3B60191A" w14:textId="14CA50A0" w:rsidR="00AD5C50" w:rsidRPr="00AF0DE2" w:rsidRDefault="00AD5C50" w:rsidP="00AD5C50">
            <w:pPr>
              <w:pStyle w:val="CETBodytext"/>
              <w:jc w:val="center"/>
              <w:rPr>
                <w:rFonts w:cs="Arial"/>
                <w:color w:val="000000" w:themeColor="text1"/>
                <w:lang w:val="en-GB"/>
              </w:rPr>
            </w:pPr>
            <w:r w:rsidRPr="00AF0DE2">
              <w:rPr>
                <w:rFonts w:cs="Arial"/>
                <w:color w:val="000000" w:themeColor="text1"/>
                <w:lang w:val="en-GB"/>
              </w:rPr>
              <w:t>IN biofilter – 1:100</w:t>
            </w:r>
          </w:p>
        </w:tc>
        <w:tc>
          <w:tcPr>
            <w:tcW w:w="1667" w:type="pct"/>
            <w:shd w:val="clear" w:color="auto" w:fill="FFFFFF"/>
            <w:vAlign w:val="center"/>
          </w:tcPr>
          <w:p w14:paraId="70AFC0F3" w14:textId="198E84A3" w:rsidR="00AD5C50" w:rsidRPr="00AF0DE2" w:rsidRDefault="00AD5C50" w:rsidP="00AD5C50">
            <w:pPr>
              <w:pStyle w:val="CETBodytext"/>
              <w:jc w:val="center"/>
              <w:rPr>
                <w:rFonts w:cs="Arial"/>
                <w:color w:val="000000" w:themeColor="text1"/>
                <w:lang w:val="en-GB"/>
              </w:rPr>
            </w:pPr>
            <w:r w:rsidRPr="00AF0DE2">
              <w:rPr>
                <w:rFonts w:cs="Arial"/>
                <w:color w:val="000000" w:themeColor="text1"/>
                <w:lang w:val="en-GB"/>
              </w:rPr>
              <w:t>0.8</w:t>
            </w:r>
          </w:p>
        </w:tc>
        <w:tc>
          <w:tcPr>
            <w:tcW w:w="1667" w:type="pct"/>
            <w:shd w:val="clear" w:color="auto" w:fill="FFFFFF"/>
            <w:vAlign w:val="center"/>
          </w:tcPr>
          <w:p w14:paraId="218A278F" w14:textId="0B832FF8" w:rsidR="00AD5C50" w:rsidRPr="00AF0DE2" w:rsidRDefault="00AD5C50" w:rsidP="00AD5C50">
            <w:pPr>
              <w:pStyle w:val="CETBodytext"/>
              <w:jc w:val="center"/>
              <w:rPr>
                <w:rFonts w:cs="Arial"/>
                <w:color w:val="000000" w:themeColor="text1"/>
                <w:lang w:val="en-GB"/>
              </w:rPr>
            </w:pPr>
            <w:r w:rsidRPr="00AF0DE2">
              <w:rPr>
                <w:rFonts w:cs="Arial"/>
                <w:color w:val="000000" w:themeColor="text1"/>
                <w:lang w:val="en-GB"/>
              </w:rPr>
              <w:t>5.5</w:t>
            </w:r>
          </w:p>
        </w:tc>
      </w:tr>
      <w:tr w:rsidR="00AD5C50" w:rsidRPr="00AF0DE2" w14:paraId="515DC380" w14:textId="77777777" w:rsidTr="00AD5C50">
        <w:tc>
          <w:tcPr>
            <w:tcW w:w="1666" w:type="pct"/>
            <w:shd w:val="clear" w:color="auto" w:fill="FFFFFF"/>
            <w:vAlign w:val="center"/>
          </w:tcPr>
          <w:p w14:paraId="4BC92D37" w14:textId="45C2E664" w:rsidR="00AD5C50" w:rsidRPr="00AF0DE2" w:rsidRDefault="00AD5C50" w:rsidP="00AD5C50">
            <w:pPr>
              <w:pStyle w:val="CETBodytext"/>
              <w:ind w:right="-1"/>
              <w:jc w:val="center"/>
              <w:rPr>
                <w:rFonts w:cs="Arial"/>
                <w:color w:val="000000" w:themeColor="text1"/>
                <w:szCs w:val="18"/>
                <w:lang w:val="en-GB"/>
              </w:rPr>
            </w:pPr>
            <w:r w:rsidRPr="00AF0DE2">
              <w:rPr>
                <w:rFonts w:cs="Arial"/>
                <w:color w:val="000000" w:themeColor="text1"/>
                <w:lang w:val="en-GB"/>
              </w:rPr>
              <w:t>OUT scrubber</w:t>
            </w:r>
          </w:p>
        </w:tc>
        <w:tc>
          <w:tcPr>
            <w:tcW w:w="1667" w:type="pct"/>
            <w:shd w:val="clear" w:color="auto" w:fill="FFFFFF"/>
            <w:vAlign w:val="center"/>
          </w:tcPr>
          <w:p w14:paraId="7FD86F78" w14:textId="32FCAB28" w:rsidR="00AD5C50" w:rsidRPr="00AF0DE2" w:rsidRDefault="00AD5C50" w:rsidP="00AD5C50">
            <w:pPr>
              <w:pStyle w:val="CETBodytext"/>
              <w:jc w:val="center"/>
              <w:rPr>
                <w:rFonts w:cs="Arial"/>
                <w:color w:val="000000" w:themeColor="text1"/>
                <w:lang w:val="en-GB"/>
              </w:rPr>
            </w:pPr>
            <w:r w:rsidRPr="00AF0DE2">
              <w:rPr>
                <w:rFonts w:cs="Arial"/>
                <w:color w:val="000000" w:themeColor="text1"/>
                <w:lang w:val="en-GB"/>
              </w:rPr>
              <w:t>124</w:t>
            </w:r>
          </w:p>
        </w:tc>
        <w:tc>
          <w:tcPr>
            <w:tcW w:w="1667" w:type="pct"/>
            <w:shd w:val="clear" w:color="auto" w:fill="FFFFFF"/>
            <w:vAlign w:val="center"/>
          </w:tcPr>
          <w:p w14:paraId="2D393C4A" w14:textId="223EECCF" w:rsidR="00AD5C50" w:rsidRPr="00AF0DE2" w:rsidRDefault="00AD5C50" w:rsidP="00AD5C50">
            <w:pPr>
              <w:pStyle w:val="CETBodytext"/>
              <w:jc w:val="center"/>
              <w:rPr>
                <w:rFonts w:cs="Arial"/>
                <w:color w:val="000000" w:themeColor="text1"/>
                <w:lang w:val="en-GB"/>
              </w:rPr>
            </w:pPr>
            <w:r w:rsidRPr="00AF0DE2">
              <w:rPr>
                <w:rFonts w:cs="Arial"/>
                <w:color w:val="000000" w:themeColor="text1"/>
                <w:lang w:val="en-GB"/>
              </w:rPr>
              <w:t>160</w:t>
            </w:r>
          </w:p>
        </w:tc>
      </w:tr>
      <w:tr w:rsidR="00AD5C50" w:rsidRPr="00AF0DE2" w14:paraId="54C56CE7" w14:textId="77777777" w:rsidTr="00AD5C50">
        <w:tc>
          <w:tcPr>
            <w:tcW w:w="1666" w:type="pct"/>
            <w:shd w:val="clear" w:color="auto" w:fill="FFFFFF"/>
          </w:tcPr>
          <w:p w14:paraId="1A2E90C1" w14:textId="2516B2BE" w:rsidR="00AD5C50" w:rsidRPr="00AF0DE2" w:rsidRDefault="00AD5C50" w:rsidP="00AD5C50">
            <w:pPr>
              <w:pStyle w:val="CETBodytext"/>
              <w:ind w:right="-1"/>
              <w:jc w:val="center"/>
              <w:rPr>
                <w:rFonts w:cs="Arial"/>
                <w:color w:val="000000" w:themeColor="text1"/>
                <w:lang w:val="en-GB"/>
              </w:rPr>
            </w:pPr>
            <w:r w:rsidRPr="00AF0DE2">
              <w:rPr>
                <w:rFonts w:cs="Arial"/>
                <w:color w:val="000000" w:themeColor="text1"/>
                <w:lang w:val="en-GB"/>
              </w:rPr>
              <w:t>OUT scrubber – 1:10</w:t>
            </w:r>
          </w:p>
        </w:tc>
        <w:tc>
          <w:tcPr>
            <w:tcW w:w="1667" w:type="pct"/>
            <w:shd w:val="clear" w:color="auto" w:fill="FFFFFF"/>
            <w:vAlign w:val="center"/>
          </w:tcPr>
          <w:p w14:paraId="0773F3CA" w14:textId="630F7B6B" w:rsidR="00AD5C50" w:rsidRPr="00AF0DE2" w:rsidRDefault="00AD5C50" w:rsidP="00AD5C50">
            <w:pPr>
              <w:pStyle w:val="CETBodytext"/>
              <w:jc w:val="center"/>
              <w:rPr>
                <w:rFonts w:cs="Arial"/>
                <w:color w:val="000000" w:themeColor="text1"/>
                <w:lang w:val="en-GB"/>
              </w:rPr>
            </w:pPr>
            <w:r w:rsidRPr="00AF0DE2">
              <w:rPr>
                <w:rFonts w:cs="Arial"/>
                <w:color w:val="000000" w:themeColor="text1"/>
                <w:lang w:val="en-GB"/>
              </w:rPr>
              <w:t>10</w:t>
            </w:r>
          </w:p>
        </w:tc>
        <w:tc>
          <w:tcPr>
            <w:tcW w:w="1667" w:type="pct"/>
            <w:shd w:val="clear" w:color="auto" w:fill="FFFFFF"/>
            <w:vAlign w:val="center"/>
          </w:tcPr>
          <w:p w14:paraId="065C3E4A" w14:textId="63FE96E1" w:rsidR="00AD5C50" w:rsidRPr="00AF0DE2" w:rsidRDefault="00AD5C50" w:rsidP="00AD5C50">
            <w:pPr>
              <w:pStyle w:val="CETBodytext"/>
              <w:jc w:val="center"/>
              <w:rPr>
                <w:rFonts w:cs="Arial"/>
                <w:color w:val="000000" w:themeColor="text1"/>
                <w:lang w:val="en-GB"/>
              </w:rPr>
            </w:pPr>
            <w:r w:rsidRPr="00AF0DE2">
              <w:rPr>
                <w:rFonts w:cs="Arial"/>
                <w:color w:val="000000" w:themeColor="text1"/>
                <w:lang w:val="en-GB"/>
              </w:rPr>
              <w:t>18</w:t>
            </w:r>
          </w:p>
        </w:tc>
      </w:tr>
      <w:tr w:rsidR="00AD5C50" w:rsidRPr="00AF0DE2" w14:paraId="63CE7266" w14:textId="77777777" w:rsidTr="00AD5C50">
        <w:tc>
          <w:tcPr>
            <w:tcW w:w="1666" w:type="pct"/>
            <w:shd w:val="clear" w:color="auto" w:fill="FFFFFF"/>
          </w:tcPr>
          <w:p w14:paraId="3B9D3AD1" w14:textId="230FC008" w:rsidR="00AD5C50" w:rsidRPr="00AF0DE2" w:rsidRDefault="00AD5C50" w:rsidP="00AD5C50">
            <w:pPr>
              <w:pStyle w:val="CETBodytext"/>
              <w:ind w:right="-1"/>
              <w:jc w:val="center"/>
              <w:rPr>
                <w:rFonts w:cs="Arial"/>
                <w:color w:val="000000" w:themeColor="text1"/>
                <w:lang w:val="en-GB"/>
              </w:rPr>
            </w:pPr>
            <w:r w:rsidRPr="00AF0DE2">
              <w:rPr>
                <w:rFonts w:cs="Arial"/>
                <w:color w:val="000000" w:themeColor="text1"/>
                <w:lang w:val="en-GB"/>
              </w:rPr>
              <w:t>OUT scrubber – 1:100</w:t>
            </w:r>
          </w:p>
        </w:tc>
        <w:tc>
          <w:tcPr>
            <w:tcW w:w="1667" w:type="pct"/>
            <w:shd w:val="clear" w:color="auto" w:fill="FFFFFF"/>
            <w:vAlign w:val="center"/>
          </w:tcPr>
          <w:p w14:paraId="19E62CC2" w14:textId="38EF1BDE" w:rsidR="00AD5C50" w:rsidRPr="00AF0DE2" w:rsidRDefault="00AD5C50" w:rsidP="00AD5C50">
            <w:pPr>
              <w:pStyle w:val="CETBodytext"/>
              <w:jc w:val="center"/>
              <w:rPr>
                <w:rFonts w:cs="Arial"/>
                <w:color w:val="000000" w:themeColor="text1"/>
                <w:lang w:val="en-GB"/>
              </w:rPr>
            </w:pPr>
            <w:r w:rsidRPr="00AF0DE2">
              <w:rPr>
                <w:rFonts w:cs="Arial"/>
                <w:color w:val="000000" w:themeColor="text1"/>
                <w:lang w:val="en-GB"/>
              </w:rPr>
              <w:t>2.3</w:t>
            </w:r>
          </w:p>
        </w:tc>
        <w:tc>
          <w:tcPr>
            <w:tcW w:w="1667" w:type="pct"/>
            <w:shd w:val="clear" w:color="auto" w:fill="FFFFFF"/>
            <w:vAlign w:val="center"/>
          </w:tcPr>
          <w:p w14:paraId="2E4FD73C" w14:textId="480CDD3A" w:rsidR="00AD5C50" w:rsidRPr="00AF0DE2" w:rsidRDefault="00AD5C50" w:rsidP="00AD5C50">
            <w:pPr>
              <w:pStyle w:val="CETBodytext"/>
              <w:jc w:val="center"/>
              <w:rPr>
                <w:rFonts w:cs="Arial"/>
                <w:color w:val="000000" w:themeColor="text1"/>
                <w:lang w:val="en-GB"/>
              </w:rPr>
            </w:pPr>
            <w:r w:rsidRPr="00AF0DE2">
              <w:rPr>
                <w:rFonts w:cs="Arial"/>
                <w:color w:val="000000" w:themeColor="text1"/>
                <w:lang w:val="en-GB"/>
              </w:rPr>
              <w:t>6.4</w:t>
            </w:r>
          </w:p>
        </w:tc>
      </w:tr>
    </w:tbl>
    <w:p w14:paraId="7A2EF9F1" w14:textId="77777777" w:rsidR="00BF3A13" w:rsidRPr="00AF0DE2" w:rsidRDefault="00BF3A13" w:rsidP="00391BF6">
      <w:pPr>
        <w:pStyle w:val="CETBodytext"/>
        <w:rPr>
          <w:rFonts w:cs="Arial"/>
          <w:lang w:val="en-GB"/>
        </w:rPr>
      </w:pPr>
    </w:p>
    <w:p w14:paraId="04BE08F3" w14:textId="3B4B9320" w:rsidR="00AD5C50" w:rsidRPr="00AF0DE2" w:rsidRDefault="00AD5C50" w:rsidP="00391BF6">
      <w:pPr>
        <w:pStyle w:val="CETBodytext"/>
        <w:rPr>
          <w:rFonts w:cs="Arial"/>
          <w:lang w:val="en-GB"/>
        </w:rPr>
      </w:pPr>
      <w:r w:rsidRPr="00AF0DE2">
        <w:rPr>
          <w:rFonts w:cs="Arial"/>
          <w:lang w:val="en-GB"/>
        </w:rPr>
        <w:t xml:space="preserve">Discussing the results obtained for real odorous samples, it is possible to observe that the TRS conversion of VOSCs present in complex mixtures in concentrations greater than 10 ppb is effective and comparable with the </w:t>
      </w:r>
      <w:r w:rsidR="00E346BD" w:rsidRPr="00AF0DE2">
        <w:rPr>
          <w:rFonts w:cs="Arial"/>
          <w:lang w:val="en-GB"/>
        </w:rPr>
        <w:t xml:space="preserve">GC-PFPD analysis. Concentration lower than </w:t>
      </w:r>
      <w:r w:rsidR="008176E3" w:rsidRPr="00AF0DE2">
        <w:rPr>
          <w:rFonts w:cs="Arial"/>
          <w:lang w:val="en-GB"/>
        </w:rPr>
        <w:t>5</w:t>
      </w:r>
      <w:r w:rsidR="00E346BD" w:rsidRPr="00AF0DE2">
        <w:rPr>
          <w:rFonts w:cs="Arial"/>
          <w:lang w:val="en-GB"/>
        </w:rPr>
        <w:t xml:space="preserve"> ppb</w:t>
      </w:r>
      <w:r w:rsidR="008176E3" w:rsidRPr="00AF0DE2">
        <w:rPr>
          <w:rFonts w:cs="Arial"/>
          <w:lang w:val="en-GB"/>
        </w:rPr>
        <w:t>, an overestimation of TRS values occurs, probably due to concentrations close to those of LDL.</w:t>
      </w:r>
    </w:p>
    <w:p w14:paraId="5B047EA5" w14:textId="77777777" w:rsidR="00E346BD" w:rsidRPr="00AF0DE2" w:rsidRDefault="00E346BD" w:rsidP="00E346BD">
      <w:pPr>
        <w:pStyle w:val="CETHeading1"/>
        <w:rPr>
          <w:rFonts w:cs="Arial"/>
          <w:lang w:val="en-GB"/>
        </w:rPr>
      </w:pPr>
      <w:r w:rsidRPr="00AF0DE2">
        <w:rPr>
          <w:rFonts w:cs="Arial"/>
          <w:lang w:val="en-GB"/>
        </w:rPr>
        <w:t>Conclusions</w:t>
      </w:r>
    </w:p>
    <w:p w14:paraId="78ABBEC7" w14:textId="38377314" w:rsidR="00487E0C" w:rsidRDefault="00E346BD" w:rsidP="00E346BD">
      <w:pPr>
        <w:pStyle w:val="CETBodytext"/>
        <w:rPr>
          <w:rFonts w:cs="Arial"/>
          <w:lang w:val="en-GB"/>
        </w:rPr>
      </w:pPr>
      <w:r w:rsidRPr="00AF0DE2">
        <w:rPr>
          <w:rFonts w:cs="Arial"/>
          <w:lang w:val="en-GB"/>
        </w:rPr>
        <w:t>The present study investigate</w:t>
      </w:r>
      <w:r w:rsidR="006B1998" w:rsidRPr="00AF0DE2">
        <w:rPr>
          <w:rFonts w:cs="Arial"/>
          <w:lang w:val="en-GB"/>
        </w:rPr>
        <w:t>s</w:t>
      </w:r>
      <w:r w:rsidRPr="00AF0DE2">
        <w:rPr>
          <w:rFonts w:cs="Arial"/>
          <w:lang w:val="en-GB"/>
        </w:rPr>
        <w:t xml:space="preserve"> the applicability of the instrument APSA-370 equipped with internal H</w:t>
      </w:r>
      <w:r w:rsidRPr="00AF0DE2">
        <w:rPr>
          <w:rFonts w:cs="Arial"/>
          <w:vertAlign w:val="subscript"/>
          <w:lang w:val="en-GB"/>
        </w:rPr>
        <w:t>2</w:t>
      </w:r>
      <w:r w:rsidRPr="00AF0DE2">
        <w:rPr>
          <w:rFonts w:cs="Arial"/>
          <w:lang w:val="en-GB"/>
        </w:rPr>
        <w:t xml:space="preserve">S </w:t>
      </w:r>
      <w:r w:rsidR="006A5A81" w:rsidRPr="00AF0DE2">
        <w:rPr>
          <w:rFonts w:cs="Arial"/>
          <w:lang w:val="en-GB"/>
        </w:rPr>
        <w:t>c</w:t>
      </w:r>
      <w:r w:rsidRPr="00AF0DE2">
        <w:rPr>
          <w:rFonts w:cs="Arial"/>
          <w:lang w:val="en-GB"/>
        </w:rPr>
        <w:t xml:space="preserve">onverter and TRS </w:t>
      </w:r>
      <w:r w:rsidR="006A5A81" w:rsidRPr="00AF0DE2">
        <w:rPr>
          <w:rFonts w:cs="Arial"/>
          <w:lang w:val="en-GB"/>
        </w:rPr>
        <w:t>c</w:t>
      </w:r>
      <w:r w:rsidRPr="00AF0DE2">
        <w:rPr>
          <w:rFonts w:cs="Arial"/>
          <w:lang w:val="en-GB"/>
        </w:rPr>
        <w:t xml:space="preserve">onverter </w:t>
      </w:r>
      <w:r w:rsidR="006B1998" w:rsidRPr="00AF0DE2">
        <w:rPr>
          <w:rFonts w:cs="Arial"/>
          <w:lang w:val="en-GB"/>
        </w:rPr>
        <w:t>in</w:t>
      </w:r>
      <w:r w:rsidRPr="00AF0DE2">
        <w:rPr>
          <w:rFonts w:cs="Arial"/>
          <w:lang w:val="en-GB"/>
        </w:rPr>
        <w:t>to</w:t>
      </w:r>
      <w:r w:rsidR="006B1998" w:rsidRPr="00AF0DE2">
        <w:rPr>
          <w:rFonts w:cs="Arial"/>
          <w:lang w:val="en-GB"/>
        </w:rPr>
        <w:t xml:space="preserve"> environmental</w:t>
      </w:r>
      <w:r w:rsidRPr="00AF0DE2">
        <w:rPr>
          <w:rFonts w:cs="Arial"/>
          <w:lang w:val="en-GB"/>
        </w:rPr>
        <w:t xml:space="preserve"> odour context. </w:t>
      </w:r>
    </w:p>
    <w:p w14:paraId="77C6E13D" w14:textId="17736994" w:rsidR="006A5A81" w:rsidRPr="00AF0DE2" w:rsidRDefault="00E346BD" w:rsidP="00E346BD">
      <w:pPr>
        <w:pStyle w:val="CETBodytext"/>
        <w:rPr>
          <w:rFonts w:cs="Arial"/>
        </w:rPr>
      </w:pPr>
      <w:r w:rsidRPr="00AF0DE2">
        <w:rPr>
          <w:rFonts w:cs="Arial"/>
        </w:rPr>
        <w:t>The results obtained in this study demonstrate that the instrument provides reliable performance for SO</w:t>
      </w:r>
      <w:r w:rsidRPr="00AF0DE2">
        <w:rPr>
          <w:rFonts w:cs="Arial"/>
          <w:vertAlign w:val="subscript"/>
        </w:rPr>
        <w:t>2</w:t>
      </w:r>
      <w:r w:rsidRPr="00AF0DE2">
        <w:rPr>
          <w:rFonts w:cs="Arial"/>
        </w:rPr>
        <w:t xml:space="preserve"> monitoring. In particular, the tested concentrations of sulfur-containing and/or aromatic compounds did not produce significant interference, confirming the </w:t>
      </w:r>
      <w:r w:rsidR="00071AE6" w:rsidRPr="00AF0DE2">
        <w:rPr>
          <w:rFonts w:cs="Arial"/>
        </w:rPr>
        <w:t xml:space="preserve">detection </w:t>
      </w:r>
      <w:r w:rsidRPr="00AF0DE2">
        <w:rPr>
          <w:rFonts w:cs="Arial"/>
        </w:rPr>
        <w:t xml:space="preserve">selectivity of the system toward </w:t>
      </w:r>
      <w:r w:rsidR="00487E0C" w:rsidRPr="00AF0DE2">
        <w:rPr>
          <w:rFonts w:cs="Arial"/>
        </w:rPr>
        <w:t>SO</w:t>
      </w:r>
      <w:r w:rsidR="00487E0C" w:rsidRPr="00AF0DE2">
        <w:rPr>
          <w:rFonts w:cs="Arial"/>
          <w:vertAlign w:val="subscript"/>
        </w:rPr>
        <w:t>2</w:t>
      </w:r>
      <w:r w:rsidRPr="00AF0DE2">
        <w:rPr>
          <w:rFonts w:cs="Arial"/>
        </w:rPr>
        <w:t xml:space="preserve"> under the investigated conditions.</w:t>
      </w:r>
      <w:r w:rsidR="00746745" w:rsidRPr="00AF0DE2">
        <w:rPr>
          <w:rFonts w:cs="Arial"/>
        </w:rPr>
        <w:t xml:space="preserve"> </w:t>
      </w:r>
    </w:p>
    <w:p w14:paraId="61E1744D" w14:textId="5964F125" w:rsidR="00487E0C" w:rsidRDefault="00E346BD" w:rsidP="00E346BD">
      <w:pPr>
        <w:pStyle w:val="CETBodytext"/>
        <w:rPr>
          <w:rFonts w:cs="Arial"/>
        </w:rPr>
      </w:pPr>
      <w:r w:rsidRPr="00AF0DE2">
        <w:rPr>
          <w:rFonts w:cs="Arial"/>
        </w:rPr>
        <w:t xml:space="preserve">In contrast, the internal </w:t>
      </w:r>
      <w:r w:rsidR="00487E0C">
        <w:rPr>
          <w:rFonts w:cs="Arial"/>
        </w:rPr>
        <w:t>H</w:t>
      </w:r>
      <w:r w:rsidR="00487E0C">
        <w:rPr>
          <w:rFonts w:cs="Arial"/>
          <w:vertAlign w:val="subscript"/>
        </w:rPr>
        <w:t>2</w:t>
      </w:r>
      <w:r w:rsidR="00487E0C">
        <w:rPr>
          <w:rFonts w:cs="Arial"/>
        </w:rPr>
        <w:t>S</w:t>
      </w:r>
      <w:r w:rsidRPr="00AF0DE2">
        <w:rPr>
          <w:rFonts w:cs="Arial"/>
        </w:rPr>
        <w:t xml:space="preserve"> conversion unit exhibited </w:t>
      </w:r>
      <w:proofErr w:type="gramStart"/>
      <w:r w:rsidR="006B1998" w:rsidRPr="00AF0DE2">
        <w:rPr>
          <w:rFonts w:cs="Arial"/>
        </w:rPr>
        <w:t>not</w:t>
      </w:r>
      <w:proofErr w:type="gramEnd"/>
      <w:r w:rsidR="006B1998" w:rsidRPr="00AF0DE2">
        <w:rPr>
          <w:rFonts w:cs="Arial"/>
        </w:rPr>
        <w:t xml:space="preserve">-ideal </w:t>
      </w:r>
      <w:r w:rsidRPr="00AF0DE2">
        <w:rPr>
          <w:rFonts w:cs="Arial"/>
        </w:rPr>
        <w:t>selectivity</w:t>
      </w:r>
      <w:r w:rsidR="006B1998" w:rsidRPr="00AF0DE2">
        <w:rPr>
          <w:rFonts w:cs="Arial"/>
        </w:rPr>
        <w:t>,</w:t>
      </w:r>
      <w:r w:rsidRPr="00AF0DE2">
        <w:rPr>
          <w:rFonts w:cs="Arial"/>
        </w:rPr>
        <w:t xml:space="preserve"> and</w:t>
      </w:r>
      <w:r w:rsidR="006B1998" w:rsidRPr="00AF0DE2">
        <w:rPr>
          <w:rFonts w:cs="Arial"/>
        </w:rPr>
        <w:t xml:space="preserve"> </w:t>
      </w:r>
      <w:r w:rsidR="00487E0C" w:rsidRPr="00AF0DE2">
        <w:rPr>
          <w:rFonts w:cs="Arial"/>
        </w:rPr>
        <w:t>consequently</w:t>
      </w:r>
      <w:r w:rsidR="006B1998" w:rsidRPr="00AF0DE2">
        <w:rPr>
          <w:rFonts w:cs="Arial"/>
        </w:rPr>
        <w:t>,</w:t>
      </w:r>
      <w:r w:rsidRPr="00AF0DE2">
        <w:rPr>
          <w:rFonts w:cs="Arial"/>
        </w:rPr>
        <w:t xml:space="preserve"> limited reliability. The analytical response was strongly affected by the presence of other sulfur-containing species, even at low concentration levels. </w:t>
      </w:r>
      <w:r w:rsidR="00C71E2B" w:rsidRPr="00AF0DE2">
        <w:rPr>
          <w:rFonts w:cs="Arial"/>
        </w:rPr>
        <w:t xml:space="preserve">Therefore, caution should be exercised when using this analytical approach for the specific monitoring of </w:t>
      </w:r>
      <w:r w:rsidR="00487E0C">
        <w:rPr>
          <w:rFonts w:cs="Arial"/>
        </w:rPr>
        <w:t>H</w:t>
      </w:r>
      <w:r w:rsidR="00487E0C">
        <w:rPr>
          <w:rFonts w:cs="Arial"/>
          <w:vertAlign w:val="subscript"/>
        </w:rPr>
        <w:t>2</w:t>
      </w:r>
      <w:r w:rsidR="00487E0C">
        <w:rPr>
          <w:rFonts w:cs="Arial"/>
        </w:rPr>
        <w:t>S</w:t>
      </w:r>
      <w:r w:rsidR="00C71E2B" w:rsidRPr="00AF0DE2">
        <w:rPr>
          <w:rFonts w:cs="Arial"/>
        </w:rPr>
        <w:t xml:space="preserve">, owing to the potentially substantial interference from other reduced </w:t>
      </w:r>
      <w:proofErr w:type="spellStart"/>
      <w:r w:rsidR="00C71E2B" w:rsidRPr="00AF0DE2">
        <w:rPr>
          <w:rFonts w:cs="Arial"/>
        </w:rPr>
        <w:t>sulphur</w:t>
      </w:r>
      <w:proofErr w:type="spellEnd"/>
      <w:r w:rsidR="00C71E2B" w:rsidRPr="00AF0DE2">
        <w:rPr>
          <w:rFonts w:cs="Arial"/>
        </w:rPr>
        <w:t xml:space="preserve"> compounds.</w:t>
      </w:r>
      <w:r w:rsidR="001606B5" w:rsidRPr="00AF0DE2">
        <w:rPr>
          <w:rFonts w:cs="Arial"/>
        </w:rPr>
        <w:t xml:space="preserve"> </w:t>
      </w:r>
    </w:p>
    <w:p w14:paraId="6CB8430C" w14:textId="51F360BC" w:rsidR="00E346BD" w:rsidRPr="00AF0DE2" w:rsidRDefault="00C71E2B" w:rsidP="00E346BD">
      <w:pPr>
        <w:pStyle w:val="CETBodytext"/>
        <w:rPr>
          <w:rFonts w:cs="Arial"/>
        </w:rPr>
      </w:pPr>
      <w:r w:rsidRPr="00AF0DE2">
        <w:rPr>
          <w:rFonts w:cs="Arial"/>
        </w:rPr>
        <w:t>Moreover</w:t>
      </w:r>
      <w:r w:rsidR="00E346BD" w:rsidRPr="00AF0DE2">
        <w:rPr>
          <w:rFonts w:cs="Arial"/>
        </w:rPr>
        <w:t xml:space="preserve">, the TRS conversion unit showed robust and accurate performance in the oxidation of sulfur compounds over a concentration range of 5-1000 ppb. Consistent results were obtained for both single- and binary-component samples, as well as for real samples characterized by more complex matrices. </w:t>
      </w:r>
      <w:r w:rsidR="00E346BD" w:rsidRPr="00AF0DE2">
        <w:rPr>
          <w:rFonts w:cs="Arial"/>
        </w:rPr>
        <w:br/>
      </w:r>
      <w:r w:rsidR="00DC4761" w:rsidRPr="00AF0DE2">
        <w:rPr>
          <w:rFonts w:cs="Arial"/>
          <w:lang w:val="en-GB"/>
        </w:rPr>
        <w:t xml:space="preserve">These findings support the applicability of the APSA 370 equipped with a TRS unit for the reliable quantification of </w:t>
      </w:r>
      <w:r w:rsidR="003E7B19">
        <w:rPr>
          <w:rFonts w:cs="Arial"/>
          <w:lang w:val="en-GB"/>
        </w:rPr>
        <w:t>T</w:t>
      </w:r>
      <w:r w:rsidR="00DC4761" w:rsidRPr="00AF0DE2">
        <w:rPr>
          <w:rFonts w:cs="Arial"/>
          <w:lang w:val="en-GB"/>
        </w:rPr>
        <w:t xml:space="preserve">otal </w:t>
      </w:r>
      <w:r w:rsidR="003E7B19">
        <w:rPr>
          <w:rFonts w:cs="Arial"/>
          <w:lang w:val="en-GB"/>
        </w:rPr>
        <w:t>R</w:t>
      </w:r>
      <w:r w:rsidR="00DC4761" w:rsidRPr="00AF0DE2">
        <w:rPr>
          <w:rFonts w:cs="Arial"/>
          <w:lang w:val="en-GB"/>
        </w:rPr>
        <w:t xml:space="preserve">educed </w:t>
      </w:r>
      <w:r w:rsidR="003E7B19">
        <w:rPr>
          <w:rFonts w:cs="Arial"/>
          <w:lang w:val="en-GB"/>
        </w:rPr>
        <w:t>S</w:t>
      </w:r>
      <w:r w:rsidR="00DC4761" w:rsidRPr="00AF0DE2">
        <w:rPr>
          <w:rFonts w:cs="Arial"/>
          <w:lang w:val="en-GB"/>
        </w:rPr>
        <w:t>ulphur compounds under diverse analytical conditions and suggest the potential use of this instrument configuration for odour monitoring, given its satisfactory performance in terms of interference control and limits of detection.</w:t>
      </w:r>
    </w:p>
    <w:p w14:paraId="459D05E6" w14:textId="77777777" w:rsidR="00600535" w:rsidRPr="00AF0DE2" w:rsidRDefault="00600535" w:rsidP="00600535">
      <w:pPr>
        <w:pStyle w:val="CETAcknowledgementstitle"/>
        <w:rPr>
          <w:rFonts w:cs="Arial"/>
        </w:rPr>
      </w:pPr>
      <w:r w:rsidRPr="00AF0DE2">
        <w:rPr>
          <w:rFonts w:cs="Arial"/>
        </w:rPr>
        <w:t>Acknowledgments</w:t>
      </w:r>
    </w:p>
    <w:p w14:paraId="7C35EE3A" w14:textId="3BEA769C" w:rsidR="00E7275E" w:rsidRPr="00AF0DE2" w:rsidRDefault="00E7275E" w:rsidP="00600535">
      <w:pPr>
        <w:pStyle w:val="CETReference"/>
        <w:rPr>
          <w:rFonts w:cs="Arial"/>
          <w:b w:val="0"/>
        </w:rPr>
      </w:pPr>
      <w:r w:rsidRPr="00AF0DE2">
        <w:rPr>
          <w:rFonts w:cs="Arial"/>
          <w:b w:val="0"/>
        </w:rPr>
        <w:t xml:space="preserve">The authors gratefully acknowledge STA </w:t>
      </w:r>
      <w:r w:rsidR="008A00C2" w:rsidRPr="00AF0DE2">
        <w:rPr>
          <w:rFonts w:cs="Arial"/>
          <w:b w:val="0"/>
        </w:rPr>
        <w:t xml:space="preserve">S.r.l. </w:t>
      </w:r>
      <w:r w:rsidRPr="00AF0DE2">
        <w:rPr>
          <w:rFonts w:cs="Arial"/>
          <w:b w:val="0"/>
        </w:rPr>
        <w:t xml:space="preserve">for providing access to the instrument used in this study. </w:t>
      </w:r>
    </w:p>
    <w:p w14:paraId="4F06BBCD" w14:textId="77777777" w:rsidR="00EB35D2" w:rsidRPr="00AF0DE2" w:rsidRDefault="00EB35D2" w:rsidP="00600535">
      <w:pPr>
        <w:pStyle w:val="CETReference"/>
        <w:rPr>
          <w:rFonts w:cs="Arial"/>
        </w:rPr>
      </w:pPr>
    </w:p>
    <w:p w14:paraId="4F1327F8" w14:textId="461FDA4E" w:rsidR="00600535" w:rsidRPr="00AF0DE2" w:rsidRDefault="00600535" w:rsidP="00600535">
      <w:pPr>
        <w:pStyle w:val="CETReference"/>
        <w:rPr>
          <w:rFonts w:cs="Arial"/>
        </w:rPr>
      </w:pPr>
      <w:r w:rsidRPr="00AF0DE2">
        <w:rPr>
          <w:rFonts w:cs="Arial"/>
        </w:rPr>
        <w:lastRenderedPageBreak/>
        <w:t>References</w:t>
      </w:r>
    </w:p>
    <w:sdt>
      <w:sdtPr>
        <w:rPr>
          <w:rFonts w:cs="Arial"/>
          <w:bCs/>
        </w:rPr>
        <w:tag w:val="MENDELEY_BIBLIOGRAPHY"/>
        <w:id w:val="1834421327"/>
        <w:placeholder>
          <w:docPart w:val="DefaultPlaceholder_-1854013440"/>
        </w:placeholder>
      </w:sdtPr>
      <w:sdtContent>
        <w:p w14:paraId="5AE289C7" w14:textId="77777777" w:rsidR="00E22496" w:rsidRPr="00AF0DE2" w:rsidRDefault="00E22496" w:rsidP="004B6929">
          <w:pPr>
            <w:pStyle w:val="CETReferencetext"/>
            <w:divId w:val="724570023"/>
            <w:rPr>
              <w:rFonts w:cs="Arial"/>
              <w:szCs w:val="24"/>
            </w:rPr>
          </w:pPr>
          <w:r w:rsidRPr="00AF0DE2">
            <w:rPr>
              <w:rFonts w:cs="Arial"/>
            </w:rPr>
            <w:t xml:space="preserve">Constantin, C., </w:t>
          </w:r>
          <w:proofErr w:type="spellStart"/>
          <w:r w:rsidRPr="00AF0DE2">
            <w:rPr>
              <w:rFonts w:cs="Arial"/>
            </w:rPr>
            <w:t>Modrogan</w:t>
          </w:r>
          <w:proofErr w:type="spellEnd"/>
          <w:r w:rsidRPr="00AF0DE2">
            <w:rPr>
              <w:rFonts w:cs="Arial"/>
            </w:rPr>
            <w:t xml:space="preserve">, C., Dancila, A.M., Gavrila, G.O., Calinescu, S.M., Cirstea, A., Danciulescu, V., Tanase, G., Vasile, G.G., 2025. Dispersion </w:t>
          </w:r>
          <w:proofErr w:type="spellStart"/>
          <w:r w:rsidRPr="00AF0DE2">
            <w:rPr>
              <w:rFonts w:cs="Arial"/>
            </w:rPr>
            <w:t>Modeling</w:t>
          </w:r>
          <w:proofErr w:type="spellEnd"/>
          <w:r w:rsidRPr="00AF0DE2">
            <w:rPr>
              <w:rFonts w:cs="Arial"/>
            </w:rPr>
            <w:t xml:space="preserve"> of Odor Emissions from Area Sources in a Municipal Wastewater Treatment Plant. Atmosphere 2025, Vol. 16, Page 577 16, 577. https://doi.org/10.3390/ATMOS16050577</w:t>
          </w:r>
        </w:p>
        <w:p w14:paraId="3FCC716F" w14:textId="77777777" w:rsidR="00E22496" w:rsidRPr="00AF0DE2" w:rsidRDefault="00E22496" w:rsidP="004B6929">
          <w:pPr>
            <w:pStyle w:val="CETReferencetext"/>
            <w:divId w:val="345064532"/>
            <w:rPr>
              <w:rFonts w:cs="Arial"/>
            </w:rPr>
          </w:pPr>
          <w:r w:rsidRPr="00AF0DE2">
            <w:rPr>
              <w:rFonts w:cs="Arial"/>
            </w:rPr>
            <w:t xml:space="preserve">Czarnota, J., </w:t>
          </w:r>
          <w:proofErr w:type="spellStart"/>
          <w:r w:rsidRPr="00AF0DE2">
            <w:rPr>
              <w:rFonts w:cs="Arial"/>
            </w:rPr>
            <w:t>Masłoń</w:t>
          </w:r>
          <w:proofErr w:type="spellEnd"/>
          <w:r w:rsidRPr="00AF0DE2">
            <w:rPr>
              <w:rFonts w:cs="Arial"/>
            </w:rPr>
            <w:t xml:space="preserve">, A., </w:t>
          </w:r>
          <w:proofErr w:type="spellStart"/>
          <w:r w:rsidRPr="00AF0DE2">
            <w:rPr>
              <w:rFonts w:cs="Arial"/>
            </w:rPr>
            <w:t>Pajura</w:t>
          </w:r>
          <w:proofErr w:type="spellEnd"/>
          <w:r w:rsidRPr="00AF0DE2">
            <w:rPr>
              <w:rFonts w:cs="Arial"/>
            </w:rPr>
            <w:t>, R., 2023. Wastewater Treatment Plants as a Source of Malodorous Substances Hazardous to Health, Including a Case Study from Poland. Int. J. Environ. Res. Public Health 20, 5379. https://doi.org/10.3390/IJERPH20075379</w:t>
          </w:r>
        </w:p>
        <w:p w14:paraId="21287682" w14:textId="77777777" w:rsidR="00E22496" w:rsidRPr="00AF0DE2" w:rsidRDefault="00E22496" w:rsidP="004B6929">
          <w:pPr>
            <w:pStyle w:val="CETReferencetext"/>
            <w:divId w:val="367922345"/>
            <w:rPr>
              <w:rFonts w:cs="Arial"/>
            </w:rPr>
          </w:pPr>
          <w:r w:rsidRPr="00AF0DE2">
            <w:rPr>
              <w:rFonts w:cs="Arial"/>
            </w:rPr>
            <w:t xml:space="preserve">Gostelow, P., Parsons, S.A., </w:t>
          </w:r>
          <w:proofErr w:type="spellStart"/>
          <w:r w:rsidRPr="00AF0DE2">
            <w:rPr>
              <w:rFonts w:cs="Arial"/>
            </w:rPr>
            <w:t>Stuetz</w:t>
          </w:r>
          <w:proofErr w:type="spellEnd"/>
          <w:r w:rsidRPr="00AF0DE2">
            <w:rPr>
              <w:rFonts w:cs="Arial"/>
            </w:rPr>
            <w:t>, R.M., 2001. Odour measurements for sewage treatment works. Water Res. 35, 579–597. https://doi.org/10.1016/S0043-1354(00)00313-4</w:t>
          </w:r>
        </w:p>
        <w:p w14:paraId="28572222" w14:textId="77777777" w:rsidR="00E22496" w:rsidRPr="00AF0DE2" w:rsidRDefault="00E22496" w:rsidP="004B6929">
          <w:pPr>
            <w:pStyle w:val="CETReferencetext"/>
            <w:divId w:val="1347707098"/>
            <w:rPr>
              <w:rFonts w:cs="Arial"/>
            </w:rPr>
          </w:pPr>
          <w:proofErr w:type="spellStart"/>
          <w:r w:rsidRPr="00AF0DE2">
            <w:rPr>
              <w:rFonts w:cs="Arial"/>
            </w:rPr>
            <w:t>Huszal</w:t>
          </w:r>
          <w:proofErr w:type="spellEnd"/>
          <w:r w:rsidRPr="00AF0DE2">
            <w:rPr>
              <w:rFonts w:cs="Arial"/>
            </w:rPr>
            <w:t xml:space="preserve">, </w:t>
          </w:r>
          <w:proofErr w:type="gramStart"/>
          <w:r w:rsidRPr="00AF0DE2">
            <w:rPr>
              <w:rFonts w:cs="Arial"/>
            </w:rPr>
            <w:t>A ;</w:t>
          </w:r>
          <w:proofErr w:type="gramEnd"/>
          <w:r w:rsidRPr="00AF0DE2">
            <w:rPr>
              <w:rFonts w:cs="Arial"/>
            </w:rPr>
            <w:t xml:space="preserve">, Jaworski, J, </w:t>
          </w:r>
          <w:proofErr w:type="spellStart"/>
          <w:r w:rsidRPr="00AF0DE2">
            <w:rPr>
              <w:rFonts w:cs="Arial"/>
            </w:rPr>
            <w:t>Huszal</w:t>
          </w:r>
          <w:proofErr w:type="spellEnd"/>
          <w:r w:rsidRPr="00AF0DE2">
            <w:rPr>
              <w:rFonts w:cs="Arial"/>
            </w:rPr>
            <w:t>, Anna, Jaworski, Jacek, 2021. Studies on the Impact of Hydrogen on the Results of THT Measurement Devices. Energies 2022, Vol. 15, Page 221 15, 221. https://doi.org/10.3390/EN15010221</w:t>
          </w:r>
        </w:p>
        <w:p w14:paraId="31C54214" w14:textId="77777777" w:rsidR="00E22496" w:rsidRPr="00AF0DE2" w:rsidRDefault="00E22496" w:rsidP="004B6929">
          <w:pPr>
            <w:pStyle w:val="CETReferencetext"/>
            <w:divId w:val="479270124"/>
            <w:rPr>
              <w:rFonts w:cs="Arial"/>
            </w:rPr>
          </w:pPr>
          <w:r w:rsidRPr="00AF0DE2">
            <w:rPr>
              <w:rFonts w:cs="Arial"/>
            </w:rPr>
            <w:t>Khan, M.A.H., Rao, M. V., Li, Q., 2019. Recent Advances in Electrochemical Sensors for Detecting Toxic Gases: NO2, SO2 and H2S. Sensors 2019, Vol. 19, Page 905 19, 905. https://doi.org/10.3390/S19040905</w:t>
          </w:r>
        </w:p>
        <w:p w14:paraId="7784B6EE" w14:textId="77777777" w:rsidR="00E22496" w:rsidRPr="00AF0DE2" w:rsidRDefault="00E22496" w:rsidP="004B6929">
          <w:pPr>
            <w:pStyle w:val="CETReferencetext"/>
            <w:divId w:val="1148322735"/>
            <w:rPr>
              <w:rFonts w:cs="Arial"/>
              <w:lang w:val="it-IT"/>
            </w:rPr>
          </w:pPr>
          <w:r w:rsidRPr="00AF0DE2">
            <w:rPr>
              <w:rFonts w:cs="Arial"/>
            </w:rPr>
            <w:t xml:space="preserve">Ma, L., Zhao, R., Li, J., Yang, Q., Liu, Y., 2024. Release characteristics and risk assessment of volatile </w:t>
          </w:r>
          <w:proofErr w:type="spellStart"/>
          <w:r w:rsidRPr="00AF0DE2">
            <w:rPr>
              <w:rFonts w:cs="Arial"/>
            </w:rPr>
            <w:t>sulfur</w:t>
          </w:r>
          <w:proofErr w:type="spellEnd"/>
          <w:r w:rsidRPr="00AF0DE2">
            <w:rPr>
              <w:rFonts w:cs="Arial"/>
            </w:rPr>
            <w:t xml:space="preserve"> compounds in a municipal wastewater treatment plant with </w:t>
          </w:r>
          <w:proofErr w:type="spellStart"/>
          <w:r w:rsidRPr="00AF0DE2">
            <w:rPr>
              <w:rFonts w:cs="Arial"/>
            </w:rPr>
            <w:t>odor</w:t>
          </w:r>
          <w:proofErr w:type="spellEnd"/>
          <w:r w:rsidRPr="00AF0DE2">
            <w:rPr>
              <w:rFonts w:cs="Arial"/>
            </w:rPr>
            <w:t xml:space="preserve"> collection device. </w:t>
          </w:r>
          <w:r w:rsidRPr="00AF0DE2">
            <w:rPr>
              <w:rFonts w:cs="Arial"/>
              <w:lang w:val="it-IT"/>
            </w:rPr>
            <w:t xml:space="preserve">J. </w:t>
          </w:r>
          <w:proofErr w:type="spellStart"/>
          <w:r w:rsidRPr="00AF0DE2">
            <w:rPr>
              <w:rFonts w:cs="Arial"/>
              <w:lang w:val="it-IT"/>
            </w:rPr>
            <w:t>Environ</w:t>
          </w:r>
          <w:proofErr w:type="spellEnd"/>
          <w:r w:rsidRPr="00AF0DE2">
            <w:rPr>
              <w:rFonts w:cs="Arial"/>
              <w:lang w:val="it-IT"/>
            </w:rPr>
            <w:t xml:space="preserve">. </w:t>
          </w:r>
          <w:proofErr w:type="spellStart"/>
          <w:r w:rsidRPr="00AF0DE2">
            <w:rPr>
              <w:rFonts w:cs="Arial"/>
              <w:lang w:val="it-IT"/>
            </w:rPr>
            <w:t>Manage</w:t>
          </w:r>
          <w:proofErr w:type="spellEnd"/>
          <w:r w:rsidRPr="00AF0DE2">
            <w:rPr>
              <w:rFonts w:cs="Arial"/>
              <w:lang w:val="it-IT"/>
            </w:rPr>
            <w:t>. 354, 120321. https://doi.org/10.1016/J.JENVMAN.2024.120321</w:t>
          </w:r>
        </w:p>
        <w:p w14:paraId="396AB51C" w14:textId="77777777" w:rsidR="00E22496" w:rsidRPr="00AF0DE2" w:rsidRDefault="00E22496" w:rsidP="004B6929">
          <w:pPr>
            <w:pStyle w:val="CETReferencetext"/>
            <w:divId w:val="1711146796"/>
            <w:rPr>
              <w:rFonts w:cs="Arial"/>
            </w:rPr>
          </w:pPr>
          <w:r w:rsidRPr="00AF0DE2">
            <w:rPr>
              <w:rFonts w:cs="Arial"/>
              <w:lang w:val="it-IT"/>
            </w:rPr>
            <w:t xml:space="preserve">Massimi, N., Polvara, E., Invernizzi, M., Sironi, S., 2024. </w:t>
          </w:r>
          <w:r w:rsidRPr="00AF0DE2">
            <w:rPr>
              <w:rFonts w:cs="Arial"/>
            </w:rPr>
            <w:t>VOSCs Analysis through TD-GC-MS/FID/PFPD: Tools to Enhance Detectivity and Selectivity in Real Samples. https://doi.org/10.3303/CET24112016</w:t>
          </w:r>
        </w:p>
        <w:p w14:paraId="4DB2B555" w14:textId="77777777" w:rsidR="00E22496" w:rsidRPr="00AF0DE2" w:rsidRDefault="00E22496" w:rsidP="004B6929">
          <w:pPr>
            <w:pStyle w:val="CETReferencetext"/>
            <w:divId w:val="182017703"/>
            <w:rPr>
              <w:rFonts w:cs="Arial"/>
            </w:rPr>
          </w:pPr>
          <w:r w:rsidRPr="00AF0DE2">
            <w:rPr>
              <w:rFonts w:cs="Arial"/>
              <w:lang w:val="it-IT"/>
            </w:rPr>
            <w:t xml:space="preserve">Oliva, G., Cangialosi, F., Grimaldi, M., Fasolino, I., </w:t>
          </w:r>
          <w:proofErr w:type="spellStart"/>
          <w:r w:rsidRPr="00AF0DE2">
            <w:rPr>
              <w:rFonts w:cs="Arial"/>
              <w:lang w:val="it-IT"/>
            </w:rPr>
            <w:t>Belgiorno</w:t>
          </w:r>
          <w:proofErr w:type="spellEnd"/>
          <w:r w:rsidRPr="00AF0DE2">
            <w:rPr>
              <w:rFonts w:cs="Arial"/>
              <w:lang w:val="it-IT"/>
            </w:rPr>
            <w:t xml:space="preserve">, V., Naddeo, V., Zarra, T., 2024. </w:t>
          </w:r>
          <w:r w:rsidRPr="00AF0DE2">
            <w:rPr>
              <w:rFonts w:cs="Arial"/>
            </w:rPr>
            <w:t>Urban odour annoyance management: An advanced embedded system for real-time monitoring enhanced by citizen science. Case Studies in Chemical and Environmental Engineering 9, 100712. https://doi.org/10.1016/J.CSCEE.2024.100712</w:t>
          </w:r>
        </w:p>
        <w:p w14:paraId="5BE366A1" w14:textId="77777777" w:rsidR="00E22496" w:rsidRPr="00AF0DE2" w:rsidRDefault="00E22496" w:rsidP="004B6929">
          <w:pPr>
            <w:pStyle w:val="CETReferencetext"/>
            <w:divId w:val="1688480389"/>
            <w:rPr>
              <w:rFonts w:cs="Arial"/>
            </w:rPr>
          </w:pPr>
          <w:r w:rsidRPr="00AF0DE2">
            <w:rPr>
              <w:rFonts w:cs="Arial"/>
            </w:rPr>
            <w:t xml:space="preserve">Pandey, S.K., Kim, K.H., 2009. A review of methods for the determination of reduced </w:t>
          </w:r>
          <w:proofErr w:type="spellStart"/>
          <w:r w:rsidRPr="00AF0DE2">
            <w:rPr>
              <w:rFonts w:cs="Arial"/>
            </w:rPr>
            <w:t>sulfur</w:t>
          </w:r>
          <w:proofErr w:type="spellEnd"/>
          <w:r w:rsidRPr="00AF0DE2">
            <w:rPr>
              <w:rFonts w:cs="Arial"/>
            </w:rPr>
            <w:t xml:space="preserve"> compounds (RSCS) in air. Environ. Sci. Technol. 43, 3020–3029. https://doi.org/10.1021/ES803272F/SUPPL_FILE/ES803272F_SI_001.PDF</w:t>
          </w:r>
        </w:p>
        <w:p w14:paraId="3DE505C8" w14:textId="77777777" w:rsidR="00E22496" w:rsidRPr="00AF0DE2" w:rsidRDefault="00E22496" w:rsidP="004B6929">
          <w:pPr>
            <w:pStyle w:val="CETReferencetext"/>
            <w:divId w:val="1205020798"/>
            <w:rPr>
              <w:rFonts w:cs="Arial"/>
            </w:rPr>
          </w:pPr>
          <w:r w:rsidRPr="00AF0DE2">
            <w:rPr>
              <w:rFonts w:cs="Arial"/>
            </w:rPr>
            <w:t xml:space="preserve">Pandey, S.K., Kim, K.H., Tang, K.T., 2012. A review of sensor-based methods for monitoring hydrogen </w:t>
          </w:r>
          <w:proofErr w:type="spellStart"/>
          <w:r w:rsidRPr="00AF0DE2">
            <w:rPr>
              <w:rFonts w:cs="Arial"/>
            </w:rPr>
            <w:t>sulfide</w:t>
          </w:r>
          <w:proofErr w:type="spellEnd"/>
          <w:r w:rsidRPr="00AF0DE2">
            <w:rPr>
              <w:rFonts w:cs="Arial"/>
            </w:rPr>
            <w:t xml:space="preserve">. </w:t>
          </w:r>
          <w:proofErr w:type="spellStart"/>
          <w:r w:rsidRPr="00AF0DE2">
            <w:rPr>
              <w:rFonts w:cs="Arial"/>
            </w:rPr>
            <w:t>TrAC</w:t>
          </w:r>
          <w:proofErr w:type="spellEnd"/>
          <w:r w:rsidRPr="00AF0DE2">
            <w:rPr>
              <w:rFonts w:cs="Arial"/>
            </w:rPr>
            <w:t xml:space="preserve"> Trends in Analytical Chemistry 32, 87–99. https://doi.org/10.1016/J.TRAC.2011.08.008</w:t>
          </w:r>
        </w:p>
        <w:p w14:paraId="161B9496" w14:textId="77777777" w:rsidR="00E22496" w:rsidRPr="00AF0DE2" w:rsidRDefault="00E22496" w:rsidP="004B6929">
          <w:pPr>
            <w:pStyle w:val="CETReferencetext"/>
            <w:divId w:val="150828719"/>
            <w:rPr>
              <w:rFonts w:cs="Arial"/>
            </w:rPr>
          </w:pPr>
          <w:r w:rsidRPr="00AF0DE2">
            <w:rPr>
              <w:rFonts w:cs="Arial"/>
              <w:lang w:val="it-IT"/>
            </w:rPr>
            <w:t xml:space="preserve">Polvara, E., Invernizzi, M., Sironi, S., 2024. </w:t>
          </w:r>
          <w:r w:rsidRPr="00AF0DE2">
            <w:rPr>
              <w:rFonts w:cs="Arial"/>
            </w:rPr>
            <w:t>Characterization of the odorous fluxes. Advances in Chemical Engineering 63, 17–57. https://doi.org/10.1016/BS.ACHE.2024.08.001</w:t>
          </w:r>
        </w:p>
        <w:p w14:paraId="3B200A8C" w14:textId="77777777" w:rsidR="00E22496" w:rsidRPr="00AF0DE2" w:rsidRDefault="00E22496" w:rsidP="004B6929">
          <w:pPr>
            <w:pStyle w:val="CETReferencetext"/>
            <w:divId w:val="1835488939"/>
            <w:rPr>
              <w:rFonts w:cs="Arial"/>
            </w:rPr>
          </w:pPr>
          <w:r w:rsidRPr="00AF0DE2">
            <w:rPr>
              <w:rFonts w:cs="Arial"/>
            </w:rPr>
            <w:t xml:space="preserve">Traven, L., </w:t>
          </w:r>
          <w:proofErr w:type="spellStart"/>
          <w:r w:rsidRPr="00AF0DE2">
            <w:rPr>
              <w:rFonts w:cs="Arial"/>
            </w:rPr>
            <w:t>Linšak</w:t>
          </w:r>
          <w:proofErr w:type="spellEnd"/>
          <w:r w:rsidRPr="00AF0DE2">
            <w:rPr>
              <w:rFonts w:cs="Arial"/>
            </w:rPr>
            <w:t xml:space="preserve">, Ž., </w:t>
          </w:r>
          <w:proofErr w:type="spellStart"/>
          <w:r w:rsidRPr="00AF0DE2">
            <w:rPr>
              <w:rFonts w:cs="Arial"/>
            </w:rPr>
            <w:t>Crvelin</w:t>
          </w:r>
          <w:proofErr w:type="spellEnd"/>
          <w:r w:rsidRPr="00AF0DE2">
            <w:rPr>
              <w:rFonts w:cs="Arial"/>
            </w:rPr>
            <w:t>, G., 2024. Mitigating landfill gas emissions: the effectiveness of HDPE covers in reducing atmospheric concentrations of H</w:t>
          </w:r>
          <w:r w:rsidRPr="00AF0DE2">
            <w:rPr>
              <w:rFonts w:ascii="Cambria Math" w:hAnsi="Cambria Math" w:cs="Cambria Math"/>
            </w:rPr>
            <w:t>₂</w:t>
          </w:r>
          <w:r w:rsidRPr="00AF0DE2">
            <w:rPr>
              <w:rFonts w:cs="Arial"/>
            </w:rPr>
            <w:t>S, NH</w:t>
          </w:r>
          <w:r w:rsidRPr="00AF0DE2">
            <w:rPr>
              <w:rFonts w:ascii="Cambria Math" w:hAnsi="Cambria Math" w:cs="Cambria Math"/>
            </w:rPr>
            <w:t>₃</w:t>
          </w:r>
          <w:r w:rsidRPr="00AF0DE2">
            <w:rPr>
              <w:rFonts w:cs="Arial"/>
            </w:rPr>
            <w:t>, and PM</w:t>
          </w:r>
          <w:r w:rsidRPr="00AF0DE2">
            <w:rPr>
              <w:rFonts w:ascii="Cambria Math" w:hAnsi="Cambria Math" w:cs="Cambria Math"/>
            </w:rPr>
            <w:t>₁₀</w:t>
          </w:r>
          <w:r w:rsidRPr="00AF0DE2">
            <w:rPr>
              <w:rFonts w:cs="Arial"/>
            </w:rPr>
            <w:t xml:space="preserve">. Arh </w:t>
          </w:r>
          <w:proofErr w:type="spellStart"/>
          <w:r w:rsidRPr="00AF0DE2">
            <w:rPr>
              <w:rFonts w:cs="Arial"/>
            </w:rPr>
            <w:t>Hig</w:t>
          </w:r>
          <w:proofErr w:type="spellEnd"/>
          <w:r w:rsidRPr="00AF0DE2">
            <w:rPr>
              <w:rFonts w:cs="Arial"/>
            </w:rPr>
            <w:t xml:space="preserve"> Rada </w:t>
          </w:r>
          <w:proofErr w:type="spellStart"/>
          <w:r w:rsidRPr="00AF0DE2">
            <w:rPr>
              <w:rFonts w:cs="Arial"/>
            </w:rPr>
            <w:t>Toksikol</w:t>
          </w:r>
          <w:proofErr w:type="spellEnd"/>
          <w:r w:rsidRPr="00AF0DE2">
            <w:rPr>
              <w:rFonts w:cs="Arial"/>
            </w:rPr>
            <w:t xml:space="preserve"> 75, 259–269. https://doi.org/10.2478/aiht-2024-75-3912</w:t>
          </w:r>
        </w:p>
        <w:p w14:paraId="19C4FC68" w14:textId="57415E58" w:rsidR="004628D2" w:rsidRPr="00AF0DE2" w:rsidRDefault="00E22496" w:rsidP="004B6929">
          <w:pPr>
            <w:pStyle w:val="CETReferencetext"/>
            <w:rPr>
              <w:rFonts w:cs="Arial"/>
            </w:rPr>
          </w:pPr>
          <w:r w:rsidRPr="00AF0DE2">
            <w:rPr>
              <w:rFonts w:cs="Arial"/>
            </w:rPr>
            <w:t> </w:t>
          </w:r>
        </w:p>
      </w:sdtContent>
    </w:sdt>
    <w:sectPr w:rsidR="004628D2" w:rsidRPr="00AF0DE2" w:rsidSect="004B6929">
      <w:type w:val="continuous"/>
      <w:pgSz w:w="11906" w:h="16838" w:code="9"/>
      <w:pgMar w:top="1701" w:right="1418" w:bottom="1701" w:left="1701" w:header="1701" w:footer="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F84B6" w14:textId="77777777" w:rsidR="00A17159" w:rsidRDefault="00A17159" w:rsidP="004F5E36">
      <w:r>
        <w:separator/>
      </w:r>
    </w:p>
  </w:endnote>
  <w:endnote w:type="continuationSeparator" w:id="0">
    <w:p w14:paraId="3AA32707" w14:textId="77777777" w:rsidR="00A17159" w:rsidRDefault="00A17159" w:rsidP="004F5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A368B" w14:textId="77777777" w:rsidR="00A17159" w:rsidRDefault="00A17159" w:rsidP="004F5E36">
      <w:r>
        <w:separator/>
      </w:r>
    </w:p>
  </w:footnote>
  <w:footnote w:type="continuationSeparator" w:id="0">
    <w:p w14:paraId="205A9110" w14:textId="77777777" w:rsidR="00A17159" w:rsidRDefault="00A17159" w:rsidP="004F5E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58AF15E"/>
    <w:lvl w:ilvl="0">
      <w:start w:val="1"/>
      <w:numFmt w:val="decimal"/>
      <w:pStyle w:val="Numeroelenco5"/>
      <w:lvlText w:val="%1."/>
      <w:lvlJc w:val="left"/>
      <w:pPr>
        <w:tabs>
          <w:tab w:val="num" w:pos="1492"/>
        </w:tabs>
        <w:ind w:left="1492" w:hanging="360"/>
      </w:pPr>
    </w:lvl>
  </w:abstractNum>
  <w:abstractNum w:abstractNumId="1" w15:restartNumberingAfterBreak="0">
    <w:nsid w:val="FFFFFF7D"/>
    <w:multiLevelType w:val="singleLevel"/>
    <w:tmpl w:val="65EC884E"/>
    <w:lvl w:ilvl="0">
      <w:start w:val="1"/>
      <w:numFmt w:val="decimal"/>
      <w:pStyle w:val="Numeroelenco4"/>
      <w:lvlText w:val="%1."/>
      <w:lvlJc w:val="left"/>
      <w:pPr>
        <w:tabs>
          <w:tab w:val="num" w:pos="1209"/>
        </w:tabs>
        <w:ind w:left="1209" w:hanging="360"/>
      </w:pPr>
    </w:lvl>
  </w:abstractNum>
  <w:abstractNum w:abstractNumId="2" w15:restartNumberingAfterBreak="0">
    <w:nsid w:val="FFFFFF7E"/>
    <w:multiLevelType w:val="singleLevel"/>
    <w:tmpl w:val="408CBE96"/>
    <w:lvl w:ilvl="0">
      <w:start w:val="1"/>
      <w:numFmt w:val="decimal"/>
      <w:pStyle w:val="Numeroelenco3"/>
      <w:lvlText w:val="%1."/>
      <w:lvlJc w:val="left"/>
      <w:pPr>
        <w:tabs>
          <w:tab w:val="num" w:pos="926"/>
        </w:tabs>
        <w:ind w:left="926" w:hanging="360"/>
      </w:pPr>
    </w:lvl>
  </w:abstractNum>
  <w:abstractNum w:abstractNumId="3" w15:restartNumberingAfterBreak="0">
    <w:nsid w:val="FFFFFF7F"/>
    <w:multiLevelType w:val="singleLevel"/>
    <w:tmpl w:val="CFC0B388"/>
    <w:lvl w:ilvl="0">
      <w:start w:val="1"/>
      <w:numFmt w:val="decimal"/>
      <w:pStyle w:val="Numeroelenco2"/>
      <w:lvlText w:val="%1."/>
      <w:lvlJc w:val="left"/>
      <w:pPr>
        <w:tabs>
          <w:tab w:val="num" w:pos="643"/>
        </w:tabs>
        <w:ind w:left="643" w:hanging="360"/>
      </w:pPr>
    </w:lvl>
  </w:abstractNum>
  <w:abstractNum w:abstractNumId="4" w15:restartNumberingAfterBreak="0">
    <w:nsid w:val="FFFFFF80"/>
    <w:multiLevelType w:val="singleLevel"/>
    <w:tmpl w:val="CA34EB48"/>
    <w:lvl w:ilvl="0">
      <w:start w:val="1"/>
      <w:numFmt w:val="bullet"/>
      <w:pStyle w:val="Puntoelenc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85C6BD6"/>
    <w:lvl w:ilvl="0">
      <w:start w:val="1"/>
      <w:numFmt w:val="bullet"/>
      <w:pStyle w:val="Puntoelenc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87A9968"/>
    <w:lvl w:ilvl="0">
      <w:start w:val="1"/>
      <w:numFmt w:val="bullet"/>
      <w:pStyle w:val="Puntoelenc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D27934"/>
    <w:lvl w:ilvl="0">
      <w:start w:val="1"/>
      <w:numFmt w:val="bullet"/>
      <w:pStyle w:val="Puntoelenc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5F4206A"/>
    <w:lvl w:ilvl="0">
      <w:start w:val="1"/>
      <w:numFmt w:val="decimal"/>
      <w:pStyle w:val="Numeroelenco"/>
      <w:lvlText w:val="%1."/>
      <w:lvlJc w:val="left"/>
      <w:pPr>
        <w:tabs>
          <w:tab w:val="num" w:pos="360"/>
        </w:tabs>
        <w:ind w:left="360" w:hanging="360"/>
      </w:pPr>
    </w:lvl>
  </w:abstractNum>
  <w:abstractNum w:abstractNumId="9" w15:restartNumberingAfterBreak="0">
    <w:nsid w:val="FFFFFF89"/>
    <w:multiLevelType w:val="singleLevel"/>
    <w:tmpl w:val="206ACE1A"/>
    <w:lvl w:ilvl="0">
      <w:start w:val="1"/>
      <w:numFmt w:val="bullet"/>
      <w:pStyle w:val="Puntoelenco"/>
      <w:lvlText w:val=""/>
      <w:lvlJc w:val="left"/>
      <w:pPr>
        <w:tabs>
          <w:tab w:val="num" w:pos="360"/>
        </w:tabs>
        <w:ind w:left="360" w:hanging="360"/>
      </w:pPr>
      <w:rPr>
        <w:rFonts w:ascii="Symbol" w:hAnsi="Symbol" w:hint="default"/>
      </w:rPr>
    </w:lvl>
  </w:abstractNum>
  <w:abstractNum w:abstractNumId="10" w15:restartNumberingAfterBreak="0">
    <w:nsid w:val="2133588C"/>
    <w:multiLevelType w:val="hybridMultilevel"/>
    <w:tmpl w:val="8102ACEC"/>
    <w:lvl w:ilvl="0" w:tplc="80F498EE">
      <w:start w:val="1"/>
      <w:numFmt w:val="decimal"/>
      <w:lvlText w:val="%1."/>
      <w:lvlJc w:val="left"/>
      <w:pPr>
        <w:tabs>
          <w:tab w:val="num" w:pos="720"/>
        </w:tabs>
        <w:ind w:left="720" w:hanging="360"/>
      </w:pPr>
    </w:lvl>
    <w:lvl w:ilvl="1" w:tplc="7E6C6302" w:tentative="1">
      <w:start w:val="1"/>
      <w:numFmt w:val="decimal"/>
      <w:lvlText w:val="%2."/>
      <w:lvlJc w:val="left"/>
      <w:pPr>
        <w:tabs>
          <w:tab w:val="num" w:pos="1440"/>
        </w:tabs>
        <w:ind w:left="1440" w:hanging="360"/>
      </w:pPr>
    </w:lvl>
    <w:lvl w:ilvl="2" w:tplc="B9C43266" w:tentative="1">
      <w:start w:val="1"/>
      <w:numFmt w:val="decimal"/>
      <w:lvlText w:val="%3."/>
      <w:lvlJc w:val="left"/>
      <w:pPr>
        <w:tabs>
          <w:tab w:val="num" w:pos="2160"/>
        </w:tabs>
        <w:ind w:left="2160" w:hanging="360"/>
      </w:pPr>
    </w:lvl>
    <w:lvl w:ilvl="3" w:tplc="CDA2431A" w:tentative="1">
      <w:start w:val="1"/>
      <w:numFmt w:val="decimal"/>
      <w:lvlText w:val="%4."/>
      <w:lvlJc w:val="left"/>
      <w:pPr>
        <w:tabs>
          <w:tab w:val="num" w:pos="2880"/>
        </w:tabs>
        <w:ind w:left="2880" w:hanging="360"/>
      </w:pPr>
    </w:lvl>
    <w:lvl w:ilvl="4" w:tplc="A8A436BA" w:tentative="1">
      <w:start w:val="1"/>
      <w:numFmt w:val="decimal"/>
      <w:lvlText w:val="%5."/>
      <w:lvlJc w:val="left"/>
      <w:pPr>
        <w:tabs>
          <w:tab w:val="num" w:pos="3600"/>
        </w:tabs>
        <w:ind w:left="3600" w:hanging="360"/>
      </w:pPr>
    </w:lvl>
    <w:lvl w:ilvl="5" w:tplc="F0E6310C" w:tentative="1">
      <w:start w:val="1"/>
      <w:numFmt w:val="decimal"/>
      <w:lvlText w:val="%6."/>
      <w:lvlJc w:val="left"/>
      <w:pPr>
        <w:tabs>
          <w:tab w:val="num" w:pos="4320"/>
        </w:tabs>
        <w:ind w:left="4320" w:hanging="360"/>
      </w:pPr>
    </w:lvl>
    <w:lvl w:ilvl="6" w:tplc="24BCC6A6" w:tentative="1">
      <w:start w:val="1"/>
      <w:numFmt w:val="decimal"/>
      <w:lvlText w:val="%7."/>
      <w:lvlJc w:val="left"/>
      <w:pPr>
        <w:tabs>
          <w:tab w:val="num" w:pos="5040"/>
        </w:tabs>
        <w:ind w:left="5040" w:hanging="360"/>
      </w:pPr>
    </w:lvl>
    <w:lvl w:ilvl="7" w:tplc="56649474" w:tentative="1">
      <w:start w:val="1"/>
      <w:numFmt w:val="decimal"/>
      <w:lvlText w:val="%8."/>
      <w:lvlJc w:val="left"/>
      <w:pPr>
        <w:tabs>
          <w:tab w:val="num" w:pos="5760"/>
        </w:tabs>
        <w:ind w:left="5760" w:hanging="360"/>
      </w:pPr>
    </w:lvl>
    <w:lvl w:ilvl="8" w:tplc="CC0ED734" w:tentative="1">
      <w:start w:val="1"/>
      <w:numFmt w:val="decimal"/>
      <w:lvlText w:val="%9."/>
      <w:lvlJc w:val="left"/>
      <w:pPr>
        <w:tabs>
          <w:tab w:val="num" w:pos="6480"/>
        </w:tabs>
        <w:ind w:left="6480" w:hanging="360"/>
      </w:pPr>
    </w:lvl>
  </w:abstractNum>
  <w:abstractNum w:abstractNumId="11" w15:restartNumberingAfterBreak="0">
    <w:nsid w:val="2438217E"/>
    <w:multiLevelType w:val="multilevel"/>
    <w:tmpl w:val="EF8C6C6E"/>
    <w:lvl w:ilvl="0">
      <w:start w:val="1"/>
      <w:numFmt w:val="decimal"/>
      <w:suff w:val="space"/>
      <w:lvlText w:val="Chapter %1"/>
      <w:lvlJc w:val="left"/>
      <w:pPr>
        <w:ind w:left="0" w:firstLine="0"/>
      </w:pPr>
      <w:rPr>
        <w:rFonts w:hint="default"/>
      </w:rPr>
    </w:lvl>
    <w:lvl w:ilvl="1">
      <w:start w:val="1"/>
      <w:numFmt w:val="decimal"/>
      <w:pStyle w:val="CETHeading1"/>
      <w:suff w:val="space"/>
      <w:lvlText w:val="%2."/>
      <w:lvlJc w:val="left"/>
      <w:pPr>
        <w:ind w:left="0" w:firstLine="0"/>
      </w:pPr>
      <w:rPr>
        <w:rFonts w:hint="default"/>
      </w:rPr>
    </w:lvl>
    <w:lvl w:ilvl="2">
      <w:start w:val="1"/>
      <w:numFmt w:val="decimal"/>
      <w:pStyle w:val="CETheadingx"/>
      <w:suff w:val="space"/>
      <w:lvlText w:val="%2.%3"/>
      <w:lvlJc w:val="left"/>
      <w:pPr>
        <w:ind w:left="0" w:firstLine="0"/>
      </w:pPr>
      <w:rPr>
        <w:rFonts w:hint="default"/>
      </w:rPr>
    </w:lvl>
    <w:lvl w:ilvl="3">
      <w:start w:val="1"/>
      <w:numFmt w:val="decimal"/>
      <w:pStyle w:val="Tabellasemplice1"/>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12" w15:restartNumberingAfterBreak="0">
    <w:nsid w:val="330B7370"/>
    <w:multiLevelType w:val="hybridMultilevel"/>
    <w:tmpl w:val="12E2AD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351E0394"/>
    <w:multiLevelType w:val="hybridMultilevel"/>
    <w:tmpl w:val="806658E2"/>
    <w:lvl w:ilvl="0" w:tplc="14B0F7A8">
      <w:start w:val="1"/>
      <w:numFmt w:val="bullet"/>
      <w:pStyle w:val="CETnumberingbullets"/>
      <w:lvlText w:val=""/>
      <w:lvlJc w:val="left"/>
      <w:pPr>
        <w:ind w:left="340" w:hanging="227"/>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9C329B9"/>
    <w:multiLevelType w:val="hybridMultilevel"/>
    <w:tmpl w:val="A2E6C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B100E8"/>
    <w:multiLevelType w:val="hybridMultilevel"/>
    <w:tmpl w:val="6F34C070"/>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50A87BA7"/>
    <w:multiLevelType w:val="hybridMultilevel"/>
    <w:tmpl w:val="1F6A8AD4"/>
    <w:lvl w:ilvl="0" w:tplc="14B0F7A8">
      <w:start w:val="1"/>
      <w:numFmt w:val="bullet"/>
      <w:lvlText w:val=""/>
      <w:lvlJc w:val="left"/>
      <w:pPr>
        <w:ind w:left="340" w:hanging="227"/>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2217387"/>
    <w:multiLevelType w:val="hybridMultilevel"/>
    <w:tmpl w:val="C2AE185A"/>
    <w:lvl w:ilvl="0" w:tplc="14090011">
      <w:start w:val="1"/>
      <w:numFmt w:val="decimal"/>
      <w:lvlText w:val="%1)"/>
      <w:lvlJc w:val="left"/>
      <w:pPr>
        <w:ind w:left="340" w:hanging="227"/>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6205803"/>
    <w:multiLevelType w:val="multilevel"/>
    <w:tmpl w:val="444C89D0"/>
    <w:lvl w:ilvl="0">
      <w:start w:val="1"/>
      <w:numFmt w:val="decimal"/>
      <w:suff w:val="space"/>
      <w:lvlText w:val="Chapter %1"/>
      <w:lvlJc w:val="left"/>
      <w:pPr>
        <w:ind w:left="0" w:firstLine="0"/>
      </w:pPr>
      <w:rPr>
        <w:rFonts w:hint="default"/>
      </w:rPr>
    </w:lvl>
    <w:lvl w:ilvl="1">
      <w:start w:val="1"/>
      <w:numFmt w:val="decimal"/>
      <w:suff w:val="space"/>
      <w:lvlText w:val="%2."/>
      <w:lvlJc w:val="left"/>
      <w:pPr>
        <w:ind w:left="0" w:firstLine="0"/>
      </w:pPr>
      <w:rPr>
        <w:rFonts w:hint="default"/>
      </w:rPr>
    </w:lvl>
    <w:lvl w:ilvl="2">
      <w:start w:val="1"/>
      <w:numFmt w:val="decimal"/>
      <w:suff w:val="space"/>
      <w:lvlText w:val="%2.%3."/>
      <w:lvlJc w:val="left"/>
      <w:pPr>
        <w:ind w:left="0" w:firstLine="0"/>
      </w:pPr>
      <w:rPr>
        <w:rFonts w:hint="default"/>
      </w:rPr>
    </w:lvl>
    <w:lvl w:ilvl="3">
      <w:start w:val="1"/>
      <w:numFmt w:val="decimal"/>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19" w15:restartNumberingAfterBreak="0">
    <w:nsid w:val="5AD311D0"/>
    <w:multiLevelType w:val="hybridMultilevel"/>
    <w:tmpl w:val="F198FF08"/>
    <w:lvl w:ilvl="0" w:tplc="62EA088C">
      <w:start w:val="1"/>
      <w:numFmt w:val="decimal"/>
      <w:pStyle w:val="CETnumbering1"/>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6400237B"/>
    <w:multiLevelType w:val="hybridMultilevel"/>
    <w:tmpl w:val="BE1A6E70"/>
    <w:lvl w:ilvl="0" w:tplc="592A2B6E">
      <w:start w:val="1"/>
      <w:numFmt w:val="bullet"/>
      <w:lvlText w:val="•"/>
      <w:lvlJc w:val="left"/>
      <w:pPr>
        <w:tabs>
          <w:tab w:val="num" w:pos="720"/>
        </w:tabs>
        <w:ind w:left="720" w:hanging="360"/>
      </w:pPr>
      <w:rPr>
        <w:rFonts w:ascii="Arial" w:hAnsi="Arial" w:hint="default"/>
      </w:rPr>
    </w:lvl>
    <w:lvl w:ilvl="1" w:tplc="898C2DE6" w:tentative="1">
      <w:start w:val="1"/>
      <w:numFmt w:val="bullet"/>
      <w:lvlText w:val="•"/>
      <w:lvlJc w:val="left"/>
      <w:pPr>
        <w:tabs>
          <w:tab w:val="num" w:pos="1440"/>
        </w:tabs>
        <w:ind w:left="1440" w:hanging="360"/>
      </w:pPr>
      <w:rPr>
        <w:rFonts w:ascii="Arial" w:hAnsi="Arial" w:hint="default"/>
      </w:rPr>
    </w:lvl>
    <w:lvl w:ilvl="2" w:tplc="42C02688" w:tentative="1">
      <w:start w:val="1"/>
      <w:numFmt w:val="bullet"/>
      <w:lvlText w:val="•"/>
      <w:lvlJc w:val="left"/>
      <w:pPr>
        <w:tabs>
          <w:tab w:val="num" w:pos="2160"/>
        </w:tabs>
        <w:ind w:left="2160" w:hanging="360"/>
      </w:pPr>
      <w:rPr>
        <w:rFonts w:ascii="Arial" w:hAnsi="Arial" w:hint="default"/>
      </w:rPr>
    </w:lvl>
    <w:lvl w:ilvl="3" w:tplc="7B829558" w:tentative="1">
      <w:start w:val="1"/>
      <w:numFmt w:val="bullet"/>
      <w:lvlText w:val="•"/>
      <w:lvlJc w:val="left"/>
      <w:pPr>
        <w:tabs>
          <w:tab w:val="num" w:pos="2880"/>
        </w:tabs>
        <w:ind w:left="2880" w:hanging="360"/>
      </w:pPr>
      <w:rPr>
        <w:rFonts w:ascii="Arial" w:hAnsi="Arial" w:hint="default"/>
      </w:rPr>
    </w:lvl>
    <w:lvl w:ilvl="4" w:tplc="CB867A74" w:tentative="1">
      <w:start w:val="1"/>
      <w:numFmt w:val="bullet"/>
      <w:lvlText w:val="•"/>
      <w:lvlJc w:val="left"/>
      <w:pPr>
        <w:tabs>
          <w:tab w:val="num" w:pos="3600"/>
        </w:tabs>
        <w:ind w:left="3600" w:hanging="360"/>
      </w:pPr>
      <w:rPr>
        <w:rFonts w:ascii="Arial" w:hAnsi="Arial" w:hint="default"/>
      </w:rPr>
    </w:lvl>
    <w:lvl w:ilvl="5" w:tplc="13142716" w:tentative="1">
      <w:start w:val="1"/>
      <w:numFmt w:val="bullet"/>
      <w:lvlText w:val="•"/>
      <w:lvlJc w:val="left"/>
      <w:pPr>
        <w:tabs>
          <w:tab w:val="num" w:pos="4320"/>
        </w:tabs>
        <w:ind w:left="4320" w:hanging="360"/>
      </w:pPr>
      <w:rPr>
        <w:rFonts w:ascii="Arial" w:hAnsi="Arial" w:hint="default"/>
      </w:rPr>
    </w:lvl>
    <w:lvl w:ilvl="6" w:tplc="F7702342" w:tentative="1">
      <w:start w:val="1"/>
      <w:numFmt w:val="bullet"/>
      <w:lvlText w:val="•"/>
      <w:lvlJc w:val="left"/>
      <w:pPr>
        <w:tabs>
          <w:tab w:val="num" w:pos="5040"/>
        </w:tabs>
        <w:ind w:left="5040" w:hanging="360"/>
      </w:pPr>
      <w:rPr>
        <w:rFonts w:ascii="Arial" w:hAnsi="Arial" w:hint="default"/>
      </w:rPr>
    </w:lvl>
    <w:lvl w:ilvl="7" w:tplc="0DFA909A" w:tentative="1">
      <w:start w:val="1"/>
      <w:numFmt w:val="bullet"/>
      <w:lvlText w:val="•"/>
      <w:lvlJc w:val="left"/>
      <w:pPr>
        <w:tabs>
          <w:tab w:val="num" w:pos="5760"/>
        </w:tabs>
        <w:ind w:left="5760" w:hanging="360"/>
      </w:pPr>
      <w:rPr>
        <w:rFonts w:ascii="Arial" w:hAnsi="Arial" w:hint="default"/>
      </w:rPr>
    </w:lvl>
    <w:lvl w:ilvl="8" w:tplc="FB687C2A"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662015B5"/>
    <w:multiLevelType w:val="hybridMultilevel"/>
    <w:tmpl w:val="CCDE094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6865266D"/>
    <w:multiLevelType w:val="hybridMultilevel"/>
    <w:tmpl w:val="F5BE3C4A"/>
    <w:lvl w:ilvl="0" w:tplc="9FC4D28C">
      <w:start w:val="1"/>
      <w:numFmt w:val="lowerLetter"/>
      <w:pStyle w:val="CETnumberinga"/>
      <w:lvlText w:val="%1."/>
      <w:lvlJc w:val="left"/>
      <w:pPr>
        <w:ind w:left="340" w:hanging="227"/>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6F5E3D31"/>
    <w:multiLevelType w:val="hybridMultilevel"/>
    <w:tmpl w:val="735AE338"/>
    <w:lvl w:ilvl="0" w:tplc="99002014">
      <w:start w:val="1"/>
      <w:numFmt w:val="decimal"/>
      <w:lvlText w:val="%1."/>
      <w:lvlJc w:val="left"/>
      <w:pPr>
        <w:tabs>
          <w:tab w:val="num" w:pos="720"/>
        </w:tabs>
        <w:ind w:left="720" w:hanging="360"/>
      </w:pPr>
    </w:lvl>
    <w:lvl w:ilvl="1" w:tplc="E53A801E" w:tentative="1">
      <w:start w:val="1"/>
      <w:numFmt w:val="decimal"/>
      <w:lvlText w:val="%2."/>
      <w:lvlJc w:val="left"/>
      <w:pPr>
        <w:tabs>
          <w:tab w:val="num" w:pos="1440"/>
        </w:tabs>
        <w:ind w:left="1440" w:hanging="360"/>
      </w:pPr>
    </w:lvl>
    <w:lvl w:ilvl="2" w:tplc="786EA84E" w:tentative="1">
      <w:start w:val="1"/>
      <w:numFmt w:val="decimal"/>
      <w:lvlText w:val="%3."/>
      <w:lvlJc w:val="left"/>
      <w:pPr>
        <w:tabs>
          <w:tab w:val="num" w:pos="2160"/>
        </w:tabs>
        <w:ind w:left="2160" w:hanging="360"/>
      </w:pPr>
    </w:lvl>
    <w:lvl w:ilvl="3" w:tplc="5BECF6B6" w:tentative="1">
      <w:start w:val="1"/>
      <w:numFmt w:val="decimal"/>
      <w:lvlText w:val="%4."/>
      <w:lvlJc w:val="left"/>
      <w:pPr>
        <w:tabs>
          <w:tab w:val="num" w:pos="2880"/>
        </w:tabs>
        <w:ind w:left="2880" w:hanging="360"/>
      </w:pPr>
    </w:lvl>
    <w:lvl w:ilvl="4" w:tplc="43E86A48" w:tentative="1">
      <w:start w:val="1"/>
      <w:numFmt w:val="decimal"/>
      <w:lvlText w:val="%5."/>
      <w:lvlJc w:val="left"/>
      <w:pPr>
        <w:tabs>
          <w:tab w:val="num" w:pos="3600"/>
        </w:tabs>
        <w:ind w:left="3600" w:hanging="360"/>
      </w:pPr>
    </w:lvl>
    <w:lvl w:ilvl="5" w:tplc="E516311A" w:tentative="1">
      <w:start w:val="1"/>
      <w:numFmt w:val="decimal"/>
      <w:lvlText w:val="%6."/>
      <w:lvlJc w:val="left"/>
      <w:pPr>
        <w:tabs>
          <w:tab w:val="num" w:pos="4320"/>
        </w:tabs>
        <w:ind w:left="4320" w:hanging="360"/>
      </w:pPr>
    </w:lvl>
    <w:lvl w:ilvl="6" w:tplc="13B20836" w:tentative="1">
      <w:start w:val="1"/>
      <w:numFmt w:val="decimal"/>
      <w:lvlText w:val="%7."/>
      <w:lvlJc w:val="left"/>
      <w:pPr>
        <w:tabs>
          <w:tab w:val="num" w:pos="5040"/>
        </w:tabs>
        <w:ind w:left="5040" w:hanging="360"/>
      </w:pPr>
    </w:lvl>
    <w:lvl w:ilvl="7" w:tplc="72024CCC" w:tentative="1">
      <w:start w:val="1"/>
      <w:numFmt w:val="decimal"/>
      <w:lvlText w:val="%8."/>
      <w:lvlJc w:val="left"/>
      <w:pPr>
        <w:tabs>
          <w:tab w:val="num" w:pos="5760"/>
        </w:tabs>
        <w:ind w:left="5760" w:hanging="360"/>
      </w:pPr>
    </w:lvl>
    <w:lvl w:ilvl="8" w:tplc="ACF01A78" w:tentative="1">
      <w:start w:val="1"/>
      <w:numFmt w:val="decimal"/>
      <w:lvlText w:val="%9."/>
      <w:lvlJc w:val="left"/>
      <w:pPr>
        <w:tabs>
          <w:tab w:val="num" w:pos="6480"/>
        </w:tabs>
        <w:ind w:left="6480" w:hanging="360"/>
      </w:pPr>
    </w:lvl>
  </w:abstractNum>
  <w:abstractNum w:abstractNumId="24" w15:restartNumberingAfterBreak="0">
    <w:nsid w:val="75C43DDD"/>
    <w:multiLevelType w:val="hybridMultilevel"/>
    <w:tmpl w:val="0CB490E8"/>
    <w:lvl w:ilvl="0" w:tplc="9C04F170">
      <w:start w:val="1"/>
      <w:numFmt w:val="bullet"/>
      <w:lvlText w:val="•"/>
      <w:lvlJc w:val="left"/>
      <w:pPr>
        <w:tabs>
          <w:tab w:val="num" w:pos="720"/>
        </w:tabs>
        <w:ind w:left="720" w:hanging="360"/>
      </w:pPr>
      <w:rPr>
        <w:rFonts w:ascii="Arial" w:hAnsi="Arial" w:hint="default"/>
      </w:rPr>
    </w:lvl>
    <w:lvl w:ilvl="1" w:tplc="DB42EEA4" w:tentative="1">
      <w:start w:val="1"/>
      <w:numFmt w:val="bullet"/>
      <w:lvlText w:val="•"/>
      <w:lvlJc w:val="left"/>
      <w:pPr>
        <w:tabs>
          <w:tab w:val="num" w:pos="1440"/>
        </w:tabs>
        <w:ind w:left="1440" w:hanging="360"/>
      </w:pPr>
      <w:rPr>
        <w:rFonts w:ascii="Arial" w:hAnsi="Arial" w:hint="default"/>
      </w:rPr>
    </w:lvl>
    <w:lvl w:ilvl="2" w:tplc="8A649B04" w:tentative="1">
      <w:start w:val="1"/>
      <w:numFmt w:val="bullet"/>
      <w:lvlText w:val="•"/>
      <w:lvlJc w:val="left"/>
      <w:pPr>
        <w:tabs>
          <w:tab w:val="num" w:pos="2160"/>
        </w:tabs>
        <w:ind w:left="2160" w:hanging="360"/>
      </w:pPr>
      <w:rPr>
        <w:rFonts w:ascii="Arial" w:hAnsi="Arial" w:hint="default"/>
      </w:rPr>
    </w:lvl>
    <w:lvl w:ilvl="3" w:tplc="71900794" w:tentative="1">
      <w:start w:val="1"/>
      <w:numFmt w:val="bullet"/>
      <w:lvlText w:val="•"/>
      <w:lvlJc w:val="left"/>
      <w:pPr>
        <w:tabs>
          <w:tab w:val="num" w:pos="2880"/>
        </w:tabs>
        <w:ind w:left="2880" w:hanging="360"/>
      </w:pPr>
      <w:rPr>
        <w:rFonts w:ascii="Arial" w:hAnsi="Arial" w:hint="default"/>
      </w:rPr>
    </w:lvl>
    <w:lvl w:ilvl="4" w:tplc="24E2590A" w:tentative="1">
      <w:start w:val="1"/>
      <w:numFmt w:val="bullet"/>
      <w:lvlText w:val="•"/>
      <w:lvlJc w:val="left"/>
      <w:pPr>
        <w:tabs>
          <w:tab w:val="num" w:pos="3600"/>
        </w:tabs>
        <w:ind w:left="3600" w:hanging="360"/>
      </w:pPr>
      <w:rPr>
        <w:rFonts w:ascii="Arial" w:hAnsi="Arial" w:hint="default"/>
      </w:rPr>
    </w:lvl>
    <w:lvl w:ilvl="5" w:tplc="395870CE" w:tentative="1">
      <w:start w:val="1"/>
      <w:numFmt w:val="bullet"/>
      <w:lvlText w:val="•"/>
      <w:lvlJc w:val="left"/>
      <w:pPr>
        <w:tabs>
          <w:tab w:val="num" w:pos="4320"/>
        </w:tabs>
        <w:ind w:left="4320" w:hanging="360"/>
      </w:pPr>
      <w:rPr>
        <w:rFonts w:ascii="Arial" w:hAnsi="Arial" w:hint="default"/>
      </w:rPr>
    </w:lvl>
    <w:lvl w:ilvl="6" w:tplc="00180540" w:tentative="1">
      <w:start w:val="1"/>
      <w:numFmt w:val="bullet"/>
      <w:lvlText w:val="•"/>
      <w:lvlJc w:val="left"/>
      <w:pPr>
        <w:tabs>
          <w:tab w:val="num" w:pos="5040"/>
        </w:tabs>
        <w:ind w:left="5040" w:hanging="360"/>
      </w:pPr>
      <w:rPr>
        <w:rFonts w:ascii="Arial" w:hAnsi="Arial" w:hint="default"/>
      </w:rPr>
    </w:lvl>
    <w:lvl w:ilvl="7" w:tplc="B3962122" w:tentative="1">
      <w:start w:val="1"/>
      <w:numFmt w:val="bullet"/>
      <w:lvlText w:val="•"/>
      <w:lvlJc w:val="left"/>
      <w:pPr>
        <w:tabs>
          <w:tab w:val="num" w:pos="5760"/>
        </w:tabs>
        <w:ind w:left="5760" w:hanging="360"/>
      </w:pPr>
      <w:rPr>
        <w:rFonts w:ascii="Arial" w:hAnsi="Arial" w:hint="default"/>
      </w:rPr>
    </w:lvl>
    <w:lvl w:ilvl="8" w:tplc="91645560" w:tentative="1">
      <w:start w:val="1"/>
      <w:numFmt w:val="bullet"/>
      <w:lvlText w:val="•"/>
      <w:lvlJc w:val="left"/>
      <w:pPr>
        <w:tabs>
          <w:tab w:val="num" w:pos="6480"/>
        </w:tabs>
        <w:ind w:left="6480" w:hanging="360"/>
      </w:pPr>
      <w:rPr>
        <w:rFonts w:ascii="Arial" w:hAnsi="Arial" w:hint="default"/>
      </w:rPr>
    </w:lvl>
  </w:abstractNum>
  <w:num w:numId="1" w16cid:durableId="1316882765">
    <w:abstractNumId w:val="11"/>
  </w:num>
  <w:num w:numId="2" w16cid:durableId="1954094313">
    <w:abstractNumId w:val="8"/>
  </w:num>
  <w:num w:numId="3" w16cid:durableId="2001083081">
    <w:abstractNumId w:val="3"/>
  </w:num>
  <w:num w:numId="4" w16cid:durableId="665287687">
    <w:abstractNumId w:val="2"/>
  </w:num>
  <w:num w:numId="5" w16cid:durableId="1763211618">
    <w:abstractNumId w:val="1"/>
  </w:num>
  <w:num w:numId="6" w16cid:durableId="733351894">
    <w:abstractNumId w:val="0"/>
  </w:num>
  <w:num w:numId="7" w16cid:durableId="1265187038">
    <w:abstractNumId w:val="9"/>
  </w:num>
  <w:num w:numId="8" w16cid:durableId="458382672">
    <w:abstractNumId w:val="7"/>
  </w:num>
  <w:num w:numId="9" w16cid:durableId="652636510">
    <w:abstractNumId w:val="6"/>
  </w:num>
  <w:num w:numId="10" w16cid:durableId="1972591888">
    <w:abstractNumId w:val="5"/>
  </w:num>
  <w:num w:numId="11" w16cid:durableId="1179278139">
    <w:abstractNumId w:val="4"/>
  </w:num>
  <w:num w:numId="12" w16cid:durableId="1575509198">
    <w:abstractNumId w:val="18"/>
  </w:num>
  <w:num w:numId="13" w16cid:durableId="695733619">
    <w:abstractNumId w:val="13"/>
  </w:num>
  <w:num w:numId="14" w16cid:durableId="145903400">
    <w:abstractNumId w:val="19"/>
  </w:num>
  <w:num w:numId="15" w16cid:durableId="19162326">
    <w:abstractNumId w:val="22"/>
  </w:num>
  <w:num w:numId="16" w16cid:durableId="1977102699">
    <w:abstractNumId w:val="21"/>
  </w:num>
  <w:num w:numId="17" w16cid:durableId="860774865">
    <w:abstractNumId w:val="12"/>
  </w:num>
  <w:num w:numId="18" w16cid:durableId="313221457">
    <w:abstractNumId w:val="13"/>
    <w:lvlOverride w:ilvl="0">
      <w:startOverride w:val="1"/>
    </w:lvlOverride>
  </w:num>
  <w:num w:numId="19" w16cid:durableId="534971577">
    <w:abstractNumId w:val="17"/>
  </w:num>
  <w:num w:numId="20" w16cid:durableId="1150947773">
    <w:abstractNumId w:val="16"/>
  </w:num>
  <w:num w:numId="21" w16cid:durableId="124660497">
    <w:abstractNumId w:val="15"/>
  </w:num>
  <w:num w:numId="22" w16cid:durableId="2099861471">
    <w:abstractNumId w:val="14"/>
  </w:num>
  <w:num w:numId="23" w16cid:durableId="2050059833">
    <w:abstractNumId w:val="11"/>
  </w:num>
  <w:num w:numId="24" w16cid:durableId="1569880980">
    <w:abstractNumId w:val="24"/>
  </w:num>
  <w:num w:numId="25" w16cid:durableId="1711882017">
    <w:abstractNumId w:val="23"/>
  </w:num>
  <w:num w:numId="26" w16cid:durableId="1733387006">
    <w:abstractNumId w:val="20"/>
  </w:num>
  <w:num w:numId="27" w16cid:durableId="1353193090">
    <w:abstractNumId w:val="10"/>
  </w:num>
  <w:num w:numId="28" w16cid:durableId="1186212595">
    <w:abstractNumId w:val="11"/>
  </w:num>
  <w:num w:numId="29" w16cid:durableId="9576385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trackRevisions/>
  <w:documentProtection w:edit="forms" w:enforcement="0"/>
  <w:autoFormatOverride/>
  <w:styleLockTheme/>
  <w:styleLockQFSet/>
  <w:defaultTabStop w:val="708"/>
  <w:hyphenationZone w:val="283"/>
  <w:clickAndTypeStyle w:val="CETBodytext"/>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I0NzezsDA3M7MwMTJW0lEKTi0uzszPAymwrAUAugS3IywAAAA="/>
  </w:docVars>
  <w:rsids>
    <w:rsidRoot w:val="000E414A"/>
    <w:rsid w:val="000027C0"/>
    <w:rsid w:val="000052FB"/>
    <w:rsid w:val="00005884"/>
    <w:rsid w:val="00005A19"/>
    <w:rsid w:val="000117CB"/>
    <w:rsid w:val="0003148D"/>
    <w:rsid w:val="00031EEC"/>
    <w:rsid w:val="0003792D"/>
    <w:rsid w:val="00042D78"/>
    <w:rsid w:val="00051566"/>
    <w:rsid w:val="0005165A"/>
    <w:rsid w:val="000562A9"/>
    <w:rsid w:val="00061B6E"/>
    <w:rsid w:val="00062A9A"/>
    <w:rsid w:val="00065058"/>
    <w:rsid w:val="00071AE6"/>
    <w:rsid w:val="00086C39"/>
    <w:rsid w:val="00093D15"/>
    <w:rsid w:val="000A03B2"/>
    <w:rsid w:val="000C0C71"/>
    <w:rsid w:val="000C4872"/>
    <w:rsid w:val="000D0268"/>
    <w:rsid w:val="000D18C4"/>
    <w:rsid w:val="000D34BE"/>
    <w:rsid w:val="000D35FA"/>
    <w:rsid w:val="000E102F"/>
    <w:rsid w:val="000E36F1"/>
    <w:rsid w:val="000E3A73"/>
    <w:rsid w:val="000E414A"/>
    <w:rsid w:val="000E7080"/>
    <w:rsid w:val="000E75FD"/>
    <w:rsid w:val="000F093C"/>
    <w:rsid w:val="000F3E8F"/>
    <w:rsid w:val="000F787B"/>
    <w:rsid w:val="001027B0"/>
    <w:rsid w:val="0010564F"/>
    <w:rsid w:val="0012091F"/>
    <w:rsid w:val="00124AAD"/>
    <w:rsid w:val="00126BC2"/>
    <w:rsid w:val="001308B6"/>
    <w:rsid w:val="0013121F"/>
    <w:rsid w:val="00131FE6"/>
    <w:rsid w:val="0013263F"/>
    <w:rsid w:val="00132A7E"/>
    <w:rsid w:val="001331DF"/>
    <w:rsid w:val="00134DE4"/>
    <w:rsid w:val="0014034D"/>
    <w:rsid w:val="00140FE3"/>
    <w:rsid w:val="00144D16"/>
    <w:rsid w:val="00150E59"/>
    <w:rsid w:val="0015216D"/>
    <w:rsid w:val="00152DE3"/>
    <w:rsid w:val="001606B5"/>
    <w:rsid w:val="00164CF9"/>
    <w:rsid w:val="001667A6"/>
    <w:rsid w:val="00171496"/>
    <w:rsid w:val="00184AD6"/>
    <w:rsid w:val="001A0154"/>
    <w:rsid w:val="001A4AF7"/>
    <w:rsid w:val="001B0349"/>
    <w:rsid w:val="001B1E93"/>
    <w:rsid w:val="001B65C1"/>
    <w:rsid w:val="001C260F"/>
    <w:rsid w:val="001C33F1"/>
    <w:rsid w:val="001C684B"/>
    <w:rsid w:val="001D0CFB"/>
    <w:rsid w:val="001D21AF"/>
    <w:rsid w:val="001D53FC"/>
    <w:rsid w:val="001F42A5"/>
    <w:rsid w:val="001F7B9D"/>
    <w:rsid w:val="00200971"/>
    <w:rsid w:val="00201C93"/>
    <w:rsid w:val="0021613E"/>
    <w:rsid w:val="002224B4"/>
    <w:rsid w:val="002447EF"/>
    <w:rsid w:val="00247DCE"/>
    <w:rsid w:val="00251550"/>
    <w:rsid w:val="00263B05"/>
    <w:rsid w:val="00264EE3"/>
    <w:rsid w:val="0027221A"/>
    <w:rsid w:val="00275B61"/>
    <w:rsid w:val="00280FAF"/>
    <w:rsid w:val="00282656"/>
    <w:rsid w:val="00296B83"/>
    <w:rsid w:val="002B03E5"/>
    <w:rsid w:val="002B4015"/>
    <w:rsid w:val="002B78CE"/>
    <w:rsid w:val="002C0C32"/>
    <w:rsid w:val="002C2FB6"/>
    <w:rsid w:val="002E5FA7"/>
    <w:rsid w:val="002F3309"/>
    <w:rsid w:val="002F478A"/>
    <w:rsid w:val="003008CE"/>
    <w:rsid w:val="003009B7"/>
    <w:rsid w:val="00300E56"/>
    <w:rsid w:val="0030152C"/>
    <w:rsid w:val="0030469C"/>
    <w:rsid w:val="00321CA6"/>
    <w:rsid w:val="00323763"/>
    <w:rsid w:val="00323C5F"/>
    <w:rsid w:val="00330DBF"/>
    <w:rsid w:val="00332C72"/>
    <w:rsid w:val="00334C09"/>
    <w:rsid w:val="00335310"/>
    <w:rsid w:val="00336975"/>
    <w:rsid w:val="0037046E"/>
    <w:rsid w:val="003723D4"/>
    <w:rsid w:val="00381905"/>
    <w:rsid w:val="00384CC8"/>
    <w:rsid w:val="003871FD"/>
    <w:rsid w:val="00391BF6"/>
    <w:rsid w:val="003A0891"/>
    <w:rsid w:val="003A1E30"/>
    <w:rsid w:val="003A2829"/>
    <w:rsid w:val="003A3265"/>
    <w:rsid w:val="003A7D1C"/>
    <w:rsid w:val="003B304B"/>
    <w:rsid w:val="003B3146"/>
    <w:rsid w:val="003D0199"/>
    <w:rsid w:val="003D1E02"/>
    <w:rsid w:val="003E1135"/>
    <w:rsid w:val="003E7B19"/>
    <w:rsid w:val="003F015E"/>
    <w:rsid w:val="003F6A49"/>
    <w:rsid w:val="00400414"/>
    <w:rsid w:val="00405932"/>
    <w:rsid w:val="0041446B"/>
    <w:rsid w:val="00426324"/>
    <w:rsid w:val="0043688A"/>
    <w:rsid w:val="00436EB1"/>
    <w:rsid w:val="0044071E"/>
    <w:rsid w:val="0044329C"/>
    <w:rsid w:val="00453E24"/>
    <w:rsid w:val="00457456"/>
    <w:rsid w:val="004577FE"/>
    <w:rsid w:val="00457B9C"/>
    <w:rsid w:val="0046164A"/>
    <w:rsid w:val="00462123"/>
    <w:rsid w:val="004628D2"/>
    <w:rsid w:val="00462DCD"/>
    <w:rsid w:val="004648AD"/>
    <w:rsid w:val="004703A9"/>
    <w:rsid w:val="004711A4"/>
    <w:rsid w:val="004760DE"/>
    <w:rsid w:val="004763D7"/>
    <w:rsid w:val="00487E0C"/>
    <w:rsid w:val="00491E6F"/>
    <w:rsid w:val="004A004E"/>
    <w:rsid w:val="004A24CF"/>
    <w:rsid w:val="004A5E57"/>
    <w:rsid w:val="004B1FE1"/>
    <w:rsid w:val="004B6929"/>
    <w:rsid w:val="004C194F"/>
    <w:rsid w:val="004C3D1D"/>
    <w:rsid w:val="004C3D84"/>
    <w:rsid w:val="004C7913"/>
    <w:rsid w:val="004D32DD"/>
    <w:rsid w:val="004D3EE1"/>
    <w:rsid w:val="004E4DD6"/>
    <w:rsid w:val="004F5E36"/>
    <w:rsid w:val="00507B47"/>
    <w:rsid w:val="00507BEF"/>
    <w:rsid w:val="00507CC9"/>
    <w:rsid w:val="00510A2B"/>
    <w:rsid w:val="005119A5"/>
    <w:rsid w:val="005278B7"/>
    <w:rsid w:val="00532016"/>
    <w:rsid w:val="005346C8"/>
    <w:rsid w:val="00535924"/>
    <w:rsid w:val="00543E7D"/>
    <w:rsid w:val="00547A68"/>
    <w:rsid w:val="00550D01"/>
    <w:rsid w:val="005531C9"/>
    <w:rsid w:val="00570C43"/>
    <w:rsid w:val="00592274"/>
    <w:rsid w:val="00595009"/>
    <w:rsid w:val="0059583C"/>
    <w:rsid w:val="005A7B0F"/>
    <w:rsid w:val="005B2110"/>
    <w:rsid w:val="005B3E71"/>
    <w:rsid w:val="005B61E6"/>
    <w:rsid w:val="005C77E1"/>
    <w:rsid w:val="005D668A"/>
    <w:rsid w:val="005D6A2F"/>
    <w:rsid w:val="005E0592"/>
    <w:rsid w:val="005E1A82"/>
    <w:rsid w:val="005E6790"/>
    <w:rsid w:val="005E794C"/>
    <w:rsid w:val="005F0A28"/>
    <w:rsid w:val="005F0E5E"/>
    <w:rsid w:val="00600535"/>
    <w:rsid w:val="006016EF"/>
    <w:rsid w:val="00610CD6"/>
    <w:rsid w:val="00620DEE"/>
    <w:rsid w:val="00621D48"/>
    <w:rsid w:val="00621F92"/>
    <w:rsid w:val="0062280A"/>
    <w:rsid w:val="006231E1"/>
    <w:rsid w:val="00625639"/>
    <w:rsid w:val="00631B33"/>
    <w:rsid w:val="0064184D"/>
    <w:rsid w:val="006422CC"/>
    <w:rsid w:val="00645FBE"/>
    <w:rsid w:val="00651D18"/>
    <w:rsid w:val="00660E3E"/>
    <w:rsid w:val="00661F0B"/>
    <w:rsid w:val="00662E74"/>
    <w:rsid w:val="006676C2"/>
    <w:rsid w:val="006765A4"/>
    <w:rsid w:val="00680C23"/>
    <w:rsid w:val="00683E23"/>
    <w:rsid w:val="00693766"/>
    <w:rsid w:val="006A3281"/>
    <w:rsid w:val="006A5A81"/>
    <w:rsid w:val="006B1998"/>
    <w:rsid w:val="006B3DBC"/>
    <w:rsid w:val="006B4888"/>
    <w:rsid w:val="006C2E45"/>
    <w:rsid w:val="006C359C"/>
    <w:rsid w:val="006C5579"/>
    <w:rsid w:val="006D19DD"/>
    <w:rsid w:val="006D5711"/>
    <w:rsid w:val="006D6E8B"/>
    <w:rsid w:val="006D7209"/>
    <w:rsid w:val="006E3E16"/>
    <w:rsid w:val="006E6D0C"/>
    <w:rsid w:val="006E737D"/>
    <w:rsid w:val="00706F2D"/>
    <w:rsid w:val="00707DD1"/>
    <w:rsid w:val="00707FAE"/>
    <w:rsid w:val="00713973"/>
    <w:rsid w:val="00720A24"/>
    <w:rsid w:val="00727090"/>
    <w:rsid w:val="0073063A"/>
    <w:rsid w:val="00732386"/>
    <w:rsid w:val="0073246D"/>
    <w:rsid w:val="0073514D"/>
    <w:rsid w:val="007447F3"/>
    <w:rsid w:val="00746745"/>
    <w:rsid w:val="0075499F"/>
    <w:rsid w:val="007617CC"/>
    <w:rsid w:val="007661C8"/>
    <w:rsid w:val="0077098D"/>
    <w:rsid w:val="00785BF9"/>
    <w:rsid w:val="007931FA"/>
    <w:rsid w:val="007A05B8"/>
    <w:rsid w:val="007A09E1"/>
    <w:rsid w:val="007A4861"/>
    <w:rsid w:val="007A7BBA"/>
    <w:rsid w:val="007B0C50"/>
    <w:rsid w:val="007B48F9"/>
    <w:rsid w:val="007C1A43"/>
    <w:rsid w:val="007C6B13"/>
    <w:rsid w:val="007C72F6"/>
    <w:rsid w:val="007C7C03"/>
    <w:rsid w:val="007D0951"/>
    <w:rsid w:val="007E0E3A"/>
    <w:rsid w:val="007F27C8"/>
    <w:rsid w:val="0080013E"/>
    <w:rsid w:val="0080184B"/>
    <w:rsid w:val="00813288"/>
    <w:rsid w:val="008168FC"/>
    <w:rsid w:val="008176E3"/>
    <w:rsid w:val="00830996"/>
    <w:rsid w:val="008314D7"/>
    <w:rsid w:val="008345F1"/>
    <w:rsid w:val="0083653B"/>
    <w:rsid w:val="00844856"/>
    <w:rsid w:val="00865B07"/>
    <w:rsid w:val="008667EA"/>
    <w:rsid w:val="008750BA"/>
    <w:rsid w:val="00875D0E"/>
    <w:rsid w:val="0087637F"/>
    <w:rsid w:val="00892AD5"/>
    <w:rsid w:val="008A00C2"/>
    <w:rsid w:val="008A1512"/>
    <w:rsid w:val="008A1DBE"/>
    <w:rsid w:val="008C012D"/>
    <w:rsid w:val="008D32B9"/>
    <w:rsid w:val="008D433B"/>
    <w:rsid w:val="008D4A16"/>
    <w:rsid w:val="008E209A"/>
    <w:rsid w:val="008E45BC"/>
    <w:rsid w:val="008E566E"/>
    <w:rsid w:val="008E6C42"/>
    <w:rsid w:val="0090161A"/>
    <w:rsid w:val="00901EB6"/>
    <w:rsid w:val="00903036"/>
    <w:rsid w:val="009041F8"/>
    <w:rsid w:val="00904C62"/>
    <w:rsid w:val="009229C9"/>
    <w:rsid w:val="00922BA8"/>
    <w:rsid w:val="00924DAC"/>
    <w:rsid w:val="00926C81"/>
    <w:rsid w:val="00927058"/>
    <w:rsid w:val="0093640E"/>
    <w:rsid w:val="00942750"/>
    <w:rsid w:val="009450CE"/>
    <w:rsid w:val="009459BB"/>
    <w:rsid w:val="00947179"/>
    <w:rsid w:val="0095164B"/>
    <w:rsid w:val="00953225"/>
    <w:rsid w:val="00954090"/>
    <w:rsid w:val="00955A55"/>
    <w:rsid w:val="009573E7"/>
    <w:rsid w:val="00963E05"/>
    <w:rsid w:val="00964A45"/>
    <w:rsid w:val="00965FFB"/>
    <w:rsid w:val="00967843"/>
    <w:rsid w:val="00967D54"/>
    <w:rsid w:val="00971028"/>
    <w:rsid w:val="00993B84"/>
    <w:rsid w:val="00996483"/>
    <w:rsid w:val="00996F5A"/>
    <w:rsid w:val="009B041A"/>
    <w:rsid w:val="009C37C3"/>
    <w:rsid w:val="009C7C86"/>
    <w:rsid w:val="009D2FF7"/>
    <w:rsid w:val="009D780D"/>
    <w:rsid w:val="009E7884"/>
    <w:rsid w:val="009E788A"/>
    <w:rsid w:val="009F0E08"/>
    <w:rsid w:val="009F3307"/>
    <w:rsid w:val="00A030B4"/>
    <w:rsid w:val="00A079AE"/>
    <w:rsid w:val="00A1462A"/>
    <w:rsid w:val="00A17159"/>
    <w:rsid w:val="00A1763D"/>
    <w:rsid w:val="00A17B77"/>
    <w:rsid w:val="00A17CEC"/>
    <w:rsid w:val="00A22347"/>
    <w:rsid w:val="00A26CBB"/>
    <w:rsid w:val="00A27EF0"/>
    <w:rsid w:val="00A35646"/>
    <w:rsid w:val="00A3789D"/>
    <w:rsid w:val="00A42361"/>
    <w:rsid w:val="00A50B20"/>
    <w:rsid w:val="00A51390"/>
    <w:rsid w:val="00A60D13"/>
    <w:rsid w:val="00A65AB1"/>
    <w:rsid w:val="00A71E77"/>
    <w:rsid w:val="00A7223D"/>
    <w:rsid w:val="00A72745"/>
    <w:rsid w:val="00A76EFC"/>
    <w:rsid w:val="00A87D50"/>
    <w:rsid w:val="00A91010"/>
    <w:rsid w:val="00A97F29"/>
    <w:rsid w:val="00AA702E"/>
    <w:rsid w:val="00AA7D26"/>
    <w:rsid w:val="00AB0964"/>
    <w:rsid w:val="00AB5011"/>
    <w:rsid w:val="00AB59AF"/>
    <w:rsid w:val="00AC7368"/>
    <w:rsid w:val="00AD0278"/>
    <w:rsid w:val="00AD16B9"/>
    <w:rsid w:val="00AD1BA4"/>
    <w:rsid w:val="00AD5C50"/>
    <w:rsid w:val="00AE377D"/>
    <w:rsid w:val="00AF0DE2"/>
    <w:rsid w:val="00AF0EBA"/>
    <w:rsid w:val="00B02C8A"/>
    <w:rsid w:val="00B1259A"/>
    <w:rsid w:val="00B17FBD"/>
    <w:rsid w:val="00B23AB8"/>
    <w:rsid w:val="00B315A6"/>
    <w:rsid w:val="00B31813"/>
    <w:rsid w:val="00B33365"/>
    <w:rsid w:val="00B4021F"/>
    <w:rsid w:val="00B45D92"/>
    <w:rsid w:val="00B52E26"/>
    <w:rsid w:val="00B57B36"/>
    <w:rsid w:val="00B57E6F"/>
    <w:rsid w:val="00B63508"/>
    <w:rsid w:val="00B65B35"/>
    <w:rsid w:val="00B8686D"/>
    <w:rsid w:val="00B93F69"/>
    <w:rsid w:val="00BA17D0"/>
    <w:rsid w:val="00BB0037"/>
    <w:rsid w:val="00BB1DDC"/>
    <w:rsid w:val="00BB21B2"/>
    <w:rsid w:val="00BC1D98"/>
    <w:rsid w:val="00BC30C9"/>
    <w:rsid w:val="00BD077D"/>
    <w:rsid w:val="00BE1DA6"/>
    <w:rsid w:val="00BE3E58"/>
    <w:rsid w:val="00BE483F"/>
    <w:rsid w:val="00BF28E0"/>
    <w:rsid w:val="00BF3A13"/>
    <w:rsid w:val="00C01616"/>
    <w:rsid w:val="00C0162B"/>
    <w:rsid w:val="00C068ED"/>
    <w:rsid w:val="00C208E9"/>
    <w:rsid w:val="00C22E0C"/>
    <w:rsid w:val="00C25B48"/>
    <w:rsid w:val="00C311B1"/>
    <w:rsid w:val="00C345B1"/>
    <w:rsid w:val="00C40142"/>
    <w:rsid w:val="00C52C3C"/>
    <w:rsid w:val="00C57182"/>
    <w:rsid w:val="00C57863"/>
    <w:rsid w:val="00C640AF"/>
    <w:rsid w:val="00C655FD"/>
    <w:rsid w:val="00C71E2B"/>
    <w:rsid w:val="00C75407"/>
    <w:rsid w:val="00C841C6"/>
    <w:rsid w:val="00C870A8"/>
    <w:rsid w:val="00C94434"/>
    <w:rsid w:val="00C96DA5"/>
    <w:rsid w:val="00CA0D75"/>
    <w:rsid w:val="00CA1C95"/>
    <w:rsid w:val="00CA5A9C"/>
    <w:rsid w:val="00CB09D8"/>
    <w:rsid w:val="00CC2C08"/>
    <w:rsid w:val="00CC4C20"/>
    <w:rsid w:val="00CD3517"/>
    <w:rsid w:val="00CD5C46"/>
    <w:rsid w:val="00CD5FE2"/>
    <w:rsid w:val="00CE7C68"/>
    <w:rsid w:val="00CF36AD"/>
    <w:rsid w:val="00D02B4C"/>
    <w:rsid w:val="00D040C4"/>
    <w:rsid w:val="00D0501D"/>
    <w:rsid w:val="00D1096B"/>
    <w:rsid w:val="00D20AD1"/>
    <w:rsid w:val="00D2582C"/>
    <w:rsid w:val="00D43BCC"/>
    <w:rsid w:val="00D46B7E"/>
    <w:rsid w:val="00D57C84"/>
    <w:rsid w:val="00D6057D"/>
    <w:rsid w:val="00D639F5"/>
    <w:rsid w:val="00D71640"/>
    <w:rsid w:val="00D7380E"/>
    <w:rsid w:val="00D743EA"/>
    <w:rsid w:val="00D76040"/>
    <w:rsid w:val="00D836C5"/>
    <w:rsid w:val="00D84576"/>
    <w:rsid w:val="00D92B6E"/>
    <w:rsid w:val="00DA1399"/>
    <w:rsid w:val="00DA24C6"/>
    <w:rsid w:val="00DA4D7B"/>
    <w:rsid w:val="00DC4761"/>
    <w:rsid w:val="00DD271C"/>
    <w:rsid w:val="00DE264A"/>
    <w:rsid w:val="00DF213C"/>
    <w:rsid w:val="00DF5072"/>
    <w:rsid w:val="00DF6B57"/>
    <w:rsid w:val="00DF749C"/>
    <w:rsid w:val="00E02D18"/>
    <w:rsid w:val="00E041E7"/>
    <w:rsid w:val="00E13709"/>
    <w:rsid w:val="00E15795"/>
    <w:rsid w:val="00E2136E"/>
    <w:rsid w:val="00E22496"/>
    <w:rsid w:val="00E23CA1"/>
    <w:rsid w:val="00E346BD"/>
    <w:rsid w:val="00E37750"/>
    <w:rsid w:val="00E409A8"/>
    <w:rsid w:val="00E47D61"/>
    <w:rsid w:val="00E50C12"/>
    <w:rsid w:val="00E539A4"/>
    <w:rsid w:val="00E65B91"/>
    <w:rsid w:val="00E7209D"/>
    <w:rsid w:val="00E7275E"/>
    <w:rsid w:val="00E72EAD"/>
    <w:rsid w:val="00E77223"/>
    <w:rsid w:val="00E81FF6"/>
    <w:rsid w:val="00E83351"/>
    <w:rsid w:val="00E8528B"/>
    <w:rsid w:val="00E85827"/>
    <w:rsid w:val="00E85B94"/>
    <w:rsid w:val="00E978D0"/>
    <w:rsid w:val="00EA4613"/>
    <w:rsid w:val="00EA7F91"/>
    <w:rsid w:val="00EB1523"/>
    <w:rsid w:val="00EB162A"/>
    <w:rsid w:val="00EB35D2"/>
    <w:rsid w:val="00EC0E49"/>
    <w:rsid w:val="00EC101F"/>
    <w:rsid w:val="00EC1CB9"/>
    <w:rsid w:val="00EC1D9F"/>
    <w:rsid w:val="00ED18C2"/>
    <w:rsid w:val="00EE0131"/>
    <w:rsid w:val="00EE17B0"/>
    <w:rsid w:val="00EE74D1"/>
    <w:rsid w:val="00EF0110"/>
    <w:rsid w:val="00EF06D9"/>
    <w:rsid w:val="00EF0982"/>
    <w:rsid w:val="00F3049E"/>
    <w:rsid w:val="00F30C64"/>
    <w:rsid w:val="00F32BA2"/>
    <w:rsid w:val="00F32CDB"/>
    <w:rsid w:val="00F3348F"/>
    <w:rsid w:val="00F37280"/>
    <w:rsid w:val="00F41EE4"/>
    <w:rsid w:val="00F44AD7"/>
    <w:rsid w:val="00F54563"/>
    <w:rsid w:val="00F565FE"/>
    <w:rsid w:val="00F63A70"/>
    <w:rsid w:val="00F63D8C"/>
    <w:rsid w:val="00F658CD"/>
    <w:rsid w:val="00F7534E"/>
    <w:rsid w:val="00F813C9"/>
    <w:rsid w:val="00F81EE8"/>
    <w:rsid w:val="00F93EDF"/>
    <w:rsid w:val="00FA1802"/>
    <w:rsid w:val="00FA21D0"/>
    <w:rsid w:val="00FA5F5F"/>
    <w:rsid w:val="00FB730C"/>
    <w:rsid w:val="00FC2695"/>
    <w:rsid w:val="00FC3E03"/>
    <w:rsid w:val="00FC3FC1"/>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AE0CC22"/>
  <w14:defaultImageDpi w14:val="330"/>
  <w15:docId w15:val="{0B95FB59-9D38-42B5-B090-D2348EE1E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aliases w:val="CET Top_page"/>
    <w:rsid w:val="00BF3A13"/>
    <w:pPr>
      <w:tabs>
        <w:tab w:val="right" w:pos="7100"/>
      </w:tabs>
      <w:spacing w:after="0" w:line="264" w:lineRule="auto"/>
      <w:jc w:val="both"/>
    </w:pPr>
    <w:rPr>
      <w:rFonts w:ascii="Arial" w:eastAsia="Times New Roman" w:hAnsi="Arial" w:cs="Times New Roman"/>
      <w:sz w:val="18"/>
      <w:szCs w:val="20"/>
      <w:lang w:val="en-GB"/>
    </w:rPr>
  </w:style>
  <w:style w:type="paragraph" w:styleId="Titolo1">
    <w:name w:val="heading 1"/>
    <w:basedOn w:val="CETHeading1"/>
    <w:next w:val="Normale"/>
    <w:link w:val="Titolo1Carattere"/>
    <w:uiPriority w:val="9"/>
    <w:rsid w:val="004F5E36"/>
    <w:pPr>
      <w:tabs>
        <w:tab w:val="clear" w:pos="360"/>
        <w:tab w:val="right" w:pos="7100"/>
      </w:tabs>
      <w:jc w:val="both"/>
      <w:outlineLvl w:val="0"/>
    </w:pPr>
    <w:rPr>
      <w:lang w:val="en-GB"/>
    </w:rPr>
  </w:style>
  <w:style w:type="paragraph" w:styleId="Titolo2">
    <w:name w:val="heading 2"/>
    <w:basedOn w:val="Normale"/>
    <w:next w:val="Normale"/>
    <w:link w:val="Titolo2Carattere"/>
    <w:uiPriority w:val="9"/>
    <w:semiHidden/>
    <w:unhideWhenUsed/>
    <w:qFormat/>
    <w:rsid w:val="0003148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semiHidden/>
    <w:unhideWhenUsed/>
    <w:qFormat/>
    <w:rsid w:val="0003148D"/>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03148D"/>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03148D"/>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03148D"/>
    <w:pPr>
      <w:keepNext/>
      <w:keepLines/>
      <w:spacing w:before="20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03148D"/>
    <w:pPr>
      <w:keepNext/>
      <w:keepLines/>
      <w:spacing w:before="20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03148D"/>
    <w:pPr>
      <w:keepNext/>
      <w:keepLines/>
      <w:spacing w:before="200"/>
      <w:outlineLvl w:val="7"/>
    </w:pPr>
    <w:rPr>
      <w:rFonts w:asciiTheme="majorHAnsi" w:eastAsiaTheme="majorEastAsia" w:hAnsiTheme="majorHAnsi" w:cstheme="majorBidi"/>
      <w:color w:val="404040" w:themeColor="text1" w:themeTint="BF"/>
    </w:rPr>
  </w:style>
  <w:style w:type="paragraph" w:styleId="Titolo9">
    <w:name w:val="heading 9"/>
    <w:basedOn w:val="Normale"/>
    <w:next w:val="Normale"/>
    <w:link w:val="Titolo9Carattere"/>
    <w:uiPriority w:val="9"/>
    <w:semiHidden/>
    <w:unhideWhenUsed/>
    <w:qFormat/>
    <w:rsid w:val="0003148D"/>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ETAuthors">
    <w:name w:val="CET Authors"/>
    <w:basedOn w:val="CETBodytext"/>
    <w:link w:val="CETAuthorsCarattere"/>
    <w:qFormat/>
    <w:rsid w:val="000E414A"/>
    <w:pPr>
      <w:keepNext/>
      <w:suppressAutoHyphens/>
      <w:spacing w:after="120"/>
    </w:pPr>
    <w:rPr>
      <w:noProof/>
      <w:sz w:val="24"/>
      <w:lang w:val="en-GB"/>
    </w:rPr>
  </w:style>
  <w:style w:type="paragraph" w:customStyle="1" w:styleId="CETTitle">
    <w:name w:val="CET Title"/>
    <w:next w:val="CETAuthors"/>
    <w:link w:val="CETTitleCarattere"/>
    <w:rsid w:val="00FB730C"/>
    <w:pPr>
      <w:suppressAutoHyphens/>
      <w:spacing w:before="480" w:after="120" w:line="264" w:lineRule="auto"/>
      <w:jc w:val="center"/>
      <w:outlineLvl w:val="0"/>
    </w:pPr>
    <w:rPr>
      <w:rFonts w:ascii="Arial" w:eastAsia="Times New Roman" w:hAnsi="Arial" w:cs="Times New Roman"/>
      <w:sz w:val="32"/>
      <w:szCs w:val="20"/>
      <w:lang w:val="en-GB"/>
    </w:rPr>
  </w:style>
  <w:style w:type="character" w:customStyle="1" w:styleId="CETAuthorsCarattere">
    <w:name w:val="CET Authors Carattere"/>
    <w:link w:val="CETAuthors"/>
    <w:rsid w:val="009E788A"/>
    <w:rPr>
      <w:rFonts w:ascii="Arial" w:eastAsia="Times New Roman" w:hAnsi="Arial" w:cs="Times New Roman"/>
      <w:noProof/>
      <w:sz w:val="24"/>
      <w:szCs w:val="20"/>
      <w:lang w:val="en-GB"/>
    </w:rPr>
  </w:style>
  <w:style w:type="character" w:customStyle="1" w:styleId="CETTitleCarattere">
    <w:name w:val="CET Title Carattere"/>
    <w:link w:val="CETTitle"/>
    <w:rsid w:val="00FB730C"/>
    <w:rPr>
      <w:rFonts w:ascii="Arial" w:eastAsia="Times New Roman" w:hAnsi="Arial" w:cs="Times New Roman"/>
      <w:sz w:val="32"/>
      <w:szCs w:val="20"/>
      <w:lang w:val="en-GB"/>
    </w:rPr>
  </w:style>
  <w:style w:type="paragraph" w:customStyle="1" w:styleId="CETHeading1">
    <w:name w:val="CET Heading1"/>
    <w:next w:val="CETBodytext"/>
    <w:qFormat/>
    <w:rsid w:val="009E788A"/>
    <w:pPr>
      <w:keepNext/>
      <w:numPr>
        <w:ilvl w:val="1"/>
        <w:numId w:val="1"/>
      </w:numPr>
      <w:tabs>
        <w:tab w:val="num" w:pos="360"/>
      </w:tabs>
      <w:suppressAutoHyphens/>
      <w:spacing w:before="240" w:after="120" w:line="240" w:lineRule="auto"/>
    </w:pPr>
    <w:rPr>
      <w:rFonts w:ascii="Arial" w:eastAsia="Times New Roman" w:hAnsi="Arial" w:cs="Times New Roman"/>
      <w:b/>
      <w:sz w:val="20"/>
      <w:szCs w:val="20"/>
      <w:lang w:val="en-US"/>
    </w:rPr>
  </w:style>
  <w:style w:type="paragraph" w:customStyle="1" w:styleId="CETBodytext">
    <w:name w:val="CET Body text"/>
    <w:link w:val="CETBodytextCarattere"/>
    <w:qFormat/>
    <w:rsid w:val="000E414A"/>
    <w:pPr>
      <w:tabs>
        <w:tab w:val="right" w:pos="7100"/>
      </w:tabs>
      <w:spacing w:after="0" w:line="264" w:lineRule="auto"/>
      <w:jc w:val="both"/>
    </w:pPr>
    <w:rPr>
      <w:rFonts w:ascii="Arial" w:eastAsia="Times New Roman" w:hAnsi="Arial" w:cs="Times New Roman"/>
      <w:sz w:val="18"/>
      <w:szCs w:val="20"/>
      <w:lang w:val="en-US"/>
    </w:rPr>
  </w:style>
  <w:style w:type="paragraph" w:customStyle="1" w:styleId="CETheadingx">
    <w:name w:val="CET headingx"/>
    <w:next w:val="CETBodytext"/>
    <w:link w:val="CETheadingxCarattere"/>
    <w:autoRedefine/>
    <w:qFormat/>
    <w:rsid w:val="009F3307"/>
    <w:pPr>
      <w:keepNext/>
      <w:numPr>
        <w:ilvl w:val="2"/>
        <w:numId w:val="1"/>
      </w:numPr>
      <w:suppressAutoHyphens/>
      <w:spacing w:before="120" w:after="120" w:line="240" w:lineRule="auto"/>
    </w:pPr>
    <w:rPr>
      <w:rFonts w:ascii="Arial" w:eastAsia="Times New Roman" w:hAnsi="Arial" w:cs="Times New Roman"/>
      <w:b/>
      <w:sz w:val="18"/>
      <w:szCs w:val="20"/>
      <w:lang w:val="en-US"/>
    </w:rPr>
  </w:style>
  <w:style w:type="paragraph" w:customStyle="1" w:styleId="CETAddress">
    <w:name w:val="CET Address"/>
    <w:link w:val="CETAddressCarattere"/>
    <w:qFormat/>
    <w:rsid w:val="009E788A"/>
    <w:pPr>
      <w:keepNext/>
      <w:suppressAutoHyphens/>
      <w:spacing w:after="0"/>
      <w:contextualSpacing/>
    </w:pPr>
    <w:rPr>
      <w:rFonts w:ascii="Arial" w:eastAsia="Times New Roman" w:hAnsi="Arial" w:cs="Times New Roman"/>
      <w:noProof/>
      <w:sz w:val="16"/>
      <w:szCs w:val="20"/>
      <w:lang w:val="en-GB"/>
    </w:rPr>
  </w:style>
  <w:style w:type="table" w:styleId="Tabellasemplice1">
    <w:name w:val="Table Simple 1"/>
    <w:basedOn w:val="Tabellanormale"/>
    <w:semiHidden/>
    <w:rsid w:val="000E414A"/>
    <w:pPr>
      <w:numPr>
        <w:ilvl w:val="3"/>
        <w:numId w:val="1"/>
      </w:numPr>
      <w:spacing w:after="0" w:line="264" w:lineRule="auto"/>
      <w:jc w:val="both"/>
    </w:pPr>
    <w:rPr>
      <w:rFonts w:ascii="Times New Roman" w:eastAsia="Times New Roman" w:hAnsi="Times New Roman" w:cs="Times New Roman"/>
      <w:sz w:val="20"/>
      <w:szCs w:val="20"/>
      <w:lang w:eastAsia="it-IT"/>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CETBodytextCarattere">
    <w:name w:val="CET Body text Carattere"/>
    <w:link w:val="CETBodytext"/>
    <w:rsid w:val="000E414A"/>
    <w:rPr>
      <w:rFonts w:ascii="Arial" w:eastAsia="Times New Roman" w:hAnsi="Arial" w:cs="Times New Roman"/>
      <w:sz w:val="18"/>
      <w:szCs w:val="20"/>
      <w:lang w:val="en-US"/>
    </w:rPr>
  </w:style>
  <w:style w:type="paragraph" w:customStyle="1" w:styleId="CETReference">
    <w:name w:val="CET Reference"/>
    <w:qFormat/>
    <w:rsid w:val="00FC2695"/>
    <w:pPr>
      <w:spacing w:before="200" w:after="120" w:line="240" w:lineRule="auto"/>
    </w:pPr>
    <w:rPr>
      <w:rFonts w:ascii="Arial" w:eastAsia="Times New Roman" w:hAnsi="Arial" w:cs="Times New Roman"/>
      <w:b/>
      <w:sz w:val="18"/>
      <w:szCs w:val="20"/>
      <w:lang w:val="en-GB"/>
    </w:rPr>
  </w:style>
  <w:style w:type="paragraph" w:customStyle="1" w:styleId="CETCaption">
    <w:name w:val="CET Caption"/>
    <w:link w:val="CETCaptionCarattere"/>
    <w:qFormat/>
    <w:rsid w:val="00F7534E"/>
    <w:pPr>
      <w:spacing w:before="240" w:after="240" w:line="264" w:lineRule="auto"/>
      <w:jc w:val="both"/>
    </w:pPr>
    <w:rPr>
      <w:rFonts w:ascii="Arial" w:eastAsia="Times New Roman" w:hAnsi="Arial" w:cs="Times New Roman"/>
      <w:i/>
      <w:sz w:val="18"/>
      <w:szCs w:val="20"/>
      <w:lang w:val="en-GB"/>
    </w:rPr>
  </w:style>
  <w:style w:type="character" w:customStyle="1" w:styleId="CETheadingxCarattere">
    <w:name w:val="CET headingx Carattere"/>
    <w:link w:val="CETheadingx"/>
    <w:rsid w:val="009F3307"/>
    <w:rPr>
      <w:rFonts w:ascii="Arial" w:eastAsia="Times New Roman" w:hAnsi="Arial" w:cs="Times New Roman"/>
      <w:b/>
      <w:sz w:val="18"/>
      <w:szCs w:val="20"/>
      <w:lang w:val="en-US"/>
    </w:rPr>
  </w:style>
  <w:style w:type="character" w:customStyle="1" w:styleId="CETCaptionCarattere">
    <w:name w:val="CET Caption Carattere"/>
    <w:link w:val="CETCaption"/>
    <w:rsid w:val="00F7534E"/>
    <w:rPr>
      <w:rFonts w:ascii="Arial" w:eastAsia="Times New Roman" w:hAnsi="Arial" w:cs="Times New Roman"/>
      <w:i/>
      <w:sz w:val="18"/>
      <w:szCs w:val="20"/>
      <w:lang w:val="en-GB"/>
    </w:rPr>
  </w:style>
  <w:style w:type="paragraph" w:customStyle="1" w:styleId="CETBodytextItalic">
    <w:name w:val="CET Body text (Italic)"/>
    <w:basedOn w:val="CETBodytext"/>
    <w:qFormat/>
    <w:rsid w:val="004F5E36"/>
    <w:rPr>
      <w:i/>
      <w:lang w:val="en-GB"/>
    </w:rPr>
  </w:style>
  <w:style w:type="character" w:styleId="Rimandocommento">
    <w:name w:val="annotation reference"/>
    <w:basedOn w:val="Carpredefinitoparagrafo"/>
    <w:uiPriority w:val="99"/>
    <w:semiHidden/>
    <w:unhideWhenUsed/>
    <w:rsid w:val="004577FE"/>
    <w:rPr>
      <w:sz w:val="16"/>
      <w:szCs w:val="16"/>
    </w:rPr>
  </w:style>
  <w:style w:type="paragraph" w:styleId="Testofumetto">
    <w:name w:val="Balloon Text"/>
    <w:basedOn w:val="Normale"/>
    <w:link w:val="TestofumettoCarattere"/>
    <w:uiPriority w:val="99"/>
    <w:semiHidden/>
    <w:unhideWhenUsed/>
    <w:rsid w:val="000D34BE"/>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D34BE"/>
    <w:rPr>
      <w:rFonts w:ascii="Tahoma" w:hAnsi="Tahoma" w:cs="Tahoma"/>
      <w:sz w:val="16"/>
      <w:szCs w:val="16"/>
    </w:rPr>
  </w:style>
  <w:style w:type="paragraph" w:styleId="Bibliografia">
    <w:name w:val="Bibliography"/>
    <w:basedOn w:val="CETReferencetext"/>
    <w:uiPriority w:val="37"/>
    <w:unhideWhenUsed/>
    <w:rsid w:val="00631B33"/>
    <w:pPr>
      <w:spacing w:line="240" w:lineRule="auto"/>
      <w:ind w:left="720" w:hanging="720"/>
    </w:pPr>
  </w:style>
  <w:style w:type="paragraph" w:styleId="Corpodeltesto2">
    <w:name w:val="Body Text 2"/>
    <w:basedOn w:val="Normale"/>
    <w:link w:val="Corpodeltesto2Carattere"/>
    <w:uiPriority w:val="99"/>
    <w:semiHidden/>
    <w:unhideWhenUsed/>
    <w:rsid w:val="0003148D"/>
    <w:pPr>
      <w:spacing w:after="120" w:line="480" w:lineRule="auto"/>
    </w:pPr>
  </w:style>
  <w:style w:type="character" w:customStyle="1" w:styleId="Corpodeltesto2Carattere">
    <w:name w:val="Corpo del testo 2 Carattere"/>
    <w:basedOn w:val="Carpredefinitoparagrafo"/>
    <w:link w:val="Corpodeltesto2"/>
    <w:uiPriority w:val="99"/>
    <w:semiHidden/>
    <w:rsid w:val="0003148D"/>
  </w:style>
  <w:style w:type="paragraph" w:styleId="Corpodeltesto3">
    <w:name w:val="Body Text 3"/>
    <w:basedOn w:val="Normale"/>
    <w:link w:val="Corpodeltesto3Carattere"/>
    <w:uiPriority w:val="99"/>
    <w:semiHidden/>
    <w:unhideWhenUsed/>
    <w:rsid w:val="0003148D"/>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03148D"/>
    <w:rPr>
      <w:sz w:val="16"/>
      <w:szCs w:val="16"/>
    </w:rPr>
  </w:style>
  <w:style w:type="paragraph" w:styleId="Corpotesto">
    <w:name w:val="Body Text"/>
    <w:basedOn w:val="Normale"/>
    <w:link w:val="CorpotestoCarattere"/>
    <w:uiPriority w:val="99"/>
    <w:semiHidden/>
    <w:unhideWhenUsed/>
    <w:rsid w:val="0003148D"/>
    <w:pPr>
      <w:spacing w:after="120"/>
    </w:pPr>
  </w:style>
  <w:style w:type="character" w:customStyle="1" w:styleId="CorpotestoCarattere">
    <w:name w:val="Corpo testo Carattere"/>
    <w:basedOn w:val="Carpredefinitoparagrafo"/>
    <w:link w:val="Corpotesto"/>
    <w:uiPriority w:val="99"/>
    <w:semiHidden/>
    <w:rsid w:val="0003148D"/>
  </w:style>
  <w:style w:type="paragraph" w:styleId="Data">
    <w:name w:val="Date"/>
    <w:basedOn w:val="Normale"/>
    <w:next w:val="Normale"/>
    <w:link w:val="DataCarattere"/>
    <w:uiPriority w:val="99"/>
    <w:semiHidden/>
    <w:unhideWhenUsed/>
    <w:rsid w:val="0003148D"/>
  </w:style>
  <w:style w:type="character" w:customStyle="1" w:styleId="DataCarattere">
    <w:name w:val="Data Carattere"/>
    <w:basedOn w:val="Carpredefinitoparagrafo"/>
    <w:link w:val="Data"/>
    <w:uiPriority w:val="99"/>
    <w:semiHidden/>
    <w:rsid w:val="0003148D"/>
  </w:style>
  <w:style w:type="paragraph" w:styleId="Didascalia">
    <w:name w:val="caption"/>
    <w:basedOn w:val="Normale"/>
    <w:next w:val="Normale"/>
    <w:uiPriority w:val="35"/>
    <w:unhideWhenUsed/>
    <w:qFormat/>
    <w:rsid w:val="0003148D"/>
    <w:pPr>
      <w:spacing w:line="240" w:lineRule="auto"/>
    </w:pPr>
    <w:rPr>
      <w:b/>
      <w:bCs/>
      <w:color w:val="4F81BD" w:themeColor="accent1"/>
      <w:szCs w:val="18"/>
    </w:rPr>
  </w:style>
  <w:style w:type="paragraph" w:styleId="Elenco">
    <w:name w:val="List"/>
    <w:basedOn w:val="Normale"/>
    <w:uiPriority w:val="99"/>
    <w:semiHidden/>
    <w:unhideWhenUsed/>
    <w:rsid w:val="0003148D"/>
    <w:pPr>
      <w:ind w:left="283" w:hanging="283"/>
      <w:contextualSpacing/>
    </w:pPr>
  </w:style>
  <w:style w:type="paragraph" w:styleId="Elenco2">
    <w:name w:val="List 2"/>
    <w:basedOn w:val="Normale"/>
    <w:uiPriority w:val="99"/>
    <w:semiHidden/>
    <w:unhideWhenUsed/>
    <w:rsid w:val="0003148D"/>
    <w:pPr>
      <w:ind w:left="566" w:hanging="283"/>
      <w:contextualSpacing/>
    </w:pPr>
  </w:style>
  <w:style w:type="paragraph" w:styleId="Elenco3">
    <w:name w:val="List 3"/>
    <w:basedOn w:val="Normale"/>
    <w:uiPriority w:val="99"/>
    <w:semiHidden/>
    <w:unhideWhenUsed/>
    <w:rsid w:val="0003148D"/>
    <w:pPr>
      <w:ind w:left="849" w:hanging="283"/>
      <w:contextualSpacing/>
    </w:pPr>
  </w:style>
  <w:style w:type="paragraph" w:styleId="Elenco4">
    <w:name w:val="List 4"/>
    <w:basedOn w:val="Normale"/>
    <w:uiPriority w:val="99"/>
    <w:semiHidden/>
    <w:unhideWhenUsed/>
    <w:rsid w:val="0003148D"/>
    <w:pPr>
      <w:ind w:left="1132" w:hanging="283"/>
      <w:contextualSpacing/>
    </w:pPr>
  </w:style>
  <w:style w:type="paragraph" w:styleId="Elenco5">
    <w:name w:val="List 5"/>
    <w:basedOn w:val="Normale"/>
    <w:uiPriority w:val="99"/>
    <w:semiHidden/>
    <w:unhideWhenUsed/>
    <w:rsid w:val="0003148D"/>
    <w:pPr>
      <w:ind w:left="1415" w:hanging="283"/>
      <w:contextualSpacing/>
    </w:pPr>
  </w:style>
  <w:style w:type="paragraph" w:styleId="Elencocontinua">
    <w:name w:val="List Continue"/>
    <w:basedOn w:val="Normale"/>
    <w:uiPriority w:val="99"/>
    <w:semiHidden/>
    <w:unhideWhenUsed/>
    <w:rsid w:val="0003148D"/>
    <w:pPr>
      <w:spacing w:after="120"/>
      <w:ind w:left="283"/>
      <w:contextualSpacing/>
    </w:pPr>
  </w:style>
  <w:style w:type="paragraph" w:styleId="Elencocontinua2">
    <w:name w:val="List Continue 2"/>
    <w:basedOn w:val="Normale"/>
    <w:uiPriority w:val="99"/>
    <w:semiHidden/>
    <w:unhideWhenUsed/>
    <w:rsid w:val="0003148D"/>
    <w:pPr>
      <w:spacing w:after="120"/>
      <w:ind w:left="566"/>
      <w:contextualSpacing/>
    </w:pPr>
  </w:style>
  <w:style w:type="paragraph" w:styleId="Elencocontinua3">
    <w:name w:val="List Continue 3"/>
    <w:basedOn w:val="Normale"/>
    <w:uiPriority w:val="99"/>
    <w:semiHidden/>
    <w:unhideWhenUsed/>
    <w:rsid w:val="0003148D"/>
    <w:pPr>
      <w:spacing w:after="120"/>
      <w:ind w:left="849"/>
      <w:contextualSpacing/>
    </w:pPr>
  </w:style>
  <w:style w:type="paragraph" w:styleId="Elencocontinua4">
    <w:name w:val="List Continue 4"/>
    <w:basedOn w:val="Normale"/>
    <w:uiPriority w:val="99"/>
    <w:semiHidden/>
    <w:unhideWhenUsed/>
    <w:rsid w:val="0003148D"/>
    <w:pPr>
      <w:spacing w:after="120"/>
      <w:ind w:left="1132"/>
      <w:contextualSpacing/>
    </w:pPr>
  </w:style>
  <w:style w:type="paragraph" w:styleId="Elencocontinua5">
    <w:name w:val="List Continue 5"/>
    <w:basedOn w:val="Normale"/>
    <w:uiPriority w:val="99"/>
    <w:semiHidden/>
    <w:unhideWhenUsed/>
    <w:rsid w:val="0003148D"/>
    <w:pPr>
      <w:spacing w:after="120"/>
      <w:ind w:left="1415"/>
      <w:contextualSpacing/>
    </w:pPr>
  </w:style>
  <w:style w:type="paragraph" w:styleId="Firma">
    <w:name w:val="Signature"/>
    <w:basedOn w:val="Normale"/>
    <w:link w:val="FirmaCarattere"/>
    <w:uiPriority w:val="99"/>
    <w:semiHidden/>
    <w:unhideWhenUsed/>
    <w:rsid w:val="0003148D"/>
    <w:pPr>
      <w:spacing w:line="240" w:lineRule="auto"/>
      <w:ind w:left="4252"/>
    </w:pPr>
  </w:style>
  <w:style w:type="character" w:customStyle="1" w:styleId="FirmaCarattere">
    <w:name w:val="Firma Carattere"/>
    <w:basedOn w:val="Carpredefinitoparagrafo"/>
    <w:link w:val="Firma"/>
    <w:uiPriority w:val="99"/>
    <w:semiHidden/>
    <w:rsid w:val="0003148D"/>
  </w:style>
  <w:style w:type="paragraph" w:styleId="Firmadipostaelettronica">
    <w:name w:val="E-mail Signature"/>
    <w:basedOn w:val="Normale"/>
    <w:link w:val="FirmadipostaelettronicaCarattere"/>
    <w:uiPriority w:val="99"/>
    <w:semiHidden/>
    <w:unhideWhenUsed/>
    <w:rsid w:val="0003148D"/>
    <w:pPr>
      <w:spacing w:line="240" w:lineRule="auto"/>
    </w:pPr>
  </w:style>
  <w:style w:type="character" w:customStyle="1" w:styleId="FirmadipostaelettronicaCarattere">
    <w:name w:val="Firma di posta elettronica Carattere"/>
    <w:basedOn w:val="Carpredefinitoparagrafo"/>
    <w:link w:val="Firmadipostaelettronica"/>
    <w:uiPriority w:val="99"/>
    <w:semiHidden/>
    <w:rsid w:val="0003148D"/>
  </w:style>
  <w:style w:type="paragraph" w:styleId="Formuladiapertura">
    <w:name w:val="Salutation"/>
    <w:basedOn w:val="Normale"/>
    <w:next w:val="Normale"/>
    <w:link w:val="FormuladiaperturaCarattere"/>
    <w:uiPriority w:val="99"/>
    <w:semiHidden/>
    <w:unhideWhenUsed/>
    <w:rsid w:val="0003148D"/>
  </w:style>
  <w:style w:type="character" w:customStyle="1" w:styleId="FormuladiaperturaCarattere">
    <w:name w:val="Formula di apertura Carattere"/>
    <w:basedOn w:val="Carpredefinitoparagrafo"/>
    <w:link w:val="Formuladiapertura"/>
    <w:uiPriority w:val="99"/>
    <w:semiHidden/>
    <w:rsid w:val="0003148D"/>
  </w:style>
  <w:style w:type="paragraph" w:styleId="Formuladichiusura">
    <w:name w:val="Closing"/>
    <w:basedOn w:val="Normale"/>
    <w:link w:val="FormuladichiusuraCarattere"/>
    <w:uiPriority w:val="99"/>
    <w:semiHidden/>
    <w:unhideWhenUsed/>
    <w:rsid w:val="0003148D"/>
    <w:pPr>
      <w:spacing w:line="240" w:lineRule="auto"/>
      <w:ind w:left="4252"/>
    </w:pPr>
  </w:style>
  <w:style w:type="character" w:customStyle="1" w:styleId="FormuladichiusuraCarattere">
    <w:name w:val="Formula di chiusura Carattere"/>
    <w:basedOn w:val="Carpredefinitoparagrafo"/>
    <w:link w:val="Formuladichiusura"/>
    <w:uiPriority w:val="99"/>
    <w:semiHidden/>
    <w:rsid w:val="0003148D"/>
  </w:style>
  <w:style w:type="paragraph" w:styleId="Indice1">
    <w:name w:val="index 1"/>
    <w:basedOn w:val="Normale"/>
    <w:next w:val="Normale"/>
    <w:autoRedefine/>
    <w:uiPriority w:val="99"/>
    <w:semiHidden/>
    <w:unhideWhenUsed/>
    <w:rsid w:val="0003148D"/>
    <w:pPr>
      <w:spacing w:line="240" w:lineRule="auto"/>
      <w:ind w:left="220" w:hanging="220"/>
    </w:pPr>
  </w:style>
  <w:style w:type="paragraph" w:styleId="Indice2">
    <w:name w:val="index 2"/>
    <w:basedOn w:val="Normale"/>
    <w:next w:val="Normale"/>
    <w:autoRedefine/>
    <w:uiPriority w:val="99"/>
    <w:semiHidden/>
    <w:unhideWhenUsed/>
    <w:rsid w:val="0003148D"/>
    <w:pPr>
      <w:spacing w:line="240" w:lineRule="auto"/>
      <w:ind w:left="440" w:hanging="220"/>
    </w:pPr>
  </w:style>
  <w:style w:type="paragraph" w:styleId="Indice3">
    <w:name w:val="index 3"/>
    <w:basedOn w:val="Normale"/>
    <w:next w:val="Normale"/>
    <w:autoRedefine/>
    <w:uiPriority w:val="99"/>
    <w:semiHidden/>
    <w:unhideWhenUsed/>
    <w:rsid w:val="0003148D"/>
    <w:pPr>
      <w:spacing w:line="240" w:lineRule="auto"/>
      <w:ind w:left="660" w:hanging="220"/>
    </w:pPr>
  </w:style>
  <w:style w:type="paragraph" w:styleId="Indice4">
    <w:name w:val="index 4"/>
    <w:basedOn w:val="Normale"/>
    <w:next w:val="Normale"/>
    <w:autoRedefine/>
    <w:uiPriority w:val="99"/>
    <w:semiHidden/>
    <w:unhideWhenUsed/>
    <w:rsid w:val="0003148D"/>
    <w:pPr>
      <w:spacing w:line="240" w:lineRule="auto"/>
      <w:ind w:left="880" w:hanging="220"/>
    </w:pPr>
  </w:style>
  <w:style w:type="paragraph" w:styleId="Indice5">
    <w:name w:val="index 5"/>
    <w:basedOn w:val="Normale"/>
    <w:next w:val="Normale"/>
    <w:autoRedefine/>
    <w:uiPriority w:val="99"/>
    <w:semiHidden/>
    <w:unhideWhenUsed/>
    <w:rsid w:val="0003148D"/>
    <w:pPr>
      <w:spacing w:line="240" w:lineRule="auto"/>
      <w:ind w:left="1100" w:hanging="220"/>
    </w:pPr>
  </w:style>
  <w:style w:type="paragraph" w:styleId="Indice6">
    <w:name w:val="index 6"/>
    <w:basedOn w:val="Normale"/>
    <w:next w:val="Normale"/>
    <w:autoRedefine/>
    <w:uiPriority w:val="99"/>
    <w:semiHidden/>
    <w:unhideWhenUsed/>
    <w:rsid w:val="0003148D"/>
    <w:pPr>
      <w:spacing w:line="240" w:lineRule="auto"/>
      <w:ind w:left="1320" w:hanging="220"/>
    </w:pPr>
  </w:style>
  <w:style w:type="paragraph" w:styleId="Indice7">
    <w:name w:val="index 7"/>
    <w:basedOn w:val="Normale"/>
    <w:next w:val="Normale"/>
    <w:autoRedefine/>
    <w:uiPriority w:val="99"/>
    <w:semiHidden/>
    <w:unhideWhenUsed/>
    <w:rsid w:val="0003148D"/>
    <w:pPr>
      <w:spacing w:line="240" w:lineRule="auto"/>
      <w:ind w:left="1540" w:hanging="220"/>
    </w:pPr>
  </w:style>
  <w:style w:type="paragraph" w:styleId="Indice8">
    <w:name w:val="index 8"/>
    <w:basedOn w:val="Normale"/>
    <w:next w:val="Normale"/>
    <w:autoRedefine/>
    <w:uiPriority w:val="99"/>
    <w:semiHidden/>
    <w:unhideWhenUsed/>
    <w:rsid w:val="0003148D"/>
    <w:pPr>
      <w:spacing w:line="240" w:lineRule="auto"/>
      <w:ind w:left="1760" w:hanging="220"/>
    </w:pPr>
  </w:style>
  <w:style w:type="paragraph" w:styleId="Indice9">
    <w:name w:val="index 9"/>
    <w:basedOn w:val="Normale"/>
    <w:next w:val="Normale"/>
    <w:autoRedefine/>
    <w:uiPriority w:val="99"/>
    <w:semiHidden/>
    <w:unhideWhenUsed/>
    <w:rsid w:val="0003148D"/>
    <w:pPr>
      <w:spacing w:line="240" w:lineRule="auto"/>
      <w:ind w:left="1980" w:hanging="220"/>
    </w:pPr>
  </w:style>
  <w:style w:type="paragraph" w:styleId="Indicedellefigure">
    <w:name w:val="table of figures"/>
    <w:basedOn w:val="Normale"/>
    <w:next w:val="Normale"/>
    <w:uiPriority w:val="99"/>
    <w:semiHidden/>
    <w:unhideWhenUsed/>
    <w:rsid w:val="0003148D"/>
  </w:style>
  <w:style w:type="paragraph" w:styleId="Indicefonti">
    <w:name w:val="table of authorities"/>
    <w:basedOn w:val="Normale"/>
    <w:next w:val="Normale"/>
    <w:uiPriority w:val="99"/>
    <w:semiHidden/>
    <w:unhideWhenUsed/>
    <w:rsid w:val="0003148D"/>
    <w:pPr>
      <w:ind w:left="220" w:hanging="220"/>
    </w:pPr>
  </w:style>
  <w:style w:type="paragraph" w:styleId="Indirizzodestinatario">
    <w:name w:val="envelope address"/>
    <w:basedOn w:val="Normale"/>
    <w:uiPriority w:val="99"/>
    <w:semiHidden/>
    <w:unhideWhenUsed/>
    <w:rsid w:val="0003148D"/>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IndirizzoHTML">
    <w:name w:val="HTML Address"/>
    <w:basedOn w:val="Normale"/>
    <w:link w:val="IndirizzoHTMLCarattere"/>
    <w:uiPriority w:val="99"/>
    <w:semiHidden/>
    <w:unhideWhenUsed/>
    <w:rsid w:val="0003148D"/>
    <w:pPr>
      <w:spacing w:line="240" w:lineRule="auto"/>
    </w:pPr>
    <w:rPr>
      <w:i/>
      <w:iCs/>
    </w:rPr>
  </w:style>
  <w:style w:type="character" w:customStyle="1" w:styleId="IndirizzoHTMLCarattere">
    <w:name w:val="Indirizzo HTML Carattere"/>
    <w:basedOn w:val="Carpredefinitoparagrafo"/>
    <w:link w:val="IndirizzoHTML"/>
    <w:uiPriority w:val="99"/>
    <w:semiHidden/>
    <w:rsid w:val="0003148D"/>
    <w:rPr>
      <w:i/>
      <w:iCs/>
    </w:rPr>
  </w:style>
  <w:style w:type="paragraph" w:styleId="Indirizzomittente">
    <w:name w:val="envelope return"/>
    <w:basedOn w:val="Normale"/>
    <w:uiPriority w:val="99"/>
    <w:semiHidden/>
    <w:unhideWhenUsed/>
    <w:rsid w:val="0003148D"/>
    <w:pPr>
      <w:spacing w:line="240" w:lineRule="auto"/>
    </w:pPr>
    <w:rPr>
      <w:rFonts w:asciiTheme="majorHAnsi" w:eastAsiaTheme="majorEastAsia" w:hAnsiTheme="majorHAnsi" w:cstheme="majorBidi"/>
    </w:rPr>
  </w:style>
  <w:style w:type="paragraph" w:styleId="Intestazionemessaggio">
    <w:name w:val="Message Header"/>
    <w:basedOn w:val="Normale"/>
    <w:link w:val="IntestazionemessaggioCarattere"/>
    <w:uiPriority w:val="99"/>
    <w:semiHidden/>
    <w:unhideWhenUsed/>
    <w:rsid w:val="0003148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IntestazionemessaggioCarattere">
    <w:name w:val="Intestazione messaggio Carattere"/>
    <w:basedOn w:val="Carpredefinitoparagrafo"/>
    <w:link w:val="Intestazionemessaggio"/>
    <w:uiPriority w:val="99"/>
    <w:semiHidden/>
    <w:rsid w:val="0003148D"/>
    <w:rPr>
      <w:rFonts w:asciiTheme="majorHAnsi" w:eastAsiaTheme="majorEastAsia" w:hAnsiTheme="majorHAnsi" w:cstheme="majorBidi"/>
      <w:sz w:val="24"/>
      <w:szCs w:val="24"/>
      <w:shd w:val="pct20" w:color="auto" w:fill="auto"/>
    </w:rPr>
  </w:style>
  <w:style w:type="paragraph" w:styleId="Intestazionenota">
    <w:name w:val="Note Heading"/>
    <w:basedOn w:val="Normale"/>
    <w:next w:val="Normale"/>
    <w:link w:val="IntestazionenotaCarattere"/>
    <w:uiPriority w:val="99"/>
    <w:semiHidden/>
    <w:unhideWhenUsed/>
    <w:rsid w:val="0003148D"/>
    <w:pPr>
      <w:spacing w:line="240" w:lineRule="auto"/>
    </w:pPr>
  </w:style>
  <w:style w:type="character" w:customStyle="1" w:styleId="IntestazionenotaCarattere">
    <w:name w:val="Intestazione nota Carattere"/>
    <w:basedOn w:val="Carpredefinitoparagrafo"/>
    <w:link w:val="Intestazionenota"/>
    <w:uiPriority w:val="99"/>
    <w:semiHidden/>
    <w:rsid w:val="0003148D"/>
  </w:style>
  <w:style w:type="paragraph" w:styleId="Mappadocumento">
    <w:name w:val="Document Map"/>
    <w:basedOn w:val="Normale"/>
    <w:link w:val="MappadocumentoCarattere"/>
    <w:uiPriority w:val="99"/>
    <w:semiHidden/>
    <w:unhideWhenUsed/>
    <w:rsid w:val="0003148D"/>
    <w:pPr>
      <w:spacing w:line="240" w:lineRule="auto"/>
    </w:pPr>
    <w:rPr>
      <w:rFonts w:ascii="Tahoma" w:hAnsi="Tahoma" w:cs="Tahoma"/>
      <w:sz w:val="16"/>
      <w:szCs w:val="16"/>
    </w:rPr>
  </w:style>
  <w:style w:type="character" w:customStyle="1" w:styleId="MappadocumentoCarattere">
    <w:name w:val="Mappa documento Carattere"/>
    <w:basedOn w:val="Carpredefinitoparagrafo"/>
    <w:link w:val="Mappadocumento"/>
    <w:uiPriority w:val="99"/>
    <w:semiHidden/>
    <w:rsid w:val="0003148D"/>
    <w:rPr>
      <w:rFonts w:ascii="Tahoma" w:hAnsi="Tahoma" w:cs="Tahoma"/>
      <w:sz w:val="16"/>
      <w:szCs w:val="16"/>
    </w:rPr>
  </w:style>
  <w:style w:type="paragraph" w:styleId="NormaleWeb">
    <w:name w:val="Normal (Web)"/>
    <w:basedOn w:val="Normale"/>
    <w:uiPriority w:val="99"/>
    <w:semiHidden/>
    <w:unhideWhenUsed/>
    <w:rsid w:val="0003148D"/>
    <w:rPr>
      <w:sz w:val="24"/>
      <w:szCs w:val="24"/>
    </w:rPr>
  </w:style>
  <w:style w:type="paragraph" w:styleId="Numeroelenco">
    <w:name w:val="List Number"/>
    <w:basedOn w:val="Normale"/>
    <w:uiPriority w:val="99"/>
    <w:semiHidden/>
    <w:unhideWhenUsed/>
    <w:rsid w:val="0003148D"/>
    <w:pPr>
      <w:numPr>
        <w:numId w:val="2"/>
      </w:numPr>
      <w:contextualSpacing/>
    </w:pPr>
  </w:style>
  <w:style w:type="paragraph" w:styleId="Numeroelenco2">
    <w:name w:val="List Number 2"/>
    <w:basedOn w:val="Normale"/>
    <w:uiPriority w:val="99"/>
    <w:semiHidden/>
    <w:unhideWhenUsed/>
    <w:rsid w:val="0003148D"/>
    <w:pPr>
      <w:numPr>
        <w:numId w:val="3"/>
      </w:numPr>
      <w:contextualSpacing/>
    </w:pPr>
  </w:style>
  <w:style w:type="paragraph" w:styleId="Numeroelenco3">
    <w:name w:val="List Number 3"/>
    <w:basedOn w:val="Normale"/>
    <w:uiPriority w:val="99"/>
    <w:semiHidden/>
    <w:unhideWhenUsed/>
    <w:rsid w:val="0003148D"/>
    <w:pPr>
      <w:numPr>
        <w:numId w:val="4"/>
      </w:numPr>
      <w:contextualSpacing/>
    </w:pPr>
  </w:style>
  <w:style w:type="paragraph" w:styleId="Numeroelenco4">
    <w:name w:val="List Number 4"/>
    <w:basedOn w:val="Normale"/>
    <w:uiPriority w:val="99"/>
    <w:semiHidden/>
    <w:unhideWhenUsed/>
    <w:rsid w:val="0003148D"/>
    <w:pPr>
      <w:numPr>
        <w:numId w:val="5"/>
      </w:numPr>
      <w:contextualSpacing/>
    </w:pPr>
  </w:style>
  <w:style w:type="paragraph" w:styleId="Numeroelenco5">
    <w:name w:val="List Number 5"/>
    <w:basedOn w:val="Normale"/>
    <w:uiPriority w:val="99"/>
    <w:semiHidden/>
    <w:unhideWhenUsed/>
    <w:rsid w:val="0003148D"/>
    <w:pPr>
      <w:numPr>
        <w:numId w:val="6"/>
      </w:numPr>
      <w:contextualSpacing/>
    </w:pPr>
  </w:style>
  <w:style w:type="paragraph" w:styleId="PreformattatoHTML">
    <w:name w:val="HTML Preformatted"/>
    <w:basedOn w:val="Normale"/>
    <w:link w:val="PreformattatoHTMLCarattere"/>
    <w:uiPriority w:val="99"/>
    <w:semiHidden/>
    <w:unhideWhenUsed/>
    <w:rsid w:val="0003148D"/>
    <w:pPr>
      <w:spacing w:line="240" w:lineRule="auto"/>
    </w:pPr>
    <w:rPr>
      <w:rFonts w:ascii="Consolas" w:hAnsi="Consolas" w:cs="Consolas"/>
    </w:rPr>
  </w:style>
  <w:style w:type="character" w:customStyle="1" w:styleId="PreformattatoHTMLCarattere">
    <w:name w:val="Preformattato HTML Carattere"/>
    <w:basedOn w:val="Carpredefinitoparagrafo"/>
    <w:link w:val="PreformattatoHTML"/>
    <w:uiPriority w:val="99"/>
    <w:semiHidden/>
    <w:rsid w:val="0003148D"/>
    <w:rPr>
      <w:rFonts w:ascii="Consolas" w:hAnsi="Consolas" w:cs="Consolas"/>
      <w:sz w:val="20"/>
      <w:szCs w:val="20"/>
    </w:rPr>
  </w:style>
  <w:style w:type="paragraph" w:styleId="Primorientrocorpodeltesto">
    <w:name w:val="Body Text First Indent"/>
    <w:basedOn w:val="Corpotesto"/>
    <w:link w:val="PrimorientrocorpodeltestoCarattere"/>
    <w:uiPriority w:val="99"/>
    <w:semiHidden/>
    <w:unhideWhenUsed/>
    <w:rsid w:val="0003148D"/>
    <w:pPr>
      <w:spacing w:after="200"/>
      <w:ind w:firstLine="360"/>
    </w:pPr>
  </w:style>
  <w:style w:type="character" w:customStyle="1" w:styleId="PrimorientrocorpodeltestoCarattere">
    <w:name w:val="Primo rientro corpo del testo Carattere"/>
    <w:basedOn w:val="CorpotestoCarattere"/>
    <w:link w:val="Primorientrocorpodeltesto"/>
    <w:uiPriority w:val="99"/>
    <w:semiHidden/>
    <w:rsid w:val="0003148D"/>
  </w:style>
  <w:style w:type="paragraph" w:styleId="Rientrocorpodeltesto">
    <w:name w:val="Body Text Indent"/>
    <w:basedOn w:val="Normale"/>
    <w:link w:val="RientrocorpodeltestoCarattere"/>
    <w:uiPriority w:val="99"/>
    <w:semiHidden/>
    <w:unhideWhenUsed/>
    <w:rsid w:val="0003148D"/>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03148D"/>
  </w:style>
  <w:style w:type="paragraph" w:styleId="Primorientrocorpodeltesto2">
    <w:name w:val="Body Text First Indent 2"/>
    <w:basedOn w:val="Rientrocorpodeltesto"/>
    <w:link w:val="Primorientrocorpodeltesto2Carattere"/>
    <w:uiPriority w:val="99"/>
    <w:semiHidden/>
    <w:unhideWhenUsed/>
    <w:rsid w:val="0003148D"/>
    <w:pPr>
      <w:spacing w:after="200"/>
      <w:ind w:left="360" w:firstLine="360"/>
    </w:pPr>
  </w:style>
  <w:style w:type="character" w:customStyle="1" w:styleId="Primorientrocorpodeltesto2Carattere">
    <w:name w:val="Primo rientro corpo del testo 2 Carattere"/>
    <w:basedOn w:val="RientrocorpodeltestoCarattere"/>
    <w:link w:val="Primorientrocorpodeltesto2"/>
    <w:uiPriority w:val="99"/>
    <w:semiHidden/>
    <w:rsid w:val="0003148D"/>
  </w:style>
  <w:style w:type="paragraph" w:styleId="Puntoelenco">
    <w:name w:val="List Bullet"/>
    <w:basedOn w:val="Normale"/>
    <w:uiPriority w:val="99"/>
    <w:semiHidden/>
    <w:unhideWhenUsed/>
    <w:rsid w:val="0003148D"/>
    <w:pPr>
      <w:numPr>
        <w:numId w:val="7"/>
      </w:numPr>
      <w:contextualSpacing/>
    </w:pPr>
  </w:style>
  <w:style w:type="paragraph" w:styleId="Puntoelenco2">
    <w:name w:val="List Bullet 2"/>
    <w:basedOn w:val="Normale"/>
    <w:uiPriority w:val="99"/>
    <w:semiHidden/>
    <w:unhideWhenUsed/>
    <w:rsid w:val="0003148D"/>
    <w:pPr>
      <w:numPr>
        <w:numId w:val="8"/>
      </w:numPr>
      <w:contextualSpacing/>
    </w:pPr>
  </w:style>
  <w:style w:type="paragraph" w:styleId="Puntoelenco3">
    <w:name w:val="List Bullet 3"/>
    <w:basedOn w:val="Normale"/>
    <w:uiPriority w:val="99"/>
    <w:semiHidden/>
    <w:unhideWhenUsed/>
    <w:rsid w:val="0003148D"/>
    <w:pPr>
      <w:numPr>
        <w:numId w:val="9"/>
      </w:numPr>
      <w:contextualSpacing/>
    </w:pPr>
  </w:style>
  <w:style w:type="paragraph" w:styleId="Puntoelenco4">
    <w:name w:val="List Bullet 4"/>
    <w:basedOn w:val="Normale"/>
    <w:uiPriority w:val="99"/>
    <w:semiHidden/>
    <w:unhideWhenUsed/>
    <w:rsid w:val="0003148D"/>
    <w:pPr>
      <w:numPr>
        <w:numId w:val="10"/>
      </w:numPr>
      <w:contextualSpacing/>
    </w:pPr>
  </w:style>
  <w:style w:type="paragraph" w:styleId="Puntoelenco5">
    <w:name w:val="List Bullet 5"/>
    <w:basedOn w:val="Normale"/>
    <w:uiPriority w:val="99"/>
    <w:semiHidden/>
    <w:unhideWhenUsed/>
    <w:rsid w:val="0003148D"/>
    <w:pPr>
      <w:numPr>
        <w:numId w:val="11"/>
      </w:numPr>
      <w:contextualSpacing/>
    </w:pPr>
  </w:style>
  <w:style w:type="paragraph" w:styleId="Rientrocorpodeltesto2">
    <w:name w:val="Body Text Indent 2"/>
    <w:basedOn w:val="Normale"/>
    <w:link w:val="Rientrocorpodeltesto2Carattere"/>
    <w:uiPriority w:val="99"/>
    <w:semiHidden/>
    <w:unhideWhenUsed/>
    <w:rsid w:val="0003148D"/>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rsid w:val="0003148D"/>
  </w:style>
  <w:style w:type="paragraph" w:styleId="Rientrocorpodeltesto3">
    <w:name w:val="Body Text Indent 3"/>
    <w:basedOn w:val="Normale"/>
    <w:link w:val="Rientrocorpodeltesto3Carattere"/>
    <w:uiPriority w:val="99"/>
    <w:semiHidden/>
    <w:unhideWhenUsed/>
    <w:rsid w:val="0003148D"/>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03148D"/>
    <w:rPr>
      <w:sz w:val="16"/>
      <w:szCs w:val="16"/>
    </w:rPr>
  </w:style>
  <w:style w:type="paragraph" w:styleId="Rientronormale">
    <w:name w:val="Normal Indent"/>
    <w:basedOn w:val="Normale"/>
    <w:uiPriority w:val="99"/>
    <w:semiHidden/>
    <w:unhideWhenUsed/>
    <w:rsid w:val="0003148D"/>
    <w:pPr>
      <w:ind w:left="720"/>
    </w:pPr>
  </w:style>
  <w:style w:type="paragraph" w:styleId="Testocommento">
    <w:name w:val="annotation text"/>
    <w:basedOn w:val="Normale"/>
    <w:link w:val="TestocommentoCarattere"/>
    <w:uiPriority w:val="99"/>
    <w:unhideWhenUsed/>
    <w:rsid w:val="0003148D"/>
    <w:pPr>
      <w:spacing w:line="240" w:lineRule="auto"/>
    </w:pPr>
  </w:style>
  <w:style w:type="character" w:customStyle="1" w:styleId="TestocommentoCarattere">
    <w:name w:val="Testo commento Carattere"/>
    <w:basedOn w:val="Carpredefinitoparagrafo"/>
    <w:link w:val="Testocommento"/>
    <w:uiPriority w:val="99"/>
    <w:rsid w:val="0003148D"/>
    <w:rPr>
      <w:sz w:val="20"/>
      <w:szCs w:val="20"/>
    </w:rPr>
  </w:style>
  <w:style w:type="paragraph" w:styleId="Soggettocommento">
    <w:name w:val="annotation subject"/>
    <w:basedOn w:val="Testocommento"/>
    <w:next w:val="Testocommento"/>
    <w:link w:val="SoggettocommentoCarattere"/>
    <w:uiPriority w:val="99"/>
    <w:semiHidden/>
    <w:unhideWhenUsed/>
    <w:rsid w:val="0003148D"/>
    <w:rPr>
      <w:b/>
      <w:bCs/>
    </w:rPr>
  </w:style>
  <w:style w:type="character" w:customStyle="1" w:styleId="SoggettocommentoCarattere">
    <w:name w:val="Soggetto commento Carattere"/>
    <w:basedOn w:val="TestocommentoCarattere"/>
    <w:link w:val="Soggettocommento"/>
    <w:uiPriority w:val="99"/>
    <w:semiHidden/>
    <w:rsid w:val="0003148D"/>
    <w:rPr>
      <w:b/>
      <w:bCs/>
      <w:sz w:val="20"/>
      <w:szCs w:val="20"/>
    </w:rPr>
  </w:style>
  <w:style w:type="paragraph" w:styleId="Sommario1">
    <w:name w:val="toc 1"/>
    <w:basedOn w:val="Normale"/>
    <w:next w:val="Normale"/>
    <w:autoRedefine/>
    <w:uiPriority w:val="39"/>
    <w:semiHidden/>
    <w:unhideWhenUsed/>
    <w:rsid w:val="0003148D"/>
    <w:pPr>
      <w:spacing w:after="100"/>
    </w:pPr>
  </w:style>
  <w:style w:type="paragraph" w:styleId="Sommario2">
    <w:name w:val="toc 2"/>
    <w:basedOn w:val="Normale"/>
    <w:next w:val="Normale"/>
    <w:autoRedefine/>
    <w:uiPriority w:val="39"/>
    <w:semiHidden/>
    <w:unhideWhenUsed/>
    <w:rsid w:val="0003148D"/>
    <w:pPr>
      <w:spacing w:after="100"/>
      <w:ind w:left="220"/>
    </w:pPr>
  </w:style>
  <w:style w:type="paragraph" w:styleId="Sommario3">
    <w:name w:val="toc 3"/>
    <w:basedOn w:val="Normale"/>
    <w:next w:val="Normale"/>
    <w:autoRedefine/>
    <w:uiPriority w:val="39"/>
    <w:semiHidden/>
    <w:unhideWhenUsed/>
    <w:rsid w:val="0003148D"/>
    <w:pPr>
      <w:spacing w:after="100"/>
      <w:ind w:left="440"/>
    </w:pPr>
  </w:style>
  <w:style w:type="paragraph" w:styleId="Sommario4">
    <w:name w:val="toc 4"/>
    <w:basedOn w:val="Normale"/>
    <w:next w:val="Normale"/>
    <w:autoRedefine/>
    <w:uiPriority w:val="39"/>
    <w:semiHidden/>
    <w:unhideWhenUsed/>
    <w:rsid w:val="0003148D"/>
    <w:pPr>
      <w:spacing w:after="100"/>
      <w:ind w:left="660"/>
    </w:pPr>
  </w:style>
  <w:style w:type="paragraph" w:styleId="Sommario5">
    <w:name w:val="toc 5"/>
    <w:basedOn w:val="Normale"/>
    <w:next w:val="Normale"/>
    <w:autoRedefine/>
    <w:uiPriority w:val="39"/>
    <w:semiHidden/>
    <w:unhideWhenUsed/>
    <w:rsid w:val="0003148D"/>
    <w:pPr>
      <w:spacing w:after="100"/>
      <w:ind w:left="880"/>
    </w:pPr>
  </w:style>
  <w:style w:type="paragraph" w:styleId="Sommario6">
    <w:name w:val="toc 6"/>
    <w:basedOn w:val="Normale"/>
    <w:next w:val="Normale"/>
    <w:autoRedefine/>
    <w:uiPriority w:val="39"/>
    <w:semiHidden/>
    <w:unhideWhenUsed/>
    <w:rsid w:val="0003148D"/>
    <w:pPr>
      <w:spacing w:after="100"/>
      <w:ind w:left="1100"/>
    </w:pPr>
  </w:style>
  <w:style w:type="paragraph" w:styleId="Sommario7">
    <w:name w:val="toc 7"/>
    <w:basedOn w:val="Normale"/>
    <w:next w:val="Normale"/>
    <w:autoRedefine/>
    <w:uiPriority w:val="39"/>
    <w:semiHidden/>
    <w:unhideWhenUsed/>
    <w:rsid w:val="0003148D"/>
    <w:pPr>
      <w:spacing w:after="100"/>
      <w:ind w:left="1320"/>
    </w:pPr>
  </w:style>
  <w:style w:type="paragraph" w:styleId="Sommario8">
    <w:name w:val="toc 8"/>
    <w:basedOn w:val="Normale"/>
    <w:next w:val="Normale"/>
    <w:autoRedefine/>
    <w:uiPriority w:val="39"/>
    <w:semiHidden/>
    <w:unhideWhenUsed/>
    <w:rsid w:val="0003148D"/>
    <w:pPr>
      <w:spacing w:after="100"/>
      <w:ind w:left="1540"/>
    </w:pPr>
  </w:style>
  <w:style w:type="paragraph" w:styleId="Sommario9">
    <w:name w:val="toc 9"/>
    <w:basedOn w:val="Normale"/>
    <w:next w:val="Normale"/>
    <w:autoRedefine/>
    <w:uiPriority w:val="39"/>
    <w:semiHidden/>
    <w:unhideWhenUsed/>
    <w:rsid w:val="0003148D"/>
    <w:pPr>
      <w:spacing w:after="100"/>
      <w:ind w:left="1760"/>
    </w:pPr>
  </w:style>
  <w:style w:type="paragraph" w:styleId="Testodelblocco">
    <w:name w:val="Block Text"/>
    <w:basedOn w:val="Normale"/>
    <w:uiPriority w:val="99"/>
    <w:semiHidden/>
    <w:unhideWhenUsed/>
    <w:rsid w:val="0003148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Testomacro">
    <w:name w:val="macro"/>
    <w:link w:val="TestomacroCarattere"/>
    <w:uiPriority w:val="99"/>
    <w:semiHidden/>
    <w:unhideWhenUsed/>
    <w:rsid w:val="0003148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TestomacroCarattere">
    <w:name w:val="Testo macro Carattere"/>
    <w:basedOn w:val="Carpredefinitoparagrafo"/>
    <w:link w:val="Testomacro"/>
    <w:uiPriority w:val="99"/>
    <w:semiHidden/>
    <w:rsid w:val="0003148D"/>
    <w:rPr>
      <w:rFonts w:ascii="Consolas" w:hAnsi="Consolas" w:cs="Consolas"/>
      <w:sz w:val="20"/>
      <w:szCs w:val="20"/>
    </w:rPr>
  </w:style>
  <w:style w:type="paragraph" w:styleId="Testonormale">
    <w:name w:val="Plain Text"/>
    <w:basedOn w:val="Normale"/>
    <w:link w:val="TestonormaleCarattere"/>
    <w:uiPriority w:val="99"/>
    <w:semiHidden/>
    <w:unhideWhenUsed/>
    <w:rsid w:val="0003148D"/>
    <w:pPr>
      <w:spacing w:line="240" w:lineRule="auto"/>
    </w:pPr>
    <w:rPr>
      <w:rFonts w:ascii="Consolas" w:hAnsi="Consolas" w:cs="Consolas"/>
      <w:sz w:val="21"/>
      <w:szCs w:val="21"/>
    </w:rPr>
  </w:style>
  <w:style w:type="character" w:customStyle="1" w:styleId="TestonormaleCarattere">
    <w:name w:val="Testo normale Carattere"/>
    <w:basedOn w:val="Carpredefinitoparagrafo"/>
    <w:link w:val="Testonormale"/>
    <w:uiPriority w:val="99"/>
    <w:semiHidden/>
    <w:rsid w:val="0003148D"/>
    <w:rPr>
      <w:rFonts w:ascii="Consolas" w:hAnsi="Consolas" w:cs="Consolas"/>
      <w:sz w:val="21"/>
      <w:szCs w:val="21"/>
    </w:rPr>
  </w:style>
  <w:style w:type="paragraph" w:styleId="Testonotaapidipagina">
    <w:name w:val="footnote text"/>
    <w:basedOn w:val="Normale"/>
    <w:link w:val="TestonotaapidipaginaCarattere"/>
    <w:uiPriority w:val="99"/>
    <w:semiHidden/>
    <w:unhideWhenUsed/>
    <w:rsid w:val="0003148D"/>
    <w:pPr>
      <w:spacing w:line="240" w:lineRule="auto"/>
    </w:pPr>
  </w:style>
  <w:style w:type="character" w:customStyle="1" w:styleId="TestonotaapidipaginaCarattere">
    <w:name w:val="Testo nota a piè di pagina Carattere"/>
    <w:basedOn w:val="Carpredefinitoparagrafo"/>
    <w:link w:val="Testonotaapidipagina"/>
    <w:uiPriority w:val="99"/>
    <w:semiHidden/>
    <w:rsid w:val="0003148D"/>
    <w:rPr>
      <w:sz w:val="20"/>
      <w:szCs w:val="20"/>
    </w:rPr>
  </w:style>
  <w:style w:type="paragraph" w:styleId="Testonotadichiusura">
    <w:name w:val="endnote text"/>
    <w:basedOn w:val="Normale"/>
    <w:link w:val="TestonotadichiusuraCarattere"/>
    <w:uiPriority w:val="99"/>
    <w:semiHidden/>
    <w:unhideWhenUsed/>
    <w:rsid w:val="0003148D"/>
    <w:pPr>
      <w:spacing w:line="240" w:lineRule="auto"/>
    </w:pPr>
  </w:style>
  <w:style w:type="character" w:customStyle="1" w:styleId="TestonotadichiusuraCarattere">
    <w:name w:val="Testo nota di chiusura Carattere"/>
    <w:basedOn w:val="Carpredefinitoparagrafo"/>
    <w:link w:val="Testonotadichiusura"/>
    <w:uiPriority w:val="99"/>
    <w:semiHidden/>
    <w:rsid w:val="0003148D"/>
    <w:rPr>
      <w:sz w:val="20"/>
      <w:szCs w:val="20"/>
    </w:rPr>
  </w:style>
  <w:style w:type="character" w:customStyle="1" w:styleId="Titolo1Carattere">
    <w:name w:val="Titolo 1 Carattere"/>
    <w:basedOn w:val="Carpredefinitoparagrafo"/>
    <w:link w:val="Titolo1"/>
    <w:uiPriority w:val="9"/>
    <w:rsid w:val="004F5E36"/>
    <w:rPr>
      <w:rFonts w:ascii="Arial" w:eastAsia="Times New Roman" w:hAnsi="Arial" w:cs="Times New Roman"/>
      <w:b/>
      <w:sz w:val="20"/>
      <w:szCs w:val="20"/>
      <w:lang w:val="en-GB"/>
    </w:rPr>
  </w:style>
  <w:style w:type="character" w:customStyle="1" w:styleId="Titolo2Carattere">
    <w:name w:val="Titolo 2 Carattere"/>
    <w:basedOn w:val="Carpredefinitoparagrafo"/>
    <w:link w:val="Titolo2"/>
    <w:uiPriority w:val="9"/>
    <w:semiHidden/>
    <w:rsid w:val="0003148D"/>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semiHidden/>
    <w:rsid w:val="0003148D"/>
    <w:rPr>
      <w:rFonts w:asciiTheme="majorHAnsi" w:eastAsiaTheme="majorEastAsia" w:hAnsiTheme="majorHAnsi" w:cstheme="majorBidi"/>
      <w:b/>
      <w:bCs/>
      <w:color w:val="4F81BD" w:themeColor="accent1"/>
    </w:rPr>
  </w:style>
  <w:style w:type="character" w:customStyle="1" w:styleId="Titolo4Carattere">
    <w:name w:val="Titolo 4 Carattere"/>
    <w:basedOn w:val="Carpredefinitoparagrafo"/>
    <w:link w:val="Titolo4"/>
    <w:uiPriority w:val="9"/>
    <w:semiHidden/>
    <w:rsid w:val="0003148D"/>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03148D"/>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03148D"/>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03148D"/>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03148D"/>
    <w:rPr>
      <w:rFonts w:asciiTheme="majorHAnsi" w:eastAsiaTheme="majorEastAsia" w:hAnsiTheme="majorHAnsi" w:cstheme="majorBidi"/>
      <w:color w:val="404040" w:themeColor="text1" w:themeTint="BF"/>
      <w:sz w:val="20"/>
      <w:szCs w:val="20"/>
    </w:rPr>
  </w:style>
  <w:style w:type="character" w:customStyle="1" w:styleId="Titolo9Carattere">
    <w:name w:val="Titolo 9 Carattere"/>
    <w:basedOn w:val="Carpredefinitoparagrafo"/>
    <w:link w:val="Titolo9"/>
    <w:uiPriority w:val="9"/>
    <w:semiHidden/>
    <w:rsid w:val="0003148D"/>
    <w:rPr>
      <w:rFonts w:asciiTheme="majorHAnsi" w:eastAsiaTheme="majorEastAsia" w:hAnsiTheme="majorHAnsi" w:cstheme="majorBidi"/>
      <w:i/>
      <w:iCs/>
      <w:color w:val="404040" w:themeColor="text1" w:themeTint="BF"/>
      <w:sz w:val="20"/>
      <w:szCs w:val="20"/>
    </w:rPr>
  </w:style>
  <w:style w:type="paragraph" w:styleId="Titoloindice">
    <w:name w:val="index heading"/>
    <w:basedOn w:val="Normale"/>
    <w:next w:val="Indice1"/>
    <w:uiPriority w:val="99"/>
    <w:semiHidden/>
    <w:unhideWhenUsed/>
    <w:rsid w:val="0003148D"/>
    <w:rPr>
      <w:rFonts w:asciiTheme="majorHAnsi" w:eastAsiaTheme="majorEastAsia" w:hAnsiTheme="majorHAnsi" w:cstheme="majorBidi"/>
      <w:b/>
      <w:bCs/>
    </w:rPr>
  </w:style>
  <w:style w:type="paragraph" w:styleId="Titoloindicefonti">
    <w:name w:val="toa heading"/>
    <w:basedOn w:val="Normale"/>
    <w:next w:val="Normale"/>
    <w:uiPriority w:val="99"/>
    <w:semiHidden/>
    <w:unhideWhenUsed/>
    <w:rsid w:val="0003148D"/>
    <w:pPr>
      <w:spacing w:before="120"/>
    </w:pPr>
    <w:rPr>
      <w:rFonts w:asciiTheme="majorHAnsi" w:eastAsiaTheme="majorEastAsia" w:hAnsiTheme="majorHAnsi" w:cstheme="majorBidi"/>
      <w:b/>
      <w:bCs/>
      <w:sz w:val="24"/>
      <w:szCs w:val="24"/>
    </w:rPr>
  </w:style>
  <w:style w:type="paragraph" w:styleId="Titolosommario">
    <w:name w:val="TOC Heading"/>
    <w:basedOn w:val="Titolo1"/>
    <w:next w:val="Normale"/>
    <w:uiPriority w:val="39"/>
    <w:semiHidden/>
    <w:unhideWhenUsed/>
    <w:qFormat/>
    <w:rsid w:val="0003148D"/>
    <w:pPr>
      <w:outlineLvl w:val="9"/>
    </w:pPr>
  </w:style>
  <w:style w:type="paragraph" w:customStyle="1" w:styleId="CETemail">
    <w:name w:val="CET email"/>
    <w:next w:val="CETBodytext"/>
    <w:rsid w:val="009E788A"/>
    <w:pPr>
      <w:spacing w:after="240"/>
    </w:pPr>
    <w:rPr>
      <w:rFonts w:ascii="Arial" w:eastAsia="Times New Roman" w:hAnsi="Arial" w:cs="Times New Roman"/>
      <w:noProof/>
      <w:sz w:val="16"/>
      <w:szCs w:val="20"/>
      <w:lang w:val="en-GB"/>
    </w:rPr>
  </w:style>
  <w:style w:type="character" w:customStyle="1" w:styleId="CETAddressCarattere">
    <w:name w:val="CET Address Carattere"/>
    <w:basedOn w:val="Carpredefinitoparagrafo"/>
    <w:link w:val="CETAddress"/>
    <w:rsid w:val="009E788A"/>
    <w:rPr>
      <w:rFonts w:ascii="Arial" w:eastAsia="Times New Roman" w:hAnsi="Arial" w:cs="Times New Roman"/>
      <w:noProof/>
      <w:sz w:val="16"/>
      <w:szCs w:val="20"/>
      <w:lang w:val="en-GB"/>
    </w:rPr>
  </w:style>
  <w:style w:type="paragraph" w:customStyle="1" w:styleId="CETBodytextBold">
    <w:name w:val="CET Body text (Bold)"/>
    <w:basedOn w:val="CETBodytext"/>
    <w:rsid w:val="00901EB6"/>
    <w:rPr>
      <w:b/>
    </w:rPr>
  </w:style>
  <w:style w:type="paragraph" w:customStyle="1" w:styleId="CETnumberingbullets">
    <w:name w:val="CET numbering (bullets)"/>
    <w:rsid w:val="008D433B"/>
    <w:pPr>
      <w:numPr>
        <w:numId w:val="13"/>
      </w:numPr>
      <w:spacing w:after="0" w:line="264" w:lineRule="auto"/>
    </w:pPr>
    <w:rPr>
      <w:rFonts w:ascii="Arial" w:eastAsia="Times New Roman" w:hAnsi="Arial" w:cs="Times New Roman"/>
      <w:sz w:val="18"/>
      <w:szCs w:val="20"/>
      <w:lang w:val="en-GB"/>
    </w:rPr>
  </w:style>
  <w:style w:type="paragraph" w:customStyle="1" w:styleId="CETnumbering1">
    <w:name w:val="CET numbering (1"/>
    <w:aliases w:val="2..)"/>
    <w:rsid w:val="00B57B36"/>
    <w:pPr>
      <w:numPr>
        <w:numId w:val="14"/>
      </w:numPr>
      <w:spacing w:after="0" w:line="264" w:lineRule="auto"/>
      <w:ind w:left="340" w:hanging="227"/>
    </w:pPr>
    <w:rPr>
      <w:rFonts w:ascii="Arial" w:eastAsia="Times New Roman" w:hAnsi="Arial" w:cs="Times New Roman"/>
      <w:sz w:val="18"/>
      <w:szCs w:val="20"/>
      <w:lang w:val="en-US"/>
    </w:rPr>
  </w:style>
  <w:style w:type="paragraph" w:customStyle="1" w:styleId="CETnumberinga">
    <w:name w:val="CET numbering (a"/>
    <w:aliases w:val="b,..)"/>
    <w:rsid w:val="00B57B36"/>
    <w:pPr>
      <w:numPr>
        <w:numId w:val="15"/>
      </w:numPr>
      <w:spacing w:after="0" w:line="264" w:lineRule="auto"/>
    </w:pPr>
    <w:rPr>
      <w:rFonts w:ascii="Arial" w:eastAsia="Times New Roman" w:hAnsi="Arial" w:cs="Times New Roman"/>
      <w:sz w:val="18"/>
      <w:szCs w:val="20"/>
      <w:lang w:val="en-GB"/>
    </w:rPr>
  </w:style>
  <w:style w:type="paragraph" w:styleId="Intestazione">
    <w:name w:val="header"/>
    <w:basedOn w:val="Normale"/>
    <w:link w:val="IntestazioneCarattere"/>
    <w:uiPriority w:val="99"/>
    <w:unhideWhenUsed/>
    <w:rsid w:val="005278B7"/>
    <w:pPr>
      <w:tabs>
        <w:tab w:val="clear" w:pos="7100"/>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5278B7"/>
    <w:rPr>
      <w:rFonts w:ascii="Arial" w:eastAsia="Times New Roman" w:hAnsi="Arial" w:cs="Times New Roman"/>
      <w:sz w:val="18"/>
      <w:szCs w:val="20"/>
      <w:lang w:val="en-GB"/>
    </w:rPr>
  </w:style>
  <w:style w:type="paragraph" w:styleId="Pidipagina">
    <w:name w:val="footer"/>
    <w:basedOn w:val="Normale"/>
    <w:link w:val="PidipaginaCarattere"/>
    <w:uiPriority w:val="99"/>
    <w:unhideWhenUsed/>
    <w:rsid w:val="005278B7"/>
    <w:pPr>
      <w:tabs>
        <w:tab w:val="clear" w:pos="7100"/>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5278B7"/>
    <w:rPr>
      <w:rFonts w:ascii="Arial" w:eastAsia="Times New Roman" w:hAnsi="Arial" w:cs="Times New Roman"/>
      <w:sz w:val="18"/>
      <w:szCs w:val="20"/>
      <w:lang w:val="en-GB"/>
    </w:rPr>
  </w:style>
  <w:style w:type="table" w:styleId="Grigliatabella">
    <w:name w:val="Table Grid"/>
    <w:basedOn w:val="Tabellanormale"/>
    <w:uiPriority w:val="59"/>
    <w:rsid w:val="00660E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904C62"/>
    <w:rPr>
      <w:color w:val="0000FF" w:themeColor="hyperlink"/>
      <w:u w:val="single"/>
    </w:rPr>
  </w:style>
  <w:style w:type="character" w:customStyle="1" w:styleId="eudoraheader">
    <w:name w:val="eudoraheader"/>
    <w:basedOn w:val="Carpredefinitoparagrafo"/>
    <w:rsid w:val="00904C62"/>
  </w:style>
  <w:style w:type="paragraph" w:customStyle="1" w:styleId="CETListbullets">
    <w:name w:val="CET List bullets"/>
    <w:qFormat/>
    <w:rsid w:val="004577FE"/>
    <w:pPr>
      <w:spacing w:after="0" w:line="264" w:lineRule="auto"/>
      <w:ind w:left="340" w:hanging="227"/>
      <w:jc w:val="both"/>
    </w:pPr>
    <w:rPr>
      <w:rFonts w:ascii="Arial" w:eastAsia="Times New Roman" w:hAnsi="Arial" w:cs="Times New Roman"/>
      <w:sz w:val="18"/>
      <w:szCs w:val="20"/>
      <w:lang w:val="en-GB"/>
    </w:rPr>
  </w:style>
  <w:style w:type="paragraph" w:customStyle="1" w:styleId="CETReferencetext">
    <w:name w:val="CET Reference text"/>
    <w:qFormat/>
    <w:rsid w:val="00600535"/>
    <w:pPr>
      <w:spacing w:after="0" w:line="264" w:lineRule="auto"/>
      <w:ind w:left="284" w:hanging="284"/>
      <w:jc w:val="both"/>
    </w:pPr>
    <w:rPr>
      <w:rFonts w:ascii="Arial" w:eastAsia="Times New Roman" w:hAnsi="Arial" w:cs="Times New Roman"/>
      <w:sz w:val="18"/>
      <w:szCs w:val="20"/>
      <w:lang w:val="en-GB"/>
    </w:rPr>
  </w:style>
  <w:style w:type="paragraph" w:customStyle="1" w:styleId="CETTabletitle">
    <w:name w:val="CET Table title"/>
    <w:qFormat/>
    <w:rsid w:val="00600535"/>
    <w:pPr>
      <w:keepNext/>
      <w:spacing w:before="240" w:after="80" w:line="240" w:lineRule="exact"/>
    </w:pPr>
    <w:rPr>
      <w:rFonts w:ascii="Arial" w:eastAsia="Times New Roman" w:hAnsi="Arial" w:cs="Times New Roman"/>
      <w:i/>
      <w:sz w:val="18"/>
      <w:szCs w:val="20"/>
      <w:lang w:val="en-GB"/>
    </w:rPr>
  </w:style>
  <w:style w:type="paragraph" w:customStyle="1" w:styleId="CETAcknowledgementstitle">
    <w:name w:val="CET Acknowledgements title"/>
    <w:next w:val="CETBodytext"/>
    <w:qFormat/>
    <w:rsid w:val="00600535"/>
    <w:pPr>
      <w:spacing w:before="200" w:after="120"/>
    </w:pPr>
    <w:rPr>
      <w:rFonts w:ascii="Arial" w:eastAsia="Times New Roman" w:hAnsi="Arial" w:cs="Times New Roman"/>
      <w:b/>
      <w:sz w:val="18"/>
      <w:szCs w:val="20"/>
      <w:lang w:val="en-GB"/>
    </w:rPr>
  </w:style>
  <w:style w:type="paragraph" w:customStyle="1" w:styleId="CETEquation">
    <w:name w:val="CET Equation"/>
    <w:basedOn w:val="CETBodytext"/>
    <w:next w:val="CETBodytext"/>
    <w:qFormat/>
    <w:rsid w:val="00600535"/>
    <w:pPr>
      <w:spacing w:before="120" w:after="120"/>
      <w:jc w:val="left"/>
    </w:pPr>
    <w:rPr>
      <w:lang w:val="en-GB"/>
    </w:rPr>
  </w:style>
  <w:style w:type="paragraph" w:customStyle="1" w:styleId="CETHeadingxx">
    <w:name w:val="CET Headingxx"/>
    <w:basedOn w:val="CETheadingx"/>
    <w:link w:val="CETHeadingxxChar"/>
    <w:qFormat/>
    <w:rsid w:val="000F787B"/>
    <w:pPr>
      <w:numPr>
        <w:ilvl w:val="0"/>
        <w:numId w:val="0"/>
      </w:numPr>
    </w:pPr>
  </w:style>
  <w:style w:type="character" w:customStyle="1" w:styleId="CETHeadingxxChar">
    <w:name w:val="CET Headingxx Char"/>
    <w:basedOn w:val="CETheadingxCarattere"/>
    <w:link w:val="CETHeadingxx"/>
    <w:rsid w:val="000F787B"/>
    <w:rPr>
      <w:rFonts w:ascii="Arial" w:eastAsia="Times New Roman" w:hAnsi="Arial" w:cs="Times New Roman"/>
      <w:b/>
      <w:sz w:val="18"/>
      <w:szCs w:val="20"/>
      <w:lang w:val="en-US"/>
    </w:rPr>
  </w:style>
  <w:style w:type="paragraph" w:styleId="Paragrafoelenco">
    <w:name w:val="List Paragraph"/>
    <w:basedOn w:val="Normale"/>
    <w:uiPriority w:val="34"/>
    <w:rsid w:val="00280FAF"/>
    <w:pPr>
      <w:ind w:left="720"/>
      <w:contextualSpacing/>
    </w:pPr>
  </w:style>
  <w:style w:type="character" w:customStyle="1" w:styleId="gmail-apple-converted-space">
    <w:name w:val="gmail-apple-converted-space"/>
    <w:basedOn w:val="Carpredefinitoparagrafo"/>
    <w:rsid w:val="00005A19"/>
  </w:style>
  <w:style w:type="paragraph" w:styleId="Nessunaspaziatura">
    <w:name w:val="No Spacing"/>
    <w:uiPriority w:val="1"/>
    <w:qFormat/>
    <w:rsid w:val="00A030B4"/>
    <w:pPr>
      <w:tabs>
        <w:tab w:val="right" w:pos="7100"/>
      </w:tabs>
      <w:spacing w:after="0" w:line="240" w:lineRule="auto"/>
      <w:jc w:val="both"/>
    </w:pPr>
    <w:rPr>
      <w:rFonts w:ascii="Arial" w:eastAsia="Times New Roman" w:hAnsi="Arial" w:cs="Times New Roman"/>
      <w:sz w:val="18"/>
      <w:szCs w:val="20"/>
      <w:lang w:val="en-GB"/>
    </w:rPr>
  </w:style>
  <w:style w:type="character" w:styleId="Testosegnaposto">
    <w:name w:val="Placeholder Text"/>
    <w:basedOn w:val="Carpredefinitoparagrafo"/>
    <w:uiPriority w:val="99"/>
    <w:semiHidden/>
    <w:rsid w:val="00B63508"/>
    <w:rPr>
      <w:color w:val="666666"/>
    </w:rPr>
  </w:style>
  <w:style w:type="character" w:styleId="Menzionenonrisolta">
    <w:name w:val="Unresolved Mention"/>
    <w:basedOn w:val="Carpredefinitoparagrafo"/>
    <w:uiPriority w:val="99"/>
    <w:semiHidden/>
    <w:unhideWhenUsed/>
    <w:rsid w:val="00DF213C"/>
    <w:rPr>
      <w:color w:val="605E5C"/>
      <w:shd w:val="clear" w:color="auto" w:fill="E1DFDD"/>
    </w:rPr>
  </w:style>
  <w:style w:type="paragraph" w:styleId="Revisione">
    <w:name w:val="Revision"/>
    <w:hidden/>
    <w:uiPriority w:val="99"/>
    <w:semiHidden/>
    <w:rsid w:val="006E6D0C"/>
    <w:pPr>
      <w:spacing w:after="0" w:line="240" w:lineRule="auto"/>
    </w:pPr>
    <w:rPr>
      <w:rFonts w:ascii="Arial" w:eastAsia="Times New Roman" w:hAnsi="Arial" w:cs="Times New Roman"/>
      <w:sz w:val="18"/>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633">
      <w:marLeft w:val="0"/>
      <w:marRight w:val="0"/>
      <w:marTop w:val="0"/>
      <w:marBottom w:val="0"/>
      <w:divBdr>
        <w:top w:val="none" w:sz="0" w:space="0" w:color="auto"/>
        <w:left w:val="none" w:sz="0" w:space="0" w:color="auto"/>
        <w:bottom w:val="none" w:sz="0" w:space="0" w:color="auto"/>
        <w:right w:val="none" w:sz="0" w:space="0" w:color="auto"/>
      </w:divBdr>
    </w:div>
    <w:div w:id="7296724">
      <w:marLeft w:val="480"/>
      <w:marRight w:val="0"/>
      <w:marTop w:val="0"/>
      <w:marBottom w:val="0"/>
      <w:divBdr>
        <w:top w:val="none" w:sz="0" w:space="0" w:color="auto"/>
        <w:left w:val="none" w:sz="0" w:space="0" w:color="auto"/>
        <w:bottom w:val="none" w:sz="0" w:space="0" w:color="auto"/>
        <w:right w:val="none" w:sz="0" w:space="0" w:color="auto"/>
      </w:divBdr>
    </w:div>
    <w:div w:id="11303897">
      <w:marLeft w:val="0"/>
      <w:marRight w:val="0"/>
      <w:marTop w:val="0"/>
      <w:marBottom w:val="0"/>
      <w:divBdr>
        <w:top w:val="none" w:sz="0" w:space="0" w:color="auto"/>
        <w:left w:val="none" w:sz="0" w:space="0" w:color="auto"/>
        <w:bottom w:val="none" w:sz="0" w:space="0" w:color="auto"/>
        <w:right w:val="none" w:sz="0" w:space="0" w:color="auto"/>
      </w:divBdr>
    </w:div>
    <w:div w:id="15236005">
      <w:marLeft w:val="0"/>
      <w:marRight w:val="0"/>
      <w:marTop w:val="0"/>
      <w:marBottom w:val="0"/>
      <w:divBdr>
        <w:top w:val="none" w:sz="0" w:space="0" w:color="auto"/>
        <w:left w:val="none" w:sz="0" w:space="0" w:color="auto"/>
        <w:bottom w:val="none" w:sz="0" w:space="0" w:color="auto"/>
        <w:right w:val="none" w:sz="0" w:space="0" w:color="auto"/>
      </w:divBdr>
    </w:div>
    <w:div w:id="16086628">
      <w:marLeft w:val="480"/>
      <w:marRight w:val="0"/>
      <w:marTop w:val="0"/>
      <w:marBottom w:val="0"/>
      <w:divBdr>
        <w:top w:val="none" w:sz="0" w:space="0" w:color="auto"/>
        <w:left w:val="none" w:sz="0" w:space="0" w:color="auto"/>
        <w:bottom w:val="none" w:sz="0" w:space="0" w:color="auto"/>
        <w:right w:val="none" w:sz="0" w:space="0" w:color="auto"/>
      </w:divBdr>
    </w:div>
    <w:div w:id="21253444">
      <w:marLeft w:val="480"/>
      <w:marRight w:val="0"/>
      <w:marTop w:val="0"/>
      <w:marBottom w:val="0"/>
      <w:divBdr>
        <w:top w:val="none" w:sz="0" w:space="0" w:color="auto"/>
        <w:left w:val="none" w:sz="0" w:space="0" w:color="auto"/>
        <w:bottom w:val="none" w:sz="0" w:space="0" w:color="auto"/>
        <w:right w:val="none" w:sz="0" w:space="0" w:color="auto"/>
      </w:divBdr>
    </w:div>
    <w:div w:id="43137867">
      <w:marLeft w:val="480"/>
      <w:marRight w:val="0"/>
      <w:marTop w:val="0"/>
      <w:marBottom w:val="0"/>
      <w:divBdr>
        <w:top w:val="none" w:sz="0" w:space="0" w:color="auto"/>
        <w:left w:val="none" w:sz="0" w:space="0" w:color="auto"/>
        <w:bottom w:val="none" w:sz="0" w:space="0" w:color="auto"/>
        <w:right w:val="none" w:sz="0" w:space="0" w:color="auto"/>
      </w:divBdr>
    </w:div>
    <w:div w:id="46729531">
      <w:marLeft w:val="480"/>
      <w:marRight w:val="0"/>
      <w:marTop w:val="0"/>
      <w:marBottom w:val="0"/>
      <w:divBdr>
        <w:top w:val="none" w:sz="0" w:space="0" w:color="auto"/>
        <w:left w:val="none" w:sz="0" w:space="0" w:color="auto"/>
        <w:bottom w:val="none" w:sz="0" w:space="0" w:color="auto"/>
        <w:right w:val="none" w:sz="0" w:space="0" w:color="auto"/>
      </w:divBdr>
    </w:div>
    <w:div w:id="47996555">
      <w:marLeft w:val="480"/>
      <w:marRight w:val="0"/>
      <w:marTop w:val="0"/>
      <w:marBottom w:val="0"/>
      <w:divBdr>
        <w:top w:val="none" w:sz="0" w:space="0" w:color="auto"/>
        <w:left w:val="none" w:sz="0" w:space="0" w:color="auto"/>
        <w:bottom w:val="none" w:sz="0" w:space="0" w:color="auto"/>
        <w:right w:val="none" w:sz="0" w:space="0" w:color="auto"/>
      </w:divBdr>
    </w:div>
    <w:div w:id="49042124">
      <w:marLeft w:val="480"/>
      <w:marRight w:val="0"/>
      <w:marTop w:val="0"/>
      <w:marBottom w:val="0"/>
      <w:divBdr>
        <w:top w:val="none" w:sz="0" w:space="0" w:color="auto"/>
        <w:left w:val="none" w:sz="0" w:space="0" w:color="auto"/>
        <w:bottom w:val="none" w:sz="0" w:space="0" w:color="auto"/>
        <w:right w:val="none" w:sz="0" w:space="0" w:color="auto"/>
      </w:divBdr>
    </w:div>
    <w:div w:id="50036045">
      <w:marLeft w:val="480"/>
      <w:marRight w:val="0"/>
      <w:marTop w:val="0"/>
      <w:marBottom w:val="0"/>
      <w:divBdr>
        <w:top w:val="none" w:sz="0" w:space="0" w:color="auto"/>
        <w:left w:val="none" w:sz="0" w:space="0" w:color="auto"/>
        <w:bottom w:val="none" w:sz="0" w:space="0" w:color="auto"/>
        <w:right w:val="none" w:sz="0" w:space="0" w:color="auto"/>
      </w:divBdr>
    </w:div>
    <w:div w:id="55127746">
      <w:marLeft w:val="480"/>
      <w:marRight w:val="0"/>
      <w:marTop w:val="0"/>
      <w:marBottom w:val="0"/>
      <w:divBdr>
        <w:top w:val="none" w:sz="0" w:space="0" w:color="auto"/>
        <w:left w:val="none" w:sz="0" w:space="0" w:color="auto"/>
        <w:bottom w:val="none" w:sz="0" w:space="0" w:color="auto"/>
        <w:right w:val="none" w:sz="0" w:space="0" w:color="auto"/>
      </w:divBdr>
    </w:div>
    <w:div w:id="56172628">
      <w:marLeft w:val="0"/>
      <w:marRight w:val="0"/>
      <w:marTop w:val="0"/>
      <w:marBottom w:val="0"/>
      <w:divBdr>
        <w:top w:val="none" w:sz="0" w:space="0" w:color="auto"/>
        <w:left w:val="none" w:sz="0" w:space="0" w:color="auto"/>
        <w:bottom w:val="none" w:sz="0" w:space="0" w:color="auto"/>
        <w:right w:val="none" w:sz="0" w:space="0" w:color="auto"/>
      </w:divBdr>
    </w:div>
    <w:div w:id="58484294">
      <w:marLeft w:val="0"/>
      <w:marRight w:val="0"/>
      <w:marTop w:val="0"/>
      <w:marBottom w:val="0"/>
      <w:divBdr>
        <w:top w:val="none" w:sz="0" w:space="0" w:color="auto"/>
        <w:left w:val="none" w:sz="0" w:space="0" w:color="auto"/>
        <w:bottom w:val="none" w:sz="0" w:space="0" w:color="auto"/>
        <w:right w:val="none" w:sz="0" w:space="0" w:color="auto"/>
      </w:divBdr>
    </w:div>
    <w:div w:id="70544271">
      <w:marLeft w:val="0"/>
      <w:marRight w:val="0"/>
      <w:marTop w:val="0"/>
      <w:marBottom w:val="0"/>
      <w:divBdr>
        <w:top w:val="none" w:sz="0" w:space="0" w:color="auto"/>
        <w:left w:val="none" w:sz="0" w:space="0" w:color="auto"/>
        <w:bottom w:val="none" w:sz="0" w:space="0" w:color="auto"/>
        <w:right w:val="none" w:sz="0" w:space="0" w:color="auto"/>
      </w:divBdr>
    </w:div>
    <w:div w:id="72286476">
      <w:marLeft w:val="0"/>
      <w:marRight w:val="0"/>
      <w:marTop w:val="0"/>
      <w:marBottom w:val="0"/>
      <w:divBdr>
        <w:top w:val="none" w:sz="0" w:space="0" w:color="auto"/>
        <w:left w:val="none" w:sz="0" w:space="0" w:color="auto"/>
        <w:bottom w:val="none" w:sz="0" w:space="0" w:color="auto"/>
        <w:right w:val="none" w:sz="0" w:space="0" w:color="auto"/>
      </w:divBdr>
    </w:div>
    <w:div w:id="77867154">
      <w:marLeft w:val="480"/>
      <w:marRight w:val="0"/>
      <w:marTop w:val="0"/>
      <w:marBottom w:val="0"/>
      <w:divBdr>
        <w:top w:val="none" w:sz="0" w:space="0" w:color="auto"/>
        <w:left w:val="none" w:sz="0" w:space="0" w:color="auto"/>
        <w:bottom w:val="none" w:sz="0" w:space="0" w:color="auto"/>
        <w:right w:val="none" w:sz="0" w:space="0" w:color="auto"/>
      </w:divBdr>
    </w:div>
    <w:div w:id="81802245">
      <w:marLeft w:val="480"/>
      <w:marRight w:val="0"/>
      <w:marTop w:val="0"/>
      <w:marBottom w:val="0"/>
      <w:divBdr>
        <w:top w:val="none" w:sz="0" w:space="0" w:color="auto"/>
        <w:left w:val="none" w:sz="0" w:space="0" w:color="auto"/>
        <w:bottom w:val="none" w:sz="0" w:space="0" w:color="auto"/>
        <w:right w:val="none" w:sz="0" w:space="0" w:color="auto"/>
      </w:divBdr>
    </w:div>
    <w:div w:id="84232365">
      <w:marLeft w:val="480"/>
      <w:marRight w:val="0"/>
      <w:marTop w:val="0"/>
      <w:marBottom w:val="0"/>
      <w:divBdr>
        <w:top w:val="none" w:sz="0" w:space="0" w:color="auto"/>
        <w:left w:val="none" w:sz="0" w:space="0" w:color="auto"/>
        <w:bottom w:val="none" w:sz="0" w:space="0" w:color="auto"/>
        <w:right w:val="none" w:sz="0" w:space="0" w:color="auto"/>
      </w:divBdr>
    </w:div>
    <w:div w:id="98186204">
      <w:marLeft w:val="0"/>
      <w:marRight w:val="0"/>
      <w:marTop w:val="0"/>
      <w:marBottom w:val="0"/>
      <w:divBdr>
        <w:top w:val="none" w:sz="0" w:space="0" w:color="auto"/>
        <w:left w:val="none" w:sz="0" w:space="0" w:color="auto"/>
        <w:bottom w:val="none" w:sz="0" w:space="0" w:color="auto"/>
        <w:right w:val="none" w:sz="0" w:space="0" w:color="auto"/>
      </w:divBdr>
    </w:div>
    <w:div w:id="110366466">
      <w:marLeft w:val="480"/>
      <w:marRight w:val="0"/>
      <w:marTop w:val="0"/>
      <w:marBottom w:val="0"/>
      <w:divBdr>
        <w:top w:val="none" w:sz="0" w:space="0" w:color="auto"/>
        <w:left w:val="none" w:sz="0" w:space="0" w:color="auto"/>
        <w:bottom w:val="none" w:sz="0" w:space="0" w:color="auto"/>
        <w:right w:val="none" w:sz="0" w:space="0" w:color="auto"/>
      </w:divBdr>
    </w:div>
    <w:div w:id="110787464">
      <w:marLeft w:val="480"/>
      <w:marRight w:val="0"/>
      <w:marTop w:val="0"/>
      <w:marBottom w:val="0"/>
      <w:divBdr>
        <w:top w:val="none" w:sz="0" w:space="0" w:color="auto"/>
        <w:left w:val="none" w:sz="0" w:space="0" w:color="auto"/>
        <w:bottom w:val="none" w:sz="0" w:space="0" w:color="auto"/>
        <w:right w:val="none" w:sz="0" w:space="0" w:color="auto"/>
      </w:divBdr>
    </w:div>
    <w:div w:id="113140261">
      <w:marLeft w:val="480"/>
      <w:marRight w:val="0"/>
      <w:marTop w:val="0"/>
      <w:marBottom w:val="0"/>
      <w:divBdr>
        <w:top w:val="none" w:sz="0" w:space="0" w:color="auto"/>
        <w:left w:val="none" w:sz="0" w:space="0" w:color="auto"/>
        <w:bottom w:val="none" w:sz="0" w:space="0" w:color="auto"/>
        <w:right w:val="none" w:sz="0" w:space="0" w:color="auto"/>
      </w:divBdr>
    </w:div>
    <w:div w:id="115027846">
      <w:marLeft w:val="480"/>
      <w:marRight w:val="0"/>
      <w:marTop w:val="0"/>
      <w:marBottom w:val="0"/>
      <w:divBdr>
        <w:top w:val="none" w:sz="0" w:space="0" w:color="auto"/>
        <w:left w:val="none" w:sz="0" w:space="0" w:color="auto"/>
        <w:bottom w:val="none" w:sz="0" w:space="0" w:color="auto"/>
        <w:right w:val="none" w:sz="0" w:space="0" w:color="auto"/>
      </w:divBdr>
    </w:div>
    <w:div w:id="133841301">
      <w:marLeft w:val="480"/>
      <w:marRight w:val="0"/>
      <w:marTop w:val="0"/>
      <w:marBottom w:val="0"/>
      <w:divBdr>
        <w:top w:val="none" w:sz="0" w:space="0" w:color="auto"/>
        <w:left w:val="none" w:sz="0" w:space="0" w:color="auto"/>
        <w:bottom w:val="none" w:sz="0" w:space="0" w:color="auto"/>
        <w:right w:val="none" w:sz="0" w:space="0" w:color="auto"/>
      </w:divBdr>
    </w:div>
    <w:div w:id="141050059">
      <w:marLeft w:val="0"/>
      <w:marRight w:val="0"/>
      <w:marTop w:val="0"/>
      <w:marBottom w:val="0"/>
      <w:divBdr>
        <w:top w:val="none" w:sz="0" w:space="0" w:color="auto"/>
        <w:left w:val="none" w:sz="0" w:space="0" w:color="auto"/>
        <w:bottom w:val="none" w:sz="0" w:space="0" w:color="auto"/>
        <w:right w:val="none" w:sz="0" w:space="0" w:color="auto"/>
      </w:divBdr>
    </w:div>
    <w:div w:id="144008390">
      <w:marLeft w:val="0"/>
      <w:marRight w:val="0"/>
      <w:marTop w:val="0"/>
      <w:marBottom w:val="0"/>
      <w:divBdr>
        <w:top w:val="none" w:sz="0" w:space="0" w:color="auto"/>
        <w:left w:val="none" w:sz="0" w:space="0" w:color="auto"/>
        <w:bottom w:val="none" w:sz="0" w:space="0" w:color="auto"/>
        <w:right w:val="none" w:sz="0" w:space="0" w:color="auto"/>
      </w:divBdr>
    </w:div>
    <w:div w:id="146481999">
      <w:marLeft w:val="480"/>
      <w:marRight w:val="0"/>
      <w:marTop w:val="0"/>
      <w:marBottom w:val="0"/>
      <w:divBdr>
        <w:top w:val="none" w:sz="0" w:space="0" w:color="auto"/>
        <w:left w:val="none" w:sz="0" w:space="0" w:color="auto"/>
        <w:bottom w:val="none" w:sz="0" w:space="0" w:color="auto"/>
        <w:right w:val="none" w:sz="0" w:space="0" w:color="auto"/>
      </w:divBdr>
    </w:div>
    <w:div w:id="150828719">
      <w:marLeft w:val="480"/>
      <w:marRight w:val="0"/>
      <w:marTop w:val="0"/>
      <w:marBottom w:val="0"/>
      <w:divBdr>
        <w:top w:val="none" w:sz="0" w:space="0" w:color="auto"/>
        <w:left w:val="none" w:sz="0" w:space="0" w:color="auto"/>
        <w:bottom w:val="none" w:sz="0" w:space="0" w:color="auto"/>
        <w:right w:val="none" w:sz="0" w:space="0" w:color="auto"/>
      </w:divBdr>
    </w:div>
    <w:div w:id="167405440">
      <w:marLeft w:val="0"/>
      <w:marRight w:val="0"/>
      <w:marTop w:val="0"/>
      <w:marBottom w:val="0"/>
      <w:divBdr>
        <w:top w:val="none" w:sz="0" w:space="0" w:color="auto"/>
        <w:left w:val="none" w:sz="0" w:space="0" w:color="auto"/>
        <w:bottom w:val="none" w:sz="0" w:space="0" w:color="auto"/>
        <w:right w:val="none" w:sz="0" w:space="0" w:color="auto"/>
      </w:divBdr>
    </w:div>
    <w:div w:id="168951981">
      <w:marLeft w:val="480"/>
      <w:marRight w:val="0"/>
      <w:marTop w:val="0"/>
      <w:marBottom w:val="0"/>
      <w:divBdr>
        <w:top w:val="none" w:sz="0" w:space="0" w:color="auto"/>
        <w:left w:val="none" w:sz="0" w:space="0" w:color="auto"/>
        <w:bottom w:val="none" w:sz="0" w:space="0" w:color="auto"/>
        <w:right w:val="none" w:sz="0" w:space="0" w:color="auto"/>
      </w:divBdr>
    </w:div>
    <w:div w:id="174151202">
      <w:marLeft w:val="480"/>
      <w:marRight w:val="0"/>
      <w:marTop w:val="0"/>
      <w:marBottom w:val="0"/>
      <w:divBdr>
        <w:top w:val="none" w:sz="0" w:space="0" w:color="auto"/>
        <w:left w:val="none" w:sz="0" w:space="0" w:color="auto"/>
        <w:bottom w:val="none" w:sz="0" w:space="0" w:color="auto"/>
        <w:right w:val="none" w:sz="0" w:space="0" w:color="auto"/>
      </w:divBdr>
    </w:div>
    <w:div w:id="176578250">
      <w:marLeft w:val="480"/>
      <w:marRight w:val="0"/>
      <w:marTop w:val="0"/>
      <w:marBottom w:val="0"/>
      <w:divBdr>
        <w:top w:val="none" w:sz="0" w:space="0" w:color="auto"/>
        <w:left w:val="none" w:sz="0" w:space="0" w:color="auto"/>
        <w:bottom w:val="none" w:sz="0" w:space="0" w:color="auto"/>
        <w:right w:val="none" w:sz="0" w:space="0" w:color="auto"/>
      </w:divBdr>
    </w:div>
    <w:div w:id="180316841">
      <w:marLeft w:val="480"/>
      <w:marRight w:val="0"/>
      <w:marTop w:val="0"/>
      <w:marBottom w:val="0"/>
      <w:divBdr>
        <w:top w:val="none" w:sz="0" w:space="0" w:color="auto"/>
        <w:left w:val="none" w:sz="0" w:space="0" w:color="auto"/>
        <w:bottom w:val="none" w:sz="0" w:space="0" w:color="auto"/>
        <w:right w:val="none" w:sz="0" w:space="0" w:color="auto"/>
      </w:divBdr>
    </w:div>
    <w:div w:id="182017703">
      <w:marLeft w:val="480"/>
      <w:marRight w:val="0"/>
      <w:marTop w:val="0"/>
      <w:marBottom w:val="0"/>
      <w:divBdr>
        <w:top w:val="none" w:sz="0" w:space="0" w:color="auto"/>
        <w:left w:val="none" w:sz="0" w:space="0" w:color="auto"/>
        <w:bottom w:val="none" w:sz="0" w:space="0" w:color="auto"/>
        <w:right w:val="none" w:sz="0" w:space="0" w:color="auto"/>
      </w:divBdr>
    </w:div>
    <w:div w:id="191110764">
      <w:marLeft w:val="480"/>
      <w:marRight w:val="0"/>
      <w:marTop w:val="0"/>
      <w:marBottom w:val="0"/>
      <w:divBdr>
        <w:top w:val="none" w:sz="0" w:space="0" w:color="auto"/>
        <w:left w:val="none" w:sz="0" w:space="0" w:color="auto"/>
        <w:bottom w:val="none" w:sz="0" w:space="0" w:color="auto"/>
        <w:right w:val="none" w:sz="0" w:space="0" w:color="auto"/>
      </w:divBdr>
    </w:div>
    <w:div w:id="195001902">
      <w:marLeft w:val="0"/>
      <w:marRight w:val="0"/>
      <w:marTop w:val="0"/>
      <w:marBottom w:val="0"/>
      <w:divBdr>
        <w:top w:val="none" w:sz="0" w:space="0" w:color="auto"/>
        <w:left w:val="none" w:sz="0" w:space="0" w:color="auto"/>
        <w:bottom w:val="none" w:sz="0" w:space="0" w:color="auto"/>
        <w:right w:val="none" w:sz="0" w:space="0" w:color="auto"/>
      </w:divBdr>
    </w:div>
    <w:div w:id="198318499">
      <w:marLeft w:val="0"/>
      <w:marRight w:val="0"/>
      <w:marTop w:val="0"/>
      <w:marBottom w:val="0"/>
      <w:divBdr>
        <w:top w:val="none" w:sz="0" w:space="0" w:color="auto"/>
        <w:left w:val="none" w:sz="0" w:space="0" w:color="auto"/>
        <w:bottom w:val="none" w:sz="0" w:space="0" w:color="auto"/>
        <w:right w:val="none" w:sz="0" w:space="0" w:color="auto"/>
      </w:divBdr>
    </w:div>
    <w:div w:id="204218963">
      <w:marLeft w:val="480"/>
      <w:marRight w:val="0"/>
      <w:marTop w:val="0"/>
      <w:marBottom w:val="0"/>
      <w:divBdr>
        <w:top w:val="none" w:sz="0" w:space="0" w:color="auto"/>
        <w:left w:val="none" w:sz="0" w:space="0" w:color="auto"/>
        <w:bottom w:val="none" w:sz="0" w:space="0" w:color="auto"/>
        <w:right w:val="none" w:sz="0" w:space="0" w:color="auto"/>
      </w:divBdr>
    </w:div>
    <w:div w:id="236403021">
      <w:marLeft w:val="0"/>
      <w:marRight w:val="0"/>
      <w:marTop w:val="0"/>
      <w:marBottom w:val="0"/>
      <w:divBdr>
        <w:top w:val="none" w:sz="0" w:space="0" w:color="auto"/>
        <w:left w:val="none" w:sz="0" w:space="0" w:color="auto"/>
        <w:bottom w:val="none" w:sz="0" w:space="0" w:color="auto"/>
        <w:right w:val="none" w:sz="0" w:space="0" w:color="auto"/>
      </w:divBdr>
    </w:div>
    <w:div w:id="236474075">
      <w:marLeft w:val="480"/>
      <w:marRight w:val="0"/>
      <w:marTop w:val="0"/>
      <w:marBottom w:val="0"/>
      <w:divBdr>
        <w:top w:val="none" w:sz="0" w:space="0" w:color="auto"/>
        <w:left w:val="none" w:sz="0" w:space="0" w:color="auto"/>
        <w:bottom w:val="none" w:sz="0" w:space="0" w:color="auto"/>
        <w:right w:val="none" w:sz="0" w:space="0" w:color="auto"/>
      </w:divBdr>
    </w:div>
    <w:div w:id="241183386">
      <w:marLeft w:val="0"/>
      <w:marRight w:val="0"/>
      <w:marTop w:val="0"/>
      <w:marBottom w:val="0"/>
      <w:divBdr>
        <w:top w:val="none" w:sz="0" w:space="0" w:color="auto"/>
        <w:left w:val="none" w:sz="0" w:space="0" w:color="auto"/>
        <w:bottom w:val="none" w:sz="0" w:space="0" w:color="auto"/>
        <w:right w:val="none" w:sz="0" w:space="0" w:color="auto"/>
      </w:divBdr>
    </w:div>
    <w:div w:id="247152368">
      <w:marLeft w:val="480"/>
      <w:marRight w:val="0"/>
      <w:marTop w:val="0"/>
      <w:marBottom w:val="0"/>
      <w:divBdr>
        <w:top w:val="none" w:sz="0" w:space="0" w:color="auto"/>
        <w:left w:val="none" w:sz="0" w:space="0" w:color="auto"/>
        <w:bottom w:val="none" w:sz="0" w:space="0" w:color="auto"/>
        <w:right w:val="none" w:sz="0" w:space="0" w:color="auto"/>
      </w:divBdr>
    </w:div>
    <w:div w:id="253629869">
      <w:marLeft w:val="0"/>
      <w:marRight w:val="0"/>
      <w:marTop w:val="0"/>
      <w:marBottom w:val="0"/>
      <w:divBdr>
        <w:top w:val="none" w:sz="0" w:space="0" w:color="auto"/>
        <w:left w:val="none" w:sz="0" w:space="0" w:color="auto"/>
        <w:bottom w:val="none" w:sz="0" w:space="0" w:color="auto"/>
        <w:right w:val="none" w:sz="0" w:space="0" w:color="auto"/>
      </w:divBdr>
    </w:div>
    <w:div w:id="263420261">
      <w:marLeft w:val="480"/>
      <w:marRight w:val="0"/>
      <w:marTop w:val="0"/>
      <w:marBottom w:val="0"/>
      <w:divBdr>
        <w:top w:val="none" w:sz="0" w:space="0" w:color="auto"/>
        <w:left w:val="none" w:sz="0" w:space="0" w:color="auto"/>
        <w:bottom w:val="none" w:sz="0" w:space="0" w:color="auto"/>
        <w:right w:val="none" w:sz="0" w:space="0" w:color="auto"/>
      </w:divBdr>
    </w:div>
    <w:div w:id="264115051">
      <w:marLeft w:val="480"/>
      <w:marRight w:val="0"/>
      <w:marTop w:val="0"/>
      <w:marBottom w:val="0"/>
      <w:divBdr>
        <w:top w:val="none" w:sz="0" w:space="0" w:color="auto"/>
        <w:left w:val="none" w:sz="0" w:space="0" w:color="auto"/>
        <w:bottom w:val="none" w:sz="0" w:space="0" w:color="auto"/>
        <w:right w:val="none" w:sz="0" w:space="0" w:color="auto"/>
      </w:divBdr>
    </w:div>
    <w:div w:id="266816580">
      <w:marLeft w:val="480"/>
      <w:marRight w:val="0"/>
      <w:marTop w:val="0"/>
      <w:marBottom w:val="0"/>
      <w:divBdr>
        <w:top w:val="none" w:sz="0" w:space="0" w:color="auto"/>
        <w:left w:val="none" w:sz="0" w:space="0" w:color="auto"/>
        <w:bottom w:val="none" w:sz="0" w:space="0" w:color="auto"/>
        <w:right w:val="none" w:sz="0" w:space="0" w:color="auto"/>
      </w:divBdr>
    </w:div>
    <w:div w:id="268784159">
      <w:marLeft w:val="480"/>
      <w:marRight w:val="0"/>
      <w:marTop w:val="0"/>
      <w:marBottom w:val="0"/>
      <w:divBdr>
        <w:top w:val="none" w:sz="0" w:space="0" w:color="auto"/>
        <w:left w:val="none" w:sz="0" w:space="0" w:color="auto"/>
        <w:bottom w:val="none" w:sz="0" w:space="0" w:color="auto"/>
        <w:right w:val="none" w:sz="0" w:space="0" w:color="auto"/>
      </w:divBdr>
    </w:div>
    <w:div w:id="300886092">
      <w:marLeft w:val="0"/>
      <w:marRight w:val="0"/>
      <w:marTop w:val="0"/>
      <w:marBottom w:val="0"/>
      <w:divBdr>
        <w:top w:val="none" w:sz="0" w:space="0" w:color="auto"/>
        <w:left w:val="none" w:sz="0" w:space="0" w:color="auto"/>
        <w:bottom w:val="none" w:sz="0" w:space="0" w:color="auto"/>
        <w:right w:val="none" w:sz="0" w:space="0" w:color="auto"/>
      </w:divBdr>
    </w:div>
    <w:div w:id="302927725">
      <w:marLeft w:val="0"/>
      <w:marRight w:val="0"/>
      <w:marTop w:val="0"/>
      <w:marBottom w:val="0"/>
      <w:divBdr>
        <w:top w:val="none" w:sz="0" w:space="0" w:color="auto"/>
        <w:left w:val="none" w:sz="0" w:space="0" w:color="auto"/>
        <w:bottom w:val="none" w:sz="0" w:space="0" w:color="auto"/>
        <w:right w:val="none" w:sz="0" w:space="0" w:color="auto"/>
      </w:divBdr>
    </w:div>
    <w:div w:id="306714859">
      <w:marLeft w:val="0"/>
      <w:marRight w:val="0"/>
      <w:marTop w:val="0"/>
      <w:marBottom w:val="0"/>
      <w:divBdr>
        <w:top w:val="none" w:sz="0" w:space="0" w:color="auto"/>
        <w:left w:val="none" w:sz="0" w:space="0" w:color="auto"/>
        <w:bottom w:val="none" w:sz="0" w:space="0" w:color="auto"/>
        <w:right w:val="none" w:sz="0" w:space="0" w:color="auto"/>
      </w:divBdr>
    </w:div>
    <w:div w:id="318578378">
      <w:marLeft w:val="480"/>
      <w:marRight w:val="0"/>
      <w:marTop w:val="0"/>
      <w:marBottom w:val="0"/>
      <w:divBdr>
        <w:top w:val="none" w:sz="0" w:space="0" w:color="auto"/>
        <w:left w:val="none" w:sz="0" w:space="0" w:color="auto"/>
        <w:bottom w:val="none" w:sz="0" w:space="0" w:color="auto"/>
        <w:right w:val="none" w:sz="0" w:space="0" w:color="auto"/>
      </w:divBdr>
    </w:div>
    <w:div w:id="340550866">
      <w:marLeft w:val="0"/>
      <w:marRight w:val="0"/>
      <w:marTop w:val="0"/>
      <w:marBottom w:val="0"/>
      <w:divBdr>
        <w:top w:val="none" w:sz="0" w:space="0" w:color="auto"/>
        <w:left w:val="none" w:sz="0" w:space="0" w:color="auto"/>
        <w:bottom w:val="none" w:sz="0" w:space="0" w:color="auto"/>
        <w:right w:val="none" w:sz="0" w:space="0" w:color="auto"/>
      </w:divBdr>
    </w:div>
    <w:div w:id="343020336">
      <w:marLeft w:val="480"/>
      <w:marRight w:val="0"/>
      <w:marTop w:val="0"/>
      <w:marBottom w:val="0"/>
      <w:divBdr>
        <w:top w:val="none" w:sz="0" w:space="0" w:color="auto"/>
        <w:left w:val="none" w:sz="0" w:space="0" w:color="auto"/>
        <w:bottom w:val="none" w:sz="0" w:space="0" w:color="auto"/>
        <w:right w:val="none" w:sz="0" w:space="0" w:color="auto"/>
      </w:divBdr>
    </w:div>
    <w:div w:id="345064532">
      <w:marLeft w:val="480"/>
      <w:marRight w:val="0"/>
      <w:marTop w:val="0"/>
      <w:marBottom w:val="0"/>
      <w:divBdr>
        <w:top w:val="none" w:sz="0" w:space="0" w:color="auto"/>
        <w:left w:val="none" w:sz="0" w:space="0" w:color="auto"/>
        <w:bottom w:val="none" w:sz="0" w:space="0" w:color="auto"/>
        <w:right w:val="none" w:sz="0" w:space="0" w:color="auto"/>
      </w:divBdr>
    </w:div>
    <w:div w:id="355153259">
      <w:marLeft w:val="0"/>
      <w:marRight w:val="0"/>
      <w:marTop w:val="0"/>
      <w:marBottom w:val="0"/>
      <w:divBdr>
        <w:top w:val="none" w:sz="0" w:space="0" w:color="auto"/>
        <w:left w:val="none" w:sz="0" w:space="0" w:color="auto"/>
        <w:bottom w:val="none" w:sz="0" w:space="0" w:color="auto"/>
        <w:right w:val="none" w:sz="0" w:space="0" w:color="auto"/>
      </w:divBdr>
    </w:div>
    <w:div w:id="360325419">
      <w:marLeft w:val="480"/>
      <w:marRight w:val="0"/>
      <w:marTop w:val="0"/>
      <w:marBottom w:val="0"/>
      <w:divBdr>
        <w:top w:val="none" w:sz="0" w:space="0" w:color="auto"/>
        <w:left w:val="none" w:sz="0" w:space="0" w:color="auto"/>
        <w:bottom w:val="none" w:sz="0" w:space="0" w:color="auto"/>
        <w:right w:val="none" w:sz="0" w:space="0" w:color="auto"/>
      </w:divBdr>
    </w:div>
    <w:div w:id="367922345">
      <w:marLeft w:val="480"/>
      <w:marRight w:val="0"/>
      <w:marTop w:val="0"/>
      <w:marBottom w:val="0"/>
      <w:divBdr>
        <w:top w:val="none" w:sz="0" w:space="0" w:color="auto"/>
        <w:left w:val="none" w:sz="0" w:space="0" w:color="auto"/>
        <w:bottom w:val="none" w:sz="0" w:space="0" w:color="auto"/>
        <w:right w:val="none" w:sz="0" w:space="0" w:color="auto"/>
      </w:divBdr>
    </w:div>
    <w:div w:id="371810418">
      <w:marLeft w:val="0"/>
      <w:marRight w:val="0"/>
      <w:marTop w:val="0"/>
      <w:marBottom w:val="0"/>
      <w:divBdr>
        <w:top w:val="none" w:sz="0" w:space="0" w:color="auto"/>
        <w:left w:val="none" w:sz="0" w:space="0" w:color="auto"/>
        <w:bottom w:val="none" w:sz="0" w:space="0" w:color="auto"/>
        <w:right w:val="none" w:sz="0" w:space="0" w:color="auto"/>
      </w:divBdr>
    </w:div>
    <w:div w:id="396368955">
      <w:marLeft w:val="480"/>
      <w:marRight w:val="0"/>
      <w:marTop w:val="0"/>
      <w:marBottom w:val="0"/>
      <w:divBdr>
        <w:top w:val="none" w:sz="0" w:space="0" w:color="auto"/>
        <w:left w:val="none" w:sz="0" w:space="0" w:color="auto"/>
        <w:bottom w:val="none" w:sz="0" w:space="0" w:color="auto"/>
        <w:right w:val="none" w:sz="0" w:space="0" w:color="auto"/>
      </w:divBdr>
    </w:div>
    <w:div w:id="398093281">
      <w:marLeft w:val="0"/>
      <w:marRight w:val="0"/>
      <w:marTop w:val="0"/>
      <w:marBottom w:val="0"/>
      <w:divBdr>
        <w:top w:val="none" w:sz="0" w:space="0" w:color="auto"/>
        <w:left w:val="none" w:sz="0" w:space="0" w:color="auto"/>
        <w:bottom w:val="none" w:sz="0" w:space="0" w:color="auto"/>
        <w:right w:val="none" w:sz="0" w:space="0" w:color="auto"/>
      </w:divBdr>
    </w:div>
    <w:div w:id="403913338">
      <w:marLeft w:val="0"/>
      <w:marRight w:val="0"/>
      <w:marTop w:val="0"/>
      <w:marBottom w:val="0"/>
      <w:divBdr>
        <w:top w:val="none" w:sz="0" w:space="0" w:color="auto"/>
        <w:left w:val="none" w:sz="0" w:space="0" w:color="auto"/>
        <w:bottom w:val="none" w:sz="0" w:space="0" w:color="auto"/>
        <w:right w:val="none" w:sz="0" w:space="0" w:color="auto"/>
      </w:divBdr>
    </w:div>
    <w:div w:id="414133206">
      <w:marLeft w:val="480"/>
      <w:marRight w:val="0"/>
      <w:marTop w:val="0"/>
      <w:marBottom w:val="0"/>
      <w:divBdr>
        <w:top w:val="none" w:sz="0" w:space="0" w:color="auto"/>
        <w:left w:val="none" w:sz="0" w:space="0" w:color="auto"/>
        <w:bottom w:val="none" w:sz="0" w:space="0" w:color="auto"/>
        <w:right w:val="none" w:sz="0" w:space="0" w:color="auto"/>
      </w:divBdr>
    </w:div>
    <w:div w:id="448935153">
      <w:marLeft w:val="480"/>
      <w:marRight w:val="0"/>
      <w:marTop w:val="0"/>
      <w:marBottom w:val="0"/>
      <w:divBdr>
        <w:top w:val="none" w:sz="0" w:space="0" w:color="auto"/>
        <w:left w:val="none" w:sz="0" w:space="0" w:color="auto"/>
        <w:bottom w:val="none" w:sz="0" w:space="0" w:color="auto"/>
        <w:right w:val="none" w:sz="0" w:space="0" w:color="auto"/>
      </w:divBdr>
    </w:div>
    <w:div w:id="460029152">
      <w:marLeft w:val="0"/>
      <w:marRight w:val="0"/>
      <w:marTop w:val="0"/>
      <w:marBottom w:val="0"/>
      <w:divBdr>
        <w:top w:val="none" w:sz="0" w:space="0" w:color="auto"/>
        <w:left w:val="none" w:sz="0" w:space="0" w:color="auto"/>
        <w:bottom w:val="none" w:sz="0" w:space="0" w:color="auto"/>
        <w:right w:val="none" w:sz="0" w:space="0" w:color="auto"/>
      </w:divBdr>
    </w:div>
    <w:div w:id="461267192">
      <w:marLeft w:val="480"/>
      <w:marRight w:val="0"/>
      <w:marTop w:val="0"/>
      <w:marBottom w:val="0"/>
      <w:divBdr>
        <w:top w:val="none" w:sz="0" w:space="0" w:color="auto"/>
        <w:left w:val="none" w:sz="0" w:space="0" w:color="auto"/>
        <w:bottom w:val="none" w:sz="0" w:space="0" w:color="auto"/>
        <w:right w:val="none" w:sz="0" w:space="0" w:color="auto"/>
      </w:divBdr>
    </w:div>
    <w:div w:id="465440353">
      <w:marLeft w:val="0"/>
      <w:marRight w:val="0"/>
      <w:marTop w:val="0"/>
      <w:marBottom w:val="0"/>
      <w:divBdr>
        <w:top w:val="none" w:sz="0" w:space="0" w:color="auto"/>
        <w:left w:val="none" w:sz="0" w:space="0" w:color="auto"/>
        <w:bottom w:val="none" w:sz="0" w:space="0" w:color="auto"/>
        <w:right w:val="none" w:sz="0" w:space="0" w:color="auto"/>
      </w:divBdr>
    </w:div>
    <w:div w:id="475801230">
      <w:marLeft w:val="480"/>
      <w:marRight w:val="0"/>
      <w:marTop w:val="0"/>
      <w:marBottom w:val="0"/>
      <w:divBdr>
        <w:top w:val="none" w:sz="0" w:space="0" w:color="auto"/>
        <w:left w:val="none" w:sz="0" w:space="0" w:color="auto"/>
        <w:bottom w:val="none" w:sz="0" w:space="0" w:color="auto"/>
        <w:right w:val="none" w:sz="0" w:space="0" w:color="auto"/>
      </w:divBdr>
    </w:div>
    <w:div w:id="476192263">
      <w:marLeft w:val="0"/>
      <w:marRight w:val="0"/>
      <w:marTop w:val="0"/>
      <w:marBottom w:val="0"/>
      <w:divBdr>
        <w:top w:val="none" w:sz="0" w:space="0" w:color="auto"/>
        <w:left w:val="none" w:sz="0" w:space="0" w:color="auto"/>
        <w:bottom w:val="none" w:sz="0" w:space="0" w:color="auto"/>
        <w:right w:val="none" w:sz="0" w:space="0" w:color="auto"/>
      </w:divBdr>
    </w:div>
    <w:div w:id="479270124">
      <w:marLeft w:val="480"/>
      <w:marRight w:val="0"/>
      <w:marTop w:val="0"/>
      <w:marBottom w:val="0"/>
      <w:divBdr>
        <w:top w:val="none" w:sz="0" w:space="0" w:color="auto"/>
        <w:left w:val="none" w:sz="0" w:space="0" w:color="auto"/>
        <w:bottom w:val="none" w:sz="0" w:space="0" w:color="auto"/>
        <w:right w:val="none" w:sz="0" w:space="0" w:color="auto"/>
      </w:divBdr>
    </w:div>
    <w:div w:id="487940827">
      <w:marLeft w:val="480"/>
      <w:marRight w:val="0"/>
      <w:marTop w:val="0"/>
      <w:marBottom w:val="0"/>
      <w:divBdr>
        <w:top w:val="none" w:sz="0" w:space="0" w:color="auto"/>
        <w:left w:val="none" w:sz="0" w:space="0" w:color="auto"/>
        <w:bottom w:val="none" w:sz="0" w:space="0" w:color="auto"/>
        <w:right w:val="none" w:sz="0" w:space="0" w:color="auto"/>
      </w:divBdr>
    </w:div>
    <w:div w:id="491338937">
      <w:marLeft w:val="480"/>
      <w:marRight w:val="0"/>
      <w:marTop w:val="0"/>
      <w:marBottom w:val="0"/>
      <w:divBdr>
        <w:top w:val="none" w:sz="0" w:space="0" w:color="auto"/>
        <w:left w:val="none" w:sz="0" w:space="0" w:color="auto"/>
        <w:bottom w:val="none" w:sz="0" w:space="0" w:color="auto"/>
        <w:right w:val="none" w:sz="0" w:space="0" w:color="auto"/>
      </w:divBdr>
    </w:div>
    <w:div w:id="491675592">
      <w:marLeft w:val="480"/>
      <w:marRight w:val="0"/>
      <w:marTop w:val="0"/>
      <w:marBottom w:val="0"/>
      <w:divBdr>
        <w:top w:val="none" w:sz="0" w:space="0" w:color="auto"/>
        <w:left w:val="none" w:sz="0" w:space="0" w:color="auto"/>
        <w:bottom w:val="none" w:sz="0" w:space="0" w:color="auto"/>
        <w:right w:val="none" w:sz="0" w:space="0" w:color="auto"/>
      </w:divBdr>
    </w:div>
    <w:div w:id="502820532">
      <w:marLeft w:val="0"/>
      <w:marRight w:val="0"/>
      <w:marTop w:val="0"/>
      <w:marBottom w:val="0"/>
      <w:divBdr>
        <w:top w:val="none" w:sz="0" w:space="0" w:color="auto"/>
        <w:left w:val="none" w:sz="0" w:space="0" w:color="auto"/>
        <w:bottom w:val="none" w:sz="0" w:space="0" w:color="auto"/>
        <w:right w:val="none" w:sz="0" w:space="0" w:color="auto"/>
      </w:divBdr>
    </w:div>
    <w:div w:id="504521419">
      <w:marLeft w:val="480"/>
      <w:marRight w:val="0"/>
      <w:marTop w:val="0"/>
      <w:marBottom w:val="0"/>
      <w:divBdr>
        <w:top w:val="none" w:sz="0" w:space="0" w:color="auto"/>
        <w:left w:val="none" w:sz="0" w:space="0" w:color="auto"/>
        <w:bottom w:val="none" w:sz="0" w:space="0" w:color="auto"/>
        <w:right w:val="none" w:sz="0" w:space="0" w:color="auto"/>
      </w:divBdr>
    </w:div>
    <w:div w:id="519003761">
      <w:marLeft w:val="480"/>
      <w:marRight w:val="0"/>
      <w:marTop w:val="0"/>
      <w:marBottom w:val="0"/>
      <w:divBdr>
        <w:top w:val="none" w:sz="0" w:space="0" w:color="auto"/>
        <w:left w:val="none" w:sz="0" w:space="0" w:color="auto"/>
        <w:bottom w:val="none" w:sz="0" w:space="0" w:color="auto"/>
        <w:right w:val="none" w:sz="0" w:space="0" w:color="auto"/>
      </w:divBdr>
    </w:div>
    <w:div w:id="533351042">
      <w:marLeft w:val="480"/>
      <w:marRight w:val="0"/>
      <w:marTop w:val="0"/>
      <w:marBottom w:val="0"/>
      <w:divBdr>
        <w:top w:val="none" w:sz="0" w:space="0" w:color="auto"/>
        <w:left w:val="none" w:sz="0" w:space="0" w:color="auto"/>
        <w:bottom w:val="none" w:sz="0" w:space="0" w:color="auto"/>
        <w:right w:val="none" w:sz="0" w:space="0" w:color="auto"/>
      </w:divBdr>
    </w:div>
    <w:div w:id="569580591">
      <w:marLeft w:val="480"/>
      <w:marRight w:val="0"/>
      <w:marTop w:val="0"/>
      <w:marBottom w:val="0"/>
      <w:divBdr>
        <w:top w:val="none" w:sz="0" w:space="0" w:color="auto"/>
        <w:left w:val="none" w:sz="0" w:space="0" w:color="auto"/>
        <w:bottom w:val="none" w:sz="0" w:space="0" w:color="auto"/>
        <w:right w:val="none" w:sz="0" w:space="0" w:color="auto"/>
      </w:divBdr>
    </w:div>
    <w:div w:id="585650182">
      <w:marLeft w:val="480"/>
      <w:marRight w:val="0"/>
      <w:marTop w:val="0"/>
      <w:marBottom w:val="0"/>
      <w:divBdr>
        <w:top w:val="none" w:sz="0" w:space="0" w:color="auto"/>
        <w:left w:val="none" w:sz="0" w:space="0" w:color="auto"/>
        <w:bottom w:val="none" w:sz="0" w:space="0" w:color="auto"/>
        <w:right w:val="none" w:sz="0" w:space="0" w:color="auto"/>
      </w:divBdr>
    </w:div>
    <w:div w:id="604310710">
      <w:marLeft w:val="480"/>
      <w:marRight w:val="0"/>
      <w:marTop w:val="0"/>
      <w:marBottom w:val="0"/>
      <w:divBdr>
        <w:top w:val="none" w:sz="0" w:space="0" w:color="auto"/>
        <w:left w:val="none" w:sz="0" w:space="0" w:color="auto"/>
        <w:bottom w:val="none" w:sz="0" w:space="0" w:color="auto"/>
        <w:right w:val="none" w:sz="0" w:space="0" w:color="auto"/>
      </w:divBdr>
    </w:div>
    <w:div w:id="605699919">
      <w:marLeft w:val="480"/>
      <w:marRight w:val="0"/>
      <w:marTop w:val="0"/>
      <w:marBottom w:val="0"/>
      <w:divBdr>
        <w:top w:val="none" w:sz="0" w:space="0" w:color="auto"/>
        <w:left w:val="none" w:sz="0" w:space="0" w:color="auto"/>
        <w:bottom w:val="none" w:sz="0" w:space="0" w:color="auto"/>
        <w:right w:val="none" w:sz="0" w:space="0" w:color="auto"/>
      </w:divBdr>
    </w:div>
    <w:div w:id="608393038">
      <w:marLeft w:val="0"/>
      <w:marRight w:val="0"/>
      <w:marTop w:val="0"/>
      <w:marBottom w:val="0"/>
      <w:divBdr>
        <w:top w:val="none" w:sz="0" w:space="0" w:color="auto"/>
        <w:left w:val="none" w:sz="0" w:space="0" w:color="auto"/>
        <w:bottom w:val="none" w:sz="0" w:space="0" w:color="auto"/>
        <w:right w:val="none" w:sz="0" w:space="0" w:color="auto"/>
      </w:divBdr>
    </w:div>
    <w:div w:id="611935397">
      <w:marLeft w:val="480"/>
      <w:marRight w:val="0"/>
      <w:marTop w:val="0"/>
      <w:marBottom w:val="0"/>
      <w:divBdr>
        <w:top w:val="none" w:sz="0" w:space="0" w:color="auto"/>
        <w:left w:val="none" w:sz="0" w:space="0" w:color="auto"/>
        <w:bottom w:val="none" w:sz="0" w:space="0" w:color="auto"/>
        <w:right w:val="none" w:sz="0" w:space="0" w:color="auto"/>
      </w:divBdr>
    </w:div>
    <w:div w:id="616789897">
      <w:marLeft w:val="480"/>
      <w:marRight w:val="0"/>
      <w:marTop w:val="0"/>
      <w:marBottom w:val="0"/>
      <w:divBdr>
        <w:top w:val="none" w:sz="0" w:space="0" w:color="auto"/>
        <w:left w:val="none" w:sz="0" w:space="0" w:color="auto"/>
        <w:bottom w:val="none" w:sz="0" w:space="0" w:color="auto"/>
        <w:right w:val="none" w:sz="0" w:space="0" w:color="auto"/>
      </w:divBdr>
    </w:div>
    <w:div w:id="620694734">
      <w:marLeft w:val="0"/>
      <w:marRight w:val="0"/>
      <w:marTop w:val="0"/>
      <w:marBottom w:val="0"/>
      <w:divBdr>
        <w:top w:val="none" w:sz="0" w:space="0" w:color="auto"/>
        <w:left w:val="none" w:sz="0" w:space="0" w:color="auto"/>
        <w:bottom w:val="none" w:sz="0" w:space="0" w:color="auto"/>
        <w:right w:val="none" w:sz="0" w:space="0" w:color="auto"/>
      </w:divBdr>
    </w:div>
    <w:div w:id="651717479">
      <w:marLeft w:val="480"/>
      <w:marRight w:val="0"/>
      <w:marTop w:val="0"/>
      <w:marBottom w:val="0"/>
      <w:divBdr>
        <w:top w:val="none" w:sz="0" w:space="0" w:color="auto"/>
        <w:left w:val="none" w:sz="0" w:space="0" w:color="auto"/>
        <w:bottom w:val="none" w:sz="0" w:space="0" w:color="auto"/>
        <w:right w:val="none" w:sz="0" w:space="0" w:color="auto"/>
      </w:divBdr>
    </w:div>
    <w:div w:id="658849333">
      <w:marLeft w:val="480"/>
      <w:marRight w:val="0"/>
      <w:marTop w:val="0"/>
      <w:marBottom w:val="0"/>
      <w:divBdr>
        <w:top w:val="none" w:sz="0" w:space="0" w:color="auto"/>
        <w:left w:val="none" w:sz="0" w:space="0" w:color="auto"/>
        <w:bottom w:val="none" w:sz="0" w:space="0" w:color="auto"/>
        <w:right w:val="none" w:sz="0" w:space="0" w:color="auto"/>
      </w:divBdr>
    </w:div>
    <w:div w:id="674771438">
      <w:marLeft w:val="480"/>
      <w:marRight w:val="0"/>
      <w:marTop w:val="0"/>
      <w:marBottom w:val="0"/>
      <w:divBdr>
        <w:top w:val="none" w:sz="0" w:space="0" w:color="auto"/>
        <w:left w:val="none" w:sz="0" w:space="0" w:color="auto"/>
        <w:bottom w:val="none" w:sz="0" w:space="0" w:color="auto"/>
        <w:right w:val="none" w:sz="0" w:space="0" w:color="auto"/>
      </w:divBdr>
    </w:div>
    <w:div w:id="713847595">
      <w:marLeft w:val="480"/>
      <w:marRight w:val="0"/>
      <w:marTop w:val="0"/>
      <w:marBottom w:val="0"/>
      <w:divBdr>
        <w:top w:val="none" w:sz="0" w:space="0" w:color="auto"/>
        <w:left w:val="none" w:sz="0" w:space="0" w:color="auto"/>
        <w:bottom w:val="none" w:sz="0" w:space="0" w:color="auto"/>
        <w:right w:val="none" w:sz="0" w:space="0" w:color="auto"/>
      </w:divBdr>
    </w:div>
    <w:div w:id="716661105">
      <w:marLeft w:val="480"/>
      <w:marRight w:val="0"/>
      <w:marTop w:val="0"/>
      <w:marBottom w:val="0"/>
      <w:divBdr>
        <w:top w:val="none" w:sz="0" w:space="0" w:color="auto"/>
        <w:left w:val="none" w:sz="0" w:space="0" w:color="auto"/>
        <w:bottom w:val="none" w:sz="0" w:space="0" w:color="auto"/>
        <w:right w:val="none" w:sz="0" w:space="0" w:color="auto"/>
      </w:divBdr>
    </w:div>
    <w:div w:id="721250213">
      <w:marLeft w:val="0"/>
      <w:marRight w:val="0"/>
      <w:marTop w:val="0"/>
      <w:marBottom w:val="0"/>
      <w:divBdr>
        <w:top w:val="none" w:sz="0" w:space="0" w:color="auto"/>
        <w:left w:val="none" w:sz="0" w:space="0" w:color="auto"/>
        <w:bottom w:val="none" w:sz="0" w:space="0" w:color="auto"/>
        <w:right w:val="none" w:sz="0" w:space="0" w:color="auto"/>
      </w:divBdr>
    </w:div>
    <w:div w:id="722295246">
      <w:marLeft w:val="480"/>
      <w:marRight w:val="0"/>
      <w:marTop w:val="0"/>
      <w:marBottom w:val="0"/>
      <w:divBdr>
        <w:top w:val="none" w:sz="0" w:space="0" w:color="auto"/>
        <w:left w:val="none" w:sz="0" w:space="0" w:color="auto"/>
        <w:bottom w:val="none" w:sz="0" w:space="0" w:color="auto"/>
        <w:right w:val="none" w:sz="0" w:space="0" w:color="auto"/>
      </w:divBdr>
    </w:div>
    <w:div w:id="724570023">
      <w:marLeft w:val="480"/>
      <w:marRight w:val="0"/>
      <w:marTop w:val="0"/>
      <w:marBottom w:val="0"/>
      <w:divBdr>
        <w:top w:val="none" w:sz="0" w:space="0" w:color="auto"/>
        <w:left w:val="none" w:sz="0" w:space="0" w:color="auto"/>
        <w:bottom w:val="none" w:sz="0" w:space="0" w:color="auto"/>
        <w:right w:val="none" w:sz="0" w:space="0" w:color="auto"/>
      </w:divBdr>
    </w:div>
    <w:div w:id="729811851">
      <w:marLeft w:val="0"/>
      <w:marRight w:val="0"/>
      <w:marTop w:val="0"/>
      <w:marBottom w:val="0"/>
      <w:divBdr>
        <w:top w:val="none" w:sz="0" w:space="0" w:color="auto"/>
        <w:left w:val="none" w:sz="0" w:space="0" w:color="auto"/>
        <w:bottom w:val="none" w:sz="0" w:space="0" w:color="auto"/>
        <w:right w:val="none" w:sz="0" w:space="0" w:color="auto"/>
      </w:divBdr>
    </w:div>
    <w:div w:id="730465829">
      <w:marLeft w:val="480"/>
      <w:marRight w:val="0"/>
      <w:marTop w:val="0"/>
      <w:marBottom w:val="0"/>
      <w:divBdr>
        <w:top w:val="none" w:sz="0" w:space="0" w:color="auto"/>
        <w:left w:val="none" w:sz="0" w:space="0" w:color="auto"/>
        <w:bottom w:val="none" w:sz="0" w:space="0" w:color="auto"/>
        <w:right w:val="none" w:sz="0" w:space="0" w:color="auto"/>
      </w:divBdr>
    </w:div>
    <w:div w:id="738093446">
      <w:marLeft w:val="0"/>
      <w:marRight w:val="0"/>
      <w:marTop w:val="0"/>
      <w:marBottom w:val="0"/>
      <w:divBdr>
        <w:top w:val="none" w:sz="0" w:space="0" w:color="auto"/>
        <w:left w:val="none" w:sz="0" w:space="0" w:color="auto"/>
        <w:bottom w:val="none" w:sz="0" w:space="0" w:color="auto"/>
        <w:right w:val="none" w:sz="0" w:space="0" w:color="auto"/>
      </w:divBdr>
    </w:div>
    <w:div w:id="738985490">
      <w:marLeft w:val="480"/>
      <w:marRight w:val="0"/>
      <w:marTop w:val="0"/>
      <w:marBottom w:val="0"/>
      <w:divBdr>
        <w:top w:val="none" w:sz="0" w:space="0" w:color="auto"/>
        <w:left w:val="none" w:sz="0" w:space="0" w:color="auto"/>
        <w:bottom w:val="none" w:sz="0" w:space="0" w:color="auto"/>
        <w:right w:val="none" w:sz="0" w:space="0" w:color="auto"/>
      </w:divBdr>
    </w:div>
    <w:div w:id="741561751">
      <w:marLeft w:val="480"/>
      <w:marRight w:val="0"/>
      <w:marTop w:val="0"/>
      <w:marBottom w:val="0"/>
      <w:divBdr>
        <w:top w:val="none" w:sz="0" w:space="0" w:color="auto"/>
        <w:left w:val="none" w:sz="0" w:space="0" w:color="auto"/>
        <w:bottom w:val="none" w:sz="0" w:space="0" w:color="auto"/>
        <w:right w:val="none" w:sz="0" w:space="0" w:color="auto"/>
      </w:divBdr>
    </w:div>
    <w:div w:id="761726645">
      <w:marLeft w:val="480"/>
      <w:marRight w:val="0"/>
      <w:marTop w:val="0"/>
      <w:marBottom w:val="0"/>
      <w:divBdr>
        <w:top w:val="none" w:sz="0" w:space="0" w:color="auto"/>
        <w:left w:val="none" w:sz="0" w:space="0" w:color="auto"/>
        <w:bottom w:val="none" w:sz="0" w:space="0" w:color="auto"/>
        <w:right w:val="none" w:sz="0" w:space="0" w:color="auto"/>
      </w:divBdr>
    </w:div>
    <w:div w:id="770970681">
      <w:marLeft w:val="0"/>
      <w:marRight w:val="0"/>
      <w:marTop w:val="0"/>
      <w:marBottom w:val="0"/>
      <w:divBdr>
        <w:top w:val="none" w:sz="0" w:space="0" w:color="auto"/>
        <w:left w:val="none" w:sz="0" w:space="0" w:color="auto"/>
        <w:bottom w:val="none" w:sz="0" w:space="0" w:color="auto"/>
        <w:right w:val="none" w:sz="0" w:space="0" w:color="auto"/>
      </w:divBdr>
    </w:div>
    <w:div w:id="773938874">
      <w:marLeft w:val="480"/>
      <w:marRight w:val="0"/>
      <w:marTop w:val="0"/>
      <w:marBottom w:val="0"/>
      <w:divBdr>
        <w:top w:val="none" w:sz="0" w:space="0" w:color="auto"/>
        <w:left w:val="none" w:sz="0" w:space="0" w:color="auto"/>
        <w:bottom w:val="none" w:sz="0" w:space="0" w:color="auto"/>
        <w:right w:val="none" w:sz="0" w:space="0" w:color="auto"/>
      </w:divBdr>
    </w:div>
    <w:div w:id="779644004">
      <w:marLeft w:val="0"/>
      <w:marRight w:val="0"/>
      <w:marTop w:val="0"/>
      <w:marBottom w:val="0"/>
      <w:divBdr>
        <w:top w:val="none" w:sz="0" w:space="0" w:color="auto"/>
        <w:left w:val="none" w:sz="0" w:space="0" w:color="auto"/>
        <w:bottom w:val="none" w:sz="0" w:space="0" w:color="auto"/>
        <w:right w:val="none" w:sz="0" w:space="0" w:color="auto"/>
      </w:divBdr>
    </w:div>
    <w:div w:id="780609195">
      <w:bodyDiv w:val="1"/>
      <w:marLeft w:val="0"/>
      <w:marRight w:val="0"/>
      <w:marTop w:val="0"/>
      <w:marBottom w:val="0"/>
      <w:divBdr>
        <w:top w:val="none" w:sz="0" w:space="0" w:color="auto"/>
        <w:left w:val="none" w:sz="0" w:space="0" w:color="auto"/>
        <w:bottom w:val="none" w:sz="0" w:space="0" w:color="auto"/>
        <w:right w:val="none" w:sz="0" w:space="0" w:color="auto"/>
      </w:divBdr>
      <w:divsChild>
        <w:div w:id="1810825834">
          <w:marLeft w:val="0"/>
          <w:marRight w:val="0"/>
          <w:marTop w:val="0"/>
          <w:marBottom w:val="0"/>
          <w:divBdr>
            <w:top w:val="none" w:sz="0" w:space="0" w:color="auto"/>
            <w:left w:val="none" w:sz="0" w:space="0" w:color="auto"/>
            <w:bottom w:val="none" w:sz="0" w:space="0" w:color="auto"/>
            <w:right w:val="none" w:sz="0" w:space="0" w:color="auto"/>
          </w:divBdr>
          <w:divsChild>
            <w:div w:id="57883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9409">
      <w:marLeft w:val="480"/>
      <w:marRight w:val="0"/>
      <w:marTop w:val="0"/>
      <w:marBottom w:val="0"/>
      <w:divBdr>
        <w:top w:val="none" w:sz="0" w:space="0" w:color="auto"/>
        <w:left w:val="none" w:sz="0" w:space="0" w:color="auto"/>
        <w:bottom w:val="none" w:sz="0" w:space="0" w:color="auto"/>
        <w:right w:val="none" w:sz="0" w:space="0" w:color="auto"/>
      </w:divBdr>
    </w:div>
    <w:div w:id="802844864">
      <w:marLeft w:val="0"/>
      <w:marRight w:val="0"/>
      <w:marTop w:val="0"/>
      <w:marBottom w:val="0"/>
      <w:divBdr>
        <w:top w:val="none" w:sz="0" w:space="0" w:color="auto"/>
        <w:left w:val="none" w:sz="0" w:space="0" w:color="auto"/>
        <w:bottom w:val="none" w:sz="0" w:space="0" w:color="auto"/>
        <w:right w:val="none" w:sz="0" w:space="0" w:color="auto"/>
      </w:divBdr>
    </w:div>
    <w:div w:id="808784832">
      <w:marLeft w:val="480"/>
      <w:marRight w:val="0"/>
      <w:marTop w:val="0"/>
      <w:marBottom w:val="0"/>
      <w:divBdr>
        <w:top w:val="none" w:sz="0" w:space="0" w:color="auto"/>
        <w:left w:val="none" w:sz="0" w:space="0" w:color="auto"/>
        <w:bottom w:val="none" w:sz="0" w:space="0" w:color="auto"/>
        <w:right w:val="none" w:sz="0" w:space="0" w:color="auto"/>
      </w:divBdr>
    </w:div>
    <w:div w:id="819926846">
      <w:marLeft w:val="480"/>
      <w:marRight w:val="0"/>
      <w:marTop w:val="0"/>
      <w:marBottom w:val="0"/>
      <w:divBdr>
        <w:top w:val="none" w:sz="0" w:space="0" w:color="auto"/>
        <w:left w:val="none" w:sz="0" w:space="0" w:color="auto"/>
        <w:bottom w:val="none" w:sz="0" w:space="0" w:color="auto"/>
        <w:right w:val="none" w:sz="0" w:space="0" w:color="auto"/>
      </w:divBdr>
    </w:div>
    <w:div w:id="821971012">
      <w:marLeft w:val="480"/>
      <w:marRight w:val="0"/>
      <w:marTop w:val="0"/>
      <w:marBottom w:val="0"/>
      <w:divBdr>
        <w:top w:val="none" w:sz="0" w:space="0" w:color="auto"/>
        <w:left w:val="none" w:sz="0" w:space="0" w:color="auto"/>
        <w:bottom w:val="none" w:sz="0" w:space="0" w:color="auto"/>
        <w:right w:val="none" w:sz="0" w:space="0" w:color="auto"/>
      </w:divBdr>
    </w:div>
    <w:div w:id="840658156">
      <w:marLeft w:val="480"/>
      <w:marRight w:val="0"/>
      <w:marTop w:val="0"/>
      <w:marBottom w:val="0"/>
      <w:divBdr>
        <w:top w:val="none" w:sz="0" w:space="0" w:color="auto"/>
        <w:left w:val="none" w:sz="0" w:space="0" w:color="auto"/>
        <w:bottom w:val="none" w:sz="0" w:space="0" w:color="auto"/>
        <w:right w:val="none" w:sz="0" w:space="0" w:color="auto"/>
      </w:divBdr>
    </w:div>
    <w:div w:id="842432376">
      <w:marLeft w:val="480"/>
      <w:marRight w:val="0"/>
      <w:marTop w:val="0"/>
      <w:marBottom w:val="0"/>
      <w:divBdr>
        <w:top w:val="none" w:sz="0" w:space="0" w:color="auto"/>
        <w:left w:val="none" w:sz="0" w:space="0" w:color="auto"/>
        <w:bottom w:val="none" w:sz="0" w:space="0" w:color="auto"/>
        <w:right w:val="none" w:sz="0" w:space="0" w:color="auto"/>
      </w:divBdr>
    </w:div>
    <w:div w:id="842472069">
      <w:marLeft w:val="480"/>
      <w:marRight w:val="0"/>
      <w:marTop w:val="0"/>
      <w:marBottom w:val="0"/>
      <w:divBdr>
        <w:top w:val="none" w:sz="0" w:space="0" w:color="auto"/>
        <w:left w:val="none" w:sz="0" w:space="0" w:color="auto"/>
        <w:bottom w:val="none" w:sz="0" w:space="0" w:color="auto"/>
        <w:right w:val="none" w:sz="0" w:space="0" w:color="auto"/>
      </w:divBdr>
    </w:div>
    <w:div w:id="848329520">
      <w:marLeft w:val="480"/>
      <w:marRight w:val="0"/>
      <w:marTop w:val="0"/>
      <w:marBottom w:val="0"/>
      <w:divBdr>
        <w:top w:val="none" w:sz="0" w:space="0" w:color="auto"/>
        <w:left w:val="none" w:sz="0" w:space="0" w:color="auto"/>
        <w:bottom w:val="none" w:sz="0" w:space="0" w:color="auto"/>
        <w:right w:val="none" w:sz="0" w:space="0" w:color="auto"/>
      </w:divBdr>
    </w:div>
    <w:div w:id="856504371">
      <w:marLeft w:val="0"/>
      <w:marRight w:val="0"/>
      <w:marTop w:val="0"/>
      <w:marBottom w:val="0"/>
      <w:divBdr>
        <w:top w:val="none" w:sz="0" w:space="0" w:color="auto"/>
        <w:left w:val="none" w:sz="0" w:space="0" w:color="auto"/>
        <w:bottom w:val="none" w:sz="0" w:space="0" w:color="auto"/>
        <w:right w:val="none" w:sz="0" w:space="0" w:color="auto"/>
      </w:divBdr>
    </w:div>
    <w:div w:id="857620595">
      <w:marLeft w:val="480"/>
      <w:marRight w:val="0"/>
      <w:marTop w:val="0"/>
      <w:marBottom w:val="0"/>
      <w:divBdr>
        <w:top w:val="none" w:sz="0" w:space="0" w:color="auto"/>
        <w:left w:val="none" w:sz="0" w:space="0" w:color="auto"/>
        <w:bottom w:val="none" w:sz="0" w:space="0" w:color="auto"/>
        <w:right w:val="none" w:sz="0" w:space="0" w:color="auto"/>
      </w:divBdr>
    </w:div>
    <w:div w:id="858661951">
      <w:marLeft w:val="0"/>
      <w:marRight w:val="0"/>
      <w:marTop w:val="0"/>
      <w:marBottom w:val="0"/>
      <w:divBdr>
        <w:top w:val="none" w:sz="0" w:space="0" w:color="auto"/>
        <w:left w:val="none" w:sz="0" w:space="0" w:color="auto"/>
        <w:bottom w:val="none" w:sz="0" w:space="0" w:color="auto"/>
        <w:right w:val="none" w:sz="0" w:space="0" w:color="auto"/>
      </w:divBdr>
    </w:div>
    <w:div w:id="863321189">
      <w:bodyDiv w:val="1"/>
      <w:marLeft w:val="0"/>
      <w:marRight w:val="0"/>
      <w:marTop w:val="0"/>
      <w:marBottom w:val="0"/>
      <w:divBdr>
        <w:top w:val="none" w:sz="0" w:space="0" w:color="auto"/>
        <w:left w:val="none" w:sz="0" w:space="0" w:color="auto"/>
        <w:bottom w:val="none" w:sz="0" w:space="0" w:color="auto"/>
        <w:right w:val="none" w:sz="0" w:space="0" w:color="auto"/>
      </w:divBdr>
      <w:divsChild>
        <w:div w:id="19673504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7180985">
      <w:marLeft w:val="480"/>
      <w:marRight w:val="0"/>
      <w:marTop w:val="0"/>
      <w:marBottom w:val="0"/>
      <w:divBdr>
        <w:top w:val="none" w:sz="0" w:space="0" w:color="auto"/>
        <w:left w:val="none" w:sz="0" w:space="0" w:color="auto"/>
        <w:bottom w:val="none" w:sz="0" w:space="0" w:color="auto"/>
        <w:right w:val="none" w:sz="0" w:space="0" w:color="auto"/>
      </w:divBdr>
    </w:div>
    <w:div w:id="883830617">
      <w:marLeft w:val="480"/>
      <w:marRight w:val="0"/>
      <w:marTop w:val="0"/>
      <w:marBottom w:val="0"/>
      <w:divBdr>
        <w:top w:val="none" w:sz="0" w:space="0" w:color="auto"/>
        <w:left w:val="none" w:sz="0" w:space="0" w:color="auto"/>
        <w:bottom w:val="none" w:sz="0" w:space="0" w:color="auto"/>
        <w:right w:val="none" w:sz="0" w:space="0" w:color="auto"/>
      </w:divBdr>
    </w:div>
    <w:div w:id="883904010">
      <w:marLeft w:val="0"/>
      <w:marRight w:val="0"/>
      <w:marTop w:val="0"/>
      <w:marBottom w:val="0"/>
      <w:divBdr>
        <w:top w:val="none" w:sz="0" w:space="0" w:color="auto"/>
        <w:left w:val="none" w:sz="0" w:space="0" w:color="auto"/>
        <w:bottom w:val="none" w:sz="0" w:space="0" w:color="auto"/>
        <w:right w:val="none" w:sz="0" w:space="0" w:color="auto"/>
      </w:divBdr>
    </w:div>
    <w:div w:id="891815210">
      <w:marLeft w:val="0"/>
      <w:marRight w:val="0"/>
      <w:marTop w:val="0"/>
      <w:marBottom w:val="0"/>
      <w:divBdr>
        <w:top w:val="none" w:sz="0" w:space="0" w:color="auto"/>
        <w:left w:val="none" w:sz="0" w:space="0" w:color="auto"/>
        <w:bottom w:val="none" w:sz="0" w:space="0" w:color="auto"/>
        <w:right w:val="none" w:sz="0" w:space="0" w:color="auto"/>
      </w:divBdr>
    </w:div>
    <w:div w:id="898983533">
      <w:marLeft w:val="0"/>
      <w:marRight w:val="0"/>
      <w:marTop w:val="0"/>
      <w:marBottom w:val="0"/>
      <w:divBdr>
        <w:top w:val="none" w:sz="0" w:space="0" w:color="auto"/>
        <w:left w:val="none" w:sz="0" w:space="0" w:color="auto"/>
        <w:bottom w:val="none" w:sz="0" w:space="0" w:color="auto"/>
        <w:right w:val="none" w:sz="0" w:space="0" w:color="auto"/>
      </w:divBdr>
    </w:div>
    <w:div w:id="905842166">
      <w:marLeft w:val="480"/>
      <w:marRight w:val="0"/>
      <w:marTop w:val="0"/>
      <w:marBottom w:val="0"/>
      <w:divBdr>
        <w:top w:val="none" w:sz="0" w:space="0" w:color="auto"/>
        <w:left w:val="none" w:sz="0" w:space="0" w:color="auto"/>
        <w:bottom w:val="none" w:sz="0" w:space="0" w:color="auto"/>
        <w:right w:val="none" w:sz="0" w:space="0" w:color="auto"/>
      </w:divBdr>
    </w:div>
    <w:div w:id="921987280">
      <w:marLeft w:val="480"/>
      <w:marRight w:val="0"/>
      <w:marTop w:val="0"/>
      <w:marBottom w:val="0"/>
      <w:divBdr>
        <w:top w:val="none" w:sz="0" w:space="0" w:color="auto"/>
        <w:left w:val="none" w:sz="0" w:space="0" w:color="auto"/>
        <w:bottom w:val="none" w:sz="0" w:space="0" w:color="auto"/>
        <w:right w:val="none" w:sz="0" w:space="0" w:color="auto"/>
      </w:divBdr>
    </w:div>
    <w:div w:id="930971136">
      <w:marLeft w:val="0"/>
      <w:marRight w:val="0"/>
      <w:marTop w:val="0"/>
      <w:marBottom w:val="0"/>
      <w:divBdr>
        <w:top w:val="none" w:sz="0" w:space="0" w:color="auto"/>
        <w:left w:val="none" w:sz="0" w:space="0" w:color="auto"/>
        <w:bottom w:val="none" w:sz="0" w:space="0" w:color="auto"/>
        <w:right w:val="none" w:sz="0" w:space="0" w:color="auto"/>
      </w:divBdr>
    </w:div>
    <w:div w:id="933056226">
      <w:bodyDiv w:val="1"/>
      <w:marLeft w:val="0"/>
      <w:marRight w:val="0"/>
      <w:marTop w:val="0"/>
      <w:marBottom w:val="0"/>
      <w:divBdr>
        <w:top w:val="none" w:sz="0" w:space="0" w:color="auto"/>
        <w:left w:val="none" w:sz="0" w:space="0" w:color="auto"/>
        <w:bottom w:val="none" w:sz="0" w:space="0" w:color="auto"/>
        <w:right w:val="none" w:sz="0" w:space="0" w:color="auto"/>
      </w:divBdr>
      <w:divsChild>
        <w:div w:id="790123951">
          <w:marLeft w:val="0"/>
          <w:marRight w:val="0"/>
          <w:marTop w:val="0"/>
          <w:marBottom w:val="0"/>
          <w:divBdr>
            <w:top w:val="none" w:sz="0" w:space="0" w:color="auto"/>
            <w:left w:val="none" w:sz="0" w:space="0" w:color="auto"/>
            <w:bottom w:val="none" w:sz="0" w:space="0" w:color="auto"/>
            <w:right w:val="none" w:sz="0" w:space="0" w:color="auto"/>
          </w:divBdr>
          <w:divsChild>
            <w:div w:id="182146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443844">
      <w:marLeft w:val="0"/>
      <w:marRight w:val="0"/>
      <w:marTop w:val="0"/>
      <w:marBottom w:val="0"/>
      <w:divBdr>
        <w:top w:val="none" w:sz="0" w:space="0" w:color="auto"/>
        <w:left w:val="none" w:sz="0" w:space="0" w:color="auto"/>
        <w:bottom w:val="none" w:sz="0" w:space="0" w:color="auto"/>
        <w:right w:val="none" w:sz="0" w:space="0" w:color="auto"/>
      </w:divBdr>
    </w:div>
    <w:div w:id="955409732">
      <w:marLeft w:val="0"/>
      <w:marRight w:val="0"/>
      <w:marTop w:val="0"/>
      <w:marBottom w:val="0"/>
      <w:divBdr>
        <w:top w:val="none" w:sz="0" w:space="0" w:color="auto"/>
        <w:left w:val="none" w:sz="0" w:space="0" w:color="auto"/>
        <w:bottom w:val="none" w:sz="0" w:space="0" w:color="auto"/>
        <w:right w:val="none" w:sz="0" w:space="0" w:color="auto"/>
      </w:divBdr>
    </w:div>
    <w:div w:id="958535763">
      <w:marLeft w:val="480"/>
      <w:marRight w:val="0"/>
      <w:marTop w:val="0"/>
      <w:marBottom w:val="0"/>
      <w:divBdr>
        <w:top w:val="none" w:sz="0" w:space="0" w:color="auto"/>
        <w:left w:val="none" w:sz="0" w:space="0" w:color="auto"/>
        <w:bottom w:val="none" w:sz="0" w:space="0" w:color="auto"/>
        <w:right w:val="none" w:sz="0" w:space="0" w:color="auto"/>
      </w:divBdr>
    </w:div>
    <w:div w:id="968437066">
      <w:marLeft w:val="0"/>
      <w:marRight w:val="0"/>
      <w:marTop w:val="0"/>
      <w:marBottom w:val="0"/>
      <w:divBdr>
        <w:top w:val="none" w:sz="0" w:space="0" w:color="auto"/>
        <w:left w:val="none" w:sz="0" w:space="0" w:color="auto"/>
        <w:bottom w:val="none" w:sz="0" w:space="0" w:color="auto"/>
        <w:right w:val="none" w:sz="0" w:space="0" w:color="auto"/>
      </w:divBdr>
    </w:div>
    <w:div w:id="976371283">
      <w:marLeft w:val="480"/>
      <w:marRight w:val="0"/>
      <w:marTop w:val="0"/>
      <w:marBottom w:val="0"/>
      <w:divBdr>
        <w:top w:val="none" w:sz="0" w:space="0" w:color="auto"/>
        <w:left w:val="none" w:sz="0" w:space="0" w:color="auto"/>
        <w:bottom w:val="none" w:sz="0" w:space="0" w:color="auto"/>
        <w:right w:val="none" w:sz="0" w:space="0" w:color="auto"/>
      </w:divBdr>
    </w:div>
    <w:div w:id="978071715">
      <w:marLeft w:val="480"/>
      <w:marRight w:val="0"/>
      <w:marTop w:val="0"/>
      <w:marBottom w:val="0"/>
      <w:divBdr>
        <w:top w:val="none" w:sz="0" w:space="0" w:color="auto"/>
        <w:left w:val="none" w:sz="0" w:space="0" w:color="auto"/>
        <w:bottom w:val="none" w:sz="0" w:space="0" w:color="auto"/>
        <w:right w:val="none" w:sz="0" w:space="0" w:color="auto"/>
      </w:divBdr>
    </w:div>
    <w:div w:id="997424624">
      <w:marLeft w:val="0"/>
      <w:marRight w:val="0"/>
      <w:marTop w:val="0"/>
      <w:marBottom w:val="0"/>
      <w:divBdr>
        <w:top w:val="none" w:sz="0" w:space="0" w:color="auto"/>
        <w:left w:val="none" w:sz="0" w:space="0" w:color="auto"/>
        <w:bottom w:val="none" w:sz="0" w:space="0" w:color="auto"/>
        <w:right w:val="none" w:sz="0" w:space="0" w:color="auto"/>
      </w:divBdr>
    </w:div>
    <w:div w:id="998848841">
      <w:marLeft w:val="0"/>
      <w:marRight w:val="0"/>
      <w:marTop w:val="0"/>
      <w:marBottom w:val="0"/>
      <w:divBdr>
        <w:top w:val="none" w:sz="0" w:space="0" w:color="auto"/>
        <w:left w:val="none" w:sz="0" w:space="0" w:color="auto"/>
        <w:bottom w:val="none" w:sz="0" w:space="0" w:color="auto"/>
        <w:right w:val="none" w:sz="0" w:space="0" w:color="auto"/>
      </w:divBdr>
    </w:div>
    <w:div w:id="1007096793">
      <w:marLeft w:val="0"/>
      <w:marRight w:val="0"/>
      <w:marTop w:val="0"/>
      <w:marBottom w:val="0"/>
      <w:divBdr>
        <w:top w:val="none" w:sz="0" w:space="0" w:color="auto"/>
        <w:left w:val="none" w:sz="0" w:space="0" w:color="auto"/>
        <w:bottom w:val="none" w:sz="0" w:space="0" w:color="auto"/>
        <w:right w:val="none" w:sz="0" w:space="0" w:color="auto"/>
      </w:divBdr>
    </w:div>
    <w:div w:id="1012030702">
      <w:marLeft w:val="480"/>
      <w:marRight w:val="0"/>
      <w:marTop w:val="0"/>
      <w:marBottom w:val="0"/>
      <w:divBdr>
        <w:top w:val="none" w:sz="0" w:space="0" w:color="auto"/>
        <w:left w:val="none" w:sz="0" w:space="0" w:color="auto"/>
        <w:bottom w:val="none" w:sz="0" w:space="0" w:color="auto"/>
        <w:right w:val="none" w:sz="0" w:space="0" w:color="auto"/>
      </w:divBdr>
    </w:div>
    <w:div w:id="1018433331">
      <w:marLeft w:val="480"/>
      <w:marRight w:val="0"/>
      <w:marTop w:val="0"/>
      <w:marBottom w:val="0"/>
      <w:divBdr>
        <w:top w:val="none" w:sz="0" w:space="0" w:color="auto"/>
        <w:left w:val="none" w:sz="0" w:space="0" w:color="auto"/>
        <w:bottom w:val="none" w:sz="0" w:space="0" w:color="auto"/>
        <w:right w:val="none" w:sz="0" w:space="0" w:color="auto"/>
      </w:divBdr>
    </w:div>
    <w:div w:id="1018771992">
      <w:marLeft w:val="480"/>
      <w:marRight w:val="0"/>
      <w:marTop w:val="0"/>
      <w:marBottom w:val="0"/>
      <w:divBdr>
        <w:top w:val="none" w:sz="0" w:space="0" w:color="auto"/>
        <w:left w:val="none" w:sz="0" w:space="0" w:color="auto"/>
        <w:bottom w:val="none" w:sz="0" w:space="0" w:color="auto"/>
        <w:right w:val="none" w:sz="0" w:space="0" w:color="auto"/>
      </w:divBdr>
    </w:div>
    <w:div w:id="1032417332">
      <w:marLeft w:val="0"/>
      <w:marRight w:val="0"/>
      <w:marTop w:val="0"/>
      <w:marBottom w:val="0"/>
      <w:divBdr>
        <w:top w:val="none" w:sz="0" w:space="0" w:color="auto"/>
        <w:left w:val="none" w:sz="0" w:space="0" w:color="auto"/>
        <w:bottom w:val="none" w:sz="0" w:space="0" w:color="auto"/>
        <w:right w:val="none" w:sz="0" w:space="0" w:color="auto"/>
      </w:divBdr>
    </w:div>
    <w:div w:id="1058749938">
      <w:marLeft w:val="480"/>
      <w:marRight w:val="0"/>
      <w:marTop w:val="0"/>
      <w:marBottom w:val="0"/>
      <w:divBdr>
        <w:top w:val="none" w:sz="0" w:space="0" w:color="auto"/>
        <w:left w:val="none" w:sz="0" w:space="0" w:color="auto"/>
        <w:bottom w:val="none" w:sz="0" w:space="0" w:color="auto"/>
        <w:right w:val="none" w:sz="0" w:space="0" w:color="auto"/>
      </w:divBdr>
    </w:div>
    <w:div w:id="1075278024">
      <w:marLeft w:val="0"/>
      <w:marRight w:val="0"/>
      <w:marTop w:val="0"/>
      <w:marBottom w:val="0"/>
      <w:divBdr>
        <w:top w:val="none" w:sz="0" w:space="0" w:color="auto"/>
        <w:left w:val="none" w:sz="0" w:space="0" w:color="auto"/>
        <w:bottom w:val="none" w:sz="0" w:space="0" w:color="auto"/>
        <w:right w:val="none" w:sz="0" w:space="0" w:color="auto"/>
      </w:divBdr>
    </w:div>
    <w:div w:id="1100638380">
      <w:marLeft w:val="480"/>
      <w:marRight w:val="0"/>
      <w:marTop w:val="0"/>
      <w:marBottom w:val="0"/>
      <w:divBdr>
        <w:top w:val="none" w:sz="0" w:space="0" w:color="auto"/>
        <w:left w:val="none" w:sz="0" w:space="0" w:color="auto"/>
        <w:bottom w:val="none" w:sz="0" w:space="0" w:color="auto"/>
        <w:right w:val="none" w:sz="0" w:space="0" w:color="auto"/>
      </w:divBdr>
    </w:div>
    <w:div w:id="1111126837">
      <w:marLeft w:val="480"/>
      <w:marRight w:val="0"/>
      <w:marTop w:val="0"/>
      <w:marBottom w:val="0"/>
      <w:divBdr>
        <w:top w:val="none" w:sz="0" w:space="0" w:color="auto"/>
        <w:left w:val="none" w:sz="0" w:space="0" w:color="auto"/>
        <w:bottom w:val="none" w:sz="0" w:space="0" w:color="auto"/>
        <w:right w:val="none" w:sz="0" w:space="0" w:color="auto"/>
      </w:divBdr>
    </w:div>
    <w:div w:id="1122458631">
      <w:marLeft w:val="0"/>
      <w:marRight w:val="0"/>
      <w:marTop w:val="0"/>
      <w:marBottom w:val="0"/>
      <w:divBdr>
        <w:top w:val="none" w:sz="0" w:space="0" w:color="auto"/>
        <w:left w:val="none" w:sz="0" w:space="0" w:color="auto"/>
        <w:bottom w:val="none" w:sz="0" w:space="0" w:color="auto"/>
        <w:right w:val="none" w:sz="0" w:space="0" w:color="auto"/>
      </w:divBdr>
    </w:div>
    <w:div w:id="1145782255">
      <w:marLeft w:val="0"/>
      <w:marRight w:val="0"/>
      <w:marTop w:val="0"/>
      <w:marBottom w:val="0"/>
      <w:divBdr>
        <w:top w:val="none" w:sz="0" w:space="0" w:color="auto"/>
        <w:left w:val="none" w:sz="0" w:space="0" w:color="auto"/>
        <w:bottom w:val="none" w:sz="0" w:space="0" w:color="auto"/>
        <w:right w:val="none" w:sz="0" w:space="0" w:color="auto"/>
      </w:divBdr>
    </w:div>
    <w:div w:id="1146163397">
      <w:marLeft w:val="480"/>
      <w:marRight w:val="0"/>
      <w:marTop w:val="0"/>
      <w:marBottom w:val="0"/>
      <w:divBdr>
        <w:top w:val="none" w:sz="0" w:space="0" w:color="auto"/>
        <w:left w:val="none" w:sz="0" w:space="0" w:color="auto"/>
        <w:bottom w:val="none" w:sz="0" w:space="0" w:color="auto"/>
        <w:right w:val="none" w:sz="0" w:space="0" w:color="auto"/>
      </w:divBdr>
    </w:div>
    <w:div w:id="1148322735">
      <w:marLeft w:val="480"/>
      <w:marRight w:val="0"/>
      <w:marTop w:val="0"/>
      <w:marBottom w:val="0"/>
      <w:divBdr>
        <w:top w:val="none" w:sz="0" w:space="0" w:color="auto"/>
        <w:left w:val="none" w:sz="0" w:space="0" w:color="auto"/>
        <w:bottom w:val="none" w:sz="0" w:space="0" w:color="auto"/>
        <w:right w:val="none" w:sz="0" w:space="0" w:color="auto"/>
      </w:divBdr>
    </w:div>
    <w:div w:id="1155759582">
      <w:marLeft w:val="480"/>
      <w:marRight w:val="0"/>
      <w:marTop w:val="0"/>
      <w:marBottom w:val="0"/>
      <w:divBdr>
        <w:top w:val="none" w:sz="0" w:space="0" w:color="auto"/>
        <w:left w:val="none" w:sz="0" w:space="0" w:color="auto"/>
        <w:bottom w:val="none" w:sz="0" w:space="0" w:color="auto"/>
        <w:right w:val="none" w:sz="0" w:space="0" w:color="auto"/>
      </w:divBdr>
    </w:div>
    <w:div w:id="1159467402">
      <w:marLeft w:val="0"/>
      <w:marRight w:val="0"/>
      <w:marTop w:val="0"/>
      <w:marBottom w:val="0"/>
      <w:divBdr>
        <w:top w:val="none" w:sz="0" w:space="0" w:color="auto"/>
        <w:left w:val="none" w:sz="0" w:space="0" w:color="auto"/>
        <w:bottom w:val="none" w:sz="0" w:space="0" w:color="auto"/>
        <w:right w:val="none" w:sz="0" w:space="0" w:color="auto"/>
      </w:divBdr>
    </w:div>
    <w:div w:id="1163468248">
      <w:marLeft w:val="0"/>
      <w:marRight w:val="0"/>
      <w:marTop w:val="0"/>
      <w:marBottom w:val="0"/>
      <w:divBdr>
        <w:top w:val="none" w:sz="0" w:space="0" w:color="auto"/>
        <w:left w:val="none" w:sz="0" w:space="0" w:color="auto"/>
        <w:bottom w:val="none" w:sz="0" w:space="0" w:color="auto"/>
        <w:right w:val="none" w:sz="0" w:space="0" w:color="auto"/>
      </w:divBdr>
    </w:div>
    <w:div w:id="1170367346">
      <w:marLeft w:val="480"/>
      <w:marRight w:val="0"/>
      <w:marTop w:val="0"/>
      <w:marBottom w:val="0"/>
      <w:divBdr>
        <w:top w:val="none" w:sz="0" w:space="0" w:color="auto"/>
        <w:left w:val="none" w:sz="0" w:space="0" w:color="auto"/>
        <w:bottom w:val="none" w:sz="0" w:space="0" w:color="auto"/>
        <w:right w:val="none" w:sz="0" w:space="0" w:color="auto"/>
      </w:divBdr>
    </w:div>
    <w:div w:id="1205020798">
      <w:marLeft w:val="480"/>
      <w:marRight w:val="0"/>
      <w:marTop w:val="0"/>
      <w:marBottom w:val="0"/>
      <w:divBdr>
        <w:top w:val="none" w:sz="0" w:space="0" w:color="auto"/>
        <w:left w:val="none" w:sz="0" w:space="0" w:color="auto"/>
        <w:bottom w:val="none" w:sz="0" w:space="0" w:color="auto"/>
        <w:right w:val="none" w:sz="0" w:space="0" w:color="auto"/>
      </w:divBdr>
    </w:div>
    <w:div w:id="1249462736">
      <w:marLeft w:val="480"/>
      <w:marRight w:val="0"/>
      <w:marTop w:val="0"/>
      <w:marBottom w:val="0"/>
      <w:divBdr>
        <w:top w:val="none" w:sz="0" w:space="0" w:color="auto"/>
        <w:left w:val="none" w:sz="0" w:space="0" w:color="auto"/>
        <w:bottom w:val="none" w:sz="0" w:space="0" w:color="auto"/>
        <w:right w:val="none" w:sz="0" w:space="0" w:color="auto"/>
      </w:divBdr>
    </w:div>
    <w:div w:id="1276209552">
      <w:marLeft w:val="480"/>
      <w:marRight w:val="0"/>
      <w:marTop w:val="0"/>
      <w:marBottom w:val="0"/>
      <w:divBdr>
        <w:top w:val="none" w:sz="0" w:space="0" w:color="auto"/>
        <w:left w:val="none" w:sz="0" w:space="0" w:color="auto"/>
        <w:bottom w:val="none" w:sz="0" w:space="0" w:color="auto"/>
        <w:right w:val="none" w:sz="0" w:space="0" w:color="auto"/>
      </w:divBdr>
    </w:div>
    <w:div w:id="1287934727">
      <w:marLeft w:val="480"/>
      <w:marRight w:val="0"/>
      <w:marTop w:val="0"/>
      <w:marBottom w:val="0"/>
      <w:divBdr>
        <w:top w:val="none" w:sz="0" w:space="0" w:color="auto"/>
        <w:left w:val="none" w:sz="0" w:space="0" w:color="auto"/>
        <w:bottom w:val="none" w:sz="0" w:space="0" w:color="auto"/>
        <w:right w:val="none" w:sz="0" w:space="0" w:color="auto"/>
      </w:divBdr>
    </w:div>
    <w:div w:id="1306818836">
      <w:marLeft w:val="480"/>
      <w:marRight w:val="0"/>
      <w:marTop w:val="0"/>
      <w:marBottom w:val="0"/>
      <w:divBdr>
        <w:top w:val="none" w:sz="0" w:space="0" w:color="auto"/>
        <w:left w:val="none" w:sz="0" w:space="0" w:color="auto"/>
        <w:bottom w:val="none" w:sz="0" w:space="0" w:color="auto"/>
        <w:right w:val="none" w:sz="0" w:space="0" w:color="auto"/>
      </w:divBdr>
    </w:div>
    <w:div w:id="1333681295">
      <w:bodyDiv w:val="1"/>
      <w:marLeft w:val="0"/>
      <w:marRight w:val="0"/>
      <w:marTop w:val="0"/>
      <w:marBottom w:val="0"/>
      <w:divBdr>
        <w:top w:val="none" w:sz="0" w:space="0" w:color="auto"/>
        <w:left w:val="none" w:sz="0" w:space="0" w:color="auto"/>
        <w:bottom w:val="none" w:sz="0" w:space="0" w:color="auto"/>
        <w:right w:val="none" w:sz="0" w:space="0" w:color="auto"/>
      </w:divBdr>
    </w:div>
    <w:div w:id="1336375294">
      <w:marLeft w:val="480"/>
      <w:marRight w:val="0"/>
      <w:marTop w:val="0"/>
      <w:marBottom w:val="0"/>
      <w:divBdr>
        <w:top w:val="none" w:sz="0" w:space="0" w:color="auto"/>
        <w:left w:val="none" w:sz="0" w:space="0" w:color="auto"/>
        <w:bottom w:val="none" w:sz="0" w:space="0" w:color="auto"/>
        <w:right w:val="none" w:sz="0" w:space="0" w:color="auto"/>
      </w:divBdr>
    </w:div>
    <w:div w:id="1347707098">
      <w:marLeft w:val="480"/>
      <w:marRight w:val="0"/>
      <w:marTop w:val="0"/>
      <w:marBottom w:val="0"/>
      <w:divBdr>
        <w:top w:val="none" w:sz="0" w:space="0" w:color="auto"/>
        <w:left w:val="none" w:sz="0" w:space="0" w:color="auto"/>
        <w:bottom w:val="none" w:sz="0" w:space="0" w:color="auto"/>
        <w:right w:val="none" w:sz="0" w:space="0" w:color="auto"/>
      </w:divBdr>
    </w:div>
    <w:div w:id="1348020110">
      <w:marLeft w:val="0"/>
      <w:marRight w:val="0"/>
      <w:marTop w:val="0"/>
      <w:marBottom w:val="0"/>
      <w:divBdr>
        <w:top w:val="none" w:sz="0" w:space="0" w:color="auto"/>
        <w:left w:val="none" w:sz="0" w:space="0" w:color="auto"/>
        <w:bottom w:val="none" w:sz="0" w:space="0" w:color="auto"/>
        <w:right w:val="none" w:sz="0" w:space="0" w:color="auto"/>
      </w:divBdr>
    </w:div>
    <w:div w:id="1354259098">
      <w:marLeft w:val="480"/>
      <w:marRight w:val="0"/>
      <w:marTop w:val="0"/>
      <w:marBottom w:val="0"/>
      <w:divBdr>
        <w:top w:val="none" w:sz="0" w:space="0" w:color="auto"/>
        <w:left w:val="none" w:sz="0" w:space="0" w:color="auto"/>
        <w:bottom w:val="none" w:sz="0" w:space="0" w:color="auto"/>
        <w:right w:val="none" w:sz="0" w:space="0" w:color="auto"/>
      </w:divBdr>
    </w:div>
    <w:div w:id="1357580277">
      <w:marLeft w:val="480"/>
      <w:marRight w:val="0"/>
      <w:marTop w:val="0"/>
      <w:marBottom w:val="0"/>
      <w:divBdr>
        <w:top w:val="none" w:sz="0" w:space="0" w:color="auto"/>
        <w:left w:val="none" w:sz="0" w:space="0" w:color="auto"/>
        <w:bottom w:val="none" w:sz="0" w:space="0" w:color="auto"/>
        <w:right w:val="none" w:sz="0" w:space="0" w:color="auto"/>
      </w:divBdr>
    </w:div>
    <w:div w:id="1378357232">
      <w:marLeft w:val="0"/>
      <w:marRight w:val="0"/>
      <w:marTop w:val="0"/>
      <w:marBottom w:val="0"/>
      <w:divBdr>
        <w:top w:val="none" w:sz="0" w:space="0" w:color="auto"/>
        <w:left w:val="none" w:sz="0" w:space="0" w:color="auto"/>
        <w:bottom w:val="none" w:sz="0" w:space="0" w:color="auto"/>
        <w:right w:val="none" w:sz="0" w:space="0" w:color="auto"/>
      </w:divBdr>
    </w:div>
    <w:div w:id="1397513403">
      <w:marLeft w:val="480"/>
      <w:marRight w:val="0"/>
      <w:marTop w:val="0"/>
      <w:marBottom w:val="0"/>
      <w:divBdr>
        <w:top w:val="none" w:sz="0" w:space="0" w:color="auto"/>
        <w:left w:val="none" w:sz="0" w:space="0" w:color="auto"/>
        <w:bottom w:val="none" w:sz="0" w:space="0" w:color="auto"/>
        <w:right w:val="none" w:sz="0" w:space="0" w:color="auto"/>
      </w:divBdr>
    </w:div>
    <w:div w:id="1406957654">
      <w:marLeft w:val="480"/>
      <w:marRight w:val="0"/>
      <w:marTop w:val="0"/>
      <w:marBottom w:val="0"/>
      <w:divBdr>
        <w:top w:val="none" w:sz="0" w:space="0" w:color="auto"/>
        <w:left w:val="none" w:sz="0" w:space="0" w:color="auto"/>
        <w:bottom w:val="none" w:sz="0" w:space="0" w:color="auto"/>
        <w:right w:val="none" w:sz="0" w:space="0" w:color="auto"/>
      </w:divBdr>
    </w:div>
    <w:div w:id="1423915033">
      <w:marLeft w:val="0"/>
      <w:marRight w:val="0"/>
      <w:marTop w:val="0"/>
      <w:marBottom w:val="0"/>
      <w:divBdr>
        <w:top w:val="none" w:sz="0" w:space="0" w:color="auto"/>
        <w:left w:val="none" w:sz="0" w:space="0" w:color="auto"/>
        <w:bottom w:val="none" w:sz="0" w:space="0" w:color="auto"/>
        <w:right w:val="none" w:sz="0" w:space="0" w:color="auto"/>
      </w:divBdr>
    </w:div>
    <w:div w:id="1429156813">
      <w:bodyDiv w:val="1"/>
      <w:marLeft w:val="0"/>
      <w:marRight w:val="0"/>
      <w:marTop w:val="0"/>
      <w:marBottom w:val="0"/>
      <w:divBdr>
        <w:top w:val="none" w:sz="0" w:space="0" w:color="auto"/>
        <w:left w:val="none" w:sz="0" w:space="0" w:color="auto"/>
        <w:bottom w:val="none" w:sz="0" w:space="0" w:color="auto"/>
        <w:right w:val="none" w:sz="0" w:space="0" w:color="auto"/>
      </w:divBdr>
    </w:div>
    <w:div w:id="1456173265">
      <w:marLeft w:val="480"/>
      <w:marRight w:val="0"/>
      <w:marTop w:val="0"/>
      <w:marBottom w:val="0"/>
      <w:divBdr>
        <w:top w:val="none" w:sz="0" w:space="0" w:color="auto"/>
        <w:left w:val="none" w:sz="0" w:space="0" w:color="auto"/>
        <w:bottom w:val="none" w:sz="0" w:space="0" w:color="auto"/>
        <w:right w:val="none" w:sz="0" w:space="0" w:color="auto"/>
      </w:divBdr>
    </w:div>
    <w:div w:id="1460762856">
      <w:marLeft w:val="0"/>
      <w:marRight w:val="0"/>
      <w:marTop w:val="0"/>
      <w:marBottom w:val="0"/>
      <w:divBdr>
        <w:top w:val="none" w:sz="0" w:space="0" w:color="auto"/>
        <w:left w:val="none" w:sz="0" w:space="0" w:color="auto"/>
        <w:bottom w:val="none" w:sz="0" w:space="0" w:color="auto"/>
        <w:right w:val="none" w:sz="0" w:space="0" w:color="auto"/>
      </w:divBdr>
    </w:div>
    <w:div w:id="1478260169">
      <w:marLeft w:val="480"/>
      <w:marRight w:val="0"/>
      <w:marTop w:val="0"/>
      <w:marBottom w:val="0"/>
      <w:divBdr>
        <w:top w:val="none" w:sz="0" w:space="0" w:color="auto"/>
        <w:left w:val="none" w:sz="0" w:space="0" w:color="auto"/>
        <w:bottom w:val="none" w:sz="0" w:space="0" w:color="auto"/>
        <w:right w:val="none" w:sz="0" w:space="0" w:color="auto"/>
      </w:divBdr>
    </w:div>
    <w:div w:id="1489904563">
      <w:bodyDiv w:val="1"/>
      <w:marLeft w:val="0"/>
      <w:marRight w:val="0"/>
      <w:marTop w:val="0"/>
      <w:marBottom w:val="0"/>
      <w:divBdr>
        <w:top w:val="none" w:sz="0" w:space="0" w:color="auto"/>
        <w:left w:val="none" w:sz="0" w:space="0" w:color="auto"/>
        <w:bottom w:val="none" w:sz="0" w:space="0" w:color="auto"/>
        <w:right w:val="none" w:sz="0" w:space="0" w:color="auto"/>
      </w:divBdr>
    </w:div>
    <w:div w:id="1489908363">
      <w:marLeft w:val="480"/>
      <w:marRight w:val="0"/>
      <w:marTop w:val="0"/>
      <w:marBottom w:val="0"/>
      <w:divBdr>
        <w:top w:val="none" w:sz="0" w:space="0" w:color="auto"/>
        <w:left w:val="none" w:sz="0" w:space="0" w:color="auto"/>
        <w:bottom w:val="none" w:sz="0" w:space="0" w:color="auto"/>
        <w:right w:val="none" w:sz="0" w:space="0" w:color="auto"/>
      </w:divBdr>
    </w:div>
    <w:div w:id="1496535985">
      <w:marLeft w:val="0"/>
      <w:marRight w:val="0"/>
      <w:marTop w:val="0"/>
      <w:marBottom w:val="0"/>
      <w:divBdr>
        <w:top w:val="none" w:sz="0" w:space="0" w:color="auto"/>
        <w:left w:val="none" w:sz="0" w:space="0" w:color="auto"/>
        <w:bottom w:val="none" w:sz="0" w:space="0" w:color="auto"/>
        <w:right w:val="none" w:sz="0" w:space="0" w:color="auto"/>
      </w:divBdr>
    </w:div>
    <w:div w:id="1498957667">
      <w:marLeft w:val="480"/>
      <w:marRight w:val="0"/>
      <w:marTop w:val="0"/>
      <w:marBottom w:val="0"/>
      <w:divBdr>
        <w:top w:val="none" w:sz="0" w:space="0" w:color="auto"/>
        <w:left w:val="none" w:sz="0" w:space="0" w:color="auto"/>
        <w:bottom w:val="none" w:sz="0" w:space="0" w:color="auto"/>
        <w:right w:val="none" w:sz="0" w:space="0" w:color="auto"/>
      </w:divBdr>
    </w:div>
    <w:div w:id="1509562667">
      <w:marLeft w:val="480"/>
      <w:marRight w:val="0"/>
      <w:marTop w:val="0"/>
      <w:marBottom w:val="0"/>
      <w:divBdr>
        <w:top w:val="none" w:sz="0" w:space="0" w:color="auto"/>
        <w:left w:val="none" w:sz="0" w:space="0" w:color="auto"/>
        <w:bottom w:val="none" w:sz="0" w:space="0" w:color="auto"/>
        <w:right w:val="none" w:sz="0" w:space="0" w:color="auto"/>
      </w:divBdr>
    </w:div>
    <w:div w:id="1517379514">
      <w:marLeft w:val="480"/>
      <w:marRight w:val="0"/>
      <w:marTop w:val="0"/>
      <w:marBottom w:val="0"/>
      <w:divBdr>
        <w:top w:val="none" w:sz="0" w:space="0" w:color="auto"/>
        <w:left w:val="none" w:sz="0" w:space="0" w:color="auto"/>
        <w:bottom w:val="none" w:sz="0" w:space="0" w:color="auto"/>
        <w:right w:val="none" w:sz="0" w:space="0" w:color="auto"/>
      </w:divBdr>
    </w:div>
    <w:div w:id="1519000260">
      <w:marLeft w:val="0"/>
      <w:marRight w:val="0"/>
      <w:marTop w:val="0"/>
      <w:marBottom w:val="0"/>
      <w:divBdr>
        <w:top w:val="none" w:sz="0" w:space="0" w:color="auto"/>
        <w:left w:val="none" w:sz="0" w:space="0" w:color="auto"/>
        <w:bottom w:val="none" w:sz="0" w:space="0" w:color="auto"/>
        <w:right w:val="none" w:sz="0" w:space="0" w:color="auto"/>
      </w:divBdr>
    </w:div>
    <w:div w:id="1520120495">
      <w:marLeft w:val="480"/>
      <w:marRight w:val="0"/>
      <w:marTop w:val="0"/>
      <w:marBottom w:val="0"/>
      <w:divBdr>
        <w:top w:val="none" w:sz="0" w:space="0" w:color="auto"/>
        <w:left w:val="none" w:sz="0" w:space="0" w:color="auto"/>
        <w:bottom w:val="none" w:sz="0" w:space="0" w:color="auto"/>
        <w:right w:val="none" w:sz="0" w:space="0" w:color="auto"/>
      </w:divBdr>
    </w:div>
    <w:div w:id="1525359357">
      <w:marLeft w:val="0"/>
      <w:marRight w:val="0"/>
      <w:marTop w:val="0"/>
      <w:marBottom w:val="0"/>
      <w:divBdr>
        <w:top w:val="none" w:sz="0" w:space="0" w:color="auto"/>
        <w:left w:val="none" w:sz="0" w:space="0" w:color="auto"/>
        <w:bottom w:val="none" w:sz="0" w:space="0" w:color="auto"/>
        <w:right w:val="none" w:sz="0" w:space="0" w:color="auto"/>
      </w:divBdr>
    </w:div>
    <w:div w:id="1532525927">
      <w:marLeft w:val="0"/>
      <w:marRight w:val="0"/>
      <w:marTop w:val="0"/>
      <w:marBottom w:val="0"/>
      <w:divBdr>
        <w:top w:val="none" w:sz="0" w:space="0" w:color="auto"/>
        <w:left w:val="none" w:sz="0" w:space="0" w:color="auto"/>
        <w:bottom w:val="none" w:sz="0" w:space="0" w:color="auto"/>
        <w:right w:val="none" w:sz="0" w:space="0" w:color="auto"/>
      </w:divBdr>
    </w:div>
    <w:div w:id="1552376934">
      <w:marLeft w:val="480"/>
      <w:marRight w:val="0"/>
      <w:marTop w:val="0"/>
      <w:marBottom w:val="0"/>
      <w:divBdr>
        <w:top w:val="none" w:sz="0" w:space="0" w:color="auto"/>
        <w:left w:val="none" w:sz="0" w:space="0" w:color="auto"/>
        <w:bottom w:val="none" w:sz="0" w:space="0" w:color="auto"/>
        <w:right w:val="none" w:sz="0" w:space="0" w:color="auto"/>
      </w:divBdr>
    </w:div>
    <w:div w:id="1561749155">
      <w:marLeft w:val="480"/>
      <w:marRight w:val="0"/>
      <w:marTop w:val="0"/>
      <w:marBottom w:val="0"/>
      <w:divBdr>
        <w:top w:val="none" w:sz="0" w:space="0" w:color="auto"/>
        <w:left w:val="none" w:sz="0" w:space="0" w:color="auto"/>
        <w:bottom w:val="none" w:sz="0" w:space="0" w:color="auto"/>
        <w:right w:val="none" w:sz="0" w:space="0" w:color="auto"/>
      </w:divBdr>
    </w:div>
    <w:div w:id="1573275566">
      <w:marLeft w:val="0"/>
      <w:marRight w:val="0"/>
      <w:marTop w:val="0"/>
      <w:marBottom w:val="0"/>
      <w:divBdr>
        <w:top w:val="none" w:sz="0" w:space="0" w:color="auto"/>
        <w:left w:val="none" w:sz="0" w:space="0" w:color="auto"/>
        <w:bottom w:val="none" w:sz="0" w:space="0" w:color="auto"/>
        <w:right w:val="none" w:sz="0" w:space="0" w:color="auto"/>
      </w:divBdr>
    </w:div>
    <w:div w:id="1582526927">
      <w:marLeft w:val="0"/>
      <w:marRight w:val="0"/>
      <w:marTop w:val="0"/>
      <w:marBottom w:val="0"/>
      <w:divBdr>
        <w:top w:val="none" w:sz="0" w:space="0" w:color="auto"/>
        <w:left w:val="none" w:sz="0" w:space="0" w:color="auto"/>
        <w:bottom w:val="none" w:sz="0" w:space="0" w:color="auto"/>
        <w:right w:val="none" w:sz="0" w:space="0" w:color="auto"/>
      </w:divBdr>
    </w:div>
    <w:div w:id="1583174889">
      <w:marLeft w:val="0"/>
      <w:marRight w:val="0"/>
      <w:marTop w:val="0"/>
      <w:marBottom w:val="0"/>
      <w:divBdr>
        <w:top w:val="none" w:sz="0" w:space="0" w:color="auto"/>
        <w:left w:val="none" w:sz="0" w:space="0" w:color="auto"/>
        <w:bottom w:val="none" w:sz="0" w:space="0" w:color="auto"/>
        <w:right w:val="none" w:sz="0" w:space="0" w:color="auto"/>
      </w:divBdr>
    </w:div>
    <w:div w:id="1587570379">
      <w:marLeft w:val="0"/>
      <w:marRight w:val="0"/>
      <w:marTop w:val="0"/>
      <w:marBottom w:val="0"/>
      <w:divBdr>
        <w:top w:val="none" w:sz="0" w:space="0" w:color="auto"/>
        <w:left w:val="none" w:sz="0" w:space="0" w:color="auto"/>
        <w:bottom w:val="none" w:sz="0" w:space="0" w:color="auto"/>
        <w:right w:val="none" w:sz="0" w:space="0" w:color="auto"/>
      </w:divBdr>
    </w:div>
    <w:div w:id="1611089159">
      <w:marLeft w:val="0"/>
      <w:marRight w:val="0"/>
      <w:marTop w:val="0"/>
      <w:marBottom w:val="0"/>
      <w:divBdr>
        <w:top w:val="none" w:sz="0" w:space="0" w:color="auto"/>
        <w:left w:val="none" w:sz="0" w:space="0" w:color="auto"/>
        <w:bottom w:val="none" w:sz="0" w:space="0" w:color="auto"/>
        <w:right w:val="none" w:sz="0" w:space="0" w:color="auto"/>
      </w:divBdr>
    </w:div>
    <w:div w:id="1612086804">
      <w:marLeft w:val="0"/>
      <w:marRight w:val="0"/>
      <w:marTop w:val="0"/>
      <w:marBottom w:val="0"/>
      <w:divBdr>
        <w:top w:val="none" w:sz="0" w:space="0" w:color="auto"/>
        <w:left w:val="none" w:sz="0" w:space="0" w:color="auto"/>
        <w:bottom w:val="none" w:sz="0" w:space="0" w:color="auto"/>
        <w:right w:val="none" w:sz="0" w:space="0" w:color="auto"/>
      </w:divBdr>
    </w:div>
    <w:div w:id="1613435850">
      <w:marLeft w:val="480"/>
      <w:marRight w:val="0"/>
      <w:marTop w:val="0"/>
      <w:marBottom w:val="0"/>
      <w:divBdr>
        <w:top w:val="none" w:sz="0" w:space="0" w:color="auto"/>
        <w:left w:val="none" w:sz="0" w:space="0" w:color="auto"/>
        <w:bottom w:val="none" w:sz="0" w:space="0" w:color="auto"/>
        <w:right w:val="none" w:sz="0" w:space="0" w:color="auto"/>
      </w:divBdr>
    </w:div>
    <w:div w:id="1619099258">
      <w:marLeft w:val="480"/>
      <w:marRight w:val="0"/>
      <w:marTop w:val="0"/>
      <w:marBottom w:val="0"/>
      <w:divBdr>
        <w:top w:val="none" w:sz="0" w:space="0" w:color="auto"/>
        <w:left w:val="none" w:sz="0" w:space="0" w:color="auto"/>
        <w:bottom w:val="none" w:sz="0" w:space="0" w:color="auto"/>
        <w:right w:val="none" w:sz="0" w:space="0" w:color="auto"/>
      </w:divBdr>
    </w:div>
    <w:div w:id="1619750173">
      <w:marLeft w:val="480"/>
      <w:marRight w:val="0"/>
      <w:marTop w:val="0"/>
      <w:marBottom w:val="0"/>
      <w:divBdr>
        <w:top w:val="none" w:sz="0" w:space="0" w:color="auto"/>
        <w:left w:val="none" w:sz="0" w:space="0" w:color="auto"/>
        <w:bottom w:val="none" w:sz="0" w:space="0" w:color="auto"/>
        <w:right w:val="none" w:sz="0" w:space="0" w:color="auto"/>
      </w:divBdr>
    </w:div>
    <w:div w:id="1621689258">
      <w:marLeft w:val="480"/>
      <w:marRight w:val="0"/>
      <w:marTop w:val="0"/>
      <w:marBottom w:val="0"/>
      <w:divBdr>
        <w:top w:val="none" w:sz="0" w:space="0" w:color="auto"/>
        <w:left w:val="none" w:sz="0" w:space="0" w:color="auto"/>
        <w:bottom w:val="none" w:sz="0" w:space="0" w:color="auto"/>
        <w:right w:val="none" w:sz="0" w:space="0" w:color="auto"/>
      </w:divBdr>
    </w:div>
    <w:div w:id="1648047059">
      <w:marLeft w:val="480"/>
      <w:marRight w:val="0"/>
      <w:marTop w:val="0"/>
      <w:marBottom w:val="0"/>
      <w:divBdr>
        <w:top w:val="none" w:sz="0" w:space="0" w:color="auto"/>
        <w:left w:val="none" w:sz="0" w:space="0" w:color="auto"/>
        <w:bottom w:val="none" w:sz="0" w:space="0" w:color="auto"/>
        <w:right w:val="none" w:sz="0" w:space="0" w:color="auto"/>
      </w:divBdr>
    </w:div>
    <w:div w:id="1658728484">
      <w:marLeft w:val="480"/>
      <w:marRight w:val="0"/>
      <w:marTop w:val="0"/>
      <w:marBottom w:val="0"/>
      <w:divBdr>
        <w:top w:val="none" w:sz="0" w:space="0" w:color="auto"/>
        <w:left w:val="none" w:sz="0" w:space="0" w:color="auto"/>
        <w:bottom w:val="none" w:sz="0" w:space="0" w:color="auto"/>
        <w:right w:val="none" w:sz="0" w:space="0" w:color="auto"/>
      </w:divBdr>
    </w:div>
    <w:div w:id="1660772183">
      <w:marLeft w:val="480"/>
      <w:marRight w:val="0"/>
      <w:marTop w:val="0"/>
      <w:marBottom w:val="0"/>
      <w:divBdr>
        <w:top w:val="none" w:sz="0" w:space="0" w:color="auto"/>
        <w:left w:val="none" w:sz="0" w:space="0" w:color="auto"/>
        <w:bottom w:val="none" w:sz="0" w:space="0" w:color="auto"/>
        <w:right w:val="none" w:sz="0" w:space="0" w:color="auto"/>
      </w:divBdr>
    </w:div>
    <w:div w:id="1668971181">
      <w:marLeft w:val="480"/>
      <w:marRight w:val="0"/>
      <w:marTop w:val="0"/>
      <w:marBottom w:val="0"/>
      <w:divBdr>
        <w:top w:val="none" w:sz="0" w:space="0" w:color="auto"/>
        <w:left w:val="none" w:sz="0" w:space="0" w:color="auto"/>
        <w:bottom w:val="none" w:sz="0" w:space="0" w:color="auto"/>
        <w:right w:val="none" w:sz="0" w:space="0" w:color="auto"/>
      </w:divBdr>
    </w:div>
    <w:div w:id="1673070968">
      <w:marLeft w:val="480"/>
      <w:marRight w:val="0"/>
      <w:marTop w:val="0"/>
      <w:marBottom w:val="0"/>
      <w:divBdr>
        <w:top w:val="none" w:sz="0" w:space="0" w:color="auto"/>
        <w:left w:val="none" w:sz="0" w:space="0" w:color="auto"/>
        <w:bottom w:val="none" w:sz="0" w:space="0" w:color="auto"/>
        <w:right w:val="none" w:sz="0" w:space="0" w:color="auto"/>
      </w:divBdr>
    </w:div>
    <w:div w:id="1676883414">
      <w:marLeft w:val="480"/>
      <w:marRight w:val="0"/>
      <w:marTop w:val="0"/>
      <w:marBottom w:val="0"/>
      <w:divBdr>
        <w:top w:val="none" w:sz="0" w:space="0" w:color="auto"/>
        <w:left w:val="none" w:sz="0" w:space="0" w:color="auto"/>
        <w:bottom w:val="none" w:sz="0" w:space="0" w:color="auto"/>
        <w:right w:val="none" w:sz="0" w:space="0" w:color="auto"/>
      </w:divBdr>
    </w:div>
    <w:div w:id="1679850523">
      <w:marLeft w:val="480"/>
      <w:marRight w:val="0"/>
      <w:marTop w:val="0"/>
      <w:marBottom w:val="0"/>
      <w:divBdr>
        <w:top w:val="none" w:sz="0" w:space="0" w:color="auto"/>
        <w:left w:val="none" w:sz="0" w:space="0" w:color="auto"/>
        <w:bottom w:val="none" w:sz="0" w:space="0" w:color="auto"/>
        <w:right w:val="none" w:sz="0" w:space="0" w:color="auto"/>
      </w:divBdr>
    </w:div>
    <w:div w:id="1682856157">
      <w:bodyDiv w:val="1"/>
      <w:marLeft w:val="0"/>
      <w:marRight w:val="0"/>
      <w:marTop w:val="0"/>
      <w:marBottom w:val="0"/>
      <w:divBdr>
        <w:top w:val="none" w:sz="0" w:space="0" w:color="auto"/>
        <w:left w:val="none" w:sz="0" w:space="0" w:color="auto"/>
        <w:bottom w:val="none" w:sz="0" w:space="0" w:color="auto"/>
        <w:right w:val="none" w:sz="0" w:space="0" w:color="auto"/>
      </w:divBdr>
      <w:divsChild>
        <w:div w:id="2102991222">
          <w:marLeft w:val="0"/>
          <w:marRight w:val="0"/>
          <w:marTop w:val="0"/>
          <w:marBottom w:val="0"/>
          <w:divBdr>
            <w:top w:val="none" w:sz="0" w:space="0" w:color="auto"/>
            <w:left w:val="none" w:sz="0" w:space="0" w:color="auto"/>
            <w:bottom w:val="none" w:sz="0" w:space="0" w:color="auto"/>
            <w:right w:val="none" w:sz="0" w:space="0" w:color="auto"/>
          </w:divBdr>
          <w:divsChild>
            <w:div w:id="108908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480389">
      <w:marLeft w:val="480"/>
      <w:marRight w:val="0"/>
      <w:marTop w:val="0"/>
      <w:marBottom w:val="0"/>
      <w:divBdr>
        <w:top w:val="none" w:sz="0" w:space="0" w:color="auto"/>
        <w:left w:val="none" w:sz="0" w:space="0" w:color="auto"/>
        <w:bottom w:val="none" w:sz="0" w:space="0" w:color="auto"/>
        <w:right w:val="none" w:sz="0" w:space="0" w:color="auto"/>
      </w:divBdr>
    </w:div>
    <w:div w:id="1690177574">
      <w:marLeft w:val="480"/>
      <w:marRight w:val="0"/>
      <w:marTop w:val="0"/>
      <w:marBottom w:val="0"/>
      <w:divBdr>
        <w:top w:val="none" w:sz="0" w:space="0" w:color="auto"/>
        <w:left w:val="none" w:sz="0" w:space="0" w:color="auto"/>
        <w:bottom w:val="none" w:sz="0" w:space="0" w:color="auto"/>
        <w:right w:val="none" w:sz="0" w:space="0" w:color="auto"/>
      </w:divBdr>
    </w:div>
    <w:div w:id="1691375800">
      <w:marLeft w:val="480"/>
      <w:marRight w:val="0"/>
      <w:marTop w:val="0"/>
      <w:marBottom w:val="0"/>
      <w:divBdr>
        <w:top w:val="none" w:sz="0" w:space="0" w:color="auto"/>
        <w:left w:val="none" w:sz="0" w:space="0" w:color="auto"/>
        <w:bottom w:val="none" w:sz="0" w:space="0" w:color="auto"/>
        <w:right w:val="none" w:sz="0" w:space="0" w:color="auto"/>
      </w:divBdr>
    </w:div>
    <w:div w:id="1691570263">
      <w:marLeft w:val="0"/>
      <w:marRight w:val="0"/>
      <w:marTop w:val="0"/>
      <w:marBottom w:val="0"/>
      <w:divBdr>
        <w:top w:val="none" w:sz="0" w:space="0" w:color="auto"/>
        <w:left w:val="none" w:sz="0" w:space="0" w:color="auto"/>
        <w:bottom w:val="none" w:sz="0" w:space="0" w:color="auto"/>
        <w:right w:val="none" w:sz="0" w:space="0" w:color="auto"/>
      </w:divBdr>
    </w:div>
    <w:div w:id="1703091693">
      <w:marLeft w:val="480"/>
      <w:marRight w:val="0"/>
      <w:marTop w:val="0"/>
      <w:marBottom w:val="0"/>
      <w:divBdr>
        <w:top w:val="none" w:sz="0" w:space="0" w:color="auto"/>
        <w:left w:val="none" w:sz="0" w:space="0" w:color="auto"/>
        <w:bottom w:val="none" w:sz="0" w:space="0" w:color="auto"/>
        <w:right w:val="none" w:sz="0" w:space="0" w:color="auto"/>
      </w:divBdr>
    </w:div>
    <w:div w:id="1711146796">
      <w:marLeft w:val="480"/>
      <w:marRight w:val="0"/>
      <w:marTop w:val="0"/>
      <w:marBottom w:val="0"/>
      <w:divBdr>
        <w:top w:val="none" w:sz="0" w:space="0" w:color="auto"/>
        <w:left w:val="none" w:sz="0" w:space="0" w:color="auto"/>
        <w:bottom w:val="none" w:sz="0" w:space="0" w:color="auto"/>
        <w:right w:val="none" w:sz="0" w:space="0" w:color="auto"/>
      </w:divBdr>
    </w:div>
    <w:div w:id="1718356996">
      <w:marLeft w:val="0"/>
      <w:marRight w:val="0"/>
      <w:marTop w:val="0"/>
      <w:marBottom w:val="0"/>
      <w:divBdr>
        <w:top w:val="none" w:sz="0" w:space="0" w:color="auto"/>
        <w:left w:val="none" w:sz="0" w:space="0" w:color="auto"/>
        <w:bottom w:val="none" w:sz="0" w:space="0" w:color="auto"/>
        <w:right w:val="none" w:sz="0" w:space="0" w:color="auto"/>
      </w:divBdr>
    </w:div>
    <w:div w:id="1732577947">
      <w:marLeft w:val="0"/>
      <w:marRight w:val="0"/>
      <w:marTop w:val="0"/>
      <w:marBottom w:val="0"/>
      <w:divBdr>
        <w:top w:val="none" w:sz="0" w:space="0" w:color="auto"/>
        <w:left w:val="none" w:sz="0" w:space="0" w:color="auto"/>
        <w:bottom w:val="none" w:sz="0" w:space="0" w:color="auto"/>
        <w:right w:val="none" w:sz="0" w:space="0" w:color="auto"/>
      </w:divBdr>
    </w:div>
    <w:div w:id="1743484069">
      <w:marLeft w:val="480"/>
      <w:marRight w:val="0"/>
      <w:marTop w:val="0"/>
      <w:marBottom w:val="0"/>
      <w:divBdr>
        <w:top w:val="none" w:sz="0" w:space="0" w:color="auto"/>
        <w:left w:val="none" w:sz="0" w:space="0" w:color="auto"/>
        <w:bottom w:val="none" w:sz="0" w:space="0" w:color="auto"/>
        <w:right w:val="none" w:sz="0" w:space="0" w:color="auto"/>
      </w:divBdr>
    </w:div>
    <w:div w:id="1764301398">
      <w:marLeft w:val="0"/>
      <w:marRight w:val="0"/>
      <w:marTop w:val="0"/>
      <w:marBottom w:val="0"/>
      <w:divBdr>
        <w:top w:val="none" w:sz="0" w:space="0" w:color="auto"/>
        <w:left w:val="none" w:sz="0" w:space="0" w:color="auto"/>
        <w:bottom w:val="none" w:sz="0" w:space="0" w:color="auto"/>
        <w:right w:val="none" w:sz="0" w:space="0" w:color="auto"/>
      </w:divBdr>
    </w:div>
    <w:div w:id="1766457692">
      <w:marLeft w:val="0"/>
      <w:marRight w:val="0"/>
      <w:marTop w:val="0"/>
      <w:marBottom w:val="0"/>
      <w:divBdr>
        <w:top w:val="none" w:sz="0" w:space="0" w:color="auto"/>
        <w:left w:val="none" w:sz="0" w:space="0" w:color="auto"/>
        <w:bottom w:val="none" w:sz="0" w:space="0" w:color="auto"/>
        <w:right w:val="none" w:sz="0" w:space="0" w:color="auto"/>
      </w:divBdr>
    </w:div>
    <w:div w:id="1769890297">
      <w:marLeft w:val="0"/>
      <w:marRight w:val="0"/>
      <w:marTop w:val="0"/>
      <w:marBottom w:val="0"/>
      <w:divBdr>
        <w:top w:val="none" w:sz="0" w:space="0" w:color="auto"/>
        <w:left w:val="none" w:sz="0" w:space="0" w:color="auto"/>
        <w:bottom w:val="none" w:sz="0" w:space="0" w:color="auto"/>
        <w:right w:val="none" w:sz="0" w:space="0" w:color="auto"/>
      </w:divBdr>
    </w:div>
    <w:div w:id="1774738729">
      <w:marLeft w:val="480"/>
      <w:marRight w:val="0"/>
      <w:marTop w:val="0"/>
      <w:marBottom w:val="0"/>
      <w:divBdr>
        <w:top w:val="none" w:sz="0" w:space="0" w:color="auto"/>
        <w:left w:val="none" w:sz="0" w:space="0" w:color="auto"/>
        <w:bottom w:val="none" w:sz="0" w:space="0" w:color="auto"/>
        <w:right w:val="none" w:sz="0" w:space="0" w:color="auto"/>
      </w:divBdr>
    </w:div>
    <w:div w:id="1786581806">
      <w:marLeft w:val="0"/>
      <w:marRight w:val="0"/>
      <w:marTop w:val="0"/>
      <w:marBottom w:val="0"/>
      <w:divBdr>
        <w:top w:val="none" w:sz="0" w:space="0" w:color="auto"/>
        <w:left w:val="none" w:sz="0" w:space="0" w:color="auto"/>
        <w:bottom w:val="none" w:sz="0" w:space="0" w:color="auto"/>
        <w:right w:val="none" w:sz="0" w:space="0" w:color="auto"/>
      </w:divBdr>
    </w:div>
    <w:div w:id="1790465022">
      <w:marLeft w:val="480"/>
      <w:marRight w:val="0"/>
      <w:marTop w:val="0"/>
      <w:marBottom w:val="0"/>
      <w:divBdr>
        <w:top w:val="none" w:sz="0" w:space="0" w:color="auto"/>
        <w:left w:val="none" w:sz="0" w:space="0" w:color="auto"/>
        <w:bottom w:val="none" w:sz="0" w:space="0" w:color="auto"/>
        <w:right w:val="none" w:sz="0" w:space="0" w:color="auto"/>
      </w:divBdr>
    </w:div>
    <w:div w:id="1793133679">
      <w:marLeft w:val="0"/>
      <w:marRight w:val="0"/>
      <w:marTop w:val="0"/>
      <w:marBottom w:val="0"/>
      <w:divBdr>
        <w:top w:val="none" w:sz="0" w:space="0" w:color="auto"/>
        <w:left w:val="none" w:sz="0" w:space="0" w:color="auto"/>
        <w:bottom w:val="none" w:sz="0" w:space="0" w:color="auto"/>
        <w:right w:val="none" w:sz="0" w:space="0" w:color="auto"/>
      </w:divBdr>
    </w:div>
    <w:div w:id="1802572611">
      <w:marLeft w:val="480"/>
      <w:marRight w:val="0"/>
      <w:marTop w:val="0"/>
      <w:marBottom w:val="0"/>
      <w:divBdr>
        <w:top w:val="none" w:sz="0" w:space="0" w:color="auto"/>
        <w:left w:val="none" w:sz="0" w:space="0" w:color="auto"/>
        <w:bottom w:val="none" w:sz="0" w:space="0" w:color="auto"/>
        <w:right w:val="none" w:sz="0" w:space="0" w:color="auto"/>
      </w:divBdr>
    </w:div>
    <w:div w:id="1820993621">
      <w:marLeft w:val="480"/>
      <w:marRight w:val="0"/>
      <w:marTop w:val="0"/>
      <w:marBottom w:val="0"/>
      <w:divBdr>
        <w:top w:val="none" w:sz="0" w:space="0" w:color="auto"/>
        <w:left w:val="none" w:sz="0" w:space="0" w:color="auto"/>
        <w:bottom w:val="none" w:sz="0" w:space="0" w:color="auto"/>
        <w:right w:val="none" w:sz="0" w:space="0" w:color="auto"/>
      </w:divBdr>
    </w:div>
    <w:div w:id="1826237164">
      <w:marLeft w:val="0"/>
      <w:marRight w:val="0"/>
      <w:marTop w:val="0"/>
      <w:marBottom w:val="0"/>
      <w:divBdr>
        <w:top w:val="none" w:sz="0" w:space="0" w:color="auto"/>
        <w:left w:val="none" w:sz="0" w:space="0" w:color="auto"/>
        <w:bottom w:val="none" w:sz="0" w:space="0" w:color="auto"/>
        <w:right w:val="none" w:sz="0" w:space="0" w:color="auto"/>
      </w:divBdr>
    </w:div>
    <w:div w:id="1830169610">
      <w:marLeft w:val="0"/>
      <w:marRight w:val="0"/>
      <w:marTop w:val="0"/>
      <w:marBottom w:val="0"/>
      <w:divBdr>
        <w:top w:val="none" w:sz="0" w:space="0" w:color="auto"/>
        <w:left w:val="none" w:sz="0" w:space="0" w:color="auto"/>
        <w:bottom w:val="none" w:sz="0" w:space="0" w:color="auto"/>
        <w:right w:val="none" w:sz="0" w:space="0" w:color="auto"/>
      </w:divBdr>
    </w:div>
    <w:div w:id="1834367609">
      <w:marLeft w:val="0"/>
      <w:marRight w:val="0"/>
      <w:marTop w:val="0"/>
      <w:marBottom w:val="0"/>
      <w:divBdr>
        <w:top w:val="none" w:sz="0" w:space="0" w:color="auto"/>
        <w:left w:val="none" w:sz="0" w:space="0" w:color="auto"/>
        <w:bottom w:val="none" w:sz="0" w:space="0" w:color="auto"/>
        <w:right w:val="none" w:sz="0" w:space="0" w:color="auto"/>
      </w:divBdr>
    </w:div>
    <w:div w:id="1835488939">
      <w:marLeft w:val="480"/>
      <w:marRight w:val="0"/>
      <w:marTop w:val="0"/>
      <w:marBottom w:val="0"/>
      <w:divBdr>
        <w:top w:val="none" w:sz="0" w:space="0" w:color="auto"/>
        <w:left w:val="none" w:sz="0" w:space="0" w:color="auto"/>
        <w:bottom w:val="none" w:sz="0" w:space="0" w:color="auto"/>
        <w:right w:val="none" w:sz="0" w:space="0" w:color="auto"/>
      </w:divBdr>
    </w:div>
    <w:div w:id="1835805266">
      <w:marLeft w:val="0"/>
      <w:marRight w:val="0"/>
      <w:marTop w:val="0"/>
      <w:marBottom w:val="0"/>
      <w:divBdr>
        <w:top w:val="none" w:sz="0" w:space="0" w:color="auto"/>
        <w:left w:val="none" w:sz="0" w:space="0" w:color="auto"/>
        <w:bottom w:val="none" w:sz="0" w:space="0" w:color="auto"/>
        <w:right w:val="none" w:sz="0" w:space="0" w:color="auto"/>
      </w:divBdr>
    </w:div>
    <w:div w:id="1842423864">
      <w:marLeft w:val="480"/>
      <w:marRight w:val="0"/>
      <w:marTop w:val="0"/>
      <w:marBottom w:val="0"/>
      <w:divBdr>
        <w:top w:val="none" w:sz="0" w:space="0" w:color="auto"/>
        <w:left w:val="none" w:sz="0" w:space="0" w:color="auto"/>
        <w:bottom w:val="none" w:sz="0" w:space="0" w:color="auto"/>
        <w:right w:val="none" w:sz="0" w:space="0" w:color="auto"/>
      </w:divBdr>
    </w:div>
    <w:div w:id="1869953694">
      <w:marLeft w:val="0"/>
      <w:marRight w:val="0"/>
      <w:marTop w:val="0"/>
      <w:marBottom w:val="0"/>
      <w:divBdr>
        <w:top w:val="none" w:sz="0" w:space="0" w:color="auto"/>
        <w:left w:val="none" w:sz="0" w:space="0" w:color="auto"/>
        <w:bottom w:val="none" w:sz="0" w:space="0" w:color="auto"/>
        <w:right w:val="none" w:sz="0" w:space="0" w:color="auto"/>
      </w:divBdr>
    </w:div>
    <w:div w:id="1877620194">
      <w:marLeft w:val="0"/>
      <w:marRight w:val="0"/>
      <w:marTop w:val="0"/>
      <w:marBottom w:val="0"/>
      <w:divBdr>
        <w:top w:val="none" w:sz="0" w:space="0" w:color="auto"/>
        <w:left w:val="none" w:sz="0" w:space="0" w:color="auto"/>
        <w:bottom w:val="none" w:sz="0" w:space="0" w:color="auto"/>
        <w:right w:val="none" w:sz="0" w:space="0" w:color="auto"/>
      </w:divBdr>
    </w:div>
    <w:div w:id="1879777892">
      <w:marLeft w:val="0"/>
      <w:marRight w:val="0"/>
      <w:marTop w:val="0"/>
      <w:marBottom w:val="0"/>
      <w:divBdr>
        <w:top w:val="none" w:sz="0" w:space="0" w:color="auto"/>
        <w:left w:val="none" w:sz="0" w:space="0" w:color="auto"/>
        <w:bottom w:val="none" w:sz="0" w:space="0" w:color="auto"/>
        <w:right w:val="none" w:sz="0" w:space="0" w:color="auto"/>
      </w:divBdr>
    </w:div>
    <w:div w:id="1882210885">
      <w:marLeft w:val="480"/>
      <w:marRight w:val="0"/>
      <w:marTop w:val="0"/>
      <w:marBottom w:val="0"/>
      <w:divBdr>
        <w:top w:val="none" w:sz="0" w:space="0" w:color="auto"/>
        <w:left w:val="none" w:sz="0" w:space="0" w:color="auto"/>
        <w:bottom w:val="none" w:sz="0" w:space="0" w:color="auto"/>
        <w:right w:val="none" w:sz="0" w:space="0" w:color="auto"/>
      </w:divBdr>
    </w:div>
    <w:div w:id="1902406458">
      <w:marLeft w:val="0"/>
      <w:marRight w:val="0"/>
      <w:marTop w:val="0"/>
      <w:marBottom w:val="0"/>
      <w:divBdr>
        <w:top w:val="none" w:sz="0" w:space="0" w:color="auto"/>
        <w:left w:val="none" w:sz="0" w:space="0" w:color="auto"/>
        <w:bottom w:val="none" w:sz="0" w:space="0" w:color="auto"/>
        <w:right w:val="none" w:sz="0" w:space="0" w:color="auto"/>
      </w:divBdr>
    </w:div>
    <w:div w:id="1964461510">
      <w:marLeft w:val="480"/>
      <w:marRight w:val="0"/>
      <w:marTop w:val="0"/>
      <w:marBottom w:val="0"/>
      <w:divBdr>
        <w:top w:val="none" w:sz="0" w:space="0" w:color="auto"/>
        <w:left w:val="none" w:sz="0" w:space="0" w:color="auto"/>
        <w:bottom w:val="none" w:sz="0" w:space="0" w:color="auto"/>
        <w:right w:val="none" w:sz="0" w:space="0" w:color="auto"/>
      </w:divBdr>
    </w:div>
    <w:div w:id="1969701472">
      <w:marLeft w:val="0"/>
      <w:marRight w:val="0"/>
      <w:marTop w:val="0"/>
      <w:marBottom w:val="0"/>
      <w:divBdr>
        <w:top w:val="none" w:sz="0" w:space="0" w:color="auto"/>
        <w:left w:val="none" w:sz="0" w:space="0" w:color="auto"/>
        <w:bottom w:val="none" w:sz="0" w:space="0" w:color="auto"/>
        <w:right w:val="none" w:sz="0" w:space="0" w:color="auto"/>
      </w:divBdr>
    </w:div>
    <w:div w:id="1981109677">
      <w:marLeft w:val="480"/>
      <w:marRight w:val="0"/>
      <w:marTop w:val="0"/>
      <w:marBottom w:val="0"/>
      <w:divBdr>
        <w:top w:val="none" w:sz="0" w:space="0" w:color="auto"/>
        <w:left w:val="none" w:sz="0" w:space="0" w:color="auto"/>
        <w:bottom w:val="none" w:sz="0" w:space="0" w:color="auto"/>
        <w:right w:val="none" w:sz="0" w:space="0" w:color="auto"/>
      </w:divBdr>
    </w:div>
    <w:div w:id="1992709511">
      <w:marLeft w:val="480"/>
      <w:marRight w:val="0"/>
      <w:marTop w:val="0"/>
      <w:marBottom w:val="0"/>
      <w:divBdr>
        <w:top w:val="none" w:sz="0" w:space="0" w:color="auto"/>
        <w:left w:val="none" w:sz="0" w:space="0" w:color="auto"/>
        <w:bottom w:val="none" w:sz="0" w:space="0" w:color="auto"/>
        <w:right w:val="none" w:sz="0" w:space="0" w:color="auto"/>
      </w:divBdr>
    </w:div>
    <w:div w:id="2003073704">
      <w:marLeft w:val="0"/>
      <w:marRight w:val="0"/>
      <w:marTop w:val="0"/>
      <w:marBottom w:val="0"/>
      <w:divBdr>
        <w:top w:val="none" w:sz="0" w:space="0" w:color="auto"/>
        <w:left w:val="none" w:sz="0" w:space="0" w:color="auto"/>
        <w:bottom w:val="none" w:sz="0" w:space="0" w:color="auto"/>
        <w:right w:val="none" w:sz="0" w:space="0" w:color="auto"/>
      </w:divBdr>
    </w:div>
    <w:div w:id="2008627873">
      <w:marLeft w:val="480"/>
      <w:marRight w:val="0"/>
      <w:marTop w:val="0"/>
      <w:marBottom w:val="0"/>
      <w:divBdr>
        <w:top w:val="none" w:sz="0" w:space="0" w:color="auto"/>
        <w:left w:val="none" w:sz="0" w:space="0" w:color="auto"/>
        <w:bottom w:val="none" w:sz="0" w:space="0" w:color="auto"/>
        <w:right w:val="none" w:sz="0" w:space="0" w:color="auto"/>
      </w:divBdr>
    </w:div>
    <w:div w:id="2021741123">
      <w:marLeft w:val="0"/>
      <w:marRight w:val="0"/>
      <w:marTop w:val="0"/>
      <w:marBottom w:val="0"/>
      <w:divBdr>
        <w:top w:val="none" w:sz="0" w:space="0" w:color="auto"/>
        <w:left w:val="none" w:sz="0" w:space="0" w:color="auto"/>
        <w:bottom w:val="none" w:sz="0" w:space="0" w:color="auto"/>
        <w:right w:val="none" w:sz="0" w:space="0" w:color="auto"/>
      </w:divBdr>
    </w:div>
    <w:div w:id="2028478388">
      <w:marLeft w:val="480"/>
      <w:marRight w:val="0"/>
      <w:marTop w:val="0"/>
      <w:marBottom w:val="0"/>
      <w:divBdr>
        <w:top w:val="none" w:sz="0" w:space="0" w:color="auto"/>
        <w:left w:val="none" w:sz="0" w:space="0" w:color="auto"/>
        <w:bottom w:val="none" w:sz="0" w:space="0" w:color="auto"/>
        <w:right w:val="none" w:sz="0" w:space="0" w:color="auto"/>
      </w:divBdr>
    </w:div>
    <w:div w:id="2029982155">
      <w:marLeft w:val="480"/>
      <w:marRight w:val="0"/>
      <w:marTop w:val="0"/>
      <w:marBottom w:val="0"/>
      <w:divBdr>
        <w:top w:val="none" w:sz="0" w:space="0" w:color="auto"/>
        <w:left w:val="none" w:sz="0" w:space="0" w:color="auto"/>
        <w:bottom w:val="none" w:sz="0" w:space="0" w:color="auto"/>
        <w:right w:val="none" w:sz="0" w:space="0" w:color="auto"/>
      </w:divBdr>
    </w:div>
    <w:div w:id="2030452033">
      <w:marLeft w:val="0"/>
      <w:marRight w:val="0"/>
      <w:marTop w:val="0"/>
      <w:marBottom w:val="0"/>
      <w:divBdr>
        <w:top w:val="none" w:sz="0" w:space="0" w:color="auto"/>
        <w:left w:val="none" w:sz="0" w:space="0" w:color="auto"/>
        <w:bottom w:val="none" w:sz="0" w:space="0" w:color="auto"/>
        <w:right w:val="none" w:sz="0" w:space="0" w:color="auto"/>
      </w:divBdr>
    </w:div>
    <w:div w:id="2032560810">
      <w:marLeft w:val="480"/>
      <w:marRight w:val="0"/>
      <w:marTop w:val="0"/>
      <w:marBottom w:val="0"/>
      <w:divBdr>
        <w:top w:val="none" w:sz="0" w:space="0" w:color="auto"/>
        <w:left w:val="none" w:sz="0" w:space="0" w:color="auto"/>
        <w:bottom w:val="none" w:sz="0" w:space="0" w:color="auto"/>
        <w:right w:val="none" w:sz="0" w:space="0" w:color="auto"/>
      </w:divBdr>
    </w:div>
    <w:div w:id="2056465015">
      <w:marLeft w:val="480"/>
      <w:marRight w:val="0"/>
      <w:marTop w:val="0"/>
      <w:marBottom w:val="0"/>
      <w:divBdr>
        <w:top w:val="none" w:sz="0" w:space="0" w:color="auto"/>
        <w:left w:val="none" w:sz="0" w:space="0" w:color="auto"/>
        <w:bottom w:val="none" w:sz="0" w:space="0" w:color="auto"/>
        <w:right w:val="none" w:sz="0" w:space="0" w:color="auto"/>
      </w:divBdr>
    </w:div>
    <w:div w:id="2084915443">
      <w:marLeft w:val="0"/>
      <w:marRight w:val="0"/>
      <w:marTop w:val="0"/>
      <w:marBottom w:val="0"/>
      <w:divBdr>
        <w:top w:val="none" w:sz="0" w:space="0" w:color="auto"/>
        <w:left w:val="none" w:sz="0" w:space="0" w:color="auto"/>
        <w:bottom w:val="none" w:sz="0" w:space="0" w:color="auto"/>
        <w:right w:val="none" w:sz="0" w:space="0" w:color="auto"/>
      </w:divBdr>
    </w:div>
    <w:div w:id="2092577965">
      <w:marLeft w:val="480"/>
      <w:marRight w:val="0"/>
      <w:marTop w:val="0"/>
      <w:marBottom w:val="0"/>
      <w:divBdr>
        <w:top w:val="none" w:sz="0" w:space="0" w:color="auto"/>
        <w:left w:val="none" w:sz="0" w:space="0" w:color="auto"/>
        <w:bottom w:val="none" w:sz="0" w:space="0" w:color="auto"/>
        <w:right w:val="none" w:sz="0" w:space="0" w:color="auto"/>
      </w:divBdr>
    </w:div>
    <w:div w:id="2094428530">
      <w:marLeft w:val="480"/>
      <w:marRight w:val="0"/>
      <w:marTop w:val="0"/>
      <w:marBottom w:val="0"/>
      <w:divBdr>
        <w:top w:val="none" w:sz="0" w:space="0" w:color="auto"/>
        <w:left w:val="none" w:sz="0" w:space="0" w:color="auto"/>
        <w:bottom w:val="none" w:sz="0" w:space="0" w:color="auto"/>
        <w:right w:val="none" w:sz="0" w:space="0" w:color="auto"/>
      </w:divBdr>
    </w:div>
    <w:div w:id="2099788676">
      <w:marLeft w:val="480"/>
      <w:marRight w:val="0"/>
      <w:marTop w:val="0"/>
      <w:marBottom w:val="0"/>
      <w:divBdr>
        <w:top w:val="none" w:sz="0" w:space="0" w:color="auto"/>
        <w:left w:val="none" w:sz="0" w:space="0" w:color="auto"/>
        <w:bottom w:val="none" w:sz="0" w:space="0" w:color="auto"/>
        <w:right w:val="none" w:sz="0" w:space="0" w:color="auto"/>
      </w:divBdr>
    </w:div>
    <w:div w:id="2100563221">
      <w:marLeft w:val="480"/>
      <w:marRight w:val="0"/>
      <w:marTop w:val="0"/>
      <w:marBottom w:val="0"/>
      <w:divBdr>
        <w:top w:val="none" w:sz="0" w:space="0" w:color="auto"/>
        <w:left w:val="none" w:sz="0" w:space="0" w:color="auto"/>
        <w:bottom w:val="none" w:sz="0" w:space="0" w:color="auto"/>
        <w:right w:val="none" w:sz="0" w:space="0" w:color="auto"/>
      </w:divBdr>
    </w:div>
    <w:div w:id="2104108723">
      <w:marLeft w:val="0"/>
      <w:marRight w:val="0"/>
      <w:marTop w:val="0"/>
      <w:marBottom w:val="0"/>
      <w:divBdr>
        <w:top w:val="none" w:sz="0" w:space="0" w:color="auto"/>
        <w:left w:val="none" w:sz="0" w:space="0" w:color="auto"/>
        <w:bottom w:val="none" w:sz="0" w:space="0" w:color="auto"/>
        <w:right w:val="none" w:sz="0" w:space="0" w:color="auto"/>
      </w:divBdr>
    </w:div>
    <w:div w:id="2128087599">
      <w:bodyDiv w:val="1"/>
      <w:marLeft w:val="0"/>
      <w:marRight w:val="0"/>
      <w:marTop w:val="0"/>
      <w:marBottom w:val="0"/>
      <w:divBdr>
        <w:top w:val="none" w:sz="0" w:space="0" w:color="auto"/>
        <w:left w:val="none" w:sz="0" w:space="0" w:color="auto"/>
        <w:bottom w:val="none" w:sz="0" w:space="0" w:color="auto"/>
        <w:right w:val="none" w:sz="0" w:space="0" w:color="auto"/>
      </w:divBdr>
      <w:divsChild>
        <w:div w:id="15006597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741000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sv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sv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hyperlink" Target="mailto:marzio.invernizzi@polimi.i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sv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e"/>
          <w:gallery w:val="placeholder"/>
        </w:category>
        <w:types>
          <w:type w:val="bbPlcHdr"/>
        </w:types>
        <w:behaviors>
          <w:behavior w:val="content"/>
        </w:behaviors>
        <w:guid w:val="{F25408B9-0FC4-4595-AE15-37D849D0319A}"/>
      </w:docPartPr>
      <w:docPartBody>
        <w:p w:rsidR="00213F31" w:rsidRDefault="00ED1F3E">
          <w:r w:rsidRPr="00D05892">
            <w:rPr>
              <w:rStyle w:val="Testosegnaposto"/>
            </w:rPr>
            <w:t>Fare clic o toccare qui per immettere il testo.</w:t>
          </w:r>
        </w:p>
      </w:docPartBody>
    </w:docPart>
    <w:docPart>
      <w:docPartPr>
        <w:name w:val="D2E670E6434F4EE0B7043C90021A7B44"/>
        <w:category>
          <w:name w:val="Generale"/>
          <w:gallery w:val="placeholder"/>
        </w:category>
        <w:types>
          <w:type w:val="bbPlcHdr"/>
        </w:types>
        <w:behaviors>
          <w:behavior w:val="content"/>
        </w:behaviors>
        <w:guid w:val="{2CFA0985-BDE0-4877-913A-F5945F20D42E}"/>
      </w:docPartPr>
      <w:docPartBody>
        <w:p w:rsidR="008B7D8E" w:rsidRDefault="00B85411" w:rsidP="00B85411">
          <w:pPr>
            <w:pStyle w:val="D2E670E6434F4EE0B7043C90021A7B44"/>
          </w:pPr>
          <w:r w:rsidRPr="00D05892">
            <w:rPr>
              <w:rStyle w:val="Testosegnaposto"/>
            </w:rPr>
            <w:t>Fare clic o toccare qui per immettere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F3E"/>
    <w:rsid w:val="000171C5"/>
    <w:rsid w:val="0003792D"/>
    <w:rsid w:val="00063F3D"/>
    <w:rsid w:val="00077D67"/>
    <w:rsid w:val="001027B0"/>
    <w:rsid w:val="0010564F"/>
    <w:rsid w:val="001C5DD2"/>
    <w:rsid w:val="001F4F53"/>
    <w:rsid w:val="00213F31"/>
    <w:rsid w:val="00264EE3"/>
    <w:rsid w:val="002F478A"/>
    <w:rsid w:val="003050CA"/>
    <w:rsid w:val="00426324"/>
    <w:rsid w:val="00436EB1"/>
    <w:rsid w:val="004E61B5"/>
    <w:rsid w:val="005605A7"/>
    <w:rsid w:val="005B0368"/>
    <w:rsid w:val="005C193E"/>
    <w:rsid w:val="00636D01"/>
    <w:rsid w:val="00645FBE"/>
    <w:rsid w:val="0074653D"/>
    <w:rsid w:val="007A09E1"/>
    <w:rsid w:val="007C72F6"/>
    <w:rsid w:val="008B7D8E"/>
    <w:rsid w:val="009229C9"/>
    <w:rsid w:val="009836A5"/>
    <w:rsid w:val="00A76B32"/>
    <w:rsid w:val="00AA72C7"/>
    <w:rsid w:val="00AB26E4"/>
    <w:rsid w:val="00B65B35"/>
    <w:rsid w:val="00B85411"/>
    <w:rsid w:val="00BA17D0"/>
    <w:rsid w:val="00BC1D98"/>
    <w:rsid w:val="00C96DA5"/>
    <w:rsid w:val="00CB40A7"/>
    <w:rsid w:val="00CC2C08"/>
    <w:rsid w:val="00D743EA"/>
    <w:rsid w:val="00D76040"/>
    <w:rsid w:val="00E37750"/>
    <w:rsid w:val="00ED1F3E"/>
    <w:rsid w:val="00F25809"/>
    <w:rsid w:val="00F5556F"/>
    <w:rsid w:val="00FB399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B85411"/>
    <w:rPr>
      <w:color w:val="666666"/>
    </w:rPr>
  </w:style>
  <w:style w:type="paragraph" w:customStyle="1" w:styleId="D2E670E6434F4EE0B7043C90021A7B44">
    <w:name w:val="D2E670E6434F4EE0B7043C90021A7B44"/>
    <w:rsid w:val="00B854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B00E63C-291E-47DF-8951-5EE42DFDA5AB}">
  <we:reference id="f78a3046-9e99-4300-aa2b-5814002b01a2" version="1.55.1.0" store="EXCatalog" storeType="EXCatalog"/>
  <we:alternateReferences>
    <we:reference id="WA104382081" version="1.55.1.0" store="it-IT" storeType="OMEX"/>
  </we:alternateReferences>
  <we:properties>
    <we:property name="MENDELEY_BIBLIOGRAPHY_IS_DIRTY" value="false"/>
    <we:property name="MENDELEY_BIBLIOGRAPHY_LAST_MODIFIED" value="1777449482076"/>
    <we:property name="MENDELEY_CITATIONS" value="[{&quot;citationID&quot;:&quot;MENDELEY_CITATION_8bd394a2-f42b-49b9-a0d7-5215787b9ad4&quot;,&quot;properties&quot;:{&quot;noteIndex&quot;:0},&quot;isEdited&quot;:false,&quot;manualOverride&quot;:{&quot;isManuallyOverridden&quot;:false,&quot;citeprocText&quot;:&quot;(Czarnota et al., 2023; Gostelow et al., 2001; Ma et al., 2024)&quot;,&quot;manualOverrideText&quot;:&quot;&quot;},&quot;citationTag&quot;:&quot;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&quot;,&quot;citationItems&quot;:[{&quot;id&quot;:&quot;8caa6ac6-6e12-3d30-93f8-b8cf06ab0b49&quot;,&quot;itemData&quot;:{&quot;type&quot;:&quot;article-journal&quot;,&quot;id&quot;:&quot;8caa6ac6-6e12-3d30-93f8-b8cf06ab0b49&quot;,&quot;title&quot;:&quot;Release characteristics and risk assessment of volatile sulfur compounds in a municipal wastewater treatment plant with odor collection device&quot;,&quot;author&quot;:[{&quot;family&quot;:&quot;Ma&quot;,&quot;given&quot;:&quot;Linlin&quot;,&quot;parse-names&quot;:false,&quot;dropping-particle&quot;:&quot;&quot;,&quot;non-dropping-particle&quot;:&quot;&quot;},{&quot;family&quot;:&quot;Zhao&quot;,&quot;given&quot;:&quot;Ruhan&quot;,&quot;parse-names&quot;:false,&quot;dropping-particle&quot;:&quot;&quot;,&quot;non-dropping-particle&quot;:&quot;&quot;},{&quot;family&quot;:&quot;Li&quot;,&quot;given&quot;:&quot;Jiaxin&quot;,&quot;parse-names&quot;:false,&quot;dropping-particle&quot;:&quot;&quot;,&quot;non-dropping-particle&quot;:&quot;&quot;},{&quot;family&quot;:&quot;Yang&quot;,&quot;given&quot;:&quot;Qing&quot;,&quot;parse-names&quot;:false,&quot;dropping-particle&quot;:&quot;&quot;,&quot;non-dropping-particle&quot;:&quot;&quot;},{&quot;family&quot;:&quot;Liu&quot;,&quot;given&quot;:&quot;Yong&quot;,&quot;parse-names&quot;:false,&quot;dropping-particle&quot;:&quot;&quot;,&quot;non-dropping-particle&quot;:&quot;&quot;}],&quot;container-title&quot;:&quot;Journal of Environmental Management&quot;,&quot;container-title-short&quot;:&quot;J. Environ. Manage.&quot;,&quot;accessed&quot;:{&quot;date-parts&quot;:[[2026,4,21]]},&quot;DOI&quot;:&quot;10.1016/J.JENVMAN.2024.120321&quot;,&quot;ISSN&quot;:&quot;0301-4797&quot;,&quot;PMID&quot;:&quot;38377755&quot;,&quot;issued&quot;:{&quot;date-parts&quot;:[[2024,3,1]]},&quot;page&quot;:&quot;120321&quot;,&quot;abstract&quot;:&quot;Due to the malodorous effects and health risks of volatile sulfur compounds (VSCs) emitted from wastewater treatment plants (WWTPs), odor collection devices have been extensively utilized; however, their effectiveness has rarely been tested. In the present investigation, the characteristics of VSCs released in a WWTP equipped with gas collection hoods are methodically examined by gas chromatography. The obtained results indicate that the concentration of VSCs in the ambient air can be substantially reduced, and the primary treatment unit still achieves the highest concentration of VSCs. Compared to WWTPs without odor collection devices, the concentration of H2S in this WWTP is not dominant, but its sensory effects and health risks are still not negligible. Additionally, research on the emission of VSCs from sludge reveals that the total VSCs emitted from dewatering sludge reaches the highest level. Volatile organic sulfur compounds play a dominant role in the component and sensory effects of VSCs released by sludge. This study provides both data and theoretical support for analyzing the effectiveness of odor collection devices in WWTPs, as well as reducing the source of VSCs. The findings can be effectively employed to optimize these devices and improve their performance.&quot;,&quot;publisher&quot;:&quot;Academic Press&quot;,&quot;volume&quot;:&quot;354&quot;},&quot;isTemporary&quot;:false},{&quot;id&quot;:&quot;2cfde71a-81b3-36cb-8915-4d30f2232a77&quot;,&quot;itemData&quot;:{&quot;type&quot;:&quot;article-journal&quot;,&quot;id&quot;:&quot;2cfde71a-81b3-36cb-8915-4d30f2232a77&quot;,&quot;title&quot;:&quot;Wastewater Treatment Plants as a Source of Malodorous Substances Hazardous to Health, Including a Case Study from Poland&quot;,&quot;author&quot;:[{&quot;family&quot;:&quot;Czarnota&quot;,&quot;given&quot;:&quot;Joanna&quot;,&quot;parse-names&quot;:false,&quot;dropping-particle&quot;:&quot;&quot;,&quot;non-dropping-particle&quot;:&quot;&quot;},{&quot;family&quot;:&quot;Masłoń&quot;,&quot;given&quot;:&quot;Adam&quot;,&quot;parse-names&quot;:false,&quot;dropping-particle&quot;:&quot;&quot;,&quot;non-dropping-particle&quot;:&quot;&quot;},{&quot;family&quot;:&quot;Pajura&quot;,&quot;given&quot;:&quot;Rebeka&quot;,&quot;parse-names&quot;:false,&quot;dropping-particle&quot;:&quot;&quot;,&quot;non-dropping-particle&quot;:&quot;&quot;}],&quot;container-title&quot;:&quot;International Journal of Environmental Research and Public Health&quot;,&quot;container-title-short&quot;:&quot;Int. J. Environ. Res. Public Health&quot;,&quot;accessed&quot;:{&quot;date-parts&quot;:[[2026,4,21]]},&quot;DOI&quot;:&quot;10.3390/IJERPH20075379&quot;,&quot;ISSN&quot;:&quot;16604601&quot;,&quot;PMID&quot;:&quot;37047993&quot;,&quot;URL&quot;:&quot;https://pmc.ncbi.nlm.nih.gov/articles/PMC10093992/&quot;,&quot;issued&quot;:{&quot;date-parts&quot;:[[2023,4,1]]},&quot;page&quot;:&quot;5379&quot;,&quot;abstract&quot;:&quot;Using Poland as an example, it was shown that 41.6% of the requests for intervention in 2016–2021 by Environmental Protection Inspections were related to odour nuisance. Further analysis of the statistical data confirmed that approximately 5.4% of wastewater treatment plants in the group of municipal facilities were subject to complaints. Detailed identification of the subject of odour nuisance at wastewater treatment plants identified hydrogen sulphide (H2S), ammonia (NH3) and volatile organic compounds (VOCs) as the most common malodorous substances within these facilities. Moreover, the concentrations of hydrogen sulphide and ammonia exceed the reference values for some substances in the air (0.02 mg/m3 for H2S and 0.4 mg/m3 for NH3). A thorough assessment of the properties of these substances made it clear that even in small concentrations they have a negative impact on the human body and the environment, and their degree of nuisance is described as high. In the two WWTPs analysed in Poland (WWTP 1 and WWTP 2), hydrogen sulphide concentrations were in the range of 0–41.86 mg/m3 (Long-Term Exposure Limit for H2S is 7.0 mg/m3), ammonia 0–1.43 mg/m3 and VOCs 0.60–134.79 ppm. The values recognised for H2S cause lacrimation, coughing, olfactory impairment, psychomotor agitation, and swelling of the cornea with photophobia. Recognition of the methods used in practice at WWTPs to reduce and control malodorous emissions indicates the possibility of protecting the environment and human health, but these solutions are ignored in most facilities due to the lack of requirements specified in legislation.&quot;,&quot;publisher&quot;:&quot;MDPI&quot;,&quot;issue&quot;:&quot;7&quot;,&quot;volume&quot;:&quot;20&quot;},&quot;isTemporary&quot;:false},{&quot;id&quot;:&quot;888082d7-94d1-39ee-91ec-babd1875f64a&quot;,&quot;itemData&quot;:{&quot;type&quot;:&quot;article-journal&quot;,&quot;id&quot;:&quot;888082d7-94d1-39ee-91ec-babd1875f64a&quot;,&quot;title&quot;:&quot;Odour measurements for sewage treatment works&quot;,&quot;author&quot;:[{&quot;family&quot;:&quot;Gostelow&quot;,&quot;given&quot;:&quot;P.&quot;,&quot;parse-names&quot;:false,&quot;dropping-particle&quot;:&quot;&quot;,&quot;non-dropping-particle&quot;:&quot;&quot;},{&quot;family&quot;:&quot;Parsons&quot;,&quot;given&quot;:&quot;S. A.&quot;,&quot;parse-names&quot;:false,&quot;dropping-particle&quot;:&quot;&quot;,&quot;non-dropping-particle&quot;:&quot;&quot;},{&quot;family&quot;:&quot;Stuetz&quot;,&quot;given&quot;:&quot;R. M.&quot;,&quot;parse-names&quot;:false,&quot;dropping-particle&quot;:&quot;&quot;,&quot;non-dropping-particle&quot;:&quot;&quot;}],&quot;container-title&quot;:&quot;Water Research&quot;,&quot;container-title-short&quot;:&quot;Water Res.&quot;,&quot;accessed&quot;:{&quot;date-parts&quot;:[[2020,1,29]]},&quot;DOI&quot;:&quot;10.1016/S0043-1354(00)00313-4&quot;,&quot;ISSN&quot;:&quot;00431354&quot;,&quot;PMID&quot;:&quot;11228953&quot;,&quot;issued&quot;:{&quot;date-parts&quot;:[[2001,2]]},&quot;page&quot;:&quot;579-597&quot;,&quot;abstract&quot;:&quot;Public concern over odours from sewage treatment works is increasing. More people are being exposed to odours, due to development around existing works or construction of new works. Increased awareness of both the environment and individual rights has meant people are now more likely to complain. Odour abatement and control is a major issue for sewage works operators. To control odours, they must first be measured. This is no easy task as response to odours is subjective. Our understanding of the sense of smell is incomplete, and there is no single measure that will directly relate to the likelihood of complaint. Odour measurement has often been regarded as an art as opposed to a science. Odour measurement techniques fall into two classes. Sensory measurements employ the human nose and measure the effects of the odour as perceived by an observer. Analytical measurements characterize odours in terms of their chemical composition and attempt to quantify the odorants present. Both methods are less than ideal -sensory measurements can be overly subjective and the interpretation of results requires care. Analytical measurements are complicated by the large number of odorants present, often at concentrations close to detection limits. Our incomplete understanding of odour perception makes linking analytical and sensory measurements difficult. This paper reviews the methods applied to sewage treatment works odour measurement. Sensory and analytical measurements are reviewed, along with a recent development, the electronic nose.&quot;,&quot;publisher&quot;:&quot;Elsevier Science Ltd&quot;,&quot;issue&quot;:&quot;3&quot;,&quot;volume&quot;:&quot;35&quot;},&quot;isTemporary&quot;:false}]},{&quot;citationID&quot;:&quot;MENDELEY_CITATION_a8989a1d-2f35-48de-9226-a2ea71ec4774&quot;,&quot;properties&quot;:{&quot;noteIndex&quot;:0},&quot;isEdited&quot;:false,&quot;manualOverride&quot;:{&quot;isManuallyOverridden&quot;:false,&quot;citeprocText&quot;:&quot;(Polvara et al., 2024)&quot;,&quot;manualOverrideText&quot;:&quot;&quot;},&quot;citationTag&quot;:&quot;MENDELEY_CITATION_v3_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&quot;,&quot;citationItems&quot;:[{&quot;id&quot;:&quot;30967f57-80d5-3246-b216-d81a1c6e472b&quot;,&quot;itemData&quot;:{&quot;type&quot;:&quot;article-journal&quot;,&quot;id&quot;:&quot;30967f57-80d5-3246-b216-d81a1c6e472b&quot;,&quot;title&quot;:&quot;Characterization of the odorous fluxes&quot;,&quot;author&quot;:[{&quot;family&quot;:&quot;Polvara&quot;,&quot;given&quot;:&quot;Elisa&quot;,&quot;parse-names&quot;:false,&quot;dropping-particle&quot;:&quot;&quot;,&quot;non-dropping-particle&quot;:&quot;&quot;},{&quot;family&quot;:&quot;Invernizzi&quot;,&quot;given&quot;:&quot;Marzio&quot;,&quot;parse-names&quot;:false,&quot;dropping-particle&quot;:&quot;&quot;,&quot;non-dropping-particle&quot;:&quot;&quot;},{&quot;family&quot;:&quot;Sironi&quot;,&quot;given&quot;:&quot;Selena&quot;,&quot;parse-names&quot;:false,&quot;dropping-particle&quot;:&quot;&quot;,&quot;non-dropping-particle&quot;:&quot;&quot;}],&quot;container-title&quot;:&quot;Advances in Chemical Engineering&quot;,&quot;accessed&quot;:{&quot;date-parts&quot;:[[2024,10,21]]},&quot;DOI&quot;:&quot;10.1016/BS.ACHE.2024.08.001&quot;,&quot;ISSN&quot;:&quot;0065-2377&quot;,&quot;issued&quot;:{&quot;date-parts&quot;:[[2024,1,1]]},&quot;page&quot;:&quot;17-57&quot;,&quot;abstract&quot;:&quot;Reducing and controlling industrial odor fluxes requires a complete characterization of emissions. In particular, knowing the chemical nature, in terms of nature and concentration of pollutants, and evaluating the odor potential of odorous emissions are necessary to understand and manage industrial odorous fluxes by choosing the correct abatement system. Due to the complexity of the odorous matrix, a combination of different techniques appears the best choice to obtain a complete characterization of industrial fluxes. Dynamic olfactometry is the only standardized technique to measure odor concentration (Cod), that exploits the human nose as a sensor to determine the concentration at which odor can be perceived. Regarding chemical information (the nature and the quantification of pollutants), the principal technique is Gas chromatography coupled with Mass Spectrometry (GC–MS). In parallel, other instruments (specific or non-specific instruments) or additional GC detectors are used in the odor characterization context. Every technique has advantages and drawbacks; therefore, the use of complementary procedures and the combination of different analytical instrumentations appears fundamental to obtain as much information as possible about odor. This chapter aims to illustrate all these techniques applied to odor characterization, the potentiality and the limits of their application.&quot;,&quot;publisher&quot;:&quot;Academic Press&quot;,&quot;volume&quot;:&quot;63&quot;,&quot;container-title-short&quot;:&quot;&quot;},&quot;isTemporary&quot;:false}]},{&quot;citationID&quot;:&quot;MENDELEY_CITATION_ecb5c6b6-5a5e-49ba-a449-a7db1297b611&quot;,&quot;properties&quot;:{&quot;noteIndex&quot;:0},&quot;isEdited&quot;:false,&quot;manualOverride&quot;:{&quot;isManuallyOverridden&quot;:false,&quot;citeprocText&quot;:&quot;(Pandey et al., 2012)&quot;,&quot;manualOverrideText&quot;:&quot;&quot;},&quot;citationItems&quot;:[{&quot;id&quot;:&quot;a30bc4ff-ebfc-3da8-bca1-4d67d75b1680&quot;,&quot;itemData&quot;:{&quot;type&quot;:&quot;article-journal&quot;,&quot;id&quot;:&quot;a30bc4ff-ebfc-3da8-bca1-4d67d75b1680&quot;,&quot;title&quot;:&quot;A review of sensor-based methods for monitoring hydrogen sulfide&quot;,&quot;author&quot;:[{&quot;family&quot;:&quot;Pandey&quot;,&quot;given&quot;:&quot;Sudhir Kumar&quot;,&quot;parse-names&quot;:false,&quot;dropping-particle&quot;:&quot;&quot;,&quot;non-dropping-particle&quot;:&quot;&quot;},{&quot;family&quot;:&quot;Kim&quot;,&quot;given&quot;:&quot;Ki Hyun&quot;,&quot;parse-names&quot;:false,&quot;dropping-particle&quot;:&quot;&quot;,&quot;non-dropping-particle&quot;:&quot;&quot;},{&quot;family&quot;:&quot;Tang&quot;,&quot;given&quot;:&quot;Kea Tiong&quot;,&quot;parse-names&quot;:false,&quot;dropping-particle&quot;:&quot;&quot;,&quot;non-dropping-particle&quot;:&quot;&quot;}],&quot;container-title&quot;:&quot;TrAC Trends in Analytical Chemistry&quot;,&quot;accessed&quot;:{&quot;date-parts&quot;:[[2026,4,21]]},&quot;DOI&quot;:&quot;10.1016/J.TRAC.2011.08.008&quot;,&quot;ISSN&quot;:&quot;0165-9936&quot;,&quot;issued&quot;:{&quot;date-parts&quot;:[[2012,2,1]]},&quot;page&quot;:&quot;87-99&quot;,&quot;abstract&quot;:&quot;We review sensor-based methods commonly employed for monitoring hydrogen sulfide (H 2S), and recent developments in H 2S-sensing instrumentation.We evaluate the basic quality-assurance parameters of different sensor types for quantifying H 2S in terms of major operational criteria (e.g., response time, limit of detection, common operating range of concentrations, and stability). We also describe the applicability of these sensor-based methods with respect to practicality in various environmental settings. Finally, we highlight the limitations and the future prospects of these sensor-based methods. © 2011 Elsevier Ltd.&quot;,&quot;publisher&quot;:&quot;Elsevier&quot;,&quot;volume&quot;:&quot;32&quot;,&quot;container-title-short&quot;:&quot;&quot;},&quot;isTemporary&quot;:false}],&quot;citationTag&quot;:&quot;MENDELEY_CITATION_v3_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&quot;},{&quot;citationID&quot;:&quot;MENDELEY_CITATION_c34d20a5-980b-437c-bafc-c038c103566b&quot;,&quot;properties&quot;:{&quot;noteIndex&quot;:0},&quot;isEdited&quot;:false,&quot;manualOverride&quot;:{&quot;isManuallyOverridden&quot;:false,&quot;citeprocText&quot;:&quot;(Huszal et al., 2021; Khan et al., 2019)&quot;,&quot;manualOverrideText&quot;:&quot;&quot;},&quot;citationTag&quot;:&quot;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&quot;,&quot;citationItems&quot;:[{&quot;id&quot;:&quot;99a874ee-b05b-3a15-9c53-ce2729db75aa&quot;,&quot;itemData&quot;:{&quot;type&quot;:&quot;article-journal&quot;,&quot;id&quot;:&quot;99a874ee-b05b-3a15-9c53-ce2729db75aa&quot;,&quot;title&quot;:&quot;Recent Advances in Electrochemical Sensors for Detecting Toxic Gases: NO2, SO2 and H2S&quot;,&quot;author&quot;:[{&quot;family&quot;:&quot;Khan&quot;,&quot;given&quot;:&quot;Md Ashfaque Hossain&quot;,&quot;parse-names&quot;:false,&quot;dropping-particle&quot;:&quot;&quot;,&quot;non-dropping-particle&quot;:&quot;&quot;},{&quot;family&quot;:&quot;Rao&quot;,&quot;given&quot;:&quot;Mulpuri&quot;,&quot;parse-names&quot;:false,&quot;dropping-particle&quot;:&quot;V.&quot;,&quot;non-dropping-particle&quot;:&quot;&quot;},{&quot;family&quot;:&quot;Li&quot;,&quot;given&quot;:&quot;Qiliang&quot;,&quot;parse-names&quot;:false,&quot;dropping-particle&quot;:&quot;&quot;,&quot;non-dropping-particle&quot;:&quot;&quot;}],&quot;container-title&quot;:&quot;Sensors 2019, Vol. 19, Page 905&quot;,&quot;accessed&quot;:{&quot;date-parts&quot;:[[2026,4,21]]},&quot;DOI&quot;:&quot;10.3390/S19040905&quot;,&quot;ISSN&quot;:&quot;1424-8220&quot;,&quot;PMID&quot;:&quot;30795591&quot;,&quot;URL&quot;:&quot;https://www.mdpi.com/1424-8220/19/4/905/htm&quot;,&quot;issued&quot;:{&quot;date-parts&quot;:[[2019,2,21]]},&quot;page&quot;:&quot;905&quot;,&quot;abstract&quot;:&quot;Toxic gases, such as NOx, SOx, H2S and other S-containing gases, cause numerous harmful effects on human health even at very low gas concentrations. Reliable detection of various gases in low concentration is mandatory in the fields such as industrial plants, environmental monitoring, air quality assurance, automotive technologies and so on. In this paper, the recent advances in electrochemical sensors for toxic gas detections were reviewed and summarized with a focus on NO2, SO2 and H2S gas sensors. The recent progress of the detection of each of these toxic gases was categorized by the highly explored sensing materials over the past few decades. The important sensing performance parameters like sensitivity/response, response and recovery times at certain gas concentration and operating temperature for different sensor materials and structures have been summarized and tabulated to provide a thorough performance comparison. A novel metric, sensitivity per ppm/response time ratio has been calculated for each sensor in order to compare the overall sensing performance on the same reference. It is found that hybrid materials-based sensors exhibit the highest average ratio for NO2 gas sensing, whereas GaN and metal-oxide based sensors possess the highest ratio for SO2 and H2S gas sensing, respectively. Recently, significant research efforts have been made exploring new sensor materials, such as graphene and its derivatives, transition metal dichalcogenides (TMDs), GaN, metal-metal oxide nanostructures, solid electrolytes and organic materials to detect the above-mentioned toxic gases. In addition, the contemporary progress in SO2 gas sensors based on zeolite and paper and H2S gas sensors based on colorimetric and metal-organic framework (MOF) structures have also been reviewed. Finally, this work reviewed the recent first principle studies on the interaction between gas molecules and novel promising materials like arsenene, borophene, blue phosphorene, GeSe monolayer and germanene. The goal is to understand the surface interaction mechanism.&quot;,&quot;publisher&quot;:&quot;Multidisciplinary Digital Publishing Institute&quot;,&quot;issue&quot;:&quot;4&quot;,&quot;volume&quot;:&quot;19&quot;,&quot;container-title-short&quot;:&quot;&quot;},&quot;isTemporary&quot;:false},{&quot;id&quot;:&quot;297f6824-b064-33d1-8089-4dbbc26a2e2a&quot;,&quot;itemData&quot;:{&quot;type&quot;:&quot;article-journal&quot;,&quot;id&quot;:&quot;297f6824-b064-33d1-8089-4dbbc26a2e2a&quot;,&quot;title&quot;:&quot;Studies on the Impact of Hydrogen on the Results of THT Measurement Devices&quot;,&quot;author&quot;:[{&quot;family&quot;:&quot;Huszal&quot;,&quot;given&quot;:&quot;A ;&quot;,&quot;parse-names&quot;:false,&quot;dropping-particle&quot;:&quot;&quot;,&quot;non-dropping-particle&quot;:&quot;&quot;},{&quot;family&quot;:&quot;Jaworski&quot;,&quot;given&quot;:&quot;J&quot;,&quot;parse-names&quot;:false,&quot;dropping-particle&quot;:&quot;&quot;,&quot;non-dropping-particle&quot;:&quot;&quot;},{&quot;family&quot;:&quot;Huszal&quot;,&quot;given&quot;:&quot;Anna&quot;,&quot;parse-names&quot;:false,&quot;dropping-particle&quot;:&quot;&quot;,&quot;non-dropping-particle&quot;:&quot;&quot;},{&quot;family&quot;:&quot;Jaworski&quot;,&quot;given&quot;:&quot;Jacek&quot;,&quot;parse-names&quot;:false,&quot;dropping-particle&quot;:&quot;&quot;,&quot;non-dropping-particle&quot;:&quot;&quot;}],&quot;container-title&quot;:&quot;Energies 2022, Vol. 15, Page 221&quot;,&quot;accessed&quot;:{&quot;date-parts&quot;:[[2026,4,21]]},&quot;DOI&quot;:&quot;10.3390/EN15010221&quot;,&quot;ISSN&quot;:&quot;1996-1073&quot;,&quot;URL&quot;:&quot;https://www.mdpi.com/1996-1073/15/1/221/htm&quot;,&quot;issued&quot;:{&quot;date-parts&quot;:[[2021,12,29]]},&quot;page&quot;:&quot;221&quot;,&quot;abstract&quot;:&quot;An essential prerequisite for safe transport and use of natural gas is their appropriate odorization. This enables the detection of uncontrolled gas leaks. Proper and systematic odorization inspection ensures both safe use of gas and continuity of the process itself. In practice, it is conducted through, among others, measuring odorant concentrations in gas. Control devices for rapid gas odorization measurements that are currently used on a large scale in the gas industry are equipped with electrochemical detectors selective for sulfur compounds like tetrahydrothiophene (THT). Because the selectivity of electrochemical detector response to one compound (e.g., THT), the available declarations of manufacturers show that detector sensitivity (indirectly also the quality of the measurement result) is influenced by the presence of increased e.g., sulfur or hydrogen compound content in the gas. Because of the lack of sufficient source literature data in this field, it was necessary to experimentally verify this impact. The results of studies on experimental verification of suspected influence of increased amounts of hydrogen in gas on the response of electrochemical detector was carried out at the Oil and Gas Institute—National Research Institute (INiG—PIB). They are presented in this article. The data gathered in the course of researching the dependence between THT concentration measurement result quality and hydrogen content in gas composition enabled a preliminary assessment of the threat to the safety of end users of gaseous fuels caused by the introduction of this gas into the distribution network. Noticing the scope of necessary changes in the area of odorization is necessary to guarantee this safety.&quot;,&quot;publisher&quot;:&quot;Multidisciplinary Digital Publishing Institute&quot;,&quot;issue&quot;:&quot;1&quot;,&quot;volume&quot;:&quot;15&quot;,&quot;container-title-short&quot;:&quot;&quot;},&quot;isTemporary&quot;:false}]},{&quot;citationID&quot;:&quot;MENDELEY_CITATION_d0f1a1b7-572a-4ad8-b772-bbb0ef136498&quot;,&quot;properties&quot;:{&quot;noteIndex&quot;:0},&quot;isEdited&quot;:false,&quot;manualOverride&quot;:{&quot;isManuallyOverridden&quot;:false,&quot;citeprocText&quot;:&quot;(Pandey and Kim, 2009)&quot;,&quot;manualOverrideText&quot;:&quot;&quot;},&quot;citationItems&quot;:[{&quot;id&quot;:&quot;cd3cafdf-8e80-3050-8a2b-ef116275644c&quot;,&quot;itemData&quot;:{&quot;type&quot;:&quot;article-journal&quot;,&quot;id&quot;:&quot;cd3cafdf-8e80-3050-8a2b-ef116275644c&quot;,&quot;title&quot;:&quot;A review of methods for the determination of reduced sulfur compounds (RSCS) in air&quot;,&quot;author&quot;:[{&quot;family&quot;:&quot;Pandey&quot;,&quot;given&quot;:&quot;Sudhir Kumar&quot;,&quot;parse-names&quot;:false,&quot;dropping-particle&quot;:&quot;&quot;,&quot;non-dropping-particle&quot;:&quot;&quot;},{&quot;family&quot;:&quot;Kim&quot;,&quot;given&quot;:&quot;Ki Hyun&quot;,&quot;parse-names&quot;:false,&quot;dropping-particle&quot;:&quot;&quot;,&quot;non-dropping-particle&quot;:&quot;&quot;}],&quot;container-title&quot;:&quot;Environmental Science and Technology&quot;,&quot;container-title-short&quot;:&quot;Environ. Sci. Technol.&quot;,&quot;accessed&quot;:{&quot;date-parts&quot;:[[2026,4,21]]},&quot;DOI&quot;:&quot;10.1021/ES803272F/SUPPL_FILE/ES803272F_SI_001.PDF&quot;,&quot;ISSN&quot;:&quot;0013936X&quot;,&quot;PMID&quot;:&quot;19534108&quot;,&quot;URL&quot;:&quot;https://pubs.acs.org/doi/full/10.1021/es803272f&quot;,&quot;issued&quot;:{&quot;date-parts&quot;:[[2009,5,1]]},&quot;page&quot;:&quot;3020-3029&quot;,&quot;abstract&quot;:&quot;The importance of reduced sulfur compounds (RSCs) in air is well-known for its significant effect on global atmospheric chemistry and malodor and quality of life. In this review, methodological approaches commonly employed for the analysis of RSCs such as hydrogen sulfide, methane thiol, dimethyl sulfide, carbon disulfide, and dimethyl disulfide in air are described. To this end, we focus on gas chromatography (GC) because it is the most feasible, frequently used, and widely accepted approach for the analysis of RSC in air. The advantages and possible limitations related to sampling and/or preconcentration methods are also discussed. The relative performance of different GC-based detection methodologies is evaluated in terms of basic quality assurance. Some alternative methods (i.e., other than GC) that deal with the determination of RSCs in air matrices are also discussed briefly. Finally, this review addresses the methodological developments of RSC analysis by highlighting current limitations and future developments. © 2009 American Chemical Society.&quot;,&quot;publisher&quot;:&quot; American Chemical Society&quot;,&quot;issue&quot;:&quot;9&quot;,&quot;volume&quot;:&quot;43&quot;},&quot;isTemporary&quot;:false}],&quot;citationTag&quot;:&quot;MENDELEY_CITATION_v3_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&quot;},{&quot;citationID&quot;:&quot;MENDELEY_CITATION_a6f47182-2539-4bf8-8a22-0447b66b49c7&quot;,&quot;properties&quot;:{&quot;noteIndex&quot;:0},&quot;isEdited&quot;:false,&quot;manualOverride&quot;:{&quot;isManuallyOverridden&quot;:false,&quot;citeprocText&quot;:&quot;(Constantin et al., 2025; Oliva et al., 2024; Traven et al., 2024)&quot;,&quot;manualOverrideText&quot;:&quot;&quot;},&quot;citationTag&quot;:&quot;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&quot;,&quot;citationItems&quot;:[{&quot;id&quot;:&quot;b9673615-e22d-3d22-bd9a-be7cf79eeec2&quot;,&quot;itemData&quot;:{&quot;type&quot;:&quot;article-journal&quot;,&quot;id&quot;:&quot;b9673615-e22d-3d22-bd9a-be7cf79eeec2&quot;,&quot;title&quot;:&quot;Mitigating landfill gas emissions: the effectiveness of HDPE covers in reducing atmospheric concentrations of H₂S, NH₃, and PM₁₀&quot;,&quot;author&quot;:[{&quot;family&quot;:&quot;Traven&quot;,&quot;given&quot;:&quot;Luka&quot;,&quot;parse-names&quot;:false,&quot;dropping-particle&quot;:&quot;&quot;,&quot;non-dropping-particle&quot;:&quot;&quot;},{&quot;family&quot;:&quot;Linšak&quot;,&quot;given&quot;:&quot;Željko&quot;,&quot;parse-names&quot;:false,&quot;dropping-particle&quot;:&quot;&quot;,&quot;non-dropping-particle&quot;:&quot;&quot;},{&quot;family&quot;:&quot;Crvelin&quot;,&quot;given&quot;:&quot;Goran&quot;,&quot;parse-names&quot;:false,&quot;dropping-particle&quot;:&quot;&quot;,&quot;non-dropping-particle&quot;:&quot;&quot;}],&quot;container-title&quot;:&quot;Arh Hig Rada Toksikol&quot;,&quot;accessed&quot;:{&quot;date-parts&quot;:[[2026,4,21]]},&quot;DOI&quot;:&quot;10.2478/aiht-2024-75-3912&quot;,&quot;issued&quot;:{&quot;date-parts&quot;:[[2024]]},&quot;page&quot;:&quot;259-269&quot;,&quot;abstract&quot;:&quot;We investigated the effectiveness of high-density polyethylene (HDPE) covers in reducing landfill emissions of hydrogen sulphide (H 2 S), ammonia (NH 3), and inhalable particulate matter smaller than 10 µm in diameter (PM 10) at the Waste Management Centre Marišćina (Croatia) by comparing air quality data from 2018, prior to the installation of the HDPE cover, with data from 2021, post-installation. The results demonstrate a significant reduction in H 2 S and PM 10 concentrations (36.76 % and 24.18 %, respectively). However, NH 3 levels unexpectedly increased by 20.48 %, suggesting the presence of additional sources of ammonia in the vicinity of the centre or changes in landfill microenvironment. Our findings highlight the effectiveness of HDPE covers in controlling specific landfill emissions and the need for a comprehensive environmental management strategy to address all pollutants. Future research should also investigate the long-term effects of HDPE cover on landfill emissions and how they could contribute to broader environmental goals, such as reducing greenhouse gas emissions and improving air quality. KEY WORDS: ammonia; air quality; bioreactor landfills; hydrogen sulphide; particulate matter; pollution mitigation; waste management Air pollution from landfill sites is a complex environmental issue that poses significant risks to public health and local ecosystems and contributes to global climate change (1-3). Among the various pollutants emitted from landfills, malodorous compounds such as ammonia (NH 3) and hydrogen sulphide (H 2 S) are particularly problematic (4, 5). These compounds, which are formed from the decomposition of organic waste, not only create unpleasant odours but have the potential to adversely affect the health of nearby residents and workers. Ammonia can irritate the respiratory tract and exacerbate conditions like asthma (4), while hydrogen sulphide, known for its characteristic rotten egg smell, is toxic even at low concentrations and can be deadly at higher concentrations (5). Inhalable particulate matter (PM 10), on the other hand, affects both the respiratory and cardiovascular systems. Exposure to PM 10 has been linked to increased mortality and morbidity from diseases such as asthma, chronic obstructive pulmonary disease (COPD), heart attack, and stroke. The particles can penetrate deep into the lungs and even enter the bloodstream, causing systemic inflammation and oxidative stress, which can exacerbate existing health conditions and contribute to new ones, such as diabetes and hypertension. Vulnerable populations, including children, the elderly, and individuals with pre-existing health conditions, are particularly at risk (6-8). Traditional landfill management practices, which often involve minimal measures to contain and treat gases and particulate matter, allow these pollutants to escape into the atmosphere (3). This lack of containment not only affects air quality but also leads to broader social and economic repercussions, including reduced property values and increased community opposition to landfill operations (9-11) as well as legal actions against waste management facilities (12) and escalation of management costs (13). In response to these challenges, this study investigates an approach to controlling landfill emissions through the deployment of an intermediate high-density polyethylene (HDPE) cover equipped with a gas collection system. This technology has been implemented at a bioreactor landfill of the Waste Management Centre (WMC) Marišćina near Rijeka, Croatia since 2021, which had previously operated without such cover (year 2018). We, therefore, had a unique opportunity to measure the impact of this intervention on air pollution levels in the vicinity of the bioreactor landfill. By focusing on the quantitative analysis of key pollutants, namely hydrogen sulphide (H 2 S), ammonia (NH 3), and particulate matter (PM 10), this study aimed to assess the effectiveness of intermediate HDPE covers in mitigating the release of these hazardous and malodorous compounds into the environment and their impact on air quality. Mechanical-biological treatment of residual waste at WMC Marišćina The WMC Marišćina is located near the town of Marčelji, north of Rijeka. It consists of a mechanical-biological treatment (MBT)&quot;,&quot;volume&quot;:&quot;75&quot;,&quot;container-title-short&quot;:&quot;&quot;},&quot;isTemporary&quot;:false},{&quot;id&quot;:&quot;33dc825c-c031-39c3-88be-78c60427c70b&quot;,&quot;itemData&quot;:{&quot;type&quot;:&quot;article-journal&quot;,&quot;id&quot;:&quot;33dc825c-c031-39c3-88be-78c60427c70b&quot;,&quot;title&quot;:&quot;Urban odour annoyance management: An advanced embedded system for real-time monitoring enhanced by citizen science&quot;,&quot;author&quot;:[{&quot;family&quot;:&quot;Oliva&quot;,&quot;given&quot;:&quot;Giuseppina&quot;,&quot;parse-names&quot;:false,&quot;dropping-particle&quot;:&quot;&quot;,&quot;non-dropping-particle&quot;:&quot;&quot;},{&quot;family&quot;:&quot;Cangialosi&quot;,&quot;given&quot;:&quot;Federico&quot;,&quot;parse-names&quot;:false,&quot;dropping-particle&quot;:&quot;&quot;,&quot;non-dropping-particle&quot;:&quot;&quot;},{&quot;family&quot;:&quot;Grimaldi&quot;,&quot;given&quot;:&quot;Michele&quot;,&quot;parse-names&quot;:false,&quot;dropping-particle&quot;:&quot;&quot;,&quot;non-dropping-particle&quot;:&quot;&quot;},{&quot;family&quot;:&quot;Fasolino&quot;,&quot;given&quot;:&quot;Isidoro&quot;,&quot;parse-names&quot;:false,&quot;dropping-particle&quot;:&quot;&quot;,&quot;non-dropping-particle&quot;:&quot;&quot;},{&quot;family&quot;:&quot;Belgiorno&quot;,&quot;given&quot;:&quot;Vincenzo&quot;,&quot;parse-names&quot;:false,&quot;dropping-particle&quot;:&quot;&quot;,&quot;non-dropping-particle&quot;:&quot;&quot;},{&quot;family&quot;:&quot;Naddeo&quot;,&quot;given&quot;:&quot;Vincenzo&quot;,&quot;parse-names&quot;:false,&quot;dropping-particle&quot;:&quot;&quot;,&quot;non-dropping-particle&quot;:&quot;&quot;},{&quot;family&quot;:&quot;Zarra&quot;,&quot;given&quot;:&quot;Tiziano&quot;,&quot;parse-names&quot;:false,&quot;dropping-particle&quot;:&quot;&quot;,&quot;non-dropping-particle&quot;:&quot;&quot;}],&quot;container-title&quot;:&quot;Case Studies in Chemical and Environmental Engineering&quot;,&quot;accessed&quot;:{&quot;date-parts&quot;:[[2026,4,21]]},&quot;DOI&quot;:&quot;10.1016/J.CSCEE.2024.100712&quot;,&quot;ISSN&quot;:&quot;2666-0164&quot;,&quot;issued&quot;:{&quot;date-parts&quot;:[[2024,6,1]]},&quot;page&quot;:&quot;100712&quot;,&quot;abstract&quot;:&quot;Odour annoyance in urban contexts is of particular concerns and requires effective monitoring in order to avoid complaints from citizens. The research presents an advanced and integrated odour monitoring system, which combines analytical, senso-instrumental and citizen science tools, for the continuous and proactive characterization of the odours in ambient air to prevent odour annoyance. The on-site validation of the system was implemented integrating data collected by IOMSs and air quality station with 768 reports collected by a newly designed Citizen Science APP. A maximum density of 329 signals per 0.01 km2 was recorded at south-west of the odour sources investigated.&quot;,&quot;publisher&quot;:&quot;Elsevier&quot;,&quot;volume&quot;:&quot;9&quot;,&quot;container-title-short&quot;:&quot;&quot;},&quot;isTemporary&quot;:false},{&quot;id&quot;:&quot;1d697b13-9574-3540-883e-c9bb601d7962&quot;,&quot;itemData&quot;:{&quot;type&quot;:&quot;article-journal&quot;,&quot;id&quot;:&quot;1d697b13-9574-3540-883e-c9bb601d7962&quot;,&quot;title&quot;:&quot;Dispersion Modeling of Odor Emissions from Area Sources in a Municipal Wastewater Treatment Plant&quot;,&quot;author&quot;:[{&quot;family&quot;:&quot;Constantin&quot;,&quot;given&quot;:&quot;Cristian&quot;,&quot;parse-names&quot;:false,&quot;dropping-particle&quot;:&quot;&quot;,&quot;non-dropping-particle&quot;:&quot;&quot;},{&quot;family&quot;:&quot;Modrogan&quot;,&quot;given&quot;:&quot;Cristina&quot;,&quot;parse-names&quot;:false,&quot;dropping-particle&quot;:&quot;&quot;,&quot;non-dropping-particle&quot;:&quot;&quot;},{&quot;family&quot;:&quot;Dancila&quot;,&quot;given&quot;:&quot;Annette Madelene&quot;,&quot;parse-names&quot;:false,&quot;dropping-particle&quot;:&quot;&quot;,&quot;non-dropping-particle&quot;:&quot;&quot;},{&quot;family&quot;:&quot;Gavrila&quot;,&quot;given&quot;:&quot;Georgeta Olguta&quot;,&quot;parse-names&quot;:false,&quot;dropping-particle&quot;:&quot;&quot;,&quot;non-dropping-particle&quot;:&quot;&quot;},{&quot;family&quot;:&quot;Calinescu&quot;,&quot;given&quot;:&quot;Simona Mariana&quot;,&quot;parse-names&quot;:false,&quot;dropping-particle&quot;:&quot;&quot;,&quot;non-dropping-particle&quot;:&quot;&quot;},{&quot;family&quot;:&quot;Cirstea&quot;,&quot;given&quot;:&quot;Alexandru&quot;,&quot;parse-names&quot;:false,&quot;dropping-particle&quot;:&quot;&quot;,&quot;non-dropping-particle&quot;:&quot;&quot;},{&quot;family&quot;:&quot;Danciulescu&quot;,&quot;given&quot;:&quot;Valeriu&quot;,&quot;parse-names&quot;:false,&quot;dropping-particle&quot;:&quot;&quot;,&quot;non-dropping-particle&quot;:&quot;&quot;},{&quot;family&quot;:&quot;Tanase&quot;,&quot;given&quot;:&quot;Gheorghita&quot;,&quot;parse-names&quot;:false,&quot;dropping-particle&quot;:&quot;&quot;,&quot;non-dropping-particle&quot;:&quot;&quot;},{&quot;family&quot;:&quot;Vasile&quot;,&quot;given&quot;:&quot;Gabriela Geanina&quot;,&quot;parse-names&quot;:false,&quot;dropping-particle&quot;:&quot;&quot;,&quot;non-dropping-particle&quot;:&quot;&quot;}],&quot;container-title&quot;:&quot;Atmosphere 2025, Vol. 16, Page 577&quot;,&quot;accessed&quot;:{&quot;date-parts&quot;:[[2026,4,21]]},&quot;DOI&quot;:&quot;10.3390/ATMOS16050577&quot;,&quot;ISSN&quot;:&quot;2073-4433&quot;,&quot;URL&quot;:&quot;https://www.mdpi.com/2073-4433/16/5/577/htm&quot;,&quot;issued&quot;:{&quot;date-parts&quot;:[[2025,5,12]]},&quot;page&quot;:&quot;577&quot;,&quot;abstract&quot;:&quot;Wastewater treatment plants (WWTPs) generate significant emissions of gaseous substances, such as H2S, NH3, and VOCs, which cause discomfort and pose health risks to residents in surrounding areas. The objective of this study was to estimate pollutant concentrations under various scenarios through a mathematical modeling of the pollutant dispersion in the surrounding air using the AERMOD View software platform, version 11.2.0. In this study, four mathematical models with two different scenarios were conducted to illustrate the odor concentrations both on site and in nearby areas under the most unfavorable weather conditions. The “1st Highest Values” and “98th Percentile” metrics were used to represent the peak concentrations and to exclude the 2% of conditions with the worst-case dispersion, respectively. In the first scenario, under normal operating conditions with all treatment equipment functioning, the maximum on-site odor concentration was estimated at 36.8 ouE/m3 using the 1st highest value function, and it was 20.4 ouE/m3 using the 98th percentile function. The second scenario considered all emission sources, with the grease collection system of the de-sanding/grease separation Unit Line 1 and the sludge collection system of the primary settling decanter (Unit 4) out of service. In this case, the maximum on-site odor concentration reached 749 ouE/m3 over 98% of a one-year period and 956.5 ouE/m3 using the 1st highest value function. These findings underscore the necessity for ongoing monitoring, strict adherence to environmental regulations, and stakeholder engagement to improve mitigation techniques and foster community trust in environmental management. Regular inspections are essential to ensure that all equipment operates within normal parameters, supporting both regulatory compliance and improved operational efficiency, including the control of odor emissions.&quot;,&quot;publisher&quot;:&quot;Multidisciplinary Digital Publishing Institute&quot;,&quot;issue&quot;:&quot;5&quot;,&quot;volume&quot;:&quot;16&quot;,&quot;container-title-short&quot;:&quot;&quot;},&quot;isTemporary&quot;:false}]},{&quot;citationID&quot;:&quot;MENDELEY_CITATION_50efcc24-d226-4790-81c8-a8c529ea96ef&quot;,&quot;properties&quot;:{&quot;noteIndex&quot;:0},&quot;isEdited&quot;:false,&quot;manualOverride&quot;:{&quot;isManuallyOverridden&quot;:false,&quot;citeprocText&quot;:&quot;(Massimi et al., 2024)&quot;,&quot;manualOverrideText&quot;:&quot;&quot;},&quot;citationTag&quot;:&quot;MENDELEY_CITATION_v3_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&quot;,&quot;citationItems&quot;:[{&quot;id&quot;:&quot;08cf0e44-7a15-34ab-9724-871a2fb137b2&quot;,&quot;itemData&quot;:{&quot;type&quot;:&quot;article-journal&quot;,&quot;id&quot;:&quot;08cf0e44-7a15-34ab-9724-871a2fb137b2&quot;,&quot;title&quot;:&quot;VOSCs Analysis through TD-GC-MS/FID/PFPD: Tools to Enhance Detectivity and Selectivity in Real Samples&quot;,&quot;author&quot;:[{&quot;family&quot;:&quot;Massimi&quot;,&quot;given&quot;:&quot;N&quot;,&quot;parse-names&quot;:false,&quot;dropping-particle&quot;:&quot;&quot;,&quot;non-dropping-particle&quot;:&quot;&quot;},{&quot;family&quot;:&quot;Polvara&quot;,&quot;given&quot;:&quot;E&quot;,&quot;parse-names&quot;:false,&quot;dropping-particle&quot;:&quot;&quot;,&quot;non-dropping-particle&quot;:&quot;&quot;},{&quot;family&quot;:&quot;Invernizzi&quot;,&quot;given&quot;:&quot;M&quot;,&quot;parse-names&quot;:false,&quot;dropping-particle&quot;:&quot;&quot;,&quot;non-dropping-particle&quot;:&quot;&quot;},{&quot;family&quot;:&quot;Sironi&quot;,&quot;given&quot;:&quot;S&quot;,&quot;parse-names&quot;:false,&quot;dropping-particle&quot;:&quot;&quot;,&quot;non-dropping-particle&quot;:&quot;&quot;}],&quot;accessed&quot;:{&quot;date-parts&quot;:[[2024,10,30]]},&quot;DOI&quot;:&quot;10.3303/CET24112016&quot;,&quot;ISBN&quot;:&quot;979-12-81206-13-7&quot;,&quot;ISSN&quot;:&quot;2283-9216&quot;,&quot;URL&quot;:&quot;www.cetjournal.it&quot;,&quot;issued&quot;:{&quot;date-parts&quot;:[[2024]]},&quot;container-title-short&quot;:&quot;&quot;},&quot;isTemporary&quot;:false}]}]"/>
    <we:property name="MENDELEY_CITATIONS_LOCALE_CODE" value="&quot;en-US&quot;"/>
    <we:property name="MENDELEY_CITATIONS_STYLE" value="{&quot;id&quot;:&quot;https://www.zotero.org/styles/chemosphere&quot;,&quot;title&quot;:&quot;Chemosphere&quot;,&quot;format&quot;:&quot;author-date&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3983C9-6D0A-480C-BF79-A63BD3D99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2851</Words>
  <Characters>16255</Characters>
  <Application>Microsoft Office Word</Application>
  <DocSecurity>0</DocSecurity>
  <Lines>135</Lines>
  <Paragraphs>38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Dipartimento CMIC - Politecnico di Milano</Company>
  <LinksUpToDate>false</LinksUpToDate>
  <CharactersWithSpaces>19068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raffaella</dc:creator>
  <cp:lastModifiedBy>Elisa Polvara</cp:lastModifiedBy>
  <cp:revision>2</cp:revision>
  <cp:lastPrinted>2015-05-12T18:31:00Z</cp:lastPrinted>
  <dcterms:created xsi:type="dcterms:W3CDTF">2026-06-17T09:09:00Z</dcterms:created>
  <dcterms:modified xsi:type="dcterms:W3CDTF">2026-06-17T09:09:00Z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zotero-version="4.0.29.17"&gt;&lt;session id="s8VwuD2U"/&gt;&lt;style id="http://www.zotero.org/styles/chemical-engineering-transactions" hasBibliography="1" bibliographyStyleHasBeenSet="1"/&gt;&lt;prefs&gt;&lt;pref name="fieldType" value="Field"/&gt;&lt;pref na</vt:lpwstr>
  </property>
  <property fmtid="{D5CDD505-2E9C-101B-9397-08002B2CF9AE}" pid="3" name="ZOTERO_PREF_2">
    <vt:lpwstr>me="storeReferences" value="true"/&gt;&lt;pref name="automaticJournalAbbreviations" value=""/&gt;&lt;pref name="noteType" value=""/&gt;&lt;/prefs&gt;&lt;/data&gt;</vt:lpwstr>
  </property>
</Properties>
</file>