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4F0976" w14:paraId="2A131A54" w14:textId="77777777" w:rsidTr="004F0060">
        <w:trPr>
          <w:trHeight w:val="852"/>
          <w:jc w:val="center"/>
        </w:trPr>
        <w:tc>
          <w:tcPr>
            <w:tcW w:w="6940" w:type="dxa"/>
            <w:vMerge w:val="restart"/>
            <w:tcBorders>
              <w:right w:val="single" w:sz="4" w:space="0" w:color="auto"/>
            </w:tcBorders>
          </w:tcPr>
          <w:p w14:paraId="38C3D2BA" w14:textId="77777777" w:rsidR="000A03B2" w:rsidRPr="004F0976" w:rsidRDefault="000A03B2" w:rsidP="00DE264A">
            <w:pPr>
              <w:tabs>
                <w:tab w:val="left" w:pos="-108"/>
              </w:tabs>
              <w:ind w:left="-108"/>
              <w:jc w:val="left"/>
              <w:rPr>
                <w:rFonts w:cs="Arial"/>
                <w:b/>
                <w:bCs/>
                <w:i/>
                <w:iCs/>
                <w:color w:val="000066"/>
                <w:sz w:val="12"/>
                <w:szCs w:val="12"/>
                <w:lang w:eastAsia="it-IT"/>
              </w:rPr>
            </w:pPr>
            <w:bookmarkStart w:id="0" w:name="_Hlk145068772"/>
            <w:r w:rsidRPr="004F0976">
              <w:rPr>
                <w:rFonts w:ascii="AdvP6960" w:hAnsi="AdvP6960" w:cs="AdvP6960"/>
                <w:noProof/>
                <w:color w:val="241F20"/>
                <w:szCs w:val="18"/>
                <w:lang w:eastAsia="it-IT"/>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4F0976">
              <w:rPr>
                <w:rFonts w:ascii="AdvP6960" w:hAnsi="AdvP6960" w:cs="AdvP6960"/>
                <w:color w:val="241F20"/>
                <w:szCs w:val="18"/>
                <w:lang w:eastAsia="it-IT"/>
              </w:rPr>
              <w:t xml:space="preserve"> </w:t>
            </w:r>
            <w:r w:rsidRPr="004F0976">
              <w:rPr>
                <w:rFonts w:cs="Arial"/>
                <w:b/>
                <w:bCs/>
                <w:i/>
                <w:iCs/>
                <w:color w:val="000066"/>
                <w:sz w:val="24"/>
                <w:szCs w:val="24"/>
                <w:lang w:eastAsia="it-IT"/>
              </w:rPr>
              <w:t>CHEMICAL ENGINEERING</w:t>
            </w:r>
            <w:r w:rsidRPr="004F0976">
              <w:rPr>
                <w:rFonts w:cs="Arial"/>
                <w:b/>
                <w:bCs/>
                <w:i/>
                <w:iCs/>
                <w:color w:val="0033FF"/>
                <w:sz w:val="24"/>
                <w:szCs w:val="24"/>
                <w:lang w:eastAsia="it-IT"/>
              </w:rPr>
              <w:t xml:space="preserve"> </w:t>
            </w:r>
            <w:r w:rsidRPr="004F0976">
              <w:rPr>
                <w:rFonts w:cs="Arial"/>
                <w:b/>
                <w:bCs/>
                <w:i/>
                <w:iCs/>
                <w:color w:val="666666"/>
                <w:sz w:val="24"/>
                <w:szCs w:val="24"/>
                <w:lang w:eastAsia="it-IT"/>
              </w:rPr>
              <w:t>TRANSACTIONS</w:t>
            </w:r>
            <w:r w:rsidRPr="004F0976">
              <w:rPr>
                <w:color w:val="333333"/>
                <w:sz w:val="24"/>
                <w:szCs w:val="24"/>
                <w:lang w:eastAsia="it-IT"/>
              </w:rPr>
              <w:t xml:space="preserve"> </w:t>
            </w:r>
            <w:r w:rsidRPr="004F0976">
              <w:rPr>
                <w:rFonts w:cs="Arial"/>
                <w:b/>
                <w:bCs/>
                <w:i/>
                <w:iCs/>
                <w:color w:val="000066"/>
                <w:sz w:val="27"/>
                <w:szCs w:val="27"/>
                <w:lang w:eastAsia="it-IT"/>
              </w:rPr>
              <w:br/>
            </w:r>
          </w:p>
          <w:p w14:paraId="4B780582" w14:textId="753620B8" w:rsidR="000A03B2" w:rsidRPr="004F0976" w:rsidRDefault="00A76EFC" w:rsidP="001D21AF">
            <w:pPr>
              <w:tabs>
                <w:tab w:val="left" w:pos="-108"/>
              </w:tabs>
              <w:ind w:left="-108"/>
              <w:rPr>
                <w:rFonts w:cs="Arial"/>
                <w:b/>
                <w:bCs/>
                <w:i/>
                <w:iCs/>
                <w:color w:val="000066"/>
                <w:sz w:val="22"/>
                <w:szCs w:val="22"/>
                <w:lang w:eastAsia="it-IT"/>
              </w:rPr>
            </w:pPr>
            <w:r w:rsidRPr="004F0976">
              <w:rPr>
                <w:rFonts w:cs="Arial"/>
                <w:b/>
                <w:bCs/>
                <w:i/>
                <w:iCs/>
                <w:color w:val="000066"/>
                <w:sz w:val="22"/>
                <w:szCs w:val="22"/>
                <w:lang w:eastAsia="it-IT"/>
              </w:rPr>
              <w:t>VOL.</w:t>
            </w:r>
            <w:r w:rsidR="00785BF9" w:rsidRPr="004F0976">
              <w:rPr>
                <w:rFonts w:cs="Arial"/>
                <w:b/>
                <w:bCs/>
                <w:i/>
                <w:iCs/>
                <w:color w:val="000066"/>
                <w:sz w:val="22"/>
                <w:szCs w:val="22"/>
                <w:lang w:eastAsia="it-IT"/>
              </w:rPr>
              <w:t xml:space="preserve"> </w:t>
            </w:r>
            <w:r w:rsidR="00AD0278" w:rsidRPr="004F0976">
              <w:rPr>
                <w:rFonts w:cs="Arial"/>
                <w:b/>
                <w:bCs/>
                <w:i/>
                <w:iCs/>
                <w:color w:val="000066"/>
                <w:sz w:val="22"/>
                <w:szCs w:val="22"/>
                <w:lang w:eastAsia="it-IT"/>
              </w:rPr>
              <w:t>xxx</w:t>
            </w:r>
            <w:r w:rsidR="007B48F9" w:rsidRPr="004F0976">
              <w:rPr>
                <w:rFonts w:cs="Arial"/>
                <w:b/>
                <w:bCs/>
                <w:i/>
                <w:iCs/>
                <w:color w:val="000066"/>
                <w:sz w:val="22"/>
                <w:szCs w:val="22"/>
                <w:lang w:eastAsia="it-IT"/>
              </w:rPr>
              <w:t>,</w:t>
            </w:r>
            <w:r w:rsidR="00FA5F5F" w:rsidRPr="004F0976">
              <w:rPr>
                <w:rFonts w:cs="Arial"/>
                <w:b/>
                <w:bCs/>
                <w:i/>
                <w:iCs/>
                <w:color w:val="000066"/>
                <w:sz w:val="22"/>
                <w:szCs w:val="22"/>
                <w:lang w:eastAsia="it-IT"/>
              </w:rPr>
              <w:t xml:space="preserve"> </w:t>
            </w:r>
            <w:r w:rsidR="0030152C" w:rsidRPr="004F0976">
              <w:rPr>
                <w:rFonts w:cs="Arial"/>
                <w:b/>
                <w:bCs/>
                <w:i/>
                <w:iCs/>
                <w:color w:val="000066"/>
                <w:sz w:val="22"/>
                <w:szCs w:val="22"/>
                <w:lang w:eastAsia="it-IT"/>
              </w:rPr>
              <w:t>202</w:t>
            </w:r>
            <w:r w:rsidR="00AD0278" w:rsidRPr="004F0976">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4F0976" w:rsidRDefault="000A03B2" w:rsidP="00CD5FE2">
            <w:pPr>
              <w:spacing w:line="140" w:lineRule="atLeast"/>
              <w:jc w:val="right"/>
              <w:rPr>
                <w:rFonts w:cs="Arial"/>
                <w:sz w:val="14"/>
                <w:szCs w:val="14"/>
              </w:rPr>
            </w:pPr>
            <w:r w:rsidRPr="004F0976">
              <w:rPr>
                <w:rFonts w:cs="Arial"/>
                <w:sz w:val="14"/>
                <w:szCs w:val="14"/>
              </w:rPr>
              <w:t>A publication of</w:t>
            </w:r>
          </w:p>
          <w:p w14:paraId="599E5441" w14:textId="77777777" w:rsidR="000A03B2" w:rsidRPr="004F0976" w:rsidRDefault="000A03B2" w:rsidP="00CD5FE2">
            <w:pPr>
              <w:jc w:val="right"/>
            </w:pPr>
            <w:r w:rsidRPr="004F0976">
              <w:rPr>
                <w:noProof/>
                <w:lang w:eastAsia="it-IT"/>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4F0976" w14:paraId="380FA3CD" w14:textId="77777777" w:rsidTr="004F0060">
        <w:trPr>
          <w:trHeight w:val="567"/>
          <w:jc w:val="center"/>
        </w:trPr>
        <w:tc>
          <w:tcPr>
            <w:tcW w:w="6940" w:type="dxa"/>
            <w:vMerge/>
            <w:tcBorders>
              <w:right w:val="single" w:sz="4" w:space="0" w:color="auto"/>
            </w:tcBorders>
          </w:tcPr>
          <w:p w14:paraId="39E5E4C1" w14:textId="77777777" w:rsidR="000A03B2" w:rsidRPr="004F0976" w:rsidRDefault="000A03B2" w:rsidP="00CD5FE2">
            <w:pPr>
              <w:tabs>
                <w:tab w:val="left" w:pos="-108"/>
              </w:tabs>
            </w:pPr>
          </w:p>
        </w:tc>
        <w:tc>
          <w:tcPr>
            <w:tcW w:w="1842" w:type="dxa"/>
            <w:tcBorders>
              <w:left w:val="single" w:sz="4" w:space="0" w:color="auto"/>
              <w:bottom w:val="nil"/>
              <w:right w:val="single" w:sz="4" w:space="0" w:color="auto"/>
            </w:tcBorders>
          </w:tcPr>
          <w:p w14:paraId="43858A98" w14:textId="77777777" w:rsidR="000A03B2" w:rsidRPr="004F0976" w:rsidRDefault="000A03B2" w:rsidP="00CD5FE2">
            <w:pPr>
              <w:spacing w:line="140" w:lineRule="atLeast"/>
              <w:jc w:val="right"/>
              <w:rPr>
                <w:rFonts w:cs="Arial"/>
                <w:sz w:val="14"/>
                <w:szCs w:val="14"/>
              </w:rPr>
            </w:pPr>
            <w:r w:rsidRPr="004F0976">
              <w:rPr>
                <w:rFonts w:cs="Arial"/>
                <w:sz w:val="14"/>
                <w:szCs w:val="14"/>
              </w:rPr>
              <w:t>The Italian Association</w:t>
            </w:r>
          </w:p>
          <w:p w14:paraId="7522B1D2" w14:textId="77777777" w:rsidR="000A03B2" w:rsidRPr="004F0976" w:rsidRDefault="000A03B2" w:rsidP="00CD5FE2">
            <w:pPr>
              <w:spacing w:line="140" w:lineRule="atLeast"/>
              <w:jc w:val="right"/>
              <w:rPr>
                <w:rFonts w:cs="Arial"/>
                <w:sz w:val="14"/>
                <w:szCs w:val="14"/>
              </w:rPr>
            </w:pPr>
            <w:r w:rsidRPr="004F0976">
              <w:rPr>
                <w:rFonts w:cs="Arial"/>
                <w:sz w:val="14"/>
                <w:szCs w:val="14"/>
              </w:rPr>
              <w:t>of Chemical Engineering</w:t>
            </w:r>
          </w:p>
          <w:p w14:paraId="4F0CC5DE" w14:textId="47FDB2FC" w:rsidR="000A03B2" w:rsidRPr="004F0976" w:rsidRDefault="000D0268" w:rsidP="00CD5FE2">
            <w:pPr>
              <w:spacing w:line="140" w:lineRule="atLeast"/>
              <w:jc w:val="right"/>
              <w:rPr>
                <w:rFonts w:cs="Arial"/>
                <w:sz w:val="13"/>
                <w:szCs w:val="13"/>
              </w:rPr>
            </w:pPr>
            <w:r w:rsidRPr="004F0976">
              <w:rPr>
                <w:rFonts w:cs="Arial"/>
                <w:sz w:val="13"/>
                <w:szCs w:val="13"/>
              </w:rPr>
              <w:t>Online at www.cetjournal.it</w:t>
            </w:r>
          </w:p>
        </w:tc>
      </w:tr>
      <w:tr w:rsidR="000A03B2" w:rsidRPr="004F0976" w14:paraId="2D1B7169" w14:textId="77777777" w:rsidTr="004F0060">
        <w:trPr>
          <w:trHeight w:val="68"/>
          <w:jc w:val="center"/>
        </w:trPr>
        <w:tc>
          <w:tcPr>
            <w:tcW w:w="8782" w:type="dxa"/>
            <w:gridSpan w:val="2"/>
          </w:tcPr>
          <w:p w14:paraId="1D8DD3C9" w14:textId="354DD23C" w:rsidR="00AA7D26" w:rsidRPr="000E0F2F" w:rsidRDefault="004A5E57" w:rsidP="004A5E57">
            <w:pPr>
              <w:ind w:left="-107"/>
              <w:outlineLvl w:val="2"/>
              <w:rPr>
                <w:rFonts w:ascii="Tahoma" w:hAnsi="Tahoma" w:cs="Tahoma"/>
                <w:bCs/>
                <w:color w:val="000000"/>
                <w:sz w:val="14"/>
                <w:szCs w:val="14"/>
                <w:lang w:val="it-IT" w:eastAsia="it-IT"/>
              </w:rPr>
            </w:pPr>
            <w:r w:rsidRPr="000E0F2F">
              <w:rPr>
                <w:rFonts w:ascii="Tahoma" w:hAnsi="Tahoma" w:cs="Tahoma"/>
                <w:iCs/>
                <w:color w:val="333333"/>
                <w:sz w:val="14"/>
                <w:szCs w:val="14"/>
                <w:lang w:val="it-IT" w:eastAsia="it-IT"/>
              </w:rPr>
              <w:t>Guest Editors:</w:t>
            </w:r>
            <w:r w:rsidRPr="000E0F2F">
              <w:rPr>
                <w:rFonts w:ascii="Tahoma" w:hAnsi="Tahoma" w:cs="Tahoma"/>
                <w:color w:val="000000"/>
                <w:sz w:val="14"/>
                <w:szCs w:val="14"/>
                <w:shd w:val="clear" w:color="auto" w:fill="FFFFFF"/>
                <w:lang w:val="it-IT"/>
              </w:rPr>
              <w:t xml:space="preserve"> </w:t>
            </w:r>
            <w:r w:rsidR="00550D01" w:rsidRPr="000E0F2F">
              <w:rPr>
                <w:rFonts w:ascii="Tahoma" w:hAnsi="Tahoma" w:cs="Tahoma"/>
                <w:color w:val="000000"/>
                <w:sz w:val="14"/>
                <w:szCs w:val="14"/>
                <w:shd w:val="clear" w:color="auto" w:fill="FFFFFF"/>
                <w:lang w:val="it-IT"/>
              </w:rPr>
              <w:t>Laura Capelli, Marzio Invernizzi, Selena Sironi</w:t>
            </w:r>
          </w:p>
          <w:p w14:paraId="1B0F1814" w14:textId="710B7B96" w:rsidR="000A03B2" w:rsidRPr="004F0976" w:rsidRDefault="00AA7D26" w:rsidP="00AA7D26">
            <w:pPr>
              <w:tabs>
                <w:tab w:val="left" w:pos="-108"/>
              </w:tabs>
              <w:spacing w:line="140" w:lineRule="atLeast"/>
              <w:ind w:left="-107"/>
              <w:jc w:val="left"/>
            </w:pPr>
            <w:r w:rsidRPr="004F0976">
              <w:rPr>
                <w:rFonts w:ascii="Tahoma" w:hAnsi="Tahoma" w:cs="Tahoma"/>
                <w:iCs/>
                <w:color w:val="333333"/>
                <w:sz w:val="14"/>
                <w:szCs w:val="14"/>
                <w:lang w:eastAsia="it-IT"/>
              </w:rPr>
              <w:t>Copyright © 202</w:t>
            </w:r>
            <w:r w:rsidR="00005884" w:rsidRPr="004F0976">
              <w:rPr>
                <w:rFonts w:ascii="Tahoma" w:hAnsi="Tahoma" w:cs="Tahoma"/>
                <w:iCs/>
                <w:color w:val="333333"/>
                <w:sz w:val="14"/>
                <w:szCs w:val="14"/>
                <w:lang w:eastAsia="it-IT"/>
              </w:rPr>
              <w:t>6</w:t>
            </w:r>
            <w:r w:rsidRPr="004F0976">
              <w:rPr>
                <w:rFonts w:ascii="Tahoma" w:hAnsi="Tahoma" w:cs="Tahoma"/>
                <w:iCs/>
                <w:color w:val="333333"/>
                <w:sz w:val="14"/>
                <w:szCs w:val="14"/>
                <w:lang w:eastAsia="it-IT"/>
              </w:rPr>
              <w:t>, AIDIC Servizi S.r.l.</w:t>
            </w:r>
            <w:r w:rsidRPr="004F0976">
              <w:rPr>
                <w:rFonts w:ascii="Tahoma" w:hAnsi="Tahoma" w:cs="Tahoma"/>
                <w:iCs/>
                <w:color w:val="333333"/>
                <w:sz w:val="14"/>
                <w:szCs w:val="14"/>
                <w:lang w:eastAsia="it-IT"/>
              </w:rPr>
              <w:br/>
            </w:r>
            <w:r w:rsidRPr="004F0976">
              <w:rPr>
                <w:rFonts w:ascii="Tahoma" w:hAnsi="Tahoma" w:cs="Tahoma"/>
                <w:b/>
                <w:iCs/>
                <w:color w:val="000000"/>
                <w:sz w:val="14"/>
                <w:szCs w:val="14"/>
                <w:lang w:eastAsia="it-IT"/>
              </w:rPr>
              <w:t>ISBN</w:t>
            </w:r>
            <w:r w:rsidRPr="004F0976">
              <w:rPr>
                <w:rFonts w:ascii="Tahoma" w:hAnsi="Tahoma" w:cs="Tahoma"/>
                <w:iCs/>
                <w:color w:val="000000"/>
                <w:sz w:val="14"/>
                <w:szCs w:val="14"/>
                <w:lang w:eastAsia="it-IT"/>
              </w:rPr>
              <w:t xml:space="preserve"> </w:t>
            </w:r>
            <w:r w:rsidR="00D2582C" w:rsidRPr="004F0976">
              <w:rPr>
                <w:rFonts w:ascii="Tahoma" w:hAnsi="Tahoma" w:cs="Tahoma"/>
                <w:sz w:val="14"/>
                <w:szCs w:val="14"/>
              </w:rPr>
              <w:t>979-12-81206-</w:t>
            </w:r>
            <w:r w:rsidR="00005884" w:rsidRPr="004F0976">
              <w:rPr>
                <w:rFonts w:ascii="Tahoma" w:hAnsi="Tahoma" w:cs="Tahoma"/>
                <w:sz w:val="14"/>
                <w:szCs w:val="14"/>
              </w:rPr>
              <w:t>xx</w:t>
            </w:r>
            <w:r w:rsidR="009041F8" w:rsidRPr="004F0976">
              <w:rPr>
                <w:rFonts w:ascii="Tahoma" w:hAnsi="Tahoma" w:cs="Tahoma"/>
                <w:sz w:val="14"/>
                <w:szCs w:val="14"/>
              </w:rPr>
              <w:t>-</w:t>
            </w:r>
            <w:r w:rsidR="00005884" w:rsidRPr="004F0976">
              <w:rPr>
                <w:rFonts w:ascii="Tahoma" w:hAnsi="Tahoma" w:cs="Tahoma"/>
                <w:sz w:val="14"/>
                <w:szCs w:val="14"/>
              </w:rPr>
              <w:t>x</w:t>
            </w:r>
            <w:r w:rsidRPr="004F0976">
              <w:rPr>
                <w:rFonts w:ascii="Tahoma" w:hAnsi="Tahoma" w:cs="Tahoma"/>
                <w:iCs/>
                <w:color w:val="333333"/>
                <w:sz w:val="14"/>
                <w:szCs w:val="14"/>
                <w:lang w:eastAsia="it-IT"/>
              </w:rPr>
              <w:t xml:space="preserve">; </w:t>
            </w:r>
            <w:r w:rsidRPr="004F0976">
              <w:rPr>
                <w:rFonts w:ascii="Tahoma" w:hAnsi="Tahoma" w:cs="Tahoma"/>
                <w:b/>
                <w:iCs/>
                <w:color w:val="333333"/>
                <w:sz w:val="14"/>
                <w:szCs w:val="14"/>
                <w:lang w:eastAsia="it-IT"/>
              </w:rPr>
              <w:t>ISSN</w:t>
            </w:r>
            <w:r w:rsidRPr="004F0976">
              <w:rPr>
                <w:rFonts w:ascii="Tahoma" w:hAnsi="Tahoma" w:cs="Tahoma"/>
                <w:iCs/>
                <w:color w:val="333333"/>
                <w:sz w:val="14"/>
                <w:szCs w:val="14"/>
                <w:lang w:eastAsia="it-IT"/>
              </w:rPr>
              <w:t xml:space="preserve"> 2283-9216</w:t>
            </w:r>
          </w:p>
        </w:tc>
      </w:tr>
    </w:tbl>
    <w:bookmarkEnd w:id="0"/>
    <w:p w14:paraId="2E667253" w14:textId="2D5959A5" w:rsidR="00E978D0" w:rsidRPr="004F0976" w:rsidRDefault="004F0060" w:rsidP="00E978D0">
      <w:pPr>
        <w:pStyle w:val="CETTitle"/>
      </w:pPr>
      <w:r w:rsidRPr="004F0976">
        <w:t xml:space="preserve">Occupational </w:t>
      </w:r>
      <w:r w:rsidR="00A92BCD">
        <w:t>Exposure</w:t>
      </w:r>
      <w:r w:rsidR="003C5D0D">
        <w:t xml:space="preserve"> Risk</w:t>
      </w:r>
      <w:r w:rsidR="00A92BCD" w:rsidRPr="004F0976">
        <w:t xml:space="preserve"> </w:t>
      </w:r>
      <w:r w:rsidRPr="004F0976">
        <w:t xml:space="preserve">in Olfactometry: Contribution of </w:t>
      </w:r>
      <w:r w:rsidR="00693D8A" w:rsidRPr="004F0976">
        <w:t xml:space="preserve">Compounds </w:t>
      </w:r>
      <w:r w:rsidR="00693D8A">
        <w:t xml:space="preserve">with </w:t>
      </w:r>
      <w:r w:rsidRPr="004F0976">
        <w:t>High Odour Threshold</w:t>
      </w:r>
      <w:r w:rsidR="00693D8A">
        <w:t>s</w:t>
      </w:r>
      <w:r w:rsidRPr="004F0976">
        <w:t xml:space="preserve"> </w:t>
      </w:r>
    </w:p>
    <w:p w14:paraId="0488FED2" w14:textId="4FDF8EE4" w:rsidR="00B57E6F" w:rsidRPr="000E0F2F" w:rsidRDefault="004F0060" w:rsidP="00B57E6F">
      <w:pPr>
        <w:pStyle w:val="CETAuthors"/>
        <w:rPr>
          <w:noProof w:val="0"/>
          <w:vertAlign w:val="superscript"/>
          <w:lang w:val="it-IT"/>
        </w:rPr>
      </w:pPr>
      <w:r w:rsidRPr="000E0F2F">
        <w:rPr>
          <w:noProof w:val="0"/>
          <w:lang w:val="it-IT"/>
        </w:rPr>
        <w:t>Elisa Polvara</w:t>
      </w:r>
      <w:r w:rsidRPr="000E0F2F">
        <w:rPr>
          <w:noProof w:val="0"/>
          <w:vertAlign w:val="superscript"/>
          <w:lang w:val="it-IT"/>
        </w:rPr>
        <w:t>a</w:t>
      </w:r>
      <w:r w:rsidRPr="000E0F2F">
        <w:rPr>
          <w:noProof w:val="0"/>
          <w:lang w:val="it-IT"/>
        </w:rPr>
        <w:t>, Andrea Spinazzè</w:t>
      </w:r>
      <w:r w:rsidRPr="000E0F2F">
        <w:rPr>
          <w:noProof w:val="0"/>
          <w:vertAlign w:val="superscript"/>
          <w:lang w:val="it-IT"/>
        </w:rPr>
        <w:t>b</w:t>
      </w:r>
      <w:r w:rsidRPr="000E0F2F">
        <w:rPr>
          <w:noProof w:val="0"/>
          <w:lang w:val="it-IT"/>
        </w:rPr>
        <w:t xml:space="preserve">, Marzio </w:t>
      </w:r>
      <w:proofErr w:type="spellStart"/>
      <w:proofErr w:type="gramStart"/>
      <w:r w:rsidRPr="000E0F2F">
        <w:rPr>
          <w:noProof w:val="0"/>
          <w:lang w:val="it-IT"/>
        </w:rPr>
        <w:t>Invernizzi</w:t>
      </w:r>
      <w:r w:rsidRPr="000E0F2F">
        <w:rPr>
          <w:noProof w:val="0"/>
          <w:vertAlign w:val="superscript"/>
          <w:lang w:val="it-IT"/>
        </w:rPr>
        <w:t>a</w:t>
      </w:r>
      <w:proofErr w:type="spellEnd"/>
      <w:r w:rsidRPr="000E0F2F">
        <w:rPr>
          <w:noProof w:val="0"/>
          <w:vertAlign w:val="superscript"/>
          <w:lang w:val="it-IT"/>
        </w:rPr>
        <w:t>,*</w:t>
      </w:r>
      <w:proofErr w:type="gramEnd"/>
      <w:r w:rsidRPr="000E0F2F">
        <w:rPr>
          <w:noProof w:val="0"/>
          <w:lang w:val="it-IT"/>
        </w:rPr>
        <w:t xml:space="preserve">, Selena </w:t>
      </w:r>
      <w:proofErr w:type="spellStart"/>
      <w:r w:rsidRPr="000E0F2F">
        <w:rPr>
          <w:noProof w:val="0"/>
          <w:lang w:val="it-IT"/>
        </w:rPr>
        <w:t>Sironi</w:t>
      </w:r>
      <w:r w:rsidRPr="000E0F2F">
        <w:rPr>
          <w:noProof w:val="0"/>
          <w:vertAlign w:val="superscript"/>
          <w:lang w:val="it-IT"/>
        </w:rPr>
        <w:t>a</w:t>
      </w:r>
      <w:proofErr w:type="spellEnd"/>
    </w:p>
    <w:p w14:paraId="04E6DB32" w14:textId="63E6252A" w:rsidR="004F0060" w:rsidRPr="004F0060" w:rsidRDefault="004F0060" w:rsidP="004F0060">
      <w:pPr>
        <w:pStyle w:val="CETAddress"/>
        <w:rPr>
          <w:noProof w:val="0"/>
        </w:rPr>
      </w:pPr>
      <w:proofErr w:type="spellStart"/>
      <w:r w:rsidRPr="004F0060">
        <w:rPr>
          <w:noProof w:val="0"/>
          <w:vertAlign w:val="superscript"/>
        </w:rPr>
        <w:t>a</w:t>
      </w:r>
      <w:r w:rsidRPr="004F0060">
        <w:rPr>
          <w:noProof w:val="0"/>
        </w:rPr>
        <w:t>Department</w:t>
      </w:r>
      <w:proofErr w:type="spellEnd"/>
      <w:r w:rsidRPr="004F0060">
        <w:rPr>
          <w:noProof w:val="0"/>
        </w:rPr>
        <w:t xml:space="preserve"> of Chemistry, Materials and Chemical Engineering “Giulio Natta”, Politecnico di Milano, Milano, Italy</w:t>
      </w:r>
    </w:p>
    <w:p w14:paraId="2773CAD5" w14:textId="0F2C9E31" w:rsidR="004F0060" w:rsidRPr="004F0060" w:rsidRDefault="004F0060" w:rsidP="004F0060">
      <w:pPr>
        <w:pStyle w:val="CETAddress"/>
        <w:rPr>
          <w:noProof w:val="0"/>
        </w:rPr>
      </w:pPr>
      <w:proofErr w:type="spellStart"/>
      <w:r w:rsidRPr="004F0060">
        <w:rPr>
          <w:noProof w:val="0"/>
          <w:vertAlign w:val="superscript"/>
        </w:rPr>
        <w:t>b</w:t>
      </w:r>
      <w:r w:rsidRPr="004F0060">
        <w:rPr>
          <w:noProof w:val="0"/>
        </w:rPr>
        <w:t>Department</w:t>
      </w:r>
      <w:proofErr w:type="spellEnd"/>
      <w:r w:rsidRPr="004F0060">
        <w:rPr>
          <w:noProof w:val="0"/>
        </w:rPr>
        <w:t xml:space="preserve"> of Science and High Technology DiSAT, Università degli Studi </w:t>
      </w:r>
      <w:proofErr w:type="spellStart"/>
      <w:r w:rsidRPr="004F0060">
        <w:rPr>
          <w:noProof w:val="0"/>
        </w:rPr>
        <w:t>dell’Insubria</w:t>
      </w:r>
      <w:proofErr w:type="spellEnd"/>
      <w:r w:rsidRPr="004F0060">
        <w:rPr>
          <w:noProof w:val="0"/>
        </w:rPr>
        <w:t>, Como, Italy</w:t>
      </w:r>
    </w:p>
    <w:p w14:paraId="48B422C5" w14:textId="77777777" w:rsidR="004F0060" w:rsidRPr="004F0976" w:rsidRDefault="004F0060" w:rsidP="004F0060">
      <w:pPr>
        <w:pStyle w:val="CETemail"/>
        <w:rPr>
          <w:noProof w:val="0"/>
        </w:rPr>
      </w:pPr>
      <w:r w:rsidRPr="004F0060">
        <w:rPr>
          <w:noProof w:val="0"/>
        </w:rPr>
        <w:t xml:space="preserve">* </w:t>
      </w:r>
      <w:hyperlink r:id="rId13" w:history="1">
        <w:r w:rsidRPr="004F0060">
          <w:rPr>
            <w:noProof w:val="0"/>
          </w:rPr>
          <w:t>marzio.invernizzi@polimi.it</w:t>
        </w:r>
      </w:hyperlink>
    </w:p>
    <w:p w14:paraId="4B742822" w14:textId="487A52A7" w:rsidR="007D0939" w:rsidRPr="004F0976" w:rsidRDefault="003C5D0D" w:rsidP="004F0976">
      <w:pPr>
        <w:pStyle w:val="CETBodytext"/>
        <w:rPr>
          <w:lang w:val="en-GB"/>
        </w:rPr>
      </w:pPr>
      <w:r w:rsidRPr="003C5D0D">
        <w:rPr>
          <w:lang w:val="en-GB"/>
        </w:rPr>
        <w:t>Combustion stack emissions are generally of limited odour relevance, as they typically show low odour concentrations (Cod)</w:t>
      </w:r>
      <w:r>
        <w:rPr>
          <w:lang w:val="en-GB"/>
        </w:rPr>
        <w:t xml:space="preserve">, </w:t>
      </w:r>
      <w:r w:rsidR="00A92BCD" w:rsidRPr="00A92BCD">
        <w:rPr>
          <w:lang w:val="en-GB"/>
        </w:rPr>
        <w:t>but may contain compounds whose odour perception occurs at concentrations close to or above occupational exposure reference values. During dynamic olfactometry, these samples may therefore require low dilution factors, leading to increased exposure concentrations for panellists. This study assesses potential occupational exposure concerns associated with combustion stack samples in dynamic olfactometry.</w:t>
      </w:r>
      <w:r w:rsidR="00A92BCD">
        <w:rPr>
          <w:lang w:val="en-GB"/>
        </w:rPr>
        <w:t xml:space="preserve"> </w:t>
      </w:r>
      <w:r w:rsidR="000F2D2B" w:rsidRPr="000F2D2B">
        <w:rPr>
          <w:lang w:val="en-GB"/>
        </w:rPr>
        <w:t>The approach was based on the chemical analysis of real emission samples to quantify combustion-related compounds, the preliminary estimation of the Hazard Index</w:t>
      </w:r>
      <w:r w:rsidR="000F2D2B">
        <w:rPr>
          <w:lang w:val="en-GB"/>
        </w:rPr>
        <w:t xml:space="preserve"> (HI)</w:t>
      </w:r>
      <w:r w:rsidR="000F2D2B" w:rsidRPr="000F2D2B">
        <w:rPr>
          <w:lang w:val="en-GB"/>
        </w:rPr>
        <w:t xml:space="preserve">, the definition of a sample-specific </w:t>
      </w:r>
      <w:r w:rsidR="000F2D2B">
        <w:rPr>
          <w:lang w:val="en-GB"/>
        </w:rPr>
        <w:t>m</w:t>
      </w:r>
      <w:r w:rsidR="000F2D2B" w:rsidRPr="000F2D2B">
        <w:rPr>
          <w:lang w:val="en-GB"/>
        </w:rPr>
        <w:t xml:space="preserve">inimum </w:t>
      </w:r>
      <w:r w:rsidR="000F2D2B">
        <w:rPr>
          <w:lang w:val="en-GB"/>
        </w:rPr>
        <w:t>d</w:t>
      </w:r>
      <w:r w:rsidR="000F2D2B" w:rsidRPr="000F2D2B">
        <w:rPr>
          <w:lang w:val="en-GB"/>
        </w:rPr>
        <w:t xml:space="preserve">ilution </w:t>
      </w:r>
      <w:r w:rsidR="000F2D2B">
        <w:rPr>
          <w:lang w:val="en-GB"/>
        </w:rPr>
        <w:t>v</w:t>
      </w:r>
      <w:r w:rsidR="000F2D2B" w:rsidRPr="000F2D2B">
        <w:rPr>
          <w:lang w:val="en-GB"/>
        </w:rPr>
        <w:t>alue</w:t>
      </w:r>
      <w:r w:rsidR="000F2D2B">
        <w:rPr>
          <w:lang w:val="en-GB"/>
        </w:rPr>
        <w:t xml:space="preserve"> (MDV) </w:t>
      </w:r>
      <w:r w:rsidR="000F2D2B" w:rsidRPr="000F2D2B">
        <w:rPr>
          <w:lang w:val="en-GB"/>
        </w:rPr>
        <w:t xml:space="preserve">not to be exceeded during olfactometric analysis, and the comparison between </w:t>
      </w:r>
      <w:r w:rsidR="000F2D2B">
        <w:rPr>
          <w:lang w:val="en-GB"/>
        </w:rPr>
        <w:t>measured C</w:t>
      </w:r>
      <w:r w:rsidR="000F2D2B">
        <w:rPr>
          <w:vertAlign w:val="subscript"/>
          <w:lang w:val="en-GB"/>
        </w:rPr>
        <w:t>od</w:t>
      </w:r>
      <w:r w:rsidR="000F2D2B" w:rsidRPr="000F2D2B">
        <w:rPr>
          <w:lang w:val="en-GB"/>
        </w:rPr>
        <w:t xml:space="preserve"> and </w:t>
      </w:r>
      <w:r w:rsidR="000F2D2B">
        <w:rPr>
          <w:lang w:val="en-GB"/>
        </w:rPr>
        <w:t>MDV</w:t>
      </w:r>
      <w:r w:rsidR="000F2D2B" w:rsidRPr="000F2D2B">
        <w:rPr>
          <w:lang w:val="en-GB"/>
        </w:rPr>
        <w:t>.</w:t>
      </w:r>
      <w:r w:rsidR="00610ACE">
        <w:rPr>
          <w:lang w:val="en-GB"/>
        </w:rPr>
        <w:t xml:space="preserve"> Based on the</w:t>
      </w:r>
      <w:r w:rsidR="006F619D">
        <w:rPr>
          <w:lang w:val="en-GB"/>
        </w:rPr>
        <w:t xml:space="preserve"> obtained</w:t>
      </w:r>
      <w:r w:rsidR="00610ACE">
        <w:rPr>
          <w:lang w:val="en-GB"/>
        </w:rPr>
        <w:t xml:space="preserve"> results, it is possible to affirm that a </w:t>
      </w:r>
      <w:r w:rsidR="00610ACE" w:rsidRPr="00610ACE">
        <w:rPr>
          <w:lang w:val="en-GB"/>
        </w:rPr>
        <w:t>non-negligible proportion of the investigated samples showed critical or near-critical conditions with respect to MDV, indicating that this class of matrices may present relevant operational constraints during dynamic olfactometry despite its limited odour relevance.</w:t>
      </w:r>
      <w:r w:rsidR="00610ACE">
        <w:rPr>
          <w:lang w:val="en-GB"/>
        </w:rPr>
        <w:t xml:space="preserve"> Therefore, particular attention needs to be </w:t>
      </w:r>
      <w:r w:rsidR="00693D8A">
        <w:rPr>
          <w:lang w:val="en-GB"/>
        </w:rPr>
        <w:t xml:space="preserve">paid </w:t>
      </w:r>
      <w:r w:rsidR="00610ACE">
        <w:rPr>
          <w:lang w:val="en-GB"/>
        </w:rPr>
        <w:t xml:space="preserve">to combustion stack samples </w:t>
      </w:r>
      <w:r w:rsidR="000E0F2F">
        <w:rPr>
          <w:lang w:val="en-GB"/>
        </w:rPr>
        <w:t>to</w:t>
      </w:r>
      <w:r w:rsidR="00610ACE">
        <w:rPr>
          <w:lang w:val="en-GB"/>
        </w:rPr>
        <w:t xml:space="preserve"> protect panellists’ </w:t>
      </w:r>
      <w:r w:rsidR="00DF72DF">
        <w:rPr>
          <w:lang w:val="en-GB"/>
        </w:rPr>
        <w:t>health</w:t>
      </w:r>
      <w:r w:rsidR="00610ACE">
        <w:rPr>
          <w:lang w:val="en-GB"/>
        </w:rPr>
        <w:t xml:space="preserve">. </w:t>
      </w:r>
      <w:r w:rsidR="00610ACE" w:rsidRPr="00610ACE">
        <w:rPr>
          <w:lang w:val="en-GB"/>
        </w:rPr>
        <w:t>A targeted procedure based on preliminary compound screening, risk estimation, and prior definition of MDV is proposed to support safe testing conditions and effective protection of panellists</w:t>
      </w:r>
      <w:r w:rsidR="00DF72DF">
        <w:rPr>
          <w:lang w:val="en-GB"/>
        </w:rPr>
        <w:t>’ health</w:t>
      </w:r>
      <w:r w:rsidR="00610ACE" w:rsidRPr="00610ACE">
        <w:rPr>
          <w:lang w:val="en-GB"/>
        </w:rPr>
        <w:t>.</w:t>
      </w:r>
    </w:p>
    <w:p w14:paraId="476B2F2E" w14:textId="77777777" w:rsidR="00600535" w:rsidRPr="004F0976" w:rsidRDefault="00600535" w:rsidP="00600535">
      <w:pPr>
        <w:pStyle w:val="CETHeading1"/>
        <w:rPr>
          <w:lang w:val="en-GB"/>
        </w:rPr>
      </w:pPr>
      <w:r w:rsidRPr="004F0976">
        <w:rPr>
          <w:lang w:val="en-GB"/>
        </w:rPr>
        <w:t>Introduction</w:t>
      </w:r>
    </w:p>
    <w:p w14:paraId="69A861E4" w14:textId="1618447C" w:rsidR="00BB01B6" w:rsidRPr="00BB01B6" w:rsidRDefault="004674FC" w:rsidP="00BB01B6">
      <w:r w:rsidRPr="004F0976">
        <w:t>Odour emissions are generally associated with the presence of volatile organic compounds (VOCs)</w:t>
      </w:r>
      <w:r w:rsidR="00DE499C">
        <w:t xml:space="preserve"> and other </w:t>
      </w:r>
      <w:r w:rsidR="000E0F2F">
        <w:t xml:space="preserve">inorganic </w:t>
      </w:r>
      <w:r w:rsidR="00DE499C">
        <w:t>volatile odorants (H</w:t>
      </w:r>
      <w:r w:rsidR="00DE499C">
        <w:rPr>
          <w:vertAlign w:val="subscript"/>
        </w:rPr>
        <w:t>2</w:t>
      </w:r>
      <w:r w:rsidR="00DE499C">
        <w:t>S or NH</w:t>
      </w:r>
      <w:r w:rsidR="00DE499C">
        <w:rPr>
          <w:vertAlign w:val="subscript"/>
        </w:rPr>
        <w:t>3</w:t>
      </w:r>
      <w:r w:rsidR="00DE499C">
        <w:t>)</w:t>
      </w:r>
      <w:r w:rsidRPr="004F0976">
        <w:t xml:space="preserve">. </w:t>
      </w:r>
      <w:r w:rsidR="00DE499C" w:rsidRPr="00DE499C">
        <w:t xml:space="preserve">In Europe, </w:t>
      </w:r>
      <w:r w:rsidR="00DF72DF">
        <w:t>odour</w:t>
      </w:r>
      <w:r w:rsidR="00DF72DF" w:rsidRPr="00DE499C">
        <w:t xml:space="preserve"> quantification</w:t>
      </w:r>
      <w:r w:rsidR="00DF72DF">
        <w:t xml:space="preserve"> is</w:t>
      </w:r>
      <w:r w:rsidR="00DF72DF" w:rsidRPr="00DE499C">
        <w:t xml:space="preserve"> </w:t>
      </w:r>
      <w:r w:rsidR="00B91F21">
        <w:t xml:space="preserve">standardized by </w:t>
      </w:r>
      <w:sdt>
        <w:sdtPr>
          <w:rPr>
            <w:rFonts w:cs="Arial"/>
            <w:color w:val="000000"/>
          </w:rPr>
          <w:tag w:val="MENDELEY_CITATION_v3_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"/>
          <w:id w:val="-1955239217"/>
          <w:placeholder>
            <w:docPart w:val="F1D894C9E07C495697A5C66E02A5A4C6"/>
          </w:placeholder>
        </w:sdtPr>
        <w:sdtContent>
          <w:r w:rsidR="00B91F21" w:rsidRPr="00B91F21">
            <w:rPr>
              <w:rFonts w:cs="Arial"/>
              <w:color w:val="000000"/>
            </w:rPr>
            <w:t>EN 13725:2022, 2022</w:t>
          </w:r>
        </w:sdtContent>
      </w:sdt>
      <w:r w:rsidR="00B91F21">
        <w:t xml:space="preserve">, </w:t>
      </w:r>
      <w:r w:rsidR="00DF72DF">
        <w:t xml:space="preserve">and </w:t>
      </w:r>
      <w:r w:rsidR="00DE499C" w:rsidRPr="00DE499C">
        <w:t>is primarily based on dynamic olfactometry, which remains the reference method for determining odour concentration</w:t>
      </w:r>
      <w:r w:rsidR="00DE499C">
        <w:t xml:space="preserve"> (C</w:t>
      </w:r>
      <w:r w:rsidR="00DE499C">
        <w:rPr>
          <w:vertAlign w:val="subscript"/>
        </w:rPr>
        <w:t>od</w:t>
      </w:r>
      <w:r w:rsidR="00DE499C">
        <w:t>)</w:t>
      </w:r>
      <w:r w:rsidR="00B8165A">
        <w:t xml:space="preserve"> </w:t>
      </w:r>
      <w:sdt>
        <w:sdtPr>
          <w:rPr>
            <w:rFonts w:cs="Arial"/>
            <w:color w:val="000000"/>
          </w:rPr>
          <w:tag w:val="MENDELEY_CITATION_v3_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"/>
          <w:id w:val="2034680052"/>
          <w:placeholder>
            <w:docPart w:val="DefaultPlaceholder_-1854013440"/>
          </w:placeholder>
        </w:sdtPr>
        <w:sdtContent>
          <w:r w:rsidR="00B91F21" w:rsidRPr="00B91F21">
            <w:rPr>
              <w:rFonts w:cs="Arial"/>
              <w:color w:val="000000"/>
            </w:rPr>
            <w:t xml:space="preserve">(Brinkmann </w:t>
          </w:r>
          <w:r w:rsidR="00B91F21" w:rsidRPr="00B91F21">
            <w:rPr>
              <w:rFonts w:cs="Arial"/>
              <w:i/>
              <w:iCs/>
              <w:color w:val="000000"/>
            </w:rPr>
            <w:t>et al.</w:t>
          </w:r>
          <w:r w:rsidR="00B91F21" w:rsidRPr="00B91F21">
            <w:rPr>
              <w:rFonts w:cs="Arial"/>
              <w:color w:val="000000"/>
            </w:rPr>
            <w:t>, 2018)</w:t>
          </w:r>
        </w:sdtContent>
      </w:sdt>
      <w:r w:rsidR="00DE499C">
        <w:t xml:space="preserve">. </w:t>
      </w:r>
      <w:r w:rsidR="00DE499C" w:rsidRPr="00DE499C">
        <w:t xml:space="preserve">Because the method is based on direct human perception, occupational </w:t>
      </w:r>
      <w:r w:rsidR="00DF72DF">
        <w:t>health</w:t>
      </w:r>
      <w:r w:rsidR="00DF72DF" w:rsidRPr="00DE499C">
        <w:t xml:space="preserve"> </w:t>
      </w:r>
      <w:r w:rsidR="00DE499C" w:rsidRPr="00DE499C">
        <w:t>is an intrinsic part of the measurement process rather than a secondary issue</w:t>
      </w:r>
      <w:r w:rsidR="00B91F21">
        <w:t xml:space="preserve">, as highlighted in </w:t>
      </w:r>
      <w:sdt>
        <w:sdtPr>
          <w:rPr>
            <w:rFonts w:cs="Arial"/>
            <w:color w:val="000000"/>
          </w:rPr>
          <w:tag w:val="MENDELEY_CITATION_v3_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"/>
          <w:id w:val="-256291409"/>
          <w:placeholder>
            <w:docPart w:val="DefaultPlaceholder_-1854013440"/>
          </w:placeholder>
        </w:sdtPr>
        <w:sdtContent>
          <w:r w:rsidR="00B91F21" w:rsidRPr="00B91F21">
            <w:rPr>
              <w:rFonts w:cs="Arial"/>
              <w:color w:val="000000"/>
            </w:rPr>
            <w:t>EN 13725:2022, 2022</w:t>
          </w:r>
        </w:sdtContent>
      </w:sdt>
      <w:r w:rsidR="00DE499C" w:rsidRPr="00DE499C">
        <w:t>.</w:t>
      </w:r>
      <w:r w:rsidR="00DE499C">
        <w:t xml:space="preserve"> </w:t>
      </w:r>
      <w:r w:rsidR="00F470E9" w:rsidRPr="00DE499C">
        <w:t>The occupational exposure pattern of olfactometric examiners is unusual from an industrial hygiene perspective. Exposure is intermittent and short in duration: panel sessions are limited</w:t>
      </w:r>
      <w:r w:rsidR="00B8165A">
        <w:t xml:space="preserve"> to avoid nose fatigue</w:t>
      </w:r>
      <w:r w:rsidR="00F470E9" w:rsidRPr="00DE499C">
        <w:t xml:space="preserve">, individual presentations last only a few seconds, and assessors are not expected to perform unrestricted daily testing. However, the inhaled gas is sampled directly at the emission source and is not attenuated by atmospheric dispersion before analysis. In addition, the usual </w:t>
      </w:r>
      <w:r w:rsidR="00693D8A">
        <w:t xml:space="preserve">control and protection </w:t>
      </w:r>
      <w:r w:rsidR="00F470E9">
        <w:t>strategies are</w:t>
      </w:r>
      <w:r w:rsidR="00F470E9" w:rsidRPr="00DE499C">
        <w:t xml:space="preserve"> difficult to apply in </w:t>
      </w:r>
      <w:r w:rsidR="00693D8A">
        <w:t>their</w:t>
      </w:r>
      <w:r w:rsidR="00693D8A" w:rsidRPr="00DE499C">
        <w:t xml:space="preserve"> </w:t>
      </w:r>
      <w:r w:rsidR="00F470E9" w:rsidRPr="00DE499C">
        <w:t xml:space="preserve">conventional form, because sample modification, isolation, and respiratory protection are largely incompatible with the analytical objective. </w:t>
      </w:r>
      <w:r w:rsidR="00BB01B6" w:rsidRPr="00BB01B6">
        <w:t xml:space="preserve">This explains why this topic requires ongoing attention and can be explored in greater depth from scientific, methodological and practical standpoints, particularly </w:t>
      </w:r>
      <w:proofErr w:type="gramStart"/>
      <w:r w:rsidR="00BB01B6" w:rsidRPr="00BB01B6">
        <w:t>with regard to</w:t>
      </w:r>
      <w:proofErr w:type="gramEnd"/>
      <w:r w:rsidR="00BB01B6" w:rsidRPr="00BB01B6">
        <w:t xml:space="preserve"> the execution of olfactometric analyses.</w:t>
      </w:r>
    </w:p>
    <w:p w14:paraId="430FCC41" w14:textId="7BCDBA02" w:rsidR="00DE499C" w:rsidRDefault="004674FC" w:rsidP="00E462F5">
      <w:pPr>
        <w:pStyle w:val="CETBodytext"/>
        <w:rPr>
          <w:lang w:val="en-GB"/>
        </w:rPr>
      </w:pPr>
      <w:r w:rsidRPr="004F0976">
        <w:rPr>
          <w:lang w:val="en-GB"/>
        </w:rPr>
        <w:t xml:space="preserve">Considering </w:t>
      </w:r>
      <w:r w:rsidR="00F470E9">
        <w:rPr>
          <w:lang w:val="en-GB"/>
        </w:rPr>
        <w:t>all these aspects</w:t>
      </w:r>
      <w:r w:rsidRPr="004F0976">
        <w:rPr>
          <w:lang w:val="en-GB"/>
        </w:rPr>
        <w:t xml:space="preserve">, </w:t>
      </w:r>
      <w:r w:rsidR="00DE499C">
        <w:rPr>
          <w:lang w:val="en-GB"/>
        </w:rPr>
        <w:t>r</w:t>
      </w:r>
      <w:r w:rsidR="00DE499C" w:rsidRPr="00DE499C">
        <w:rPr>
          <w:lang w:val="en-GB"/>
        </w:rPr>
        <w:t xml:space="preserve">ecent </w:t>
      </w:r>
      <w:r w:rsidR="000E0F2F" w:rsidRPr="00DE499C">
        <w:rPr>
          <w:lang w:val="en-GB"/>
        </w:rPr>
        <w:t>studies</w:t>
      </w:r>
      <w:r w:rsidR="00DE499C" w:rsidRPr="00DE499C">
        <w:rPr>
          <w:lang w:val="en-GB"/>
        </w:rPr>
        <w:t xml:space="preserve"> have </w:t>
      </w:r>
      <w:r w:rsidR="000E0F2F">
        <w:rPr>
          <w:lang w:val="en-GB"/>
        </w:rPr>
        <w:t>investigated</w:t>
      </w:r>
      <w:r w:rsidR="00DE499C" w:rsidRPr="00DE499C">
        <w:rPr>
          <w:lang w:val="en-GB"/>
        </w:rPr>
        <w:t xml:space="preserve"> this issue in detail</w:t>
      </w:r>
      <w:r w:rsidR="000E0F2F">
        <w:rPr>
          <w:lang w:val="en-GB"/>
        </w:rPr>
        <w:t>. T</w:t>
      </w:r>
      <w:r w:rsidR="00DE499C">
        <w:rPr>
          <w:lang w:val="en-GB"/>
        </w:rPr>
        <w:t xml:space="preserve">hese </w:t>
      </w:r>
      <w:r w:rsidR="003E2536">
        <w:rPr>
          <w:lang w:val="en-GB"/>
        </w:rPr>
        <w:t xml:space="preserve">works </w:t>
      </w:r>
      <w:r w:rsidRPr="004F0976">
        <w:rPr>
          <w:lang w:val="en-GB"/>
        </w:rPr>
        <w:t xml:space="preserve">have shown that, in </w:t>
      </w:r>
      <w:r w:rsidR="006F619D">
        <w:rPr>
          <w:lang w:val="en-GB"/>
        </w:rPr>
        <w:t>typical real-case scenario</w:t>
      </w:r>
      <w:r w:rsidR="00DF72DF">
        <w:rPr>
          <w:lang w:val="en-GB"/>
        </w:rPr>
        <w:t>s</w:t>
      </w:r>
      <w:r w:rsidR="00BB01B6">
        <w:rPr>
          <w:lang w:val="en-GB"/>
        </w:rPr>
        <w:t xml:space="preserve"> </w:t>
      </w:r>
      <w:r w:rsidR="00693D8A">
        <w:rPr>
          <w:lang w:val="en-GB"/>
        </w:rPr>
        <w:t>involving</w:t>
      </w:r>
      <w:r w:rsidR="00693D8A" w:rsidRPr="004F0976">
        <w:rPr>
          <w:lang w:val="en-GB"/>
        </w:rPr>
        <w:t xml:space="preserve"> </w:t>
      </w:r>
      <w:r w:rsidRPr="004F0976">
        <w:rPr>
          <w:lang w:val="en-GB"/>
        </w:rPr>
        <w:t>olfactometric samples, no substantial occupational criticalities emerge for examiners</w:t>
      </w:r>
      <w:r w:rsidR="00BB01B6">
        <w:rPr>
          <w:lang w:val="en-GB"/>
        </w:rPr>
        <w:t xml:space="preserve">. </w:t>
      </w:r>
      <w:r w:rsidR="00BB01B6" w:rsidRPr="00BB01B6">
        <w:rPr>
          <w:lang w:val="en-GB"/>
        </w:rPr>
        <w:t>This behaviour can be</w:t>
      </w:r>
      <w:r w:rsidR="00BB01B6">
        <w:rPr>
          <w:lang w:val="en-GB"/>
        </w:rPr>
        <w:t xml:space="preserve"> </w:t>
      </w:r>
      <w:r w:rsidR="00693D8A">
        <w:rPr>
          <w:lang w:val="en-GB"/>
        </w:rPr>
        <w:t>reasonably</w:t>
      </w:r>
      <w:r w:rsidR="00693D8A" w:rsidRPr="00BB01B6">
        <w:rPr>
          <w:lang w:val="en-GB"/>
        </w:rPr>
        <w:t xml:space="preserve"> </w:t>
      </w:r>
      <w:r w:rsidR="00BB01B6" w:rsidRPr="00BB01B6">
        <w:rPr>
          <w:lang w:val="en-GB"/>
        </w:rPr>
        <w:t xml:space="preserve">attributed to the fact that, for odorous compounds, the olfactory threshold is typically much lower than the </w:t>
      </w:r>
      <w:r w:rsidR="00DF72DF">
        <w:rPr>
          <w:lang w:val="en-GB"/>
        </w:rPr>
        <w:t xml:space="preserve">occupational </w:t>
      </w:r>
      <w:r w:rsidR="00BB01B6" w:rsidRPr="00BB01B6">
        <w:rPr>
          <w:lang w:val="en-GB"/>
        </w:rPr>
        <w:t xml:space="preserve">exposure limits established </w:t>
      </w:r>
      <w:r w:rsidR="00DF72DF">
        <w:rPr>
          <w:lang w:val="en-GB"/>
        </w:rPr>
        <w:t>to protect</w:t>
      </w:r>
      <w:r w:rsidR="00DF72DF" w:rsidRPr="00BB01B6">
        <w:rPr>
          <w:lang w:val="en-GB"/>
        </w:rPr>
        <w:t xml:space="preserve"> </w:t>
      </w:r>
      <w:r w:rsidR="00BB01B6" w:rsidRPr="00BB01B6">
        <w:rPr>
          <w:lang w:val="en-GB"/>
        </w:rPr>
        <w:t>worker</w:t>
      </w:r>
      <w:r w:rsidR="00C75035">
        <w:rPr>
          <w:lang w:val="en-GB"/>
        </w:rPr>
        <w:t>s’ health</w:t>
      </w:r>
      <w:r w:rsidR="00BB01B6" w:rsidRPr="00BB01B6">
        <w:rPr>
          <w:lang w:val="en-GB"/>
        </w:rPr>
        <w:t xml:space="preserve">. </w:t>
      </w:r>
      <w:r w:rsidR="000B5D83" w:rsidRPr="004F0976">
        <w:rPr>
          <w:lang w:val="en-GB"/>
        </w:rPr>
        <w:t xml:space="preserve">The recent studies, based </w:t>
      </w:r>
      <w:r w:rsidR="00C75035">
        <w:rPr>
          <w:lang w:val="en-GB"/>
        </w:rPr>
        <w:t>either</w:t>
      </w:r>
      <w:r w:rsidR="00C75035" w:rsidRPr="004F0976">
        <w:rPr>
          <w:lang w:val="en-GB"/>
        </w:rPr>
        <w:t xml:space="preserve"> </w:t>
      </w:r>
      <w:r w:rsidR="000B5D83" w:rsidRPr="004F0976">
        <w:rPr>
          <w:lang w:val="en-GB"/>
        </w:rPr>
        <w:t>on specific categories of sources/industries or entire working activit</w:t>
      </w:r>
      <w:r w:rsidR="00C75035">
        <w:rPr>
          <w:lang w:val="en-GB"/>
        </w:rPr>
        <w:t>ies</w:t>
      </w:r>
      <w:r w:rsidR="000B5D83" w:rsidRPr="004F0976">
        <w:rPr>
          <w:lang w:val="en-GB"/>
        </w:rPr>
        <w:t xml:space="preserve"> </w:t>
      </w:r>
      <w:r w:rsidR="000E0F2F">
        <w:rPr>
          <w:lang w:val="en-GB"/>
        </w:rPr>
        <w:t>and</w:t>
      </w:r>
      <w:r w:rsidR="000B5D83" w:rsidRPr="004F0976">
        <w:rPr>
          <w:lang w:val="en-GB"/>
        </w:rPr>
        <w:t xml:space="preserve"> applying probabilistic approaches, highlighted th</w:t>
      </w:r>
      <w:r w:rsidR="00C75035">
        <w:rPr>
          <w:lang w:val="en-GB"/>
        </w:rPr>
        <w:t>at</w:t>
      </w:r>
      <w:r w:rsidR="000B5D83" w:rsidRPr="004F0976">
        <w:rPr>
          <w:lang w:val="en-GB"/>
        </w:rPr>
        <w:t xml:space="preserve"> </w:t>
      </w:r>
      <w:r w:rsidR="000E0F2F">
        <w:rPr>
          <w:lang w:val="en-GB"/>
        </w:rPr>
        <w:t xml:space="preserve">panellists’ exposure </w:t>
      </w:r>
      <w:r w:rsidR="000B5D83" w:rsidRPr="004F0976">
        <w:rPr>
          <w:lang w:val="en-GB"/>
        </w:rPr>
        <w:t xml:space="preserve">risk </w:t>
      </w:r>
      <w:r w:rsidR="00F470E9">
        <w:rPr>
          <w:lang w:val="en-GB"/>
        </w:rPr>
        <w:t>ca</w:t>
      </w:r>
      <w:r w:rsidR="00BB01B6">
        <w:rPr>
          <w:lang w:val="en-GB"/>
        </w:rPr>
        <w:t>n</w:t>
      </w:r>
      <w:r w:rsidR="00F470E9">
        <w:rPr>
          <w:lang w:val="en-GB"/>
        </w:rPr>
        <w:t xml:space="preserve"> be considered, </w:t>
      </w:r>
      <w:r w:rsidR="00BB01B6">
        <w:rPr>
          <w:lang w:val="en-GB"/>
        </w:rPr>
        <w:t xml:space="preserve">even </w:t>
      </w:r>
      <w:r w:rsidR="000B5D83" w:rsidRPr="004F0976">
        <w:rPr>
          <w:lang w:val="en-GB"/>
        </w:rPr>
        <w:t>under conservative assumptions</w:t>
      </w:r>
      <w:r w:rsidR="00F470E9">
        <w:rPr>
          <w:lang w:val="en-GB"/>
        </w:rPr>
        <w:t xml:space="preserve">, </w:t>
      </w:r>
      <w:r w:rsidR="000E0F2F">
        <w:rPr>
          <w:lang w:val="en-GB"/>
        </w:rPr>
        <w:t>negligible</w:t>
      </w:r>
      <w:r w:rsidR="005C2767" w:rsidRPr="004F0976">
        <w:rPr>
          <w:lang w:val="en-GB"/>
        </w:rPr>
        <w:t xml:space="preserve"> </w:t>
      </w:r>
      <w:sdt>
        <w:sdtPr>
          <w:rPr>
            <w:rFonts w:cs="Arial"/>
            <w:color w:val="000000"/>
            <w:lang w:val="en-GB"/>
          </w:rPr>
          <w:tag w:val="MENDELEY_CITATION_v3_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"/>
          <w:id w:val="-30267779"/>
          <w:placeholder>
            <w:docPart w:val="B4CB0546B1064A6B83EAA0E0F10A0E90"/>
          </w:placeholder>
        </w:sdtPr>
        <w:sdtContent>
          <w:r w:rsidR="00B91F21" w:rsidRPr="00B91F21">
            <w:rPr>
              <w:rFonts w:cs="Arial"/>
              <w:color w:val="000000"/>
            </w:rPr>
            <w:t xml:space="preserve">(Davoli </w:t>
          </w:r>
          <w:r w:rsidR="00B91F21" w:rsidRPr="00B91F21">
            <w:rPr>
              <w:rFonts w:cs="Arial"/>
              <w:i/>
              <w:iCs/>
              <w:color w:val="000000"/>
            </w:rPr>
            <w:t>et al.</w:t>
          </w:r>
          <w:r w:rsidR="00B91F21" w:rsidRPr="00B91F21">
            <w:rPr>
              <w:rFonts w:cs="Arial"/>
              <w:color w:val="000000"/>
            </w:rPr>
            <w:t xml:space="preserve">, 2012, 2016; Polvara, Ashari, </w:t>
          </w:r>
          <w:r w:rsidR="00B91F21" w:rsidRPr="00B91F21">
            <w:rPr>
              <w:rFonts w:cs="Arial"/>
              <w:i/>
              <w:iCs/>
              <w:color w:val="000000"/>
            </w:rPr>
            <w:t>et al.</w:t>
          </w:r>
          <w:r w:rsidR="00B91F21" w:rsidRPr="00B91F21">
            <w:rPr>
              <w:rFonts w:cs="Arial"/>
              <w:color w:val="000000"/>
            </w:rPr>
            <w:t xml:space="preserve">, 2021; Polvara, Capelli and Sironi, 2021; Spinazzè </w:t>
          </w:r>
          <w:r w:rsidR="00B91F21" w:rsidRPr="00B91F21">
            <w:rPr>
              <w:rFonts w:cs="Arial"/>
              <w:i/>
              <w:iCs/>
              <w:color w:val="000000"/>
            </w:rPr>
            <w:t>et al.</w:t>
          </w:r>
          <w:r w:rsidR="00B91F21" w:rsidRPr="00B91F21">
            <w:rPr>
              <w:rFonts w:cs="Arial"/>
              <w:color w:val="000000"/>
            </w:rPr>
            <w:t xml:space="preserve">, 2022; Polvara </w:t>
          </w:r>
          <w:r w:rsidR="00B91F21" w:rsidRPr="00B91F21">
            <w:rPr>
              <w:rFonts w:cs="Arial"/>
              <w:i/>
              <w:iCs/>
              <w:color w:val="000000"/>
            </w:rPr>
            <w:t>et al.</w:t>
          </w:r>
          <w:r w:rsidR="00B91F21" w:rsidRPr="00B91F21">
            <w:rPr>
              <w:rFonts w:cs="Arial"/>
              <w:color w:val="000000"/>
            </w:rPr>
            <w:t>, 2024)</w:t>
          </w:r>
        </w:sdtContent>
      </w:sdt>
      <w:r w:rsidR="000B5D83" w:rsidRPr="004F0976">
        <w:rPr>
          <w:lang w:val="en-GB"/>
        </w:rPr>
        <w:t xml:space="preserve">. Taken together, these findings suggest that, for </w:t>
      </w:r>
      <w:r w:rsidR="00BB01B6">
        <w:rPr>
          <w:lang w:val="en-GB"/>
        </w:rPr>
        <w:lastRenderedPageBreak/>
        <w:t>generic</w:t>
      </w:r>
      <w:r w:rsidR="00BB01B6" w:rsidRPr="004F0976">
        <w:rPr>
          <w:lang w:val="en-GB"/>
        </w:rPr>
        <w:t xml:space="preserve"> </w:t>
      </w:r>
      <w:r w:rsidR="000B5D83" w:rsidRPr="004F0976">
        <w:rPr>
          <w:lang w:val="en-GB"/>
        </w:rPr>
        <w:t xml:space="preserve">odorous emissions containing VOCs, the human nose can act as an effective first-line self-protection system during olfactometric analyses. </w:t>
      </w:r>
    </w:p>
    <w:p w14:paraId="399E1092" w14:textId="1AD1AEB2" w:rsidR="003809A9" w:rsidRDefault="00DE499C" w:rsidP="00E462F5">
      <w:pPr>
        <w:pStyle w:val="CETBodytext"/>
        <w:rPr>
          <w:lang w:val="en-GB"/>
        </w:rPr>
      </w:pPr>
      <w:r w:rsidRPr="00DE499C">
        <w:rPr>
          <w:lang w:val="en-GB"/>
        </w:rPr>
        <w:t>Within this general framework</w:t>
      </w:r>
      <w:r w:rsidR="000B5D83" w:rsidRPr="004F0976">
        <w:rPr>
          <w:lang w:val="en-GB"/>
        </w:rPr>
        <w:t xml:space="preserve">, </w:t>
      </w:r>
      <w:r>
        <w:rPr>
          <w:lang w:val="en-GB"/>
        </w:rPr>
        <w:t>the</w:t>
      </w:r>
      <w:r w:rsidR="000B5D83" w:rsidRPr="004F0976">
        <w:rPr>
          <w:lang w:val="en-GB"/>
        </w:rPr>
        <w:t xml:space="preserve"> positive </w:t>
      </w:r>
      <w:r w:rsidR="00F470E9" w:rsidRPr="004F0976">
        <w:rPr>
          <w:lang w:val="en-GB"/>
        </w:rPr>
        <w:t>context</w:t>
      </w:r>
      <w:r w:rsidR="000B5D83" w:rsidRPr="004F0976">
        <w:rPr>
          <w:lang w:val="en-GB"/>
        </w:rPr>
        <w:t xml:space="preserve"> </w:t>
      </w:r>
      <w:r>
        <w:rPr>
          <w:lang w:val="en-GB"/>
        </w:rPr>
        <w:t xml:space="preserve">and </w:t>
      </w:r>
      <w:r w:rsidR="00C75035">
        <w:rPr>
          <w:lang w:val="en-GB"/>
        </w:rPr>
        <w:t xml:space="preserve">the </w:t>
      </w:r>
      <w:r>
        <w:rPr>
          <w:lang w:val="en-GB"/>
        </w:rPr>
        <w:t xml:space="preserve">results presented in the literature </w:t>
      </w:r>
      <w:r w:rsidR="000B5D83" w:rsidRPr="004F0976">
        <w:rPr>
          <w:lang w:val="en-GB"/>
        </w:rPr>
        <w:t xml:space="preserve">do not resolve the entire problem. </w:t>
      </w:r>
      <w:r w:rsidR="00F470E9">
        <w:rPr>
          <w:lang w:val="en-GB"/>
        </w:rPr>
        <w:t xml:space="preserve">Indeed, </w:t>
      </w:r>
      <w:r w:rsidR="000F2D2B" w:rsidRPr="000F2D2B">
        <w:rPr>
          <w:lang w:val="en-GB"/>
        </w:rPr>
        <w:t>critical points may arise for emissions with limited concentrations of readily odorous VOCs and inorganic volatile odorants.</w:t>
      </w:r>
      <w:r w:rsidR="00F470E9">
        <w:rPr>
          <w:lang w:val="en-GB"/>
        </w:rPr>
        <w:t xml:space="preserve"> </w:t>
      </w:r>
      <w:r w:rsidR="000F2D2B" w:rsidRPr="000F2D2B">
        <w:rPr>
          <w:lang w:val="en-GB"/>
        </w:rPr>
        <w:t>Combustion stack emissions are representative of this condition, since thermal oxidation generally reduces the concentration of readily odorous organic compounds in the emitted gas</w:t>
      </w:r>
      <w:r w:rsidR="00F470E9">
        <w:rPr>
          <w:lang w:val="en-GB"/>
        </w:rPr>
        <w:t xml:space="preserve">. </w:t>
      </w:r>
      <w:r w:rsidR="00BB01B6">
        <w:rPr>
          <w:lang w:val="en-GB"/>
        </w:rPr>
        <w:t>Specifically</w:t>
      </w:r>
      <w:r w:rsidR="00F470E9">
        <w:rPr>
          <w:lang w:val="en-GB"/>
        </w:rPr>
        <w:t xml:space="preserve"> in</w:t>
      </w:r>
      <w:r w:rsidR="008927F7" w:rsidRPr="004F0976">
        <w:rPr>
          <w:lang w:val="en-GB"/>
        </w:rPr>
        <w:t xml:space="preserve"> monitoring and regulatory control programmes, point-source emissions</w:t>
      </w:r>
      <w:r w:rsidR="00BB01B6">
        <w:rPr>
          <w:lang w:val="en-GB"/>
        </w:rPr>
        <w:t>,</w:t>
      </w:r>
      <w:r w:rsidR="008927F7" w:rsidRPr="004F0976">
        <w:rPr>
          <w:lang w:val="en-GB"/>
        </w:rPr>
        <w:t xml:space="preserve"> such as combustion stack emissions</w:t>
      </w:r>
      <w:r w:rsidR="00BB01B6">
        <w:rPr>
          <w:lang w:val="en-GB"/>
        </w:rPr>
        <w:t>,</w:t>
      </w:r>
      <w:r w:rsidR="008927F7" w:rsidRPr="004F0976">
        <w:rPr>
          <w:lang w:val="en-GB"/>
        </w:rPr>
        <w:t xml:space="preserve"> are frequently included in olfactometric assessment activities. While these sources are often of limited interest from a strictly odour-related standpoint, due to both the composition</w:t>
      </w:r>
      <w:r w:rsidR="00403C9D">
        <w:rPr>
          <w:lang w:val="en-GB"/>
        </w:rPr>
        <w:t xml:space="preserve"> </w:t>
      </w:r>
      <w:r w:rsidR="008927F7" w:rsidRPr="004F0976">
        <w:rPr>
          <w:lang w:val="en-GB"/>
        </w:rPr>
        <w:t xml:space="preserve">of the emitted gas stream </w:t>
      </w:r>
      <w:r w:rsidR="00403C9D" w:rsidRPr="00403C9D">
        <w:rPr>
          <w:lang w:val="en-GB"/>
        </w:rPr>
        <w:t>(</w:t>
      </w:r>
      <w:r w:rsidR="00403C9D">
        <w:rPr>
          <w:lang w:val="en-GB"/>
        </w:rPr>
        <w:t xml:space="preserve">absence </w:t>
      </w:r>
      <w:r w:rsidR="00403C9D" w:rsidRPr="00403C9D">
        <w:rPr>
          <w:lang w:val="en-GB"/>
        </w:rPr>
        <w:t>or very low levels of VOCs)</w:t>
      </w:r>
      <w:r w:rsidR="00403C9D" w:rsidRPr="004F0976">
        <w:rPr>
          <w:lang w:val="en-GB"/>
        </w:rPr>
        <w:t xml:space="preserve"> </w:t>
      </w:r>
      <w:r w:rsidR="008927F7" w:rsidRPr="004F0976">
        <w:rPr>
          <w:lang w:val="en-GB"/>
        </w:rPr>
        <w:t>and the structural</w:t>
      </w:r>
      <w:r w:rsidR="00403C9D">
        <w:rPr>
          <w:lang w:val="en-GB"/>
        </w:rPr>
        <w:t>/</w:t>
      </w:r>
      <w:r w:rsidR="008927F7" w:rsidRPr="004F0976">
        <w:rPr>
          <w:lang w:val="en-GB"/>
        </w:rPr>
        <w:t xml:space="preserve">geometric </w:t>
      </w:r>
      <w:r w:rsidR="00403C9D">
        <w:rPr>
          <w:lang w:val="en-GB"/>
        </w:rPr>
        <w:t>design</w:t>
      </w:r>
      <w:r w:rsidR="008927F7" w:rsidRPr="004F0976">
        <w:rPr>
          <w:lang w:val="en-GB"/>
        </w:rPr>
        <w:t xml:space="preserve"> of the emission point, </w:t>
      </w:r>
      <w:r w:rsidR="00E462F5" w:rsidRPr="004F0976">
        <w:rPr>
          <w:lang w:val="en-GB"/>
        </w:rPr>
        <w:t>they may still deserve careful attention in terms of occupational exposure risk</w:t>
      </w:r>
      <w:r w:rsidR="00403C9D">
        <w:rPr>
          <w:lang w:val="en-GB"/>
        </w:rPr>
        <w:t xml:space="preserve"> </w:t>
      </w:r>
      <w:r w:rsidR="00DF72DF">
        <w:rPr>
          <w:lang w:val="en-GB"/>
        </w:rPr>
        <w:t xml:space="preserve">for </w:t>
      </w:r>
      <w:r w:rsidR="00403C9D">
        <w:rPr>
          <w:lang w:val="en-GB"/>
        </w:rPr>
        <w:t>examiners involved in the measurements</w:t>
      </w:r>
      <w:r w:rsidR="008927F7" w:rsidRPr="004F0976">
        <w:rPr>
          <w:lang w:val="en-GB"/>
        </w:rPr>
        <w:t>.</w:t>
      </w:r>
      <w:r>
        <w:rPr>
          <w:lang w:val="en-GB"/>
        </w:rPr>
        <w:t xml:space="preserve"> </w:t>
      </w:r>
      <w:r w:rsidRPr="00DE499C">
        <w:rPr>
          <w:lang w:val="en-GB"/>
        </w:rPr>
        <w:t>From a chemical standpoint, gas generated under excess-air combustion conditions is mainly composed of major inorganic products such as CO</w:t>
      </w:r>
      <w:r w:rsidRPr="00403C9D">
        <w:rPr>
          <w:vertAlign w:val="subscript"/>
          <w:lang w:val="en-GB"/>
        </w:rPr>
        <w:t>2</w:t>
      </w:r>
      <w:r w:rsidRPr="00DE499C">
        <w:rPr>
          <w:lang w:val="en-GB"/>
        </w:rPr>
        <w:t>, H</w:t>
      </w:r>
      <w:r w:rsidRPr="00403C9D">
        <w:rPr>
          <w:vertAlign w:val="subscript"/>
          <w:lang w:val="en-GB"/>
        </w:rPr>
        <w:t>2</w:t>
      </w:r>
      <w:r w:rsidRPr="00DE499C">
        <w:rPr>
          <w:lang w:val="en-GB"/>
        </w:rPr>
        <w:t>O, N</w:t>
      </w:r>
      <w:r w:rsidRPr="00403C9D">
        <w:rPr>
          <w:vertAlign w:val="subscript"/>
          <w:lang w:val="en-GB"/>
        </w:rPr>
        <w:t>2</w:t>
      </w:r>
      <w:r w:rsidRPr="00DE499C">
        <w:rPr>
          <w:lang w:val="en-GB"/>
        </w:rPr>
        <w:t xml:space="preserve"> and O</w:t>
      </w:r>
      <w:r w:rsidRPr="00403C9D">
        <w:rPr>
          <w:vertAlign w:val="subscript"/>
          <w:lang w:val="en-GB"/>
        </w:rPr>
        <w:t>2</w:t>
      </w:r>
      <w:r w:rsidRPr="00DE499C">
        <w:rPr>
          <w:lang w:val="en-GB"/>
        </w:rPr>
        <w:t>, with variable concentrations of SO</w:t>
      </w:r>
      <w:r w:rsidRPr="003C39E7">
        <w:rPr>
          <w:vertAlign w:val="subscript"/>
          <w:lang w:val="en-GB"/>
        </w:rPr>
        <w:t>2</w:t>
      </w:r>
      <w:r w:rsidRPr="00DE499C">
        <w:rPr>
          <w:lang w:val="en-GB"/>
        </w:rPr>
        <w:t>, NO</w:t>
      </w:r>
      <w:r w:rsidRPr="003C39E7">
        <w:rPr>
          <w:vertAlign w:val="subscript"/>
          <w:lang w:val="en-GB"/>
        </w:rPr>
        <w:t>x</w:t>
      </w:r>
      <w:r w:rsidRPr="00DE499C">
        <w:rPr>
          <w:lang w:val="en-GB"/>
        </w:rPr>
        <w:t xml:space="preserve"> and CO. In many cases, readily perceivable VOC odorants are not the dominant fraction of the mixtur</w:t>
      </w:r>
      <w:r>
        <w:rPr>
          <w:lang w:val="en-GB"/>
        </w:rPr>
        <w:t xml:space="preserve">e, </w:t>
      </w:r>
      <w:r w:rsidR="008927F7" w:rsidRPr="004F0976">
        <w:rPr>
          <w:lang w:val="en-GB"/>
        </w:rPr>
        <w:t>result</w:t>
      </w:r>
      <w:r>
        <w:rPr>
          <w:lang w:val="en-GB"/>
        </w:rPr>
        <w:t>ing</w:t>
      </w:r>
      <w:r w:rsidR="008927F7" w:rsidRPr="004F0976">
        <w:rPr>
          <w:lang w:val="en-GB"/>
        </w:rPr>
        <w:t xml:space="preserve"> in low</w:t>
      </w:r>
      <w:r w:rsidR="00F42276">
        <w:rPr>
          <w:lang w:val="en-GB"/>
        </w:rPr>
        <w:t>er</w:t>
      </w:r>
      <w:r w:rsidR="008927F7" w:rsidRPr="004F0976">
        <w:rPr>
          <w:lang w:val="en-GB"/>
        </w:rPr>
        <w:t xml:space="preserve"> odour concentrations. Under these conditions, olfactometric analys</w:t>
      </w:r>
      <w:r w:rsidR="00D61A1C">
        <w:rPr>
          <w:lang w:val="en-GB"/>
        </w:rPr>
        <w:t>e</w:t>
      </w:r>
      <w:r w:rsidR="008927F7" w:rsidRPr="004F0976">
        <w:rPr>
          <w:lang w:val="en-GB"/>
        </w:rPr>
        <w:t xml:space="preserve">s may require examiners to reach low dilution levels, corresponding to </w:t>
      </w:r>
      <w:r w:rsidR="00C75035">
        <w:rPr>
          <w:lang w:val="en-GB"/>
        </w:rPr>
        <w:t xml:space="preserve">exposure </w:t>
      </w:r>
      <w:r w:rsidR="00D61A1C">
        <w:rPr>
          <w:lang w:val="en-GB"/>
        </w:rPr>
        <w:t xml:space="preserve">to </w:t>
      </w:r>
      <w:r w:rsidR="008927F7" w:rsidRPr="004F0976">
        <w:rPr>
          <w:lang w:val="en-GB"/>
        </w:rPr>
        <w:t xml:space="preserve">relatively high concentrations of the chemical constituents in the sample. </w:t>
      </w:r>
      <w:r w:rsidR="00E462F5" w:rsidRPr="004F0976">
        <w:rPr>
          <w:lang w:val="en-GB"/>
        </w:rPr>
        <w:t>This aspect becomes clearer when comparing occupational exposure limits (OEL</w:t>
      </w:r>
      <w:r w:rsidR="00DF72DF">
        <w:rPr>
          <w:lang w:val="en-GB"/>
        </w:rPr>
        <w:t>s</w:t>
      </w:r>
      <w:r w:rsidR="00E462F5" w:rsidRPr="004F0976">
        <w:rPr>
          <w:lang w:val="en-GB"/>
        </w:rPr>
        <w:t>) and odour thresholds (OT</w:t>
      </w:r>
      <w:r w:rsidR="00DF72DF">
        <w:rPr>
          <w:lang w:val="en-GB"/>
        </w:rPr>
        <w:t>s</w:t>
      </w:r>
      <w:r w:rsidR="00E462F5" w:rsidRPr="004F0976">
        <w:rPr>
          <w:lang w:val="en-GB"/>
        </w:rPr>
        <w:t>) for typical combustion-related compounds</w:t>
      </w:r>
      <w:r w:rsidR="003809A9">
        <w:rPr>
          <w:lang w:val="en-GB"/>
        </w:rPr>
        <w:t xml:space="preserve"> (</w:t>
      </w:r>
      <w:r w:rsidR="003809A9">
        <w:rPr>
          <w:lang w:val="en-GB"/>
        </w:rPr>
        <w:fldChar w:fldCharType="begin"/>
      </w:r>
      <w:r w:rsidR="003809A9">
        <w:rPr>
          <w:lang w:val="en-GB"/>
        </w:rPr>
        <w:instrText xml:space="preserve"> REF _Ref228095248 \h </w:instrText>
      </w:r>
      <w:r w:rsidR="003809A9">
        <w:rPr>
          <w:lang w:val="en-GB"/>
        </w:rPr>
      </w:r>
      <w:r w:rsidR="003809A9">
        <w:rPr>
          <w:lang w:val="en-GB"/>
        </w:rPr>
        <w:fldChar w:fldCharType="separate"/>
      </w:r>
      <w:r w:rsidR="00D03048" w:rsidRPr="004F0976">
        <w:t xml:space="preserve">Table </w:t>
      </w:r>
      <w:r w:rsidR="00D03048">
        <w:rPr>
          <w:noProof/>
        </w:rPr>
        <w:t>1</w:t>
      </w:r>
      <w:r w:rsidR="003809A9">
        <w:rPr>
          <w:lang w:val="en-GB"/>
        </w:rPr>
        <w:fldChar w:fldCharType="end"/>
      </w:r>
      <w:r w:rsidR="003809A9">
        <w:rPr>
          <w:lang w:val="en-GB"/>
        </w:rPr>
        <w:t>)</w:t>
      </w:r>
      <w:r w:rsidR="00E462F5" w:rsidRPr="004F0976">
        <w:rPr>
          <w:lang w:val="en-GB"/>
        </w:rPr>
        <w:t>.</w:t>
      </w:r>
    </w:p>
    <w:p w14:paraId="6D4D9D12" w14:textId="7BBCA1EB" w:rsidR="003809A9" w:rsidRPr="004F0976" w:rsidRDefault="003809A9" w:rsidP="003809A9">
      <w:pPr>
        <w:pStyle w:val="CETTabletitle"/>
      </w:pPr>
      <w:bookmarkStart w:id="1" w:name="_Ref228095248"/>
      <w:r w:rsidRPr="004F0976">
        <w:t xml:space="preserve">Table </w:t>
      </w:r>
      <w:r w:rsidRPr="004F0976">
        <w:fldChar w:fldCharType="begin"/>
      </w:r>
      <w:r w:rsidRPr="004F0976">
        <w:instrText xml:space="preserve"> SEQ Table \* ARABIC </w:instrText>
      </w:r>
      <w:r w:rsidRPr="004F0976">
        <w:fldChar w:fldCharType="separate"/>
      </w:r>
      <w:r w:rsidR="00D03048">
        <w:rPr>
          <w:noProof/>
        </w:rPr>
        <w:t>1</w:t>
      </w:r>
      <w:r w:rsidRPr="004F0976">
        <w:fldChar w:fldCharType="end"/>
      </w:r>
      <w:bookmarkEnd w:id="1"/>
      <w:r w:rsidRPr="004F0976">
        <w:t xml:space="preserve">: </w:t>
      </w:r>
      <w:r>
        <w:t>Odour threshold (OT</w:t>
      </w:r>
      <w:r w:rsidR="00DF72DF">
        <w:t>s</w:t>
      </w:r>
      <w:r>
        <w:t xml:space="preserve">) </w:t>
      </w:r>
      <w:r w:rsidR="00DF72DF" w:rsidRPr="00DF72DF">
        <w:t>and occupational exposure limits (OELs) for selected combustion-related compounds</w:t>
      </w:r>
      <w:r>
        <w:t>.</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198"/>
        <w:gridCol w:w="2199"/>
        <w:gridCol w:w="2195"/>
        <w:gridCol w:w="2195"/>
      </w:tblGrid>
      <w:tr w:rsidR="003809A9" w:rsidRPr="004F0976" w14:paraId="1C460066" w14:textId="77777777" w:rsidTr="00065F2E">
        <w:tc>
          <w:tcPr>
            <w:tcW w:w="1251" w:type="pct"/>
            <w:tcBorders>
              <w:top w:val="single" w:sz="12" w:space="0" w:color="008000"/>
              <w:bottom w:val="single" w:sz="6" w:space="0" w:color="008000"/>
            </w:tcBorders>
            <w:shd w:val="clear" w:color="auto" w:fill="FFFFFF"/>
            <w:vAlign w:val="center"/>
          </w:tcPr>
          <w:p w14:paraId="558FBAD7" w14:textId="77777777" w:rsidR="003809A9" w:rsidRPr="004F0976" w:rsidRDefault="003809A9" w:rsidP="00065F2E">
            <w:pPr>
              <w:pStyle w:val="CETBodytext"/>
              <w:jc w:val="center"/>
              <w:rPr>
                <w:lang w:val="en-GB"/>
              </w:rPr>
            </w:pPr>
            <w:r>
              <w:rPr>
                <w:lang w:val="en-GB"/>
              </w:rPr>
              <w:t>Compound</w:t>
            </w:r>
          </w:p>
        </w:tc>
        <w:tc>
          <w:tcPr>
            <w:tcW w:w="1251" w:type="pct"/>
            <w:tcBorders>
              <w:top w:val="single" w:sz="12" w:space="0" w:color="008000"/>
              <w:bottom w:val="single" w:sz="6" w:space="0" w:color="008000"/>
            </w:tcBorders>
            <w:shd w:val="clear" w:color="auto" w:fill="FFFFFF"/>
            <w:vAlign w:val="center"/>
          </w:tcPr>
          <w:p w14:paraId="05FFBB53" w14:textId="1CA93555" w:rsidR="003809A9" w:rsidRDefault="003809A9" w:rsidP="00065F2E">
            <w:pPr>
              <w:pStyle w:val="CETBodytext"/>
              <w:jc w:val="center"/>
              <w:rPr>
                <w:rFonts w:cs="Arial"/>
                <w:color w:val="000000"/>
                <w:lang w:val="en-GB"/>
              </w:rPr>
            </w:pPr>
            <w:r>
              <w:rPr>
                <w:lang w:val="en-GB"/>
              </w:rPr>
              <w:t>OT</w:t>
            </w:r>
            <w:r w:rsidR="00DF72DF">
              <w:rPr>
                <w:lang w:val="en-GB"/>
              </w:rPr>
              <w:t>s</w:t>
            </w:r>
            <w:r>
              <w:rPr>
                <w:lang w:val="en-GB"/>
              </w:rPr>
              <w:t xml:space="preserve"> from </w:t>
            </w:r>
            <w:sdt>
              <w:sdtPr>
                <w:rPr>
                  <w:rFonts w:cs="Arial"/>
                  <w:color w:val="000000"/>
                  <w:lang w:val="en-GB"/>
                </w:rPr>
                <w:tag w:val="MENDELEY_CITATION_v3_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"/>
                <w:id w:val="-628011540"/>
                <w:placeholder>
                  <w:docPart w:val="43A25E537FFB406DAF1FCD7A162D7457"/>
                </w:placeholder>
              </w:sdtPr>
              <w:sdtContent>
                <w:r w:rsidR="00B91F21" w:rsidRPr="00B91F21">
                  <w:rPr>
                    <w:rFonts w:cs="Arial"/>
                    <w:color w:val="000000"/>
                    <w:lang w:val="en-GB"/>
                  </w:rPr>
                  <w:t>Nagata, 2003</w:t>
                </w:r>
              </w:sdtContent>
            </w:sdt>
          </w:p>
          <w:p w14:paraId="3EC2243D" w14:textId="77777777" w:rsidR="003809A9" w:rsidRPr="004F0976" w:rsidRDefault="003809A9" w:rsidP="00065F2E">
            <w:pPr>
              <w:pStyle w:val="CETBodytext"/>
              <w:jc w:val="center"/>
              <w:rPr>
                <w:lang w:val="en-GB"/>
              </w:rPr>
            </w:pPr>
            <w:r>
              <w:rPr>
                <w:lang w:val="en-GB"/>
              </w:rPr>
              <w:t xml:space="preserve">[ppm] </w:t>
            </w:r>
          </w:p>
        </w:tc>
        <w:tc>
          <w:tcPr>
            <w:tcW w:w="1249" w:type="pct"/>
            <w:tcBorders>
              <w:top w:val="single" w:sz="12" w:space="0" w:color="008000"/>
              <w:bottom w:val="single" w:sz="6" w:space="0" w:color="008000"/>
            </w:tcBorders>
            <w:shd w:val="clear" w:color="auto" w:fill="FFFFFF"/>
            <w:vAlign w:val="center"/>
          </w:tcPr>
          <w:p w14:paraId="38F4FDC5" w14:textId="13092A48" w:rsidR="003809A9" w:rsidRPr="004F0976" w:rsidRDefault="003809A9" w:rsidP="00065F2E">
            <w:pPr>
              <w:pStyle w:val="CETBodytext"/>
              <w:jc w:val="center"/>
              <w:rPr>
                <w:lang w:val="en-GB"/>
              </w:rPr>
            </w:pPr>
            <w:r>
              <w:rPr>
                <w:lang w:val="en-GB"/>
              </w:rPr>
              <w:t>EU-OEL</w:t>
            </w:r>
            <w:r w:rsidR="00DF72DF">
              <w:rPr>
                <w:lang w:val="en-GB"/>
              </w:rPr>
              <w:t>s</w:t>
            </w:r>
            <w:r>
              <w:rPr>
                <w:lang w:val="en-GB"/>
              </w:rPr>
              <w:t xml:space="preserve"> </w:t>
            </w:r>
            <w:r>
              <w:rPr>
                <w:lang w:val="en-GB"/>
              </w:rPr>
              <w:br/>
              <w:t>[ppm]</w:t>
            </w:r>
          </w:p>
        </w:tc>
        <w:tc>
          <w:tcPr>
            <w:tcW w:w="1249" w:type="pct"/>
            <w:tcBorders>
              <w:top w:val="single" w:sz="12" w:space="0" w:color="008000"/>
              <w:bottom w:val="single" w:sz="6" w:space="0" w:color="008000"/>
            </w:tcBorders>
            <w:shd w:val="clear" w:color="auto" w:fill="FFFFFF"/>
          </w:tcPr>
          <w:p w14:paraId="29B83E97" w14:textId="1021016E" w:rsidR="003809A9" w:rsidRDefault="003809A9" w:rsidP="00065F2E">
            <w:pPr>
              <w:pStyle w:val="CETBodytext"/>
              <w:jc w:val="center"/>
              <w:rPr>
                <w:lang w:val="en-GB"/>
              </w:rPr>
            </w:pPr>
            <w:r>
              <w:rPr>
                <w:lang w:val="en-GB"/>
              </w:rPr>
              <w:t>OEL</w:t>
            </w:r>
            <w:r w:rsidR="00DF72DF">
              <w:rPr>
                <w:lang w:val="en-GB"/>
              </w:rPr>
              <w:t>s</w:t>
            </w:r>
            <w:r>
              <w:rPr>
                <w:lang w:val="en-GB"/>
              </w:rPr>
              <w:t xml:space="preserve"> type</w:t>
            </w:r>
          </w:p>
        </w:tc>
      </w:tr>
      <w:tr w:rsidR="003809A9" w:rsidRPr="004F0976" w14:paraId="7C10463D" w14:textId="77777777" w:rsidTr="00065F2E">
        <w:tc>
          <w:tcPr>
            <w:tcW w:w="1251" w:type="pct"/>
            <w:shd w:val="clear" w:color="auto" w:fill="FFFFFF"/>
            <w:vAlign w:val="center"/>
          </w:tcPr>
          <w:p w14:paraId="4489FEDA" w14:textId="77777777" w:rsidR="003809A9" w:rsidRPr="004F0976" w:rsidRDefault="003809A9" w:rsidP="00065F2E">
            <w:pPr>
              <w:pStyle w:val="CETBodytext"/>
              <w:jc w:val="center"/>
              <w:rPr>
                <w:lang w:val="en-GB"/>
              </w:rPr>
            </w:pPr>
            <w:r w:rsidRPr="004F0976">
              <w:rPr>
                <w:lang w:val="en-GB"/>
              </w:rPr>
              <w:t>SO</w:t>
            </w:r>
            <w:r w:rsidRPr="009159DD">
              <w:rPr>
                <w:vertAlign w:val="subscript"/>
                <w:lang w:val="en-GB"/>
              </w:rPr>
              <w:t>2</w:t>
            </w:r>
          </w:p>
        </w:tc>
        <w:tc>
          <w:tcPr>
            <w:tcW w:w="1251" w:type="pct"/>
            <w:shd w:val="clear" w:color="auto" w:fill="FFFFFF"/>
            <w:vAlign w:val="bottom"/>
          </w:tcPr>
          <w:p w14:paraId="7D02DB11" w14:textId="77777777" w:rsidR="003809A9" w:rsidRPr="004F0976" w:rsidRDefault="003809A9" w:rsidP="00065F2E">
            <w:pPr>
              <w:pStyle w:val="CETBodytext"/>
              <w:jc w:val="center"/>
              <w:rPr>
                <w:lang w:val="en-GB"/>
              </w:rPr>
            </w:pPr>
            <w:r w:rsidRPr="009159DD">
              <w:rPr>
                <w:lang w:val="en-GB"/>
              </w:rPr>
              <w:t>0.87</w:t>
            </w:r>
          </w:p>
        </w:tc>
        <w:tc>
          <w:tcPr>
            <w:tcW w:w="1249" w:type="pct"/>
            <w:shd w:val="clear" w:color="auto" w:fill="FFFFFF"/>
            <w:vAlign w:val="bottom"/>
          </w:tcPr>
          <w:p w14:paraId="719B0E43" w14:textId="77777777" w:rsidR="003809A9" w:rsidRPr="004F0976" w:rsidRDefault="003809A9" w:rsidP="00065F2E">
            <w:pPr>
              <w:pStyle w:val="CETBodytext"/>
              <w:jc w:val="center"/>
              <w:rPr>
                <w:lang w:val="en-GB"/>
              </w:rPr>
            </w:pPr>
            <w:r w:rsidRPr="009159DD">
              <w:rPr>
                <w:lang w:val="en-GB"/>
              </w:rPr>
              <w:t>1</w:t>
            </w:r>
          </w:p>
        </w:tc>
        <w:tc>
          <w:tcPr>
            <w:tcW w:w="1249" w:type="pct"/>
            <w:shd w:val="clear" w:color="auto" w:fill="FFFFFF"/>
          </w:tcPr>
          <w:p w14:paraId="647F208A" w14:textId="77777777" w:rsidR="003809A9" w:rsidRPr="009159DD" w:rsidRDefault="003809A9" w:rsidP="00065F2E">
            <w:pPr>
              <w:pStyle w:val="CETBodytext"/>
              <w:jc w:val="center"/>
              <w:rPr>
                <w:lang w:val="en-GB"/>
              </w:rPr>
            </w:pPr>
            <w:r>
              <w:rPr>
                <w:lang w:val="en-GB"/>
              </w:rPr>
              <w:t>STEL – 15 min</w:t>
            </w:r>
          </w:p>
        </w:tc>
      </w:tr>
      <w:tr w:rsidR="003809A9" w:rsidRPr="004F0976" w14:paraId="41E40922" w14:textId="77777777" w:rsidTr="00065F2E">
        <w:tc>
          <w:tcPr>
            <w:tcW w:w="1251" w:type="pct"/>
            <w:shd w:val="clear" w:color="auto" w:fill="FFFFFF"/>
            <w:vAlign w:val="center"/>
          </w:tcPr>
          <w:p w14:paraId="176398E2" w14:textId="77777777" w:rsidR="003809A9" w:rsidRPr="004F0976" w:rsidRDefault="003809A9" w:rsidP="00065F2E">
            <w:pPr>
              <w:pStyle w:val="CETBodytext"/>
              <w:jc w:val="center"/>
              <w:rPr>
                <w:lang w:val="en-GB"/>
              </w:rPr>
            </w:pPr>
            <w:r w:rsidRPr="004F0976">
              <w:rPr>
                <w:lang w:val="en-GB"/>
              </w:rPr>
              <w:t>NO</w:t>
            </w:r>
          </w:p>
        </w:tc>
        <w:tc>
          <w:tcPr>
            <w:tcW w:w="1251" w:type="pct"/>
            <w:shd w:val="clear" w:color="auto" w:fill="FFFFFF"/>
            <w:vAlign w:val="bottom"/>
          </w:tcPr>
          <w:p w14:paraId="62ECE05B" w14:textId="77777777" w:rsidR="003809A9" w:rsidRPr="004F0976" w:rsidRDefault="003809A9" w:rsidP="00065F2E">
            <w:pPr>
              <w:pStyle w:val="CETBodytext"/>
              <w:jc w:val="center"/>
              <w:rPr>
                <w:lang w:val="en-GB"/>
              </w:rPr>
            </w:pPr>
            <w:r w:rsidRPr="009159DD">
              <w:rPr>
                <w:lang w:val="en-GB"/>
              </w:rPr>
              <w:t>NA</w:t>
            </w:r>
          </w:p>
        </w:tc>
        <w:tc>
          <w:tcPr>
            <w:tcW w:w="1249" w:type="pct"/>
            <w:shd w:val="clear" w:color="auto" w:fill="FFFFFF"/>
            <w:vAlign w:val="bottom"/>
          </w:tcPr>
          <w:p w14:paraId="3467DD20" w14:textId="77777777" w:rsidR="003809A9" w:rsidRPr="004F0976" w:rsidRDefault="003809A9" w:rsidP="00065F2E">
            <w:pPr>
              <w:pStyle w:val="CETBodytext"/>
              <w:jc w:val="center"/>
              <w:rPr>
                <w:lang w:val="en-GB"/>
              </w:rPr>
            </w:pPr>
            <w:r w:rsidRPr="009159DD">
              <w:rPr>
                <w:lang w:val="en-GB"/>
              </w:rPr>
              <w:t>2</w:t>
            </w:r>
          </w:p>
        </w:tc>
        <w:tc>
          <w:tcPr>
            <w:tcW w:w="1249" w:type="pct"/>
            <w:shd w:val="clear" w:color="auto" w:fill="FFFFFF"/>
          </w:tcPr>
          <w:p w14:paraId="0F9AD4D8" w14:textId="77777777" w:rsidR="003809A9" w:rsidRPr="009159DD" w:rsidRDefault="003809A9" w:rsidP="00065F2E">
            <w:pPr>
              <w:pStyle w:val="CETBodytext"/>
              <w:jc w:val="center"/>
              <w:rPr>
                <w:lang w:val="en-GB"/>
              </w:rPr>
            </w:pPr>
            <w:r>
              <w:rPr>
                <w:lang w:val="en-GB"/>
              </w:rPr>
              <w:t>TWA – 8 h</w:t>
            </w:r>
          </w:p>
        </w:tc>
      </w:tr>
      <w:tr w:rsidR="003809A9" w:rsidRPr="004F0976" w14:paraId="5DCF4D0A" w14:textId="77777777" w:rsidTr="00065F2E">
        <w:tc>
          <w:tcPr>
            <w:tcW w:w="1251" w:type="pct"/>
            <w:shd w:val="clear" w:color="auto" w:fill="FFFFFF"/>
            <w:vAlign w:val="center"/>
          </w:tcPr>
          <w:p w14:paraId="643F2CB3" w14:textId="77777777" w:rsidR="003809A9" w:rsidRPr="004F0976" w:rsidRDefault="003809A9" w:rsidP="00065F2E">
            <w:pPr>
              <w:pStyle w:val="CETBodytext"/>
              <w:jc w:val="center"/>
              <w:rPr>
                <w:lang w:val="en-GB"/>
              </w:rPr>
            </w:pPr>
            <w:r w:rsidRPr="004F0976">
              <w:rPr>
                <w:lang w:val="en-GB"/>
              </w:rPr>
              <w:t>NO</w:t>
            </w:r>
            <w:r w:rsidRPr="009159DD">
              <w:rPr>
                <w:vertAlign w:val="subscript"/>
                <w:lang w:val="en-GB"/>
              </w:rPr>
              <w:t>2</w:t>
            </w:r>
          </w:p>
        </w:tc>
        <w:tc>
          <w:tcPr>
            <w:tcW w:w="1251" w:type="pct"/>
            <w:shd w:val="clear" w:color="auto" w:fill="FFFFFF"/>
            <w:vAlign w:val="bottom"/>
          </w:tcPr>
          <w:p w14:paraId="66A2B694" w14:textId="77777777" w:rsidR="003809A9" w:rsidRPr="004F0976" w:rsidRDefault="003809A9" w:rsidP="00065F2E">
            <w:pPr>
              <w:pStyle w:val="CETBodytext"/>
              <w:jc w:val="center"/>
              <w:rPr>
                <w:lang w:val="en-GB"/>
              </w:rPr>
            </w:pPr>
            <w:r w:rsidRPr="009159DD">
              <w:rPr>
                <w:lang w:val="en-GB"/>
              </w:rPr>
              <w:t>0.12</w:t>
            </w:r>
          </w:p>
        </w:tc>
        <w:tc>
          <w:tcPr>
            <w:tcW w:w="1249" w:type="pct"/>
            <w:shd w:val="clear" w:color="auto" w:fill="FFFFFF"/>
            <w:vAlign w:val="bottom"/>
          </w:tcPr>
          <w:p w14:paraId="0B4326A8" w14:textId="77777777" w:rsidR="003809A9" w:rsidRPr="004F0976" w:rsidRDefault="003809A9" w:rsidP="00065F2E">
            <w:pPr>
              <w:pStyle w:val="CETBodytext"/>
              <w:jc w:val="center"/>
              <w:rPr>
                <w:lang w:val="en-GB"/>
              </w:rPr>
            </w:pPr>
            <w:r w:rsidRPr="009159DD">
              <w:rPr>
                <w:lang w:val="en-GB"/>
              </w:rPr>
              <w:t>1</w:t>
            </w:r>
          </w:p>
        </w:tc>
        <w:tc>
          <w:tcPr>
            <w:tcW w:w="1249" w:type="pct"/>
            <w:shd w:val="clear" w:color="auto" w:fill="FFFFFF"/>
          </w:tcPr>
          <w:p w14:paraId="2A2EBB2C" w14:textId="77777777" w:rsidR="003809A9" w:rsidRPr="009159DD" w:rsidRDefault="003809A9" w:rsidP="00065F2E">
            <w:pPr>
              <w:pStyle w:val="CETBodytext"/>
              <w:jc w:val="center"/>
              <w:rPr>
                <w:lang w:val="en-GB"/>
              </w:rPr>
            </w:pPr>
            <w:r w:rsidRPr="0017647C">
              <w:rPr>
                <w:lang w:val="en-GB"/>
              </w:rPr>
              <w:t>STEL</w:t>
            </w:r>
            <w:r>
              <w:rPr>
                <w:lang w:val="en-GB"/>
              </w:rPr>
              <w:t xml:space="preserve"> – </w:t>
            </w:r>
            <w:r w:rsidRPr="0017647C">
              <w:rPr>
                <w:lang w:val="en-GB"/>
              </w:rPr>
              <w:t>15 min</w:t>
            </w:r>
          </w:p>
        </w:tc>
      </w:tr>
      <w:tr w:rsidR="003809A9" w:rsidRPr="004F0976" w14:paraId="28AEF6F0" w14:textId="77777777" w:rsidTr="00A5730C">
        <w:trPr>
          <w:trHeight w:val="102"/>
        </w:trPr>
        <w:tc>
          <w:tcPr>
            <w:tcW w:w="1251" w:type="pct"/>
            <w:shd w:val="clear" w:color="auto" w:fill="FFFFFF"/>
            <w:vAlign w:val="center"/>
          </w:tcPr>
          <w:p w14:paraId="74CB7277" w14:textId="77777777" w:rsidR="003809A9" w:rsidRPr="004F0976" w:rsidRDefault="003809A9" w:rsidP="00065F2E">
            <w:pPr>
              <w:pStyle w:val="CETBodytext"/>
              <w:jc w:val="center"/>
              <w:rPr>
                <w:lang w:val="en-GB"/>
              </w:rPr>
            </w:pPr>
            <w:r w:rsidRPr="004F0976">
              <w:rPr>
                <w:lang w:val="en-GB"/>
              </w:rPr>
              <w:t>CO</w:t>
            </w:r>
          </w:p>
        </w:tc>
        <w:tc>
          <w:tcPr>
            <w:tcW w:w="1251" w:type="pct"/>
            <w:shd w:val="clear" w:color="auto" w:fill="FFFFFF"/>
            <w:vAlign w:val="bottom"/>
          </w:tcPr>
          <w:p w14:paraId="3BF32668" w14:textId="77777777" w:rsidR="003809A9" w:rsidRPr="004F0976" w:rsidRDefault="003809A9" w:rsidP="00065F2E">
            <w:pPr>
              <w:pStyle w:val="CETBodytext"/>
              <w:jc w:val="center"/>
              <w:rPr>
                <w:lang w:val="en-GB"/>
              </w:rPr>
            </w:pPr>
            <w:r w:rsidRPr="009159DD">
              <w:rPr>
                <w:lang w:val="en-GB"/>
              </w:rPr>
              <w:t>NA</w:t>
            </w:r>
          </w:p>
        </w:tc>
        <w:tc>
          <w:tcPr>
            <w:tcW w:w="1249" w:type="pct"/>
            <w:shd w:val="clear" w:color="auto" w:fill="FFFFFF"/>
            <w:vAlign w:val="bottom"/>
          </w:tcPr>
          <w:p w14:paraId="7A154243" w14:textId="77777777" w:rsidR="003809A9" w:rsidRPr="004F0976" w:rsidRDefault="003809A9" w:rsidP="00065F2E">
            <w:pPr>
              <w:pStyle w:val="CETBodytext"/>
              <w:jc w:val="center"/>
              <w:rPr>
                <w:lang w:val="en-GB"/>
              </w:rPr>
            </w:pPr>
            <w:r w:rsidRPr="009159DD">
              <w:rPr>
                <w:lang w:val="en-GB"/>
              </w:rPr>
              <w:t>100</w:t>
            </w:r>
          </w:p>
        </w:tc>
        <w:tc>
          <w:tcPr>
            <w:tcW w:w="1249" w:type="pct"/>
            <w:shd w:val="clear" w:color="auto" w:fill="FFFFFF"/>
          </w:tcPr>
          <w:p w14:paraId="1C9C066B" w14:textId="77777777" w:rsidR="003809A9" w:rsidRPr="009159DD" w:rsidRDefault="003809A9" w:rsidP="00065F2E">
            <w:pPr>
              <w:pStyle w:val="CETBodytext"/>
              <w:jc w:val="center"/>
              <w:rPr>
                <w:lang w:val="en-GB"/>
              </w:rPr>
            </w:pPr>
            <w:r w:rsidRPr="0017647C">
              <w:rPr>
                <w:lang w:val="en-GB"/>
              </w:rPr>
              <w:t>STEL</w:t>
            </w:r>
            <w:r>
              <w:rPr>
                <w:lang w:val="en-GB"/>
              </w:rPr>
              <w:t xml:space="preserve"> – </w:t>
            </w:r>
            <w:r w:rsidRPr="0017647C">
              <w:rPr>
                <w:lang w:val="en-GB"/>
              </w:rPr>
              <w:t>15 min</w:t>
            </w:r>
          </w:p>
        </w:tc>
      </w:tr>
    </w:tbl>
    <w:p w14:paraId="7BD45C9B" w14:textId="77777777" w:rsidR="003809A9" w:rsidRDefault="003809A9" w:rsidP="00E462F5">
      <w:pPr>
        <w:pStyle w:val="CETBodytext"/>
        <w:rPr>
          <w:lang w:val="en-GB"/>
        </w:rPr>
      </w:pPr>
    </w:p>
    <w:p w14:paraId="104458CE" w14:textId="255BD013" w:rsidR="00E462F5" w:rsidRPr="004F0976" w:rsidRDefault="00E462F5" w:rsidP="00E462F5">
      <w:pPr>
        <w:pStyle w:val="CETBodytext"/>
        <w:rPr>
          <w:lang w:val="en-GB"/>
        </w:rPr>
      </w:pPr>
      <w:r w:rsidRPr="004F0976">
        <w:rPr>
          <w:lang w:val="en-GB"/>
        </w:rPr>
        <w:t>For SO</w:t>
      </w:r>
      <w:r w:rsidRPr="004F0976">
        <w:rPr>
          <w:vertAlign w:val="subscript"/>
          <w:lang w:val="en-GB"/>
        </w:rPr>
        <w:t xml:space="preserve">2 </w:t>
      </w:r>
      <w:r w:rsidRPr="004F0976">
        <w:rPr>
          <w:lang w:val="en-GB"/>
        </w:rPr>
        <w:t>and NO</w:t>
      </w:r>
      <w:r w:rsidRPr="004F0976">
        <w:rPr>
          <w:vertAlign w:val="subscript"/>
          <w:lang w:val="en-GB"/>
        </w:rPr>
        <w:t>2</w:t>
      </w:r>
      <w:r w:rsidRPr="004F0976">
        <w:rPr>
          <w:lang w:val="en-GB"/>
        </w:rPr>
        <w:t xml:space="preserve">, the OT (0.87 and 0.12 ppm) are close </w:t>
      </w:r>
      <w:r w:rsidR="00C75035">
        <w:rPr>
          <w:lang w:val="en-GB"/>
        </w:rPr>
        <w:t xml:space="preserve">to </w:t>
      </w:r>
      <w:r w:rsidRPr="004F0976">
        <w:rPr>
          <w:lang w:val="en-GB"/>
        </w:rPr>
        <w:t>or lower t</w:t>
      </w:r>
      <w:r w:rsidR="00C75035">
        <w:rPr>
          <w:lang w:val="en-GB"/>
        </w:rPr>
        <w:t>han</w:t>
      </w:r>
      <w:r w:rsidRPr="004F0976">
        <w:rPr>
          <w:lang w:val="en-GB"/>
        </w:rPr>
        <w:t xml:space="preserve"> the occupational exposure limit for short exposure </w:t>
      </w:r>
      <w:r w:rsidR="0041076A">
        <w:rPr>
          <w:lang w:val="en-GB"/>
        </w:rPr>
        <w:t xml:space="preserve">defined by </w:t>
      </w:r>
      <w:r w:rsidR="00C75035">
        <w:rPr>
          <w:lang w:val="en-GB"/>
        </w:rPr>
        <w:t xml:space="preserve">the </w:t>
      </w:r>
      <w:r w:rsidR="0041076A">
        <w:rPr>
          <w:lang w:val="en-GB"/>
        </w:rPr>
        <w:t xml:space="preserve">European Union </w:t>
      </w:r>
      <w:r w:rsidRPr="004F0976">
        <w:rPr>
          <w:lang w:val="en-GB"/>
        </w:rPr>
        <w:t>(</w:t>
      </w:r>
      <w:r w:rsidR="0041076A">
        <w:rPr>
          <w:lang w:val="en-GB"/>
        </w:rPr>
        <w:t xml:space="preserve">EU </w:t>
      </w:r>
      <w:r w:rsidRPr="004F0976">
        <w:rPr>
          <w:lang w:val="en-GB"/>
        </w:rPr>
        <w:t xml:space="preserve">OEL-15 min= 1 ppm). By contrast, for NO and CO no odour thresholds are generally defined, </w:t>
      </w:r>
      <w:r w:rsidR="00356222">
        <w:rPr>
          <w:lang w:val="en-GB"/>
        </w:rPr>
        <w:t>b</w:t>
      </w:r>
      <w:r w:rsidR="00356222" w:rsidRPr="00356222">
        <w:rPr>
          <w:lang w:val="en-GB"/>
        </w:rPr>
        <w:t xml:space="preserve">ecause CO is odourless and for </w:t>
      </w:r>
      <w:r w:rsidR="00356222">
        <w:rPr>
          <w:lang w:val="en-GB"/>
        </w:rPr>
        <w:t>NO</w:t>
      </w:r>
      <w:r w:rsidR="00356222" w:rsidRPr="00356222">
        <w:rPr>
          <w:lang w:val="en-GB"/>
        </w:rPr>
        <w:t xml:space="preserve"> the perceivable warning odour is mainly associated with the higher oxides rather than with NO itself</w:t>
      </w:r>
      <w:r w:rsidR="00356222">
        <w:rPr>
          <w:lang w:val="en-GB"/>
        </w:rPr>
        <w:t xml:space="preserve">. However, </w:t>
      </w:r>
      <w:r w:rsidRPr="004F0976">
        <w:rPr>
          <w:lang w:val="en-GB"/>
        </w:rPr>
        <w:t>their occupational exposure limits are 2 ppm (</w:t>
      </w:r>
      <w:r w:rsidR="0041076A">
        <w:rPr>
          <w:lang w:val="en-GB"/>
        </w:rPr>
        <w:t xml:space="preserve">EU </w:t>
      </w:r>
      <w:r w:rsidRPr="004F0976">
        <w:rPr>
          <w:lang w:val="en-GB"/>
        </w:rPr>
        <w:t>OEL-8 h) and 100 (</w:t>
      </w:r>
      <w:r w:rsidR="0041076A">
        <w:rPr>
          <w:lang w:val="en-GB"/>
        </w:rPr>
        <w:t xml:space="preserve">EU </w:t>
      </w:r>
      <w:r w:rsidRPr="004F0976">
        <w:rPr>
          <w:lang w:val="en-GB"/>
        </w:rPr>
        <w:t xml:space="preserve">OEL-15 min), respectively. Therefore, even when such emissions are not especially relevant from an odour nuisance perspective, they may still require specific consideration in occupational risk assessment because the absence or weakness of odorous </w:t>
      </w:r>
      <w:r w:rsidR="00C75035" w:rsidRPr="00C75035">
        <w:rPr>
          <w:lang w:val="en-GB"/>
        </w:rPr>
        <w:t>warning properties</w:t>
      </w:r>
      <w:r w:rsidR="00C75035" w:rsidRPr="00C75035" w:rsidDel="00C75035">
        <w:rPr>
          <w:lang w:val="en-GB"/>
        </w:rPr>
        <w:t xml:space="preserve"> </w:t>
      </w:r>
      <w:r w:rsidRPr="004F0976">
        <w:rPr>
          <w:lang w:val="en-GB"/>
        </w:rPr>
        <w:t>may reduce the protective function normally associated with olfactometric testing.</w:t>
      </w:r>
    </w:p>
    <w:p w14:paraId="11D41C34" w14:textId="375591A2" w:rsidR="005C2767" w:rsidRPr="004F0976" w:rsidRDefault="005C2767" w:rsidP="00600535">
      <w:pPr>
        <w:pStyle w:val="CETBodytext"/>
        <w:rPr>
          <w:lang w:val="en-GB"/>
        </w:rPr>
      </w:pPr>
      <w:r w:rsidRPr="004F0976">
        <w:rPr>
          <w:lang w:val="en-GB"/>
        </w:rPr>
        <w:t xml:space="preserve">Accordingly, the present study focuses on these critical samples containing oxidation products, </w:t>
      </w:r>
      <w:r w:rsidR="00C75035" w:rsidRPr="00C75035">
        <w:rPr>
          <w:lang w:val="en-GB"/>
        </w:rPr>
        <w:t>to investigate whether specific occupational concerns may arise for olfactometric examiners, to clarify whether these sources may represent a real critical issue during olfactometric testing, and to define operational criteria for conducting their analysis under safe conditions.</w:t>
      </w:r>
    </w:p>
    <w:p w14:paraId="74ABD0CC" w14:textId="77777777" w:rsidR="001E3226" w:rsidRPr="004F0976" w:rsidRDefault="001E3226" w:rsidP="001E3226">
      <w:pPr>
        <w:pStyle w:val="CETHeading1"/>
        <w:rPr>
          <w:lang w:val="en-GB"/>
        </w:rPr>
      </w:pPr>
      <w:r w:rsidRPr="004F0976">
        <w:rPr>
          <w:lang w:val="en-GB"/>
        </w:rPr>
        <w:t>Materials and methods</w:t>
      </w:r>
    </w:p>
    <w:p w14:paraId="7E762468" w14:textId="0D29E772" w:rsidR="001E3226" w:rsidRPr="004F0976" w:rsidRDefault="001E3226" w:rsidP="001E3226">
      <w:pPr>
        <w:pStyle w:val="CETheadingx"/>
        <w:rPr>
          <w:lang w:val="en-GB"/>
        </w:rPr>
      </w:pPr>
      <w:r w:rsidRPr="004F0976">
        <w:rPr>
          <w:lang w:val="en-GB"/>
        </w:rPr>
        <w:t>Samples</w:t>
      </w:r>
      <w:r w:rsidR="00DD520D" w:rsidRPr="004F0976">
        <w:rPr>
          <w:lang w:val="en-GB"/>
        </w:rPr>
        <w:t xml:space="preserve"> analysis</w:t>
      </w:r>
      <w:r w:rsidR="00AF321B" w:rsidRPr="004F0976">
        <w:rPr>
          <w:lang w:val="en-GB"/>
        </w:rPr>
        <w:t xml:space="preserve"> and calculation of</w:t>
      </w:r>
      <w:r w:rsidR="000F2D2B">
        <w:rPr>
          <w:lang w:val="en-GB"/>
        </w:rPr>
        <w:t xml:space="preserve"> </w:t>
      </w:r>
      <w:r w:rsidR="00DF72DF">
        <w:rPr>
          <w:lang w:val="en-GB"/>
        </w:rPr>
        <w:t>M</w:t>
      </w:r>
      <w:r w:rsidR="000F2D2B">
        <w:rPr>
          <w:lang w:val="en-GB"/>
        </w:rPr>
        <w:t xml:space="preserve">inimum </w:t>
      </w:r>
      <w:r w:rsidR="00DF72DF">
        <w:rPr>
          <w:lang w:val="en-GB"/>
        </w:rPr>
        <w:t>D</w:t>
      </w:r>
      <w:r w:rsidR="000F2D2B">
        <w:rPr>
          <w:lang w:val="en-GB"/>
        </w:rPr>
        <w:t xml:space="preserve">ilution </w:t>
      </w:r>
      <w:r w:rsidR="00DF72DF">
        <w:rPr>
          <w:lang w:val="en-GB"/>
        </w:rPr>
        <w:t>V</w:t>
      </w:r>
      <w:r w:rsidR="000F2D2B">
        <w:rPr>
          <w:lang w:val="en-GB"/>
        </w:rPr>
        <w:t>alue (</w:t>
      </w:r>
      <w:r w:rsidR="00AF321B" w:rsidRPr="004F0976">
        <w:rPr>
          <w:lang w:val="en-GB"/>
        </w:rPr>
        <w:t>MDV</w:t>
      </w:r>
      <w:r w:rsidR="000F2D2B">
        <w:rPr>
          <w:lang w:val="en-GB"/>
        </w:rPr>
        <w:t>)</w:t>
      </w:r>
    </w:p>
    <w:p w14:paraId="60E85DEB" w14:textId="35196BAF" w:rsidR="003D4422" w:rsidRDefault="00CB567A" w:rsidP="00AF321B">
      <w:pPr>
        <w:pStyle w:val="CETBodytext"/>
        <w:rPr>
          <w:lang w:val="en-GB"/>
        </w:rPr>
      </w:pPr>
      <w:r w:rsidRPr="004F0976">
        <w:rPr>
          <w:lang w:val="en-GB"/>
        </w:rPr>
        <w:t xml:space="preserve">According to the aims of the study, </w:t>
      </w:r>
      <w:r w:rsidR="009E057D" w:rsidRPr="004F0976">
        <w:rPr>
          <w:lang w:val="en-GB"/>
        </w:rPr>
        <w:t xml:space="preserve">86 </w:t>
      </w:r>
      <w:r w:rsidRPr="004F0976">
        <w:rPr>
          <w:lang w:val="en-GB"/>
        </w:rPr>
        <w:t xml:space="preserve">samples from </w:t>
      </w:r>
      <w:r w:rsidR="00B806EC" w:rsidRPr="004F0976">
        <w:rPr>
          <w:lang w:val="en-GB"/>
        </w:rPr>
        <w:t>combustion stacks from different industrial categories</w:t>
      </w:r>
      <w:r w:rsidRPr="004F0976">
        <w:rPr>
          <w:lang w:val="en-GB"/>
        </w:rPr>
        <w:t xml:space="preserve"> were considered</w:t>
      </w:r>
      <w:r w:rsidR="002A498F">
        <w:rPr>
          <w:lang w:val="en-GB"/>
        </w:rPr>
        <w:t>. These samples were collected and analysed</w:t>
      </w:r>
      <w:r w:rsidR="009E057D" w:rsidRPr="004F0976">
        <w:rPr>
          <w:lang w:val="en-GB"/>
        </w:rPr>
        <w:t xml:space="preserve"> during </w:t>
      </w:r>
      <w:r w:rsidR="00C75035">
        <w:rPr>
          <w:lang w:val="en-GB"/>
        </w:rPr>
        <w:t>one</w:t>
      </w:r>
      <w:r w:rsidR="009E057D" w:rsidRPr="004F0976">
        <w:rPr>
          <w:lang w:val="en-GB"/>
        </w:rPr>
        <w:t xml:space="preserve"> year of activity </w:t>
      </w:r>
      <w:r w:rsidR="00DF72DF">
        <w:rPr>
          <w:lang w:val="en-GB"/>
        </w:rPr>
        <w:t>at the</w:t>
      </w:r>
      <w:r w:rsidR="00DF72DF" w:rsidRPr="004F0976">
        <w:rPr>
          <w:lang w:val="en-GB"/>
        </w:rPr>
        <w:t xml:space="preserve"> </w:t>
      </w:r>
      <w:r w:rsidR="009E057D" w:rsidRPr="004F0976">
        <w:rPr>
          <w:i/>
          <w:iCs/>
          <w:lang w:val="en-GB"/>
        </w:rPr>
        <w:t>Laboratorio Olfattometrico</w:t>
      </w:r>
      <w:r w:rsidR="009E057D" w:rsidRPr="004F0976">
        <w:rPr>
          <w:lang w:val="en-GB"/>
        </w:rPr>
        <w:t xml:space="preserve"> - </w:t>
      </w:r>
      <w:proofErr w:type="spellStart"/>
      <w:r w:rsidR="009E057D" w:rsidRPr="004F0976">
        <w:rPr>
          <w:lang w:val="en-GB"/>
        </w:rPr>
        <w:t>PoliMI</w:t>
      </w:r>
      <w:proofErr w:type="spellEnd"/>
      <w:r w:rsidRPr="004F0976">
        <w:rPr>
          <w:lang w:val="en-GB"/>
        </w:rPr>
        <w:t>.</w:t>
      </w:r>
      <w:r w:rsidR="00A46CAB" w:rsidRPr="004F0976">
        <w:rPr>
          <w:lang w:val="en-GB"/>
        </w:rPr>
        <w:t xml:space="preserve"> Samples were collected at the </w:t>
      </w:r>
      <w:r w:rsidR="002A498F">
        <w:rPr>
          <w:lang w:val="en-GB"/>
        </w:rPr>
        <w:t xml:space="preserve">emission </w:t>
      </w:r>
      <w:r w:rsidR="00A46CAB" w:rsidRPr="004F0976">
        <w:rPr>
          <w:lang w:val="en-GB"/>
        </w:rPr>
        <w:t>source</w:t>
      </w:r>
      <w:r w:rsidR="00C75035">
        <w:rPr>
          <w:lang w:val="en-GB"/>
        </w:rPr>
        <w:t>s</w:t>
      </w:r>
      <w:r w:rsidR="00A46CAB" w:rsidRPr="004F0976">
        <w:rPr>
          <w:lang w:val="en-GB"/>
        </w:rPr>
        <w:t xml:space="preserve"> in </w:t>
      </w:r>
      <w:proofErr w:type="spellStart"/>
      <w:r w:rsidR="00A46CAB" w:rsidRPr="004F0976">
        <w:rPr>
          <w:lang w:val="en-GB"/>
        </w:rPr>
        <w:t>Nalophan</w:t>
      </w:r>
      <w:r w:rsidR="007D0939" w:rsidRPr="004F0976">
        <w:rPr>
          <w:vertAlign w:val="superscript"/>
          <w:lang w:val="en-GB"/>
        </w:rPr>
        <w:t>TM</w:t>
      </w:r>
      <w:proofErr w:type="spellEnd"/>
      <w:r w:rsidR="00A46CAB" w:rsidRPr="004F0976">
        <w:rPr>
          <w:lang w:val="en-GB"/>
        </w:rPr>
        <w:t xml:space="preserve"> bags, in accordance with EN 13725</w:t>
      </w:r>
      <w:r w:rsidR="003809A9">
        <w:rPr>
          <w:lang w:val="en-GB"/>
        </w:rPr>
        <w:t xml:space="preserve">:2022 </w:t>
      </w:r>
      <w:sdt>
        <w:sdtPr>
          <w:rPr>
            <w:rFonts w:cs="Arial"/>
            <w:color w:val="000000"/>
            <w:lang w:val="en-GB"/>
          </w:rPr>
          <w:tag w:val="MENDELEY_CITATION_v3_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"/>
          <w:id w:val="755333561"/>
          <w:placeholder>
            <w:docPart w:val="14AE58244B5F473AAF48B29471DA239C"/>
          </w:placeholder>
        </w:sdtPr>
        <w:sdtContent>
          <w:r w:rsidR="00B91F21" w:rsidRPr="00B91F21">
            <w:rPr>
              <w:rFonts w:cs="Arial"/>
              <w:color w:val="000000"/>
              <w:lang w:val="en-GB"/>
            </w:rPr>
            <w:t>(EN 13725:2022, 2022)</w:t>
          </w:r>
        </w:sdtContent>
      </w:sdt>
      <w:r w:rsidR="003809A9">
        <w:rPr>
          <w:lang w:val="en-GB"/>
        </w:rPr>
        <w:t xml:space="preserve"> and transported </w:t>
      </w:r>
      <w:r w:rsidR="00C75035">
        <w:rPr>
          <w:lang w:val="en-GB"/>
        </w:rPr>
        <w:t xml:space="preserve">to </w:t>
      </w:r>
      <w:r w:rsidR="003809A9">
        <w:rPr>
          <w:lang w:val="en-GB"/>
        </w:rPr>
        <w:t xml:space="preserve">the laboratory. </w:t>
      </w:r>
      <w:r w:rsidR="00A46CAB" w:rsidRPr="004F0976">
        <w:rPr>
          <w:lang w:val="en-GB"/>
        </w:rPr>
        <w:t xml:space="preserve">Before olfactometric analysis, the samples were </w:t>
      </w:r>
      <w:r w:rsidR="007D0939" w:rsidRPr="004F0976">
        <w:rPr>
          <w:lang w:val="en-GB"/>
        </w:rPr>
        <w:t>analysed</w:t>
      </w:r>
      <w:r w:rsidR="00A46CAB" w:rsidRPr="004F0976">
        <w:rPr>
          <w:lang w:val="en-GB"/>
        </w:rPr>
        <w:t xml:space="preserve"> for combusti</w:t>
      </w:r>
      <w:r w:rsidR="00C75035">
        <w:rPr>
          <w:lang w:val="en-GB"/>
        </w:rPr>
        <w:t>on-related</w:t>
      </w:r>
      <w:r w:rsidR="00A46CAB" w:rsidRPr="004F0976">
        <w:rPr>
          <w:lang w:val="en-GB"/>
        </w:rPr>
        <w:t xml:space="preserve"> compounds using an electrochemical and NDIR analyser (Optima 7,</w:t>
      </w:r>
      <w:r w:rsidR="009E057D" w:rsidRPr="004F0976">
        <w:rPr>
          <w:lang w:val="en-GB"/>
        </w:rPr>
        <w:t xml:space="preserve"> MRU,</w:t>
      </w:r>
      <w:r w:rsidR="00A46CAB" w:rsidRPr="004F0976">
        <w:rPr>
          <w:lang w:val="en-GB"/>
        </w:rPr>
        <w:t xml:space="preserve"> </w:t>
      </w:r>
      <w:r w:rsidR="00D2485A">
        <w:rPr>
          <w:lang w:val="en-GB"/>
        </w:rPr>
        <w:t>Germany</w:t>
      </w:r>
      <w:r w:rsidR="00A46CAB" w:rsidRPr="004F0976">
        <w:rPr>
          <w:lang w:val="en-GB"/>
        </w:rPr>
        <w:t>) to measure CO, NO, NO</w:t>
      </w:r>
      <w:r w:rsidR="00A46CAB" w:rsidRPr="004F0976">
        <w:rPr>
          <w:vertAlign w:val="subscript"/>
          <w:lang w:val="en-GB"/>
        </w:rPr>
        <w:t>2</w:t>
      </w:r>
      <w:r w:rsidR="00A46CAB" w:rsidRPr="004F0976">
        <w:rPr>
          <w:lang w:val="en-GB"/>
        </w:rPr>
        <w:t xml:space="preserve"> </w:t>
      </w:r>
      <w:r w:rsidR="00DD520D" w:rsidRPr="004F0976">
        <w:rPr>
          <w:lang w:val="en-GB"/>
        </w:rPr>
        <w:t xml:space="preserve">and </w:t>
      </w:r>
      <w:r w:rsidR="00A46CAB" w:rsidRPr="004F0976">
        <w:rPr>
          <w:lang w:val="en-GB"/>
        </w:rPr>
        <w:t>SO</w:t>
      </w:r>
      <w:r w:rsidR="00A46CAB" w:rsidRPr="004F0976">
        <w:rPr>
          <w:vertAlign w:val="subscript"/>
          <w:lang w:val="en-GB"/>
        </w:rPr>
        <w:t>2</w:t>
      </w:r>
      <w:r w:rsidR="00A46CAB" w:rsidRPr="004F0976">
        <w:rPr>
          <w:lang w:val="en-GB"/>
        </w:rPr>
        <w:t>. Based on these data</w:t>
      </w:r>
      <w:r w:rsidR="003D4422">
        <w:rPr>
          <w:lang w:val="en-GB"/>
        </w:rPr>
        <w:t xml:space="preserve"> and adopting the</w:t>
      </w:r>
      <w:r w:rsidR="00D61A1C">
        <w:rPr>
          <w:lang w:val="en-GB"/>
        </w:rPr>
        <w:t xml:space="preserve"> methodological approach</w:t>
      </w:r>
      <w:r w:rsidR="003D4422">
        <w:rPr>
          <w:lang w:val="en-GB"/>
        </w:rPr>
        <w:t xml:space="preserve"> </w:t>
      </w:r>
      <w:r w:rsidR="00D61A1C">
        <w:rPr>
          <w:lang w:val="en-GB"/>
        </w:rPr>
        <w:t>already presented in</w:t>
      </w:r>
      <w:r w:rsidR="00C75035">
        <w:rPr>
          <w:lang w:val="en-GB"/>
        </w:rPr>
        <w:t xml:space="preserve"> the</w:t>
      </w:r>
      <w:r w:rsidR="00D61A1C">
        <w:rPr>
          <w:lang w:val="en-GB"/>
        </w:rPr>
        <w:t xml:space="preserve"> literature</w:t>
      </w:r>
      <w:r w:rsidR="00003AE2">
        <w:rPr>
          <w:lang w:val="en-GB"/>
        </w:rPr>
        <w:t xml:space="preserve"> </w:t>
      </w:r>
      <w:sdt>
        <w:sdtPr>
          <w:rPr>
            <w:rFonts w:cs="Arial"/>
            <w:color w:val="000000"/>
            <w:lang w:val="en-GB"/>
          </w:rPr>
          <w:tag w:val="MENDELEY_CITATION_v3_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"/>
          <w:id w:val="1674224650"/>
          <w:placeholder>
            <w:docPart w:val="329352D69F2647369D504976F11592F9"/>
          </w:placeholder>
        </w:sdtPr>
        <w:sdtContent>
          <w:r w:rsidR="00B91F21" w:rsidRPr="00B91F21">
            <w:rPr>
              <w:rFonts w:cs="Arial"/>
              <w:color w:val="000000"/>
            </w:rPr>
            <w:t xml:space="preserve">(Polvara, Spinazzè, </w:t>
          </w:r>
          <w:r w:rsidR="00B91F21" w:rsidRPr="00B91F21">
            <w:rPr>
              <w:rFonts w:cs="Arial"/>
              <w:i/>
              <w:iCs/>
              <w:color w:val="000000"/>
            </w:rPr>
            <w:t>et al.</w:t>
          </w:r>
          <w:r w:rsidR="00B91F21" w:rsidRPr="00B91F21">
            <w:rPr>
              <w:rFonts w:cs="Arial"/>
              <w:color w:val="000000"/>
            </w:rPr>
            <w:t>, 2021)</w:t>
          </w:r>
        </w:sdtContent>
      </w:sdt>
      <w:r w:rsidR="00003AE2">
        <w:rPr>
          <w:rFonts w:cs="Arial"/>
          <w:color w:val="000000"/>
          <w:lang w:val="en-GB"/>
        </w:rPr>
        <w:t xml:space="preserve">, </w:t>
      </w:r>
      <w:r w:rsidR="00A46CAB" w:rsidRPr="004F0976">
        <w:rPr>
          <w:lang w:val="en-GB"/>
        </w:rPr>
        <w:t>the minimum dilution value (MDV) was calculated</w:t>
      </w:r>
      <w:r w:rsidR="00AF321B" w:rsidRPr="004F0976">
        <w:rPr>
          <w:lang w:val="en-GB"/>
        </w:rPr>
        <w:t xml:space="preserve"> by considering non-carcinogenic risk, through the calculation of the Hazard Index (HI) of the sample from the sum of the Hazard Quotient (HQ) of the </w:t>
      </w:r>
      <w:r w:rsidR="00003AE2">
        <w:rPr>
          <w:lang w:val="en-GB"/>
        </w:rPr>
        <w:t xml:space="preserve">four </w:t>
      </w:r>
      <w:r w:rsidR="00C75035">
        <w:rPr>
          <w:lang w:val="en-GB"/>
        </w:rPr>
        <w:t xml:space="preserve">individual compounds </w:t>
      </w:r>
      <w:r w:rsidR="00003AE2">
        <w:rPr>
          <w:lang w:val="en-GB"/>
        </w:rPr>
        <w:t xml:space="preserve">considered. </w:t>
      </w:r>
      <w:r w:rsidR="003809A9">
        <w:rPr>
          <w:lang w:val="en-GB"/>
        </w:rPr>
        <w:t xml:space="preserve">The HQ was calculated by dividing the </w:t>
      </w:r>
      <w:r w:rsidR="00AF321B" w:rsidRPr="004F0976">
        <w:rPr>
          <w:lang w:val="en-GB"/>
        </w:rPr>
        <w:t xml:space="preserve">measured concentration </w:t>
      </w:r>
      <w:r w:rsidR="003809A9">
        <w:rPr>
          <w:lang w:val="en-GB"/>
        </w:rPr>
        <w:t xml:space="preserve">of </w:t>
      </w:r>
      <w:r w:rsidR="00C75035">
        <w:rPr>
          <w:lang w:val="en-GB"/>
        </w:rPr>
        <w:t xml:space="preserve">each </w:t>
      </w:r>
      <w:r w:rsidR="003809A9">
        <w:rPr>
          <w:lang w:val="en-GB"/>
        </w:rPr>
        <w:t>compound by its</w:t>
      </w:r>
      <w:r w:rsidR="00AF321B" w:rsidRPr="004F0976">
        <w:rPr>
          <w:rFonts w:ascii="URWPalladioL-Roma" w:eastAsia="URWPalladioL-Roma" w:hAnsiTheme="minorHAnsi" w:cs="URWPalladioL-Roma"/>
          <w:sz w:val="20"/>
          <w:lang w:val="en-GB"/>
        </w:rPr>
        <w:t xml:space="preserve"> </w:t>
      </w:r>
      <w:r w:rsidR="00AF321B" w:rsidRPr="004F0976">
        <w:rPr>
          <w:lang w:val="en-GB"/>
        </w:rPr>
        <w:t>occupational exposure limit</w:t>
      </w:r>
      <w:r w:rsidR="003809A9">
        <w:rPr>
          <w:rFonts w:cs="Arial"/>
          <w:color w:val="000000"/>
          <w:lang w:val="en-GB"/>
        </w:rPr>
        <w:t>.</w:t>
      </w:r>
      <w:r w:rsidR="00AF321B" w:rsidRPr="004F0976">
        <w:rPr>
          <w:lang w:val="en-GB"/>
        </w:rPr>
        <w:t xml:space="preserve"> In this study, for CO, NO</w:t>
      </w:r>
      <w:r w:rsidR="00AF321B" w:rsidRPr="004F0976">
        <w:rPr>
          <w:vertAlign w:val="subscript"/>
          <w:lang w:val="en-GB"/>
        </w:rPr>
        <w:t>2</w:t>
      </w:r>
      <w:r w:rsidR="00AF321B" w:rsidRPr="004F0976">
        <w:rPr>
          <w:lang w:val="en-GB"/>
        </w:rPr>
        <w:t xml:space="preserve"> and SO</w:t>
      </w:r>
      <w:r w:rsidR="00AF321B" w:rsidRPr="004F0976">
        <w:rPr>
          <w:vertAlign w:val="subscript"/>
          <w:lang w:val="en-GB"/>
        </w:rPr>
        <w:t>2</w:t>
      </w:r>
      <w:r w:rsidR="00AF321B" w:rsidRPr="004F0976">
        <w:rPr>
          <w:lang w:val="en-GB"/>
        </w:rPr>
        <w:t>, the 15-min occupational exposure limit established at the EU level was used (OEL-STEL), in accordance with</w:t>
      </w:r>
      <w:r w:rsidR="00D61A1C">
        <w:rPr>
          <w:lang w:val="en-GB"/>
        </w:rPr>
        <w:t xml:space="preserve"> the mentioned</w:t>
      </w:r>
      <w:r w:rsidR="00AF321B" w:rsidRPr="004F0976">
        <w:rPr>
          <w:lang w:val="en-GB"/>
        </w:rPr>
        <w:t xml:space="preserve"> literature approach. For NO, </w:t>
      </w:r>
      <w:r w:rsidR="003809A9">
        <w:rPr>
          <w:lang w:val="en-GB"/>
        </w:rPr>
        <w:t xml:space="preserve">no </w:t>
      </w:r>
      <w:r w:rsidR="007C502B">
        <w:rPr>
          <w:lang w:val="en-GB"/>
        </w:rPr>
        <w:t xml:space="preserve">OEL-STEL is defined by Europe and, according to previous methodological approach, the EU </w:t>
      </w:r>
      <w:r w:rsidR="00AF321B" w:rsidRPr="004F0976">
        <w:rPr>
          <w:lang w:val="en-GB"/>
        </w:rPr>
        <w:t xml:space="preserve">8-hour occupational exposure limit </w:t>
      </w:r>
      <w:r w:rsidR="007C502B">
        <w:rPr>
          <w:lang w:val="en-GB"/>
        </w:rPr>
        <w:t>(</w:t>
      </w:r>
      <w:r w:rsidR="007C502B" w:rsidRPr="004F0976">
        <w:rPr>
          <w:lang w:val="en-GB"/>
        </w:rPr>
        <w:t>OEL-TWA)</w:t>
      </w:r>
      <w:r w:rsidR="007C502B">
        <w:rPr>
          <w:lang w:val="en-GB"/>
        </w:rPr>
        <w:t xml:space="preserve"> </w:t>
      </w:r>
      <w:r w:rsidR="00AF321B" w:rsidRPr="004F0976">
        <w:rPr>
          <w:lang w:val="en-GB"/>
        </w:rPr>
        <w:t>was applied</w:t>
      </w:r>
      <w:r w:rsidR="007C502B">
        <w:rPr>
          <w:lang w:val="en-GB"/>
        </w:rPr>
        <w:t xml:space="preserve"> </w:t>
      </w:r>
      <w:sdt>
        <w:sdtPr>
          <w:rPr>
            <w:rFonts w:cs="Arial"/>
            <w:color w:val="000000"/>
            <w:lang w:val="en-GB"/>
          </w:rPr>
          <w:tag w:val="MENDELEY_CITATION_v3_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"/>
          <w:id w:val="-1799520993"/>
          <w:placeholder>
            <w:docPart w:val="73603F09EA654164BDCD925579FFC956"/>
          </w:placeholder>
        </w:sdtPr>
        <w:sdtContent>
          <w:r w:rsidR="00B91F21" w:rsidRPr="00B91F21">
            <w:rPr>
              <w:rFonts w:cs="Arial"/>
              <w:color w:val="000000"/>
            </w:rPr>
            <w:t xml:space="preserve">(Polvara, Spinazzè, </w:t>
          </w:r>
          <w:r w:rsidR="00B91F21" w:rsidRPr="00B91F21">
            <w:rPr>
              <w:rFonts w:cs="Arial"/>
              <w:i/>
              <w:iCs/>
              <w:color w:val="000000"/>
            </w:rPr>
            <w:t>et al.</w:t>
          </w:r>
          <w:r w:rsidR="00B91F21" w:rsidRPr="00B91F21">
            <w:rPr>
              <w:rFonts w:cs="Arial"/>
              <w:color w:val="000000"/>
            </w:rPr>
            <w:t>, 2021)</w:t>
          </w:r>
        </w:sdtContent>
      </w:sdt>
      <w:r w:rsidR="00AF321B" w:rsidRPr="004F0976">
        <w:rPr>
          <w:lang w:val="en-GB"/>
        </w:rPr>
        <w:t xml:space="preserve">. </w:t>
      </w:r>
    </w:p>
    <w:p w14:paraId="4FF8989F" w14:textId="20372F29" w:rsidR="00D41FFB" w:rsidRDefault="00D41FFB" w:rsidP="00AF321B">
      <w:pPr>
        <w:pStyle w:val="CETBodytext"/>
      </w:pPr>
      <w:r w:rsidRPr="00D41FFB">
        <w:rPr>
          <w:lang w:val="en-GB"/>
        </w:rPr>
        <w:lastRenderedPageBreak/>
        <w:t>The carcinogenic risk has not been assessed for these samples, as the compounds analysed are not classified as</w:t>
      </w:r>
      <w:r>
        <w:rPr>
          <w:lang w:val="en-GB"/>
        </w:rPr>
        <w:t xml:space="preserve"> </w:t>
      </w:r>
      <w:r w:rsidRPr="00D41FFB">
        <w:t>carcinogenic or potential</w:t>
      </w:r>
      <w:r w:rsidR="00DF72DF">
        <w:t>ly</w:t>
      </w:r>
      <w:r w:rsidRPr="00D41FFB">
        <w:t xml:space="preserve"> carcinogenic, according to the definition supplied in Part 3 of Annex VI to Regulation (EC) No 1272/2008</w:t>
      </w:r>
      <w:r>
        <w:t xml:space="preserve">. </w:t>
      </w:r>
    </w:p>
    <w:p w14:paraId="6032B179" w14:textId="7B330E5E" w:rsidR="0071151F" w:rsidRPr="004F0976" w:rsidRDefault="00AF321B" w:rsidP="00600535">
      <w:pPr>
        <w:pStyle w:val="CETBodytext"/>
        <w:rPr>
          <w:lang w:val="en-GB"/>
        </w:rPr>
      </w:pPr>
      <w:r w:rsidRPr="004F0976">
        <w:rPr>
          <w:lang w:val="en-GB"/>
        </w:rPr>
        <w:t>To adopt a precautionary approach, MDV was operationally assigned as the nearest olfactometer dilution step higher than the HI-based value calculated for the sample. This choice reflects the discrete stepwise dilution sequence of the instrument and further reinforces the conservative nature of the approach, since the selected MDV always corresponds to the first dilution level ensuring a margin of safety with respect to the theoretical value obtained.</w:t>
      </w:r>
      <w:r w:rsidR="00D2485A">
        <w:rPr>
          <w:lang w:val="en-GB"/>
        </w:rPr>
        <w:t xml:space="preserve"> </w:t>
      </w:r>
      <w:r w:rsidR="00DA432B">
        <w:rPr>
          <w:lang w:val="en-GB"/>
        </w:rPr>
        <w:t>I</w:t>
      </w:r>
      <w:r w:rsidR="00DA432B" w:rsidRPr="00DA432B">
        <w:rPr>
          <w:lang w:val="en-GB"/>
        </w:rPr>
        <w:t xml:space="preserve">mmediately </w:t>
      </w:r>
      <w:r w:rsidR="00C75035">
        <w:rPr>
          <w:lang w:val="en-GB"/>
        </w:rPr>
        <w:t>afterwards</w:t>
      </w:r>
      <w:r w:rsidR="00A46CAB" w:rsidRPr="004F0976">
        <w:rPr>
          <w:lang w:val="en-GB"/>
        </w:rPr>
        <w:t>, dynamic olfactometr</w:t>
      </w:r>
      <w:r w:rsidR="00DF72DF">
        <w:rPr>
          <w:lang w:val="en-GB"/>
        </w:rPr>
        <w:t>y</w:t>
      </w:r>
      <w:r w:rsidR="00A46CAB" w:rsidRPr="004F0976">
        <w:rPr>
          <w:lang w:val="en-GB"/>
        </w:rPr>
        <w:t xml:space="preserve"> was carried out to determine the odour concentration (C</w:t>
      </w:r>
      <w:r w:rsidR="00A46CAB" w:rsidRPr="004F0976">
        <w:rPr>
          <w:vertAlign w:val="subscript"/>
          <w:lang w:val="en-GB"/>
        </w:rPr>
        <w:t>od</w:t>
      </w:r>
      <w:r w:rsidR="00A46CAB" w:rsidRPr="004F0976">
        <w:rPr>
          <w:lang w:val="en-GB"/>
        </w:rPr>
        <w:t xml:space="preserve">) </w:t>
      </w:r>
      <w:r w:rsidR="002A498F" w:rsidRPr="002A498F">
        <w:rPr>
          <w:lang w:val="en-GB"/>
        </w:rPr>
        <w:t>within 30 hours of sampling</w:t>
      </w:r>
      <w:r w:rsidR="002A498F">
        <w:rPr>
          <w:lang w:val="en-GB"/>
        </w:rPr>
        <w:t xml:space="preserve">, </w:t>
      </w:r>
      <w:r w:rsidR="00A46CAB" w:rsidRPr="004F0976">
        <w:rPr>
          <w:lang w:val="en-GB"/>
        </w:rPr>
        <w:t>according to EN 13725</w:t>
      </w:r>
      <w:r w:rsidR="003809A9">
        <w:rPr>
          <w:lang w:val="en-GB"/>
        </w:rPr>
        <w:t>:2022</w:t>
      </w:r>
      <w:r w:rsidR="00A46CAB" w:rsidRPr="004F0976">
        <w:rPr>
          <w:lang w:val="en-GB"/>
        </w:rPr>
        <w:t xml:space="preserve">. </w:t>
      </w:r>
      <w:r w:rsidR="0071151F" w:rsidRPr="004F0976">
        <w:rPr>
          <w:lang w:val="en-GB"/>
        </w:rPr>
        <w:t>When the measured C</w:t>
      </w:r>
      <w:r w:rsidR="0071151F" w:rsidRPr="004F0976">
        <w:rPr>
          <w:vertAlign w:val="subscript"/>
          <w:lang w:val="en-GB"/>
        </w:rPr>
        <w:t>od</w:t>
      </w:r>
      <w:r w:rsidR="0071151F" w:rsidRPr="004F0976">
        <w:rPr>
          <w:lang w:val="en-GB"/>
        </w:rPr>
        <w:t xml:space="preserve"> was lower than or equal to the MDV, the olfactometric analysis was discontinued and the </w:t>
      </w:r>
      <w:r w:rsidR="00C75035" w:rsidRPr="004F0976">
        <w:rPr>
          <w:lang w:val="en-GB"/>
        </w:rPr>
        <w:t>result</w:t>
      </w:r>
      <w:r w:rsidR="00C75035">
        <w:rPr>
          <w:lang w:val="en-GB"/>
        </w:rPr>
        <w:t>ing</w:t>
      </w:r>
      <w:r w:rsidR="00C75035" w:rsidRPr="004F0976">
        <w:rPr>
          <w:lang w:val="en-GB"/>
        </w:rPr>
        <w:t xml:space="preserve"> </w:t>
      </w:r>
      <w:r w:rsidR="0071151F" w:rsidRPr="004F0976">
        <w:rPr>
          <w:lang w:val="en-GB"/>
        </w:rPr>
        <w:t>C</w:t>
      </w:r>
      <w:r w:rsidR="0071151F" w:rsidRPr="004F0976">
        <w:rPr>
          <w:vertAlign w:val="subscript"/>
          <w:lang w:val="en-GB"/>
        </w:rPr>
        <w:t>od</w:t>
      </w:r>
      <w:r w:rsidR="0071151F" w:rsidRPr="004F0976">
        <w:rPr>
          <w:lang w:val="en-GB"/>
        </w:rPr>
        <w:t xml:space="preserve"> </w:t>
      </w:r>
      <w:r w:rsidR="002A498F">
        <w:rPr>
          <w:lang w:val="en-GB"/>
        </w:rPr>
        <w:t>was defined</w:t>
      </w:r>
      <w:r w:rsidR="0071151F" w:rsidRPr="004F0976">
        <w:rPr>
          <w:lang w:val="en-GB"/>
        </w:rPr>
        <w:t xml:space="preserve"> </w:t>
      </w:r>
      <w:r w:rsidR="0071151F" w:rsidRPr="004F0976">
        <w:rPr>
          <w:rFonts w:cs="Arial"/>
          <w:lang w:val="en-GB"/>
        </w:rPr>
        <w:t>≤</w:t>
      </w:r>
      <w:r w:rsidR="0071151F" w:rsidRPr="004F0976">
        <w:rPr>
          <w:lang w:val="en-GB"/>
        </w:rPr>
        <w:t xml:space="preserve"> MDV for the sample.</w:t>
      </w:r>
    </w:p>
    <w:p w14:paraId="2668A701" w14:textId="06CBD2D3" w:rsidR="00AF321B" w:rsidRPr="004F0976" w:rsidRDefault="00AF321B" w:rsidP="00AF321B">
      <w:pPr>
        <w:pStyle w:val="CETheadingx"/>
        <w:rPr>
          <w:lang w:val="en-GB"/>
        </w:rPr>
      </w:pPr>
      <w:r w:rsidRPr="004F0976">
        <w:rPr>
          <w:lang w:val="en-GB"/>
        </w:rPr>
        <w:t>Acceptability criteria</w:t>
      </w:r>
    </w:p>
    <w:p w14:paraId="36172D53" w14:textId="2515BBA1" w:rsidR="00A24040" w:rsidRDefault="00AF321B" w:rsidP="00600535">
      <w:pPr>
        <w:pStyle w:val="CETBodytext"/>
        <w:rPr>
          <w:lang w:val="en-GB"/>
        </w:rPr>
      </w:pPr>
      <w:r w:rsidRPr="004F0976">
        <w:rPr>
          <w:lang w:val="en-GB"/>
        </w:rPr>
        <w:t xml:space="preserve">According to the </w:t>
      </w:r>
      <w:r w:rsidR="001B49F7" w:rsidRPr="004F0976">
        <w:rPr>
          <w:lang w:val="en-GB"/>
        </w:rPr>
        <w:t>obtained</w:t>
      </w:r>
      <w:r w:rsidR="001B49F7">
        <w:rPr>
          <w:lang w:val="en-GB"/>
        </w:rPr>
        <w:t xml:space="preserve"> </w:t>
      </w:r>
      <w:r w:rsidRPr="004F0976">
        <w:rPr>
          <w:lang w:val="en-GB"/>
        </w:rPr>
        <w:t xml:space="preserve">results, samples were classified </w:t>
      </w:r>
      <w:proofErr w:type="gramStart"/>
      <w:r w:rsidRPr="004F0976">
        <w:rPr>
          <w:lang w:val="en-GB"/>
        </w:rPr>
        <w:t>on the basis of</w:t>
      </w:r>
      <w:proofErr w:type="gramEnd"/>
      <w:r w:rsidRPr="004F0976">
        <w:rPr>
          <w:lang w:val="en-GB"/>
        </w:rPr>
        <w:t xml:space="preserve"> the ratio between the measured odour concentration (C</w:t>
      </w:r>
      <w:r w:rsidRPr="004F0976">
        <w:rPr>
          <w:vertAlign w:val="subscript"/>
          <w:lang w:val="en-GB"/>
        </w:rPr>
        <w:t>od</w:t>
      </w:r>
      <w:r w:rsidRPr="004F0976">
        <w:rPr>
          <w:lang w:val="en-GB"/>
        </w:rPr>
        <w:t xml:space="preserve">) and the minimum dilution value (MDV). Specifically, samples were considered </w:t>
      </w:r>
      <w:r w:rsidR="00EA681B" w:rsidRPr="004F0976">
        <w:rPr>
          <w:lang w:val="en-GB"/>
        </w:rPr>
        <w:t>“</w:t>
      </w:r>
      <w:r w:rsidRPr="004F0976">
        <w:rPr>
          <w:lang w:val="en-GB"/>
        </w:rPr>
        <w:t>non-acceptable</w:t>
      </w:r>
      <w:r w:rsidR="00EA681B" w:rsidRPr="004F0976">
        <w:rPr>
          <w:lang w:val="en-GB"/>
        </w:rPr>
        <w:t>”</w:t>
      </w:r>
      <w:r w:rsidRPr="004F0976">
        <w:rPr>
          <w:lang w:val="en-GB"/>
        </w:rPr>
        <w:t xml:space="preserve"> when C</w:t>
      </w:r>
      <w:r w:rsidRPr="004F0976">
        <w:rPr>
          <w:vertAlign w:val="subscript"/>
          <w:lang w:val="en-GB"/>
        </w:rPr>
        <w:t xml:space="preserve">od </w:t>
      </w:r>
      <w:r w:rsidRPr="004F0976">
        <w:rPr>
          <w:lang w:val="en-GB"/>
        </w:rPr>
        <w:t xml:space="preserve">≤ MDV, </w:t>
      </w:r>
      <w:r w:rsidR="00EA681B" w:rsidRPr="004F0976">
        <w:rPr>
          <w:lang w:val="en-GB"/>
        </w:rPr>
        <w:t>“</w:t>
      </w:r>
      <w:r w:rsidRPr="004F0976">
        <w:rPr>
          <w:lang w:val="en-GB"/>
        </w:rPr>
        <w:t>borderline</w:t>
      </w:r>
      <w:r w:rsidR="00EA681B" w:rsidRPr="004F0976">
        <w:rPr>
          <w:lang w:val="en-GB"/>
        </w:rPr>
        <w:t>”</w:t>
      </w:r>
      <w:r w:rsidRPr="004F0976">
        <w:rPr>
          <w:lang w:val="en-GB"/>
        </w:rPr>
        <w:t xml:space="preserve"> when MDV &lt; C</w:t>
      </w:r>
      <w:r w:rsidRPr="004F0976">
        <w:rPr>
          <w:vertAlign w:val="subscript"/>
          <w:lang w:val="en-GB"/>
        </w:rPr>
        <w:t>od</w:t>
      </w:r>
      <w:r w:rsidRPr="004F0976">
        <w:rPr>
          <w:lang w:val="en-GB"/>
        </w:rPr>
        <w:t xml:space="preserve"> ≤ 4·MDV, and </w:t>
      </w:r>
      <w:r w:rsidR="00EA681B" w:rsidRPr="004F0976">
        <w:rPr>
          <w:lang w:val="en-GB"/>
        </w:rPr>
        <w:t>“</w:t>
      </w:r>
      <w:r w:rsidRPr="004F0976">
        <w:rPr>
          <w:lang w:val="en-GB"/>
        </w:rPr>
        <w:t>acceptable</w:t>
      </w:r>
      <w:r w:rsidR="00EA681B" w:rsidRPr="004F0976">
        <w:rPr>
          <w:lang w:val="en-GB"/>
        </w:rPr>
        <w:t>”</w:t>
      </w:r>
      <w:r w:rsidRPr="004F0976">
        <w:rPr>
          <w:lang w:val="en-GB"/>
        </w:rPr>
        <w:t xml:space="preserve"> when C</w:t>
      </w:r>
      <w:r w:rsidRPr="004F0976">
        <w:rPr>
          <w:vertAlign w:val="subscript"/>
          <w:lang w:val="en-GB"/>
        </w:rPr>
        <w:t>od</w:t>
      </w:r>
      <w:r w:rsidRPr="004F0976">
        <w:rPr>
          <w:lang w:val="en-GB"/>
        </w:rPr>
        <w:t xml:space="preserve"> &gt; 4·MDV. </w:t>
      </w:r>
    </w:p>
    <w:p w14:paraId="633CBAD7" w14:textId="69FD3CE3" w:rsidR="00AF321B" w:rsidRPr="004F0976" w:rsidRDefault="00AF321B" w:rsidP="00600535">
      <w:pPr>
        <w:pStyle w:val="CETBodytext"/>
        <w:rPr>
          <w:lang w:val="en-GB"/>
        </w:rPr>
      </w:pPr>
      <w:r w:rsidRPr="004F0976">
        <w:rPr>
          <w:lang w:val="en-GB"/>
        </w:rPr>
        <w:t>The introduction of the borderline class was intended to reflect both the factor-of-two stepwise dilution sequence of the olfactometer and the variability associated with C</w:t>
      </w:r>
      <w:r w:rsidRPr="004F0976">
        <w:rPr>
          <w:vertAlign w:val="subscript"/>
          <w:lang w:val="en-GB"/>
        </w:rPr>
        <w:t>od</w:t>
      </w:r>
      <w:r w:rsidRPr="004F0976">
        <w:rPr>
          <w:lang w:val="en-GB"/>
        </w:rPr>
        <w:t xml:space="preserve"> determination</w:t>
      </w:r>
      <w:r w:rsidR="00B033D8">
        <w:rPr>
          <w:lang w:val="en-GB"/>
        </w:rPr>
        <w:t xml:space="preserve"> and allows </w:t>
      </w:r>
      <w:r w:rsidR="00C75035">
        <w:rPr>
          <w:lang w:val="en-GB"/>
        </w:rPr>
        <w:t>the quantification of</w:t>
      </w:r>
      <w:r w:rsidR="00B033D8">
        <w:rPr>
          <w:lang w:val="en-GB"/>
        </w:rPr>
        <w:t xml:space="preserve"> samples that </w:t>
      </w:r>
      <w:r w:rsidR="00C75035">
        <w:rPr>
          <w:lang w:val="en-GB"/>
        </w:rPr>
        <w:t xml:space="preserve">may require </w:t>
      </w:r>
      <w:r w:rsidR="00DF72DF">
        <w:rPr>
          <w:lang w:val="en-GB"/>
        </w:rPr>
        <w:t xml:space="preserve">specific </w:t>
      </w:r>
      <w:r w:rsidR="00B033D8">
        <w:rPr>
          <w:lang w:val="en-GB"/>
        </w:rPr>
        <w:t>attention.</w:t>
      </w:r>
    </w:p>
    <w:p w14:paraId="789E2A92" w14:textId="6E58EADE" w:rsidR="00AF321B" w:rsidRPr="004F0976" w:rsidRDefault="00AF321B" w:rsidP="00AF321B">
      <w:pPr>
        <w:pStyle w:val="CETHeading1"/>
        <w:rPr>
          <w:lang w:val="en-GB"/>
        </w:rPr>
      </w:pPr>
      <w:r w:rsidRPr="004F0976">
        <w:rPr>
          <w:lang w:val="en-GB"/>
        </w:rPr>
        <w:t>Results</w:t>
      </w:r>
    </w:p>
    <w:p w14:paraId="347CC02F" w14:textId="1E6DF0DC" w:rsidR="00665AC5" w:rsidRPr="004F0976" w:rsidRDefault="00EA681B" w:rsidP="00665AC5">
      <w:pPr>
        <w:pStyle w:val="CETheadingx"/>
        <w:rPr>
          <w:lang w:val="en-GB"/>
        </w:rPr>
      </w:pPr>
      <w:r w:rsidRPr="004F0976">
        <w:rPr>
          <w:lang w:val="en-GB"/>
        </w:rPr>
        <w:t>Samples c</w:t>
      </w:r>
      <w:r w:rsidR="00665AC5" w:rsidRPr="004F0976">
        <w:rPr>
          <w:lang w:val="en-GB"/>
        </w:rPr>
        <w:t>oncentration</w:t>
      </w:r>
    </w:p>
    <w:p w14:paraId="1A96E3B1" w14:textId="1CAF86E2" w:rsidR="00665AC5" w:rsidRPr="004F0976" w:rsidRDefault="00665AC5" w:rsidP="00665AC5">
      <w:pPr>
        <w:pStyle w:val="CETBodytext"/>
        <w:rPr>
          <w:lang w:val="en-GB"/>
        </w:rPr>
      </w:pPr>
      <w:r w:rsidRPr="004F0976">
        <w:rPr>
          <w:lang w:val="en-GB"/>
        </w:rPr>
        <w:t>First, a preliminary evaluation of the concentrations obtained for the 86 samples considered</w:t>
      </w:r>
      <w:r w:rsidR="00C46A68">
        <w:rPr>
          <w:lang w:val="en-GB"/>
        </w:rPr>
        <w:t xml:space="preserve"> can be </w:t>
      </w:r>
      <w:r w:rsidR="00C75035">
        <w:rPr>
          <w:lang w:val="en-GB"/>
        </w:rPr>
        <w:t>performed</w:t>
      </w:r>
      <w:r w:rsidR="00C46A68">
        <w:rPr>
          <w:lang w:val="en-GB"/>
        </w:rPr>
        <w:t>.</w:t>
      </w:r>
      <w:r w:rsidRPr="004F0976">
        <w:rPr>
          <w:lang w:val="en-GB"/>
        </w:rPr>
        <w:t xml:space="preserve"> </w:t>
      </w:r>
      <w:r w:rsidR="0032098E" w:rsidRPr="004F0976">
        <w:rPr>
          <w:lang w:val="en-GB"/>
        </w:rPr>
        <w:fldChar w:fldCharType="begin"/>
      </w:r>
      <w:r w:rsidR="0032098E" w:rsidRPr="004F0976">
        <w:rPr>
          <w:lang w:val="en-GB"/>
        </w:rPr>
        <w:instrText xml:space="preserve"> REF _Ref228031565 \h </w:instrText>
      </w:r>
      <w:r w:rsidR="0032098E" w:rsidRPr="004F0976">
        <w:rPr>
          <w:lang w:val="en-GB"/>
        </w:rPr>
      </w:r>
      <w:r w:rsidR="0032098E" w:rsidRPr="004F0976">
        <w:rPr>
          <w:lang w:val="en-GB"/>
        </w:rPr>
        <w:fldChar w:fldCharType="separate"/>
      </w:r>
      <w:r w:rsidR="00D03048" w:rsidRPr="004F0976">
        <w:t xml:space="preserve">Table </w:t>
      </w:r>
      <w:r w:rsidR="00D03048">
        <w:rPr>
          <w:noProof/>
        </w:rPr>
        <w:t>2</w:t>
      </w:r>
      <w:r w:rsidR="0032098E" w:rsidRPr="004F0976">
        <w:rPr>
          <w:lang w:val="en-GB"/>
        </w:rPr>
        <w:fldChar w:fldCharType="end"/>
      </w:r>
      <w:r w:rsidRPr="004F0976">
        <w:rPr>
          <w:lang w:val="en-GB"/>
        </w:rPr>
        <w:t xml:space="preserve"> reports the minimum and the maximum values measured for the samples </w:t>
      </w:r>
      <w:r w:rsidR="00C46A68">
        <w:rPr>
          <w:lang w:val="en-GB"/>
        </w:rPr>
        <w:t>(</w:t>
      </w:r>
      <w:r w:rsidRPr="004F0976">
        <w:rPr>
          <w:lang w:val="en-GB"/>
        </w:rPr>
        <w:t>C</w:t>
      </w:r>
      <w:r w:rsidRPr="004F0976">
        <w:rPr>
          <w:vertAlign w:val="subscript"/>
          <w:lang w:val="en-GB"/>
        </w:rPr>
        <w:t>od</w:t>
      </w:r>
      <w:r w:rsidRPr="004F0976">
        <w:rPr>
          <w:lang w:val="en-GB"/>
        </w:rPr>
        <w:t xml:space="preserve">, combustion products </w:t>
      </w:r>
      <w:r w:rsidR="00C46A68">
        <w:rPr>
          <w:lang w:val="en-GB"/>
        </w:rPr>
        <w:t>concentration</w:t>
      </w:r>
      <w:r w:rsidR="002D3DC7">
        <w:rPr>
          <w:lang w:val="en-GB"/>
        </w:rPr>
        <w:t>s</w:t>
      </w:r>
      <w:r w:rsidR="00C46A68">
        <w:rPr>
          <w:lang w:val="en-GB"/>
        </w:rPr>
        <w:t xml:space="preserve"> </w:t>
      </w:r>
      <w:r w:rsidRPr="004F0976">
        <w:rPr>
          <w:lang w:val="en-GB"/>
        </w:rPr>
        <w:t>and the calculated MDV</w:t>
      </w:r>
      <w:r w:rsidR="00C46A68">
        <w:rPr>
          <w:lang w:val="en-GB"/>
        </w:rPr>
        <w:t>)</w:t>
      </w:r>
      <w:r w:rsidRPr="004F0976">
        <w:rPr>
          <w:lang w:val="en-GB"/>
        </w:rPr>
        <w:t>.</w:t>
      </w:r>
    </w:p>
    <w:p w14:paraId="5201F08B" w14:textId="571FC3BB" w:rsidR="00665AC5" w:rsidRPr="004F0976" w:rsidRDefault="00665AC5" w:rsidP="00665AC5">
      <w:pPr>
        <w:pStyle w:val="CETTabletitle"/>
      </w:pPr>
      <w:bookmarkStart w:id="2" w:name="_Ref228031565"/>
      <w:r w:rsidRPr="004F0976">
        <w:t xml:space="preserve">Table </w:t>
      </w:r>
      <w:r w:rsidRPr="004F0976">
        <w:fldChar w:fldCharType="begin"/>
      </w:r>
      <w:r w:rsidRPr="004F0976">
        <w:instrText xml:space="preserve"> SEQ Table \* ARABIC </w:instrText>
      </w:r>
      <w:r w:rsidRPr="004F0976">
        <w:fldChar w:fldCharType="separate"/>
      </w:r>
      <w:r w:rsidR="00D03048">
        <w:rPr>
          <w:noProof/>
        </w:rPr>
        <w:t>2</w:t>
      </w:r>
      <w:r w:rsidRPr="004F0976">
        <w:fldChar w:fldCharType="end"/>
      </w:r>
      <w:bookmarkEnd w:id="2"/>
      <w:r w:rsidRPr="004F0976">
        <w:t xml:space="preserve">: </w:t>
      </w:r>
      <w:r w:rsidR="00C50E8F" w:rsidRPr="004F0976">
        <w:t>Minimum and maximum values for the combustion stacks samples analysed</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929"/>
        <w:gridCol w:w="2930"/>
        <w:gridCol w:w="2928"/>
      </w:tblGrid>
      <w:tr w:rsidR="00665AC5" w:rsidRPr="004F0976" w14:paraId="7BE6570A" w14:textId="77777777" w:rsidTr="00665AC5">
        <w:tc>
          <w:tcPr>
            <w:tcW w:w="1667" w:type="pct"/>
            <w:tcBorders>
              <w:top w:val="single" w:sz="12" w:space="0" w:color="008000"/>
              <w:bottom w:val="single" w:sz="6" w:space="0" w:color="008000"/>
            </w:tcBorders>
            <w:shd w:val="clear" w:color="auto" w:fill="FFFFFF"/>
            <w:vAlign w:val="center"/>
          </w:tcPr>
          <w:p w14:paraId="1E917F6A" w14:textId="5B556772" w:rsidR="00665AC5" w:rsidRPr="004F0976" w:rsidRDefault="00665AC5" w:rsidP="00665AC5">
            <w:pPr>
              <w:pStyle w:val="CETBodytext"/>
              <w:jc w:val="center"/>
              <w:rPr>
                <w:lang w:val="en-GB"/>
              </w:rPr>
            </w:pPr>
            <w:r w:rsidRPr="004F0976">
              <w:rPr>
                <w:lang w:val="en-GB"/>
              </w:rPr>
              <w:t>Parameters</w:t>
            </w:r>
          </w:p>
        </w:tc>
        <w:tc>
          <w:tcPr>
            <w:tcW w:w="1667" w:type="pct"/>
            <w:tcBorders>
              <w:top w:val="single" w:sz="12" w:space="0" w:color="008000"/>
              <w:bottom w:val="single" w:sz="6" w:space="0" w:color="008000"/>
            </w:tcBorders>
            <w:shd w:val="clear" w:color="auto" w:fill="FFFFFF"/>
            <w:vAlign w:val="center"/>
          </w:tcPr>
          <w:p w14:paraId="4ED1BA1B" w14:textId="19A3EFD6" w:rsidR="00665AC5" w:rsidRPr="004F0976" w:rsidRDefault="00665AC5" w:rsidP="00665AC5">
            <w:pPr>
              <w:pStyle w:val="CETBodytext"/>
              <w:jc w:val="center"/>
              <w:rPr>
                <w:lang w:val="en-GB"/>
              </w:rPr>
            </w:pPr>
            <w:r w:rsidRPr="004F0976">
              <w:rPr>
                <w:lang w:val="en-GB"/>
              </w:rPr>
              <w:t>Min value</w:t>
            </w:r>
          </w:p>
        </w:tc>
        <w:tc>
          <w:tcPr>
            <w:tcW w:w="1666" w:type="pct"/>
            <w:tcBorders>
              <w:top w:val="single" w:sz="12" w:space="0" w:color="008000"/>
              <w:bottom w:val="single" w:sz="6" w:space="0" w:color="008000"/>
            </w:tcBorders>
            <w:shd w:val="clear" w:color="auto" w:fill="FFFFFF"/>
            <w:vAlign w:val="center"/>
          </w:tcPr>
          <w:p w14:paraId="5EDD8B47" w14:textId="777558E3" w:rsidR="00665AC5" w:rsidRPr="004F0976" w:rsidRDefault="00665AC5" w:rsidP="00665AC5">
            <w:pPr>
              <w:pStyle w:val="CETBodytext"/>
              <w:jc w:val="center"/>
              <w:rPr>
                <w:lang w:val="en-GB"/>
              </w:rPr>
            </w:pPr>
            <w:r w:rsidRPr="004F0976">
              <w:rPr>
                <w:lang w:val="en-GB"/>
              </w:rPr>
              <w:t>Max value</w:t>
            </w:r>
          </w:p>
        </w:tc>
      </w:tr>
      <w:tr w:rsidR="00665AC5" w:rsidRPr="004F0976" w14:paraId="1138042F" w14:textId="77777777" w:rsidTr="00665AC5">
        <w:tc>
          <w:tcPr>
            <w:tcW w:w="1667" w:type="pct"/>
            <w:shd w:val="clear" w:color="auto" w:fill="FFFFFF"/>
            <w:vAlign w:val="center"/>
          </w:tcPr>
          <w:p w14:paraId="4EA611C5" w14:textId="51371173" w:rsidR="00665AC5" w:rsidRPr="004F0976" w:rsidRDefault="00665AC5" w:rsidP="00665AC5">
            <w:pPr>
              <w:pStyle w:val="CETBodytext"/>
              <w:jc w:val="center"/>
              <w:rPr>
                <w:lang w:val="en-GB"/>
              </w:rPr>
            </w:pPr>
            <w:r w:rsidRPr="004F0976">
              <w:rPr>
                <w:lang w:val="en-GB"/>
              </w:rPr>
              <w:t>C</w:t>
            </w:r>
            <w:r w:rsidRPr="004F0976">
              <w:rPr>
                <w:vertAlign w:val="subscript"/>
                <w:lang w:val="en-GB"/>
              </w:rPr>
              <w:t>od</w:t>
            </w:r>
            <w:r w:rsidR="00C50E8F" w:rsidRPr="004F0976">
              <w:rPr>
                <w:vertAlign w:val="subscript"/>
                <w:lang w:val="en-GB"/>
              </w:rPr>
              <w:t xml:space="preserve"> </w:t>
            </w:r>
            <w:r w:rsidR="00C50E8F" w:rsidRPr="004F0976">
              <w:rPr>
                <w:lang w:val="en-GB"/>
              </w:rPr>
              <w:t>[</w:t>
            </w:r>
            <w:proofErr w:type="spellStart"/>
            <w:r w:rsidR="00C50E8F" w:rsidRPr="004F0976">
              <w:rPr>
                <w:lang w:val="en-GB"/>
              </w:rPr>
              <w:t>ou</w:t>
            </w:r>
            <w:r w:rsidR="00C50E8F" w:rsidRPr="004F0976">
              <w:rPr>
                <w:vertAlign w:val="subscript"/>
                <w:lang w:val="en-GB"/>
              </w:rPr>
              <w:t>E</w:t>
            </w:r>
            <w:proofErr w:type="spellEnd"/>
            <w:r w:rsidR="00C50E8F" w:rsidRPr="004F0976">
              <w:rPr>
                <w:lang w:val="en-GB"/>
              </w:rPr>
              <w:t>/m</w:t>
            </w:r>
            <w:r w:rsidR="00C50E8F" w:rsidRPr="004F0976">
              <w:rPr>
                <w:vertAlign w:val="superscript"/>
                <w:lang w:val="en-GB"/>
              </w:rPr>
              <w:t>3</w:t>
            </w:r>
            <w:r w:rsidR="00C50E8F" w:rsidRPr="004F0976">
              <w:rPr>
                <w:lang w:val="en-GB"/>
              </w:rPr>
              <w:t>]</w:t>
            </w:r>
          </w:p>
        </w:tc>
        <w:tc>
          <w:tcPr>
            <w:tcW w:w="1667" w:type="pct"/>
            <w:shd w:val="clear" w:color="auto" w:fill="FFFFFF"/>
            <w:vAlign w:val="center"/>
          </w:tcPr>
          <w:p w14:paraId="54048536" w14:textId="7A631B8D" w:rsidR="00665AC5" w:rsidRPr="004F0976" w:rsidRDefault="00665AC5" w:rsidP="00665AC5">
            <w:pPr>
              <w:pStyle w:val="CETBodytext"/>
              <w:jc w:val="center"/>
              <w:rPr>
                <w:lang w:val="en-GB"/>
              </w:rPr>
            </w:pPr>
            <w:r w:rsidRPr="004F0976">
              <w:rPr>
                <w:lang w:val="en-GB"/>
              </w:rPr>
              <w:t>58</w:t>
            </w:r>
          </w:p>
        </w:tc>
        <w:tc>
          <w:tcPr>
            <w:tcW w:w="1666" w:type="pct"/>
            <w:shd w:val="clear" w:color="auto" w:fill="FFFFFF"/>
            <w:vAlign w:val="center"/>
          </w:tcPr>
          <w:p w14:paraId="4C774FDE" w14:textId="53E687A4" w:rsidR="00665AC5" w:rsidRPr="004F0976" w:rsidRDefault="00665AC5" w:rsidP="00665AC5">
            <w:pPr>
              <w:pStyle w:val="CETBodytext"/>
              <w:jc w:val="center"/>
              <w:rPr>
                <w:lang w:val="en-GB"/>
              </w:rPr>
            </w:pPr>
            <w:r w:rsidRPr="004F0976">
              <w:rPr>
                <w:lang w:val="en-GB"/>
              </w:rPr>
              <w:t>2</w:t>
            </w:r>
            <w:r w:rsidR="00C50E8F" w:rsidRPr="004F0976">
              <w:rPr>
                <w:lang w:val="en-GB"/>
              </w:rPr>
              <w:t>’500</w:t>
            </w:r>
          </w:p>
        </w:tc>
      </w:tr>
      <w:tr w:rsidR="00665AC5" w:rsidRPr="004F0976" w14:paraId="3E2CCCF7" w14:textId="77777777" w:rsidTr="00665AC5">
        <w:tc>
          <w:tcPr>
            <w:tcW w:w="1667" w:type="pct"/>
            <w:shd w:val="clear" w:color="auto" w:fill="FFFFFF"/>
            <w:vAlign w:val="center"/>
          </w:tcPr>
          <w:p w14:paraId="5F7D589D" w14:textId="7604EC03" w:rsidR="00665AC5" w:rsidRPr="004F0976" w:rsidRDefault="00665AC5" w:rsidP="00665AC5">
            <w:pPr>
              <w:pStyle w:val="CETBodytext"/>
              <w:jc w:val="center"/>
              <w:rPr>
                <w:lang w:val="en-GB"/>
              </w:rPr>
            </w:pPr>
            <w:r w:rsidRPr="004F0976">
              <w:rPr>
                <w:lang w:val="en-GB"/>
              </w:rPr>
              <w:t>SO</w:t>
            </w:r>
            <w:r w:rsidRPr="009159DD">
              <w:rPr>
                <w:vertAlign w:val="subscript"/>
                <w:lang w:val="en-GB"/>
              </w:rPr>
              <w:t>2</w:t>
            </w:r>
            <w:r w:rsidRPr="004F0976">
              <w:rPr>
                <w:lang w:val="en-GB"/>
              </w:rPr>
              <w:t xml:space="preserve"> [ppm]</w:t>
            </w:r>
          </w:p>
        </w:tc>
        <w:tc>
          <w:tcPr>
            <w:tcW w:w="1667" w:type="pct"/>
            <w:shd w:val="clear" w:color="auto" w:fill="FFFFFF"/>
            <w:vAlign w:val="center"/>
          </w:tcPr>
          <w:p w14:paraId="66BD5BCB" w14:textId="35DF1E49" w:rsidR="00665AC5" w:rsidRPr="004F0976" w:rsidRDefault="00665AC5" w:rsidP="00665AC5">
            <w:pPr>
              <w:pStyle w:val="CETBodytext"/>
              <w:jc w:val="center"/>
              <w:rPr>
                <w:lang w:val="en-GB"/>
              </w:rPr>
            </w:pPr>
            <w:r w:rsidRPr="004F0976">
              <w:rPr>
                <w:lang w:val="en-GB"/>
              </w:rPr>
              <w:t>0.1</w:t>
            </w:r>
          </w:p>
        </w:tc>
        <w:tc>
          <w:tcPr>
            <w:tcW w:w="1666" w:type="pct"/>
            <w:shd w:val="clear" w:color="auto" w:fill="FFFFFF"/>
            <w:vAlign w:val="center"/>
          </w:tcPr>
          <w:p w14:paraId="09777602" w14:textId="4B999F46" w:rsidR="00665AC5" w:rsidRPr="004F0976" w:rsidRDefault="00665AC5" w:rsidP="00665AC5">
            <w:pPr>
              <w:pStyle w:val="CETBodytext"/>
              <w:jc w:val="center"/>
              <w:rPr>
                <w:lang w:val="en-GB"/>
              </w:rPr>
            </w:pPr>
            <w:r w:rsidRPr="004F0976">
              <w:rPr>
                <w:lang w:val="en-GB"/>
              </w:rPr>
              <w:t>450</w:t>
            </w:r>
          </w:p>
        </w:tc>
      </w:tr>
      <w:tr w:rsidR="00665AC5" w:rsidRPr="004F0976" w14:paraId="36EE6B48" w14:textId="77777777" w:rsidTr="00665AC5">
        <w:tc>
          <w:tcPr>
            <w:tcW w:w="1667" w:type="pct"/>
            <w:shd w:val="clear" w:color="auto" w:fill="FFFFFF"/>
            <w:vAlign w:val="center"/>
          </w:tcPr>
          <w:p w14:paraId="7668D2F5" w14:textId="5F802894" w:rsidR="00665AC5" w:rsidRPr="004F0976" w:rsidRDefault="00665AC5" w:rsidP="00665AC5">
            <w:pPr>
              <w:pStyle w:val="CETBodytext"/>
              <w:jc w:val="center"/>
              <w:rPr>
                <w:lang w:val="en-GB"/>
              </w:rPr>
            </w:pPr>
            <w:r w:rsidRPr="004F0976">
              <w:rPr>
                <w:lang w:val="en-GB"/>
              </w:rPr>
              <w:t>NO [ppm]</w:t>
            </w:r>
          </w:p>
        </w:tc>
        <w:tc>
          <w:tcPr>
            <w:tcW w:w="1667" w:type="pct"/>
            <w:shd w:val="clear" w:color="auto" w:fill="FFFFFF"/>
            <w:vAlign w:val="center"/>
          </w:tcPr>
          <w:p w14:paraId="2E71FE96" w14:textId="52A1A209" w:rsidR="00665AC5" w:rsidRPr="004F0976" w:rsidRDefault="00665AC5" w:rsidP="00665AC5">
            <w:pPr>
              <w:pStyle w:val="CETBodytext"/>
              <w:jc w:val="center"/>
              <w:rPr>
                <w:lang w:val="en-GB"/>
              </w:rPr>
            </w:pPr>
            <w:r w:rsidRPr="004F0976">
              <w:rPr>
                <w:lang w:val="en-GB"/>
              </w:rPr>
              <w:t>0.2</w:t>
            </w:r>
          </w:p>
        </w:tc>
        <w:tc>
          <w:tcPr>
            <w:tcW w:w="1666" w:type="pct"/>
            <w:shd w:val="clear" w:color="auto" w:fill="FFFFFF"/>
            <w:vAlign w:val="center"/>
          </w:tcPr>
          <w:p w14:paraId="66408FFD" w14:textId="1DD21F2B" w:rsidR="00665AC5" w:rsidRPr="004F0976" w:rsidRDefault="00665AC5" w:rsidP="00665AC5">
            <w:pPr>
              <w:pStyle w:val="CETBodytext"/>
              <w:jc w:val="center"/>
              <w:rPr>
                <w:lang w:val="en-GB"/>
              </w:rPr>
            </w:pPr>
            <w:r w:rsidRPr="004F0976">
              <w:rPr>
                <w:lang w:val="en-GB"/>
              </w:rPr>
              <w:t>757</w:t>
            </w:r>
          </w:p>
        </w:tc>
      </w:tr>
      <w:tr w:rsidR="00665AC5" w:rsidRPr="004F0976" w14:paraId="2F02263E" w14:textId="77777777" w:rsidTr="00665AC5">
        <w:tc>
          <w:tcPr>
            <w:tcW w:w="1667" w:type="pct"/>
            <w:shd w:val="clear" w:color="auto" w:fill="FFFFFF"/>
            <w:vAlign w:val="center"/>
          </w:tcPr>
          <w:p w14:paraId="4B1944F5" w14:textId="21027DAE" w:rsidR="00665AC5" w:rsidRPr="004F0976" w:rsidRDefault="00665AC5" w:rsidP="00665AC5">
            <w:pPr>
              <w:pStyle w:val="CETBodytext"/>
              <w:jc w:val="center"/>
              <w:rPr>
                <w:lang w:val="en-GB"/>
              </w:rPr>
            </w:pPr>
            <w:r w:rsidRPr="004F0976">
              <w:rPr>
                <w:lang w:val="en-GB"/>
              </w:rPr>
              <w:t>NO</w:t>
            </w:r>
            <w:r w:rsidRPr="009159DD">
              <w:rPr>
                <w:vertAlign w:val="subscript"/>
                <w:lang w:val="en-GB"/>
              </w:rPr>
              <w:t>2</w:t>
            </w:r>
            <w:r w:rsidRPr="004F0976">
              <w:rPr>
                <w:lang w:val="en-GB"/>
              </w:rPr>
              <w:t xml:space="preserve"> [ppm]</w:t>
            </w:r>
          </w:p>
        </w:tc>
        <w:tc>
          <w:tcPr>
            <w:tcW w:w="1667" w:type="pct"/>
            <w:shd w:val="clear" w:color="auto" w:fill="FFFFFF"/>
            <w:vAlign w:val="center"/>
          </w:tcPr>
          <w:p w14:paraId="23774A2A" w14:textId="779C3381" w:rsidR="00665AC5" w:rsidRPr="004F0976" w:rsidRDefault="00665AC5" w:rsidP="00665AC5">
            <w:pPr>
              <w:pStyle w:val="CETBodytext"/>
              <w:jc w:val="center"/>
              <w:rPr>
                <w:lang w:val="en-GB"/>
              </w:rPr>
            </w:pPr>
            <w:r w:rsidRPr="004F0976">
              <w:rPr>
                <w:lang w:val="en-GB"/>
              </w:rPr>
              <w:t>0.9</w:t>
            </w:r>
          </w:p>
        </w:tc>
        <w:tc>
          <w:tcPr>
            <w:tcW w:w="1666" w:type="pct"/>
            <w:shd w:val="clear" w:color="auto" w:fill="FFFFFF"/>
            <w:vAlign w:val="center"/>
          </w:tcPr>
          <w:p w14:paraId="3264FAF6" w14:textId="3E70DE04" w:rsidR="00665AC5" w:rsidRPr="004F0976" w:rsidRDefault="00665AC5" w:rsidP="00665AC5">
            <w:pPr>
              <w:pStyle w:val="CETBodytext"/>
              <w:jc w:val="center"/>
              <w:rPr>
                <w:lang w:val="en-GB"/>
              </w:rPr>
            </w:pPr>
            <w:r w:rsidRPr="004F0976">
              <w:rPr>
                <w:lang w:val="en-GB"/>
              </w:rPr>
              <w:t>270</w:t>
            </w:r>
          </w:p>
        </w:tc>
      </w:tr>
      <w:tr w:rsidR="00665AC5" w:rsidRPr="004F0976" w14:paraId="7C563315" w14:textId="77777777" w:rsidTr="00665AC5">
        <w:tc>
          <w:tcPr>
            <w:tcW w:w="1667" w:type="pct"/>
            <w:shd w:val="clear" w:color="auto" w:fill="FFFFFF"/>
            <w:vAlign w:val="center"/>
          </w:tcPr>
          <w:p w14:paraId="45BE33C8" w14:textId="0B020690" w:rsidR="00665AC5" w:rsidRPr="004F0976" w:rsidRDefault="00665AC5" w:rsidP="00665AC5">
            <w:pPr>
              <w:pStyle w:val="CETBodytext"/>
              <w:jc w:val="center"/>
              <w:rPr>
                <w:lang w:val="en-GB"/>
              </w:rPr>
            </w:pPr>
            <w:r w:rsidRPr="004F0976">
              <w:rPr>
                <w:lang w:val="en-GB"/>
              </w:rPr>
              <w:t>CO [ppm]</w:t>
            </w:r>
          </w:p>
        </w:tc>
        <w:tc>
          <w:tcPr>
            <w:tcW w:w="1667" w:type="pct"/>
            <w:shd w:val="clear" w:color="auto" w:fill="FFFFFF"/>
            <w:vAlign w:val="center"/>
          </w:tcPr>
          <w:p w14:paraId="2CD55560" w14:textId="67C2843F" w:rsidR="00665AC5" w:rsidRPr="004F0976" w:rsidRDefault="00665AC5" w:rsidP="00665AC5">
            <w:pPr>
              <w:pStyle w:val="CETBodytext"/>
              <w:jc w:val="center"/>
              <w:rPr>
                <w:lang w:val="en-GB"/>
              </w:rPr>
            </w:pPr>
            <w:r w:rsidRPr="004F0976">
              <w:rPr>
                <w:lang w:val="en-GB"/>
              </w:rPr>
              <w:t>0.1</w:t>
            </w:r>
          </w:p>
        </w:tc>
        <w:tc>
          <w:tcPr>
            <w:tcW w:w="1666" w:type="pct"/>
            <w:shd w:val="clear" w:color="auto" w:fill="FFFFFF"/>
            <w:vAlign w:val="center"/>
          </w:tcPr>
          <w:p w14:paraId="0F3915ED" w14:textId="2C585F19" w:rsidR="00665AC5" w:rsidRPr="004F0976" w:rsidRDefault="00665AC5" w:rsidP="00665AC5">
            <w:pPr>
              <w:pStyle w:val="CETBodytext"/>
              <w:jc w:val="center"/>
              <w:rPr>
                <w:lang w:val="en-GB"/>
              </w:rPr>
            </w:pPr>
            <w:r w:rsidRPr="004F0976">
              <w:rPr>
                <w:lang w:val="en-GB"/>
              </w:rPr>
              <w:t>970</w:t>
            </w:r>
          </w:p>
        </w:tc>
      </w:tr>
      <w:tr w:rsidR="00665AC5" w:rsidRPr="004F0976" w14:paraId="264638E8" w14:textId="77777777" w:rsidTr="00665AC5">
        <w:tc>
          <w:tcPr>
            <w:tcW w:w="1667" w:type="pct"/>
            <w:shd w:val="clear" w:color="auto" w:fill="FFFFFF"/>
            <w:vAlign w:val="center"/>
          </w:tcPr>
          <w:p w14:paraId="2D053A45" w14:textId="34CFF8EF" w:rsidR="00665AC5" w:rsidRPr="004F0976" w:rsidRDefault="00665AC5" w:rsidP="00665AC5">
            <w:pPr>
              <w:pStyle w:val="CETBodytext"/>
              <w:jc w:val="center"/>
              <w:rPr>
                <w:lang w:val="en-GB"/>
              </w:rPr>
            </w:pPr>
            <w:r w:rsidRPr="004F0976">
              <w:rPr>
                <w:lang w:val="en-GB"/>
              </w:rPr>
              <w:t>MDV</w:t>
            </w:r>
          </w:p>
        </w:tc>
        <w:tc>
          <w:tcPr>
            <w:tcW w:w="1667" w:type="pct"/>
            <w:shd w:val="clear" w:color="auto" w:fill="FFFFFF"/>
            <w:vAlign w:val="center"/>
          </w:tcPr>
          <w:p w14:paraId="3C992F93" w14:textId="7D28AF57" w:rsidR="00665AC5" w:rsidRPr="004F0976" w:rsidRDefault="00665AC5" w:rsidP="00665AC5">
            <w:pPr>
              <w:pStyle w:val="CETBodytext"/>
              <w:jc w:val="center"/>
              <w:rPr>
                <w:lang w:val="en-GB"/>
              </w:rPr>
            </w:pPr>
            <w:r w:rsidRPr="004F0976">
              <w:rPr>
                <w:lang w:val="en-GB"/>
              </w:rPr>
              <w:t>4.4</w:t>
            </w:r>
          </w:p>
        </w:tc>
        <w:tc>
          <w:tcPr>
            <w:tcW w:w="1666" w:type="pct"/>
            <w:shd w:val="clear" w:color="auto" w:fill="FFFFFF"/>
            <w:vAlign w:val="center"/>
          </w:tcPr>
          <w:p w14:paraId="5BC2F151" w14:textId="7438A00D" w:rsidR="00665AC5" w:rsidRPr="004F0976" w:rsidRDefault="00665AC5" w:rsidP="00665AC5">
            <w:pPr>
              <w:pStyle w:val="CETBodytext"/>
              <w:jc w:val="center"/>
              <w:rPr>
                <w:lang w:val="en-GB"/>
              </w:rPr>
            </w:pPr>
            <w:r w:rsidRPr="004F0976">
              <w:rPr>
                <w:lang w:val="en-GB"/>
              </w:rPr>
              <w:t>1</w:t>
            </w:r>
            <w:r w:rsidR="00C50E8F" w:rsidRPr="004F0976">
              <w:rPr>
                <w:lang w:val="en-GB"/>
              </w:rPr>
              <w:t>’</w:t>
            </w:r>
            <w:r w:rsidRPr="004F0976">
              <w:rPr>
                <w:lang w:val="en-GB"/>
              </w:rPr>
              <w:t>120</w:t>
            </w:r>
          </w:p>
        </w:tc>
      </w:tr>
    </w:tbl>
    <w:p w14:paraId="63EADF44" w14:textId="77777777" w:rsidR="00665AC5" w:rsidRPr="004F0976" w:rsidRDefault="00665AC5" w:rsidP="00600535">
      <w:pPr>
        <w:pStyle w:val="CETBodytext"/>
        <w:rPr>
          <w:lang w:val="en-GB"/>
        </w:rPr>
      </w:pPr>
    </w:p>
    <w:p w14:paraId="12F3A8F8" w14:textId="138A8AD4" w:rsidR="007E30AA" w:rsidRPr="004F0976" w:rsidRDefault="0032098E" w:rsidP="00600535">
      <w:pPr>
        <w:pStyle w:val="CETBodytext"/>
        <w:rPr>
          <w:lang w:val="en-GB"/>
        </w:rPr>
      </w:pPr>
      <w:r w:rsidRPr="004F0976">
        <w:rPr>
          <w:lang w:val="en-GB"/>
        </w:rPr>
        <w:t xml:space="preserve">The results show that the MDV </w:t>
      </w:r>
      <w:r w:rsidR="002D3DC7">
        <w:rPr>
          <w:lang w:val="en-GB"/>
        </w:rPr>
        <w:t xml:space="preserve">values </w:t>
      </w:r>
      <w:r w:rsidR="00CE7F60">
        <w:rPr>
          <w:lang w:val="en-GB"/>
        </w:rPr>
        <w:t xml:space="preserve">calculated for the samples </w:t>
      </w:r>
      <w:r w:rsidRPr="004F0976">
        <w:rPr>
          <w:lang w:val="en-GB"/>
        </w:rPr>
        <w:t>exhibit a range that is comparable to the measured C</w:t>
      </w:r>
      <w:r w:rsidRPr="004F0976">
        <w:rPr>
          <w:vertAlign w:val="subscript"/>
          <w:lang w:val="en-GB"/>
        </w:rPr>
        <w:t>od</w:t>
      </w:r>
      <w:r w:rsidRPr="004F0976">
        <w:rPr>
          <w:lang w:val="en-GB"/>
        </w:rPr>
        <w:t xml:space="preserve"> values. This condition clearly indicates a reduced safety margin during dynamic olfactometry analyses. In addition, considering the combustion products’ concentration, it is possible to observe that the maximum concentration</w:t>
      </w:r>
      <w:r w:rsidR="002D3DC7">
        <w:rPr>
          <w:lang w:val="en-GB"/>
        </w:rPr>
        <w:t>s</w:t>
      </w:r>
      <w:r w:rsidRPr="004F0976">
        <w:rPr>
          <w:lang w:val="en-GB"/>
        </w:rPr>
        <w:t xml:space="preserve"> observed for the </w:t>
      </w:r>
      <w:r w:rsidR="002D3DC7">
        <w:rPr>
          <w:lang w:val="en-GB"/>
        </w:rPr>
        <w:t>four</w:t>
      </w:r>
      <w:r w:rsidRPr="004F0976">
        <w:rPr>
          <w:lang w:val="en-GB"/>
        </w:rPr>
        <w:t xml:space="preserve"> compounds</w:t>
      </w:r>
      <w:r w:rsidR="00527E59" w:rsidRPr="004F0976">
        <w:rPr>
          <w:lang w:val="en-GB"/>
        </w:rPr>
        <w:t xml:space="preserve"> (measured before olfactometric analysis)</w:t>
      </w:r>
      <w:r w:rsidRPr="004F0976">
        <w:rPr>
          <w:lang w:val="en-GB"/>
        </w:rPr>
        <w:t xml:space="preserve"> are </w:t>
      </w:r>
      <w:r w:rsidR="00E214A6" w:rsidRPr="004F0976">
        <w:rPr>
          <w:lang w:val="en-GB"/>
        </w:rPr>
        <w:t xml:space="preserve">significantly elevated, reaching up to two orders of magnitude higher than the </w:t>
      </w:r>
      <w:r w:rsidR="002D3DC7">
        <w:rPr>
          <w:lang w:val="en-GB"/>
        </w:rPr>
        <w:t>corresponding</w:t>
      </w:r>
      <w:r w:rsidR="002D3DC7" w:rsidRPr="004F0976">
        <w:rPr>
          <w:lang w:val="en-GB"/>
        </w:rPr>
        <w:t xml:space="preserve"> </w:t>
      </w:r>
      <w:r w:rsidRPr="004F0976">
        <w:rPr>
          <w:lang w:val="en-GB"/>
        </w:rPr>
        <w:t>OEL</w:t>
      </w:r>
      <w:r w:rsidR="002D3DC7">
        <w:rPr>
          <w:lang w:val="en-GB"/>
        </w:rPr>
        <w:t>s</w:t>
      </w:r>
      <w:r w:rsidR="00C46A68">
        <w:rPr>
          <w:lang w:val="en-GB"/>
        </w:rPr>
        <w:t xml:space="preserve"> (</w:t>
      </w:r>
      <w:r w:rsidR="00C46A68">
        <w:rPr>
          <w:lang w:val="en-GB"/>
        </w:rPr>
        <w:fldChar w:fldCharType="begin"/>
      </w:r>
      <w:r w:rsidR="00C46A68">
        <w:rPr>
          <w:lang w:val="en-GB"/>
        </w:rPr>
        <w:instrText xml:space="preserve"> REF _Ref228095248 \h </w:instrText>
      </w:r>
      <w:r w:rsidR="00C46A68">
        <w:rPr>
          <w:lang w:val="en-GB"/>
        </w:rPr>
      </w:r>
      <w:r w:rsidR="00C46A68">
        <w:rPr>
          <w:lang w:val="en-GB"/>
        </w:rPr>
        <w:fldChar w:fldCharType="separate"/>
      </w:r>
      <w:r w:rsidR="00D03048" w:rsidRPr="004F0976">
        <w:t xml:space="preserve">Table </w:t>
      </w:r>
      <w:r w:rsidR="00D03048">
        <w:rPr>
          <w:noProof/>
        </w:rPr>
        <w:t>1</w:t>
      </w:r>
      <w:r w:rsidR="00C46A68">
        <w:rPr>
          <w:lang w:val="en-GB"/>
        </w:rPr>
        <w:fldChar w:fldCharType="end"/>
      </w:r>
      <w:r w:rsidR="00C46A68">
        <w:rPr>
          <w:lang w:val="en-GB"/>
        </w:rPr>
        <w:t>)</w:t>
      </w:r>
      <w:r w:rsidRPr="004F0976">
        <w:rPr>
          <w:lang w:val="en-GB"/>
        </w:rPr>
        <w:t>.</w:t>
      </w:r>
      <w:r w:rsidR="00C0736C">
        <w:rPr>
          <w:lang w:val="en-GB"/>
        </w:rPr>
        <w:t xml:space="preserve"> </w:t>
      </w:r>
      <w:r w:rsidR="0041076A">
        <w:rPr>
          <w:lang w:val="en-GB"/>
        </w:rPr>
        <w:t xml:space="preserve">Again, </w:t>
      </w:r>
      <w:r w:rsidR="009159DD">
        <w:rPr>
          <w:lang w:val="en-GB"/>
        </w:rPr>
        <w:t>a</w:t>
      </w:r>
      <w:r w:rsidR="009159DD" w:rsidRPr="009159DD">
        <w:rPr>
          <w:lang w:val="en-GB"/>
        </w:rPr>
        <w:t xml:space="preserve"> comparison of the concentration ranges detected in the samples with their odour thresholds (OT</w:t>
      </w:r>
      <w:r w:rsidR="00DF72DF">
        <w:rPr>
          <w:lang w:val="en-GB"/>
        </w:rPr>
        <w:t>s</w:t>
      </w:r>
      <w:r w:rsidR="00C46A68">
        <w:rPr>
          <w:lang w:val="en-GB"/>
        </w:rPr>
        <w:t xml:space="preserve">, reported in </w:t>
      </w:r>
      <w:r w:rsidR="00C46A68">
        <w:rPr>
          <w:lang w:val="en-GB"/>
        </w:rPr>
        <w:fldChar w:fldCharType="begin"/>
      </w:r>
      <w:r w:rsidR="00C46A68">
        <w:rPr>
          <w:lang w:val="en-GB"/>
        </w:rPr>
        <w:instrText xml:space="preserve"> REF _Ref228095248 \h </w:instrText>
      </w:r>
      <w:r w:rsidR="00C46A68">
        <w:rPr>
          <w:lang w:val="en-GB"/>
        </w:rPr>
      </w:r>
      <w:r w:rsidR="00C46A68">
        <w:rPr>
          <w:lang w:val="en-GB"/>
        </w:rPr>
        <w:fldChar w:fldCharType="separate"/>
      </w:r>
      <w:r w:rsidR="00D03048" w:rsidRPr="004F0976">
        <w:t xml:space="preserve">Table </w:t>
      </w:r>
      <w:r w:rsidR="00D03048">
        <w:rPr>
          <w:noProof/>
        </w:rPr>
        <w:t>1</w:t>
      </w:r>
      <w:r w:rsidR="00C46A68">
        <w:rPr>
          <w:lang w:val="en-GB"/>
        </w:rPr>
        <w:fldChar w:fldCharType="end"/>
      </w:r>
      <w:r w:rsidR="009159DD" w:rsidRPr="009159DD">
        <w:rPr>
          <w:lang w:val="en-GB"/>
        </w:rPr>
        <w:t>)</w:t>
      </w:r>
      <w:r w:rsidR="009159DD">
        <w:rPr>
          <w:lang w:val="en-GB"/>
        </w:rPr>
        <w:t xml:space="preserve"> </w:t>
      </w:r>
      <w:r w:rsidR="009159DD" w:rsidRPr="009159DD">
        <w:rPr>
          <w:lang w:val="en-GB"/>
        </w:rPr>
        <w:t xml:space="preserve">reveals </w:t>
      </w:r>
      <w:r w:rsidR="001F4303">
        <w:rPr>
          <w:lang w:val="en-GB"/>
        </w:rPr>
        <w:t>that the OT</w:t>
      </w:r>
      <w:r w:rsidR="00DF72DF">
        <w:rPr>
          <w:lang w:val="en-GB"/>
        </w:rPr>
        <w:t>s</w:t>
      </w:r>
      <w:r w:rsidR="001F4303">
        <w:rPr>
          <w:lang w:val="en-GB"/>
        </w:rPr>
        <w:t xml:space="preserve"> are comparable with the minimum values detected in the samples analysed. Therefore, </w:t>
      </w:r>
      <w:r w:rsidR="00314D3B">
        <w:rPr>
          <w:lang w:val="en-GB"/>
        </w:rPr>
        <w:t>once</w:t>
      </w:r>
      <w:r w:rsidR="001F4303">
        <w:rPr>
          <w:lang w:val="en-GB"/>
        </w:rPr>
        <w:t xml:space="preserve"> again, it appears clear that</w:t>
      </w:r>
      <w:r w:rsidR="009159DD" w:rsidRPr="009159DD">
        <w:rPr>
          <w:lang w:val="en-GB"/>
        </w:rPr>
        <w:t xml:space="preserve">, given the </w:t>
      </w:r>
      <w:r w:rsidR="001B49F7">
        <w:rPr>
          <w:lang w:val="en-GB"/>
        </w:rPr>
        <w:t xml:space="preserve">compound </w:t>
      </w:r>
      <w:r w:rsidR="009159DD" w:rsidRPr="009159DD">
        <w:rPr>
          <w:lang w:val="en-GB"/>
        </w:rPr>
        <w:t>concentrations detected, it is not possible for the nose to detect the odour of these samples before they reach the</w:t>
      </w:r>
      <w:r w:rsidR="001F4303">
        <w:rPr>
          <w:lang w:val="en-GB"/>
        </w:rPr>
        <w:t xml:space="preserve"> OEL</w:t>
      </w:r>
      <w:r w:rsidR="00DF72DF">
        <w:rPr>
          <w:lang w:val="en-GB"/>
        </w:rPr>
        <w:t>s</w:t>
      </w:r>
      <w:r w:rsidR="009159DD" w:rsidRPr="009159DD">
        <w:rPr>
          <w:lang w:val="en-GB"/>
        </w:rPr>
        <w:t>.</w:t>
      </w:r>
      <w:r w:rsidR="00DF72DF">
        <w:rPr>
          <w:lang w:val="en-GB"/>
        </w:rPr>
        <w:t xml:space="preserve"> </w:t>
      </w:r>
      <w:r w:rsidR="00C0736C">
        <w:rPr>
          <w:lang w:val="en-GB"/>
        </w:rPr>
        <w:t>Th</w:t>
      </w:r>
      <w:r w:rsidR="002D3DC7">
        <w:rPr>
          <w:lang w:val="en-GB"/>
        </w:rPr>
        <w:t>is</w:t>
      </w:r>
      <w:r w:rsidR="00C0736C">
        <w:rPr>
          <w:lang w:val="en-GB"/>
        </w:rPr>
        <w:t xml:space="preserve"> evidence highlights the necessity to investigate this category of samples and define a</w:t>
      </w:r>
      <w:r w:rsidR="002D3DC7">
        <w:rPr>
          <w:lang w:val="en-GB"/>
        </w:rPr>
        <w:t>n</w:t>
      </w:r>
      <w:r w:rsidR="00C0736C">
        <w:rPr>
          <w:lang w:val="en-GB"/>
        </w:rPr>
        <w:t xml:space="preserve"> MDV before </w:t>
      </w:r>
      <w:r w:rsidR="002D3DC7">
        <w:rPr>
          <w:lang w:val="en-GB"/>
        </w:rPr>
        <w:t xml:space="preserve">conducting </w:t>
      </w:r>
      <w:r w:rsidR="00C0736C">
        <w:rPr>
          <w:lang w:val="en-GB"/>
        </w:rPr>
        <w:t>olfactometric analysis.</w:t>
      </w:r>
    </w:p>
    <w:p w14:paraId="6A3525A0" w14:textId="14310E83" w:rsidR="00EA681B" w:rsidRPr="004F0976" w:rsidRDefault="00DF72DF" w:rsidP="00EA681B">
      <w:pPr>
        <w:pStyle w:val="CETheadingx"/>
        <w:rPr>
          <w:lang w:val="en-GB"/>
        </w:rPr>
      </w:pPr>
      <w:r w:rsidRPr="00DF72DF">
        <w:rPr>
          <w:lang w:val="en-GB"/>
        </w:rPr>
        <w:t>Occupational exposure assessment – real-case dataset</w:t>
      </w:r>
    </w:p>
    <w:p w14:paraId="7E884376" w14:textId="07DBA433" w:rsidR="00A5730C" w:rsidRPr="004F0976" w:rsidRDefault="008062F5" w:rsidP="00A5730C">
      <w:pPr>
        <w:pStyle w:val="CETBodytext"/>
        <w:rPr>
          <w:lang w:val="en-GB"/>
        </w:rPr>
      </w:pPr>
      <w:r>
        <w:rPr>
          <w:lang w:val="en-GB"/>
        </w:rPr>
        <w:t>Discussing the entire</w:t>
      </w:r>
      <w:r w:rsidR="001B49F7">
        <w:rPr>
          <w:lang w:val="en-GB"/>
        </w:rPr>
        <w:t xml:space="preserve"> real-case</w:t>
      </w:r>
      <w:r>
        <w:rPr>
          <w:lang w:val="en-GB"/>
        </w:rPr>
        <w:t xml:space="preserve"> dataset of combustion stack samples, </w:t>
      </w:r>
      <w:r>
        <w:rPr>
          <w:lang w:val="en-GB"/>
        </w:rPr>
        <w:fldChar w:fldCharType="begin"/>
      </w:r>
      <w:r>
        <w:rPr>
          <w:lang w:val="en-GB"/>
        </w:rPr>
        <w:instrText xml:space="preserve"> REF _Ref228093473 \h </w:instrText>
      </w:r>
      <w:r>
        <w:rPr>
          <w:lang w:val="en-GB"/>
        </w:rPr>
      </w:r>
      <w:r>
        <w:rPr>
          <w:lang w:val="en-GB"/>
        </w:rPr>
        <w:fldChar w:fldCharType="separate"/>
      </w:r>
      <w:r w:rsidR="00D03048" w:rsidRPr="004F0976">
        <w:t xml:space="preserve">Table </w:t>
      </w:r>
      <w:r w:rsidR="00D03048">
        <w:rPr>
          <w:noProof/>
        </w:rPr>
        <w:t>3</w:t>
      </w:r>
      <w:r>
        <w:rPr>
          <w:lang w:val="en-GB"/>
        </w:rPr>
        <w:fldChar w:fldCharType="end"/>
      </w:r>
      <w:r>
        <w:rPr>
          <w:lang w:val="en-GB"/>
        </w:rPr>
        <w:t xml:space="preserve"> reports the distribution of the samples </w:t>
      </w:r>
      <w:r w:rsidR="002D3DC7">
        <w:rPr>
          <w:lang w:val="en-GB"/>
        </w:rPr>
        <w:t>according to three</w:t>
      </w:r>
      <w:r>
        <w:rPr>
          <w:lang w:val="en-GB"/>
        </w:rPr>
        <w:t xml:space="preserve"> different </w:t>
      </w:r>
      <w:r w:rsidR="0041076A">
        <w:rPr>
          <w:lang w:val="en-GB"/>
        </w:rPr>
        <w:t>acceptability criteria</w:t>
      </w:r>
      <w:r>
        <w:rPr>
          <w:lang w:val="en-GB"/>
        </w:rPr>
        <w:t>.</w:t>
      </w:r>
      <w:r w:rsidR="00CA1D32">
        <w:rPr>
          <w:lang w:val="en-GB"/>
        </w:rPr>
        <w:t xml:space="preserve"> M</w:t>
      </w:r>
      <w:r w:rsidRPr="004F0976">
        <w:rPr>
          <w:lang w:val="en-GB"/>
        </w:rPr>
        <w:t>ost of the samples (84%) fall within the “acceptable” region (green points), indicating that, under testing conditions, the C</w:t>
      </w:r>
      <w:r w:rsidRPr="004F0976">
        <w:rPr>
          <w:vertAlign w:val="subscript"/>
          <w:lang w:val="en-GB"/>
        </w:rPr>
        <w:t>od</w:t>
      </w:r>
      <w:r w:rsidRPr="004F0976">
        <w:rPr>
          <w:lang w:val="en-GB"/>
        </w:rPr>
        <w:t xml:space="preserve"> </w:t>
      </w:r>
      <w:r w:rsidR="002D3DC7">
        <w:rPr>
          <w:lang w:val="en-GB"/>
        </w:rPr>
        <w:t xml:space="preserve">is </w:t>
      </w:r>
      <w:r w:rsidR="00C46A68">
        <w:rPr>
          <w:lang w:val="en-GB"/>
        </w:rPr>
        <w:t>higher than</w:t>
      </w:r>
      <w:r w:rsidRPr="004F0976">
        <w:rPr>
          <w:lang w:val="en-GB"/>
        </w:rPr>
        <w:t xml:space="preserve"> the corresponding MDV and no immediate safety constraint is expected. However, a non-negligible portion of samples lies in critical conditions: 10% are classified as “non-acceptable”, where olfactometric analysis </w:t>
      </w:r>
      <w:r w:rsidR="002D3DC7">
        <w:rPr>
          <w:lang w:val="en-GB"/>
        </w:rPr>
        <w:t>had</w:t>
      </w:r>
      <w:r w:rsidR="002D3DC7" w:rsidRPr="004F0976">
        <w:rPr>
          <w:lang w:val="en-GB"/>
        </w:rPr>
        <w:t xml:space="preserve"> </w:t>
      </w:r>
      <w:r w:rsidRPr="004F0976">
        <w:rPr>
          <w:lang w:val="en-GB"/>
        </w:rPr>
        <w:t xml:space="preserve">to be interrupted to avoid reaching </w:t>
      </w:r>
      <w:r w:rsidR="002D3DC7">
        <w:rPr>
          <w:lang w:val="en-GB"/>
        </w:rPr>
        <w:t>hazardous</w:t>
      </w:r>
      <w:r w:rsidR="002D3DC7" w:rsidRPr="004F0976">
        <w:rPr>
          <w:lang w:val="en-GB"/>
        </w:rPr>
        <w:t xml:space="preserve"> </w:t>
      </w:r>
      <w:r w:rsidRPr="004F0976">
        <w:rPr>
          <w:lang w:val="en-GB"/>
        </w:rPr>
        <w:t>concentration</w:t>
      </w:r>
      <w:r w:rsidR="002D3DC7">
        <w:rPr>
          <w:lang w:val="en-GB"/>
        </w:rPr>
        <w:t>s</w:t>
      </w:r>
      <w:r w:rsidRPr="004F0976">
        <w:rPr>
          <w:lang w:val="en-GB"/>
        </w:rPr>
        <w:t xml:space="preserve"> (C</w:t>
      </w:r>
      <w:r w:rsidRPr="004F0976">
        <w:rPr>
          <w:vertAlign w:val="subscript"/>
          <w:lang w:val="en-GB"/>
        </w:rPr>
        <w:t>od</w:t>
      </w:r>
      <w:r w:rsidR="00662EF3">
        <w:rPr>
          <w:vertAlign w:val="subscript"/>
          <w:lang w:val="en-GB"/>
        </w:rPr>
        <w:t xml:space="preserve"> </w:t>
      </w:r>
      <w:r w:rsidRPr="004F0976">
        <w:rPr>
          <w:rFonts w:cs="Arial"/>
          <w:lang w:val="en-GB"/>
        </w:rPr>
        <w:t>≤</w:t>
      </w:r>
      <w:r w:rsidRPr="004F0976">
        <w:rPr>
          <w:lang w:val="en-GB"/>
        </w:rPr>
        <w:t xml:space="preserve"> MDV). An additional 6% fall within a conservative “borderline” region</w:t>
      </w:r>
      <w:r w:rsidR="00662EF3">
        <w:rPr>
          <w:lang w:val="en-GB"/>
        </w:rPr>
        <w:t xml:space="preserve"> (C</w:t>
      </w:r>
      <w:r w:rsidR="00662EF3" w:rsidRPr="008062F5">
        <w:rPr>
          <w:vertAlign w:val="subscript"/>
          <w:lang w:val="en-GB"/>
        </w:rPr>
        <w:t>od</w:t>
      </w:r>
      <w:r w:rsidR="00662EF3">
        <w:rPr>
          <w:lang w:val="en-GB"/>
        </w:rPr>
        <w:t xml:space="preserve"> </w:t>
      </w:r>
      <w:r w:rsidR="00662EF3" w:rsidRPr="004F0976">
        <w:rPr>
          <w:rFonts w:cs="Arial"/>
          <w:lang w:val="en-GB"/>
        </w:rPr>
        <w:t>≤</w:t>
      </w:r>
      <w:r w:rsidR="00662EF3">
        <w:rPr>
          <w:rFonts w:cs="Arial"/>
          <w:lang w:val="en-GB"/>
        </w:rPr>
        <w:t xml:space="preserve"> </w:t>
      </w:r>
      <w:r w:rsidR="00662EF3">
        <w:rPr>
          <w:lang w:val="en-GB"/>
        </w:rPr>
        <w:t xml:space="preserve">4 </w:t>
      </w:r>
      <w:r w:rsidR="00662EF3">
        <w:rPr>
          <w:rFonts w:cs="Arial"/>
          <w:lang w:val="en-GB"/>
        </w:rPr>
        <w:t>∙ MDV)</w:t>
      </w:r>
      <w:r w:rsidRPr="004F0976">
        <w:rPr>
          <w:lang w:val="en-GB"/>
        </w:rPr>
        <w:t>.</w:t>
      </w:r>
      <w:r w:rsidR="00A5730C">
        <w:rPr>
          <w:lang w:val="en-GB"/>
        </w:rPr>
        <w:t xml:space="preserve"> </w:t>
      </w:r>
      <w:r w:rsidR="00A5730C" w:rsidRPr="004F0976">
        <w:rPr>
          <w:lang w:val="en-GB"/>
        </w:rPr>
        <w:t xml:space="preserve">Despite the overall prevalence of acceptable conditions, the presence of 16% of samples in critical or near-critical regions is significant in the context of routine olfactometric analyses. These results </w:t>
      </w:r>
      <w:r w:rsidR="00A5730C" w:rsidRPr="004F0976">
        <w:rPr>
          <w:lang w:val="en-GB"/>
        </w:rPr>
        <w:lastRenderedPageBreak/>
        <w:t xml:space="preserve">demonstrate that exceedance of MDV is not an isolated occurrence but a </w:t>
      </w:r>
      <w:r w:rsidR="00A5730C">
        <w:rPr>
          <w:lang w:val="en-GB"/>
        </w:rPr>
        <w:t xml:space="preserve">frequent </w:t>
      </w:r>
      <w:r w:rsidR="00A5730C" w:rsidRPr="004F0976">
        <w:rPr>
          <w:lang w:val="en-GB"/>
        </w:rPr>
        <w:t xml:space="preserve">condition within this class of samples. </w:t>
      </w:r>
    </w:p>
    <w:p w14:paraId="04C59543" w14:textId="38B2C131" w:rsidR="00DA432B" w:rsidRPr="004F0976" w:rsidRDefault="00DA432B" w:rsidP="00DA432B">
      <w:pPr>
        <w:pStyle w:val="CETTabletitle"/>
      </w:pPr>
      <w:bookmarkStart w:id="3" w:name="_Ref228093473"/>
      <w:r w:rsidRPr="004F0976">
        <w:t xml:space="preserve">Table </w:t>
      </w:r>
      <w:r w:rsidRPr="004F0976">
        <w:fldChar w:fldCharType="begin"/>
      </w:r>
      <w:r w:rsidRPr="004F0976">
        <w:instrText xml:space="preserve"> SEQ Table \* ARABIC </w:instrText>
      </w:r>
      <w:r w:rsidRPr="004F0976">
        <w:fldChar w:fldCharType="separate"/>
      </w:r>
      <w:r w:rsidR="00D03048">
        <w:rPr>
          <w:noProof/>
        </w:rPr>
        <w:t>3</w:t>
      </w:r>
      <w:r w:rsidRPr="004F0976">
        <w:fldChar w:fldCharType="end"/>
      </w:r>
      <w:bookmarkEnd w:id="3"/>
      <w:r w:rsidRPr="004F0976">
        <w:t xml:space="preserve">: </w:t>
      </w:r>
      <w:r>
        <w:t>Dataset of combustion stack samples</w:t>
      </w:r>
    </w:p>
    <w:tbl>
      <w:tblPr>
        <w:tblW w:w="5000" w:type="pct"/>
        <w:tblBorders>
          <w:top w:val="single" w:sz="12" w:space="0" w:color="008000"/>
          <w:bottom w:val="single" w:sz="12" w:space="0" w:color="008000"/>
        </w:tblBorders>
        <w:shd w:val="clear" w:color="auto" w:fill="FFFFFF"/>
        <w:tblCellMar>
          <w:left w:w="0" w:type="dxa"/>
          <w:right w:w="0" w:type="dxa"/>
        </w:tblCellMar>
        <w:tblLook w:val="00A0" w:firstRow="1" w:lastRow="0" w:firstColumn="1" w:lastColumn="0" w:noHBand="0" w:noVBand="0"/>
      </w:tblPr>
      <w:tblGrid>
        <w:gridCol w:w="2929"/>
        <w:gridCol w:w="2930"/>
        <w:gridCol w:w="2928"/>
      </w:tblGrid>
      <w:tr w:rsidR="00DA432B" w:rsidRPr="004F0976" w14:paraId="5E0ACCB4" w14:textId="77777777" w:rsidTr="008C6749">
        <w:tc>
          <w:tcPr>
            <w:tcW w:w="1667" w:type="pct"/>
            <w:tcBorders>
              <w:top w:val="single" w:sz="12" w:space="0" w:color="008000"/>
              <w:bottom w:val="single" w:sz="6" w:space="0" w:color="008000"/>
            </w:tcBorders>
            <w:shd w:val="clear" w:color="auto" w:fill="FFFFFF"/>
            <w:vAlign w:val="center"/>
          </w:tcPr>
          <w:p w14:paraId="2AFBEA48" w14:textId="77777777" w:rsidR="00DA432B" w:rsidRPr="004F0976" w:rsidRDefault="00DA432B" w:rsidP="008C6749">
            <w:pPr>
              <w:pStyle w:val="CETBodytext"/>
              <w:jc w:val="center"/>
              <w:rPr>
                <w:lang w:val="en-GB"/>
              </w:rPr>
            </w:pPr>
            <w:r>
              <w:rPr>
                <w:lang w:val="en-GB"/>
              </w:rPr>
              <w:t>Criteria</w:t>
            </w:r>
          </w:p>
        </w:tc>
        <w:tc>
          <w:tcPr>
            <w:tcW w:w="1667" w:type="pct"/>
            <w:tcBorders>
              <w:top w:val="single" w:sz="12" w:space="0" w:color="008000"/>
              <w:bottom w:val="single" w:sz="6" w:space="0" w:color="008000"/>
            </w:tcBorders>
            <w:shd w:val="clear" w:color="auto" w:fill="FFFFFF"/>
            <w:vAlign w:val="center"/>
          </w:tcPr>
          <w:p w14:paraId="1D5795D0" w14:textId="77777777" w:rsidR="00DA432B" w:rsidRPr="004F0976" w:rsidRDefault="00DA432B" w:rsidP="008C6749">
            <w:pPr>
              <w:pStyle w:val="CETBodytext"/>
              <w:jc w:val="center"/>
              <w:rPr>
                <w:lang w:val="en-GB"/>
              </w:rPr>
            </w:pPr>
            <w:r>
              <w:rPr>
                <w:lang w:val="en-GB"/>
              </w:rPr>
              <w:t>N° samples</w:t>
            </w:r>
          </w:p>
        </w:tc>
        <w:tc>
          <w:tcPr>
            <w:tcW w:w="1666" w:type="pct"/>
            <w:tcBorders>
              <w:top w:val="single" w:sz="12" w:space="0" w:color="008000"/>
              <w:bottom w:val="single" w:sz="6" w:space="0" w:color="008000"/>
            </w:tcBorders>
            <w:shd w:val="clear" w:color="auto" w:fill="FFFFFF"/>
            <w:vAlign w:val="center"/>
          </w:tcPr>
          <w:p w14:paraId="441B153E" w14:textId="77777777" w:rsidR="00DA432B" w:rsidRPr="004F0976" w:rsidRDefault="00DA432B" w:rsidP="008C6749">
            <w:pPr>
              <w:pStyle w:val="CETBodytext"/>
              <w:jc w:val="center"/>
              <w:rPr>
                <w:lang w:val="en-GB"/>
              </w:rPr>
            </w:pPr>
            <w:r>
              <w:rPr>
                <w:lang w:val="en-GB"/>
              </w:rPr>
              <w:t>Percentage [%]</w:t>
            </w:r>
          </w:p>
        </w:tc>
      </w:tr>
      <w:tr w:rsidR="00DA432B" w:rsidRPr="004F0976" w14:paraId="583A4CC9" w14:textId="77777777" w:rsidTr="008C6749">
        <w:tc>
          <w:tcPr>
            <w:tcW w:w="1667" w:type="pct"/>
            <w:shd w:val="clear" w:color="auto" w:fill="FFFFFF"/>
            <w:vAlign w:val="center"/>
          </w:tcPr>
          <w:p w14:paraId="5F5C05C8" w14:textId="77777777" w:rsidR="00DA432B" w:rsidRPr="004F0976" w:rsidRDefault="00DA432B" w:rsidP="008C6749">
            <w:pPr>
              <w:pStyle w:val="CETBodytext"/>
              <w:jc w:val="center"/>
              <w:rPr>
                <w:lang w:val="en-GB"/>
              </w:rPr>
            </w:pPr>
            <w:r>
              <w:rPr>
                <w:lang w:val="en-GB"/>
              </w:rPr>
              <w:t>Acceptable – C</w:t>
            </w:r>
            <w:r w:rsidRPr="008062F5">
              <w:rPr>
                <w:vertAlign w:val="subscript"/>
                <w:lang w:val="en-GB"/>
              </w:rPr>
              <w:t>od</w:t>
            </w:r>
            <w:r>
              <w:rPr>
                <w:lang w:val="en-GB"/>
              </w:rPr>
              <w:t xml:space="preserve"> &gt; 4 </w:t>
            </w:r>
            <w:r>
              <w:rPr>
                <w:rFonts w:cs="Arial"/>
                <w:lang w:val="en-GB"/>
              </w:rPr>
              <w:t>∙ MDV</w:t>
            </w:r>
            <w:r>
              <w:rPr>
                <w:lang w:val="en-GB"/>
              </w:rPr>
              <w:t xml:space="preserve"> </w:t>
            </w:r>
          </w:p>
        </w:tc>
        <w:tc>
          <w:tcPr>
            <w:tcW w:w="1667" w:type="pct"/>
            <w:shd w:val="clear" w:color="auto" w:fill="FFFFFF"/>
            <w:vAlign w:val="center"/>
          </w:tcPr>
          <w:p w14:paraId="6856B52D" w14:textId="77777777" w:rsidR="00DA432B" w:rsidRPr="004F0976" w:rsidRDefault="00DA432B" w:rsidP="008C6749">
            <w:pPr>
              <w:pStyle w:val="CETBodytext"/>
              <w:jc w:val="center"/>
              <w:rPr>
                <w:lang w:val="en-GB"/>
              </w:rPr>
            </w:pPr>
            <w:r>
              <w:rPr>
                <w:lang w:val="en-GB"/>
              </w:rPr>
              <w:t>72</w:t>
            </w:r>
          </w:p>
        </w:tc>
        <w:tc>
          <w:tcPr>
            <w:tcW w:w="1666" w:type="pct"/>
            <w:shd w:val="clear" w:color="auto" w:fill="FFFFFF"/>
            <w:vAlign w:val="center"/>
          </w:tcPr>
          <w:p w14:paraId="61717249" w14:textId="77777777" w:rsidR="00DA432B" w:rsidRPr="004F0976" w:rsidRDefault="00DA432B" w:rsidP="008C6749">
            <w:pPr>
              <w:pStyle w:val="CETBodytext"/>
              <w:jc w:val="center"/>
              <w:rPr>
                <w:lang w:val="en-GB"/>
              </w:rPr>
            </w:pPr>
            <w:r>
              <w:rPr>
                <w:lang w:val="en-GB"/>
              </w:rPr>
              <w:t>84</w:t>
            </w:r>
          </w:p>
        </w:tc>
      </w:tr>
      <w:tr w:rsidR="00DA432B" w:rsidRPr="004F0976" w14:paraId="5D3C5419" w14:textId="77777777" w:rsidTr="008C6749">
        <w:tc>
          <w:tcPr>
            <w:tcW w:w="1667" w:type="pct"/>
            <w:shd w:val="clear" w:color="auto" w:fill="FFFFFF"/>
            <w:vAlign w:val="center"/>
          </w:tcPr>
          <w:p w14:paraId="4FA094EF" w14:textId="2CC1D150" w:rsidR="00DA432B" w:rsidRPr="00E95CE7" w:rsidRDefault="00DA432B" w:rsidP="008C6749">
            <w:pPr>
              <w:pStyle w:val="CETBodytext"/>
              <w:jc w:val="center"/>
              <w:rPr>
                <w:lang w:val="en-GB"/>
              </w:rPr>
            </w:pPr>
            <w:r w:rsidRPr="00E95CE7">
              <w:rPr>
                <w:lang w:val="en-GB"/>
              </w:rPr>
              <w:t xml:space="preserve">Borderline – </w:t>
            </w:r>
            <w:r w:rsidR="00DF72DF" w:rsidRPr="00E95CE7">
              <w:rPr>
                <w:lang w:val="en-GB"/>
              </w:rPr>
              <w:t xml:space="preserve">MDV &lt; </w:t>
            </w:r>
            <w:r w:rsidRPr="00E95CE7">
              <w:rPr>
                <w:lang w:val="en-GB"/>
              </w:rPr>
              <w:t>C</w:t>
            </w:r>
            <w:r w:rsidRPr="00E95CE7">
              <w:rPr>
                <w:vertAlign w:val="subscript"/>
                <w:lang w:val="en-GB"/>
              </w:rPr>
              <w:t>od</w:t>
            </w:r>
            <w:r w:rsidRPr="00E95CE7">
              <w:rPr>
                <w:lang w:val="en-GB"/>
              </w:rPr>
              <w:t xml:space="preserve"> </w:t>
            </w:r>
            <w:r w:rsidRPr="00E95CE7">
              <w:rPr>
                <w:rFonts w:cs="Arial"/>
                <w:lang w:val="en-GB"/>
              </w:rPr>
              <w:t xml:space="preserve">≤ </w:t>
            </w:r>
            <w:r w:rsidRPr="00E95CE7">
              <w:rPr>
                <w:lang w:val="en-GB"/>
              </w:rPr>
              <w:t xml:space="preserve">4 </w:t>
            </w:r>
            <w:r w:rsidRPr="00E95CE7">
              <w:rPr>
                <w:rFonts w:cs="Arial"/>
                <w:lang w:val="en-GB"/>
              </w:rPr>
              <w:t>∙ MDV</w:t>
            </w:r>
            <w:r w:rsidRPr="00E95CE7">
              <w:rPr>
                <w:vertAlign w:val="subscript"/>
                <w:lang w:val="en-GB"/>
              </w:rPr>
              <w:t xml:space="preserve"> </w:t>
            </w:r>
          </w:p>
        </w:tc>
        <w:tc>
          <w:tcPr>
            <w:tcW w:w="1667" w:type="pct"/>
            <w:shd w:val="clear" w:color="auto" w:fill="FFFFFF"/>
            <w:vAlign w:val="center"/>
          </w:tcPr>
          <w:p w14:paraId="5E7E6D76" w14:textId="77777777" w:rsidR="00DA432B" w:rsidRPr="00E95CE7" w:rsidRDefault="00DA432B" w:rsidP="008C6749">
            <w:pPr>
              <w:pStyle w:val="CETBodytext"/>
              <w:jc w:val="center"/>
              <w:rPr>
                <w:lang w:val="en-GB"/>
              </w:rPr>
            </w:pPr>
            <w:r w:rsidRPr="00E95CE7">
              <w:rPr>
                <w:lang w:val="en-GB"/>
              </w:rPr>
              <w:t>5</w:t>
            </w:r>
          </w:p>
        </w:tc>
        <w:tc>
          <w:tcPr>
            <w:tcW w:w="1666" w:type="pct"/>
            <w:shd w:val="clear" w:color="auto" w:fill="FFFFFF"/>
            <w:vAlign w:val="center"/>
          </w:tcPr>
          <w:p w14:paraId="333A4380" w14:textId="77777777" w:rsidR="00DA432B" w:rsidRPr="004F0976" w:rsidRDefault="00DA432B" w:rsidP="008C6749">
            <w:pPr>
              <w:pStyle w:val="CETBodytext"/>
              <w:jc w:val="center"/>
              <w:rPr>
                <w:lang w:val="en-GB"/>
              </w:rPr>
            </w:pPr>
            <w:r>
              <w:rPr>
                <w:lang w:val="en-GB"/>
              </w:rPr>
              <w:t>6</w:t>
            </w:r>
          </w:p>
        </w:tc>
      </w:tr>
      <w:tr w:rsidR="00DA432B" w:rsidRPr="004F0976" w14:paraId="651ED43F" w14:textId="77777777" w:rsidTr="008C6749">
        <w:tc>
          <w:tcPr>
            <w:tcW w:w="1667" w:type="pct"/>
            <w:shd w:val="clear" w:color="auto" w:fill="FFFFFF"/>
            <w:vAlign w:val="center"/>
          </w:tcPr>
          <w:p w14:paraId="6E7331AC" w14:textId="77777777" w:rsidR="00DA432B" w:rsidRPr="004F0976" w:rsidRDefault="00DA432B" w:rsidP="008C6749">
            <w:pPr>
              <w:pStyle w:val="CETBodytext"/>
              <w:jc w:val="center"/>
              <w:rPr>
                <w:lang w:val="en-GB"/>
              </w:rPr>
            </w:pPr>
            <w:r>
              <w:rPr>
                <w:lang w:val="en-GB"/>
              </w:rPr>
              <w:t>Non-acceptable – C</w:t>
            </w:r>
            <w:r w:rsidRPr="008062F5">
              <w:rPr>
                <w:vertAlign w:val="subscript"/>
                <w:lang w:val="en-GB"/>
              </w:rPr>
              <w:t>od</w:t>
            </w:r>
            <w:r>
              <w:rPr>
                <w:lang w:val="en-GB"/>
              </w:rPr>
              <w:t xml:space="preserve"> </w:t>
            </w:r>
            <w:r w:rsidRPr="004F0976">
              <w:rPr>
                <w:rFonts w:cs="Arial"/>
                <w:lang w:val="en-GB"/>
              </w:rPr>
              <w:t>≤</w:t>
            </w:r>
            <w:r>
              <w:rPr>
                <w:rFonts w:cs="Arial"/>
                <w:lang w:val="en-GB"/>
              </w:rPr>
              <w:t xml:space="preserve"> MDV</w:t>
            </w:r>
          </w:p>
        </w:tc>
        <w:tc>
          <w:tcPr>
            <w:tcW w:w="1667" w:type="pct"/>
            <w:shd w:val="clear" w:color="auto" w:fill="FFFFFF"/>
            <w:vAlign w:val="center"/>
          </w:tcPr>
          <w:p w14:paraId="54459795" w14:textId="77777777" w:rsidR="00DA432B" w:rsidRPr="004F0976" w:rsidRDefault="00DA432B" w:rsidP="008C6749">
            <w:pPr>
              <w:pStyle w:val="CETBodytext"/>
              <w:jc w:val="center"/>
              <w:rPr>
                <w:lang w:val="en-GB"/>
              </w:rPr>
            </w:pPr>
            <w:r>
              <w:rPr>
                <w:lang w:val="en-GB"/>
              </w:rPr>
              <w:t>9</w:t>
            </w:r>
          </w:p>
        </w:tc>
        <w:tc>
          <w:tcPr>
            <w:tcW w:w="1666" w:type="pct"/>
            <w:shd w:val="clear" w:color="auto" w:fill="FFFFFF"/>
            <w:vAlign w:val="center"/>
          </w:tcPr>
          <w:p w14:paraId="0CD511F6" w14:textId="77777777" w:rsidR="00DA432B" w:rsidRPr="004F0976" w:rsidRDefault="00DA432B" w:rsidP="008C6749">
            <w:pPr>
              <w:pStyle w:val="CETBodytext"/>
              <w:jc w:val="center"/>
              <w:rPr>
                <w:lang w:val="en-GB"/>
              </w:rPr>
            </w:pPr>
            <w:r>
              <w:rPr>
                <w:lang w:val="en-GB"/>
              </w:rPr>
              <w:t>10</w:t>
            </w:r>
          </w:p>
        </w:tc>
      </w:tr>
    </w:tbl>
    <w:p w14:paraId="0E8E50FC" w14:textId="77777777" w:rsidR="00DA432B" w:rsidRPr="004F0976" w:rsidRDefault="00DA432B" w:rsidP="008062F5">
      <w:pPr>
        <w:pStyle w:val="CETBodytext"/>
        <w:rPr>
          <w:lang w:val="en-GB"/>
        </w:rPr>
      </w:pPr>
    </w:p>
    <w:p w14:paraId="1772353A" w14:textId="161CA447" w:rsidR="00EA681B" w:rsidRDefault="00EA681B" w:rsidP="00527E59">
      <w:pPr>
        <w:pStyle w:val="CETBodytext"/>
        <w:rPr>
          <w:lang w:val="en-GB"/>
        </w:rPr>
      </w:pPr>
      <w:r w:rsidRPr="004F0976">
        <w:rPr>
          <w:lang w:val="en-GB"/>
        </w:rPr>
        <w:t>The relationship between C</w:t>
      </w:r>
      <w:r w:rsidRPr="008062F5">
        <w:rPr>
          <w:vertAlign w:val="subscript"/>
          <w:lang w:val="en-GB"/>
        </w:rPr>
        <w:t>od</w:t>
      </w:r>
      <w:r w:rsidRPr="004F0976">
        <w:rPr>
          <w:lang w:val="en-GB"/>
        </w:rPr>
        <w:t xml:space="preserve"> and MDV for the investigated samples is shown in </w:t>
      </w:r>
      <w:r w:rsidRPr="004F0976">
        <w:rPr>
          <w:lang w:val="en-GB"/>
        </w:rPr>
        <w:fldChar w:fldCharType="begin"/>
      </w:r>
      <w:r w:rsidRPr="004F0976">
        <w:rPr>
          <w:lang w:val="en-GB"/>
        </w:rPr>
        <w:instrText xml:space="preserve"> REF _Ref228036175 \h </w:instrText>
      </w:r>
      <w:r w:rsidR="00527E59" w:rsidRPr="004F0976">
        <w:rPr>
          <w:lang w:val="en-GB"/>
        </w:rPr>
        <w:instrText xml:space="preserve"> \* MERGEFORMAT </w:instrText>
      </w:r>
      <w:r w:rsidRPr="004F0976">
        <w:rPr>
          <w:lang w:val="en-GB"/>
        </w:rPr>
      </w:r>
      <w:r w:rsidRPr="004F0976">
        <w:rPr>
          <w:lang w:val="en-GB"/>
        </w:rPr>
        <w:fldChar w:fldCharType="separate"/>
      </w:r>
      <w:r w:rsidR="00D03048" w:rsidRPr="00D03048">
        <w:rPr>
          <w:lang w:val="en-GB"/>
        </w:rPr>
        <w:t>Figure 1</w:t>
      </w:r>
      <w:r w:rsidRPr="004F0976">
        <w:rPr>
          <w:lang w:val="en-GB"/>
        </w:rPr>
        <w:fldChar w:fldCharType="end"/>
      </w:r>
      <w:r w:rsidRPr="004F0976">
        <w:rPr>
          <w:lang w:val="en-GB"/>
        </w:rPr>
        <w:t>. Data points are colour-coded according to the predefined acceptability criteria (</w:t>
      </w:r>
      <w:r w:rsidR="00527E59" w:rsidRPr="004F0976">
        <w:rPr>
          <w:lang w:val="en-GB"/>
        </w:rPr>
        <w:t>“acceptable”</w:t>
      </w:r>
      <w:r w:rsidRPr="004F0976">
        <w:rPr>
          <w:lang w:val="en-GB"/>
        </w:rPr>
        <w:t xml:space="preserve">, </w:t>
      </w:r>
      <w:r w:rsidR="00527E59" w:rsidRPr="004F0976">
        <w:rPr>
          <w:lang w:val="en-GB"/>
        </w:rPr>
        <w:t>“</w:t>
      </w:r>
      <w:r w:rsidRPr="004F0976">
        <w:rPr>
          <w:lang w:val="en-GB"/>
        </w:rPr>
        <w:t>borderline</w:t>
      </w:r>
      <w:r w:rsidR="00527E59" w:rsidRPr="004F0976">
        <w:rPr>
          <w:lang w:val="en-GB"/>
        </w:rPr>
        <w:t>”</w:t>
      </w:r>
      <w:r w:rsidRPr="004F0976">
        <w:rPr>
          <w:lang w:val="en-GB"/>
        </w:rPr>
        <w:t xml:space="preserve">, </w:t>
      </w:r>
      <w:r w:rsidR="00527E59" w:rsidRPr="004F0976">
        <w:rPr>
          <w:lang w:val="en-GB"/>
        </w:rPr>
        <w:t>“non-acceptable”</w:t>
      </w:r>
      <w:r w:rsidRPr="004F0976">
        <w:rPr>
          <w:lang w:val="en-GB"/>
        </w:rPr>
        <w:t>)</w:t>
      </w:r>
      <w:r w:rsidR="00527E59" w:rsidRPr="004F0976">
        <w:rPr>
          <w:lang w:val="en-GB"/>
        </w:rPr>
        <w:t>.</w:t>
      </w:r>
      <w:r w:rsidR="002F01F7" w:rsidRPr="004F0976">
        <w:rPr>
          <w:lang w:val="en-GB"/>
        </w:rPr>
        <w:t xml:space="preserve"> The red </w:t>
      </w:r>
      <w:r w:rsidR="00314D3B">
        <w:rPr>
          <w:lang w:val="en-GB"/>
        </w:rPr>
        <w:t>points</w:t>
      </w:r>
      <w:r w:rsidR="002F01F7" w:rsidRPr="004F0976">
        <w:rPr>
          <w:lang w:val="en-GB"/>
        </w:rPr>
        <w:t xml:space="preserve"> indicate samples for which the analysis was halted to ensure the MDV limit was not exceeded and C</w:t>
      </w:r>
      <w:r w:rsidR="002F01F7" w:rsidRPr="004F0976">
        <w:rPr>
          <w:vertAlign w:val="subscript"/>
          <w:lang w:val="en-GB"/>
        </w:rPr>
        <w:t>od</w:t>
      </w:r>
      <w:r w:rsidR="002F01F7" w:rsidRPr="004F0976">
        <w:rPr>
          <w:lang w:val="en-GB"/>
        </w:rPr>
        <w:t xml:space="preserve"> was defined </w:t>
      </w:r>
      <w:r w:rsidR="002D3DC7">
        <w:rPr>
          <w:lang w:val="en-GB"/>
        </w:rPr>
        <w:t xml:space="preserve">as </w:t>
      </w:r>
      <w:r w:rsidR="002F01F7" w:rsidRPr="004F0976">
        <w:rPr>
          <w:lang w:val="en-GB"/>
        </w:rPr>
        <w:t>equal to MDV</w:t>
      </w:r>
      <w:r w:rsidR="00314D3B">
        <w:rPr>
          <w:lang w:val="en-GB"/>
        </w:rPr>
        <w:t xml:space="preserve"> (for this reason the red points </w:t>
      </w:r>
      <w:r w:rsidR="00314D3B" w:rsidRPr="00314D3B">
        <w:rPr>
          <w:lang w:val="en-GB"/>
        </w:rPr>
        <w:t>have the same x and y coordinates</w:t>
      </w:r>
      <w:r w:rsidR="00314D3B">
        <w:rPr>
          <w:lang w:val="en-GB"/>
        </w:rPr>
        <w:t>)</w:t>
      </w:r>
      <w:r w:rsidR="00034C7D">
        <w:rPr>
          <w:lang w:val="en-GB"/>
        </w:rPr>
        <w:t>, following, for this graph, an upper bound approach</w:t>
      </w:r>
      <w:r w:rsidR="00314D3B" w:rsidRPr="00314D3B">
        <w:rPr>
          <w:lang w:val="en-GB"/>
        </w:rPr>
        <w:t>.</w:t>
      </w:r>
    </w:p>
    <w:p w14:paraId="09E3AE66" w14:textId="732AB0A7" w:rsidR="00314D3B" w:rsidRPr="004F0976" w:rsidRDefault="00314D3B" w:rsidP="00527E59">
      <w:pPr>
        <w:pStyle w:val="CETBodytext"/>
        <w:rPr>
          <w:lang w:val="en-GB"/>
        </w:rPr>
      </w:pPr>
    </w:p>
    <w:p w14:paraId="72B4198E" w14:textId="29245DAE" w:rsidR="00EA681B" w:rsidRPr="004F0976" w:rsidRDefault="0041076A" w:rsidP="00DA432B">
      <w:pPr>
        <w:pStyle w:val="CETBodytext"/>
        <w:keepNext/>
        <w:jc w:val="center"/>
        <w:rPr>
          <w:lang w:val="en-GB"/>
        </w:rPr>
      </w:pPr>
      <w:r>
        <w:rPr>
          <w:noProof/>
        </w:rPr>
        <w:drawing>
          <wp:inline distT="0" distB="0" distL="0" distR="0" wp14:anchorId="5E87DCDC" wp14:editId="15C20D2D">
            <wp:extent cx="4171950" cy="2818381"/>
            <wp:effectExtent l="0" t="0" r="0" b="1270"/>
            <wp:docPr id="1922021618"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021618" name=""/>
                    <pic:cNvPicPr/>
                  </pic:nvPicPr>
                  <pic:blipFill rotWithShape="1">
                    <a:blip r:embed="rId14">
                      <a:extLst>
                        <a:ext uri="{96DAC541-7B7A-43D3-8B79-37D633B846F1}">
                          <asvg:svgBlip xmlns:asvg="http://schemas.microsoft.com/office/drawing/2016/SVG/main" r:embed="rId15"/>
                        </a:ext>
                      </a:extLst>
                    </a:blip>
                    <a:srcRect l="1480" t="4534" b="1653"/>
                    <a:stretch>
                      <a:fillRect/>
                    </a:stretch>
                  </pic:blipFill>
                  <pic:spPr bwMode="auto">
                    <a:xfrm>
                      <a:off x="0" y="0"/>
                      <a:ext cx="4192844" cy="2832496"/>
                    </a:xfrm>
                    <a:prstGeom prst="rect">
                      <a:avLst/>
                    </a:prstGeom>
                    <a:ln>
                      <a:noFill/>
                    </a:ln>
                    <a:extLst>
                      <a:ext uri="{53640926-AAD7-44D8-BBD7-CCE9431645EC}">
                        <a14:shadowObscured xmlns:a14="http://schemas.microsoft.com/office/drawing/2010/main"/>
                      </a:ext>
                    </a:extLst>
                  </pic:spPr>
                </pic:pic>
              </a:graphicData>
            </a:graphic>
          </wp:inline>
        </w:drawing>
      </w:r>
    </w:p>
    <w:p w14:paraId="328EB1B6" w14:textId="39E7914E" w:rsidR="00EA681B" w:rsidRPr="004F0976" w:rsidRDefault="00EA681B" w:rsidP="00EA681B">
      <w:pPr>
        <w:pStyle w:val="CETCaption"/>
      </w:pPr>
      <w:bookmarkStart w:id="4" w:name="_Ref228036175"/>
      <w:r w:rsidRPr="004F0976">
        <w:t xml:space="preserve">Figure </w:t>
      </w:r>
      <w:r w:rsidRPr="004F0976">
        <w:fldChar w:fldCharType="begin"/>
      </w:r>
      <w:r w:rsidRPr="004F0976">
        <w:instrText xml:space="preserve"> SEQ Figure \* ARABIC </w:instrText>
      </w:r>
      <w:r w:rsidRPr="004F0976">
        <w:fldChar w:fldCharType="separate"/>
      </w:r>
      <w:r w:rsidR="00D03048">
        <w:rPr>
          <w:noProof/>
        </w:rPr>
        <w:t>1</w:t>
      </w:r>
      <w:r w:rsidRPr="004F0976">
        <w:fldChar w:fldCharType="end"/>
      </w:r>
      <w:bookmarkEnd w:id="4"/>
      <w:r w:rsidRPr="004F0976">
        <w:t xml:space="preserve">: </w:t>
      </w:r>
      <w:r w:rsidR="00527E59" w:rsidRPr="004F0976">
        <w:t>Comparison of C</w:t>
      </w:r>
      <w:r w:rsidR="00527E59" w:rsidRPr="004F0976">
        <w:rPr>
          <w:vertAlign w:val="subscript"/>
        </w:rPr>
        <w:t>od</w:t>
      </w:r>
      <w:r w:rsidR="00527E59" w:rsidRPr="004F0976">
        <w:t xml:space="preserve"> and MDV for the samples</w:t>
      </w:r>
    </w:p>
    <w:p w14:paraId="6886667B" w14:textId="3C5AE3B2" w:rsidR="0098497B" w:rsidRPr="004F0976" w:rsidRDefault="0041076A" w:rsidP="0098497B">
      <w:pPr>
        <w:pStyle w:val="CETBodytext"/>
        <w:rPr>
          <w:lang w:val="en-GB"/>
        </w:rPr>
      </w:pPr>
      <w:r w:rsidRPr="0041076A">
        <w:rPr>
          <w:lang w:val="en-GB"/>
        </w:rPr>
        <w:t>In addition,</w:t>
      </w:r>
      <w:r>
        <w:rPr>
          <w:lang w:val="en-GB"/>
        </w:rPr>
        <w:t xml:space="preserve"> </w:t>
      </w:r>
      <w:r w:rsidRPr="004F0976">
        <w:rPr>
          <w:lang w:val="en-GB"/>
        </w:rPr>
        <w:fldChar w:fldCharType="begin"/>
      </w:r>
      <w:r w:rsidRPr="004F0976">
        <w:rPr>
          <w:lang w:val="en-GB"/>
        </w:rPr>
        <w:instrText xml:space="preserve"> REF _Ref228036175 \h  \* MERGEFORMAT </w:instrText>
      </w:r>
      <w:r w:rsidRPr="004F0976">
        <w:rPr>
          <w:lang w:val="en-GB"/>
        </w:rPr>
      </w:r>
      <w:r w:rsidRPr="004F0976">
        <w:rPr>
          <w:lang w:val="en-GB"/>
        </w:rPr>
        <w:fldChar w:fldCharType="separate"/>
      </w:r>
      <w:r w:rsidR="00D03048" w:rsidRPr="00D03048">
        <w:rPr>
          <w:lang w:val="en-GB"/>
        </w:rPr>
        <w:t>Figure 1</w:t>
      </w:r>
      <w:r w:rsidRPr="004F0976">
        <w:rPr>
          <w:lang w:val="en-GB"/>
        </w:rPr>
        <w:fldChar w:fldCharType="end"/>
      </w:r>
      <w:r>
        <w:rPr>
          <w:lang w:val="en-GB"/>
        </w:rPr>
        <w:t xml:space="preserve"> shows clearly that </w:t>
      </w:r>
      <w:r w:rsidR="00947D8F" w:rsidRPr="004F0976">
        <w:rPr>
          <w:lang w:val="en-GB"/>
        </w:rPr>
        <w:t>several critical and borderline cases are observed for samples characterized by relatively low C</w:t>
      </w:r>
      <w:r w:rsidR="00947D8F" w:rsidRPr="004F0976">
        <w:rPr>
          <w:vertAlign w:val="subscript"/>
          <w:lang w:val="en-GB"/>
        </w:rPr>
        <w:t>od</w:t>
      </w:r>
      <w:r w:rsidR="00947D8F" w:rsidRPr="004F0976">
        <w:rPr>
          <w:lang w:val="en-GB"/>
        </w:rPr>
        <w:t xml:space="preserve"> values (</w:t>
      </w:r>
      <w:r w:rsidR="00034C7D">
        <w:rPr>
          <w:rFonts w:ascii="Calibri" w:hAnsi="Calibri" w:cs="Calibri"/>
          <w:lang w:val="en-GB"/>
        </w:rPr>
        <w:t>≤</w:t>
      </w:r>
      <w:r w:rsidR="00034C7D">
        <w:rPr>
          <w:lang w:val="en-GB"/>
        </w:rPr>
        <w:t xml:space="preserve"> </w:t>
      </w:r>
      <w:r w:rsidR="00947D8F" w:rsidRPr="004F0976">
        <w:rPr>
          <w:lang w:val="en-GB"/>
        </w:rPr>
        <w:t xml:space="preserve">500 </w:t>
      </w:r>
      <w:proofErr w:type="spellStart"/>
      <w:r w:rsidR="00947D8F" w:rsidRPr="004F0976">
        <w:rPr>
          <w:lang w:val="en-GB"/>
        </w:rPr>
        <w:t>ou</w:t>
      </w:r>
      <w:r w:rsidR="00947D8F" w:rsidRPr="004F0976">
        <w:rPr>
          <w:vertAlign w:val="subscript"/>
          <w:lang w:val="en-GB"/>
        </w:rPr>
        <w:t>E</w:t>
      </w:r>
      <w:proofErr w:type="spellEnd"/>
      <w:r w:rsidR="00947D8F" w:rsidRPr="004F0976">
        <w:rPr>
          <w:lang w:val="en-GB"/>
        </w:rPr>
        <w:t>/m</w:t>
      </w:r>
      <w:r w:rsidR="00947D8F" w:rsidRPr="004F0976">
        <w:rPr>
          <w:vertAlign w:val="superscript"/>
          <w:lang w:val="en-GB"/>
        </w:rPr>
        <w:t>3</w:t>
      </w:r>
      <w:r w:rsidR="00947D8F" w:rsidRPr="004F0976">
        <w:rPr>
          <w:lang w:val="en-GB"/>
        </w:rPr>
        <w:t xml:space="preserve">), confirming that for this class of samples an evaluation of the occupational risk and a definition of </w:t>
      </w:r>
      <w:proofErr w:type="gramStart"/>
      <w:r w:rsidR="00947D8F" w:rsidRPr="004F0976">
        <w:rPr>
          <w:lang w:val="en-GB"/>
        </w:rPr>
        <w:t>a</w:t>
      </w:r>
      <w:proofErr w:type="gramEnd"/>
      <w:r w:rsidR="00947D8F" w:rsidRPr="004F0976">
        <w:rPr>
          <w:lang w:val="en-GB"/>
        </w:rPr>
        <w:t xml:space="preserve"> MDV is extremely important to protect panellists’ </w:t>
      </w:r>
      <w:r w:rsidR="00DF72DF">
        <w:rPr>
          <w:lang w:val="en-GB"/>
        </w:rPr>
        <w:t>health</w:t>
      </w:r>
      <w:r w:rsidR="00947D8F" w:rsidRPr="004F0976">
        <w:rPr>
          <w:lang w:val="en-GB"/>
        </w:rPr>
        <w:t xml:space="preserve">. </w:t>
      </w:r>
    </w:p>
    <w:p w14:paraId="728E1783" w14:textId="34CD6034" w:rsidR="0098497B" w:rsidRDefault="00662EF3" w:rsidP="00527E59">
      <w:pPr>
        <w:pStyle w:val="CETBodytext"/>
        <w:rPr>
          <w:lang w:val="en-GB"/>
        </w:rPr>
      </w:pPr>
      <w:r>
        <w:rPr>
          <w:lang w:val="en-GB"/>
        </w:rPr>
        <w:t>C</w:t>
      </w:r>
      <w:r w:rsidR="0098497B" w:rsidRPr="004F0976">
        <w:rPr>
          <w:lang w:val="en-GB"/>
        </w:rPr>
        <w:t>onsidering the oxidised compounds measured and detected in the samples, several observations can be made. A comparison of the OELs for the four compounds reveals that the exposure concentration for CO is two orders of magnitude higher (100 ppm). This aspect mitigates concerns regarding the potential implications</w:t>
      </w:r>
      <w:r w:rsidR="002D3DC7">
        <w:rPr>
          <w:lang w:val="en-GB"/>
        </w:rPr>
        <w:t xml:space="preserve"> of CO</w:t>
      </w:r>
      <w:r w:rsidR="0098497B" w:rsidRPr="004F0976">
        <w:rPr>
          <w:lang w:val="en-GB"/>
        </w:rPr>
        <w:t xml:space="preserve"> for occupational safety and health</w:t>
      </w:r>
      <w:r>
        <w:rPr>
          <w:lang w:val="en-GB"/>
        </w:rPr>
        <w:t xml:space="preserve"> in this context</w:t>
      </w:r>
      <w:r w:rsidR="0098497B" w:rsidRPr="004F0976">
        <w:rPr>
          <w:lang w:val="en-GB"/>
        </w:rPr>
        <w:t>.</w:t>
      </w:r>
      <w:r>
        <w:rPr>
          <w:lang w:val="en-GB"/>
        </w:rPr>
        <w:t xml:space="preserve"> Therefore, sulphur dioxide and NO</w:t>
      </w:r>
      <w:r w:rsidRPr="00DF72DF">
        <w:rPr>
          <w:vertAlign w:val="subscript"/>
          <w:lang w:val="en-GB"/>
        </w:rPr>
        <w:t>X</w:t>
      </w:r>
      <w:r>
        <w:rPr>
          <w:lang w:val="en-GB"/>
        </w:rPr>
        <w:t xml:space="preserve"> represent the most critical compounds in this scenario. Focusing on the samples of concern (red and yellow points in </w:t>
      </w:r>
      <w:r w:rsidRPr="004F0976">
        <w:rPr>
          <w:lang w:val="en-GB"/>
        </w:rPr>
        <w:fldChar w:fldCharType="begin"/>
      </w:r>
      <w:r w:rsidRPr="004F0976">
        <w:rPr>
          <w:lang w:val="en-GB"/>
        </w:rPr>
        <w:instrText xml:space="preserve"> REF _Ref228036175 \h  \* MERGEFORMAT </w:instrText>
      </w:r>
      <w:r w:rsidRPr="004F0976">
        <w:rPr>
          <w:lang w:val="en-GB"/>
        </w:rPr>
      </w:r>
      <w:r w:rsidRPr="004F0976">
        <w:rPr>
          <w:lang w:val="en-GB"/>
        </w:rPr>
        <w:fldChar w:fldCharType="separate"/>
      </w:r>
      <w:r w:rsidR="00D03048" w:rsidRPr="00D03048">
        <w:rPr>
          <w:lang w:val="en-GB"/>
        </w:rPr>
        <w:t>Figure 1</w:t>
      </w:r>
      <w:r w:rsidRPr="004F0976">
        <w:rPr>
          <w:lang w:val="en-GB"/>
        </w:rPr>
        <w:fldChar w:fldCharType="end"/>
      </w:r>
      <w:r>
        <w:rPr>
          <w:lang w:val="en-GB"/>
        </w:rPr>
        <w:t xml:space="preserve">), </w:t>
      </w:r>
      <w:r w:rsidRPr="00662EF3">
        <w:rPr>
          <w:lang w:val="en-GB"/>
        </w:rPr>
        <w:t xml:space="preserve">for these, it is possible to specify the content of </w:t>
      </w:r>
      <w:r w:rsidR="0098497B" w:rsidRPr="004F0976">
        <w:rPr>
          <w:lang w:val="en-GB"/>
        </w:rPr>
        <w:t>SO</w:t>
      </w:r>
      <w:r w:rsidR="0098497B" w:rsidRPr="004F0976">
        <w:rPr>
          <w:rFonts w:ascii="Cambria Math" w:hAnsi="Cambria Math" w:cs="Cambria Math"/>
          <w:lang w:val="en-GB"/>
        </w:rPr>
        <w:t>₂</w:t>
      </w:r>
      <w:r w:rsidR="0098497B" w:rsidRPr="004F0976">
        <w:rPr>
          <w:lang w:val="en-GB"/>
        </w:rPr>
        <w:t>, NO</w:t>
      </w:r>
      <w:r w:rsidR="0098497B" w:rsidRPr="004F0976">
        <w:rPr>
          <w:rFonts w:ascii="Cambria Math" w:hAnsi="Cambria Math" w:cs="Cambria Math"/>
          <w:lang w:val="en-GB"/>
        </w:rPr>
        <w:t>₂</w:t>
      </w:r>
      <w:r w:rsidR="0098497B" w:rsidRPr="004F0976">
        <w:rPr>
          <w:lang w:val="en-GB"/>
        </w:rPr>
        <w:t xml:space="preserve"> and NO. </w:t>
      </w:r>
      <w:r>
        <w:rPr>
          <w:lang w:val="en-GB"/>
        </w:rPr>
        <w:t>In critical samples, t</w:t>
      </w:r>
      <w:r w:rsidR="0098497B" w:rsidRPr="004F0976">
        <w:rPr>
          <w:lang w:val="en-GB"/>
        </w:rPr>
        <w:t xml:space="preserve">he compound with the highest </w:t>
      </w:r>
      <w:r w:rsidR="00E1457F">
        <w:rPr>
          <w:lang w:val="en-GB"/>
        </w:rPr>
        <w:t>HQ</w:t>
      </w:r>
      <w:r w:rsidR="00E1457F" w:rsidRPr="004F0976">
        <w:rPr>
          <w:lang w:val="en-GB"/>
        </w:rPr>
        <w:t xml:space="preserve"> </w:t>
      </w:r>
      <w:r w:rsidR="0098497B" w:rsidRPr="004F0976">
        <w:rPr>
          <w:lang w:val="en-GB"/>
        </w:rPr>
        <w:t>was SO</w:t>
      </w:r>
      <w:r w:rsidR="0098497B" w:rsidRPr="004F0976">
        <w:rPr>
          <w:rFonts w:ascii="Cambria Math" w:hAnsi="Cambria Math" w:cs="Cambria Math"/>
          <w:lang w:val="en-GB"/>
        </w:rPr>
        <w:t>₂</w:t>
      </w:r>
      <w:r w:rsidR="0098497B" w:rsidRPr="004F0976">
        <w:rPr>
          <w:lang w:val="en-GB"/>
        </w:rPr>
        <w:t>, followed by NO</w:t>
      </w:r>
      <w:r w:rsidR="00FF064D">
        <w:rPr>
          <w:lang w:val="en-GB"/>
        </w:rPr>
        <w:t xml:space="preserve">, as reported in </w:t>
      </w:r>
      <w:r w:rsidR="00E91DED">
        <w:rPr>
          <w:lang w:val="en-GB"/>
        </w:rPr>
        <w:fldChar w:fldCharType="begin"/>
      </w:r>
      <w:r w:rsidR="00E91DED">
        <w:rPr>
          <w:lang w:val="en-GB"/>
        </w:rPr>
        <w:instrText xml:space="preserve"> REF _Ref228354484 \h </w:instrText>
      </w:r>
      <w:r w:rsidR="00E91DED">
        <w:rPr>
          <w:lang w:val="en-GB"/>
        </w:rPr>
      </w:r>
      <w:r w:rsidR="00E91DED">
        <w:rPr>
          <w:lang w:val="en-GB"/>
        </w:rPr>
        <w:fldChar w:fldCharType="separate"/>
      </w:r>
      <w:r w:rsidR="00D03048">
        <w:t xml:space="preserve">Figure </w:t>
      </w:r>
      <w:r w:rsidR="00D03048">
        <w:rPr>
          <w:noProof/>
        </w:rPr>
        <w:t>2</w:t>
      </w:r>
      <w:r w:rsidR="00E91DED">
        <w:rPr>
          <w:lang w:val="en-GB"/>
        </w:rPr>
        <w:fldChar w:fldCharType="end"/>
      </w:r>
      <w:r w:rsidR="0098497B" w:rsidRPr="004F0976">
        <w:rPr>
          <w:lang w:val="en-GB"/>
        </w:rPr>
        <w:t xml:space="preserve">. </w:t>
      </w:r>
      <w:r w:rsidR="00A35AD1" w:rsidRPr="004F0976">
        <w:rPr>
          <w:lang w:val="en-GB"/>
        </w:rPr>
        <w:t xml:space="preserve">This finding </w:t>
      </w:r>
      <w:r w:rsidR="003E2536">
        <w:rPr>
          <w:lang w:val="en-GB"/>
        </w:rPr>
        <w:t>indicates</w:t>
      </w:r>
      <w:r w:rsidR="003E2536" w:rsidRPr="004F0976">
        <w:rPr>
          <w:lang w:val="en-GB"/>
        </w:rPr>
        <w:t xml:space="preserve"> </w:t>
      </w:r>
      <w:r w:rsidR="00A35AD1" w:rsidRPr="004F0976">
        <w:rPr>
          <w:lang w:val="en-GB"/>
        </w:rPr>
        <w:t xml:space="preserve">that these compounds </w:t>
      </w:r>
      <w:r w:rsidR="003E2536">
        <w:rPr>
          <w:lang w:val="en-GB"/>
        </w:rPr>
        <w:t>appear to</w:t>
      </w:r>
      <w:r w:rsidR="003E2536" w:rsidRPr="004F0976">
        <w:rPr>
          <w:lang w:val="en-GB"/>
        </w:rPr>
        <w:t xml:space="preserve"> </w:t>
      </w:r>
      <w:r w:rsidR="00A35AD1" w:rsidRPr="004F0976">
        <w:rPr>
          <w:lang w:val="en-GB"/>
        </w:rPr>
        <w:t xml:space="preserve">be the most </w:t>
      </w:r>
      <w:r>
        <w:rPr>
          <w:lang w:val="en-GB"/>
        </w:rPr>
        <w:t>relevant</w:t>
      </w:r>
      <w:r w:rsidR="00A35AD1" w:rsidRPr="004F0976">
        <w:rPr>
          <w:lang w:val="en-GB"/>
        </w:rPr>
        <w:t xml:space="preserve"> ones for the assessment of the risk associated with these types of samples.</w:t>
      </w:r>
    </w:p>
    <w:p w14:paraId="663BBFB3" w14:textId="77777777" w:rsidR="00A5730C" w:rsidRDefault="003E2536" w:rsidP="00E91DED">
      <w:pPr>
        <w:pStyle w:val="CETBodytext"/>
      </w:pPr>
      <w:r w:rsidRPr="003E2536">
        <w:rPr>
          <w:lang w:val="en-GB"/>
        </w:rPr>
        <w:t xml:space="preserve">Interpreted </w:t>
      </w:r>
      <w:proofErr w:type="gramStart"/>
      <w:r w:rsidRPr="003E2536">
        <w:rPr>
          <w:lang w:val="en-GB"/>
        </w:rPr>
        <w:t>in light of</w:t>
      </w:r>
      <w:proofErr w:type="gramEnd"/>
      <w:r w:rsidRPr="003E2536">
        <w:rPr>
          <w:lang w:val="en-GB"/>
        </w:rPr>
        <w:t xml:space="preserve"> the scientific literature, these findings complement those of previous studies</w:t>
      </w:r>
      <w:r>
        <w:rPr>
          <w:lang w:val="en-GB"/>
        </w:rPr>
        <w:t>,</w:t>
      </w:r>
      <w:r w:rsidR="00E91DED" w:rsidRPr="00E91DED">
        <w:rPr>
          <w:lang w:val="en-GB"/>
        </w:rPr>
        <w:t xml:space="preserve"> based on probabilistic approaches, in which the risk associated with olfactometric analyses was found to be statistically negligible. Probabilistic occupational risk assessment in dynamic olfactometry showed that, at the overall laboratory scale and under several conservative assumptions, the estimated risk remained below the adopted acceptability criteria, thus supporting the conclusion of a generally negligible exposure scenario </w:t>
      </w:r>
      <w:sdt>
        <w:sdtPr>
          <w:rPr>
            <w:rFonts w:cs="Arial"/>
            <w:color w:val="000000"/>
            <w:lang w:val="en-GB"/>
          </w:rPr>
          <w:tag w:val="MENDELEY_CITATION_v3_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"/>
          <w:id w:val="-1693609992"/>
          <w:placeholder>
            <w:docPart w:val="DefaultPlaceholder_-1854013440"/>
          </w:placeholder>
        </w:sdtPr>
        <w:sdtContent>
          <w:r w:rsidR="00B91F21" w:rsidRPr="00B91F21">
            <w:rPr>
              <w:rFonts w:cs="Arial"/>
              <w:color w:val="000000"/>
            </w:rPr>
            <w:t xml:space="preserve">(Polvara </w:t>
          </w:r>
          <w:r w:rsidR="00B91F21" w:rsidRPr="00B91F21">
            <w:rPr>
              <w:rFonts w:cs="Arial"/>
              <w:i/>
              <w:iCs/>
              <w:color w:val="000000"/>
            </w:rPr>
            <w:t>et al.</w:t>
          </w:r>
          <w:r w:rsidR="00B91F21" w:rsidRPr="00B91F21">
            <w:rPr>
              <w:rFonts w:cs="Arial"/>
              <w:color w:val="000000"/>
            </w:rPr>
            <w:t>, 2024)</w:t>
          </w:r>
        </w:sdtContent>
      </w:sdt>
      <w:r w:rsidR="002F01F7" w:rsidRPr="004F0976">
        <w:rPr>
          <w:lang w:val="en-GB"/>
        </w:rPr>
        <w:t xml:space="preserve">. </w:t>
      </w:r>
      <w:r w:rsidR="00E91DED" w:rsidRPr="007A54A6">
        <w:t>However, that study was designed to describe the overall probability of unacceptable exposure across a broad range of analytical conditions, rather than to identify operational criticalities associated with specific sample categories.</w:t>
      </w:r>
      <w:r w:rsidR="00DA432B">
        <w:t xml:space="preserve"> </w:t>
      </w:r>
    </w:p>
    <w:p w14:paraId="1D361543" w14:textId="77777777" w:rsidR="00A5730C" w:rsidRDefault="00A5730C" w:rsidP="00A5730C">
      <w:pPr>
        <w:pStyle w:val="CETBodytext"/>
        <w:keepNext/>
        <w:jc w:val="center"/>
      </w:pPr>
      <w:r>
        <w:rPr>
          <w:noProof/>
        </w:rPr>
        <w:lastRenderedPageBreak/>
        <w:drawing>
          <wp:inline distT="0" distB="0" distL="0" distR="0" wp14:anchorId="5F6DB04E" wp14:editId="3FAE905E">
            <wp:extent cx="4059936" cy="2776549"/>
            <wp:effectExtent l="0" t="0" r="0" b="5080"/>
            <wp:docPr id="1820439587"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439587" name=""/>
                    <pic:cNvPicPr/>
                  </pic:nvPicPr>
                  <pic:blipFill rotWithShape="1">
                    <a:blip r:embed="rId16">
                      <a:extLst>
                        <a:ext uri="{96DAC541-7B7A-43D3-8B79-37D633B846F1}">
                          <asvg:svgBlip xmlns:asvg="http://schemas.microsoft.com/office/drawing/2016/SVG/main" r:embed="rId17"/>
                        </a:ext>
                      </a:extLst>
                    </a:blip>
                    <a:srcRect l="1705" t="2217" r="2828" b="5757"/>
                    <a:stretch>
                      <a:fillRect/>
                    </a:stretch>
                  </pic:blipFill>
                  <pic:spPr bwMode="auto">
                    <a:xfrm>
                      <a:off x="0" y="0"/>
                      <a:ext cx="4059936" cy="2776549"/>
                    </a:xfrm>
                    <a:prstGeom prst="rect">
                      <a:avLst/>
                    </a:prstGeom>
                    <a:ln>
                      <a:noFill/>
                    </a:ln>
                    <a:extLst>
                      <a:ext uri="{53640926-AAD7-44D8-BBD7-CCE9431645EC}">
                        <a14:shadowObscured xmlns:a14="http://schemas.microsoft.com/office/drawing/2010/main"/>
                      </a:ext>
                    </a:extLst>
                  </pic:spPr>
                </pic:pic>
              </a:graphicData>
            </a:graphic>
          </wp:inline>
        </w:drawing>
      </w:r>
    </w:p>
    <w:p w14:paraId="3EDA8002" w14:textId="75209D93" w:rsidR="00A5730C" w:rsidRPr="004F0976" w:rsidRDefault="00A5730C" w:rsidP="00A5730C">
      <w:pPr>
        <w:pStyle w:val="CETCaption"/>
      </w:pPr>
      <w:bookmarkStart w:id="5" w:name="_Ref228354484"/>
      <w:r>
        <w:t xml:space="preserve">Figure </w:t>
      </w:r>
      <w:r>
        <w:fldChar w:fldCharType="begin"/>
      </w:r>
      <w:r>
        <w:instrText xml:space="preserve"> SEQ Figure \* ARABIC </w:instrText>
      </w:r>
      <w:r>
        <w:fldChar w:fldCharType="separate"/>
      </w:r>
      <w:r>
        <w:rPr>
          <w:noProof/>
        </w:rPr>
        <w:t>2</w:t>
      </w:r>
      <w:r>
        <w:fldChar w:fldCharType="end"/>
      </w:r>
      <w:bookmarkEnd w:id="5"/>
      <w:r>
        <w:t xml:space="preserve">: </w:t>
      </w:r>
      <w:r w:rsidR="00DF72DF" w:rsidRPr="00DF72DF">
        <w:t>Relative contribution</w:t>
      </w:r>
      <w:r w:rsidR="00DF72DF">
        <w:t xml:space="preserve"> (%)</w:t>
      </w:r>
      <w:r w:rsidR="00DF72DF" w:rsidRPr="00DF72DF">
        <w:t xml:space="preserve"> of individual compounds to HI in non-acceptable samples</w:t>
      </w:r>
    </w:p>
    <w:p w14:paraId="6564497E" w14:textId="7E34C07B" w:rsidR="007A54A6" w:rsidRDefault="00E91DED" w:rsidP="00E91DED">
      <w:pPr>
        <w:pStyle w:val="CETBodytext"/>
        <w:rPr>
          <w:lang w:val="en-GB"/>
        </w:rPr>
      </w:pPr>
      <w:r w:rsidRPr="007A54A6">
        <w:t xml:space="preserve">By focusing specifically on combustion stack samples, the present results show that matrices characterized by limited VOC contributions and low </w:t>
      </w:r>
      <w:proofErr w:type="spellStart"/>
      <w:r w:rsidRPr="007A54A6">
        <w:t>odour</w:t>
      </w:r>
      <w:proofErr w:type="spellEnd"/>
      <w:r w:rsidRPr="007A54A6">
        <w:t xml:space="preserve"> concentrations may nevertheless pose non-negligible operational constraints during olfactometric analysis.</w:t>
      </w:r>
      <w:r w:rsidR="00CA1D32">
        <w:t xml:space="preserve"> </w:t>
      </w:r>
      <w:r w:rsidRPr="007A54A6">
        <w:t>Overall, the C</w:t>
      </w:r>
      <w:r w:rsidRPr="00566395">
        <w:rPr>
          <w:vertAlign w:val="subscript"/>
        </w:rPr>
        <w:t>od</w:t>
      </w:r>
      <w:r w:rsidRPr="007A54A6">
        <w:t xml:space="preserve">-MDV distribution indicates that this sample class requires specific attention during olfactometric testing, despite its </w:t>
      </w:r>
      <w:r w:rsidR="002D3DC7">
        <w:t xml:space="preserve">generally </w:t>
      </w:r>
      <w:r w:rsidRPr="007A54A6">
        <w:t xml:space="preserve">limited relevance from an </w:t>
      </w:r>
      <w:proofErr w:type="spellStart"/>
      <w:r w:rsidRPr="007A54A6">
        <w:t>odour</w:t>
      </w:r>
      <w:proofErr w:type="spellEnd"/>
      <w:r w:rsidRPr="007A54A6">
        <w:t xml:space="preserve"> impact perspective. It should also be emphasized that the occupational risk assessment approach adopted for olfactometric examiners exposed to stack emission samples is methodologically conservative, as it is based on precautionary assumptions regarding exposure duration and operating conditions during olfactometric analysis</w:t>
      </w:r>
      <w:r w:rsidR="00566395">
        <w:t xml:space="preserve"> </w:t>
      </w:r>
      <w:sdt>
        <w:sdtPr>
          <w:rPr>
            <w:rFonts w:cs="Arial"/>
            <w:color w:val="000000"/>
            <w:lang w:val="en-GB"/>
          </w:rPr>
          <w:tag w:val="MENDELEY_CITATION_v3_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"/>
          <w:id w:val="-1470124823"/>
          <w:placeholder>
            <w:docPart w:val="DefaultPlaceholder_-1854013440"/>
          </w:placeholder>
        </w:sdtPr>
        <w:sdtContent>
          <w:r w:rsidR="00B91F21" w:rsidRPr="00B91F21">
            <w:rPr>
              <w:rFonts w:cs="Arial"/>
              <w:color w:val="000000"/>
            </w:rPr>
            <w:t xml:space="preserve">(Polvara, Spinazzè, </w:t>
          </w:r>
          <w:r w:rsidR="00B91F21" w:rsidRPr="00B91F21">
            <w:rPr>
              <w:rFonts w:cs="Arial"/>
              <w:i/>
              <w:iCs/>
              <w:color w:val="000000"/>
            </w:rPr>
            <w:t>et al.</w:t>
          </w:r>
          <w:r w:rsidR="00B91F21" w:rsidRPr="00B91F21">
            <w:rPr>
              <w:rFonts w:cs="Arial"/>
              <w:color w:val="000000"/>
            </w:rPr>
            <w:t xml:space="preserve">, 2021; Polvara </w:t>
          </w:r>
          <w:r w:rsidR="00B91F21" w:rsidRPr="00B91F21">
            <w:rPr>
              <w:rFonts w:cs="Arial"/>
              <w:i/>
              <w:iCs/>
              <w:color w:val="000000"/>
            </w:rPr>
            <w:t>et al.</w:t>
          </w:r>
          <w:r w:rsidR="00B91F21" w:rsidRPr="00B91F21">
            <w:rPr>
              <w:rFonts w:cs="Arial"/>
              <w:color w:val="000000"/>
            </w:rPr>
            <w:t>, 2024)</w:t>
          </w:r>
        </w:sdtContent>
      </w:sdt>
      <w:r w:rsidR="00B033D8" w:rsidRPr="00B033D8">
        <w:rPr>
          <w:lang w:val="en-GB"/>
        </w:rPr>
        <w:t xml:space="preserve">. </w:t>
      </w:r>
      <w:proofErr w:type="gramStart"/>
      <w:r w:rsidR="007A54A6" w:rsidRPr="007A54A6">
        <w:rPr>
          <w:lang w:val="en-GB"/>
        </w:rPr>
        <w:t>In particular,</w:t>
      </w:r>
      <w:r w:rsidR="00566395">
        <w:rPr>
          <w:lang w:val="en-GB"/>
        </w:rPr>
        <w:t xml:space="preserve"> it</w:t>
      </w:r>
      <w:proofErr w:type="gramEnd"/>
      <w:r w:rsidR="00566395">
        <w:rPr>
          <w:lang w:val="en-GB"/>
        </w:rPr>
        <w:t xml:space="preserve"> is important to </w:t>
      </w:r>
      <w:r w:rsidR="00566395" w:rsidRPr="00566395">
        <w:rPr>
          <w:lang w:val="en-GB"/>
        </w:rPr>
        <w:t>reiterate</w:t>
      </w:r>
      <w:r w:rsidR="00566395">
        <w:rPr>
          <w:lang w:val="en-GB"/>
        </w:rPr>
        <w:t xml:space="preserve"> that</w:t>
      </w:r>
      <w:r w:rsidR="007A54A6" w:rsidRPr="007A54A6">
        <w:rPr>
          <w:lang w:val="en-GB"/>
        </w:rPr>
        <w:t xml:space="preserve"> the </w:t>
      </w:r>
      <w:r w:rsidR="00CA1D32">
        <w:rPr>
          <w:lang w:val="en-GB"/>
        </w:rPr>
        <w:t>use of</w:t>
      </w:r>
      <w:r w:rsidR="007A54A6" w:rsidRPr="007A54A6">
        <w:rPr>
          <w:lang w:val="en-GB"/>
        </w:rPr>
        <w:t xml:space="preserve"> occupational exposure limits </w:t>
      </w:r>
      <w:r w:rsidR="00DF72DF">
        <w:rPr>
          <w:lang w:val="en-GB"/>
        </w:rPr>
        <w:t xml:space="preserve">defined </w:t>
      </w:r>
      <w:r w:rsidR="00566395">
        <w:rPr>
          <w:lang w:val="en-GB"/>
        </w:rPr>
        <w:t>for 8 hours (OEL-</w:t>
      </w:r>
      <w:r w:rsidR="007A54A6" w:rsidRPr="007A54A6">
        <w:rPr>
          <w:lang w:val="en-GB"/>
        </w:rPr>
        <w:t>TWA</w:t>
      </w:r>
      <w:r w:rsidR="00566395">
        <w:rPr>
          <w:lang w:val="en-GB"/>
        </w:rPr>
        <w:t>)</w:t>
      </w:r>
      <w:r w:rsidR="007A54A6" w:rsidRPr="007A54A6">
        <w:rPr>
          <w:lang w:val="en-GB"/>
        </w:rPr>
        <w:t xml:space="preserve"> or</w:t>
      </w:r>
      <w:r w:rsidR="00566395">
        <w:rPr>
          <w:lang w:val="en-GB"/>
        </w:rPr>
        <w:t xml:space="preserve"> 15 minutes</w:t>
      </w:r>
      <w:r w:rsidR="007A54A6" w:rsidRPr="007A54A6">
        <w:rPr>
          <w:lang w:val="en-GB"/>
        </w:rPr>
        <w:t xml:space="preserve"> </w:t>
      </w:r>
      <w:r w:rsidR="00566395">
        <w:rPr>
          <w:lang w:val="en-GB"/>
        </w:rPr>
        <w:t>(OEL-</w:t>
      </w:r>
      <w:r w:rsidR="007A54A6" w:rsidRPr="007A54A6">
        <w:rPr>
          <w:lang w:val="en-GB"/>
        </w:rPr>
        <w:t>STEL</w:t>
      </w:r>
      <w:r w:rsidR="00566395">
        <w:rPr>
          <w:lang w:val="en-GB"/>
        </w:rPr>
        <w:t>)</w:t>
      </w:r>
      <w:r w:rsidR="007A54A6" w:rsidRPr="007A54A6">
        <w:rPr>
          <w:lang w:val="en-GB"/>
        </w:rPr>
        <w:t xml:space="preserve"> is inherently precautionary, because these limits are defined for exposure periods </w:t>
      </w:r>
      <w:r w:rsidR="00CA1D32">
        <w:rPr>
          <w:lang w:val="en-GB"/>
        </w:rPr>
        <w:t>longer</w:t>
      </w:r>
      <w:r w:rsidR="007A54A6" w:rsidRPr="007A54A6">
        <w:rPr>
          <w:lang w:val="en-GB"/>
        </w:rPr>
        <w:t xml:space="preserve"> than the actual inhalation </w:t>
      </w:r>
      <w:r w:rsidR="00CA1D32">
        <w:rPr>
          <w:lang w:val="en-GB"/>
        </w:rPr>
        <w:t xml:space="preserve">time (few seconds) </w:t>
      </w:r>
      <w:r w:rsidR="007A54A6" w:rsidRPr="007A54A6">
        <w:rPr>
          <w:lang w:val="en-GB"/>
        </w:rPr>
        <w:t xml:space="preserve">experienced by the </w:t>
      </w:r>
      <w:r w:rsidR="00566395">
        <w:rPr>
          <w:lang w:val="en-GB"/>
        </w:rPr>
        <w:t>olfactometric examiners</w:t>
      </w:r>
      <w:r w:rsidR="007A54A6" w:rsidRPr="007A54A6">
        <w:rPr>
          <w:lang w:val="en-GB"/>
        </w:rPr>
        <w:t xml:space="preserve"> during each evaluation. Therefore, even in the most critical cases identified for this sample</w:t>
      </w:r>
      <w:r w:rsidR="00566395">
        <w:rPr>
          <w:lang w:val="en-GB"/>
        </w:rPr>
        <w:t xml:space="preserve"> </w:t>
      </w:r>
      <w:r w:rsidR="007A54A6" w:rsidRPr="007A54A6">
        <w:rPr>
          <w:lang w:val="en-GB"/>
        </w:rPr>
        <w:t>class, the estimated risk values should be interpreted as prudential estimates of potential exposure rather than as a direct representation of the real short-term exposure experienced during testing.</w:t>
      </w:r>
    </w:p>
    <w:p w14:paraId="230C45D5" w14:textId="70A9FFAC" w:rsidR="009A1D06" w:rsidRPr="004F0976" w:rsidRDefault="009A1D06" w:rsidP="009A1D06">
      <w:pPr>
        <w:pStyle w:val="CETheadingx"/>
        <w:rPr>
          <w:lang w:val="en-GB"/>
        </w:rPr>
      </w:pPr>
      <w:r w:rsidRPr="004F0976">
        <w:rPr>
          <w:lang w:val="en-GB"/>
        </w:rPr>
        <w:t>Proposed operative approach</w:t>
      </w:r>
    </w:p>
    <w:p w14:paraId="397F1D14" w14:textId="02D98C95" w:rsidR="006F659A" w:rsidRPr="006F659A" w:rsidRDefault="003E2536" w:rsidP="006F659A">
      <w:pPr>
        <w:pStyle w:val="CETBodytext"/>
      </w:pPr>
      <w:r>
        <w:t>According to</w:t>
      </w:r>
      <w:r w:rsidR="006F659A" w:rsidRPr="006F659A">
        <w:t xml:space="preserve"> the present results, estimating an MDV before olfactometric analysis appears essential for this class of samples, namely emissions from combustion units. Accordingly, a specific operational workflow should be defined for these samples. As a first step, the compounds present in the sample should be preliminarily quantified before dynamic olfactometry is performed. For this purpose, rapid screening instruments, such as electrochemical sensors and NDIR </w:t>
      </w:r>
      <w:proofErr w:type="spellStart"/>
      <w:r w:rsidR="006F659A" w:rsidRPr="006F659A">
        <w:t>analysers</w:t>
      </w:r>
      <w:proofErr w:type="spellEnd"/>
      <w:r w:rsidR="006F659A" w:rsidRPr="006F659A">
        <w:t xml:space="preserve"> for combustion gases, may be sufficient. At this stage, a</w:t>
      </w:r>
      <w:r w:rsidR="002D3DC7">
        <w:t>n</w:t>
      </w:r>
      <w:r w:rsidR="006F659A" w:rsidRPr="006F659A">
        <w:t xml:space="preserve"> </w:t>
      </w:r>
      <w:r w:rsidRPr="003E2536">
        <w:t>expedited assessment</w:t>
      </w:r>
      <w:r w:rsidR="006F659A" w:rsidRPr="006F659A">
        <w:t xml:space="preserve"> approach is adequate for this sample category, and simple sensor-based devices may be preferable to more complex analytical instrumentation (e.g. </w:t>
      </w:r>
      <w:r>
        <w:t>gas chromatography</w:t>
      </w:r>
      <w:r w:rsidR="006F659A" w:rsidRPr="006F659A">
        <w:t xml:space="preserve">), </w:t>
      </w:r>
      <w:proofErr w:type="gramStart"/>
      <w:r w:rsidR="006F659A" w:rsidRPr="006F659A">
        <w:t>provided that</w:t>
      </w:r>
      <w:proofErr w:type="gramEnd"/>
      <w:r w:rsidR="006F659A" w:rsidRPr="006F659A">
        <w:t xml:space="preserve"> they generate sufficient information for a preliminary assessment of compounds relevant to occupational exposure.</w:t>
      </w:r>
    </w:p>
    <w:p w14:paraId="4511FAC9" w14:textId="5809083A" w:rsidR="00CC2182" w:rsidRPr="00CC2182" w:rsidRDefault="006F659A" w:rsidP="00CC2182">
      <w:pPr>
        <w:pStyle w:val="CETBodytext"/>
        <w:rPr>
          <w:rFonts w:cs="Arial"/>
          <w:color w:val="000000"/>
        </w:rPr>
      </w:pPr>
      <w:r w:rsidRPr="006F659A">
        <w:t xml:space="preserve">Subsequently, </w:t>
      </w:r>
      <w:r w:rsidR="00AC4C9C" w:rsidRPr="006F659A">
        <w:t>based on</w:t>
      </w:r>
      <w:r w:rsidRPr="006F659A">
        <w:t xml:space="preserve"> the measured concentrations, non-carcinogenic risk should be estimated according to the methodology adopted in previous studies, by calculating the Hazard Index (HI) for the sample</w:t>
      </w:r>
      <w:r>
        <w:t xml:space="preserve"> </w:t>
      </w:r>
      <w:sdt>
        <w:sdtPr>
          <w:rPr>
            <w:rFonts w:cs="Arial"/>
            <w:color w:val="000000"/>
            <w:lang w:val="en-GB"/>
          </w:rPr>
          <w:tag w:val="MENDELEY_CITATION_v3_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"/>
          <w:id w:val="-881944489"/>
          <w:placeholder>
            <w:docPart w:val="B19D89A29A3542049A1FC2C7E40AFD1F"/>
          </w:placeholder>
        </w:sdtPr>
        <w:sdtContent>
          <w:r w:rsidR="00B91F21" w:rsidRPr="00B91F21">
            <w:rPr>
              <w:rFonts w:cs="Arial"/>
              <w:color w:val="000000"/>
            </w:rPr>
            <w:t xml:space="preserve">(Polvara, Spinazzè, </w:t>
          </w:r>
          <w:r w:rsidR="00B91F21" w:rsidRPr="00B91F21">
            <w:rPr>
              <w:rFonts w:cs="Arial"/>
              <w:i/>
              <w:iCs/>
              <w:color w:val="000000"/>
            </w:rPr>
            <w:t>et al.</w:t>
          </w:r>
          <w:r w:rsidR="00B91F21" w:rsidRPr="00B91F21">
            <w:rPr>
              <w:rFonts w:cs="Arial"/>
              <w:color w:val="000000"/>
            </w:rPr>
            <w:t>, 2021)</w:t>
          </w:r>
        </w:sdtContent>
      </w:sdt>
      <w:r w:rsidR="00CC2182">
        <w:rPr>
          <w:rFonts w:cs="Arial"/>
          <w:color w:val="000000"/>
          <w:lang w:val="en-GB"/>
        </w:rPr>
        <w:t xml:space="preserve">. </w:t>
      </w:r>
      <w:r w:rsidR="00CC2182" w:rsidRPr="00CC2182">
        <w:rPr>
          <w:rFonts w:cs="Arial"/>
          <w:color w:val="000000"/>
        </w:rPr>
        <w:t xml:space="preserve">The panel leader should then </w:t>
      </w:r>
      <w:r w:rsidR="00CA1D32">
        <w:rPr>
          <w:rFonts w:cs="Arial"/>
          <w:color w:val="000000"/>
        </w:rPr>
        <w:t>assign</w:t>
      </w:r>
      <w:r w:rsidR="00CC2182" w:rsidRPr="00CC2182">
        <w:rPr>
          <w:rFonts w:cs="Arial"/>
          <w:color w:val="000000"/>
        </w:rPr>
        <w:t xml:space="preserve"> the appropriate MDV to be adopted as an operational limit during the olfactometric test</w:t>
      </w:r>
      <w:r w:rsidR="00CC2182">
        <w:rPr>
          <w:rFonts w:cs="Arial"/>
          <w:color w:val="000000"/>
        </w:rPr>
        <w:t xml:space="preserve">, </w:t>
      </w:r>
      <w:r w:rsidR="00CA1D32">
        <w:rPr>
          <w:rFonts w:cs="Arial"/>
          <w:color w:val="000000"/>
        </w:rPr>
        <w:t>based on</w:t>
      </w:r>
      <w:r w:rsidR="00CC2182">
        <w:rPr>
          <w:rFonts w:cs="Arial"/>
          <w:color w:val="000000"/>
        </w:rPr>
        <w:t xml:space="preserve"> </w:t>
      </w:r>
      <w:r w:rsidR="002D3DC7">
        <w:rPr>
          <w:rFonts w:cs="Arial"/>
          <w:color w:val="000000"/>
        </w:rPr>
        <w:t xml:space="preserve">the </w:t>
      </w:r>
      <w:r w:rsidR="00CC2182">
        <w:rPr>
          <w:rFonts w:cs="Arial"/>
          <w:color w:val="000000"/>
        </w:rPr>
        <w:t>HI estimat</w:t>
      </w:r>
      <w:r w:rsidR="002D3DC7">
        <w:rPr>
          <w:rFonts w:cs="Arial"/>
          <w:color w:val="000000"/>
        </w:rPr>
        <w:t>e</w:t>
      </w:r>
      <w:r w:rsidR="00CC2182">
        <w:rPr>
          <w:rFonts w:cs="Arial"/>
          <w:color w:val="000000"/>
        </w:rPr>
        <w:t xml:space="preserve">, and </w:t>
      </w:r>
      <w:r w:rsidR="00CC2182" w:rsidRPr="00CC2182">
        <w:rPr>
          <w:rFonts w:cs="Arial"/>
          <w:color w:val="000000"/>
        </w:rPr>
        <w:t xml:space="preserve">then </w:t>
      </w:r>
      <w:r w:rsidR="00FB623B">
        <w:rPr>
          <w:rFonts w:cs="Arial"/>
          <w:color w:val="000000"/>
        </w:rPr>
        <w:t>interrupt</w:t>
      </w:r>
      <w:r w:rsidR="00CC2182">
        <w:rPr>
          <w:rFonts w:cs="Arial"/>
          <w:color w:val="000000"/>
        </w:rPr>
        <w:t xml:space="preserve"> </w:t>
      </w:r>
      <w:r w:rsidR="00CC2182" w:rsidRPr="00CC2182">
        <w:rPr>
          <w:rFonts w:cs="Arial"/>
          <w:color w:val="000000"/>
        </w:rPr>
        <w:t>the test once the MDV is reached</w:t>
      </w:r>
      <w:r w:rsidR="00CC2182">
        <w:rPr>
          <w:rFonts w:cs="Arial"/>
          <w:color w:val="000000"/>
        </w:rPr>
        <w:t>. I</w:t>
      </w:r>
      <w:r w:rsidR="00CC2182" w:rsidRPr="00CC2182">
        <w:rPr>
          <w:rFonts w:cs="Arial"/>
          <w:color w:val="000000"/>
        </w:rPr>
        <w:t xml:space="preserve">n such cases, the </w:t>
      </w:r>
      <w:proofErr w:type="spellStart"/>
      <w:r w:rsidR="00CC2182" w:rsidRPr="00CC2182">
        <w:rPr>
          <w:rFonts w:cs="Arial"/>
          <w:color w:val="000000"/>
        </w:rPr>
        <w:t>odour</w:t>
      </w:r>
      <w:proofErr w:type="spellEnd"/>
      <w:r w:rsidR="00CC2182" w:rsidRPr="00CC2182">
        <w:rPr>
          <w:rFonts w:cs="Arial"/>
          <w:color w:val="000000"/>
        </w:rPr>
        <w:t xml:space="preserve"> concentration should be reported as less than or equal to the corresponding MDV.</w:t>
      </w:r>
      <w:r w:rsidR="00DA432B">
        <w:rPr>
          <w:rFonts w:cs="Arial"/>
          <w:color w:val="000000"/>
        </w:rPr>
        <w:t xml:space="preserve"> </w:t>
      </w:r>
      <w:r w:rsidR="00CC2182" w:rsidRPr="00CC2182">
        <w:rPr>
          <w:rFonts w:cs="Arial"/>
          <w:color w:val="000000"/>
        </w:rPr>
        <w:t xml:space="preserve">Overall, this procedure represents a practical, methodologically sound, and conservative approach for conducting olfactometric analyses while </w:t>
      </w:r>
      <w:r w:rsidR="00DF72DF">
        <w:rPr>
          <w:rFonts w:cs="Arial"/>
          <w:color w:val="000000"/>
        </w:rPr>
        <w:t>protecting</w:t>
      </w:r>
      <w:r w:rsidR="00DF72DF" w:rsidRPr="00CC2182">
        <w:rPr>
          <w:rFonts w:cs="Arial"/>
          <w:color w:val="000000"/>
        </w:rPr>
        <w:t xml:space="preserve"> </w:t>
      </w:r>
      <w:proofErr w:type="spellStart"/>
      <w:r w:rsidR="00CA1D32" w:rsidRPr="00CC2182">
        <w:rPr>
          <w:rFonts w:cs="Arial"/>
          <w:color w:val="000000"/>
        </w:rPr>
        <w:t>pane</w:t>
      </w:r>
      <w:r w:rsidR="002D3DC7">
        <w:rPr>
          <w:rFonts w:cs="Arial"/>
          <w:color w:val="000000"/>
        </w:rPr>
        <w:t>l</w:t>
      </w:r>
      <w:r w:rsidR="00CA1D32" w:rsidRPr="00CC2182">
        <w:rPr>
          <w:rFonts w:cs="Arial"/>
          <w:color w:val="000000"/>
        </w:rPr>
        <w:t>lists</w:t>
      </w:r>
      <w:r w:rsidR="00CA1D32">
        <w:rPr>
          <w:rFonts w:cs="Arial"/>
          <w:color w:val="000000"/>
        </w:rPr>
        <w:t>’</w:t>
      </w:r>
      <w:proofErr w:type="spellEnd"/>
      <w:r w:rsidR="00CC2182" w:rsidRPr="00CC2182">
        <w:rPr>
          <w:rFonts w:cs="Arial"/>
          <w:color w:val="000000"/>
        </w:rPr>
        <w:t xml:space="preserve"> </w:t>
      </w:r>
      <w:r w:rsidR="002D3DC7">
        <w:rPr>
          <w:rFonts w:cs="Arial"/>
          <w:color w:val="000000"/>
        </w:rPr>
        <w:t>health</w:t>
      </w:r>
      <w:r w:rsidR="002D3DC7" w:rsidRPr="00CC2182">
        <w:rPr>
          <w:rFonts w:cs="Arial"/>
          <w:color w:val="000000"/>
        </w:rPr>
        <w:t xml:space="preserve"> </w:t>
      </w:r>
      <w:r w:rsidR="00CC2182" w:rsidRPr="00CC2182">
        <w:rPr>
          <w:rFonts w:cs="Arial"/>
          <w:color w:val="000000"/>
        </w:rPr>
        <w:t xml:space="preserve">and focusing analytical effort on the samples most likely to present critical conditions, as shown by the present study. At the same time, it allows the analyses to be completed within the time constraints established by the standard </w:t>
      </w:r>
      <w:sdt>
        <w:sdtPr>
          <w:rPr>
            <w:rFonts w:cs="Arial"/>
            <w:color w:val="000000"/>
            <w:lang w:val="en-GB"/>
          </w:rPr>
          <w:tag w:val="MENDELEY_CITATION_v3_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"/>
          <w:id w:val="-1545899305"/>
          <w:placeholder>
            <w:docPart w:val="45227C7D019442B588202AB80430F3C7"/>
          </w:placeholder>
        </w:sdtPr>
        <w:sdtContent>
          <w:r w:rsidR="00B91F21" w:rsidRPr="00B91F21">
            <w:rPr>
              <w:rFonts w:cs="Arial"/>
              <w:color w:val="000000"/>
              <w:lang w:val="en-GB"/>
            </w:rPr>
            <w:t>(EN 13725:2022, 2022)</w:t>
          </w:r>
        </w:sdtContent>
      </w:sdt>
      <w:r w:rsidR="00CC2182" w:rsidRPr="00CC2182">
        <w:rPr>
          <w:rFonts w:cs="Arial"/>
          <w:color w:val="000000"/>
          <w:lang w:val="en-GB"/>
        </w:rPr>
        <w:t>, including completion within 30 hours after sampling, while providing targeted and effective protection against exposure to concentrations approaching occupational exposure limits.</w:t>
      </w:r>
    </w:p>
    <w:p w14:paraId="68D26B83" w14:textId="77777777" w:rsidR="00600535" w:rsidRDefault="00600535" w:rsidP="00600535">
      <w:pPr>
        <w:pStyle w:val="CETHeading1"/>
        <w:rPr>
          <w:lang w:val="en-GB"/>
        </w:rPr>
      </w:pPr>
      <w:r w:rsidRPr="004F0976">
        <w:rPr>
          <w:lang w:val="en-GB"/>
        </w:rPr>
        <w:lastRenderedPageBreak/>
        <w:t>Conclusions</w:t>
      </w:r>
    </w:p>
    <w:p w14:paraId="558E9B82" w14:textId="4492560C" w:rsidR="008263D4" w:rsidRPr="008263D4" w:rsidRDefault="008263D4" w:rsidP="009F53AE">
      <w:pPr>
        <w:pStyle w:val="CETBodytext"/>
      </w:pPr>
      <w:r w:rsidRPr="008263D4">
        <w:t xml:space="preserve">The present study investigated the </w:t>
      </w:r>
      <w:r w:rsidR="00B91F21" w:rsidRPr="00B91F21">
        <w:rPr>
          <w:lang w:val="en-GB"/>
        </w:rPr>
        <w:t>occupational exposure concerns</w:t>
      </w:r>
      <w:r w:rsidRPr="008263D4">
        <w:t xml:space="preserve"> for olfactometric examiners during the analysis of combustion stack samples. Although these samples are generally considered of limited relevance in terms of </w:t>
      </w:r>
      <w:proofErr w:type="spellStart"/>
      <w:r w:rsidRPr="008263D4">
        <w:t>odour</w:t>
      </w:r>
      <w:proofErr w:type="spellEnd"/>
      <w:r w:rsidRPr="008263D4">
        <w:t xml:space="preserve"> impact</w:t>
      </w:r>
      <w:r w:rsidR="00FB623B">
        <w:t>,</w:t>
      </w:r>
      <w:r w:rsidRPr="008263D4">
        <w:t xml:space="preserve"> because of their low content of </w:t>
      </w:r>
      <w:r w:rsidR="003C5D0D">
        <w:t xml:space="preserve">readily </w:t>
      </w:r>
      <w:r w:rsidRPr="008263D4">
        <w:t xml:space="preserve">odorous VOCs, they may reach low dilution steps during olfactometric analysis, corresponding to higher concentrations at the presentation stage. Consequently, </w:t>
      </w:r>
      <w:proofErr w:type="spellStart"/>
      <w:r w:rsidRPr="008263D4">
        <w:t>panellists</w:t>
      </w:r>
      <w:proofErr w:type="spellEnd"/>
      <w:r w:rsidRPr="008263D4">
        <w:t xml:space="preserve"> may be exposed to potentially hazardous compounds during testi</w:t>
      </w:r>
      <w:r>
        <w:t xml:space="preserve">ng. </w:t>
      </w:r>
      <w:r w:rsidRPr="008263D4">
        <w:t xml:space="preserve">Based on 86 combustion stack samples from different industrial sources </w:t>
      </w:r>
      <w:proofErr w:type="spellStart"/>
      <w:r w:rsidRPr="008263D4">
        <w:t>analysed</w:t>
      </w:r>
      <w:proofErr w:type="spellEnd"/>
      <w:r w:rsidRPr="008263D4">
        <w:t xml:space="preserve"> by the </w:t>
      </w:r>
      <w:r w:rsidRPr="00CA1D32">
        <w:rPr>
          <w:i/>
          <w:iCs/>
        </w:rPr>
        <w:t>Laboratorio Olfattometrico</w:t>
      </w:r>
      <w:r w:rsidRPr="008263D4">
        <w:t xml:space="preserve"> – </w:t>
      </w:r>
      <w:proofErr w:type="spellStart"/>
      <w:r w:rsidRPr="008263D4">
        <w:t>PoliMI</w:t>
      </w:r>
      <w:proofErr w:type="spellEnd"/>
      <w:r w:rsidRPr="008263D4">
        <w:t xml:space="preserve"> over one year, most samples were classified within acceptable conditions. However, a non-negligible fraction (16%) fell within critical (Cod ≤ MDV) or near-critical </w:t>
      </w:r>
      <w:r w:rsidRPr="00E95CE7">
        <w:t>conditions</w:t>
      </w:r>
      <w:r w:rsidR="00DA432B" w:rsidRPr="00E95CE7">
        <w:t xml:space="preserve"> (</w:t>
      </w:r>
      <w:r w:rsidR="003C5D0D" w:rsidRPr="00E95CE7">
        <w:t xml:space="preserve">MDV &lt; </w:t>
      </w:r>
      <w:r w:rsidR="00DA432B" w:rsidRPr="00E95CE7">
        <w:t>C</w:t>
      </w:r>
      <w:r w:rsidR="00DA432B" w:rsidRPr="00E95CE7">
        <w:rPr>
          <w:vertAlign w:val="subscript"/>
        </w:rPr>
        <w:t xml:space="preserve">od </w:t>
      </w:r>
      <w:r w:rsidR="00DA432B" w:rsidRPr="00E95CE7">
        <w:rPr>
          <w:rFonts w:cs="Arial"/>
        </w:rPr>
        <w:t>≤ 4 ∙MDV)</w:t>
      </w:r>
      <w:r w:rsidR="00DA432B" w:rsidRPr="00E95CE7">
        <w:t xml:space="preserve">. </w:t>
      </w:r>
      <w:r w:rsidR="00FB623B" w:rsidRPr="00E95CE7">
        <w:t>These findings</w:t>
      </w:r>
      <w:r w:rsidRPr="00E95CE7">
        <w:t xml:space="preserve"> indicate that MDV exceedance or near-exceedance is not an occasional event for these matrices, but a recurr</w:t>
      </w:r>
      <w:r w:rsidR="00FB623B" w:rsidRPr="00E95CE7">
        <w:t>ent</w:t>
      </w:r>
      <w:r w:rsidRPr="00E95CE7">
        <w:t xml:space="preserve"> condition</w:t>
      </w:r>
      <w:r w:rsidRPr="008263D4">
        <w:t xml:space="preserve"> of practical relevance. Therefore, despite their limited </w:t>
      </w:r>
      <w:proofErr w:type="spellStart"/>
      <w:r w:rsidRPr="008263D4">
        <w:t>odour</w:t>
      </w:r>
      <w:proofErr w:type="spellEnd"/>
      <w:r w:rsidRPr="008263D4">
        <w:t xml:space="preserve"> impact, combustion stack samples represent a critical category from an occupational hygiene perspective and may require specific precautions before olfactometric analysis.</w:t>
      </w:r>
      <w:r w:rsidR="00E404A7">
        <w:t xml:space="preserve"> </w:t>
      </w:r>
      <w:r w:rsidR="00B91F21" w:rsidRPr="00B91F21">
        <w:rPr>
          <w:lang w:val="en-GB"/>
        </w:rPr>
        <w:t xml:space="preserve">Beyond the general safety </w:t>
      </w:r>
      <w:r w:rsidR="003C5D0D">
        <w:rPr>
          <w:lang w:val="en-GB"/>
        </w:rPr>
        <w:t>provisions</w:t>
      </w:r>
      <w:r w:rsidR="00B91F21" w:rsidRPr="00B91F21">
        <w:rPr>
          <w:lang w:val="en-GB"/>
        </w:rPr>
        <w:t xml:space="preserve"> included in EN 13725:2022, the proposed methodology provides a sample-specific and quantitative approach to define </w:t>
      </w:r>
      <w:r w:rsidR="003C5D0D">
        <w:rPr>
          <w:lang w:val="en-GB"/>
        </w:rPr>
        <w:t>protective</w:t>
      </w:r>
      <w:r w:rsidR="00B91F21" w:rsidRPr="00B91F21">
        <w:rPr>
          <w:lang w:val="en-GB"/>
        </w:rPr>
        <w:t xml:space="preserve"> testing conditions before olfactometric analysis. Its main advancement consists in linking preliminary compound quantification</w:t>
      </w:r>
      <w:r w:rsidR="00B91F21">
        <w:rPr>
          <w:lang w:val="en-GB"/>
        </w:rPr>
        <w:t xml:space="preserve"> </w:t>
      </w:r>
      <w:r w:rsidR="00B91F21" w:rsidRPr="008263D4">
        <w:t>by rapid screening methods</w:t>
      </w:r>
      <w:r w:rsidR="00B91F21" w:rsidRPr="00B91F21">
        <w:rPr>
          <w:lang w:val="en-GB"/>
        </w:rPr>
        <w:t>, Hazard Index estimation and MDV definition, thereby converting chemical composition data into an operational dilution limit. In this framework, the panel leader can evaluate the estimated exposure concern before testing and assign the MDV as the minimum allowable dilution level for sample presentation</w:t>
      </w:r>
      <w:r w:rsidR="009F53AE">
        <w:rPr>
          <w:lang w:val="en-GB"/>
        </w:rPr>
        <w:t>.</w:t>
      </w:r>
      <w:r w:rsidRPr="008263D4">
        <w:t xml:space="preserve"> </w:t>
      </w:r>
      <w:r w:rsidR="009F53AE" w:rsidRPr="009F53AE">
        <w:rPr>
          <w:lang w:val="en-GB"/>
        </w:rPr>
        <w:t>The use of MDV as a stopping criterion allows olfactometric measurements to remain aligned with the standard procedure while reducing unnecessary exposure of panellists. Overall, preliminary MDV-based assessment represents a proportionate risk management tool for combustion stack samples and provides an operational complement to EN 13725:2022 for cases in which low odour concentration may coexist with relevant occupational hygiene concerns.</w:t>
      </w:r>
    </w:p>
    <w:p w14:paraId="4F1327F8" w14:textId="77777777" w:rsidR="00600535" w:rsidRPr="004F0976" w:rsidRDefault="00600535" w:rsidP="00600535">
      <w:pPr>
        <w:pStyle w:val="CETReference"/>
      </w:pPr>
      <w:r w:rsidRPr="004F0976">
        <w:t>References</w:t>
      </w:r>
    </w:p>
    <w:sdt>
      <w:sdtPr>
        <w:tag w:val="MENDELEY_BIBLIOGRAPHY"/>
        <w:id w:val="-1198772403"/>
        <w:placeholder>
          <w:docPart w:val="DefaultPlaceholder_-1854013440"/>
        </w:placeholder>
      </w:sdtPr>
      <w:sdtContent>
        <w:p w14:paraId="3E6FFDF3" w14:textId="77777777" w:rsidR="00B91F21" w:rsidRPr="00B91F21" w:rsidRDefault="00B91F21" w:rsidP="00A5730C">
          <w:pPr>
            <w:pStyle w:val="CETReferencetext"/>
            <w:divId w:val="270086139"/>
            <w:rPr>
              <w:szCs w:val="24"/>
            </w:rPr>
          </w:pPr>
          <w:r w:rsidRPr="00B91F21">
            <w:t xml:space="preserve">Brinkmann, T., Both, R., Maria Scalet, B., </w:t>
          </w:r>
          <w:proofErr w:type="spellStart"/>
          <w:r w:rsidRPr="00B91F21">
            <w:t>Roudier</w:t>
          </w:r>
          <w:proofErr w:type="spellEnd"/>
          <w:r w:rsidRPr="00B91F21">
            <w:t xml:space="preserve">, S. and Delgado Sancho, L. (2018) “JRC Reference Report on Monitoring of Emissions to Air and Water from IED </w:t>
          </w:r>
          <w:proofErr w:type="gramStart"/>
          <w:r w:rsidRPr="00B91F21">
            <w:t>Installations  -</w:t>
          </w:r>
          <w:proofErr w:type="gramEnd"/>
          <w:r w:rsidRPr="00B91F21">
            <w:t xml:space="preserve"> Industrial Emissions Directive 2010/75/EU (Integrated Pollution Prevention and Control).” Available at: https://doi.org/10.2760/344197.</w:t>
          </w:r>
        </w:p>
        <w:p w14:paraId="696E2B77" w14:textId="77777777" w:rsidR="00B91F21" w:rsidRPr="00B91F21" w:rsidRDefault="00B91F21" w:rsidP="00A5730C">
          <w:pPr>
            <w:pStyle w:val="CETReferencetext"/>
            <w:divId w:val="995110239"/>
          </w:pPr>
          <w:r w:rsidRPr="00B91F21">
            <w:t xml:space="preserve">Davoli, E., Zuccato, E., Bianchi, G., Il Grande, M., Bonati, S., Rossi, A.N., </w:t>
          </w:r>
          <w:proofErr w:type="spellStart"/>
          <w:r w:rsidRPr="00B91F21">
            <w:t>Porporato</w:t>
          </w:r>
          <w:proofErr w:type="spellEnd"/>
          <w:r w:rsidRPr="00B91F21">
            <w:t xml:space="preserve">, C., </w:t>
          </w:r>
          <w:proofErr w:type="spellStart"/>
          <w:r w:rsidRPr="00B91F21">
            <w:t>Pereno</w:t>
          </w:r>
          <w:proofErr w:type="spellEnd"/>
          <w:r w:rsidRPr="00B91F21">
            <w:t xml:space="preserve">, M. and Soldati, S. (2016) “Dynamic olfactometry and sample toxicity. a case study for a MSW incinerator odour assessment project,” </w:t>
          </w:r>
          <w:r w:rsidRPr="00B91F21">
            <w:rPr>
              <w:i/>
              <w:iCs/>
            </w:rPr>
            <w:t>Chemical Engineering Transactions</w:t>
          </w:r>
          <w:r w:rsidRPr="00B91F21">
            <w:t>, 54, pp. 13–18. Available at: https://doi.org/10.3303/CET1654003.</w:t>
          </w:r>
        </w:p>
        <w:p w14:paraId="42866C6A" w14:textId="77777777" w:rsidR="00B91F21" w:rsidRPr="00B91F21" w:rsidRDefault="00B91F21" w:rsidP="00A5730C">
          <w:pPr>
            <w:pStyle w:val="CETReferencetext"/>
            <w:divId w:val="2144344586"/>
          </w:pPr>
          <w:r w:rsidRPr="00B91F21">
            <w:t xml:space="preserve">Davoli, E., Zuccato, E., Bianchi, G., Palmiotto, M., Il Grande, M., Bonati, S. and Rossi, A.N. (2012) “Dynamic Olfactometry and Potential Sample Toxicity. Guidelines for a Safe Occupational Health Approach,” </w:t>
          </w:r>
          <w:r w:rsidRPr="00B91F21">
            <w:rPr>
              <w:i/>
              <w:iCs/>
            </w:rPr>
            <w:t>Chemical Engineering Transactions</w:t>
          </w:r>
          <w:r w:rsidRPr="00B91F21">
            <w:t>, 30, pp. 7–12. Available at: https://doi.org/10.3303/CET1230002.</w:t>
          </w:r>
        </w:p>
        <w:p w14:paraId="39FA05D6" w14:textId="34EECFA9" w:rsidR="00B91F21" w:rsidRPr="00B91F21" w:rsidRDefault="00B91F21" w:rsidP="00A5730C">
          <w:pPr>
            <w:pStyle w:val="CETReferencetext"/>
            <w:divId w:val="583298986"/>
          </w:pPr>
          <w:r w:rsidRPr="00B91F21">
            <w:t xml:space="preserve">EN 13725:2022 (2022) </w:t>
          </w:r>
          <w:r w:rsidRPr="00B91F21">
            <w:rPr>
              <w:i/>
              <w:iCs/>
            </w:rPr>
            <w:t>Stationary source emissions - Determination of odour concentration by dynamic olfactometry and odour</w:t>
          </w:r>
          <w:r w:rsidR="003C5D0D">
            <w:rPr>
              <w:i/>
              <w:iCs/>
            </w:rPr>
            <w:t xml:space="preserve"> </w:t>
          </w:r>
          <w:r w:rsidR="003C5D0D" w:rsidRPr="003C5D0D">
            <w:rPr>
              <w:i/>
              <w:iCs/>
            </w:rPr>
            <w:t>emission rate</w:t>
          </w:r>
          <w:r w:rsidRPr="00B91F21">
            <w:t>. Available at: https://doi.org/10.31030/3290685.</w:t>
          </w:r>
        </w:p>
        <w:p w14:paraId="47BEA8BA" w14:textId="77777777" w:rsidR="00B91F21" w:rsidRPr="00B91F21" w:rsidRDefault="00B91F21" w:rsidP="00A5730C">
          <w:pPr>
            <w:pStyle w:val="CETReferencetext"/>
            <w:divId w:val="1823278860"/>
          </w:pPr>
          <w:r w:rsidRPr="00B91F21">
            <w:t xml:space="preserve">Nagata, Y. (2003) “Measurement of Odor Threshold by Triangle Odor Bag Method,” </w:t>
          </w:r>
          <w:r w:rsidRPr="00B91F21">
            <w:rPr>
              <w:i/>
              <w:iCs/>
            </w:rPr>
            <w:t>Odor Measurement Review</w:t>
          </w:r>
          <w:r w:rsidRPr="00B91F21">
            <w:t>, pp. 118–127.</w:t>
          </w:r>
        </w:p>
        <w:p w14:paraId="785BB412" w14:textId="77777777" w:rsidR="00B91F21" w:rsidRPr="00B91F21" w:rsidRDefault="00B91F21" w:rsidP="00A5730C">
          <w:pPr>
            <w:pStyle w:val="CETReferencetext"/>
            <w:divId w:val="1619989085"/>
          </w:pPr>
          <w:r w:rsidRPr="00B91F21">
            <w:t xml:space="preserve">Polvara, E., Ashari, B.E., Capelli, L. and Sironi, S. (2021) “Evaluation of occupational exposure risk for employees working in dynamic olfactometry: Focus on non-carcinogenic effects correlated with exposure to landfill emissions,” </w:t>
          </w:r>
          <w:r w:rsidRPr="00B91F21">
            <w:rPr>
              <w:i/>
              <w:iCs/>
            </w:rPr>
            <w:t>Atmosphere</w:t>
          </w:r>
          <w:r w:rsidRPr="00B91F21">
            <w:t>, 12(10), p. 1325. Available at: https://doi.org/10.3390/atmos12101325.</w:t>
          </w:r>
        </w:p>
        <w:p w14:paraId="711801D5" w14:textId="77777777" w:rsidR="00B91F21" w:rsidRPr="00B91F21" w:rsidRDefault="00B91F21" w:rsidP="00A5730C">
          <w:pPr>
            <w:pStyle w:val="CETReferencetext"/>
            <w:divId w:val="1962686830"/>
          </w:pPr>
          <w:r w:rsidRPr="00B91F21">
            <w:t xml:space="preserve">Polvara, E., Capelli, L.M.T. and Sironi, S. (2021) “Non-carcinogenic occupational exposure risk related to foundry emissions: focus on the workers involved in olfactometric assessments,” </w:t>
          </w:r>
          <w:r w:rsidRPr="00B91F21">
            <w:rPr>
              <w:i/>
              <w:iCs/>
            </w:rPr>
            <w:t>Journal of Environmental Science and Health - Part A</w:t>
          </w:r>
          <w:r w:rsidRPr="00B91F21">
            <w:t>, 56(6), pp. 646–659. Available at: https://doi.org/10.1080/10934529.2021.1913927.</w:t>
          </w:r>
        </w:p>
        <w:p w14:paraId="410B4CC7" w14:textId="77777777" w:rsidR="00B91F21" w:rsidRPr="00B91F21" w:rsidRDefault="00B91F21" w:rsidP="00A5730C">
          <w:pPr>
            <w:pStyle w:val="CETReferencetext"/>
            <w:divId w:val="1800415770"/>
          </w:pPr>
          <w:r w:rsidRPr="00B91F21">
            <w:t xml:space="preserve">Polvara, E., Spinazzè, A., Invernizzi, M., Cattaneo, A., Cavallo, D.M. and Sironi, S. (2024) “Probabilistic Approach for Assessing the Occupational Risk of Olfactometric Examiners: Methodology Description and Application to Real Exposure Scenario,” </w:t>
          </w:r>
          <w:r w:rsidRPr="00B91F21">
            <w:rPr>
              <w:i/>
              <w:iCs/>
            </w:rPr>
            <w:t>Toxics 2024, Vol. 12, Page 784</w:t>
          </w:r>
          <w:r w:rsidRPr="00B91F21">
            <w:t>, 12(11), p. 784. Available at: https://doi.org/10.3390/TOXICS12110784.</w:t>
          </w:r>
        </w:p>
        <w:p w14:paraId="698D46A2" w14:textId="77777777" w:rsidR="00B91F21" w:rsidRPr="00B91F21" w:rsidRDefault="00B91F21" w:rsidP="00A5730C">
          <w:pPr>
            <w:pStyle w:val="CETReferencetext"/>
            <w:divId w:val="687096016"/>
          </w:pPr>
          <w:r w:rsidRPr="00B91F21">
            <w:t xml:space="preserve">Polvara, E., Spinazzè, A., Invernizzi, M., Cattaneo, A., Sironi, S. and Cavallo, D.M. (2021) “Toxicological assessment method for evaluating the occupational risk of dynamic olfactometry assessors,” </w:t>
          </w:r>
          <w:r w:rsidRPr="00B91F21">
            <w:rPr>
              <w:i/>
              <w:iCs/>
            </w:rPr>
            <w:t>Regulatory Toxicology and Pharmacology</w:t>
          </w:r>
          <w:r w:rsidRPr="00B91F21">
            <w:t>, 125(May), p. 105003. Available at: https://doi.org/10.1016/j.yrtph.2021.105003.</w:t>
          </w:r>
        </w:p>
        <w:p w14:paraId="2149EE6F" w14:textId="3CFBE04D" w:rsidR="004F0976" w:rsidRPr="00B57B36" w:rsidRDefault="00B91F21" w:rsidP="00A5730C">
          <w:pPr>
            <w:pStyle w:val="CETReferencetext"/>
          </w:pPr>
          <w:r w:rsidRPr="00B91F21">
            <w:t xml:space="preserve">Spinazzè, A., Polvara, E., Cattaneo, A., Invernizzi, M., Cavallo, D.M. and Sironi, S. (2022) “Dynamic Olfactometry and Oil Refinery Odour Samples: Application of a New Method for Occupational Risk Assessment,” </w:t>
          </w:r>
          <w:r w:rsidRPr="00B91F21">
            <w:rPr>
              <w:i/>
              <w:iCs/>
            </w:rPr>
            <w:t>Toxics 2022, Vol. 10, Page 202</w:t>
          </w:r>
          <w:r w:rsidRPr="00B91F21">
            <w:t>, 10(5), p. 202. Available at: https://doi.org/10.3390/TOXICS10050202. </w:t>
          </w:r>
        </w:p>
      </w:sdtContent>
    </w:sdt>
    <w:sectPr w:rsidR="004F0976" w:rsidRPr="00B57B36" w:rsidSect="008314D7">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F3A38" w14:textId="77777777" w:rsidR="00DC325F" w:rsidRPr="004F0976" w:rsidRDefault="00DC325F" w:rsidP="004F5E36">
      <w:r w:rsidRPr="004F0976">
        <w:separator/>
      </w:r>
    </w:p>
  </w:endnote>
  <w:endnote w:type="continuationSeparator" w:id="0">
    <w:p w14:paraId="0E2761E3" w14:textId="77777777" w:rsidR="00DC325F" w:rsidRPr="004F0976" w:rsidRDefault="00DC325F" w:rsidP="004F5E36">
      <w:r w:rsidRPr="004F09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Times New Roman"/>
    <w:panose1 w:val="00000000000000000000"/>
    <w:charset w:val="4D"/>
    <w:family w:val="roman"/>
    <w:notTrueType/>
    <w:pitch w:val="default"/>
    <w:sig w:usb0="00000003" w:usb1="00000000" w:usb2="00000000" w:usb3="00000000" w:csb0="00000001" w:csb1="00000000"/>
  </w:font>
  <w:font w:name="URWPalladioL-Roma">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2E5F5" w14:textId="77777777" w:rsidR="00DC325F" w:rsidRPr="004F0976" w:rsidRDefault="00DC325F" w:rsidP="004F5E36">
      <w:r w:rsidRPr="004F0976">
        <w:separator/>
      </w:r>
    </w:p>
  </w:footnote>
  <w:footnote w:type="continuationSeparator" w:id="0">
    <w:p w14:paraId="66769284" w14:textId="77777777" w:rsidR="00DC325F" w:rsidRPr="004F0976" w:rsidRDefault="00DC325F" w:rsidP="004F5E36">
      <w:r w:rsidRPr="004F097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F17228D6"/>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pStyle w:val="CETheadingx"/>
      <w:suff w:val="space"/>
      <w:lvlText w:val="%2.%3"/>
      <w:lvlJc w:val="left"/>
      <w:pPr>
        <w:ind w:left="0" w:firstLine="0"/>
      </w:pPr>
      <w:rPr>
        <w:rFonts w:hint="default"/>
      </w:rPr>
    </w:lvl>
    <w:lvl w:ilvl="3">
      <w:start w:val="1"/>
      <w:numFmt w:val="decimal"/>
      <w:pStyle w:val="Tabellasemplic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8"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16882765">
    <w:abstractNumId w:val="10"/>
  </w:num>
  <w:num w:numId="2" w16cid:durableId="1954094313">
    <w:abstractNumId w:val="8"/>
  </w:num>
  <w:num w:numId="3" w16cid:durableId="2001083081">
    <w:abstractNumId w:val="3"/>
  </w:num>
  <w:num w:numId="4" w16cid:durableId="665287687">
    <w:abstractNumId w:val="2"/>
  </w:num>
  <w:num w:numId="5" w16cid:durableId="1763211618">
    <w:abstractNumId w:val="1"/>
  </w:num>
  <w:num w:numId="6" w16cid:durableId="733351894">
    <w:abstractNumId w:val="0"/>
  </w:num>
  <w:num w:numId="7" w16cid:durableId="1265187038">
    <w:abstractNumId w:val="9"/>
  </w:num>
  <w:num w:numId="8" w16cid:durableId="458382672">
    <w:abstractNumId w:val="7"/>
  </w:num>
  <w:num w:numId="9" w16cid:durableId="652636510">
    <w:abstractNumId w:val="6"/>
  </w:num>
  <w:num w:numId="10" w16cid:durableId="1972591888">
    <w:abstractNumId w:val="5"/>
  </w:num>
  <w:num w:numId="11" w16cid:durableId="1179278139">
    <w:abstractNumId w:val="4"/>
  </w:num>
  <w:num w:numId="12" w16cid:durableId="1575509198">
    <w:abstractNumId w:val="17"/>
  </w:num>
  <w:num w:numId="13" w16cid:durableId="695733619">
    <w:abstractNumId w:val="12"/>
  </w:num>
  <w:num w:numId="14" w16cid:durableId="145903400">
    <w:abstractNumId w:val="18"/>
  </w:num>
  <w:num w:numId="15" w16cid:durableId="19162326">
    <w:abstractNumId w:val="20"/>
  </w:num>
  <w:num w:numId="16" w16cid:durableId="1977102699">
    <w:abstractNumId w:val="19"/>
  </w:num>
  <w:num w:numId="17" w16cid:durableId="860774865">
    <w:abstractNumId w:val="11"/>
  </w:num>
  <w:num w:numId="18" w16cid:durableId="313221457">
    <w:abstractNumId w:val="12"/>
    <w:lvlOverride w:ilvl="0">
      <w:startOverride w:val="1"/>
    </w:lvlOverride>
  </w:num>
  <w:num w:numId="19" w16cid:durableId="534971577">
    <w:abstractNumId w:val="16"/>
  </w:num>
  <w:num w:numId="20" w16cid:durableId="1150947773">
    <w:abstractNumId w:val="15"/>
  </w:num>
  <w:num w:numId="21" w16cid:durableId="124660497">
    <w:abstractNumId w:val="14"/>
  </w:num>
  <w:num w:numId="22" w16cid:durableId="20998614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s>
  <w:rsids>
    <w:rsidRoot w:val="000E414A"/>
    <w:rsid w:val="000027C0"/>
    <w:rsid w:val="00003AE2"/>
    <w:rsid w:val="000052FB"/>
    <w:rsid w:val="00005884"/>
    <w:rsid w:val="00005A19"/>
    <w:rsid w:val="000117CB"/>
    <w:rsid w:val="0003148D"/>
    <w:rsid w:val="00031EEC"/>
    <w:rsid w:val="00034C7D"/>
    <w:rsid w:val="00051566"/>
    <w:rsid w:val="000562A9"/>
    <w:rsid w:val="00061B6E"/>
    <w:rsid w:val="00062A9A"/>
    <w:rsid w:val="00065058"/>
    <w:rsid w:val="00086C39"/>
    <w:rsid w:val="000A03B2"/>
    <w:rsid w:val="000B5D83"/>
    <w:rsid w:val="000D0268"/>
    <w:rsid w:val="000D34BE"/>
    <w:rsid w:val="000E0F2F"/>
    <w:rsid w:val="000E102F"/>
    <w:rsid w:val="000E36F1"/>
    <w:rsid w:val="000E3A73"/>
    <w:rsid w:val="000E414A"/>
    <w:rsid w:val="000E75FD"/>
    <w:rsid w:val="000F093C"/>
    <w:rsid w:val="000F2D2B"/>
    <w:rsid w:val="000F787B"/>
    <w:rsid w:val="0012091F"/>
    <w:rsid w:val="00124AAD"/>
    <w:rsid w:val="00126BC2"/>
    <w:rsid w:val="001308B6"/>
    <w:rsid w:val="0013121F"/>
    <w:rsid w:val="00131FE6"/>
    <w:rsid w:val="0013263F"/>
    <w:rsid w:val="001329C1"/>
    <w:rsid w:val="001331DF"/>
    <w:rsid w:val="00134DE4"/>
    <w:rsid w:val="0014034D"/>
    <w:rsid w:val="00140FE3"/>
    <w:rsid w:val="001440F0"/>
    <w:rsid w:val="00144D16"/>
    <w:rsid w:val="00150E59"/>
    <w:rsid w:val="00152DE3"/>
    <w:rsid w:val="00164CF9"/>
    <w:rsid w:val="001658D3"/>
    <w:rsid w:val="001667A6"/>
    <w:rsid w:val="00184AD6"/>
    <w:rsid w:val="0019255C"/>
    <w:rsid w:val="001A0154"/>
    <w:rsid w:val="001A4AF7"/>
    <w:rsid w:val="001B0349"/>
    <w:rsid w:val="001B1E93"/>
    <w:rsid w:val="001B49F7"/>
    <w:rsid w:val="001B65C1"/>
    <w:rsid w:val="001C260F"/>
    <w:rsid w:val="001C33F1"/>
    <w:rsid w:val="001C684B"/>
    <w:rsid w:val="001D0CFB"/>
    <w:rsid w:val="001D21AF"/>
    <w:rsid w:val="001D53FC"/>
    <w:rsid w:val="001E3226"/>
    <w:rsid w:val="001F42A5"/>
    <w:rsid w:val="001F4303"/>
    <w:rsid w:val="001F7B9D"/>
    <w:rsid w:val="00201C93"/>
    <w:rsid w:val="002074DF"/>
    <w:rsid w:val="0021613E"/>
    <w:rsid w:val="002224B4"/>
    <w:rsid w:val="002447EF"/>
    <w:rsid w:val="00251550"/>
    <w:rsid w:val="00263B05"/>
    <w:rsid w:val="0027221A"/>
    <w:rsid w:val="00275B61"/>
    <w:rsid w:val="00280FAF"/>
    <w:rsid w:val="00282656"/>
    <w:rsid w:val="00296B83"/>
    <w:rsid w:val="002A498F"/>
    <w:rsid w:val="002B4015"/>
    <w:rsid w:val="002B78CE"/>
    <w:rsid w:val="002C2FB6"/>
    <w:rsid w:val="002D3DC7"/>
    <w:rsid w:val="002D6E59"/>
    <w:rsid w:val="002D73F8"/>
    <w:rsid w:val="002E5FA7"/>
    <w:rsid w:val="002F01F7"/>
    <w:rsid w:val="002F3309"/>
    <w:rsid w:val="002F478A"/>
    <w:rsid w:val="003008CE"/>
    <w:rsid w:val="003009B7"/>
    <w:rsid w:val="00300E56"/>
    <w:rsid w:val="0030152C"/>
    <w:rsid w:val="0030469C"/>
    <w:rsid w:val="00307DF8"/>
    <w:rsid w:val="00314D3B"/>
    <w:rsid w:val="0031734F"/>
    <w:rsid w:val="0032098E"/>
    <w:rsid w:val="00321CA6"/>
    <w:rsid w:val="00323763"/>
    <w:rsid w:val="00323C5F"/>
    <w:rsid w:val="003254A9"/>
    <w:rsid w:val="00334C09"/>
    <w:rsid w:val="00344458"/>
    <w:rsid w:val="00345887"/>
    <w:rsid w:val="00356222"/>
    <w:rsid w:val="003723D4"/>
    <w:rsid w:val="003809A9"/>
    <w:rsid w:val="00381905"/>
    <w:rsid w:val="00384CC8"/>
    <w:rsid w:val="0038673F"/>
    <w:rsid w:val="003871FD"/>
    <w:rsid w:val="00394ACF"/>
    <w:rsid w:val="00394E62"/>
    <w:rsid w:val="00397E96"/>
    <w:rsid w:val="003A1E30"/>
    <w:rsid w:val="003A2829"/>
    <w:rsid w:val="003A7D1C"/>
    <w:rsid w:val="003B304B"/>
    <w:rsid w:val="003B3146"/>
    <w:rsid w:val="003C39E7"/>
    <w:rsid w:val="003C5D0D"/>
    <w:rsid w:val="003C7CB9"/>
    <w:rsid w:val="003D1E02"/>
    <w:rsid w:val="003D4422"/>
    <w:rsid w:val="003E1135"/>
    <w:rsid w:val="003E2536"/>
    <w:rsid w:val="003F015E"/>
    <w:rsid w:val="003F21C5"/>
    <w:rsid w:val="00400414"/>
    <w:rsid w:val="00403C9D"/>
    <w:rsid w:val="0041076A"/>
    <w:rsid w:val="0041446B"/>
    <w:rsid w:val="00432C2A"/>
    <w:rsid w:val="0044071E"/>
    <w:rsid w:val="0044329C"/>
    <w:rsid w:val="00453E24"/>
    <w:rsid w:val="00455A76"/>
    <w:rsid w:val="00457456"/>
    <w:rsid w:val="004577FE"/>
    <w:rsid w:val="00457B9C"/>
    <w:rsid w:val="0046164A"/>
    <w:rsid w:val="004628D2"/>
    <w:rsid w:val="00462DCD"/>
    <w:rsid w:val="004648AD"/>
    <w:rsid w:val="004674FC"/>
    <w:rsid w:val="004703A9"/>
    <w:rsid w:val="00473793"/>
    <w:rsid w:val="004760DE"/>
    <w:rsid w:val="004763D7"/>
    <w:rsid w:val="004A004E"/>
    <w:rsid w:val="004A24CF"/>
    <w:rsid w:val="004A5E57"/>
    <w:rsid w:val="004C194F"/>
    <w:rsid w:val="004C3D1D"/>
    <w:rsid w:val="004C3D84"/>
    <w:rsid w:val="004C7913"/>
    <w:rsid w:val="004E4DD6"/>
    <w:rsid w:val="004F0060"/>
    <w:rsid w:val="004F0976"/>
    <w:rsid w:val="004F3B1E"/>
    <w:rsid w:val="004F57A0"/>
    <w:rsid w:val="004F5E36"/>
    <w:rsid w:val="00507B47"/>
    <w:rsid w:val="00507BEF"/>
    <w:rsid w:val="00507CC9"/>
    <w:rsid w:val="005119A5"/>
    <w:rsid w:val="005278B7"/>
    <w:rsid w:val="00527E59"/>
    <w:rsid w:val="00532016"/>
    <w:rsid w:val="005346C8"/>
    <w:rsid w:val="00543E7D"/>
    <w:rsid w:val="00547A68"/>
    <w:rsid w:val="00550D01"/>
    <w:rsid w:val="005531C9"/>
    <w:rsid w:val="00566395"/>
    <w:rsid w:val="00570C43"/>
    <w:rsid w:val="00576B0A"/>
    <w:rsid w:val="00592274"/>
    <w:rsid w:val="00593460"/>
    <w:rsid w:val="00595009"/>
    <w:rsid w:val="005B2110"/>
    <w:rsid w:val="005B61E6"/>
    <w:rsid w:val="005C2767"/>
    <w:rsid w:val="005C77E1"/>
    <w:rsid w:val="005D668A"/>
    <w:rsid w:val="005D6A2F"/>
    <w:rsid w:val="005E0592"/>
    <w:rsid w:val="005E1A82"/>
    <w:rsid w:val="005E245E"/>
    <w:rsid w:val="005E794C"/>
    <w:rsid w:val="005F0A28"/>
    <w:rsid w:val="005F0E5E"/>
    <w:rsid w:val="00600535"/>
    <w:rsid w:val="00610ACE"/>
    <w:rsid w:val="00610CD6"/>
    <w:rsid w:val="00620DEE"/>
    <w:rsid w:val="00621F92"/>
    <w:rsid w:val="0062280A"/>
    <w:rsid w:val="006231E1"/>
    <w:rsid w:val="00625639"/>
    <w:rsid w:val="00631B33"/>
    <w:rsid w:val="0064184D"/>
    <w:rsid w:val="006422CC"/>
    <w:rsid w:val="0064566C"/>
    <w:rsid w:val="00651D18"/>
    <w:rsid w:val="00660E3E"/>
    <w:rsid w:val="00662E74"/>
    <w:rsid w:val="00662EF3"/>
    <w:rsid w:val="00665AC5"/>
    <w:rsid w:val="00672F34"/>
    <w:rsid w:val="00680C23"/>
    <w:rsid w:val="00683E23"/>
    <w:rsid w:val="00693766"/>
    <w:rsid w:val="00693D8A"/>
    <w:rsid w:val="006A3281"/>
    <w:rsid w:val="006B4888"/>
    <w:rsid w:val="006C2E45"/>
    <w:rsid w:val="006C359C"/>
    <w:rsid w:val="006C5579"/>
    <w:rsid w:val="006D6E8B"/>
    <w:rsid w:val="006D7209"/>
    <w:rsid w:val="006E696E"/>
    <w:rsid w:val="006E737D"/>
    <w:rsid w:val="006F3502"/>
    <w:rsid w:val="006F619D"/>
    <w:rsid w:val="006F659A"/>
    <w:rsid w:val="00707DD1"/>
    <w:rsid w:val="0071151F"/>
    <w:rsid w:val="00713973"/>
    <w:rsid w:val="00720A24"/>
    <w:rsid w:val="007225D8"/>
    <w:rsid w:val="00726C03"/>
    <w:rsid w:val="00732386"/>
    <w:rsid w:val="0073276E"/>
    <w:rsid w:val="0073514D"/>
    <w:rsid w:val="007447F3"/>
    <w:rsid w:val="00753A2D"/>
    <w:rsid w:val="0075499F"/>
    <w:rsid w:val="007617CC"/>
    <w:rsid w:val="007661C8"/>
    <w:rsid w:val="0077098D"/>
    <w:rsid w:val="00785BF9"/>
    <w:rsid w:val="007931FA"/>
    <w:rsid w:val="007A37E5"/>
    <w:rsid w:val="007A4861"/>
    <w:rsid w:val="007A4C37"/>
    <w:rsid w:val="007A54A6"/>
    <w:rsid w:val="007A7BBA"/>
    <w:rsid w:val="007B0C50"/>
    <w:rsid w:val="007B48F9"/>
    <w:rsid w:val="007C1A43"/>
    <w:rsid w:val="007C502B"/>
    <w:rsid w:val="007D0939"/>
    <w:rsid w:val="007D0951"/>
    <w:rsid w:val="007D5303"/>
    <w:rsid w:val="007E30AA"/>
    <w:rsid w:val="007E6CEB"/>
    <w:rsid w:val="007F2115"/>
    <w:rsid w:val="007F27C8"/>
    <w:rsid w:val="0080013E"/>
    <w:rsid w:val="0080184B"/>
    <w:rsid w:val="00803061"/>
    <w:rsid w:val="008062F5"/>
    <w:rsid w:val="00813288"/>
    <w:rsid w:val="00813667"/>
    <w:rsid w:val="008168FC"/>
    <w:rsid w:val="008263D4"/>
    <w:rsid w:val="00830996"/>
    <w:rsid w:val="008314D7"/>
    <w:rsid w:val="008345F1"/>
    <w:rsid w:val="00840B93"/>
    <w:rsid w:val="00865B07"/>
    <w:rsid w:val="008667EA"/>
    <w:rsid w:val="00874A1A"/>
    <w:rsid w:val="0087637F"/>
    <w:rsid w:val="008927F7"/>
    <w:rsid w:val="00892AD5"/>
    <w:rsid w:val="008A1512"/>
    <w:rsid w:val="008D32B9"/>
    <w:rsid w:val="008D433B"/>
    <w:rsid w:val="008D4A16"/>
    <w:rsid w:val="008E209A"/>
    <w:rsid w:val="008E45BC"/>
    <w:rsid w:val="008E566E"/>
    <w:rsid w:val="0090161A"/>
    <w:rsid w:val="00901EB6"/>
    <w:rsid w:val="009041F8"/>
    <w:rsid w:val="00904C62"/>
    <w:rsid w:val="009159DD"/>
    <w:rsid w:val="00922BA8"/>
    <w:rsid w:val="00924DAC"/>
    <w:rsid w:val="00927058"/>
    <w:rsid w:val="00942750"/>
    <w:rsid w:val="00942E40"/>
    <w:rsid w:val="009450CE"/>
    <w:rsid w:val="009459BB"/>
    <w:rsid w:val="00947179"/>
    <w:rsid w:val="00947D8F"/>
    <w:rsid w:val="0095164B"/>
    <w:rsid w:val="00954090"/>
    <w:rsid w:val="009573E7"/>
    <w:rsid w:val="00963E05"/>
    <w:rsid w:val="00964A45"/>
    <w:rsid w:val="00967843"/>
    <w:rsid w:val="00967D54"/>
    <w:rsid w:val="00971028"/>
    <w:rsid w:val="0098497B"/>
    <w:rsid w:val="00992C8A"/>
    <w:rsid w:val="00993B84"/>
    <w:rsid w:val="00996483"/>
    <w:rsid w:val="00996F5A"/>
    <w:rsid w:val="009A1D06"/>
    <w:rsid w:val="009B041A"/>
    <w:rsid w:val="009C1148"/>
    <w:rsid w:val="009C37C3"/>
    <w:rsid w:val="009C7C86"/>
    <w:rsid w:val="009D2FF7"/>
    <w:rsid w:val="009E057D"/>
    <w:rsid w:val="009E481D"/>
    <w:rsid w:val="009E7884"/>
    <w:rsid w:val="009E788A"/>
    <w:rsid w:val="009F0E08"/>
    <w:rsid w:val="009F53AE"/>
    <w:rsid w:val="00A01061"/>
    <w:rsid w:val="00A079AE"/>
    <w:rsid w:val="00A1462A"/>
    <w:rsid w:val="00A1763D"/>
    <w:rsid w:val="00A17CEC"/>
    <w:rsid w:val="00A24040"/>
    <w:rsid w:val="00A26CBB"/>
    <w:rsid w:val="00A27EF0"/>
    <w:rsid w:val="00A35AD1"/>
    <w:rsid w:val="00A42361"/>
    <w:rsid w:val="00A46CAB"/>
    <w:rsid w:val="00A50B20"/>
    <w:rsid w:val="00A51390"/>
    <w:rsid w:val="00A5730C"/>
    <w:rsid w:val="00A60D13"/>
    <w:rsid w:val="00A7223D"/>
    <w:rsid w:val="00A72745"/>
    <w:rsid w:val="00A76EFC"/>
    <w:rsid w:val="00A87D50"/>
    <w:rsid w:val="00A91010"/>
    <w:rsid w:val="00A92BCD"/>
    <w:rsid w:val="00A97F29"/>
    <w:rsid w:val="00AA702E"/>
    <w:rsid w:val="00AA7D26"/>
    <w:rsid w:val="00AB0964"/>
    <w:rsid w:val="00AB5011"/>
    <w:rsid w:val="00AC4C9C"/>
    <w:rsid w:val="00AC5D95"/>
    <w:rsid w:val="00AC7368"/>
    <w:rsid w:val="00AD0278"/>
    <w:rsid w:val="00AD16B9"/>
    <w:rsid w:val="00AE377D"/>
    <w:rsid w:val="00AF0EBA"/>
    <w:rsid w:val="00AF321B"/>
    <w:rsid w:val="00B02C8A"/>
    <w:rsid w:val="00B033D8"/>
    <w:rsid w:val="00B11551"/>
    <w:rsid w:val="00B17FBD"/>
    <w:rsid w:val="00B315A6"/>
    <w:rsid w:val="00B31813"/>
    <w:rsid w:val="00B33365"/>
    <w:rsid w:val="00B356AD"/>
    <w:rsid w:val="00B47648"/>
    <w:rsid w:val="00B57B36"/>
    <w:rsid w:val="00B57E6F"/>
    <w:rsid w:val="00B806EC"/>
    <w:rsid w:val="00B8165A"/>
    <w:rsid w:val="00B8686D"/>
    <w:rsid w:val="00B91BFA"/>
    <w:rsid w:val="00B91F21"/>
    <w:rsid w:val="00B93F69"/>
    <w:rsid w:val="00BB01B6"/>
    <w:rsid w:val="00BB1DDC"/>
    <w:rsid w:val="00BC1D98"/>
    <w:rsid w:val="00BC30C9"/>
    <w:rsid w:val="00BD077D"/>
    <w:rsid w:val="00BE3E58"/>
    <w:rsid w:val="00C01616"/>
    <w:rsid w:val="00C0162B"/>
    <w:rsid w:val="00C044E7"/>
    <w:rsid w:val="00C068ED"/>
    <w:rsid w:val="00C0736C"/>
    <w:rsid w:val="00C14CAD"/>
    <w:rsid w:val="00C208E9"/>
    <w:rsid w:val="00C22E0C"/>
    <w:rsid w:val="00C345B1"/>
    <w:rsid w:val="00C40142"/>
    <w:rsid w:val="00C46A68"/>
    <w:rsid w:val="00C4793E"/>
    <w:rsid w:val="00C50E8F"/>
    <w:rsid w:val="00C52C3C"/>
    <w:rsid w:val="00C57182"/>
    <w:rsid w:val="00C57863"/>
    <w:rsid w:val="00C640AF"/>
    <w:rsid w:val="00C655FD"/>
    <w:rsid w:val="00C719C9"/>
    <w:rsid w:val="00C73A6E"/>
    <w:rsid w:val="00C75035"/>
    <w:rsid w:val="00C75407"/>
    <w:rsid w:val="00C841C6"/>
    <w:rsid w:val="00C870A8"/>
    <w:rsid w:val="00C94434"/>
    <w:rsid w:val="00CA0D75"/>
    <w:rsid w:val="00CA1C95"/>
    <w:rsid w:val="00CA1D32"/>
    <w:rsid w:val="00CA5A9C"/>
    <w:rsid w:val="00CB239B"/>
    <w:rsid w:val="00CB567A"/>
    <w:rsid w:val="00CC10D6"/>
    <w:rsid w:val="00CC2182"/>
    <w:rsid w:val="00CC2C08"/>
    <w:rsid w:val="00CC4C20"/>
    <w:rsid w:val="00CD0D74"/>
    <w:rsid w:val="00CD3517"/>
    <w:rsid w:val="00CD5C46"/>
    <w:rsid w:val="00CD5FE2"/>
    <w:rsid w:val="00CE7C68"/>
    <w:rsid w:val="00CE7F60"/>
    <w:rsid w:val="00D01401"/>
    <w:rsid w:val="00D02B4C"/>
    <w:rsid w:val="00D02D46"/>
    <w:rsid w:val="00D03048"/>
    <w:rsid w:val="00D040C4"/>
    <w:rsid w:val="00D20AD1"/>
    <w:rsid w:val="00D23B07"/>
    <w:rsid w:val="00D2485A"/>
    <w:rsid w:val="00D2582C"/>
    <w:rsid w:val="00D41FFB"/>
    <w:rsid w:val="00D46B7E"/>
    <w:rsid w:val="00D57C84"/>
    <w:rsid w:val="00D6057D"/>
    <w:rsid w:val="00D61A1C"/>
    <w:rsid w:val="00D71640"/>
    <w:rsid w:val="00D836C5"/>
    <w:rsid w:val="00D84576"/>
    <w:rsid w:val="00D87905"/>
    <w:rsid w:val="00D92DBF"/>
    <w:rsid w:val="00DA1399"/>
    <w:rsid w:val="00DA24C6"/>
    <w:rsid w:val="00DA432B"/>
    <w:rsid w:val="00DA4D7B"/>
    <w:rsid w:val="00DC325F"/>
    <w:rsid w:val="00DD271C"/>
    <w:rsid w:val="00DD520D"/>
    <w:rsid w:val="00DD7B9C"/>
    <w:rsid w:val="00DE2009"/>
    <w:rsid w:val="00DE264A"/>
    <w:rsid w:val="00DE499C"/>
    <w:rsid w:val="00DF5072"/>
    <w:rsid w:val="00DF72DF"/>
    <w:rsid w:val="00E02D18"/>
    <w:rsid w:val="00E041E7"/>
    <w:rsid w:val="00E05DD4"/>
    <w:rsid w:val="00E1457F"/>
    <w:rsid w:val="00E214A6"/>
    <w:rsid w:val="00E23CA1"/>
    <w:rsid w:val="00E404A7"/>
    <w:rsid w:val="00E409A8"/>
    <w:rsid w:val="00E462F5"/>
    <w:rsid w:val="00E47D61"/>
    <w:rsid w:val="00E50C12"/>
    <w:rsid w:val="00E628BA"/>
    <w:rsid w:val="00E65B91"/>
    <w:rsid w:val="00E7209D"/>
    <w:rsid w:val="00E72EAD"/>
    <w:rsid w:val="00E77223"/>
    <w:rsid w:val="00E850EF"/>
    <w:rsid w:val="00E8528B"/>
    <w:rsid w:val="00E85B94"/>
    <w:rsid w:val="00E91DED"/>
    <w:rsid w:val="00E95CE7"/>
    <w:rsid w:val="00E978D0"/>
    <w:rsid w:val="00EA4613"/>
    <w:rsid w:val="00EA681B"/>
    <w:rsid w:val="00EA7F91"/>
    <w:rsid w:val="00EB1523"/>
    <w:rsid w:val="00EC0E49"/>
    <w:rsid w:val="00EC101F"/>
    <w:rsid w:val="00EC1D9F"/>
    <w:rsid w:val="00EC7AA5"/>
    <w:rsid w:val="00EE0131"/>
    <w:rsid w:val="00EE17B0"/>
    <w:rsid w:val="00EE60C6"/>
    <w:rsid w:val="00EF06D9"/>
    <w:rsid w:val="00EF0982"/>
    <w:rsid w:val="00F3049E"/>
    <w:rsid w:val="00F30C64"/>
    <w:rsid w:val="00F32BA2"/>
    <w:rsid w:val="00F32CDB"/>
    <w:rsid w:val="00F3348F"/>
    <w:rsid w:val="00F37280"/>
    <w:rsid w:val="00F3791B"/>
    <w:rsid w:val="00F41EE4"/>
    <w:rsid w:val="00F42276"/>
    <w:rsid w:val="00F470E9"/>
    <w:rsid w:val="00F565FE"/>
    <w:rsid w:val="00F63A70"/>
    <w:rsid w:val="00F63D8C"/>
    <w:rsid w:val="00F720A9"/>
    <w:rsid w:val="00F7534E"/>
    <w:rsid w:val="00F93EDF"/>
    <w:rsid w:val="00FA1802"/>
    <w:rsid w:val="00FA21D0"/>
    <w:rsid w:val="00FA5F5F"/>
    <w:rsid w:val="00FA637C"/>
    <w:rsid w:val="00FB623B"/>
    <w:rsid w:val="00FB730C"/>
    <w:rsid w:val="00FC2695"/>
    <w:rsid w:val="00FC3E03"/>
    <w:rsid w:val="00FC3FC1"/>
    <w:rsid w:val="00FE4DDB"/>
    <w:rsid w:val="00FF064D"/>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E0CC22"/>
  <w14:defaultImageDpi w14:val="330"/>
  <w15:docId w15:val="{0B95FB59-9D38-42B5-B090-D2348EE1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aliases w:val="CET Top_page"/>
    <w:rsid w:val="009159DD"/>
    <w:pPr>
      <w:tabs>
        <w:tab w:val="right" w:pos="7100"/>
      </w:tabs>
      <w:spacing w:after="0" w:line="264" w:lineRule="auto"/>
      <w:jc w:val="both"/>
    </w:pPr>
    <w:rPr>
      <w:rFonts w:ascii="Arial" w:eastAsia="Times New Roman" w:hAnsi="Arial" w:cs="Times New Roman"/>
      <w:sz w:val="18"/>
      <w:szCs w:val="20"/>
      <w:lang w:val="en-GB"/>
    </w:rPr>
  </w:style>
  <w:style w:type="paragraph" w:styleId="Titolo1">
    <w:name w:val="heading 1"/>
    <w:basedOn w:val="CETHeading1"/>
    <w:next w:val="Normale"/>
    <w:link w:val="Titolo1Carattere"/>
    <w:uiPriority w:val="9"/>
    <w:rsid w:val="004F5E36"/>
    <w:pPr>
      <w:tabs>
        <w:tab w:val="clear" w:pos="360"/>
        <w:tab w:val="right" w:pos="7100"/>
      </w:tabs>
      <w:jc w:val="both"/>
      <w:outlineLvl w:val="0"/>
    </w:pPr>
    <w:rPr>
      <w:lang w:val="en-GB"/>
    </w:rPr>
  </w:style>
  <w:style w:type="paragraph" w:styleId="Titolo2">
    <w:name w:val="heading 2"/>
    <w:basedOn w:val="Normale"/>
    <w:next w:val="Normale"/>
    <w:link w:val="Titolo2Carattere"/>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Titolo9">
    <w:name w:val="heading 9"/>
    <w:basedOn w:val="Normale"/>
    <w:next w:val="Normale"/>
    <w:link w:val="Titolo9Carattere"/>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tabs>
        <w:tab w:val="num" w:pos="360"/>
      </w:tabs>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FA5F5F"/>
    <w:pPr>
      <w:keepNext/>
      <w:numPr>
        <w:ilvl w:val="2"/>
        <w:numId w:val="1"/>
      </w:numPr>
      <w:suppressAutoHyphens/>
      <w:spacing w:before="120" w:after="120" w:line="240" w:lineRule="auto"/>
    </w:pPr>
    <w:rPr>
      <w:rFonts w:ascii="Arial" w:eastAsia="Times New Roman" w:hAnsi="Arial" w:cs="Times New Roman"/>
      <w:b/>
      <w:sz w:val="18"/>
      <w:szCs w:val="20"/>
      <w:lang w:val="en-US"/>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ellasemplice1">
    <w:name w:val="Table Simple 1"/>
    <w:basedOn w:val="Tabellanormale"/>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FA5F5F"/>
    <w:rPr>
      <w:rFonts w:ascii="Arial" w:eastAsia="Times New Roman" w:hAnsi="Arial" w:cs="Times New Roman"/>
      <w:b/>
      <w:sz w:val="18"/>
      <w:szCs w:val="20"/>
      <w:lang w:val="en-US"/>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Rimandocommento">
    <w:name w:val="annotation reference"/>
    <w:basedOn w:val="Carpredefinitoparagrafo"/>
    <w:uiPriority w:val="99"/>
    <w:semiHidden/>
    <w:unhideWhenUsed/>
    <w:rsid w:val="004577FE"/>
    <w:rPr>
      <w:sz w:val="16"/>
      <w:szCs w:val="16"/>
    </w:rPr>
  </w:style>
  <w:style w:type="paragraph" w:styleId="Testofumetto">
    <w:name w:val="Balloon Text"/>
    <w:basedOn w:val="Normale"/>
    <w:link w:val="TestofumettoCarattere"/>
    <w:uiPriority w:val="99"/>
    <w:semiHidden/>
    <w:unhideWhenUsed/>
    <w:rsid w:val="000D34BE"/>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34BE"/>
    <w:rPr>
      <w:rFonts w:ascii="Tahoma" w:hAnsi="Tahoma" w:cs="Tahoma"/>
      <w:sz w:val="16"/>
      <w:szCs w:val="16"/>
    </w:rPr>
  </w:style>
  <w:style w:type="paragraph" w:styleId="Bibliografia">
    <w:name w:val="Bibliography"/>
    <w:basedOn w:val="CETReferencetext"/>
    <w:uiPriority w:val="37"/>
    <w:unhideWhenUsed/>
    <w:rsid w:val="00631B33"/>
    <w:pPr>
      <w:spacing w:line="240" w:lineRule="auto"/>
      <w:ind w:left="720" w:hanging="720"/>
    </w:pPr>
  </w:style>
  <w:style w:type="paragraph" w:styleId="Corpodeltesto2">
    <w:name w:val="Body Text 2"/>
    <w:basedOn w:val="Normale"/>
    <w:link w:val="Corpodeltesto2Carattere"/>
    <w:uiPriority w:val="99"/>
    <w:semiHidden/>
    <w:unhideWhenUsed/>
    <w:rsid w:val="0003148D"/>
    <w:pPr>
      <w:spacing w:after="120" w:line="480" w:lineRule="auto"/>
    </w:pPr>
  </w:style>
  <w:style w:type="character" w:customStyle="1" w:styleId="Corpodeltesto2Carattere">
    <w:name w:val="Corpo del testo 2 Carattere"/>
    <w:basedOn w:val="Carpredefinitoparagrafo"/>
    <w:link w:val="Corpodeltesto2"/>
    <w:uiPriority w:val="99"/>
    <w:semiHidden/>
    <w:rsid w:val="0003148D"/>
  </w:style>
  <w:style w:type="paragraph" w:styleId="Corpodeltesto3">
    <w:name w:val="Body Text 3"/>
    <w:basedOn w:val="Normale"/>
    <w:link w:val="Corpodeltesto3Carattere"/>
    <w:uiPriority w:val="99"/>
    <w:semiHidden/>
    <w:unhideWhenUsed/>
    <w:rsid w:val="0003148D"/>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3148D"/>
    <w:rPr>
      <w:sz w:val="16"/>
      <w:szCs w:val="16"/>
    </w:rPr>
  </w:style>
  <w:style w:type="paragraph" w:styleId="Corpotesto">
    <w:name w:val="Body Text"/>
    <w:basedOn w:val="Normale"/>
    <w:link w:val="CorpotestoCarattere"/>
    <w:uiPriority w:val="99"/>
    <w:semiHidden/>
    <w:unhideWhenUsed/>
    <w:rsid w:val="0003148D"/>
    <w:pPr>
      <w:spacing w:after="120"/>
    </w:pPr>
  </w:style>
  <w:style w:type="character" w:customStyle="1" w:styleId="CorpotestoCarattere">
    <w:name w:val="Corpo testo Carattere"/>
    <w:basedOn w:val="Carpredefinitoparagrafo"/>
    <w:link w:val="Corpotesto"/>
    <w:uiPriority w:val="99"/>
    <w:semiHidden/>
    <w:rsid w:val="0003148D"/>
  </w:style>
  <w:style w:type="paragraph" w:styleId="Data">
    <w:name w:val="Date"/>
    <w:basedOn w:val="Normale"/>
    <w:next w:val="Normale"/>
    <w:link w:val="DataCarattere"/>
    <w:uiPriority w:val="99"/>
    <w:semiHidden/>
    <w:unhideWhenUsed/>
    <w:rsid w:val="0003148D"/>
  </w:style>
  <w:style w:type="character" w:customStyle="1" w:styleId="DataCarattere">
    <w:name w:val="Data Carattere"/>
    <w:basedOn w:val="Carpredefinitoparagrafo"/>
    <w:link w:val="Data"/>
    <w:uiPriority w:val="99"/>
    <w:semiHidden/>
    <w:rsid w:val="0003148D"/>
  </w:style>
  <w:style w:type="paragraph" w:styleId="Didascalia">
    <w:name w:val="caption"/>
    <w:basedOn w:val="Normale"/>
    <w:next w:val="Normale"/>
    <w:uiPriority w:val="35"/>
    <w:unhideWhenUsed/>
    <w:qFormat/>
    <w:rsid w:val="0003148D"/>
    <w:pPr>
      <w:spacing w:line="240" w:lineRule="auto"/>
    </w:pPr>
    <w:rPr>
      <w:b/>
      <w:bCs/>
      <w:color w:val="4F81BD" w:themeColor="accent1"/>
      <w:szCs w:val="18"/>
    </w:rPr>
  </w:style>
  <w:style w:type="paragraph" w:styleId="Elenco">
    <w:name w:val="List"/>
    <w:basedOn w:val="Normale"/>
    <w:uiPriority w:val="99"/>
    <w:semiHidden/>
    <w:unhideWhenUsed/>
    <w:rsid w:val="0003148D"/>
    <w:pPr>
      <w:ind w:left="283" w:hanging="283"/>
      <w:contextualSpacing/>
    </w:pPr>
  </w:style>
  <w:style w:type="paragraph" w:styleId="Elenco2">
    <w:name w:val="List 2"/>
    <w:basedOn w:val="Normale"/>
    <w:uiPriority w:val="99"/>
    <w:semiHidden/>
    <w:unhideWhenUsed/>
    <w:rsid w:val="0003148D"/>
    <w:pPr>
      <w:ind w:left="566" w:hanging="283"/>
      <w:contextualSpacing/>
    </w:pPr>
  </w:style>
  <w:style w:type="paragraph" w:styleId="Elenco3">
    <w:name w:val="List 3"/>
    <w:basedOn w:val="Normale"/>
    <w:uiPriority w:val="99"/>
    <w:semiHidden/>
    <w:unhideWhenUsed/>
    <w:rsid w:val="0003148D"/>
    <w:pPr>
      <w:ind w:left="849" w:hanging="283"/>
      <w:contextualSpacing/>
    </w:pPr>
  </w:style>
  <w:style w:type="paragraph" w:styleId="Elenco4">
    <w:name w:val="List 4"/>
    <w:basedOn w:val="Normale"/>
    <w:uiPriority w:val="99"/>
    <w:semiHidden/>
    <w:unhideWhenUsed/>
    <w:rsid w:val="0003148D"/>
    <w:pPr>
      <w:ind w:left="1132" w:hanging="283"/>
      <w:contextualSpacing/>
    </w:pPr>
  </w:style>
  <w:style w:type="paragraph" w:styleId="Elenco5">
    <w:name w:val="List 5"/>
    <w:basedOn w:val="Normale"/>
    <w:uiPriority w:val="99"/>
    <w:semiHidden/>
    <w:unhideWhenUsed/>
    <w:rsid w:val="0003148D"/>
    <w:pPr>
      <w:ind w:left="1415" w:hanging="283"/>
      <w:contextualSpacing/>
    </w:pPr>
  </w:style>
  <w:style w:type="paragraph" w:styleId="Elencocontinua">
    <w:name w:val="List Continue"/>
    <w:basedOn w:val="Normale"/>
    <w:uiPriority w:val="99"/>
    <w:semiHidden/>
    <w:unhideWhenUsed/>
    <w:rsid w:val="0003148D"/>
    <w:pPr>
      <w:spacing w:after="120"/>
      <w:ind w:left="283"/>
      <w:contextualSpacing/>
    </w:pPr>
  </w:style>
  <w:style w:type="paragraph" w:styleId="Elencocontinua2">
    <w:name w:val="List Continue 2"/>
    <w:basedOn w:val="Normale"/>
    <w:uiPriority w:val="99"/>
    <w:semiHidden/>
    <w:unhideWhenUsed/>
    <w:rsid w:val="0003148D"/>
    <w:pPr>
      <w:spacing w:after="120"/>
      <w:ind w:left="566"/>
      <w:contextualSpacing/>
    </w:pPr>
  </w:style>
  <w:style w:type="paragraph" w:styleId="Elencocontinua3">
    <w:name w:val="List Continue 3"/>
    <w:basedOn w:val="Normale"/>
    <w:uiPriority w:val="99"/>
    <w:semiHidden/>
    <w:unhideWhenUsed/>
    <w:rsid w:val="0003148D"/>
    <w:pPr>
      <w:spacing w:after="120"/>
      <w:ind w:left="849"/>
      <w:contextualSpacing/>
    </w:pPr>
  </w:style>
  <w:style w:type="paragraph" w:styleId="Elencocontinua4">
    <w:name w:val="List Continue 4"/>
    <w:basedOn w:val="Normale"/>
    <w:uiPriority w:val="99"/>
    <w:semiHidden/>
    <w:unhideWhenUsed/>
    <w:rsid w:val="0003148D"/>
    <w:pPr>
      <w:spacing w:after="120"/>
      <w:ind w:left="1132"/>
      <w:contextualSpacing/>
    </w:pPr>
  </w:style>
  <w:style w:type="paragraph" w:styleId="Elencocontinua5">
    <w:name w:val="List Continue 5"/>
    <w:basedOn w:val="Normale"/>
    <w:uiPriority w:val="99"/>
    <w:semiHidden/>
    <w:unhideWhenUsed/>
    <w:rsid w:val="0003148D"/>
    <w:pPr>
      <w:spacing w:after="120"/>
      <w:ind w:left="1415"/>
      <w:contextualSpacing/>
    </w:pPr>
  </w:style>
  <w:style w:type="paragraph" w:styleId="Firma">
    <w:name w:val="Signature"/>
    <w:basedOn w:val="Normale"/>
    <w:link w:val="FirmaCarattere"/>
    <w:uiPriority w:val="99"/>
    <w:semiHidden/>
    <w:unhideWhenUsed/>
    <w:rsid w:val="0003148D"/>
    <w:pPr>
      <w:spacing w:line="240" w:lineRule="auto"/>
      <w:ind w:left="4252"/>
    </w:pPr>
  </w:style>
  <w:style w:type="character" w:customStyle="1" w:styleId="FirmaCarattere">
    <w:name w:val="Firma Carattere"/>
    <w:basedOn w:val="Carpredefinitoparagrafo"/>
    <w:link w:val="Firma"/>
    <w:uiPriority w:val="99"/>
    <w:semiHidden/>
    <w:rsid w:val="0003148D"/>
  </w:style>
  <w:style w:type="paragraph" w:styleId="Firmadipostaelettronica">
    <w:name w:val="E-mail Signature"/>
    <w:basedOn w:val="Normale"/>
    <w:link w:val="FirmadipostaelettronicaCarattere"/>
    <w:uiPriority w:val="99"/>
    <w:semiHidden/>
    <w:unhideWhenUsed/>
    <w:rsid w:val="0003148D"/>
    <w:pPr>
      <w:spacing w:line="240" w:lineRule="auto"/>
    </w:pPr>
  </w:style>
  <w:style w:type="character" w:customStyle="1" w:styleId="FirmadipostaelettronicaCarattere">
    <w:name w:val="Firma di posta elettronica Carattere"/>
    <w:basedOn w:val="Carpredefinitoparagrafo"/>
    <w:link w:val="Firmadipostaelettronica"/>
    <w:uiPriority w:val="99"/>
    <w:semiHidden/>
    <w:rsid w:val="0003148D"/>
  </w:style>
  <w:style w:type="paragraph" w:styleId="Formuladiapertura">
    <w:name w:val="Salutation"/>
    <w:basedOn w:val="Normale"/>
    <w:next w:val="Normale"/>
    <w:link w:val="FormuladiaperturaCarattere"/>
    <w:uiPriority w:val="99"/>
    <w:semiHidden/>
    <w:unhideWhenUsed/>
    <w:rsid w:val="0003148D"/>
  </w:style>
  <w:style w:type="character" w:customStyle="1" w:styleId="FormuladiaperturaCarattere">
    <w:name w:val="Formula di apertura Carattere"/>
    <w:basedOn w:val="Carpredefinitoparagrafo"/>
    <w:link w:val="Formuladiapertura"/>
    <w:uiPriority w:val="99"/>
    <w:semiHidden/>
    <w:rsid w:val="0003148D"/>
  </w:style>
  <w:style w:type="paragraph" w:styleId="Formuladichiusura">
    <w:name w:val="Closing"/>
    <w:basedOn w:val="Normale"/>
    <w:link w:val="FormuladichiusuraCarattere"/>
    <w:uiPriority w:val="99"/>
    <w:semiHidden/>
    <w:unhideWhenUsed/>
    <w:rsid w:val="0003148D"/>
    <w:pPr>
      <w:spacing w:line="240" w:lineRule="auto"/>
      <w:ind w:left="4252"/>
    </w:pPr>
  </w:style>
  <w:style w:type="character" w:customStyle="1" w:styleId="FormuladichiusuraCarattere">
    <w:name w:val="Formula di chiusura Carattere"/>
    <w:basedOn w:val="Carpredefinitoparagrafo"/>
    <w:link w:val="Formuladichiusura"/>
    <w:uiPriority w:val="99"/>
    <w:semiHidden/>
    <w:rsid w:val="0003148D"/>
  </w:style>
  <w:style w:type="paragraph" w:styleId="Indice1">
    <w:name w:val="index 1"/>
    <w:basedOn w:val="Normale"/>
    <w:next w:val="Normale"/>
    <w:autoRedefine/>
    <w:uiPriority w:val="99"/>
    <w:semiHidden/>
    <w:unhideWhenUsed/>
    <w:rsid w:val="0003148D"/>
    <w:pPr>
      <w:spacing w:line="240" w:lineRule="auto"/>
      <w:ind w:left="220" w:hanging="220"/>
    </w:pPr>
  </w:style>
  <w:style w:type="paragraph" w:styleId="Indice2">
    <w:name w:val="index 2"/>
    <w:basedOn w:val="Normale"/>
    <w:next w:val="Normale"/>
    <w:autoRedefine/>
    <w:uiPriority w:val="99"/>
    <w:semiHidden/>
    <w:unhideWhenUsed/>
    <w:rsid w:val="0003148D"/>
    <w:pPr>
      <w:spacing w:line="240" w:lineRule="auto"/>
      <w:ind w:left="440" w:hanging="220"/>
    </w:pPr>
  </w:style>
  <w:style w:type="paragraph" w:styleId="Indice3">
    <w:name w:val="index 3"/>
    <w:basedOn w:val="Normale"/>
    <w:next w:val="Normale"/>
    <w:autoRedefine/>
    <w:uiPriority w:val="99"/>
    <w:semiHidden/>
    <w:unhideWhenUsed/>
    <w:rsid w:val="0003148D"/>
    <w:pPr>
      <w:spacing w:line="240" w:lineRule="auto"/>
      <w:ind w:left="660" w:hanging="220"/>
    </w:pPr>
  </w:style>
  <w:style w:type="paragraph" w:styleId="Indice4">
    <w:name w:val="index 4"/>
    <w:basedOn w:val="Normale"/>
    <w:next w:val="Normale"/>
    <w:autoRedefine/>
    <w:uiPriority w:val="99"/>
    <w:semiHidden/>
    <w:unhideWhenUsed/>
    <w:rsid w:val="0003148D"/>
    <w:pPr>
      <w:spacing w:line="240" w:lineRule="auto"/>
      <w:ind w:left="880" w:hanging="220"/>
    </w:pPr>
  </w:style>
  <w:style w:type="paragraph" w:styleId="Indice5">
    <w:name w:val="index 5"/>
    <w:basedOn w:val="Normale"/>
    <w:next w:val="Normale"/>
    <w:autoRedefine/>
    <w:uiPriority w:val="99"/>
    <w:semiHidden/>
    <w:unhideWhenUsed/>
    <w:rsid w:val="0003148D"/>
    <w:pPr>
      <w:spacing w:line="240" w:lineRule="auto"/>
      <w:ind w:left="1100" w:hanging="220"/>
    </w:pPr>
  </w:style>
  <w:style w:type="paragraph" w:styleId="Indice6">
    <w:name w:val="index 6"/>
    <w:basedOn w:val="Normale"/>
    <w:next w:val="Normale"/>
    <w:autoRedefine/>
    <w:uiPriority w:val="99"/>
    <w:semiHidden/>
    <w:unhideWhenUsed/>
    <w:rsid w:val="0003148D"/>
    <w:pPr>
      <w:spacing w:line="240" w:lineRule="auto"/>
      <w:ind w:left="1320" w:hanging="220"/>
    </w:pPr>
  </w:style>
  <w:style w:type="paragraph" w:styleId="Indice7">
    <w:name w:val="index 7"/>
    <w:basedOn w:val="Normale"/>
    <w:next w:val="Normale"/>
    <w:autoRedefine/>
    <w:uiPriority w:val="99"/>
    <w:semiHidden/>
    <w:unhideWhenUsed/>
    <w:rsid w:val="0003148D"/>
    <w:pPr>
      <w:spacing w:line="240" w:lineRule="auto"/>
      <w:ind w:left="1540" w:hanging="220"/>
    </w:pPr>
  </w:style>
  <w:style w:type="paragraph" w:styleId="Indice8">
    <w:name w:val="index 8"/>
    <w:basedOn w:val="Normale"/>
    <w:next w:val="Normale"/>
    <w:autoRedefine/>
    <w:uiPriority w:val="99"/>
    <w:semiHidden/>
    <w:unhideWhenUsed/>
    <w:rsid w:val="0003148D"/>
    <w:pPr>
      <w:spacing w:line="240" w:lineRule="auto"/>
      <w:ind w:left="1760" w:hanging="220"/>
    </w:pPr>
  </w:style>
  <w:style w:type="paragraph" w:styleId="Indice9">
    <w:name w:val="index 9"/>
    <w:basedOn w:val="Normale"/>
    <w:next w:val="Normale"/>
    <w:autoRedefine/>
    <w:uiPriority w:val="99"/>
    <w:semiHidden/>
    <w:unhideWhenUsed/>
    <w:rsid w:val="0003148D"/>
    <w:pPr>
      <w:spacing w:line="240" w:lineRule="auto"/>
      <w:ind w:left="1980" w:hanging="220"/>
    </w:pPr>
  </w:style>
  <w:style w:type="paragraph" w:styleId="Indicedellefigure">
    <w:name w:val="table of figures"/>
    <w:basedOn w:val="Normale"/>
    <w:next w:val="Normale"/>
    <w:uiPriority w:val="99"/>
    <w:semiHidden/>
    <w:unhideWhenUsed/>
    <w:rsid w:val="0003148D"/>
  </w:style>
  <w:style w:type="paragraph" w:styleId="Indicefonti">
    <w:name w:val="table of authorities"/>
    <w:basedOn w:val="Normale"/>
    <w:next w:val="Normale"/>
    <w:uiPriority w:val="99"/>
    <w:semiHidden/>
    <w:unhideWhenUsed/>
    <w:rsid w:val="0003148D"/>
    <w:pPr>
      <w:ind w:left="220" w:hanging="220"/>
    </w:pPr>
  </w:style>
  <w:style w:type="paragraph" w:styleId="Indirizzodestinatario">
    <w:name w:val="envelope address"/>
    <w:basedOn w:val="Normale"/>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IndirizzoHTML">
    <w:name w:val="HTML Address"/>
    <w:basedOn w:val="Normale"/>
    <w:link w:val="IndirizzoHTMLCarattere"/>
    <w:uiPriority w:val="99"/>
    <w:semiHidden/>
    <w:unhideWhenUsed/>
    <w:rsid w:val="0003148D"/>
    <w:pPr>
      <w:spacing w:line="240" w:lineRule="auto"/>
    </w:pPr>
    <w:rPr>
      <w:i/>
      <w:iCs/>
    </w:rPr>
  </w:style>
  <w:style w:type="character" w:customStyle="1" w:styleId="IndirizzoHTMLCarattere">
    <w:name w:val="Indirizzo HTML Carattere"/>
    <w:basedOn w:val="Carpredefinitoparagrafo"/>
    <w:link w:val="IndirizzoHTML"/>
    <w:uiPriority w:val="99"/>
    <w:semiHidden/>
    <w:rsid w:val="0003148D"/>
    <w:rPr>
      <w:i/>
      <w:iCs/>
    </w:rPr>
  </w:style>
  <w:style w:type="paragraph" w:styleId="Indirizzomittente">
    <w:name w:val="envelope return"/>
    <w:basedOn w:val="Normale"/>
    <w:uiPriority w:val="99"/>
    <w:semiHidden/>
    <w:unhideWhenUsed/>
    <w:rsid w:val="0003148D"/>
    <w:pPr>
      <w:spacing w:line="240" w:lineRule="auto"/>
    </w:pPr>
    <w:rPr>
      <w:rFonts w:asciiTheme="majorHAnsi" w:eastAsiaTheme="majorEastAsia" w:hAnsiTheme="majorHAnsi" w:cstheme="majorBidi"/>
    </w:rPr>
  </w:style>
  <w:style w:type="paragraph" w:styleId="Intestazionemessaggio">
    <w:name w:val="Message Header"/>
    <w:basedOn w:val="Normale"/>
    <w:link w:val="IntestazionemessaggioCarattere"/>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IntestazionemessaggioCarattere">
    <w:name w:val="Intestazione messaggio Carattere"/>
    <w:basedOn w:val="Carpredefinitoparagrafo"/>
    <w:link w:val="Intestazionemessaggio"/>
    <w:uiPriority w:val="99"/>
    <w:semiHidden/>
    <w:rsid w:val="0003148D"/>
    <w:rPr>
      <w:rFonts w:asciiTheme="majorHAnsi" w:eastAsiaTheme="majorEastAsia" w:hAnsiTheme="majorHAnsi" w:cstheme="majorBidi"/>
      <w:sz w:val="24"/>
      <w:szCs w:val="24"/>
      <w:shd w:val="pct20" w:color="auto" w:fill="auto"/>
    </w:rPr>
  </w:style>
  <w:style w:type="paragraph" w:styleId="Intestazionenota">
    <w:name w:val="Note Heading"/>
    <w:basedOn w:val="Normale"/>
    <w:next w:val="Normale"/>
    <w:link w:val="IntestazionenotaCarattere"/>
    <w:uiPriority w:val="99"/>
    <w:semiHidden/>
    <w:unhideWhenUsed/>
    <w:rsid w:val="0003148D"/>
    <w:pPr>
      <w:spacing w:line="240" w:lineRule="auto"/>
    </w:pPr>
  </w:style>
  <w:style w:type="character" w:customStyle="1" w:styleId="IntestazionenotaCarattere">
    <w:name w:val="Intestazione nota Carattere"/>
    <w:basedOn w:val="Carpredefinitoparagrafo"/>
    <w:link w:val="Intestazionenota"/>
    <w:uiPriority w:val="99"/>
    <w:semiHidden/>
    <w:rsid w:val="0003148D"/>
  </w:style>
  <w:style w:type="paragraph" w:styleId="Mappadocumento">
    <w:name w:val="Document Map"/>
    <w:basedOn w:val="Normale"/>
    <w:link w:val="MappadocumentoCarattere"/>
    <w:uiPriority w:val="99"/>
    <w:semiHidden/>
    <w:unhideWhenUsed/>
    <w:rsid w:val="0003148D"/>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03148D"/>
    <w:rPr>
      <w:rFonts w:ascii="Tahoma" w:hAnsi="Tahoma" w:cs="Tahoma"/>
      <w:sz w:val="16"/>
      <w:szCs w:val="16"/>
    </w:rPr>
  </w:style>
  <w:style w:type="paragraph" w:styleId="NormaleWeb">
    <w:name w:val="Normal (Web)"/>
    <w:basedOn w:val="Normale"/>
    <w:uiPriority w:val="99"/>
    <w:semiHidden/>
    <w:unhideWhenUsed/>
    <w:rsid w:val="0003148D"/>
    <w:rPr>
      <w:sz w:val="24"/>
      <w:szCs w:val="24"/>
    </w:rPr>
  </w:style>
  <w:style w:type="paragraph" w:styleId="Numeroelenco">
    <w:name w:val="List Number"/>
    <w:basedOn w:val="Normale"/>
    <w:uiPriority w:val="99"/>
    <w:semiHidden/>
    <w:unhideWhenUsed/>
    <w:rsid w:val="0003148D"/>
    <w:pPr>
      <w:numPr>
        <w:numId w:val="2"/>
      </w:numPr>
      <w:contextualSpacing/>
    </w:pPr>
  </w:style>
  <w:style w:type="paragraph" w:styleId="Numeroelenco2">
    <w:name w:val="List Number 2"/>
    <w:basedOn w:val="Normale"/>
    <w:uiPriority w:val="99"/>
    <w:semiHidden/>
    <w:unhideWhenUsed/>
    <w:rsid w:val="0003148D"/>
    <w:pPr>
      <w:numPr>
        <w:numId w:val="3"/>
      </w:numPr>
      <w:contextualSpacing/>
    </w:pPr>
  </w:style>
  <w:style w:type="paragraph" w:styleId="Numeroelenco3">
    <w:name w:val="List Number 3"/>
    <w:basedOn w:val="Normale"/>
    <w:uiPriority w:val="99"/>
    <w:semiHidden/>
    <w:unhideWhenUsed/>
    <w:rsid w:val="0003148D"/>
    <w:pPr>
      <w:numPr>
        <w:numId w:val="4"/>
      </w:numPr>
      <w:contextualSpacing/>
    </w:pPr>
  </w:style>
  <w:style w:type="paragraph" w:styleId="Numeroelenco4">
    <w:name w:val="List Number 4"/>
    <w:basedOn w:val="Normale"/>
    <w:uiPriority w:val="99"/>
    <w:semiHidden/>
    <w:unhideWhenUsed/>
    <w:rsid w:val="0003148D"/>
    <w:pPr>
      <w:numPr>
        <w:numId w:val="5"/>
      </w:numPr>
      <w:contextualSpacing/>
    </w:pPr>
  </w:style>
  <w:style w:type="paragraph" w:styleId="Numeroelenco5">
    <w:name w:val="List Number 5"/>
    <w:basedOn w:val="Normale"/>
    <w:uiPriority w:val="99"/>
    <w:semiHidden/>
    <w:unhideWhenUsed/>
    <w:rsid w:val="0003148D"/>
    <w:pPr>
      <w:numPr>
        <w:numId w:val="6"/>
      </w:numPr>
      <w:contextualSpacing/>
    </w:pPr>
  </w:style>
  <w:style w:type="paragraph" w:styleId="PreformattatoHTML">
    <w:name w:val="HTML Preformatted"/>
    <w:basedOn w:val="Normale"/>
    <w:link w:val="PreformattatoHTMLCarattere"/>
    <w:uiPriority w:val="99"/>
    <w:semiHidden/>
    <w:unhideWhenUsed/>
    <w:rsid w:val="0003148D"/>
    <w:pPr>
      <w:spacing w:line="240" w:lineRule="auto"/>
    </w:pPr>
    <w:rPr>
      <w:rFonts w:ascii="Consolas" w:hAnsi="Consolas" w:cs="Consolas"/>
    </w:rPr>
  </w:style>
  <w:style w:type="character" w:customStyle="1" w:styleId="PreformattatoHTMLCarattere">
    <w:name w:val="Preformattato HTML Carattere"/>
    <w:basedOn w:val="Carpredefinitoparagrafo"/>
    <w:link w:val="PreformattatoHTML"/>
    <w:uiPriority w:val="99"/>
    <w:semiHidden/>
    <w:rsid w:val="0003148D"/>
    <w:rPr>
      <w:rFonts w:ascii="Consolas" w:hAnsi="Consolas" w:cs="Consolas"/>
      <w:sz w:val="20"/>
      <w:szCs w:val="20"/>
    </w:rPr>
  </w:style>
  <w:style w:type="paragraph" w:styleId="Primorientrocorpodeltesto">
    <w:name w:val="Body Text First Indent"/>
    <w:basedOn w:val="Corpotesto"/>
    <w:link w:val="PrimorientrocorpodeltestoCarattere"/>
    <w:uiPriority w:val="99"/>
    <w:semiHidden/>
    <w:unhideWhenUsed/>
    <w:rsid w:val="0003148D"/>
    <w:pPr>
      <w:spacing w:after="200"/>
      <w:ind w:firstLine="360"/>
    </w:pPr>
  </w:style>
  <w:style w:type="character" w:customStyle="1" w:styleId="PrimorientrocorpodeltestoCarattere">
    <w:name w:val="Primo rientro corpo del testo Carattere"/>
    <w:basedOn w:val="CorpotestoCarattere"/>
    <w:link w:val="Primorientrocorpodeltesto"/>
    <w:uiPriority w:val="99"/>
    <w:semiHidden/>
    <w:rsid w:val="0003148D"/>
  </w:style>
  <w:style w:type="paragraph" w:styleId="Rientrocorpodeltesto">
    <w:name w:val="Body Text Indent"/>
    <w:basedOn w:val="Normale"/>
    <w:link w:val="RientrocorpodeltestoCarattere"/>
    <w:uiPriority w:val="99"/>
    <w:semiHidden/>
    <w:unhideWhenUsed/>
    <w:rsid w:val="0003148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03148D"/>
  </w:style>
  <w:style w:type="paragraph" w:styleId="Primorientrocorpodeltesto2">
    <w:name w:val="Body Text First Indent 2"/>
    <w:basedOn w:val="Rientrocorpodeltesto"/>
    <w:link w:val="Primorientrocorpodeltesto2Carattere"/>
    <w:uiPriority w:val="99"/>
    <w:semiHidden/>
    <w:unhideWhenUsed/>
    <w:rsid w:val="0003148D"/>
    <w:pPr>
      <w:spacing w:after="20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03148D"/>
  </w:style>
  <w:style w:type="paragraph" w:styleId="Puntoelenco">
    <w:name w:val="List Bullet"/>
    <w:basedOn w:val="Normale"/>
    <w:uiPriority w:val="99"/>
    <w:semiHidden/>
    <w:unhideWhenUsed/>
    <w:rsid w:val="0003148D"/>
    <w:pPr>
      <w:numPr>
        <w:numId w:val="7"/>
      </w:numPr>
      <w:contextualSpacing/>
    </w:pPr>
  </w:style>
  <w:style w:type="paragraph" w:styleId="Puntoelenco2">
    <w:name w:val="List Bullet 2"/>
    <w:basedOn w:val="Normale"/>
    <w:uiPriority w:val="99"/>
    <w:semiHidden/>
    <w:unhideWhenUsed/>
    <w:rsid w:val="0003148D"/>
    <w:pPr>
      <w:numPr>
        <w:numId w:val="8"/>
      </w:numPr>
      <w:contextualSpacing/>
    </w:pPr>
  </w:style>
  <w:style w:type="paragraph" w:styleId="Puntoelenco3">
    <w:name w:val="List Bullet 3"/>
    <w:basedOn w:val="Normale"/>
    <w:uiPriority w:val="99"/>
    <w:semiHidden/>
    <w:unhideWhenUsed/>
    <w:rsid w:val="0003148D"/>
    <w:pPr>
      <w:numPr>
        <w:numId w:val="9"/>
      </w:numPr>
      <w:contextualSpacing/>
    </w:pPr>
  </w:style>
  <w:style w:type="paragraph" w:styleId="Puntoelenco4">
    <w:name w:val="List Bullet 4"/>
    <w:basedOn w:val="Normale"/>
    <w:uiPriority w:val="99"/>
    <w:semiHidden/>
    <w:unhideWhenUsed/>
    <w:rsid w:val="0003148D"/>
    <w:pPr>
      <w:numPr>
        <w:numId w:val="10"/>
      </w:numPr>
      <w:contextualSpacing/>
    </w:pPr>
  </w:style>
  <w:style w:type="paragraph" w:styleId="Puntoelenco5">
    <w:name w:val="List Bullet 5"/>
    <w:basedOn w:val="Normale"/>
    <w:uiPriority w:val="99"/>
    <w:semiHidden/>
    <w:unhideWhenUsed/>
    <w:rsid w:val="0003148D"/>
    <w:pPr>
      <w:numPr>
        <w:numId w:val="11"/>
      </w:numPr>
      <w:contextualSpacing/>
    </w:pPr>
  </w:style>
  <w:style w:type="paragraph" w:styleId="Rientrocorpodeltesto2">
    <w:name w:val="Body Text Indent 2"/>
    <w:basedOn w:val="Normale"/>
    <w:link w:val="Rientrocorpodeltesto2Carattere"/>
    <w:uiPriority w:val="99"/>
    <w:semiHidden/>
    <w:unhideWhenUsed/>
    <w:rsid w:val="0003148D"/>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03148D"/>
  </w:style>
  <w:style w:type="paragraph" w:styleId="Rientrocorpodeltesto3">
    <w:name w:val="Body Text Indent 3"/>
    <w:basedOn w:val="Normale"/>
    <w:link w:val="Rientrocorpodeltesto3Carattere"/>
    <w:uiPriority w:val="99"/>
    <w:semiHidden/>
    <w:unhideWhenUsed/>
    <w:rsid w:val="0003148D"/>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03148D"/>
    <w:rPr>
      <w:sz w:val="16"/>
      <w:szCs w:val="16"/>
    </w:rPr>
  </w:style>
  <w:style w:type="paragraph" w:styleId="Rientronormale">
    <w:name w:val="Normal Indent"/>
    <w:basedOn w:val="Normale"/>
    <w:uiPriority w:val="99"/>
    <w:semiHidden/>
    <w:unhideWhenUsed/>
    <w:rsid w:val="0003148D"/>
    <w:pPr>
      <w:ind w:left="720"/>
    </w:pPr>
  </w:style>
  <w:style w:type="paragraph" w:styleId="Testocommento">
    <w:name w:val="annotation text"/>
    <w:basedOn w:val="Normale"/>
    <w:link w:val="TestocommentoCarattere"/>
    <w:uiPriority w:val="99"/>
    <w:unhideWhenUsed/>
    <w:rsid w:val="0003148D"/>
    <w:pPr>
      <w:spacing w:line="240" w:lineRule="auto"/>
    </w:pPr>
  </w:style>
  <w:style w:type="character" w:customStyle="1" w:styleId="TestocommentoCarattere">
    <w:name w:val="Testo commento Carattere"/>
    <w:basedOn w:val="Carpredefinitoparagrafo"/>
    <w:link w:val="Testocommento"/>
    <w:uiPriority w:val="99"/>
    <w:rsid w:val="0003148D"/>
    <w:rPr>
      <w:sz w:val="20"/>
      <w:szCs w:val="20"/>
    </w:rPr>
  </w:style>
  <w:style w:type="paragraph" w:styleId="Soggettocommento">
    <w:name w:val="annotation subject"/>
    <w:basedOn w:val="Testocommento"/>
    <w:next w:val="Testocommento"/>
    <w:link w:val="SoggettocommentoCarattere"/>
    <w:uiPriority w:val="99"/>
    <w:semiHidden/>
    <w:unhideWhenUsed/>
    <w:rsid w:val="0003148D"/>
    <w:rPr>
      <w:b/>
      <w:bCs/>
    </w:rPr>
  </w:style>
  <w:style w:type="character" w:customStyle="1" w:styleId="SoggettocommentoCarattere">
    <w:name w:val="Soggetto commento Carattere"/>
    <w:basedOn w:val="TestocommentoCarattere"/>
    <w:link w:val="Soggettocommento"/>
    <w:uiPriority w:val="99"/>
    <w:semiHidden/>
    <w:rsid w:val="0003148D"/>
    <w:rPr>
      <w:b/>
      <w:bCs/>
      <w:sz w:val="20"/>
      <w:szCs w:val="20"/>
    </w:rPr>
  </w:style>
  <w:style w:type="paragraph" w:styleId="Sommario1">
    <w:name w:val="toc 1"/>
    <w:basedOn w:val="Normale"/>
    <w:next w:val="Normale"/>
    <w:autoRedefine/>
    <w:uiPriority w:val="39"/>
    <w:semiHidden/>
    <w:unhideWhenUsed/>
    <w:rsid w:val="0003148D"/>
    <w:pPr>
      <w:spacing w:after="100"/>
    </w:pPr>
  </w:style>
  <w:style w:type="paragraph" w:styleId="Sommario2">
    <w:name w:val="toc 2"/>
    <w:basedOn w:val="Normale"/>
    <w:next w:val="Normale"/>
    <w:autoRedefine/>
    <w:uiPriority w:val="39"/>
    <w:semiHidden/>
    <w:unhideWhenUsed/>
    <w:rsid w:val="0003148D"/>
    <w:pPr>
      <w:spacing w:after="100"/>
      <w:ind w:left="220"/>
    </w:pPr>
  </w:style>
  <w:style w:type="paragraph" w:styleId="Sommario3">
    <w:name w:val="toc 3"/>
    <w:basedOn w:val="Normale"/>
    <w:next w:val="Normale"/>
    <w:autoRedefine/>
    <w:uiPriority w:val="39"/>
    <w:semiHidden/>
    <w:unhideWhenUsed/>
    <w:rsid w:val="0003148D"/>
    <w:pPr>
      <w:spacing w:after="100"/>
      <w:ind w:left="440"/>
    </w:pPr>
  </w:style>
  <w:style w:type="paragraph" w:styleId="Sommario4">
    <w:name w:val="toc 4"/>
    <w:basedOn w:val="Normale"/>
    <w:next w:val="Normale"/>
    <w:autoRedefine/>
    <w:uiPriority w:val="39"/>
    <w:semiHidden/>
    <w:unhideWhenUsed/>
    <w:rsid w:val="0003148D"/>
    <w:pPr>
      <w:spacing w:after="100"/>
      <w:ind w:left="660"/>
    </w:pPr>
  </w:style>
  <w:style w:type="paragraph" w:styleId="Sommario5">
    <w:name w:val="toc 5"/>
    <w:basedOn w:val="Normale"/>
    <w:next w:val="Normale"/>
    <w:autoRedefine/>
    <w:uiPriority w:val="39"/>
    <w:semiHidden/>
    <w:unhideWhenUsed/>
    <w:rsid w:val="0003148D"/>
    <w:pPr>
      <w:spacing w:after="100"/>
      <w:ind w:left="880"/>
    </w:pPr>
  </w:style>
  <w:style w:type="paragraph" w:styleId="Sommario6">
    <w:name w:val="toc 6"/>
    <w:basedOn w:val="Normale"/>
    <w:next w:val="Normale"/>
    <w:autoRedefine/>
    <w:uiPriority w:val="39"/>
    <w:semiHidden/>
    <w:unhideWhenUsed/>
    <w:rsid w:val="0003148D"/>
    <w:pPr>
      <w:spacing w:after="100"/>
      <w:ind w:left="1100"/>
    </w:pPr>
  </w:style>
  <w:style w:type="paragraph" w:styleId="Sommario7">
    <w:name w:val="toc 7"/>
    <w:basedOn w:val="Normale"/>
    <w:next w:val="Normale"/>
    <w:autoRedefine/>
    <w:uiPriority w:val="39"/>
    <w:semiHidden/>
    <w:unhideWhenUsed/>
    <w:rsid w:val="0003148D"/>
    <w:pPr>
      <w:spacing w:after="100"/>
      <w:ind w:left="1320"/>
    </w:pPr>
  </w:style>
  <w:style w:type="paragraph" w:styleId="Sommario8">
    <w:name w:val="toc 8"/>
    <w:basedOn w:val="Normale"/>
    <w:next w:val="Normale"/>
    <w:autoRedefine/>
    <w:uiPriority w:val="39"/>
    <w:semiHidden/>
    <w:unhideWhenUsed/>
    <w:rsid w:val="0003148D"/>
    <w:pPr>
      <w:spacing w:after="100"/>
      <w:ind w:left="1540"/>
    </w:pPr>
  </w:style>
  <w:style w:type="paragraph" w:styleId="Sommario9">
    <w:name w:val="toc 9"/>
    <w:basedOn w:val="Normale"/>
    <w:next w:val="Normale"/>
    <w:autoRedefine/>
    <w:uiPriority w:val="39"/>
    <w:semiHidden/>
    <w:unhideWhenUsed/>
    <w:rsid w:val="0003148D"/>
    <w:pPr>
      <w:spacing w:after="100"/>
      <w:ind w:left="1760"/>
    </w:pPr>
  </w:style>
  <w:style w:type="paragraph" w:styleId="Testodelblocco">
    <w:name w:val="Block Text"/>
    <w:basedOn w:val="Normale"/>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Testomacro">
    <w:name w:val="macro"/>
    <w:link w:val="TestomacroCarattere"/>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TestomacroCarattere">
    <w:name w:val="Testo macro Carattere"/>
    <w:basedOn w:val="Carpredefinitoparagrafo"/>
    <w:link w:val="Testomacro"/>
    <w:uiPriority w:val="99"/>
    <w:semiHidden/>
    <w:rsid w:val="0003148D"/>
    <w:rPr>
      <w:rFonts w:ascii="Consolas" w:hAnsi="Consolas" w:cs="Consolas"/>
      <w:sz w:val="20"/>
      <w:szCs w:val="20"/>
    </w:rPr>
  </w:style>
  <w:style w:type="paragraph" w:styleId="Testonormale">
    <w:name w:val="Plain Text"/>
    <w:basedOn w:val="Normale"/>
    <w:link w:val="TestonormaleCarattere"/>
    <w:uiPriority w:val="99"/>
    <w:semiHidden/>
    <w:unhideWhenUsed/>
    <w:rsid w:val="0003148D"/>
    <w:pPr>
      <w:spacing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semiHidden/>
    <w:rsid w:val="0003148D"/>
    <w:rPr>
      <w:rFonts w:ascii="Consolas" w:hAnsi="Consolas" w:cs="Consolas"/>
      <w:sz w:val="21"/>
      <w:szCs w:val="21"/>
    </w:rPr>
  </w:style>
  <w:style w:type="paragraph" w:styleId="Testonotaapidipagina">
    <w:name w:val="footnote text"/>
    <w:basedOn w:val="Normale"/>
    <w:link w:val="TestonotaapidipaginaCarattere"/>
    <w:uiPriority w:val="99"/>
    <w:semiHidden/>
    <w:unhideWhenUsed/>
    <w:rsid w:val="0003148D"/>
    <w:pPr>
      <w:spacing w:line="240" w:lineRule="auto"/>
    </w:pPr>
  </w:style>
  <w:style w:type="character" w:customStyle="1" w:styleId="TestonotaapidipaginaCarattere">
    <w:name w:val="Testo nota a piè di pagina Carattere"/>
    <w:basedOn w:val="Carpredefinitoparagrafo"/>
    <w:link w:val="Testonotaapidipagina"/>
    <w:uiPriority w:val="99"/>
    <w:semiHidden/>
    <w:rsid w:val="0003148D"/>
    <w:rPr>
      <w:sz w:val="20"/>
      <w:szCs w:val="20"/>
    </w:rPr>
  </w:style>
  <w:style w:type="paragraph" w:styleId="Testonotadichiusura">
    <w:name w:val="endnote text"/>
    <w:basedOn w:val="Normale"/>
    <w:link w:val="TestonotadichiusuraCarattere"/>
    <w:uiPriority w:val="99"/>
    <w:semiHidden/>
    <w:unhideWhenUsed/>
    <w:rsid w:val="0003148D"/>
    <w:pPr>
      <w:spacing w:line="240" w:lineRule="auto"/>
    </w:pPr>
  </w:style>
  <w:style w:type="character" w:customStyle="1" w:styleId="TestonotadichiusuraCarattere">
    <w:name w:val="Testo nota di chiusura Carattere"/>
    <w:basedOn w:val="Carpredefinitoparagrafo"/>
    <w:link w:val="Testonotadichiusura"/>
    <w:uiPriority w:val="99"/>
    <w:semiHidden/>
    <w:rsid w:val="0003148D"/>
    <w:rPr>
      <w:sz w:val="20"/>
      <w:szCs w:val="20"/>
    </w:rPr>
  </w:style>
  <w:style w:type="character" w:customStyle="1" w:styleId="Titolo1Carattere">
    <w:name w:val="Titolo 1 Carattere"/>
    <w:basedOn w:val="Carpredefinitoparagrafo"/>
    <w:link w:val="Titolo1"/>
    <w:uiPriority w:val="9"/>
    <w:rsid w:val="004F5E36"/>
    <w:rPr>
      <w:rFonts w:ascii="Arial" w:eastAsia="Times New Roman" w:hAnsi="Arial" w:cs="Times New Roman"/>
      <w:b/>
      <w:sz w:val="20"/>
      <w:szCs w:val="20"/>
      <w:lang w:val="en-GB"/>
    </w:rPr>
  </w:style>
  <w:style w:type="character" w:customStyle="1" w:styleId="Titolo2Carattere">
    <w:name w:val="Titolo 2 Carattere"/>
    <w:basedOn w:val="Carpredefinitoparagrafo"/>
    <w:link w:val="Titolo2"/>
    <w:uiPriority w:val="9"/>
    <w:semiHidden/>
    <w:rsid w:val="0003148D"/>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semiHidden/>
    <w:rsid w:val="0003148D"/>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03148D"/>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03148D"/>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03148D"/>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03148D"/>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Titolo9Carattere">
    <w:name w:val="Titolo 9 Carattere"/>
    <w:basedOn w:val="Carpredefinitoparagrafo"/>
    <w:link w:val="Titolo9"/>
    <w:uiPriority w:val="9"/>
    <w:semiHidden/>
    <w:rsid w:val="0003148D"/>
    <w:rPr>
      <w:rFonts w:asciiTheme="majorHAnsi" w:eastAsiaTheme="majorEastAsia" w:hAnsiTheme="majorHAnsi" w:cstheme="majorBidi"/>
      <w:i/>
      <w:iCs/>
      <w:color w:val="404040" w:themeColor="text1" w:themeTint="BF"/>
      <w:sz w:val="20"/>
      <w:szCs w:val="20"/>
    </w:rPr>
  </w:style>
  <w:style w:type="paragraph" w:styleId="Titoloindice">
    <w:name w:val="index heading"/>
    <w:basedOn w:val="Normale"/>
    <w:next w:val="Indice1"/>
    <w:uiPriority w:val="99"/>
    <w:semiHidden/>
    <w:unhideWhenUsed/>
    <w:rsid w:val="0003148D"/>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03148D"/>
    <w:pPr>
      <w:spacing w:before="120"/>
    </w:pPr>
    <w:rPr>
      <w:rFonts w:asciiTheme="majorHAnsi" w:eastAsiaTheme="majorEastAsia" w:hAnsiTheme="majorHAnsi" w:cstheme="majorBidi"/>
      <w:b/>
      <w:bCs/>
      <w:sz w:val="24"/>
      <w:szCs w:val="24"/>
    </w:rPr>
  </w:style>
  <w:style w:type="paragraph" w:styleId="Titolosommario">
    <w:name w:val="TOC Heading"/>
    <w:basedOn w:val="Titolo1"/>
    <w:next w:val="Normale"/>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Carpredefinitoparagrafo"/>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Intestazione">
    <w:name w:val="header"/>
    <w:basedOn w:val="Normale"/>
    <w:link w:val="IntestazioneCarattere"/>
    <w:uiPriority w:val="99"/>
    <w:unhideWhenUsed/>
    <w:rsid w:val="005278B7"/>
    <w:pPr>
      <w:tabs>
        <w:tab w:val="clear" w:pos="710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278B7"/>
    <w:rPr>
      <w:rFonts w:ascii="Arial" w:eastAsia="Times New Roman" w:hAnsi="Arial" w:cs="Times New Roman"/>
      <w:sz w:val="18"/>
      <w:szCs w:val="20"/>
      <w:lang w:val="en-GB"/>
    </w:rPr>
  </w:style>
  <w:style w:type="paragraph" w:styleId="Pidipagina">
    <w:name w:val="footer"/>
    <w:basedOn w:val="Normale"/>
    <w:link w:val="PidipaginaCarattere"/>
    <w:uiPriority w:val="99"/>
    <w:unhideWhenUsed/>
    <w:rsid w:val="005278B7"/>
    <w:pPr>
      <w:tabs>
        <w:tab w:val="clear" w:pos="710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278B7"/>
    <w:rPr>
      <w:rFonts w:ascii="Arial" w:eastAsia="Times New Roman" w:hAnsi="Arial" w:cs="Times New Roman"/>
      <w:sz w:val="18"/>
      <w:szCs w:val="20"/>
      <w:lang w:val="en-GB"/>
    </w:rPr>
  </w:style>
  <w:style w:type="table" w:styleId="Grigliatabella">
    <w:name w:val="Table Grid"/>
    <w:basedOn w:val="Tabellanormale"/>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904C62"/>
    <w:rPr>
      <w:color w:val="0000FF" w:themeColor="hyperlink"/>
      <w:u w:val="single"/>
    </w:rPr>
  </w:style>
  <w:style w:type="character" w:customStyle="1" w:styleId="eudoraheader">
    <w:name w:val="eudoraheader"/>
    <w:basedOn w:val="Carpredefinitoparagrafo"/>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pPr>
      <w:numPr>
        <w:ilvl w:val="0"/>
        <w:numId w:val="0"/>
      </w:numPr>
    </w:pPr>
  </w:style>
  <w:style w:type="character" w:customStyle="1" w:styleId="CETHeadingxxChar">
    <w:name w:val="CET Headingxx Char"/>
    <w:basedOn w:val="CETheadingxCarattere"/>
    <w:link w:val="CETHeadingxx"/>
    <w:rsid w:val="000F787B"/>
    <w:rPr>
      <w:rFonts w:ascii="Arial" w:eastAsia="Times New Roman" w:hAnsi="Arial" w:cs="Times New Roman"/>
      <w:b/>
      <w:sz w:val="18"/>
      <w:szCs w:val="20"/>
      <w:lang w:val="en-US"/>
    </w:rPr>
  </w:style>
  <w:style w:type="paragraph" w:styleId="Paragrafoelenco">
    <w:name w:val="List Paragraph"/>
    <w:basedOn w:val="Normale"/>
    <w:uiPriority w:val="34"/>
    <w:rsid w:val="00280FAF"/>
    <w:pPr>
      <w:ind w:left="720"/>
      <w:contextualSpacing/>
    </w:pPr>
  </w:style>
  <w:style w:type="character" w:customStyle="1" w:styleId="gmail-apple-converted-space">
    <w:name w:val="gmail-apple-converted-space"/>
    <w:basedOn w:val="Carpredefinitoparagrafo"/>
    <w:rsid w:val="00005A19"/>
  </w:style>
  <w:style w:type="character" w:styleId="Menzionenonrisolta">
    <w:name w:val="Unresolved Mention"/>
    <w:basedOn w:val="Carpredefinitoparagrafo"/>
    <w:uiPriority w:val="99"/>
    <w:semiHidden/>
    <w:unhideWhenUsed/>
    <w:rsid w:val="004F0060"/>
    <w:rPr>
      <w:color w:val="605E5C"/>
      <w:shd w:val="clear" w:color="auto" w:fill="E1DFDD"/>
    </w:rPr>
  </w:style>
  <w:style w:type="character" w:styleId="Testosegnaposto">
    <w:name w:val="Placeholder Text"/>
    <w:basedOn w:val="Carpredefinitoparagrafo"/>
    <w:uiPriority w:val="99"/>
    <w:semiHidden/>
    <w:rsid w:val="00344458"/>
    <w:rPr>
      <w:color w:val="666666"/>
    </w:rPr>
  </w:style>
  <w:style w:type="paragraph" w:styleId="Revisione">
    <w:name w:val="Revision"/>
    <w:hidden/>
    <w:uiPriority w:val="99"/>
    <w:semiHidden/>
    <w:rsid w:val="006F619D"/>
    <w:pPr>
      <w:spacing w:after="0" w:line="240" w:lineRule="auto"/>
    </w:pPr>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3113">
      <w:marLeft w:val="0"/>
      <w:marRight w:val="0"/>
      <w:marTop w:val="0"/>
      <w:marBottom w:val="0"/>
      <w:divBdr>
        <w:top w:val="none" w:sz="0" w:space="0" w:color="auto"/>
        <w:left w:val="none" w:sz="0" w:space="0" w:color="auto"/>
        <w:bottom w:val="none" w:sz="0" w:space="0" w:color="auto"/>
        <w:right w:val="none" w:sz="0" w:space="0" w:color="auto"/>
      </w:divBdr>
    </w:div>
    <w:div w:id="20789708">
      <w:marLeft w:val="0"/>
      <w:marRight w:val="0"/>
      <w:marTop w:val="0"/>
      <w:marBottom w:val="0"/>
      <w:divBdr>
        <w:top w:val="none" w:sz="0" w:space="0" w:color="auto"/>
        <w:left w:val="none" w:sz="0" w:space="0" w:color="auto"/>
        <w:bottom w:val="none" w:sz="0" w:space="0" w:color="auto"/>
        <w:right w:val="none" w:sz="0" w:space="0" w:color="auto"/>
      </w:divBdr>
    </w:div>
    <w:div w:id="26881389">
      <w:marLeft w:val="0"/>
      <w:marRight w:val="0"/>
      <w:marTop w:val="0"/>
      <w:marBottom w:val="0"/>
      <w:divBdr>
        <w:top w:val="none" w:sz="0" w:space="0" w:color="auto"/>
        <w:left w:val="none" w:sz="0" w:space="0" w:color="auto"/>
        <w:bottom w:val="none" w:sz="0" w:space="0" w:color="auto"/>
        <w:right w:val="none" w:sz="0" w:space="0" w:color="auto"/>
      </w:divBdr>
    </w:div>
    <w:div w:id="41056631">
      <w:marLeft w:val="0"/>
      <w:marRight w:val="0"/>
      <w:marTop w:val="0"/>
      <w:marBottom w:val="0"/>
      <w:divBdr>
        <w:top w:val="none" w:sz="0" w:space="0" w:color="auto"/>
        <w:left w:val="none" w:sz="0" w:space="0" w:color="auto"/>
        <w:bottom w:val="none" w:sz="0" w:space="0" w:color="auto"/>
        <w:right w:val="none" w:sz="0" w:space="0" w:color="auto"/>
      </w:divBdr>
    </w:div>
    <w:div w:id="44961021">
      <w:marLeft w:val="0"/>
      <w:marRight w:val="0"/>
      <w:marTop w:val="0"/>
      <w:marBottom w:val="0"/>
      <w:divBdr>
        <w:top w:val="none" w:sz="0" w:space="0" w:color="auto"/>
        <w:left w:val="none" w:sz="0" w:space="0" w:color="auto"/>
        <w:bottom w:val="none" w:sz="0" w:space="0" w:color="auto"/>
        <w:right w:val="none" w:sz="0" w:space="0" w:color="auto"/>
      </w:divBdr>
    </w:div>
    <w:div w:id="55520016">
      <w:marLeft w:val="0"/>
      <w:marRight w:val="0"/>
      <w:marTop w:val="0"/>
      <w:marBottom w:val="0"/>
      <w:divBdr>
        <w:top w:val="none" w:sz="0" w:space="0" w:color="auto"/>
        <w:left w:val="none" w:sz="0" w:space="0" w:color="auto"/>
        <w:bottom w:val="none" w:sz="0" w:space="0" w:color="auto"/>
        <w:right w:val="none" w:sz="0" w:space="0" w:color="auto"/>
      </w:divBdr>
    </w:div>
    <w:div w:id="58788787">
      <w:marLeft w:val="0"/>
      <w:marRight w:val="0"/>
      <w:marTop w:val="0"/>
      <w:marBottom w:val="0"/>
      <w:divBdr>
        <w:top w:val="none" w:sz="0" w:space="0" w:color="auto"/>
        <w:left w:val="none" w:sz="0" w:space="0" w:color="auto"/>
        <w:bottom w:val="none" w:sz="0" w:space="0" w:color="auto"/>
        <w:right w:val="none" w:sz="0" w:space="0" w:color="auto"/>
      </w:divBdr>
    </w:div>
    <w:div w:id="63138894">
      <w:marLeft w:val="0"/>
      <w:marRight w:val="0"/>
      <w:marTop w:val="0"/>
      <w:marBottom w:val="0"/>
      <w:divBdr>
        <w:top w:val="none" w:sz="0" w:space="0" w:color="auto"/>
        <w:left w:val="none" w:sz="0" w:space="0" w:color="auto"/>
        <w:bottom w:val="none" w:sz="0" w:space="0" w:color="auto"/>
        <w:right w:val="none" w:sz="0" w:space="0" w:color="auto"/>
      </w:divBdr>
    </w:div>
    <w:div w:id="76824956">
      <w:marLeft w:val="0"/>
      <w:marRight w:val="0"/>
      <w:marTop w:val="0"/>
      <w:marBottom w:val="0"/>
      <w:divBdr>
        <w:top w:val="none" w:sz="0" w:space="0" w:color="auto"/>
        <w:left w:val="none" w:sz="0" w:space="0" w:color="auto"/>
        <w:bottom w:val="none" w:sz="0" w:space="0" w:color="auto"/>
        <w:right w:val="none" w:sz="0" w:space="0" w:color="auto"/>
      </w:divBdr>
    </w:div>
    <w:div w:id="104009096">
      <w:marLeft w:val="0"/>
      <w:marRight w:val="0"/>
      <w:marTop w:val="0"/>
      <w:marBottom w:val="0"/>
      <w:divBdr>
        <w:top w:val="none" w:sz="0" w:space="0" w:color="auto"/>
        <w:left w:val="none" w:sz="0" w:space="0" w:color="auto"/>
        <w:bottom w:val="none" w:sz="0" w:space="0" w:color="auto"/>
        <w:right w:val="none" w:sz="0" w:space="0" w:color="auto"/>
      </w:divBdr>
    </w:div>
    <w:div w:id="110562811">
      <w:marLeft w:val="0"/>
      <w:marRight w:val="0"/>
      <w:marTop w:val="0"/>
      <w:marBottom w:val="0"/>
      <w:divBdr>
        <w:top w:val="none" w:sz="0" w:space="0" w:color="auto"/>
        <w:left w:val="none" w:sz="0" w:space="0" w:color="auto"/>
        <w:bottom w:val="none" w:sz="0" w:space="0" w:color="auto"/>
        <w:right w:val="none" w:sz="0" w:space="0" w:color="auto"/>
      </w:divBdr>
    </w:div>
    <w:div w:id="187641502">
      <w:marLeft w:val="0"/>
      <w:marRight w:val="0"/>
      <w:marTop w:val="0"/>
      <w:marBottom w:val="0"/>
      <w:divBdr>
        <w:top w:val="none" w:sz="0" w:space="0" w:color="auto"/>
        <w:left w:val="none" w:sz="0" w:space="0" w:color="auto"/>
        <w:bottom w:val="none" w:sz="0" w:space="0" w:color="auto"/>
        <w:right w:val="none" w:sz="0" w:space="0" w:color="auto"/>
      </w:divBdr>
    </w:div>
    <w:div w:id="188837082">
      <w:marLeft w:val="0"/>
      <w:marRight w:val="0"/>
      <w:marTop w:val="0"/>
      <w:marBottom w:val="0"/>
      <w:divBdr>
        <w:top w:val="none" w:sz="0" w:space="0" w:color="auto"/>
        <w:left w:val="none" w:sz="0" w:space="0" w:color="auto"/>
        <w:bottom w:val="none" w:sz="0" w:space="0" w:color="auto"/>
        <w:right w:val="none" w:sz="0" w:space="0" w:color="auto"/>
      </w:divBdr>
    </w:div>
    <w:div w:id="205333494">
      <w:marLeft w:val="0"/>
      <w:marRight w:val="0"/>
      <w:marTop w:val="0"/>
      <w:marBottom w:val="0"/>
      <w:divBdr>
        <w:top w:val="none" w:sz="0" w:space="0" w:color="auto"/>
        <w:left w:val="none" w:sz="0" w:space="0" w:color="auto"/>
        <w:bottom w:val="none" w:sz="0" w:space="0" w:color="auto"/>
        <w:right w:val="none" w:sz="0" w:space="0" w:color="auto"/>
      </w:divBdr>
    </w:div>
    <w:div w:id="235745429">
      <w:marLeft w:val="0"/>
      <w:marRight w:val="0"/>
      <w:marTop w:val="0"/>
      <w:marBottom w:val="0"/>
      <w:divBdr>
        <w:top w:val="none" w:sz="0" w:space="0" w:color="auto"/>
        <w:left w:val="none" w:sz="0" w:space="0" w:color="auto"/>
        <w:bottom w:val="none" w:sz="0" w:space="0" w:color="auto"/>
        <w:right w:val="none" w:sz="0" w:space="0" w:color="auto"/>
      </w:divBdr>
    </w:div>
    <w:div w:id="237835006">
      <w:marLeft w:val="0"/>
      <w:marRight w:val="0"/>
      <w:marTop w:val="0"/>
      <w:marBottom w:val="0"/>
      <w:divBdr>
        <w:top w:val="none" w:sz="0" w:space="0" w:color="auto"/>
        <w:left w:val="none" w:sz="0" w:space="0" w:color="auto"/>
        <w:bottom w:val="none" w:sz="0" w:space="0" w:color="auto"/>
        <w:right w:val="none" w:sz="0" w:space="0" w:color="auto"/>
      </w:divBdr>
    </w:div>
    <w:div w:id="240256634">
      <w:marLeft w:val="0"/>
      <w:marRight w:val="0"/>
      <w:marTop w:val="0"/>
      <w:marBottom w:val="0"/>
      <w:divBdr>
        <w:top w:val="none" w:sz="0" w:space="0" w:color="auto"/>
        <w:left w:val="none" w:sz="0" w:space="0" w:color="auto"/>
        <w:bottom w:val="none" w:sz="0" w:space="0" w:color="auto"/>
        <w:right w:val="none" w:sz="0" w:space="0" w:color="auto"/>
      </w:divBdr>
    </w:div>
    <w:div w:id="252469867">
      <w:marLeft w:val="0"/>
      <w:marRight w:val="0"/>
      <w:marTop w:val="0"/>
      <w:marBottom w:val="0"/>
      <w:divBdr>
        <w:top w:val="none" w:sz="0" w:space="0" w:color="auto"/>
        <w:left w:val="none" w:sz="0" w:space="0" w:color="auto"/>
        <w:bottom w:val="none" w:sz="0" w:space="0" w:color="auto"/>
        <w:right w:val="none" w:sz="0" w:space="0" w:color="auto"/>
      </w:divBdr>
    </w:div>
    <w:div w:id="270086139">
      <w:marLeft w:val="0"/>
      <w:marRight w:val="0"/>
      <w:marTop w:val="0"/>
      <w:marBottom w:val="0"/>
      <w:divBdr>
        <w:top w:val="none" w:sz="0" w:space="0" w:color="auto"/>
        <w:left w:val="none" w:sz="0" w:space="0" w:color="auto"/>
        <w:bottom w:val="none" w:sz="0" w:space="0" w:color="auto"/>
        <w:right w:val="none" w:sz="0" w:space="0" w:color="auto"/>
      </w:divBdr>
    </w:div>
    <w:div w:id="271744254">
      <w:marLeft w:val="0"/>
      <w:marRight w:val="0"/>
      <w:marTop w:val="0"/>
      <w:marBottom w:val="0"/>
      <w:divBdr>
        <w:top w:val="none" w:sz="0" w:space="0" w:color="auto"/>
        <w:left w:val="none" w:sz="0" w:space="0" w:color="auto"/>
        <w:bottom w:val="none" w:sz="0" w:space="0" w:color="auto"/>
        <w:right w:val="none" w:sz="0" w:space="0" w:color="auto"/>
      </w:divBdr>
    </w:div>
    <w:div w:id="276445751">
      <w:marLeft w:val="0"/>
      <w:marRight w:val="0"/>
      <w:marTop w:val="0"/>
      <w:marBottom w:val="0"/>
      <w:divBdr>
        <w:top w:val="none" w:sz="0" w:space="0" w:color="auto"/>
        <w:left w:val="none" w:sz="0" w:space="0" w:color="auto"/>
        <w:bottom w:val="none" w:sz="0" w:space="0" w:color="auto"/>
        <w:right w:val="none" w:sz="0" w:space="0" w:color="auto"/>
      </w:divBdr>
    </w:div>
    <w:div w:id="283586346">
      <w:marLeft w:val="0"/>
      <w:marRight w:val="0"/>
      <w:marTop w:val="0"/>
      <w:marBottom w:val="0"/>
      <w:divBdr>
        <w:top w:val="none" w:sz="0" w:space="0" w:color="auto"/>
        <w:left w:val="none" w:sz="0" w:space="0" w:color="auto"/>
        <w:bottom w:val="none" w:sz="0" w:space="0" w:color="auto"/>
        <w:right w:val="none" w:sz="0" w:space="0" w:color="auto"/>
      </w:divBdr>
    </w:div>
    <w:div w:id="287977575">
      <w:marLeft w:val="0"/>
      <w:marRight w:val="0"/>
      <w:marTop w:val="0"/>
      <w:marBottom w:val="0"/>
      <w:divBdr>
        <w:top w:val="none" w:sz="0" w:space="0" w:color="auto"/>
        <w:left w:val="none" w:sz="0" w:space="0" w:color="auto"/>
        <w:bottom w:val="none" w:sz="0" w:space="0" w:color="auto"/>
        <w:right w:val="none" w:sz="0" w:space="0" w:color="auto"/>
      </w:divBdr>
    </w:div>
    <w:div w:id="299844602">
      <w:marLeft w:val="0"/>
      <w:marRight w:val="0"/>
      <w:marTop w:val="0"/>
      <w:marBottom w:val="0"/>
      <w:divBdr>
        <w:top w:val="none" w:sz="0" w:space="0" w:color="auto"/>
        <w:left w:val="none" w:sz="0" w:space="0" w:color="auto"/>
        <w:bottom w:val="none" w:sz="0" w:space="0" w:color="auto"/>
        <w:right w:val="none" w:sz="0" w:space="0" w:color="auto"/>
      </w:divBdr>
    </w:div>
    <w:div w:id="308756510">
      <w:marLeft w:val="0"/>
      <w:marRight w:val="0"/>
      <w:marTop w:val="0"/>
      <w:marBottom w:val="0"/>
      <w:divBdr>
        <w:top w:val="none" w:sz="0" w:space="0" w:color="auto"/>
        <w:left w:val="none" w:sz="0" w:space="0" w:color="auto"/>
        <w:bottom w:val="none" w:sz="0" w:space="0" w:color="auto"/>
        <w:right w:val="none" w:sz="0" w:space="0" w:color="auto"/>
      </w:divBdr>
    </w:div>
    <w:div w:id="311639711">
      <w:marLeft w:val="0"/>
      <w:marRight w:val="0"/>
      <w:marTop w:val="0"/>
      <w:marBottom w:val="0"/>
      <w:divBdr>
        <w:top w:val="none" w:sz="0" w:space="0" w:color="auto"/>
        <w:left w:val="none" w:sz="0" w:space="0" w:color="auto"/>
        <w:bottom w:val="none" w:sz="0" w:space="0" w:color="auto"/>
        <w:right w:val="none" w:sz="0" w:space="0" w:color="auto"/>
      </w:divBdr>
    </w:div>
    <w:div w:id="323289119">
      <w:marLeft w:val="0"/>
      <w:marRight w:val="0"/>
      <w:marTop w:val="0"/>
      <w:marBottom w:val="0"/>
      <w:divBdr>
        <w:top w:val="none" w:sz="0" w:space="0" w:color="auto"/>
        <w:left w:val="none" w:sz="0" w:space="0" w:color="auto"/>
        <w:bottom w:val="none" w:sz="0" w:space="0" w:color="auto"/>
        <w:right w:val="none" w:sz="0" w:space="0" w:color="auto"/>
      </w:divBdr>
    </w:div>
    <w:div w:id="325323180">
      <w:marLeft w:val="0"/>
      <w:marRight w:val="0"/>
      <w:marTop w:val="0"/>
      <w:marBottom w:val="0"/>
      <w:divBdr>
        <w:top w:val="none" w:sz="0" w:space="0" w:color="auto"/>
        <w:left w:val="none" w:sz="0" w:space="0" w:color="auto"/>
        <w:bottom w:val="none" w:sz="0" w:space="0" w:color="auto"/>
        <w:right w:val="none" w:sz="0" w:space="0" w:color="auto"/>
      </w:divBdr>
    </w:div>
    <w:div w:id="347293880">
      <w:marLeft w:val="0"/>
      <w:marRight w:val="0"/>
      <w:marTop w:val="0"/>
      <w:marBottom w:val="0"/>
      <w:divBdr>
        <w:top w:val="none" w:sz="0" w:space="0" w:color="auto"/>
        <w:left w:val="none" w:sz="0" w:space="0" w:color="auto"/>
        <w:bottom w:val="none" w:sz="0" w:space="0" w:color="auto"/>
        <w:right w:val="none" w:sz="0" w:space="0" w:color="auto"/>
      </w:divBdr>
    </w:div>
    <w:div w:id="347562778">
      <w:marLeft w:val="0"/>
      <w:marRight w:val="0"/>
      <w:marTop w:val="0"/>
      <w:marBottom w:val="0"/>
      <w:divBdr>
        <w:top w:val="none" w:sz="0" w:space="0" w:color="auto"/>
        <w:left w:val="none" w:sz="0" w:space="0" w:color="auto"/>
        <w:bottom w:val="none" w:sz="0" w:space="0" w:color="auto"/>
        <w:right w:val="none" w:sz="0" w:space="0" w:color="auto"/>
      </w:divBdr>
    </w:div>
    <w:div w:id="371417329">
      <w:marLeft w:val="0"/>
      <w:marRight w:val="0"/>
      <w:marTop w:val="0"/>
      <w:marBottom w:val="0"/>
      <w:divBdr>
        <w:top w:val="none" w:sz="0" w:space="0" w:color="auto"/>
        <w:left w:val="none" w:sz="0" w:space="0" w:color="auto"/>
        <w:bottom w:val="none" w:sz="0" w:space="0" w:color="auto"/>
        <w:right w:val="none" w:sz="0" w:space="0" w:color="auto"/>
      </w:divBdr>
    </w:div>
    <w:div w:id="375785877">
      <w:marLeft w:val="0"/>
      <w:marRight w:val="0"/>
      <w:marTop w:val="0"/>
      <w:marBottom w:val="0"/>
      <w:divBdr>
        <w:top w:val="none" w:sz="0" w:space="0" w:color="auto"/>
        <w:left w:val="none" w:sz="0" w:space="0" w:color="auto"/>
        <w:bottom w:val="none" w:sz="0" w:space="0" w:color="auto"/>
        <w:right w:val="none" w:sz="0" w:space="0" w:color="auto"/>
      </w:divBdr>
    </w:div>
    <w:div w:id="394353326">
      <w:marLeft w:val="0"/>
      <w:marRight w:val="0"/>
      <w:marTop w:val="0"/>
      <w:marBottom w:val="0"/>
      <w:divBdr>
        <w:top w:val="none" w:sz="0" w:space="0" w:color="auto"/>
        <w:left w:val="none" w:sz="0" w:space="0" w:color="auto"/>
        <w:bottom w:val="none" w:sz="0" w:space="0" w:color="auto"/>
        <w:right w:val="none" w:sz="0" w:space="0" w:color="auto"/>
      </w:divBdr>
    </w:div>
    <w:div w:id="409816213">
      <w:marLeft w:val="0"/>
      <w:marRight w:val="0"/>
      <w:marTop w:val="0"/>
      <w:marBottom w:val="0"/>
      <w:divBdr>
        <w:top w:val="none" w:sz="0" w:space="0" w:color="auto"/>
        <w:left w:val="none" w:sz="0" w:space="0" w:color="auto"/>
        <w:bottom w:val="none" w:sz="0" w:space="0" w:color="auto"/>
        <w:right w:val="none" w:sz="0" w:space="0" w:color="auto"/>
      </w:divBdr>
    </w:div>
    <w:div w:id="412700980">
      <w:marLeft w:val="0"/>
      <w:marRight w:val="0"/>
      <w:marTop w:val="0"/>
      <w:marBottom w:val="0"/>
      <w:divBdr>
        <w:top w:val="none" w:sz="0" w:space="0" w:color="auto"/>
        <w:left w:val="none" w:sz="0" w:space="0" w:color="auto"/>
        <w:bottom w:val="none" w:sz="0" w:space="0" w:color="auto"/>
        <w:right w:val="none" w:sz="0" w:space="0" w:color="auto"/>
      </w:divBdr>
    </w:div>
    <w:div w:id="416370388">
      <w:marLeft w:val="0"/>
      <w:marRight w:val="0"/>
      <w:marTop w:val="0"/>
      <w:marBottom w:val="0"/>
      <w:divBdr>
        <w:top w:val="none" w:sz="0" w:space="0" w:color="auto"/>
        <w:left w:val="none" w:sz="0" w:space="0" w:color="auto"/>
        <w:bottom w:val="none" w:sz="0" w:space="0" w:color="auto"/>
        <w:right w:val="none" w:sz="0" w:space="0" w:color="auto"/>
      </w:divBdr>
    </w:div>
    <w:div w:id="421921303">
      <w:marLeft w:val="0"/>
      <w:marRight w:val="0"/>
      <w:marTop w:val="0"/>
      <w:marBottom w:val="0"/>
      <w:divBdr>
        <w:top w:val="none" w:sz="0" w:space="0" w:color="auto"/>
        <w:left w:val="none" w:sz="0" w:space="0" w:color="auto"/>
        <w:bottom w:val="none" w:sz="0" w:space="0" w:color="auto"/>
        <w:right w:val="none" w:sz="0" w:space="0" w:color="auto"/>
      </w:divBdr>
    </w:div>
    <w:div w:id="422577554">
      <w:marLeft w:val="0"/>
      <w:marRight w:val="0"/>
      <w:marTop w:val="0"/>
      <w:marBottom w:val="0"/>
      <w:divBdr>
        <w:top w:val="none" w:sz="0" w:space="0" w:color="auto"/>
        <w:left w:val="none" w:sz="0" w:space="0" w:color="auto"/>
        <w:bottom w:val="none" w:sz="0" w:space="0" w:color="auto"/>
        <w:right w:val="none" w:sz="0" w:space="0" w:color="auto"/>
      </w:divBdr>
    </w:div>
    <w:div w:id="435297907">
      <w:marLeft w:val="0"/>
      <w:marRight w:val="0"/>
      <w:marTop w:val="0"/>
      <w:marBottom w:val="0"/>
      <w:divBdr>
        <w:top w:val="none" w:sz="0" w:space="0" w:color="auto"/>
        <w:left w:val="none" w:sz="0" w:space="0" w:color="auto"/>
        <w:bottom w:val="none" w:sz="0" w:space="0" w:color="auto"/>
        <w:right w:val="none" w:sz="0" w:space="0" w:color="auto"/>
      </w:divBdr>
    </w:div>
    <w:div w:id="450441111">
      <w:marLeft w:val="0"/>
      <w:marRight w:val="0"/>
      <w:marTop w:val="0"/>
      <w:marBottom w:val="0"/>
      <w:divBdr>
        <w:top w:val="none" w:sz="0" w:space="0" w:color="auto"/>
        <w:left w:val="none" w:sz="0" w:space="0" w:color="auto"/>
        <w:bottom w:val="none" w:sz="0" w:space="0" w:color="auto"/>
        <w:right w:val="none" w:sz="0" w:space="0" w:color="auto"/>
      </w:divBdr>
    </w:div>
    <w:div w:id="462190158">
      <w:marLeft w:val="0"/>
      <w:marRight w:val="0"/>
      <w:marTop w:val="0"/>
      <w:marBottom w:val="0"/>
      <w:divBdr>
        <w:top w:val="none" w:sz="0" w:space="0" w:color="auto"/>
        <w:left w:val="none" w:sz="0" w:space="0" w:color="auto"/>
        <w:bottom w:val="none" w:sz="0" w:space="0" w:color="auto"/>
        <w:right w:val="none" w:sz="0" w:space="0" w:color="auto"/>
      </w:divBdr>
    </w:div>
    <w:div w:id="468593901">
      <w:marLeft w:val="0"/>
      <w:marRight w:val="0"/>
      <w:marTop w:val="0"/>
      <w:marBottom w:val="0"/>
      <w:divBdr>
        <w:top w:val="none" w:sz="0" w:space="0" w:color="auto"/>
        <w:left w:val="none" w:sz="0" w:space="0" w:color="auto"/>
        <w:bottom w:val="none" w:sz="0" w:space="0" w:color="auto"/>
        <w:right w:val="none" w:sz="0" w:space="0" w:color="auto"/>
      </w:divBdr>
    </w:div>
    <w:div w:id="480390986">
      <w:marLeft w:val="0"/>
      <w:marRight w:val="0"/>
      <w:marTop w:val="0"/>
      <w:marBottom w:val="0"/>
      <w:divBdr>
        <w:top w:val="none" w:sz="0" w:space="0" w:color="auto"/>
        <w:left w:val="none" w:sz="0" w:space="0" w:color="auto"/>
        <w:bottom w:val="none" w:sz="0" w:space="0" w:color="auto"/>
        <w:right w:val="none" w:sz="0" w:space="0" w:color="auto"/>
      </w:divBdr>
    </w:div>
    <w:div w:id="494882268">
      <w:marLeft w:val="0"/>
      <w:marRight w:val="0"/>
      <w:marTop w:val="0"/>
      <w:marBottom w:val="0"/>
      <w:divBdr>
        <w:top w:val="none" w:sz="0" w:space="0" w:color="auto"/>
        <w:left w:val="none" w:sz="0" w:space="0" w:color="auto"/>
        <w:bottom w:val="none" w:sz="0" w:space="0" w:color="auto"/>
        <w:right w:val="none" w:sz="0" w:space="0" w:color="auto"/>
      </w:divBdr>
    </w:div>
    <w:div w:id="497110606">
      <w:marLeft w:val="0"/>
      <w:marRight w:val="0"/>
      <w:marTop w:val="0"/>
      <w:marBottom w:val="0"/>
      <w:divBdr>
        <w:top w:val="none" w:sz="0" w:space="0" w:color="auto"/>
        <w:left w:val="none" w:sz="0" w:space="0" w:color="auto"/>
        <w:bottom w:val="none" w:sz="0" w:space="0" w:color="auto"/>
        <w:right w:val="none" w:sz="0" w:space="0" w:color="auto"/>
      </w:divBdr>
    </w:div>
    <w:div w:id="507133514">
      <w:marLeft w:val="0"/>
      <w:marRight w:val="0"/>
      <w:marTop w:val="0"/>
      <w:marBottom w:val="0"/>
      <w:divBdr>
        <w:top w:val="none" w:sz="0" w:space="0" w:color="auto"/>
        <w:left w:val="none" w:sz="0" w:space="0" w:color="auto"/>
        <w:bottom w:val="none" w:sz="0" w:space="0" w:color="auto"/>
        <w:right w:val="none" w:sz="0" w:space="0" w:color="auto"/>
      </w:divBdr>
    </w:div>
    <w:div w:id="510609956">
      <w:marLeft w:val="0"/>
      <w:marRight w:val="0"/>
      <w:marTop w:val="0"/>
      <w:marBottom w:val="0"/>
      <w:divBdr>
        <w:top w:val="none" w:sz="0" w:space="0" w:color="auto"/>
        <w:left w:val="none" w:sz="0" w:space="0" w:color="auto"/>
        <w:bottom w:val="none" w:sz="0" w:space="0" w:color="auto"/>
        <w:right w:val="none" w:sz="0" w:space="0" w:color="auto"/>
      </w:divBdr>
    </w:div>
    <w:div w:id="561256887">
      <w:marLeft w:val="0"/>
      <w:marRight w:val="0"/>
      <w:marTop w:val="0"/>
      <w:marBottom w:val="0"/>
      <w:divBdr>
        <w:top w:val="none" w:sz="0" w:space="0" w:color="auto"/>
        <w:left w:val="none" w:sz="0" w:space="0" w:color="auto"/>
        <w:bottom w:val="none" w:sz="0" w:space="0" w:color="auto"/>
        <w:right w:val="none" w:sz="0" w:space="0" w:color="auto"/>
      </w:divBdr>
    </w:div>
    <w:div w:id="583298986">
      <w:marLeft w:val="0"/>
      <w:marRight w:val="0"/>
      <w:marTop w:val="0"/>
      <w:marBottom w:val="0"/>
      <w:divBdr>
        <w:top w:val="none" w:sz="0" w:space="0" w:color="auto"/>
        <w:left w:val="none" w:sz="0" w:space="0" w:color="auto"/>
        <w:bottom w:val="none" w:sz="0" w:space="0" w:color="auto"/>
        <w:right w:val="none" w:sz="0" w:space="0" w:color="auto"/>
      </w:divBdr>
    </w:div>
    <w:div w:id="595552478">
      <w:marLeft w:val="0"/>
      <w:marRight w:val="0"/>
      <w:marTop w:val="0"/>
      <w:marBottom w:val="0"/>
      <w:divBdr>
        <w:top w:val="none" w:sz="0" w:space="0" w:color="auto"/>
        <w:left w:val="none" w:sz="0" w:space="0" w:color="auto"/>
        <w:bottom w:val="none" w:sz="0" w:space="0" w:color="auto"/>
        <w:right w:val="none" w:sz="0" w:space="0" w:color="auto"/>
      </w:divBdr>
    </w:div>
    <w:div w:id="628441174">
      <w:marLeft w:val="0"/>
      <w:marRight w:val="0"/>
      <w:marTop w:val="0"/>
      <w:marBottom w:val="0"/>
      <w:divBdr>
        <w:top w:val="none" w:sz="0" w:space="0" w:color="auto"/>
        <w:left w:val="none" w:sz="0" w:space="0" w:color="auto"/>
        <w:bottom w:val="none" w:sz="0" w:space="0" w:color="auto"/>
        <w:right w:val="none" w:sz="0" w:space="0" w:color="auto"/>
      </w:divBdr>
    </w:div>
    <w:div w:id="632754524">
      <w:marLeft w:val="0"/>
      <w:marRight w:val="0"/>
      <w:marTop w:val="0"/>
      <w:marBottom w:val="0"/>
      <w:divBdr>
        <w:top w:val="none" w:sz="0" w:space="0" w:color="auto"/>
        <w:left w:val="none" w:sz="0" w:space="0" w:color="auto"/>
        <w:bottom w:val="none" w:sz="0" w:space="0" w:color="auto"/>
        <w:right w:val="none" w:sz="0" w:space="0" w:color="auto"/>
      </w:divBdr>
    </w:div>
    <w:div w:id="637689222">
      <w:marLeft w:val="0"/>
      <w:marRight w:val="0"/>
      <w:marTop w:val="0"/>
      <w:marBottom w:val="0"/>
      <w:divBdr>
        <w:top w:val="none" w:sz="0" w:space="0" w:color="auto"/>
        <w:left w:val="none" w:sz="0" w:space="0" w:color="auto"/>
        <w:bottom w:val="none" w:sz="0" w:space="0" w:color="auto"/>
        <w:right w:val="none" w:sz="0" w:space="0" w:color="auto"/>
      </w:divBdr>
    </w:div>
    <w:div w:id="641815160">
      <w:marLeft w:val="0"/>
      <w:marRight w:val="0"/>
      <w:marTop w:val="0"/>
      <w:marBottom w:val="0"/>
      <w:divBdr>
        <w:top w:val="none" w:sz="0" w:space="0" w:color="auto"/>
        <w:left w:val="none" w:sz="0" w:space="0" w:color="auto"/>
        <w:bottom w:val="none" w:sz="0" w:space="0" w:color="auto"/>
        <w:right w:val="none" w:sz="0" w:space="0" w:color="auto"/>
      </w:divBdr>
    </w:div>
    <w:div w:id="650983815">
      <w:marLeft w:val="0"/>
      <w:marRight w:val="0"/>
      <w:marTop w:val="0"/>
      <w:marBottom w:val="0"/>
      <w:divBdr>
        <w:top w:val="none" w:sz="0" w:space="0" w:color="auto"/>
        <w:left w:val="none" w:sz="0" w:space="0" w:color="auto"/>
        <w:bottom w:val="none" w:sz="0" w:space="0" w:color="auto"/>
        <w:right w:val="none" w:sz="0" w:space="0" w:color="auto"/>
      </w:divBdr>
    </w:div>
    <w:div w:id="654072049">
      <w:marLeft w:val="0"/>
      <w:marRight w:val="0"/>
      <w:marTop w:val="0"/>
      <w:marBottom w:val="0"/>
      <w:divBdr>
        <w:top w:val="none" w:sz="0" w:space="0" w:color="auto"/>
        <w:left w:val="none" w:sz="0" w:space="0" w:color="auto"/>
        <w:bottom w:val="none" w:sz="0" w:space="0" w:color="auto"/>
        <w:right w:val="none" w:sz="0" w:space="0" w:color="auto"/>
      </w:divBdr>
    </w:div>
    <w:div w:id="657417831">
      <w:marLeft w:val="0"/>
      <w:marRight w:val="0"/>
      <w:marTop w:val="0"/>
      <w:marBottom w:val="0"/>
      <w:divBdr>
        <w:top w:val="none" w:sz="0" w:space="0" w:color="auto"/>
        <w:left w:val="none" w:sz="0" w:space="0" w:color="auto"/>
        <w:bottom w:val="none" w:sz="0" w:space="0" w:color="auto"/>
        <w:right w:val="none" w:sz="0" w:space="0" w:color="auto"/>
      </w:divBdr>
    </w:div>
    <w:div w:id="687096016">
      <w:marLeft w:val="0"/>
      <w:marRight w:val="0"/>
      <w:marTop w:val="0"/>
      <w:marBottom w:val="0"/>
      <w:divBdr>
        <w:top w:val="none" w:sz="0" w:space="0" w:color="auto"/>
        <w:left w:val="none" w:sz="0" w:space="0" w:color="auto"/>
        <w:bottom w:val="none" w:sz="0" w:space="0" w:color="auto"/>
        <w:right w:val="none" w:sz="0" w:space="0" w:color="auto"/>
      </w:divBdr>
    </w:div>
    <w:div w:id="688022604">
      <w:marLeft w:val="0"/>
      <w:marRight w:val="0"/>
      <w:marTop w:val="0"/>
      <w:marBottom w:val="0"/>
      <w:divBdr>
        <w:top w:val="none" w:sz="0" w:space="0" w:color="auto"/>
        <w:left w:val="none" w:sz="0" w:space="0" w:color="auto"/>
        <w:bottom w:val="none" w:sz="0" w:space="0" w:color="auto"/>
        <w:right w:val="none" w:sz="0" w:space="0" w:color="auto"/>
      </w:divBdr>
    </w:div>
    <w:div w:id="708336048">
      <w:marLeft w:val="0"/>
      <w:marRight w:val="0"/>
      <w:marTop w:val="0"/>
      <w:marBottom w:val="0"/>
      <w:divBdr>
        <w:top w:val="none" w:sz="0" w:space="0" w:color="auto"/>
        <w:left w:val="none" w:sz="0" w:space="0" w:color="auto"/>
        <w:bottom w:val="none" w:sz="0" w:space="0" w:color="auto"/>
        <w:right w:val="none" w:sz="0" w:space="0" w:color="auto"/>
      </w:divBdr>
    </w:div>
    <w:div w:id="720252538">
      <w:marLeft w:val="0"/>
      <w:marRight w:val="0"/>
      <w:marTop w:val="0"/>
      <w:marBottom w:val="0"/>
      <w:divBdr>
        <w:top w:val="none" w:sz="0" w:space="0" w:color="auto"/>
        <w:left w:val="none" w:sz="0" w:space="0" w:color="auto"/>
        <w:bottom w:val="none" w:sz="0" w:space="0" w:color="auto"/>
        <w:right w:val="none" w:sz="0" w:space="0" w:color="auto"/>
      </w:divBdr>
    </w:div>
    <w:div w:id="727147299">
      <w:marLeft w:val="0"/>
      <w:marRight w:val="0"/>
      <w:marTop w:val="0"/>
      <w:marBottom w:val="0"/>
      <w:divBdr>
        <w:top w:val="none" w:sz="0" w:space="0" w:color="auto"/>
        <w:left w:val="none" w:sz="0" w:space="0" w:color="auto"/>
        <w:bottom w:val="none" w:sz="0" w:space="0" w:color="auto"/>
        <w:right w:val="none" w:sz="0" w:space="0" w:color="auto"/>
      </w:divBdr>
    </w:div>
    <w:div w:id="734857938">
      <w:marLeft w:val="0"/>
      <w:marRight w:val="0"/>
      <w:marTop w:val="0"/>
      <w:marBottom w:val="0"/>
      <w:divBdr>
        <w:top w:val="none" w:sz="0" w:space="0" w:color="auto"/>
        <w:left w:val="none" w:sz="0" w:space="0" w:color="auto"/>
        <w:bottom w:val="none" w:sz="0" w:space="0" w:color="auto"/>
        <w:right w:val="none" w:sz="0" w:space="0" w:color="auto"/>
      </w:divBdr>
    </w:div>
    <w:div w:id="752746997">
      <w:marLeft w:val="0"/>
      <w:marRight w:val="0"/>
      <w:marTop w:val="0"/>
      <w:marBottom w:val="0"/>
      <w:divBdr>
        <w:top w:val="none" w:sz="0" w:space="0" w:color="auto"/>
        <w:left w:val="none" w:sz="0" w:space="0" w:color="auto"/>
        <w:bottom w:val="none" w:sz="0" w:space="0" w:color="auto"/>
        <w:right w:val="none" w:sz="0" w:space="0" w:color="auto"/>
      </w:divBdr>
    </w:div>
    <w:div w:id="764424593">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61912">
      <w:marLeft w:val="0"/>
      <w:marRight w:val="0"/>
      <w:marTop w:val="0"/>
      <w:marBottom w:val="0"/>
      <w:divBdr>
        <w:top w:val="none" w:sz="0" w:space="0" w:color="auto"/>
        <w:left w:val="none" w:sz="0" w:space="0" w:color="auto"/>
        <w:bottom w:val="none" w:sz="0" w:space="0" w:color="auto"/>
        <w:right w:val="none" w:sz="0" w:space="0" w:color="auto"/>
      </w:divBdr>
    </w:div>
    <w:div w:id="803350670">
      <w:marLeft w:val="0"/>
      <w:marRight w:val="0"/>
      <w:marTop w:val="0"/>
      <w:marBottom w:val="0"/>
      <w:divBdr>
        <w:top w:val="none" w:sz="0" w:space="0" w:color="auto"/>
        <w:left w:val="none" w:sz="0" w:space="0" w:color="auto"/>
        <w:bottom w:val="none" w:sz="0" w:space="0" w:color="auto"/>
        <w:right w:val="none" w:sz="0" w:space="0" w:color="auto"/>
      </w:divBdr>
    </w:div>
    <w:div w:id="812408801">
      <w:marLeft w:val="0"/>
      <w:marRight w:val="0"/>
      <w:marTop w:val="0"/>
      <w:marBottom w:val="0"/>
      <w:divBdr>
        <w:top w:val="none" w:sz="0" w:space="0" w:color="auto"/>
        <w:left w:val="none" w:sz="0" w:space="0" w:color="auto"/>
        <w:bottom w:val="none" w:sz="0" w:space="0" w:color="auto"/>
        <w:right w:val="none" w:sz="0" w:space="0" w:color="auto"/>
      </w:divBdr>
    </w:div>
    <w:div w:id="828599418">
      <w:marLeft w:val="0"/>
      <w:marRight w:val="0"/>
      <w:marTop w:val="0"/>
      <w:marBottom w:val="0"/>
      <w:divBdr>
        <w:top w:val="none" w:sz="0" w:space="0" w:color="auto"/>
        <w:left w:val="none" w:sz="0" w:space="0" w:color="auto"/>
        <w:bottom w:val="none" w:sz="0" w:space="0" w:color="auto"/>
        <w:right w:val="none" w:sz="0" w:space="0" w:color="auto"/>
      </w:divBdr>
    </w:div>
    <w:div w:id="833496966">
      <w:marLeft w:val="0"/>
      <w:marRight w:val="0"/>
      <w:marTop w:val="0"/>
      <w:marBottom w:val="0"/>
      <w:divBdr>
        <w:top w:val="none" w:sz="0" w:space="0" w:color="auto"/>
        <w:left w:val="none" w:sz="0" w:space="0" w:color="auto"/>
        <w:bottom w:val="none" w:sz="0" w:space="0" w:color="auto"/>
        <w:right w:val="none" w:sz="0" w:space="0" w:color="auto"/>
      </w:divBdr>
    </w:div>
    <w:div w:id="857044932">
      <w:marLeft w:val="0"/>
      <w:marRight w:val="0"/>
      <w:marTop w:val="0"/>
      <w:marBottom w:val="0"/>
      <w:divBdr>
        <w:top w:val="none" w:sz="0" w:space="0" w:color="auto"/>
        <w:left w:val="none" w:sz="0" w:space="0" w:color="auto"/>
        <w:bottom w:val="none" w:sz="0" w:space="0" w:color="auto"/>
        <w:right w:val="none" w:sz="0" w:space="0" w:color="auto"/>
      </w:divBdr>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3814526">
      <w:marLeft w:val="0"/>
      <w:marRight w:val="0"/>
      <w:marTop w:val="0"/>
      <w:marBottom w:val="0"/>
      <w:divBdr>
        <w:top w:val="none" w:sz="0" w:space="0" w:color="auto"/>
        <w:left w:val="none" w:sz="0" w:space="0" w:color="auto"/>
        <w:bottom w:val="none" w:sz="0" w:space="0" w:color="auto"/>
        <w:right w:val="none" w:sz="0" w:space="0" w:color="auto"/>
      </w:divBdr>
    </w:div>
    <w:div w:id="882643302">
      <w:marLeft w:val="0"/>
      <w:marRight w:val="0"/>
      <w:marTop w:val="0"/>
      <w:marBottom w:val="0"/>
      <w:divBdr>
        <w:top w:val="none" w:sz="0" w:space="0" w:color="auto"/>
        <w:left w:val="none" w:sz="0" w:space="0" w:color="auto"/>
        <w:bottom w:val="none" w:sz="0" w:space="0" w:color="auto"/>
        <w:right w:val="none" w:sz="0" w:space="0" w:color="auto"/>
      </w:divBdr>
    </w:div>
    <w:div w:id="905647427">
      <w:marLeft w:val="0"/>
      <w:marRight w:val="0"/>
      <w:marTop w:val="0"/>
      <w:marBottom w:val="0"/>
      <w:divBdr>
        <w:top w:val="none" w:sz="0" w:space="0" w:color="auto"/>
        <w:left w:val="none" w:sz="0" w:space="0" w:color="auto"/>
        <w:bottom w:val="none" w:sz="0" w:space="0" w:color="auto"/>
        <w:right w:val="none" w:sz="0" w:space="0" w:color="auto"/>
      </w:divBdr>
    </w:div>
    <w:div w:id="908344180">
      <w:marLeft w:val="0"/>
      <w:marRight w:val="0"/>
      <w:marTop w:val="0"/>
      <w:marBottom w:val="0"/>
      <w:divBdr>
        <w:top w:val="none" w:sz="0" w:space="0" w:color="auto"/>
        <w:left w:val="none" w:sz="0" w:space="0" w:color="auto"/>
        <w:bottom w:val="none" w:sz="0" w:space="0" w:color="auto"/>
        <w:right w:val="none" w:sz="0" w:space="0" w:color="auto"/>
      </w:divBdr>
    </w:div>
    <w:div w:id="910579724">
      <w:marLeft w:val="0"/>
      <w:marRight w:val="0"/>
      <w:marTop w:val="0"/>
      <w:marBottom w:val="0"/>
      <w:divBdr>
        <w:top w:val="none" w:sz="0" w:space="0" w:color="auto"/>
        <w:left w:val="none" w:sz="0" w:space="0" w:color="auto"/>
        <w:bottom w:val="none" w:sz="0" w:space="0" w:color="auto"/>
        <w:right w:val="none" w:sz="0" w:space="0" w:color="auto"/>
      </w:divBdr>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072696">
      <w:marLeft w:val="0"/>
      <w:marRight w:val="0"/>
      <w:marTop w:val="0"/>
      <w:marBottom w:val="0"/>
      <w:divBdr>
        <w:top w:val="none" w:sz="0" w:space="0" w:color="auto"/>
        <w:left w:val="none" w:sz="0" w:space="0" w:color="auto"/>
        <w:bottom w:val="none" w:sz="0" w:space="0" w:color="auto"/>
        <w:right w:val="none" w:sz="0" w:space="0" w:color="auto"/>
      </w:divBdr>
    </w:div>
    <w:div w:id="962806176">
      <w:marLeft w:val="0"/>
      <w:marRight w:val="0"/>
      <w:marTop w:val="0"/>
      <w:marBottom w:val="0"/>
      <w:divBdr>
        <w:top w:val="none" w:sz="0" w:space="0" w:color="auto"/>
        <w:left w:val="none" w:sz="0" w:space="0" w:color="auto"/>
        <w:bottom w:val="none" w:sz="0" w:space="0" w:color="auto"/>
        <w:right w:val="none" w:sz="0" w:space="0" w:color="auto"/>
      </w:divBdr>
    </w:div>
    <w:div w:id="991756623">
      <w:marLeft w:val="0"/>
      <w:marRight w:val="0"/>
      <w:marTop w:val="0"/>
      <w:marBottom w:val="0"/>
      <w:divBdr>
        <w:top w:val="none" w:sz="0" w:space="0" w:color="auto"/>
        <w:left w:val="none" w:sz="0" w:space="0" w:color="auto"/>
        <w:bottom w:val="none" w:sz="0" w:space="0" w:color="auto"/>
        <w:right w:val="none" w:sz="0" w:space="0" w:color="auto"/>
      </w:divBdr>
    </w:div>
    <w:div w:id="995110239">
      <w:marLeft w:val="0"/>
      <w:marRight w:val="0"/>
      <w:marTop w:val="0"/>
      <w:marBottom w:val="0"/>
      <w:divBdr>
        <w:top w:val="none" w:sz="0" w:space="0" w:color="auto"/>
        <w:left w:val="none" w:sz="0" w:space="0" w:color="auto"/>
        <w:bottom w:val="none" w:sz="0" w:space="0" w:color="auto"/>
        <w:right w:val="none" w:sz="0" w:space="0" w:color="auto"/>
      </w:divBdr>
    </w:div>
    <w:div w:id="1024945203">
      <w:marLeft w:val="0"/>
      <w:marRight w:val="0"/>
      <w:marTop w:val="0"/>
      <w:marBottom w:val="0"/>
      <w:divBdr>
        <w:top w:val="none" w:sz="0" w:space="0" w:color="auto"/>
        <w:left w:val="none" w:sz="0" w:space="0" w:color="auto"/>
        <w:bottom w:val="none" w:sz="0" w:space="0" w:color="auto"/>
        <w:right w:val="none" w:sz="0" w:space="0" w:color="auto"/>
      </w:divBdr>
    </w:div>
    <w:div w:id="1030230137">
      <w:marLeft w:val="0"/>
      <w:marRight w:val="0"/>
      <w:marTop w:val="0"/>
      <w:marBottom w:val="0"/>
      <w:divBdr>
        <w:top w:val="none" w:sz="0" w:space="0" w:color="auto"/>
        <w:left w:val="none" w:sz="0" w:space="0" w:color="auto"/>
        <w:bottom w:val="none" w:sz="0" w:space="0" w:color="auto"/>
        <w:right w:val="none" w:sz="0" w:space="0" w:color="auto"/>
      </w:divBdr>
    </w:div>
    <w:div w:id="1030767839">
      <w:marLeft w:val="0"/>
      <w:marRight w:val="0"/>
      <w:marTop w:val="0"/>
      <w:marBottom w:val="0"/>
      <w:divBdr>
        <w:top w:val="none" w:sz="0" w:space="0" w:color="auto"/>
        <w:left w:val="none" w:sz="0" w:space="0" w:color="auto"/>
        <w:bottom w:val="none" w:sz="0" w:space="0" w:color="auto"/>
        <w:right w:val="none" w:sz="0" w:space="0" w:color="auto"/>
      </w:divBdr>
    </w:div>
    <w:div w:id="1049500993">
      <w:marLeft w:val="0"/>
      <w:marRight w:val="0"/>
      <w:marTop w:val="0"/>
      <w:marBottom w:val="0"/>
      <w:divBdr>
        <w:top w:val="none" w:sz="0" w:space="0" w:color="auto"/>
        <w:left w:val="none" w:sz="0" w:space="0" w:color="auto"/>
        <w:bottom w:val="none" w:sz="0" w:space="0" w:color="auto"/>
        <w:right w:val="none" w:sz="0" w:space="0" w:color="auto"/>
      </w:divBdr>
    </w:div>
    <w:div w:id="1070151599">
      <w:marLeft w:val="0"/>
      <w:marRight w:val="0"/>
      <w:marTop w:val="0"/>
      <w:marBottom w:val="0"/>
      <w:divBdr>
        <w:top w:val="none" w:sz="0" w:space="0" w:color="auto"/>
        <w:left w:val="none" w:sz="0" w:space="0" w:color="auto"/>
        <w:bottom w:val="none" w:sz="0" w:space="0" w:color="auto"/>
        <w:right w:val="none" w:sz="0" w:space="0" w:color="auto"/>
      </w:divBdr>
    </w:div>
    <w:div w:id="1071195835">
      <w:marLeft w:val="0"/>
      <w:marRight w:val="0"/>
      <w:marTop w:val="0"/>
      <w:marBottom w:val="0"/>
      <w:divBdr>
        <w:top w:val="none" w:sz="0" w:space="0" w:color="auto"/>
        <w:left w:val="none" w:sz="0" w:space="0" w:color="auto"/>
        <w:bottom w:val="none" w:sz="0" w:space="0" w:color="auto"/>
        <w:right w:val="none" w:sz="0" w:space="0" w:color="auto"/>
      </w:divBdr>
    </w:div>
    <w:div w:id="1073504930">
      <w:marLeft w:val="0"/>
      <w:marRight w:val="0"/>
      <w:marTop w:val="0"/>
      <w:marBottom w:val="0"/>
      <w:divBdr>
        <w:top w:val="none" w:sz="0" w:space="0" w:color="auto"/>
        <w:left w:val="none" w:sz="0" w:space="0" w:color="auto"/>
        <w:bottom w:val="none" w:sz="0" w:space="0" w:color="auto"/>
        <w:right w:val="none" w:sz="0" w:space="0" w:color="auto"/>
      </w:divBdr>
    </w:div>
    <w:div w:id="1073971015">
      <w:marLeft w:val="0"/>
      <w:marRight w:val="0"/>
      <w:marTop w:val="0"/>
      <w:marBottom w:val="0"/>
      <w:divBdr>
        <w:top w:val="none" w:sz="0" w:space="0" w:color="auto"/>
        <w:left w:val="none" w:sz="0" w:space="0" w:color="auto"/>
        <w:bottom w:val="none" w:sz="0" w:space="0" w:color="auto"/>
        <w:right w:val="none" w:sz="0" w:space="0" w:color="auto"/>
      </w:divBdr>
    </w:div>
    <w:div w:id="1102795487">
      <w:marLeft w:val="0"/>
      <w:marRight w:val="0"/>
      <w:marTop w:val="0"/>
      <w:marBottom w:val="0"/>
      <w:divBdr>
        <w:top w:val="none" w:sz="0" w:space="0" w:color="auto"/>
        <w:left w:val="none" w:sz="0" w:space="0" w:color="auto"/>
        <w:bottom w:val="none" w:sz="0" w:space="0" w:color="auto"/>
        <w:right w:val="none" w:sz="0" w:space="0" w:color="auto"/>
      </w:divBdr>
    </w:div>
    <w:div w:id="1127892455">
      <w:marLeft w:val="0"/>
      <w:marRight w:val="0"/>
      <w:marTop w:val="0"/>
      <w:marBottom w:val="0"/>
      <w:divBdr>
        <w:top w:val="none" w:sz="0" w:space="0" w:color="auto"/>
        <w:left w:val="none" w:sz="0" w:space="0" w:color="auto"/>
        <w:bottom w:val="none" w:sz="0" w:space="0" w:color="auto"/>
        <w:right w:val="none" w:sz="0" w:space="0" w:color="auto"/>
      </w:divBdr>
    </w:div>
    <w:div w:id="1133134690">
      <w:marLeft w:val="0"/>
      <w:marRight w:val="0"/>
      <w:marTop w:val="0"/>
      <w:marBottom w:val="0"/>
      <w:divBdr>
        <w:top w:val="none" w:sz="0" w:space="0" w:color="auto"/>
        <w:left w:val="none" w:sz="0" w:space="0" w:color="auto"/>
        <w:bottom w:val="none" w:sz="0" w:space="0" w:color="auto"/>
        <w:right w:val="none" w:sz="0" w:space="0" w:color="auto"/>
      </w:divBdr>
    </w:div>
    <w:div w:id="1151290104">
      <w:marLeft w:val="0"/>
      <w:marRight w:val="0"/>
      <w:marTop w:val="0"/>
      <w:marBottom w:val="0"/>
      <w:divBdr>
        <w:top w:val="none" w:sz="0" w:space="0" w:color="auto"/>
        <w:left w:val="none" w:sz="0" w:space="0" w:color="auto"/>
        <w:bottom w:val="none" w:sz="0" w:space="0" w:color="auto"/>
        <w:right w:val="none" w:sz="0" w:space="0" w:color="auto"/>
      </w:divBdr>
    </w:div>
    <w:div w:id="1155608956">
      <w:marLeft w:val="0"/>
      <w:marRight w:val="0"/>
      <w:marTop w:val="0"/>
      <w:marBottom w:val="0"/>
      <w:divBdr>
        <w:top w:val="none" w:sz="0" w:space="0" w:color="auto"/>
        <w:left w:val="none" w:sz="0" w:space="0" w:color="auto"/>
        <w:bottom w:val="none" w:sz="0" w:space="0" w:color="auto"/>
        <w:right w:val="none" w:sz="0" w:space="0" w:color="auto"/>
      </w:divBdr>
    </w:div>
    <w:div w:id="1156605133">
      <w:marLeft w:val="0"/>
      <w:marRight w:val="0"/>
      <w:marTop w:val="0"/>
      <w:marBottom w:val="0"/>
      <w:divBdr>
        <w:top w:val="none" w:sz="0" w:space="0" w:color="auto"/>
        <w:left w:val="none" w:sz="0" w:space="0" w:color="auto"/>
        <w:bottom w:val="none" w:sz="0" w:space="0" w:color="auto"/>
        <w:right w:val="none" w:sz="0" w:space="0" w:color="auto"/>
      </w:divBdr>
    </w:div>
    <w:div w:id="1161698780">
      <w:marLeft w:val="0"/>
      <w:marRight w:val="0"/>
      <w:marTop w:val="0"/>
      <w:marBottom w:val="0"/>
      <w:divBdr>
        <w:top w:val="none" w:sz="0" w:space="0" w:color="auto"/>
        <w:left w:val="none" w:sz="0" w:space="0" w:color="auto"/>
        <w:bottom w:val="none" w:sz="0" w:space="0" w:color="auto"/>
        <w:right w:val="none" w:sz="0" w:space="0" w:color="auto"/>
      </w:divBdr>
    </w:div>
    <w:div w:id="1190413022">
      <w:marLeft w:val="0"/>
      <w:marRight w:val="0"/>
      <w:marTop w:val="0"/>
      <w:marBottom w:val="0"/>
      <w:divBdr>
        <w:top w:val="none" w:sz="0" w:space="0" w:color="auto"/>
        <w:left w:val="none" w:sz="0" w:space="0" w:color="auto"/>
        <w:bottom w:val="none" w:sz="0" w:space="0" w:color="auto"/>
        <w:right w:val="none" w:sz="0" w:space="0" w:color="auto"/>
      </w:divBdr>
    </w:div>
    <w:div w:id="1193495711">
      <w:marLeft w:val="0"/>
      <w:marRight w:val="0"/>
      <w:marTop w:val="0"/>
      <w:marBottom w:val="0"/>
      <w:divBdr>
        <w:top w:val="none" w:sz="0" w:space="0" w:color="auto"/>
        <w:left w:val="none" w:sz="0" w:space="0" w:color="auto"/>
        <w:bottom w:val="none" w:sz="0" w:space="0" w:color="auto"/>
        <w:right w:val="none" w:sz="0" w:space="0" w:color="auto"/>
      </w:divBdr>
    </w:div>
    <w:div w:id="1209074599">
      <w:marLeft w:val="0"/>
      <w:marRight w:val="0"/>
      <w:marTop w:val="0"/>
      <w:marBottom w:val="0"/>
      <w:divBdr>
        <w:top w:val="none" w:sz="0" w:space="0" w:color="auto"/>
        <w:left w:val="none" w:sz="0" w:space="0" w:color="auto"/>
        <w:bottom w:val="none" w:sz="0" w:space="0" w:color="auto"/>
        <w:right w:val="none" w:sz="0" w:space="0" w:color="auto"/>
      </w:divBdr>
    </w:div>
    <w:div w:id="1212955884">
      <w:marLeft w:val="0"/>
      <w:marRight w:val="0"/>
      <w:marTop w:val="0"/>
      <w:marBottom w:val="0"/>
      <w:divBdr>
        <w:top w:val="none" w:sz="0" w:space="0" w:color="auto"/>
        <w:left w:val="none" w:sz="0" w:space="0" w:color="auto"/>
        <w:bottom w:val="none" w:sz="0" w:space="0" w:color="auto"/>
        <w:right w:val="none" w:sz="0" w:space="0" w:color="auto"/>
      </w:divBdr>
    </w:div>
    <w:div w:id="1232037956">
      <w:marLeft w:val="0"/>
      <w:marRight w:val="0"/>
      <w:marTop w:val="0"/>
      <w:marBottom w:val="0"/>
      <w:divBdr>
        <w:top w:val="none" w:sz="0" w:space="0" w:color="auto"/>
        <w:left w:val="none" w:sz="0" w:space="0" w:color="auto"/>
        <w:bottom w:val="none" w:sz="0" w:space="0" w:color="auto"/>
        <w:right w:val="none" w:sz="0" w:space="0" w:color="auto"/>
      </w:divBdr>
    </w:div>
    <w:div w:id="1272012471">
      <w:marLeft w:val="0"/>
      <w:marRight w:val="0"/>
      <w:marTop w:val="0"/>
      <w:marBottom w:val="0"/>
      <w:divBdr>
        <w:top w:val="none" w:sz="0" w:space="0" w:color="auto"/>
        <w:left w:val="none" w:sz="0" w:space="0" w:color="auto"/>
        <w:bottom w:val="none" w:sz="0" w:space="0" w:color="auto"/>
        <w:right w:val="none" w:sz="0" w:space="0" w:color="auto"/>
      </w:divBdr>
    </w:div>
    <w:div w:id="1285040475">
      <w:marLeft w:val="0"/>
      <w:marRight w:val="0"/>
      <w:marTop w:val="0"/>
      <w:marBottom w:val="0"/>
      <w:divBdr>
        <w:top w:val="none" w:sz="0" w:space="0" w:color="auto"/>
        <w:left w:val="none" w:sz="0" w:space="0" w:color="auto"/>
        <w:bottom w:val="none" w:sz="0" w:space="0" w:color="auto"/>
        <w:right w:val="none" w:sz="0" w:space="0" w:color="auto"/>
      </w:divBdr>
    </w:div>
    <w:div w:id="1286698111">
      <w:marLeft w:val="0"/>
      <w:marRight w:val="0"/>
      <w:marTop w:val="0"/>
      <w:marBottom w:val="0"/>
      <w:divBdr>
        <w:top w:val="none" w:sz="0" w:space="0" w:color="auto"/>
        <w:left w:val="none" w:sz="0" w:space="0" w:color="auto"/>
        <w:bottom w:val="none" w:sz="0" w:space="0" w:color="auto"/>
        <w:right w:val="none" w:sz="0" w:space="0" w:color="auto"/>
      </w:divBdr>
    </w:div>
    <w:div w:id="1297881697">
      <w:marLeft w:val="0"/>
      <w:marRight w:val="0"/>
      <w:marTop w:val="0"/>
      <w:marBottom w:val="0"/>
      <w:divBdr>
        <w:top w:val="none" w:sz="0" w:space="0" w:color="auto"/>
        <w:left w:val="none" w:sz="0" w:space="0" w:color="auto"/>
        <w:bottom w:val="none" w:sz="0" w:space="0" w:color="auto"/>
        <w:right w:val="none" w:sz="0" w:space="0" w:color="auto"/>
      </w:divBdr>
    </w:div>
    <w:div w:id="1311595439">
      <w:marLeft w:val="0"/>
      <w:marRight w:val="0"/>
      <w:marTop w:val="0"/>
      <w:marBottom w:val="0"/>
      <w:divBdr>
        <w:top w:val="none" w:sz="0" w:space="0" w:color="auto"/>
        <w:left w:val="none" w:sz="0" w:space="0" w:color="auto"/>
        <w:bottom w:val="none" w:sz="0" w:space="0" w:color="auto"/>
        <w:right w:val="none" w:sz="0" w:space="0" w:color="auto"/>
      </w:divBdr>
    </w:div>
    <w:div w:id="1312709131">
      <w:marLeft w:val="0"/>
      <w:marRight w:val="0"/>
      <w:marTop w:val="0"/>
      <w:marBottom w:val="0"/>
      <w:divBdr>
        <w:top w:val="none" w:sz="0" w:space="0" w:color="auto"/>
        <w:left w:val="none" w:sz="0" w:space="0" w:color="auto"/>
        <w:bottom w:val="none" w:sz="0" w:space="0" w:color="auto"/>
        <w:right w:val="none" w:sz="0" w:space="0" w:color="auto"/>
      </w:divBdr>
    </w:div>
    <w:div w:id="1333681295">
      <w:bodyDiv w:val="1"/>
      <w:marLeft w:val="0"/>
      <w:marRight w:val="0"/>
      <w:marTop w:val="0"/>
      <w:marBottom w:val="0"/>
      <w:divBdr>
        <w:top w:val="none" w:sz="0" w:space="0" w:color="auto"/>
        <w:left w:val="none" w:sz="0" w:space="0" w:color="auto"/>
        <w:bottom w:val="none" w:sz="0" w:space="0" w:color="auto"/>
        <w:right w:val="none" w:sz="0" w:space="0" w:color="auto"/>
      </w:divBdr>
    </w:div>
    <w:div w:id="1366783709">
      <w:marLeft w:val="0"/>
      <w:marRight w:val="0"/>
      <w:marTop w:val="0"/>
      <w:marBottom w:val="0"/>
      <w:divBdr>
        <w:top w:val="none" w:sz="0" w:space="0" w:color="auto"/>
        <w:left w:val="none" w:sz="0" w:space="0" w:color="auto"/>
        <w:bottom w:val="none" w:sz="0" w:space="0" w:color="auto"/>
        <w:right w:val="none" w:sz="0" w:space="0" w:color="auto"/>
      </w:divBdr>
    </w:div>
    <w:div w:id="1411124020">
      <w:marLeft w:val="0"/>
      <w:marRight w:val="0"/>
      <w:marTop w:val="0"/>
      <w:marBottom w:val="0"/>
      <w:divBdr>
        <w:top w:val="none" w:sz="0" w:space="0" w:color="auto"/>
        <w:left w:val="none" w:sz="0" w:space="0" w:color="auto"/>
        <w:bottom w:val="none" w:sz="0" w:space="0" w:color="auto"/>
        <w:right w:val="none" w:sz="0" w:space="0" w:color="auto"/>
      </w:divBdr>
    </w:div>
    <w:div w:id="141350767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29696194">
      <w:marLeft w:val="0"/>
      <w:marRight w:val="0"/>
      <w:marTop w:val="0"/>
      <w:marBottom w:val="0"/>
      <w:divBdr>
        <w:top w:val="none" w:sz="0" w:space="0" w:color="auto"/>
        <w:left w:val="none" w:sz="0" w:space="0" w:color="auto"/>
        <w:bottom w:val="none" w:sz="0" w:space="0" w:color="auto"/>
        <w:right w:val="none" w:sz="0" w:space="0" w:color="auto"/>
      </w:divBdr>
    </w:div>
    <w:div w:id="1434012723">
      <w:marLeft w:val="0"/>
      <w:marRight w:val="0"/>
      <w:marTop w:val="0"/>
      <w:marBottom w:val="0"/>
      <w:divBdr>
        <w:top w:val="none" w:sz="0" w:space="0" w:color="auto"/>
        <w:left w:val="none" w:sz="0" w:space="0" w:color="auto"/>
        <w:bottom w:val="none" w:sz="0" w:space="0" w:color="auto"/>
        <w:right w:val="none" w:sz="0" w:space="0" w:color="auto"/>
      </w:divBdr>
    </w:div>
    <w:div w:id="1442265985">
      <w:marLeft w:val="0"/>
      <w:marRight w:val="0"/>
      <w:marTop w:val="0"/>
      <w:marBottom w:val="0"/>
      <w:divBdr>
        <w:top w:val="none" w:sz="0" w:space="0" w:color="auto"/>
        <w:left w:val="none" w:sz="0" w:space="0" w:color="auto"/>
        <w:bottom w:val="none" w:sz="0" w:space="0" w:color="auto"/>
        <w:right w:val="none" w:sz="0" w:space="0" w:color="auto"/>
      </w:divBdr>
    </w:div>
    <w:div w:id="1448312229">
      <w:marLeft w:val="0"/>
      <w:marRight w:val="0"/>
      <w:marTop w:val="0"/>
      <w:marBottom w:val="0"/>
      <w:divBdr>
        <w:top w:val="none" w:sz="0" w:space="0" w:color="auto"/>
        <w:left w:val="none" w:sz="0" w:space="0" w:color="auto"/>
        <w:bottom w:val="none" w:sz="0" w:space="0" w:color="auto"/>
        <w:right w:val="none" w:sz="0" w:space="0" w:color="auto"/>
      </w:divBdr>
    </w:div>
    <w:div w:id="1467042490">
      <w:marLeft w:val="0"/>
      <w:marRight w:val="0"/>
      <w:marTop w:val="0"/>
      <w:marBottom w:val="0"/>
      <w:divBdr>
        <w:top w:val="none" w:sz="0" w:space="0" w:color="auto"/>
        <w:left w:val="none" w:sz="0" w:space="0" w:color="auto"/>
        <w:bottom w:val="none" w:sz="0" w:space="0" w:color="auto"/>
        <w:right w:val="none" w:sz="0" w:space="0" w:color="auto"/>
      </w:divBdr>
    </w:div>
    <w:div w:id="148265334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497912766">
      <w:marLeft w:val="0"/>
      <w:marRight w:val="0"/>
      <w:marTop w:val="0"/>
      <w:marBottom w:val="0"/>
      <w:divBdr>
        <w:top w:val="none" w:sz="0" w:space="0" w:color="auto"/>
        <w:left w:val="none" w:sz="0" w:space="0" w:color="auto"/>
        <w:bottom w:val="none" w:sz="0" w:space="0" w:color="auto"/>
        <w:right w:val="none" w:sz="0" w:space="0" w:color="auto"/>
      </w:divBdr>
    </w:div>
    <w:div w:id="1527213475">
      <w:marLeft w:val="0"/>
      <w:marRight w:val="0"/>
      <w:marTop w:val="0"/>
      <w:marBottom w:val="0"/>
      <w:divBdr>
        <w:top w:val="none" w:sz="0" w:space="0" w:color="auto"/>
        <w:left w:val="none" w:sz="0" w:space="0" w:color="auto"/>
        <w:bottom w:val="none" w:sz="0" w:space="0" w:color="auto"/>
        <w:right w:val="none" w:sz="0" w:space="0" w:color="auto"/>
      </w:divBdr>
    </w:div>
    <w:div w:id="1548644534">
      <w:marLeft w:val="0"/>
      <w:marRight w:val="0"/>
      <w:marTop w:val="0"/>
      <w:marBottom w:val="0"/>
      <w:divBdr>
        <w:top w:val="none" w:sz="0" w:space="0" w:color="auto"/>
        <w:left w:val="none" w:sz="0" w:space="0" w:color="auto"/>
        <w:bottom w:val="none" w:sz="0" w:space="0" w:color="auto"/>
        <w:right w:val="none" w:sz="0" w:space="0" w:color="auto"/>
      </w:divBdr>
    </w:div>
    <w:div w:id="1587031770">
      <w:marLeft w:val="0"/>
      <w:marRight w:val="0"/>
      <w:marTop w:val="0"/>
      <w:marBottom w:val="0"/>
      <w:divBdr>
        <w:top w:val="none" w:sz="0" w:space="0" w:color="auto"/>
        <w:left w:val="none" w:sz="0" w:space="0" w:color="auto"/>
        <w:bottom w:val="none" w:sz="0" w:space="0" w:color="auto"/>
        <w:right w:val="none" w:sz="0" w:space="0" w:color="auto"/>
      </w:divBdr>
    </w:div>
    <w:div w:id="1595241064">
      <w:marLeft w:val="0"/>
      <w:marRight w:val="0"/>
      <w:marTop w:val="0"/>
      <w:marBottom w:val="0"/>
      <w:divBdr>
        <w:top w:val="none" w:sz="0" w:space="0" w:color="auto"/>
        <w:left w:val="none" w:sz="0" w:space="0" w:color="auto"/>
        <w:bottom w:val="none" w:sz="0" w:space="0" w:color="auto"/>
        <w:right w:val="none" w:sz="0" w:space="0" w:color="auto"/>
      </w:divBdr>
    </w:div>
    <w:div w:id="1595629438">
      <w:marLeft w:val="0"/>
      <w:marRight w:val="0"/>
      <w:marTop w:val="0"/>
      <w:marBottom w:val="0"/>
      <w:divBdr>
        <w:top w:val="none" w:sz="0" w:space="0" w:color="auto"/>
        <w:left w:val="none" w:sz="0" w:space="0" w:color="auto"/>
        <w:bottom w:val="none" w:sz="0" w:space="0" w:color="auto"/>
        <w:right w:val="none" w:sz="0" w:space="0" w:color="auto"/>
      </w:divBdr>
    </w:div>
    <w:div w:id="1606694270">
      <w:marLeft w:val="0"/>
      <w:marRight w:val="0"/>
      <w:marTop w:val="0"/>
      <w:marBottom w:val="0"/>
      <w:divBdr>
        <w:top w:val="none" w:sz="0" w:space="0" w:color="auto"/>
        <w:left w:val="none" w:sz="0" w:space="0" w:color="auto"/>
        <w:bottom w:val="none" w:sz="0" w:space="0" w:color="auto"/>
        <w:right w:val="none" w:sz="0" w:space="0" w:color="auto"/>
      </w:divBdr>
    </w:div>
    <w:div w:id="1619989085">
      <w:marLeft w:val="0"/>
      <w:marRight w:val="0"/>
      <w:marTop w:val="0"/>
      <w:marBottom w:val="0"/>
      <w:divBdr>
        <w:top w:val="none" w:sz="0" w:space="0" w:color="auto"/>
        <w:left w:val="none" w:sz="0" w:space="0" w:color="auto"/>
        <w:bottom w:val="none" w:sz="0" w:space="0" w:color="auto"/>
        <w:right w:val="none" w:sz="0" w:space="0" w:color="auto"/>
      </w:divBdr>
    </w:div>
    <w:div w:id="1626892102">
      <w:marLeft w:val="0"/>
      <w:marRight w:val="0"/>
      <w:marTop w:val="0"/>
      <w:marBottom w:val="0"/>
      <w:divBdr>
        <w:top w:val="none" w:sz="0" w:space="0" w:color="auto"/>
        <w:left w:val="none" w:sz="0" w:space="0" w:color="auto"/>
        <w:bottom w:val="none" w:sz="0" w:space="0" w:color="auto"/>
        <w:right w:val="none" w:sz="0" w:space="0" w:color="auto"/>
      </w:divBdr>
    </w:div>
    <w:div w:id="1635524104">
      <w:marLeft w:val="0"/>
      <w:marRight w:val="0"/>
      <w:marTop w:val="0"/>
      <w:marBottom w:val="0"/>
      <w:divBdr>
        <w:top w:val="none" w:sz="0" w:space="0" w:color="auto"/>
        <w:left w:val="none" w:sz="0" w:space="0" w:color="auto"/>
        <w:bottom w:val="none" w:sz="0" w:space="0" w:color="auto"/>
        <w:right w:val="none" w:sz="0" w:space="0" w:color="auto"/>
      </w:divBdr>
    </w:div>
    <w:div w:id="1667320575">
      <w:marLeft w:val="0"/>
      <w:marRight w:val="0"/>
      <w:marTop w:val="0"/>
      <w:marBottom w:val="0"/>
      <w:divBdr>
        <w:top w:val="none" w:sz="0" w:space="0" w:color="auto"/>
        <w:left w:val="none" w:sz="0" w:space="0" w:color="auto"/>
        <w:bottom w:val="none" w:sz="0" w:space="0" w:color="auto"/>
        <w:right w:val="none" w:sz="0" w:space="0" w:color="auto"/>
      </w:divBdr>
    </w:div>
    <w:div w:id="1673754518">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367873">
      <w:marLeft w:val="0"/>
      <w:marRight w:val="0"/>
      <w:marTop w:val="0"/>
      <w:marBottom w:val="0"/>
      <w:divBdr>
        <w:top w:val="none" w:sz="0" w:space="0" w:color="auto"/>
        <w:left w:val="none" w:sz="0" w:space="0" w:color="auto"/>
        <w:bottom w:val="none" w:sz="0" w:space="0" w:color="auto"/>
        <w:right w:val="none" w:sz="0" w:space="0" w:color="auto"/>
      </w:divBdr>
    </w:div>
    <w:div w:id="1693608829">
      <w:marLeft w:val="0"/>
      <w:marRight w:val="0"/>
      <w:marTop w:val="0"/>
      <w:marBottom w:val="0"/>
      <w:divBdr>
        <w:top w:val="none" w:sz="0" w:space="0" w:color="auto"/>
        <w:left w:val="none" w:sz="0" w:space="0" w:color="auto"/>
        <w:bottom w:val="none" w:sz="0" w:space="0" w:color="auto"/>
        <w:right w:val="none" w:sz="0" w:space="0" w:color="auto"/>
      </w:divBdr>
    </w:div>
    <w:div w:id="1722901527">
      <w:marLeft w:val="0"/>
      <w:marRight w:val="0"/>
      <w:marTop w:val="0"/>
      <w:marBottom w:val="0"/>
      <w:divBdr>
        <w:top w:val="none" w:sz="0" w:space="0" w:color="auto"/>
        <w:left w:val="none" w:sz="0" w:space="0" w:color="auto"/>
        <w:bottom w:val="none" w:sz="0" w:space="0" w:color="auto"/>
        <w:right w:val="none" w:sz="0" w:space="0" w:color="auto"/>
      </w:divBdr>
    </w:div>
    <w:div w:id="1732069743">
      <w:marLeft w:val="0"/>
      <w:marRight w:val="0"/>
      <w:marTop w:val="0"/>
      <w:marBottom w:val="0"/>
      <w:divBdr>
        <w:top w:val="none" w:sz="0" w:space="0" w:color="auto"/>
        <w:left w:val="none" w:sz="0" w:space="0" w:color="auto"/>
        <w:bottom w:val="none" w:sz="0" w:space="0" w:color="auto"/>
        <w:right w:val="none" w:sz="0" w:space="0" w:color="auto"/>
      </w:divBdr>
    </w:div>
    <w:div w:id="1737631247">
      <w:marLeft w:val="0"/>
      <w:marRight w:val="0"/>
      <w:marTop w:val="0"/>
      <w:marBottom w:val="0"/>
      <w:divBdr>
        <w:top w:val="none" w:sz="0" w:space="0" w:color="auto"/>
        <w:left w:val="none" w:sz="0" w:space="0" w:color="auto"/>
        <w:bottom w:val="none" w:sz="0" w:space="0" w:color="auto"/>
        <w:right w:val="none" w:sz="0" w:space="0" w:color="auto"/>
      </w:divBdr>
    </w:div>
    <w:div w:id="1745570146">
      <w:marLeft w:val="0"/>
      <w:marRight w:val="0"/>
      <w:marTop w:val="0"/>
      <w:marBottom w:val="0"/>
      <w:divBdr>
        <w:top w:val="none" w:sz="0" w:space="0" w:color="auto"/>
        <w:left w:val="none" w:sz="0" w:space="0" w:color="auto"/>
        <w:bottom w:val="none" w:sz="0" w:space="0" w:color="auto"/>
        <w:right w:val="none" w:sz="0" w:space="0" w:color="auto"/>
      </w:divBdr>
    </w:div>
    <w:div w:id="1750302472">
      <w:marLeft w:val="0"/>
      <w:marRight w:val="0"/>
      <w:marTop w:val="0"/>
      <w:marBottom w:val="0"/>
      <w:divBdr>
        <w:top w:val="none" w:sz="0" w:space="0" w:color="auto"/>
        <w:left w:val="none" w:sz="0" w:space="0" w:color="auto"/>
        <w:bottom w:val="none" w:sz="0" w:space="0" w:color="auto"/>
        <w:right w:val="none" w:sz="0" w:space="0" w:color="auto"/>
      </w:divBdr>
    </w:div>
    <w:div w:id="1766269897">
      <w:marLeft w:val="0"/>
      <w:marRight w:val="0"/>
      <w:marTop w:val="0"/>
      <w:marBottom w:val="0"/>
      <w:divBdr>
        <w:top w:val="none" w:sz="0" w:space="0" w:color="auto"/>
        <w:left w:val="none" w:sz="0" w:space="0" w:color="auto"/>
        <w:bottom w:val="none" w:sz="0" w:space="0" w:color="auto"/>
        <w:right w:val="none" w:sz="0" w:space="0" w:color="auto"/>
      </w:divBdr>
    </w:div>
    <w:div w:id="1777561570">
      <w:marLeft w:val="0"/>
      <w:marRight w:val="0"/>
      <w:marTop w:val="0"/>
      <w:marBottom w:val="0"/>
      <w:divBdr>
        <w:top w:val="none" w:sz="0" w:space="0" w:color="auto"/>
        <w:left w:val="none" w:sz="0" w:space="0" w:color="auto"/>
        <w:bottom w:val="none" w:sz="0" w:space="0" w:color="auto"/>
        <w:right w:val="none" w:sz="0" w:space="0" w:color="auto"/>
      </w:divBdr>
    </w:div>
    <w:div w:id="1795825344">
      <w:marLeft w:val="0"/>
      <w:marRight w:val="0"/>
      <w:marTop w:val="0"/>
      <w:marBottom w:val="0"/>
      <w:divBdr>
        <w:top w:val="none" w:sz="0" w:space="0" w:color="auto"/>
        <w:left w:val="none" w:sz="0" w:space="0" w:color="auto"/>
        <w:bottom w:val="none" w:sz="0" w:space="0" w:color="auto"/>
        <w:right w:val="none" w:sz="0" w:space="0" w:color="auto"/>
      </w:divBdr>
    </w:div>
    <w:div w:id="1800415770">
      <w:marLeft w:val="0"/>
      <w:marRight w:val="0"/>
      <w:marTop w:val="0"/>
      <w:marBottom w:val="0"/>
      <w:divBdr>
        <w:top w:val="none" w:sz="0" w:space="0" w:color="auto"/>
        <w:left w:val="none" w:sz="0" w:space="0" w:color="auto"/>
        <w:bottom w:val="none" w:sz="0" w:space="0" w:color="auto"/>
        <w:right w:val="none" w:sz="0" w:space="0" w:color="auto"/>
      </w:divBdr>
    </w:div>
    <w:div w:id="1823278860">
      <w:marLeft w:val="0"/>
      <w:marRight w:val="0"/>
      <w:marTop w:val="0"/>
      <w:marBottom w:val="0"/>
      <w:divBdr>
        <w:top w:val="none" w:sz="0" w:space="0" w:color="auto"/>
        <w:left w:val="none" w:sz="0" w:space="0" w:color="auto"/>
        <w:bottom w:val="none" w:sz="0" w:space="0" w:color="auto"/>
        <w:right w:val="none" w:sz="0" w:space="0" w:color="auto"/>
      </w:divBdr>
    </w:div>
    <w:div w:id="1826164706">
      <w:marLeft w:val="0"/>
      <w:marRight w:val="0"/>
      <w:marTop w:val="0"/>
      <w:marBottom w:val="0"/>
      <w:divBdr>
        <w:top w:val="none" w:sz="0" w:space="0" w:color="auto"/>
        <w:left w:val="none" w:sz="0" w:space="0" w:color="auto"/>
        <w:bottom w:val="none" w:sz="0" w:space="0" w:color="auto"/>
        <w:right w:val="none" w:sz="0" w:space="0" w:color="auto"/>
      </w:divBdr>
    </w:div>
    <w:div w:id="1839729085">
      <w:marLeft w:val="0"/>
      <w:marRight w:val="0"/>
      <w:marTop w:val="0"/>
      <w:marBottom w:val="0"/>
      <w:divBdr>
        <w:top w:val="none" w:sz="0" w:space="0" w:color="auto"/>
        <w:left w:val="none" w:sz="0" w:space="0" w:color="auto"/>
        <w:bottom w:val="none" w:sz="0" w:space="0" w:color="auto"/>
        <w:right w:val="none" w:sz="0" w:space="0" w:color="auto"/>
      </w:divBdr>
    </w:div>
    <w:div w:id="1846553426">
      <w:marLeft w:val="0"/>
      <w:marRight w:val="0"/>
      <w:marTop w:val="0"/>
      <w:marBottom w:val="0"/>
      <w:divBdr>
        <w:top w:val="none" w:sz="0" w:space="0" w:color="auto"/>
        <w:left w:val="none" w:sz="0" w:space="0" w:color="auto"/>
        <w:bottom w:val="none" w:sz="0" w:space="0" w:color="auto"/>
        <w:right w:val="none" w:sz="0" w:space="0" w:color="auto"/>
      </w:divBdr>
    </w:div>
    <w:div w:id="1848787017">
      <w:marLeft w:val="0"/>
      <w:marRight w:val="0"/>
      <w:marTop w:val="0"/>
      <w:marBottom w:val="0"/>
      <w:divBdr>
        <w:top w:val="none" w:sz="0" w:space="0" w:color="auto"/>
        <w:left w:val="none" w:sz="0" w:space="0" w:color="auto"/>
        <w:bottom w:val="none" w:sz="0" w:space="0" w:color="auto"/>
        <w:right w:val="none" w:sz="0" w:space="0" w:color="auto"/>
      </w:divBdr>
    </w:div>
    <w:div w:id="1860971047">
      <w:marLeft w:val="0"/>
      <w:marRight w:val="0"/>
      <w:marTop w:val="0"/>
      <w:marBottom w:val="0"/>
      <w:divBdr>
        <w:top w:val="none" w:sz="0" w:space="0" w:color="auto"/>
        <w:left w:val="none" w:sz="0" w:space="0" w:color="auto"/>
        <w:bottom w:val="none" w:sz="0" w:space="0" w:color="auto"/>
        <w:right w:val="none" w:sz="0" w:space="0" w:color="auto"/>
      </w:divBdr>
    </w:div>
    <w:div w:id="1864512073">
      <w:marLeft w:val="0"/>
      <w:marRight w:val="0"/>
      <w:marTop w:val="0"/>
      <w:marBottom w:val="0"/>
      <w:divBdr>
        <w:top w:val="none" w:sz="0" w:space="0" w:color="auto"/>
        <w:left w:val="none" w:sz="0" w:space="0" w:color="auto"/>
        <w:bottom w:val="none" w:sz="0" w:space="0" w:color="auto"/>
        <w:right w:val="none" w:sz="0" w:space="0" w:color="auto"/>
      </w:divBdr>
    </w:div>
    <w:div w:id="1866014167">
      <w:marLeft w:val="0"/>
      <w:marRight w:val="0"/>
      <w:marTop w:val="0"/>
      <w:marBottom w:val="0"/>
      <w:divBdr>
        <w:top w:val="none" w:sz="0" w:space="0" w:color="auto"/>
        <w:left w:val="none" w:sz="0" w:space="0" w:color="auto"/>
        <w:bottom w:val="none" w:sz="0" w:space="0" w:color="auto"/>
        <w:right w:val="none" w:sz="0" w:space="0" w:color="auto"/>
      </w:divBdr>
    </w:div>
    <w:div w:id="1879975335">
      <w:marLeft w:val="0"/>
      <w:marRight w:val="0"/>
      <w:marTop w:val="0"/>
      <w:marBottom w:val="0"/>
      <w:divBdr>
        <w:top w:val="none" w:sz="0" w:space="0" w:color="auto"/>
        <w:left w:val="none" w:sz="0" w:space="0" w:color="auto"/>
        <w:bottom w:val="none" w:sz="0" w:space="0" w:color="auto"/>
        <w:right w:val="none" w:sz="0" w:space="0" w:color="auto"/>
      </w:divBdr>
    </w:div>
    <w:div w:id="1890605639">
      <w:marLeft w:val="0"/>
      <w:marRight w:val="0"/>
      <w:marTop w:val="0"/>
      <w:marBottom w:val="0"/>
      <w:divBdr>
        <w:top w:val="none" w:sz="0" w:space="0" w:color="auto"/>
        <w:left w:val="none" w:sz="0" w:space="0" w:color="auto"/>
        <w:bottom w:val="none" w:sz="0" w:space="0" w:color="auto"/>
        <w:right w:val="none" w:sz="0" w:space="0" w:color="auto"/>
      </w:divBdr>
    </w:div>
    <w:div w:id="1892956372">
      <w:marLeft w:val="0"/>
      <w:marRight w:val="0"/>
      <w:marTop w:val="0"/>
      <w:marBottom w:val="0"/>
      <w:divBdr>
        <w:top w:val="none" w:sz="0" w:space="0" w:color="auto"/>
        <w:left w:val="none" w:sz="0" w:space="0" w:color="auto"/>
        <w:bottom w:val="none" w:sz="0" w:space="0" w:color="auto"/>
        <w:right w:val="none" w:sz="0" w:space="0" w:color="auto"/>
      </w:divBdr>
    </w:div>
    <w:div w:id="1894072498">
      <w:marLeft w:val="0"/>
      <w:marRight w:val="0"/>
      <w:marTop w:val="0"/>
      <w:marBottom w:val="0"/>
      <w:divBdr>
        <w:top w:val="none" w:sz="0" w:space="0" w:color="auto"/>
        <w:left w:val="none" w:sz="0" w:space="0" w:color="auto"/>
        <w:bottom w:val="none" w:sz="0" w:space="0" w:color="auto"/>
        <w:right w:val="none" w:sz="0" w:space="0" w:color="auto"/>
      </w:divBdr>
    </w:div>
    <w:div w:id="1895460434">
      <w:marLeft w:val="0"/>
      <w:marRight w:val="0"/>
      <w:marTop w:val="0"/>
      <w:marBottom w:val="0"/>
      <w:divBdr>
        <w:top w:val="none" w:sz="0" w:space="0" w:color="auto"/>
        <w:left w:val="none" w:sz="0" w:space="0" w:color="auto"/>
        <w:bottom w:val="none" w:sz="0" w:space="0" w:color="auto"/>
        <w:right w:val="none" w:sz="0" w:space="0" w:color="auto"/>
      </w:divBdr>
    </w:div>
    <w:div w:id="1906913791">
      <w:marLeft w:val="0"/>
      <w:marRight w:val="0"/>
      <w:marTop w:val="0"/>
      <w:marBottom w:val="0"/>
      <w:divBdr>
        <w:top w:val="none" w:sz="0" w:space="0" w:color="auto"/>
        <w:left w:val="none" w:sz="0" w:space="0" w:color="auto"/>
        <w:bottom w:val="none" w:sz="0" w:space="0" w:color="auto"/>
        <w:right w:val="none" w:sz="0" w:space="0" w:color="auto"/>
      </w:divBdr>
    </w:div>
    <w:div w:id="1907491272">
      <w:marLeft w:val="0"/>
      <w:marRight w:val="0"/>
      <w:marTop w:val="0"/>
      <w:marBottom w:val="0"/>
      <w:divBdr>
        <w:top w:val="none" w:sz="0" w:space="0" w:color="auto"/>
        <w:left w:val="none" w:sz="0" w:space="0" w:color="auto"/>
        <w:bottom w:val="none" w:sz="0" w:space="0" w:color="auto"/>
        <w:right w:val="none" w:sz="0" w:space="0" w:color="auto"/>
      </w:divBdr>
    </w:div>
    <w:div w:id="1917278762">
      <w:marLeft w:val="0"/>
      <w:marRight w:val="0"/>
      <w:marTop w:val="0"/>
      <w:marBottom w:val="0"/>
      <w:divBdr>
        <w:top w:val="none" w:sz="0" w:space="0" w:color="auto"/>
        <w:left w:val="none" w:sz="0" w:space="0" w:color="auto"/>
        <w:bottom w:val="none" w:sz="0" w:space="0" w:color="auto"/>
        <w:right w:val="none" w:sz="0" w:space="0" w:color="auto"/>
      </w:divBdr>
    </w:div>
    <w:div w:id="1918663909">
      <w:marLeft w:val="0"/>
      <w:marRight w:val="0"/>
      <w:marTop w:val="0"/>
      <w:marBottom w:val="0"/>
      <w:divBdr>
        <w:top w:val="none" w:sz="0" w:space="0" w:color="auto"/>
        <w:left w:val="none" w:sz="0" w:space="0" w:color="auto"/>
        <w:bottom w:val="none" w:sz="0" w:space="0" w:color="auto"/>
        <w:right w:val="none" w:sz="0" w:space="0" w:color="auto"/>
      </w:divBdr>
    </w:div>
    <w:div w:id="1922106044">
      <w:marLeft w:val="0"/>
      <w:marRight w:val="0"/>
      <w:marTop w:val="0"/>
      <w:marBottom w:val="0"/>
      <w:divBdr>
        <w:top w:val="none" w:sz="0" w:space="0" w:color="auto"/>
        <w:left w:val="none" w:sz="0" w:space="0" w:color="auto"/>
        <w:bottom w:val="none" w:sz="0" w:space="0" w:color="auto"/>
        <w:right w:val="none" w:sz="0" w:space="0" w:color="auto"/>
      </w:divBdr>
    </w:div>
    <w:div w:id="1923953968">
      <w:marLeft w:val="0"/>
      <w:marRight w:val="0"/>
      <w:marTop w:val="0"/>
      <w:marBottom w:val="0"/>
      <w:divBdr>
        <w:top w:val="none" w:sz="0" w:space="0" w:color="auto"/>
        <w:left w:val="none" w:sz="0" w:space="0" w:color="auto"/>
        <w:bottom w:val="none" w:sz="0" w:space="0" w:color="auto"/>
        <w:right w:val="none" w:sz="0" w:space="0" w:color="auto"/>
      </w:divBdr>
    </w:div>
    <w:div w:id="1932620923">
      <w:marLeft w:val="0"/>
      <w:marRight w:val="0"/>
      <w:marTop w:val="0"/>
      <w:marBottom w:val="0"/>
      <w:divBdr>
        <w:top w:val="none" w:sz="0" w:space="0" w:color="auto"/>
        <w:left w:val="none" w:sz="0" w:space="0" w:color="auto"/>
        <w:bottom w:val="none" w:sz="0" w:space="0" w:color="auto"/>
        <w:right w:val="none" w:sz="0" w:space="0" w:color="auto"/>
      </w:divBdr>
    </w:div>
    <w:div w:id="1946569723">
      <w:marLeft w:val="0"/>
      <w:marRight w:val="0"/>
      <w:marTop w:val="0"/>
      <w:marBottom w:val="0"/>
      <w:divBdr>
        <w:top w:val="none" w:sz="0" w:space="0" w:color="auto"/>
        <w:left w:val="none" w:sz="0" w:space="0" w:color="auto"/>
        <w:bottom w:val="none" w:sz="0" w:space="0" w:color="auto"/>
        <w:right w:val="none" w:sz="0" w:space="0" w:color="auto"/>
      </w:divBdr>
    </w:div>
    <w:div w:id="1949119014">
      <w:marLeft w:val="0"/>
      <w:marRight w:val="0"/>
      <w:marTop w:val="0"/>
      <w:marBottom w:val="0"/>
      <w:divBdr>
        <w:top w:val="none" w:sz="0" w:space="0" w:color="auto"/>
        <w:left w:val="none" w:sz="0" w:space="0" w:color="auto"/>
        <w:bottom w:val="none" w:sz="0" w:space="0" w:color="auto"/>
        <w:right w:val="none" w:sz="0" w:space="0" w:color="auto"/>
      </w:divBdr>
    </w:div>
    <w:div w:id="1960404784">
      <w:marLeft w:val="0"/>
      <w:marRight w:val="0"/>
      <w:marTop w:val="0"/>
      <w:marBottom w:val="0"/>
      <w:divBdr>
        <w:top w:val="none" w:sz="0" w:space="0" w:color="auto"/>
        <w:left w:val="none" w:sz="0" w:space="0" w:color="auto"/>
        <w:bottom w:val="none" w:sz="0" w:space="0" w:color="auto"/>
        <w:right w:val="none" w:sz="0" w:space="0" w:color="auto"/>
      </w:divBdr>
    </w:div>
    <w:div w:id="1962686830">
      <w:marLeft w:val="0"/>
      <w:marRight w:val="0"/>
      <w:marTop w:val="0"/>
      <w:marBottom w:val="0"/>
      <w:divBdr>
        <w:top w:val="none" w:sz="0" w:space="0" w:color="auto"/>
        <w:left w:val="none" w:sz="0" w:space="0" w:color="auto"/>
        <w:bottom w:val="none" w:sz="0" w:space="0" w:color="auto"/>
        <w:right w:val="none" w:sz="0" w:space="0" w:color="auto"/>
      </w:divBdr>
    </w:div>
    <w:div w:id="1970474821">
      <w:marLeft w:val="0"/>
      <w:marRight w:val="0"/>
      <w:marTop w:val="0"/>
      <w:marBottom w:val="0"/>
      <w:divBdr>
        <w:top w:val="none" w:sz="0" w:space="0" w:color="auto"/>
        <w:left w:val="none" w:sz="0" w:space="0" w:color="auto"/>
        <w:bottom w:val="none" w:sz="0" w:space="0" w:color="auto"/>
        <w:right w:val="none" w:sz="0" w:space="0" w:color="auto"/>
      </w:divBdr>
    </w:div>
    <w:div w:id="1976258115">
      <w:marLeft w:val="0"/>
      <w:marRight w:val="0"/>
      <w:marTop w:val="0"/>
      <w:marBottom w:val="0"/>
      <w:divBdr>
        <w:top w:val="none" w:sz="0" w:space="0" w:color="auto"/>
        <w:left w:val="none" w:sz="0" w:space="0" w:color="auto"/>
        <w:bottom w:val="none" w:sz="0" w:space="0" w:color="auto"/>
        <w:right w:val="none" w:sz="0" w:space="0" w:color="auto"/>
      </w:divBdr>
    </w:div>
    <w:div w:id="1997226279">
      <w:marLeft w:val="0"/>
      <w:marRight w:val="0"/>
      <w:marTop w:val="0"/>
      <w:marBottom w:val="0"/>
      <w:divBdr>
        <w:top w:val="none" w:sz="0" w:space="0" w:color="auto"/>
        <w:left w:val="none" w:sz="0" w:space="0" w:color="auto"/>
        <w:bottom w:val="none" w:sz="0" w:space="0" w:color="auto"/>
        <w:right w:val="none" w:sz="0" w:space="0" w:color="auto"/>
      </w:divBdr>
    </w:div>
    <w:div w:id="2000036485">
      <w:marLeft w:val="0"/>
      <w:marRight w:val="0"/>
      <w:marTop w:val="0"/>
      <w:marBottom w:val="0"/>
      <w:divBdr>
        <w:top w:val="none" w:sz="0" w:space="0" w:color="auto"/>
        <w:left w:val="none" w:sz="0" w:space="0" w:color="auto"/>
        <w:bottom w:val="none" w:sz="0" w:space="0" w:color="auto"/>
        <w:right w:val="none" w:sz="0" w:space="0" w:color="auto"/>
      </w:divBdr>
    </w:div>
    <w:div w:id="2002537611">
      <w:marLeft w:val="0"/>
      <w:marRight w:val="0"/>
      <w:marTop w:val="0"/>
      <w:marBottom w:val="0"/>
      <w:divBdr>
        <w:top w:val="none" w:sz="0" w:space="0" w:color="auto"/>
        <w:left w:val="none" w:sz="0" w:space="0" w:color="auto"/>
        <w:bottom w:val="none" w:sz="0" w:space="0" w:color="auto"/>
        <w:right w:val="none" w:sz="0" w:space="0" w:color="auto"/>
      </w:divBdr>
    </w:div>
    <w:div w:id="2004434656">
      <w:marLeft w:val="0"/>
      <w:marRight w:val="0"/>
      <w:marTop w:val="0"/>
      <w:marBottom w:val="0"/>
      <w:divBdr>
        <w:top w:val="none" w:sz="0" w:space="0" w:color="auto"/>
        <w:left w:val="none" w:sz="0" w:space="0" w:color="auto"/>
        <w:bottom w:val="none" w:sz="0" w:space="0" w:color="auto"/>
        <w:right w:val="none" w:sz="0" w:space="0" w:color="auto"/>
      </w:divBdr>
    </w:div>
    <w:div w:id="2034066768">
      <w:marLeft w:val="0"/>
      <w:marRight w:val="0"/>
      <w:marTop w:val="0"/>
      <w:marBottom w:val="0"/>
      <w:divBdr>
        <w:top w:val="none" w:sz="0" w:space="0" w:color="auto"/>
        <w:left w:val="none" w:sz="0" w:space="0" w:color="auto"/>
        <w:bottom w:val="none" w:sz="0" w:space="0" w:color="auto"/>
        <w:right w:val="none" w:sz="0" w:space="0" w:color="auto"/>
      </w:divBdr>
    </w:div>
    <w:div w:id="2042321603">
      <w:marLeft w:val="0"/>
      <w:marRight w:val="0"/>
      <w:marTop w:val="0"/>
      <w:marBottom w:val="0"/>
      <w:divBdr>
        <w:top w:val="none" w:sz="0" w:space="0" w:color="auto"/>
        <w:left w:val="none" w:sz="0" w:space="0" w:color="auto"/>
        <w:bottom w:val="none" w:sz="0" w:space="0" w:color="auto"/>
        <w:right w:val="none" w:sz="0" w:space="0" w:color="auto"/>
      </w:divBdr>
    </w:div>
    <w:div w:id="2045934643">
      <w:marLeft w:val="0"/>
      <w:marRight w:val="0"/>
      <w:marTop w:val="0"/>
      <w:marBottom w:val="0"/>
      <w:divBdr>
        <w:top w:val="none" w:sz="0" w:space="0" w:color="auto"/>
        <w:left w:val="none" w:sz="0" w:space="0" w:color="auto"/>
        <w:bottom w:val="none" w:sz="0" w:space="0" w:color="auto"/>
        <w:right w:val="none" w:sz="0" w:space="0" w:color="auto"/>
      </w:divBdr>
    </w:div>
    <w:div w:id="2067293264">
      <w:marLeft w:val="0"/>
      <w:marRight w:val="0"/>
      <w:marTop w:val="0"/>
      <w:marBottom w:val="0"/>
      <w:divBdr>
        <w:top w:val="none" w:sz="0" w:space="0" w:color="auto"/>
        <w:left w:val="none" w:sz="0" w:space="0" w:color="auto"/>
        <w:bottom w:val="none" w:sz="0" w:space="0" w:color="auto"/>
        <w:right w:val="none" w:sz="0" w:space="0" w:color="auto"/>
      </w:divBdr>
    </w:div>
    <w:div w:id="2070834813">
      <w:marLeft w:val="0"/>
      <w:marRight w:val="0"/>
      <w:marTop w:val="0"/>
      <w:marBottom w:val="0"/>
      <w:divBdr>
        <w:top w:val="none" w:sz="0" w:space="0" w:color="auto"/>
        <w:left w:val="none" w:sz="0" w:space="0" w:color="auto"/>
        <w:bottom w:val="none" w:sz="0" w:space="0" w:color="auto"/>
        <w:right w:val="none" w:sz="0" w:space="0" w:color="auto"/>
      </w:divBdr>
    </w:div>
    <w:div w:id="2106657078">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621514">
      <w:marLeft w:val="0"/>
      <w:marRight w:val="0"/>
      <w:marTop w:val="0"/>
      <w:marBottom w:val="0"/>
      <w:divBdr>
        <w:top w:val="none" w:sz="0" w:space="0" w:color="auto"/>
        <w:left w:val="none" w:sz="0" w:space="0" w:color="auto"/>
        <w:bottom w:val="none" w:sz="0" w:space="0" w:color="auto"/>
        <w:right w:val="none" w:sz="0" w:space="0" w:color="auto"/>
      </w:divBdr>
    </w:div>
    <w:div w:id="2138209779">
      <w:marLeft w:val="0"/>
      <w:marRight w:val="0"/>
      <w:marTop w:val="0"/>
      <w:marBottom w:val="0"/>
      <w:divBdr>
        <w:top w:val="none" w:sz="0" w:space="0" w:color="auto"/>
        <w:left w:val="none" w:sz="0" w:space="0" w:color="auto"/>
        <w:bottom w:val="none" w:sz="0" w:space="0" w:color="auto"/>
        <w:right w:val="none" w:sz="0" w:space="0" w:color="auto"/>
      </w:divBdr>
    </w:div>
    <w:div w:id="2142338021">
      <w:marLeft w:val="0"/>
      <w:marRight w:val="0"/>
      <w:marTop w:val="0"/>
      <w:marBottom w:val="0"/>
      <w:divBdr>
        <w:top w:val="none" w:sz="0" w:space="0" w:color="auto"/>
        <w:left w:val="none" w:sz="0" w:space="0" w:color="auto"/>
        <w:bottom w:val="none" w:sz="0" w:space="0" w:color="auto"/>
        <w:right w:val="none" w:sz="0" w:space="0" w:color="auto"/>
      </w:divBdr>
    </w:div>
    <w:div w:id="21443445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zio.invernizzi@polimi.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sv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sv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E741D691-4C6C-4208-9AAA-35980055FD5C}"/>
      </w:docPartPr>
      <w:docPartBody>
        <w:p w:rsidR="007C63DD" w:rsidRDefault="003F38B1">
          <w:r w:rsidRPr="005307BC">
            <w:rPr>
              <w:rStyle w:val="Testosegnaposto"/>
            </w:rPr>
            <w:t>Fare clic o toccare qui per immettere il testo.</w:t>
          </w:r>
        </w:p>
      </w:docPartBody>
    </w:docPart>
    <w:docPart>
      <w:docPartPr>
        <w:name w:val="B4CB0546B1064A6B83EAA0E0F10A0E90"/>
        <w:category>
          <w:name w:val="Generale"/>
          <w:gallery w:val="placeholder"/>
        </w:category>
        <w:types>
          <w:type w:val="bbPlcHdr"/>
        </w:types>
        <w:behaviors>
          <w:behavior w:val="content"/>
        </w:behaviors>
        <w:guid w:val="{C8B45851-9591-4B5F-A04D-9CBC36837334}"/>
      </w:docPartPr>
      <w:docPartBody>
        <w:p w:rsidR="007C63DD" w:rsidRDefault="003F38B1" w:rsidP="003F38B1">
          <w:pPr>
            <w:pStyle w:val="B4CB0546B1064A6B83EAA0E0F10A0E90"/>
          </w:pPr>
          <w:r w:rsidRPr="005307BC">
            <w:rPr>
              <w:rStyle w:val="Testosegnaposto"/>
            </w:rPr>
            <w:t>Fare clic o toccare qui per immettere il testo.</w:t>
          </w:r>
        </w:p>
      </w:docPartBody>
    </w:docPart>
    <w:docPart>
      <w:docPartPr>
        <w:name w:val="43A25E537FFB406DAF1FCD7A162D7457"/>
        <w:category>
          <w:name w:val="Generale"/>
          <w:gallery w:val="placeholder"/>
        </w:category>
        <w:types>
          <w:type w:val="bbPlcHdr"/>
        </w:types>
        <w:behaviors>
          <w:behavior w:val="content"/>
        </w:behaviors>
        <w:guid w:val="{26A8D0CE-C099-42C5-AA1F-0E3B7820F1F8}"/>
      </w:docPartPr>
      <w:docPartBody>
        <w:p w:rsidR="00476E70" w:rsidRDefault="007C63DD" w:rsidP="007C63DD">
          <w:pPr>
            <w:pStyle w:val="43A25E537FFB406DAF1FCD7A162D7457"/>
          </w:pPr>
          <w:r w:rsidRPr="005307BC">
            <w:rPr>
              <w:rStyle w:val="Testosegnaposto"/>
            </w:rPr>
            <w:t>Fare clic o toccare qui per immettere il testo.</w:t>
          </w:r>
        </w:p>
      </w:docPartBody>
    </w:docPart>
    <w:docPart>
      <w:docPartPr>
        <w:name w:val="14AE58244B5F473AAF48B29471DA239C"/>
        <w:category>
          <w:name w:val="Generale"/>
          <w:gallery w:val="placeholder"/>
        </w:category>
        <w:types>
          <w:type w:val="bbPlcHdr"/>
        </w:types>
        <w:behaviors>
          <w:behavior w:val="content"/>
        </w:behaviors>
        <w:guid w:val="{E4F15D63-112A-4326-9467-E84E1B5B29C4}"/>
      </w:docPartPr>
      <w:docPartBody>
        <w:p w:rsidR="00476E70" w:rsidRDefault="007C63DD" w:rsidP="007C63DD">
          <w:pPr>
            <w:pStyle w:val="14AE58244B5F473AAF48B29471DA239C"/>
          </w:pPr>
          <w:r w:rsidRPr="005307BC">
            <w:rPr>
              <w:rStyle w:val="Testosegnaposto"/>
            </w:rPr>
            <w:t>Fare clic o toccare qui per immettere il testo.</w:t>
          </w:r>
        </w:p>
      </w:docPartBody>
    </w:docPart>
    <w:docPart>
      <w:docPartPr>
        <w:name w:val="73603F09EA654164BDCD925579FFC956"/>
        <w:category>
          <w:name w:val="Generale"/>
          <w:gallery w:val="placeholder"/>
        </w:category>
        <w:types>
          <w:type w:val="bbPlcHdr"/>
        </w:types>
        <w:behaviors>
          <w:behavior w:val="content"/>
        </w:behaviors>
        <w:guid w:val="{67FC42AA-9074-43C8-8432-0D6375AB7771}"/>
      </w:docPartPr>
      <w:docPartBody>
        <w:p w:rsidR="00476E70" w:rsidRDefault="007C63DD" w:rsidP="007C63DD">
          <w:pPr>
            <w:pStyle w:val="73603F09EA654164BDCD925579FFC956"/>
          </w:pPr>
          <w:r w:rsidRPr="005307BC">
            <w:rPr>
              <w:rStyle w:val="Testosegnaposto"/>
            </w:rPr>
            <w:t>Fare clic o toccare qui per immettere il testo.</w:t>
          </w:r>
        </w:p>
      </w:docPartBody>
    </w:docPart>
    <w:docPart>
      <w:docPartPr>
        <w:name w:val="329352D69F2647369D504976F11592F9"/>
        <w:category>
          <w:name w:val="Generale"/>
          <w:gallery w:val="placeholder"/>
        </w:category>
        <w:types>
          <w:type w:val="bbPlcHdr"/>
        </w:types>
        <w:behaviors>
          <w:behavior w:val="content"/>
        </w:behaviors>
        <w:guid w:val="{2C7C1F1C-B6B0-472B-9E1F-A9BAD2317103}"/>
      </w:docPartPr>
      <w:docPartBody>
        <w:p w:rsidR="00476E70" w:rsidRDefault="007C63DD" w:rsidP="007C63DD">
          <w:pPr>
            <w:pStyle w:val="329352D69F2647369D504976F11592F9"/>
          </w:pPr>
          <w:r w:rsidRPr="005307BC">
            <w:rPr>
              <w:rStyle w:val="Testosegnaposto"/>
            </w:rPr>
            <w:t>Fare clic o toccare qui per immettere il testo.</w:t>
          </w:r>
        </w:p>
      </w:docPartBody>
    </w:docPart>
    <w:docPart>
      <w:docPartPr>
        <w:name w:val="B19D89A29A3542049A1FC2C7E40AFD1F"/>
        <w:category>
          <w:name w:val="Generale"/>
          <w:gallery w:val="placeholder"/>
        </w:category>
        <w:types>
          <w:type w:val="bbPlcHdr"/>
        </w:types>
        <w:behaviors>
          <w:behavior w:val="content"/>
        </w:behaviors>
        <w:guid w:val="{51BA6D55-B59A-43CB-9634-451A1BB22385}"/>
      </w:docPartPr>
      <w:docPartBody>
        <w:p w:rsidR="008A0151" w:rsidRDefault="00EC5E42" w:rsidP="00EC5E42">
          <w:pPr>
            <w:pStyle w:val="B19D89A29A3542049A1FC2C7E40AFD1F"/>
          </w:pPr>
          <w:r w:rsidRPr="005307BC">
            <w:rPr>
              <w:rStyle w:val="Testosegnaposto"/>
            </w:rPr>
            <w:t>Fare clic o toccare qui per immettere il testo.</w:t>
          </w:r>
        </w:p>
      </w:docPartBody>
    </w:docPart>
    <w:docPart>
      <w:docPartPr>
        <w:name w:val="45227C7D019442B588202AB80430F3C7"/>
        <w:category>
          <w:name w:val="Generale"/>
          <w:gallery w:val="placeholder"/>
        </w:category>
        <w:types>
          <w:type w:val="bbPlcHdr"/>
        </w:types>
        <w:behaviors>
          <w:behavior w:val="content"/>
        </w:behaviors>
        <w:guid w:val="{55519228-B8FA-4F11-A175-B69EB1D81302}"/>
      </w:docPartPr>
      <w:docPartBody>
        <w:p w:rsidR="008A0151" w:rsidRDefault="00EC5E42" w:rsidP="00EC5E42">
          <w:pPr>
            <w:pStyle w:val="45227C7D019442B588202AB80430F3C7"/>
          </w:pPr>
          <w:r w:rsidRPr="005307BC">
            <w:rPr>
              <w:rStyle w:val="Testosegnaposto"/>
            </w:rPr>
            <w:t>Fare clic o toccare qui per immettere il testo.</w:t>
          </w:r>
        </w:p>
      </w:docPartBody>
    </w:docPart>
    <w:docPart>
      <w:docPartPr>
        <w:name w:val="F1D894C9E07C495697A5C66E02A5A4C6"/>
        <w:category>
          <w:name w:val="Generale"/>
          <w:gallery w:val="placeholder"/>
        </w:category>
        <w:types>
          <w:type w:val="bbPlcHdr"/>
        </w:types>
        <w:behaviors>
          <w:behavior w:val="content"/>
        </w:behaviors>
        <w:guid w:val="{D0EEA35B-ABC1-4F19-8D7B-01421F7FD9B4}"/>
      </w:docPartPr>
      <w:docPartBody>
        <w:p w:rsidR="004779F2" w:rsidRDefault="001368F5" w:rsidP="001368F5">
          <w:pPr>
            <w:pStyle w:val="F1D894C9E07C495697A5C66E02A5A4C6"/>
          </w:pPr>
          <w:r w:rsidRPr="005307BC">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dvP6960">
    <w:altName w:val="Times New Roman"/>
    <w:panose1 w:val="00000000000000000000"/>
    <w:charset w:val="4D"/>
    <w:family w:val="roman"/>
    <w:notTrueType/>
    <w:pitch w:val="default"/>
    <w:sig w:usb0="00000003" w:usb1="00000000" w:usb2="00000000" w:usb3="00000000" w:csb0="00000001" w:csb1="00000000"/>
  </w:font>
  <w:font w:name="URWPalladioL-Roma">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8B1"/>
    <w:rsid w:val="0002420A"/>
    <w:rsid w:val="001310A5"/>
    <w:rsid w:val="001329C1"/>
    <w:rsid w:val="001368F5"/>
    <w:rsid w:val="001552F5"/>
    <w:rsid w:val="001E41FB"/>
    <w:rsid w:val="001F0301"/>
    <w:rsid w:val="002D4843"/>
    <w:rsid w:val="002D73F8"/>
    <w:rsid w:val="002F478A"/>
    <w:rsid w:val="00322D66"/>
    <w:rsid w:val="003D110C"/>
    <w:rsid w:val="003E0FAC"/>
    <w:rsid w:val="003F21C5"/>
    <w:rsid w:val="003F38B1"/>
    <w:rsid w:val="00476E70"/>
    <w:rsid w:val="004779F2"/>
    <w:rsid w:val="00576B0A"/>
    <w:rsid w:val="00617BEB"/>
    <w:rsid w:val="00672F34"/>
    <w:rsid w:val="006F3502"/>
    <w:rsid w:val="007225D8"/>
    <w:rsid w:val="00753A2D"/>
    <w:rsid w:val="00797446"/>
    <w:rsid w:val="007C63DD"/>
    <w:rsid w:val="007D114E"/>
    <w:rsid w:val="007D5303"/>
    <w:rsid w:val="00813667"/>
    <w:rsid w:val="0085589F"/>
    <w:rsid w:val="008A0151"/>
    <w:rsid w:val="009C1148"/>
    <w:rsid w:val="00AC5D95"/>
    <w:rsid w:val="00AE5D09"/>
    <w:rsid w:val="00B11551"/>
    <w:rsid w:val="00B607C0"/>
    <w:rsid w:val="00BC1D98"/>
    <w:rsid w:val="00C044E7"/>
    <w:rsid w:val="00C719C9"/>
    <w:rsid w:val="00CC2C08"/>
    <w:rsid w:val="00D23B07"/>
    <w:rsid w:val="00DB7029"/>
    <w:rsid w:val="00E105FC"/>
    <w:rsid w:val="00E761C7"/>
    <w:rsid w:val="00EC5B2A"/>
    <w:rsid w:val="00EC5E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1368F5"/>
    <w:rPr>
      <w:color w:val="666666"/>
    </w:rPr>
  </w:style>
  <w:style w:type="paragraph" w:customStyle="1" w:styleId="B4CB0546B1064A6B83EAA0E0F10A0E90">
    <w:name w:val="B4CB0546B1064A6B83EAA0E0F10A0E90"/>
    <w:rsid w:val="003F38B1"/>
  </w:style>
  <w:style w:type="paragraph" w:customStyle="1" w:styleId="43A25E537FFB406DAF1FCD7A162D7457">
    <w:name w:val="43A25E537FFB406DAF1FCD7A162D7457"/>
    <w:rsid w:val="007C63DD"/>
  </w:style>
  <w:style w:type="paragraph" w:customStyle="1" w:styleId="14AE58244B5F473AAF48B29471DA239C">
    <w:name w:val="14AE58244B5F473AAF48B29471DA239C"/>
    <w:rsid w:val="007C63DD"/>
  </w:style>
  <w:style w:type="paragraph" w:customStyle="1" w:styleId="73603F09EA654164BDCD925579FFC956">
    <w:name w:val="73603F09EA654164BDCD925579FFC956"/>
    <w:rsid w:val="007C63DD"/>
  </w:style>
  <w:style w:type="paragraph" w:customStyle="1" w:styleId="329352D69F2647369D504976F11592F9">
    <w:name w:val="329352D69F2647369D504976F11592F9"/>
    <w:rsid w:val="007C63DD"/>
  </w:style>
  <w:style w:type="paragraph" w:customStyle="1" w:styleId="B19D89A29A3542049A1FC2C7E40AFD1F">
    <w:name w:val="B19D89A29A3542049A1FC2C7E40AFD1F"/>
    <w:rsid w:val="00EC5E42"/>
  </w:style>
  <w:style w:type="paragraph" w:customStyle="1" w:styleId="45227C7D019442B588202AB80430F3C7">
    <w:name w:val="45227C7D019442B588202AB80430F3C7"/>
    <w:rsid w:val="00EC5E42"/>
  </w:style>
  <w:style w:type="paragraph" w:customStyle="1" w:styleId="F1D894C9E07C495697A5C66E02A5A4C6">
    <w:name w:val="F1D894C9E07C495697A5C66E02A5A4C6"/>
    <w:rsid w:val="00136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EFB4313-F0CB-4D40-9095-7752CD594FC0}">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81005049610"/>
    <we:property name="MENDELEY_CITATIONS" value="[{&quot;citationID&quot;:&quot;MENDELEY_CITATION_38033f9f-ec66-44e5-a98a-7d3dd1f51657&quot;,&quot;properties&quot;:{&quot;noteIndex&quot;:0},&quot;isEdited&quot;:false,&quot;manualOverride&quot;:{&quot;isManuallyOverridden&quot;:true,&quot;citeprocText&quot;:&quot;(EN 13725:2022, 2022)&quot;,&quot;manualOverrideText&quot;:&quot;EN 13725:2022, 2022&quot;},&quot;citationItems&quot;:[{&quot;id&quot;:&quot;c12f493e-6578-3766-8c10-27ba1aa9a076&quot;,&quot;itemData&quot;:{&quot;type&quot;:&quot;book&quot;,&quot;id&quot;:&quot;c12f493e-6578-3766-8c10-27ba1aa9a076&quot;,&quot;title&quot;:&quot;Stationary source emissions - Determination of odour concentration by dynamic olfactometry and odour&quot;,&quot;author&quot;:[{&quot;family&quot;:&quot;EN 13725:2022&quot;,&quot;given&quot;:&quot;&quot;,&quot;parse-names&quot;:false,&quot;dropping-particle&quot;:&quot;&quot;,&quot;non-dropping-particle&quot;:&quot;&quot;}],&quot;DOI&quot;:&quot;10.31030/3290685&quot;,&quot;ISBN&quot;:&quot;978 0 539 21821 3&quot;,&quot;issued&quot;:{&quot;date-parts&quot;:[[2022]]},&quot;container-title-short&quot;:&quot;&quot;},&quot;isTemporary&quot;:false}],&quot;citationTag&quot;:&quot;MENDELEY_CITATION_v3_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&quot;},{&quot;citationID&quot;:&quot;MENDELEY_CITATION_b3c003d9-9378-4421-988d-b36d905157d4&quot;,&quot;properties&quot;:{&quot;noteIndex&quot;:0},&quot;isEdited&quot;:false,&quot;manualOverride&quot;:{&quot;isManuallyOverridden&quot;:false,&quot;citeprocText&quot;:&quot;(Brinkmann &lt;i&gt;et al.&lt;/i&gt;, 2018)&quot;,&quot;manualOverrideText&quot;:&quot;&quot;},&quot;citationTag&quot;:&quot;MENDELEY_CITATION_v3_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&quot;,&quot;citationItems&quot;:[{&quot;id&quot;:&quot;a2ee2df6-d973-3e38-9045-50c929ed5f72&quot;,&quot;itemData&quot;:{&quot;type&quot;:&quot;article-journal&quot;,&quot;id&quot;:&quot;a2ee2df6-d973-3e38-9045-50c929ed5f72&quot;,&quot;title&quot;:&quot;JRC Reference Report on Monitoring of Emissions to Air and Water from IED Installations  - Industrial Emissions Directive 2010/75/EU (Integrated Pollution Prevention and Control)&quot;,&quot;author&quot;:[{&quot;family&quot;:&quot;Brinkmann&quot;,&quot;given&quot;:&quot;Thomas&quot;,&quot;parse-names&quot;:false,&quot;dropping-particle&quot;:&quot;&quot;,&quot;non-dropping-particle&quot;:&quot;&quot;},{&quot;family&quot;:&quot;Both&quot;,&quot;given&quot;:&quot;Ralf&quot;,&quot;parse-names&quot;:false,&quot;dropping-particle&quot;:&quot;&quot;,&quot;non-dropping-particle&quot;:&quot;&quot;},{&quot;family&quot;:&quot;Maria Scalet&quot;,&quot;given&quot;:&quot;Bianca&quot;,&quot;parse-names&quot;:false,&quot;dropping-particle&quot;:&quot;&quot;,&quot;non-dropping-particle&quot;:&quot;&quot;},{&quot;family&quot;:&quot;Roudier&quot;,&quot;given&quot;:&quot;Serge&quot;,&quot;parse-names&quot;:false,&quot;dropping-particle&quot;:&quot;&quot;,&quot;non-dropping-particle&quot;:&quot;&quot;},{&quot;family&quot;:&quot;Delgado Sancho&quot;,&quot;given&quot;:&quot;Luis&quot;,&quot;parse-names&quot;:false,&quot;dropping-particle&quot;:&quot;&quot;,&quot;non-dropping-particle&quot;:&quot;&quot;}],&quot;accessed&quot;:{&quot;date-parts&quot;:[[2024,7,27]]},&quot;DOI&quot;:&quot;10.2760/344197&quot;,&quot;issued&quot;:{&quot;date-parts&quot;:[[2018]]},&quot;container-title-short&quot;:&quot;&quot;},&quot;isTemporary&quot;:false}]},{&quot;citationID&quot;:&quot;MENDELEY_CITATION_711b97b5-6ceb-41c0-bea0-1f01dad77e99&quot;,&quot;properties&quot;:{&quot;noteIndex&quot;:0},&quot;isEdited&quot;:false,&quot;manualOverride&quot;:{&quot;isManuallyOverridden&quot;:true,&quot;citeprocText&quot;:&quot;(EN 13725:2022, 2022)&quot;,&quot;manualOverrideText&quot;:&quot;EN 13725:2022, 2022&quot;},&quot;citationItems&quot;:[{&quot;id&quot;:&quot;c12f493e-6578-3766-8c10-27ba1aa9a076&quot;,&quot;itemData&quot;:{&quot;type&quot;:&quot;book&quot;,&quot;id&quot;:&quot;c12f493e-6578-3766-8c10-27ba1aa9a076&quot;,&quot;title&quot;:&quot;Stationary source emissions - Determination of odour concentration by dynamic olfactometry and odour&quot;,&quot;author&quot;:[{&quot;family&quot;:&quot;EN 13725:2022&quot;,&quot;given&quot;:&quot;&quot;,&quot;parse-names&quot;:false,&quot;dropping-particle&quot;:&quot;&quot;,&quot;non-dropping-particle&quot;:&quot;&quot;}],&quot;DOI&quot;:&quot;10.31030/3290685&quot;,&quot;ISBN&quot;:&quot;978 0 539 21821 3&quot;,&quot;issued&quot;:{&quot;date-parts&quot;:[[2022]]},&quot;container-title-short&quot;:&quot;&quot;},&quot;isTemporary&quot;:false}],&quot;citationTag&quot;:&quot;MENDELEY_CITATION_v3_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&quot;},{&quot;citationID&quot;:&quot;MENDELEY_CITATION_f7ee9dc9-36e6-4ae8-9487-03779d9e623e&quot;,&quot;properties&quot;:{&quot;noteIndex&quot;:0},&quot;isEdited&quot;:false,&quot;manualOverride&quot;:{&quot;isManuallyOverridden&quot;:false,&quot;citeprocText&quot;:&quot;(Davoli &lt;i&gt;et al.&lt;/i&gt;, 2012, 2016; Polvara, Ashari, &lt;i&gt;et al.&lt;/i&gt;, 2021; Polvara, Capelli and Sironi, 2021; Spinazzè &lt;i&gt;et al.&lt;/i&gt;, 2022; Polvara &lt;i&gt;et al.&lt;/i&gt;, 2024)&quot;,&quot;manualOverrideText&quot;:&quot;&quot;},&quot;citationItems&quot;:[{&quot;id&quot;:&quot;13322bde-174f-3757-9d01-21bf2e552ecd&quot;,&quot;itemData&quot;:{&quot;type&quot;:&quot;article-journal&quot;,&quot;id&quot;:&quot;13322bde-174f-3757-9d01-21bf2e552ecd&quot;,&quot;title&quot;:&quot;Dynamic Olfactometry and Oil Refinery Odour Samples: Application of a New Method for Occupational Risk Assessment&quot;,&quot;author&quot;:[{&quot;family&quot;:&quot;Spinazzè&quot;,&quot;given&quot;:&quot;Andrea&quot;,&quot;parse-names&quot;:false,&quot;dropping-particle&quot;:&quot;&quot;,&quot;non-dropping-particle&quot;:&quot;&quot;},{&quot;family&quot;:&quot;Polvara&quot;,&quot;given&quot;:&quot;Elisa&quot;,&quot;parse-names&quot;:false,&quot;dropping-particle&quot;:&quot;&quot;,&quot;non-dropping-particle&quot;:&quot;&quot;},{&quot;family&quot;:&quot;Cattaneo&quot;,&quot;given&quot;:&quot;Andrea&quot;,&quot;parse-names&quot;:false,&quot;dropping-particle&quot;:&quot;&quot;,&quot;non-dropping-particle&quot;:&quot;&quot;},{&quot;family&quot;:&quot;Invernizzi&quot;,&quot;given&quot;:&quot;Marzio&quot;,&quot;parse-names&quot;:false,&quot;dropping-particle&quot;:&quot;&quot;,&quot;non-dropping-particle&quot;:&quot;&quot;},{&quot;family&quot;:&quot;Cavallo&quot;,&quot;given&quot;:&quot;Domenico Maria&quot;,&quot;parse-names&quot;:false,&quot;dropping-particle&quot;:&quot;&quot;,&quot;non-dropping-particle&quot;:&quot;&quot;},{&quot;family&quot;:&quot;Sironi&quot;,&quot;given&quot;:&quot;Selena&quot;,&quot;parse-names&quot;:false,&quot;dropping-particle&quot;:&quot;&quot;,&quot;non-dropping-particle&quot;:&quot;&quot;}],&quot;container-title&quot;:&quot;Toxics 2022, Vol. 10, Page 202&quot;,&quot;accessed&quot;:{&quot;date-parts&quot;:[[2022,4,20]]},&quot;DOI&quot;:&quot;10.3390/TOXICS10050202&quot;,&quot;ISSN&quot;:&quot;2305-6304&quot;,&quot;URL&quot;:&quot;https://www.mdpi.com/2305-6304/10/5/202/htm&quot;,&quot;issued&quot;:{&quot;date-parts&quot;:[[2022,4,20]]},&quot;page&quot;:&quot;202&quot;,&quot;abstract&quot;:&quot;Refineries are characterized by relevant odour impacts, and the control and monitoring of this pollutant have become increasingly important. Dynamic olfactometry, a sensorial analysis that involves human examiners, is currently the most common technique to obtain odour quantification. However, due to the potential presence of hazardous pollutants, the conduction of occupational risk assessment is necessary to guarantee examiners&amp;rsquo; safety. Nevertheless, the occupational risk for olfactometric examiners, specifically correlated with oil refineries emissions, has not been investigated yet. Therefore, this paper applies a new methodology of risk assessment for workers involved in dynamic olfactometry, focusing on odorous refineries emissions. The chemical characterization of refinery emissions was obtained by TD-GC-MS, analysing odorous samples collected at different refinery odour sources. A database of chemical pollutants emitted from a refinery plant was built up, and the minimum dilution values to be adopted during the analysis of refinery odorous samples was calculated. In particular, this evaluation highlighted that, in this scenario, a non-negligible carcinogenic risk may exist for panellists exposed to refineries&amp;rsquo; samples, and the carcinogenic risk is sometimes higher than what is acceptable. Therefore, a minimum dilution value between 1.01 and 5, according to the specific sample, must be set to guarantee the examiners&amp;rsquo; safety.&quot;,&quot;publisher&quot;:&quot;Multidisciplinary Digital Publishing Institute&quot;,&quot;issue&quot;:&quot;5&quot;,&quot;volume&quot;:&quot;10&quot;,&quot;container-title-short&quot;:&quot;&quot;},&quot;isTemporary&quot;:false},{&quot;id&quot;:&quot;8e6a05cb-5701-3ade-9739-27ff42f22468&quot;,&quot;itemData&quot;:{&quot;type&quot;:&quot;article-journal&quot;,&quot;id&quot;:&quot;8e6a05cb-5701-3ade-9739-27ff42f22468&quot;,&quot;title&quot;:&quot;Non-carcinogenic occupational exposure risk related to foundry emissions: focus on the workers involved in olfactometric assessments&quot;,&quot;author&quot;:[{&quot;family&quot;:&quot;Polvara&quot;,&quot;given&quot;:&quot;Elisa&quot;,&quot;parse-names&quot;:false,&quot;dropping-particle&quot;:&quot;&quot;,&quot;non-dropping-particle&quot;:&quot;&quot;},{&quot;family&quot;:&quot;Capelli&quot;,&quot;given&quot;:&quot;Laura Maria Teresa&quot;,&quot;parse-names&quot;:false,&quot;dropping-particle&quot;:&quot;&quot;,&quot;non-dropping-particle&quot;:&quot;&quot;},{&quot;family&quot;:&quot;Sironi&quot;,&quot;given&quot;:&quot;Selena&quot;,&quot;parse-names&quot;:false,&quot;dropping-particle&quot;:&quot;&quot;,&quot;non-dropping-particle&quot;:&quot;&quot;}],&quot;container-title&quot;:&quot;Journal of Environmental Science and Health - Part A&quot;,&quot;accessed&quot;:{&quot;date-parts&quot;:[[2021,5,6]]},&quot;DOI&quot;:&quot;10.1080/10934529.2021.1913927&quot;,&quot;ISSN&quot;:&quot;15324117&quot;,&quot;PMID&quot;:&quot;33952112&quot;,&quot;URL&quot;:&quot;https://www.tandfonline.com/action/journalInformation?journalCode=lesa20&quot;,&quot;issued&quot;:{&quot;date-parts&quot;:[[2021]]},&quot;page&quot;:&quot;646-659&quot;,&quot;abstract&quot;:&quot;The scope of this work is the evaluation of the non-carcinogenic occupational risk related to foundry emissions, focusing on the category of workers involved in olfactometric assessments. Odor pollution from industrial activities such as foundries is a serious environmental concern. Sensorial techniques (e.g. dynamic olfactometry, EN13725:2003) currently represent the preferred method for odor emission characterization. During olfactometric analyses, human assessors are directly exposed to the odor at increasing concentrations, thus requiring the assessment of the associated exposure risk to guarantee workers’ safety. This paper presents an investigation aiming to produce an inventory of compounds emitted from foundries together with their odor thresholds and toxicological limits (TLVs), with the final objective to propose a procedure for ensuring workers’ safety during olfactometric analyses. Looking at the database resulting from this study, among the &gt;100 compounds emitted by foundries, 8 have a maximum concentration above their TLV. Among those, ammonia, H2S, phenol, toluene and trimethylamine, produce an odor stimulus before they reach a toxic concentration, thus not representing a risk for olfactometric workers. Benzene, formaldehyde and SO2 are identified as the most critical compounds because they may reach toxic concentrations in foundry emissions, and they start being perceived by humans above their TLV. The proposed procedure entails a minimum dilution factor of 27’000 to be applied to odor samples analyzed by olfactometry, which however might result inapplicable in practical cases, thus pointing out the necessity to adopt chemical measurements to investigate specifically the concentration of the most critical compounds identified in this study.&quot;,&quot;issue&quot;:&quot;6&quot;,&quot;volume&quot;:&quot;56&quot;,&quot;container-title-short&quot;:&quot;&quot;},&quot;isTemporary&quot;:false},{&quot;id&quot;:&quot;bc2fc94e-18ee-33fb-851e-609cf1598359&quot;,&quot;itemData&quot;:{&quot;type&quot;:&quot;article-journal&quot;,&quot;id&quot;:&quot;bc2fc94e-18ee-33fb-851e-609cf1598359&quot;,&quot;title&quot;:&quot;Evaluation of occupational exposure risk for employees working in dynamic olfactometry: Focus on non-carcinogenic effects correlated with exposure to landfill emissions&quot;,&quot;author&quot;:[{&quot;family&quot;:&quot;Polvara&quot;,&quot;given&quot;:&quot;Elisa&quot;,&quot;parse-names&quot;:false,&quot;dropping-particle&quot;:&quot;&quot;,&quot;non-dropping-particle&quot;:&quot;&quot;},{&quot;family&quot;:&quot;Ashari&quot;,&quot;given&quot;:&quot;Baharak Essna&quot;,&quot;parse-names&quot;:false,&quot;dropping-particle&quot;:&quot;&quot;,&quot;non-dropping-particle&quot;:&quot;&quot;},{&quot;family&quot;:&quot;Capelli&quot;,&quot;given&quot;:&quot;Laura&quot;,&quot;parse-names&quot;:false,&quot;dropping-particle&quot;:&quot;&quot;,&quot;non-dropping-particle&quot;:&quot;&quot;},{&quot;family&quot;:&quot;Sironi&quot;,&quot;given&quot;:&quot;Selena&quot;,&quot;parse-names&quot;:false,&quot;dropping-particle&quot;:&quot;&quot;,&quot;non-dropping-particle&quot;:&quot;&quot;}],&quot;container-title&quot;:&quot;Atmosphere&quot;,&quot;container-title-short&quot;:&quot;Atmosphere (Basel).&quot;,&quot;accessed&quot;:{&quot;date-parts&quot;:[[2021,10,14]]},&quot;DOI&quot;:&quot;10.3390/atmos12101325&quot;,&quot;ISSN&quot;:&quot;20734433&quot;,&quot;URL&quot;:&quot;https://www.mdpi.com/2073-4433/12/10/1325/htm&quot;,&quot;issued&quot;:{&quot;date-parts&quot;:[[2021,10,11]]},&quot;page&quot;:&quot;1325&quot;,&quot;abstract&quot;:&quot;This work aims to evaluate the non-carcinogenic health effects related to landfill odor emissions, therefore focusing on workers involved in dynamic olfactometry. Currently, the most common technique to quantify odor emissions is dynamic olfactometry, a sensorial analysis involving human assessors. During the analysis, assessors are directly exposed, at increasing concentrations, to odor samples, and thus to the hazardous pollutants contained therein. This entails the need to estimate the associated exposure risk to guarantee examiners’ safety. Therefore, this paper evaluates the exposure risk for olfactometric examiners to establish the minimum dilution level to be adopted during the analysis of landfills’ odorous samples to guarantee panelists’ safety. For this purpose, an extensive literature review regarding the pollutants emitted by landfill odor sources was conducted, comparing compounds’ chemical concentrations and threshold limit values (TLVs) to calculate the Hazard Index (HI) and thus establish a minimum dilution value. The data collected indicate that a non-negligible non-carcinogenic risk exists for all landfill emissions considered. However, from the data considered, the minimum dilution factor to be adopted is lower than the typical odor concentration observed for these sources. Therefore, the olfactometric analysis of landfill samples can be generally conducted in safe conditions.&quot;,&quot;publisher&quot;:&quot;Multidisciplinary Digital Publishing Institute&quot;,&quot;issue&quot;:&quot;10&quot;,&quot;volume&quot;:&quot;12&quot;},&quot;isTemporary&quot;:false},{&quot;id&quot;:&quot;3f512234-77e1-3f4c-a434-879f9a228d7a&quot;,&quot;itemData&quot;:{&quot;type&quot;:&quot;article-journal&quot;,&quot;id&quot;:&quot;3f512234-77e1-3f4c-a434-879f9a228d7a&quot;,&quot;title&quot;:&quot;Probabilistic Approach for Assessing the Occupational Risk of Olfactometric Examiners: Methodology Description and Application to Real Exposure Scenario&quot;,&quot;author&quot;:[{&quot;family&quot;:&quot;Polvara&quot;,&quot;given&quot;:&quot;Elisa&quot;,&quot;parse-names&quot;:false,&quot;dropping-particle&quot;:&quot;&quot;,&quot;non-dropping-particle&quot;:&quot;&quot;},{&quot;family&quot;:&quot;Spinazzè&quot;,&quot;given&quot;:&quot;Andrea&quot;,&quot;parse-names&quot;:false,&quot;dropping-particle&quot;:&quot;&quot;,&quot;non-dropping-particle&quot;:&quot;&quot;},{&quot;family&quot;:&quot;Invernizzi&quot;,&quot;given&quot;:&quot;Marzio&quot;,&quot;parse-names&quot;:false,&quot;dropping-particle&quot;:&quot;&quot;,&quot;non-dropping-particle&quot;:&quot;&quot;},{&quot;family&quot;:&quot;Cattaneo&quot;,&quot;given&quot;:&quot;Andrea&quot;,&quot;parse-names&quot;:false,&quot;dropping-particle&quot;:&quot;&quot;,&quot;non-dropping-particle&quot;:&quot;&quot;},{&quot;family&quot;:&quot;Cavallo&quot;,&quot;given&quot;:&quot;Domenico Maria&quot;,&quot;parse-names&quot;:false,&quot;dropping-particle&quot;:&quot;&quot;,&quot;non-dropping-particle&quot;:&quot;&quot;},{&quot;family&quot;:&quot;Sironi&quot;,&quot;given&quot;:&quot;Selena&quot;,&quot;parse-names&quot;:false,&quot;dropping-particle&quot;:&quot;&quot;,&quot;non-dropping-particle&quot;:&quot;&quot;}],&quot;container-title&quot;:&quot;Toxics 2024, Vol. 12, Page 784&quot;,&quot;accessed&quot;:{&quot;date-parts&quot;:[[2024,11,13]]},&quot;DOI&quot;:&quot;10.3390/TOXICS12110784&quot;,&quot;ISSN&quot;:&quot;2305-6304&quot;,&quot;URL&quot;:&quot;https://www.mdpi.com/2305-6304/12/11/784/htm&quot;,&quot;issued&quot;:{&quot;date-parts&quot;:[[2024,10,29]]},&quot;page&quot;:&quot;784&quot;,&quot;abstract&quot;:&quot;Human examiners, known as panelists, are exposed to an unknown occupational exposure risk while determining odor concentration (Cod) using dynamic olfactometry. In the literature, a few papers, based on a deterministic approach, have been proposed to establish this occupational risk. As a result, the purpose of this study is to develop and apply a probabilistic approach, based on the randomization of exposure parameters, for assessing and evaluating the occupational exposure risk among olfactometric examiners. In this methodology, the risk is assessed by computing the hazard index (HI) and inhalation risk (IR) to determine the non-carcinogenic and carcinogenic risks. To randomize the exposure parameters, a Monte Carlo simulation was described and then applied in real exposure scenario to establish the exposure risk in terms of probability. Therefore, a one-year survey of the working activity of olfactometric examiners of Laboratorio Olfattometrico of Politecnico di Milano university was conducted. Based on this data collection (exposure parameters and chemical data, divided according to sample categories), a randomized exposure scenario was constructed to estimate the probability and cumulative distribution function of risk parameters. Different distributions were obtained for different industrial samples categories and were compared with respect to acceptability criteria (the value of HI and IR at 95th percentile of distribution). The elaboration provided evidence that negligible non-carcinogenic and carcinogenic risks are associated with the panelists’ activity, according to an entire annual dataset. The application of probabilistic risk assessment provides a more comprehensive and effective characterization of the general exposure scenario for olfactometric examiners, surpassing the limitations of a deterministic approach. This method can be extended to future exposure scenarios and enables the selection of the most effective risk management strategies to protect the health of olfactometric examiners.&quot;,&quot;publisher&quot;:&quot;Multidisciplinary Digital Publishing Institute&quot;,&quot;issue&quot;:&quot;11&quot;,&quot;volume&quot;:&quot;12&quot;,&quot;container-title-short&quot;:&quot;&quot;},&quot;isTemporary&quot;:false},{&quot;id&quot;:&quot;166152a0-d7fb-322d-aa5a-5df7ff6e9b06&quot;,&quot;itemData&quot;:{&quot;type&quot;:&quot;article-journal&quot;,&quot;id&quot;:&quot;166152a0-d7fb-322d-aa5a-5df7ff6e9b06&quot;,&quot;title&quot;:&quot;Dynamic Olfactometry and Potential Sample Toxicity. Guidelines for a Safe Occupational Health Approach&quot;,&quot;author&quot;:[{&quot;family&quot;:&quot;Davoli&quot;,&quot;given&quot;:&quot;Enrico&quot;,&quot;parse-names&quot;:false,&quot;dropping-particle&quot;:&quot;&quot;,&quot;non-dropping-particle&quot;:&quot;&quot;},{&quot;family&quot;:&quot;Zuccato&quot;,&quot;given&quot;:&quot;Ettore&quot;,&quot;parse-names&quot;:false,&quot;dropping-particle&quot;:&quot;&quot;,&quot;non-dropping-particle&quot;:&quot;&quot;},{&quot;family&quot;:&quot;Bianchi&quot;,&quot;given&quot;:&quot;Giancarlo&quot;,&quot;parse-names&quot;:false,&quot;dropping-particle&quot;:&quot;&quot;,&quot;non-dropping-particle&quot;:&quot;&quot;},{&quot;family&quot;:&quot;Palmiotto&quot;,&quot;given&quot;:&quot;Marinella&quot;,&quot;parse-names&quot;:false,&quot;dropping-particle&quot;:&quot;&quot;,&quot;non-dropping-particle&quot;:&quot;&quot;},{&quot;family&quot;:&quot;Grande&quot;,&quot;given&quot;:&quot;Massimiliano&quot;,&quot;parse-names&quot;:false,&quot;dropping-particle&quot;:&quot;&quot;,&quot;non-dropping-particle&quot;:&quot;Il&quot;},{&quot;family&quot;:&quot;Bonati&quot;,&quot;given&quot;:&quot;Simone&quot;,&quot;parse-names&quot;:false,&quot;dropping-particle&quot;:&quot;&quot;,&quot;non-dropping-particle&quot;:&quot;&quot;},{&quot;family&quot;:&quot;Rossi&quot;,&quot;given&quot;:&quot;Andrea N&quot;,&quot;parse-names&quot;:false,&quot;dropping-particle&quot;:&quot;&quot;,&quot;non-dropping-particle&quot;:&quot;&quot;}],&quot;container-title&quot;:&quot;Chemical Engineering Transactions&quot;,&quot;container-title-short&quot;:&quot;Chem. Eng. Trans.&quot;,&quot;accessed&quot;:{&quot;date-parts&quot;:[[2019,10,31]]},&quot;DOI&quot;:&quot;10.3303/CET1230002&quot;,&quot;ISBN&quot;:&quot;978-88-95608-21-1&quot;,&quot;ISSN&quot;:&quot;1974-9791&quot;,&quot;issued&quot;:{&quot;date-parts&quot;:[[2012]]},&quot;page&quot;:&quot;7-12&quot;,&quot;abstract&quot;:&quot;The study reported in this paper examined occupational exposure to potential toxic compounds (PTC) for employees working in dynamic olfactometry, following EN 13725:2003 standard procedures. Potential exposure pathways is limited to inhalation of chemicals in air, through the olfactometer, and for this study it was assumed that no chemical transformations or abatements are induced during the dilution steps or by the different sample lines components. Since the possibility of the dilution apparatus malfunctioning cannot be detected in real time, the exposure scenario assessment was based on an upper bound estimate of exposure, using published values of PTC present in emissions of different activities. The non-carcinogenic toxicity assessment was based on short term, acute toxicity effects, while for carcinogenic effects, EPA slope factors were used. The dose was based on individual PTC maximum concentration observed multiplied by the forced inspiratory nasal volumes and corrected by the average number of sample presentations. Different risk scenarios have been calculated for different sample type, both for carcinogenic and non-carcinogenic PTC. Since samples are presented to assessors in an ascending concentration series, i.e. with a lower and lower dilution factor, assessors' exposure is limited to acceptable levels by defining a minimum dilution value, based on specific sample type potential risk, as a guideline for the olfactometric laboratory standard procedures.&quot;,&quot;volume&quot;:&quot;30&quot;},&quot;isTemporary&quot;:false},{&quot;id&quot;:&quot;c27407bf-581e-3017-b3e5-96732036febb&quot;,&quot;itemData&quot;:{&quot;type&quot;:&quot;article-journal&quot;,&quot;id&quot;:&quot;c27407bf-581e-3017-b3e5-96732036febb&quot;,&quot;title&quot;:&quot;Dynamic olfactometry and sample toxicity. a case study for a MSW incinerator odour assessment project&quot;,&quot;author&quot;:[{&quot;family&quot;:&quot;Davoli&quot;,&quot;given&quot;:&quot;Enrico&quot;,&quot;parse-names&quot;:false,&quot;dropping-particle&quot;:&quot;&quot;,&quot;non-dropping-particle&quot;:&quot;&quot;},{&quot;family&quot;:&quot;Zuccato&quot;,&quot;given&quot;:&quot;Ettore&quot;,&quot;parse-names&quot;:false,&quot;dropping-particle&quot;:&quot;&quot;,&quot;non-dropping-particle&quot;:&quot;&quot;},{&quot;family&quot;:&quot;Bianchi&quot;,&quot;given&quot;:&quot;Giancarlo&quot;,&quot;parse-names&quot;:false,&quot;dropping-particle&quot;:&quot;&quot;,&quot;non-dropping-particle&quot;:&quot;&quot;},{&quot;family&quot;:&quot;Grande&quot;,&quot;given&quot;:&quot;Massimiliano&quot;,&quot;parse-names&quot;:false,&quot;dropping-particle&quot;:&quot;&quot;,&quot;non-dropping-particle&quot;:&quot;Il&quot;},{&quot;family&quot;:&quot;Bonati&quot;,&quot;given&quot;:&quot;Simone&quot;,&quot;parse-names&quot;:false,&quot;dropping-particle&quot;:&quot;&quot;,&quot;non-dropping-particle&quot;:&quot;&quot;},{&quot;family&quot;:&quot;Rossi&quot;,&quot;given&quot;:&quot;Andrea N.&quot;,&quot;parse-names&quot;:false,&quot;dropping-particle&quot;:&quot;&quot;,&quot;non-dropping-particle&quot;:&quot;&quot;},{&quot;family&quot;:&quot;Porporato&quot;,&quot;given&quot;:&quot;Clemente&quot;,&quot;parse-names&quot;:false,&quot;dropping-particle&quot;:&quot;&quot;,&quot;non-dropping-particle&quot;:&quot;&quot;},{&quot;family&quot;:&quot;Pereno&quot;,&quot;given&quot;:&quot;Massimiliano&quot;,&quot;parse-names&quot;:false,&quot;dropping-particle&quot;:&quot;&quot;,&quot;non-dropping-particle&quot;:&quot;&quot;},{&quot;family&quot;:&quot;Soldati&quot;,&quot;given&quot;:&quot;Simona&quot;,&quot;parse-names&quot;:false,&quot;dropping-particle&quot;:&quot;&quot;,&quot;non-dropping-particle&quot;:&quot;&quot;}],&quot;container-title&quot;:&quot;Chemical Engineering Transactions&quot;,&quot;container-title-short&quot;:&quot;Chem. Eng. Trans.&quot;,&quot;DOI&quot;:&quot;10.3303/CET1654003&quot;,&quot;ISSN&quot;:&quot;22839216&quot;,&quot;issued&quot;:{&quot;date-parts&quot;:[[2016]]},&quot;page&quot;:&quot;13-18&quot;,&quot;abstract&quot;:&quot;The study reported in this paper is focused on occupational exposure to potential toxic compounds for employees working in dynamic olfactometry, following EN 13725:2003 standard procedures. Municipal solid waste (MSW) incineration plants, typically, have authorized stack emissions for primary pollutants (like CO, NOx, particulate), for selected trace organics (polycyclic aromatic hydrocarbons (PAHs) or dioxins), metals or for total organic compounds (TOC). Odour control is limited on recommendations of good practices for the waste receiving areas and storage, generally on the air management systems. In Italy there is an increasingly number of requests, to environmental inspection authorities, Agenzia Regionale per la Protezione Ambientale (ARPA), Regional Environment Agency, to quantitatively describe possible odour annoyance effects from different industrial plants, including MSW incineration plants. Recently ARPA Piemonte has been asked to perform one odour survey for the newly incinerator for the city of Torino, that burns 500,000 t/y of MSW recovering energy through cogeneration. The plant is equipped with a pollutant's automated measuring system (AMS) to assess the compliance with the emission limit values, but not to measure odour emissions. For this reason, it is necessary to assess odour emissions as well, in order to prepare an exhaustive environmental odour scenario for the whole area. We recently presented a risk assessment approach, to evaluate non-carcinogenic and carcinogenic compounds for different sample types, based on STEL or TWA data, or EPA slope factors values respectively. It has been decide to follow this approach to define potential sample toxicity (PT), using the different risk occupational scenarios proposed, before odour concentration analysis of stack emissions samples. Using emission limit values that are set in the permit, PT has been defined. Since samples are presented to assessors in an ascending concentration series, workers exposure has been limited to acceptable levels defining the specific minimum dilution value to be used in the ARPA Piemonte olfactometric laboratory standard procedures.&quot;,&quot;publisher&quot;:&quot;Italian Association of Chemical Engineering - AIDIC&quot;,&quot;volume&quot;:&quot;54&quot;},&quot;isTemporary&quot;:false}],&quot;citationTag&quot;:&quot;MENDELEY_CITATION_v3_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&quot;},{&quot;citationID&quot;:&quot;MENDELEY_CITATION_5fb3564c-7434-4cac-8773-bd31165696d0&quot;,&quot;properties&quot;:{&quot;noteIndex&quot;:0},&quot;isEdited&quot;:false,&quot;manualOverride&quot;:{&quot;isManuallyOverridden&quot;:true,&quot;citeprocText&quot;:&quot;(Nagata, 2003)&quot;,&quot;manualOverrideText&quot;:&quot;Nagata, 2003&quot;},&quot;citationTag&quot;:&quot;MENDELEY_CITATION_v3_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&quot;,&quot;citationItems&quot;:[{&quot;id&quot;:&quot;45894415-778c-3519-9e07-36661ce74588&quot;,&quot;itemData&quot;:{&quot;type&quot;:&quot;article-journal&quot;,&quot;id&quot;:&quot;45894415-778c-3519-9e07-36661ce74588&quot;,&quot;title&quot;:&quot;Measurement of Odor Threshold by Triangle Odor Bag Method&quot;,&quot;author&quot;:[{&quot;family&quot;:&quot;Nagata&quot;,&quot;given&quot;:&quot;Yoshio&quot;,&quot;parse-names&quot;:false,&quot;dropping-particle&quot;:&quot;&quot;,&quot;non-dropping-particle&quot;:&quot;&quot;}],&quot;container-title&quot;:&quot;Odor Measurement Review&quot;,&quot;accessed&quot;:{&quot;date-parts&quot;:[[2020,2,28]]},&quot;issued&quot;:{&quot;date-parts&quot;:[[2003]]},&quot;page&quot;:&quot;118-127&quot;,&quot;abstract&quot;:&quot;The detection thresholds of odor substances analyzed in field investigations were measured by the triangle odor bag method1). The number of substances used for the experiment is 223. The experiment was carried out from 1976 to 1988. As the results of the experiments, the odor thresholds were distributed over the concentration of large range depending on the odor substances. Isoamyl mercaptane exhibited the lowest threshold (0.77ppt), and propane exhibited the highest threshold (1500ppm). The distribution of thresholds expresses the normal distribution. Sulfur compounds with the exception of sulfur dioxide and carbon disulfide have the comparatively low threshold. It is showed the tendency that threshold becomes low as the increase of molecular weight in a certain range of molecular weight. When the dispersion of odor thresholds for the same substance was shown at the ratio of the highest to the lowest odor threshold tested, the dispersion of odor thresholds was about 5 at the maximum. The thresholds of 223 substances measured by our laboratory were considered to be the average values with small bias comparatively.&quot;,&quot;container-title-short&quot;:&quot;&quot;},&quot;isTemporary&quot;:false}]},{&quot;citationID&quot;:&quot;MENDELEY_CITATION_08ff0fea-152e-40aa-a263-699adbc6a637&quot;,&quot;properties&quot;:{&quot;noteIndex&quot;:0},&quot;isEdited&quot;:false,&quot;manualOverride&quot;:{&quot;isManuallyOverridden&quot;:false,&quot;citeprocText&quot;:&quot;(EN 13725:2022, 2022)&quot;,&quot;manualOverrideText&quot;:&quot;&quot;},&quot;citationTag&quot;:&quot;MENDELEY_CITATION_v3_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&quot;,&quot;citationItems&quot;:[{&quot;id&quot;:&quot;c12f493e-6578-3766-8c10-27ba1aa9a076&quot;,&quot;itemData&quot;:{&quot;type&quot;:&quot;book&quot;,&quot;id&quot;:&quot;c12f493e-6578-3766-8c10-27ba1aa9a076&quot;,&quot;title&quot;:&quot;Stationary source emissions - Determination of odour concentration by dynamic olfactometry and odour&quot;,&quot;author&quot;:[{&quot;family&quot;:&quot;EN 13725:2022&quot;,&quot;given&quot;:&quot;&quot;,&quot;parse-names&quot;:false,&quot;dropping-particle&quot;:&quot;&quot;,&quot;non-dropping-particle&quot;:&quot;&quot;}],&quot;DOI&quot;:&quot;10.31030/3290685&quot;,&quot;ISBN&quot;:&quot;978 0 539 21821 3&quot;,&quot;issued&quot;:{&quot;date-parts&quot;:[[2022]]},&quot;container-title-short&quot;:&quot;&quot;},&quot;isTemporary&quot;:false}]},{&quot;citationID&quot;:&quot;MENDELEY_CITATION_bfb537ec-887f-4d2a-b040-49a895b7423f&quot;,&quot;properties&quot;:{&quot;noteIndex&quot;:0},&quot;isEdited&quot;:false,&quot;manualOverride&quot;:{&quot;isManuallyOverridden&quot;:false,&quot;citeprocText&quot;:&quot;(Polvara, Spinazzè, &lt;i&gt;et al.&lt;/i&gt;, 2021)&quot;,&quot;manualOverrideText&quot;:&quot;&quot;},&quot;citationTag&quot;:&quot;MENDELEY_CITATION_v3_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&quot;,&quot;citationItems&quot;:[{&quot;id&quot;:&quot;1b0866ac-de33-3da6-9686-244930c08a4a&quot;,&quot;itemData&quot;:{&quot;type&quot;:&quot;article-journal&quot;,&quot;id&quot;:&quot;1b0866ac-de33-3da6-9686-244930c08a4a&quot;,&quot;title&quot;:&quot;Toxicological assessment method for evaluating the occupational risk of dynamic olfactometry assessors&quot;,&quot;author&quot;:[{&quot;family&quot;:&quot;Polvara&quot;,&quot;given&quot;:&quot;Elisa&quot;,&quot;parse-names&quot;:false,&quot;dropping-particle&quot;:&quot;&quot;,&quot;non-dropping-particle&quot;:&quot;&quot;},{&quot;family&quot;:&quot;Spinazzè&quot;,&quot;given&quot;:&quot;Andrea&quot;,&quot;parse-names&quot;:false,&quot;dropping-particle&quot;:&quot;&quot;,&quot;non-dropping-particle&quot;:&quot;&quot;},{&quot;family&quot;:&quot;Invernizzi&quot;,&quot;given&quot;:&quot;Marzio&quot;,&quot;parse-names&quot;:false,&quot;dropping-particle&quot;:&quot;&quot;,&quot;non-dropping-particle&quot;:&quot;&quot;},{&quot;family&quot;:&quot;Cattaneo&quot;,&quot;given&quot;:&quot;Andrea&quot;,&quot;parse-names&quot;:false,&quot;dropping-particle&quot;:&quot;&quot;,&quot;non-dropping-particle&quot;:&quot;&quot;},{&quot;family&quot;:&quot;Sironi&quot;,&quot;given&quot;:&quot;Selena&quot;,&quot;parse-names&quot;:false,&quot;dropping-particle&quot;:&quot;&quot;,&quot;non-dropping-particle&quot;:&quot;&quot;},{&quot;family&quot;:&quot;Cavallo&quot;,&quot;given&quot;:&quot;Domenico Maria&quot;,&quot;parse-names&quot;:false,&quot;dropping-particle&quot;:&quot;&quot;,&quot;non-dropping-particle&quot;:&quot;&quot;}],&quot;container-title&quot;:&quot;Regulatory Toxicology and Pharmacology&quot;,&quot;DOI&quot;:&quot;10.1016/j.yrtph.2021.105003&quot;,&quot;ISSN&quot;:&quot;0273-2300&quot;,&quot;URL&quot;:&quot;https://doi.org/10.1016/j.yrtph.2021.105003&quot;,&quot;issued&quot;:{&quot;date-parts&quot;:[[2021]]},&quot;page&quot;:&quot;105003&quot;,&quot;publisher&quot;:&quot;Elsevier Inc.&quot;,&quot;issue&quot;:&quot;May&quot;,&quot;volume&quot;:&quot;125&quot;,&quot;container-title-short&quot;:&quot;&quot;},&quot;isTemporary&quot;:false}]},{&quot;citationID&quot;:&quot;MENDELEY_CITATION_9a2aec75-69d8-4efe-a824-fccf9aef06d3&quot;,&quot;properties&quot;:{&quot;noteIndex&quot;:0},&quot;isEdited&quot;:false,&quot;manualOverride&quot;:{&quot;isManuallyOverridden&quot;:false,&quot;citeprocText&quot;:&quot;(Polvara, Spinazzè, &lt;i&gt;et al.&lt;/i&gt;, 2021)&quot;,&quot;manualOverrideText&quot;:&quot;&quot;},&quot;citationTag&quot;:&quot;MENDELEY_CITATION_v3_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&quot;,&quot;citationItems&quot;:[{&quot;id&quot;:&quot;1b0866ac-de33-3da6-9686-244930c08a4a&quot;,&quot;itemData&quot;:{&quot;type&quot;:&quot;article-journal&quot;,&quot;id&quot;:&quot;1b0866ac-de33-3da6-9686-244930c08a4a&quot;,&quot;title&quot;:&quot;Toxicological assessment method for evaluating the occupational risk of dynamic olfactometry assessors&quot;,&quot;author&quot;:[{&quot;family&quot;:&quot;Polvara&quot;,&quot;given&quot;:&quot;Elisa&quot;,&quot;parse-names&quot;:false,&quot;dropping-particle&quot;:&quot;&quot;,&quot;non-dropping-particle&quot;:&quot;&quot;},{&quot;family&quot;:&quot;Spinazzè&quot;,&quot;given&quot;:&quot;Andrea&quot;,&quot;parse-names&quot;:false,&quot;dropping-particle&quot;:&quot;&quot;,&quot;non-dropping-particle&quot;:&quot;&quot;},{&quot;family&quot;:&quot;Invernizzi&quot;,&quot;given&quot;:&quot;Marzio&quot;,&quot;parse-names&quot;:false,&quot;dropping-particle&quot;:&quot;&quot;,&quot;non-dropping-particle&quot;:&quot;&quot;},{&quot;family&quot;:&quot;Cattaneo&quot;,&quot;given&quot;:&quot;Andrea&quot;,&quot;parse-names&quot;:false,&quot;dropping-particle&quot;:&quot;&quot;,&quot;non-dropping-particle&quot;:&quot;&quot;},{&quot;family&quot;:&quot;Sironi&quot;,&quot;given&quot;:&quot;Selena&quot;,&quot;parse-names&quot;:false,&quot;dropping-particle&quot;:&quot;&quot;,&quot;non-dropping-particle&quot;:&quot;&quot;},{&quot;family&quot;:&quot;Cavallo&quot;,&quot;given&quot;:&quot;Domenico Maria&quot;,&quot;parse-names&quot;:false,&quot;dropping-particle&quot;:&quot;&quot;,&quot;non-dropping-particle&quot;:&quot;&quot;}],&quot;container-title&quot;:&quot;Regulatory Toxicology and Pharmacology&quot;,&quot;DOI&quot;:&quot;10.1016/j.yrtph.2021.105003&quot;,&quot;ISSN&quot;:&quot;0273-2300&quot;,&quot;URL&quot;:&quot;https://doi.org/10.1016/j.yrtph.2021.105003&quot;,&quot;issued&quot;:{&quot;date-parts&quot;:[[2021]]},&quot;page&quot;:&quot;105003&quot;,&quot;publisher&quot;:&quot;Elsevier Inc.&quot;,&quot;issue&quot;:&quot;May&quot;,&quot;volume&quot;:&quot;125&quot;,&quot;container-title-short&quot;:&quot;&quot;},&quot;isTemporary&quot;:false}]},{&quot;citationID&quot;:&quot;MENDELEY_CITATION_5b1cc4f5-f594-4cf9-8b9f-5038eac037f8&quot;,&quot;properties&quot;:{&quot;noteIndex&quot;:0},&quot;isEdited&quot;:false,&quot;manualOverride&quot;:{&quot;isManuallyOverridden&quot;:false,&quot;citeprocText&quot;:&quot;(Polvara &lt;i&gt;et al.&lt;/i&gt;, 2024)&quot;,&quot;manualOverrideText&quot;:&quot;&quot;},&quot;citationTag&quot;:&quot;MENDELEY_CITATION_v3_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&quot;,&quot;citationItems&quot;:[{&quot;id&quot;:&quot;3f512234-77e1-3f4c-a434-879f9a228d7a&quot;,&quot;itemData&quot;:{&quot;type&quot;:&quot;article-journal&quot;,&quot;id&quot;:&quot;3f512234-77e1-3f4c-a434-879f9a228d7a&quot;,&quot;title&quot;:&quot;Probabilistic Approach for Assessing the Occupational Risk of Olfactometric Examiners: Methodology Description and Application to Real Exposure Scenario&quot;,&quot;author&quot;:[{&quot;family&quot;:&quot;Polvara&quot;,&quot;given&quot;:&quot;Elisa&quot;,&quot;parse-names&quot;:false,&quot;dropping-particle&quot;:&quot;&quot;,&quot;non-dropping-particle&quot;:&quot;&quot;},{&quot;family&quot;:&quot;Spinazzè&quot;,&quot;given&quot;:&quot;Andrea&quot;,&quot;parse-names&quot;:false,&quot;dropping-particle&quot;:&quot;&quot;,&quot;non-dropping-particle&quot;:&quot;&quot;},{&quot;family&quot;:&quot;Invernizzi&quot;,&quot;given&quot;:&quot;Marzio&quot;,&quot;parse-names&quot;:false,&quot;dropping-particle&quot;:&quot;&quot;,&quot;non-dropping-particle&quot;:&quot;&quot;},{&quot;family&quot;:&quot;Cattaneo&quot;,&quot;given&quot;:&quot;Andrea&quot;,&quot;parse-names&quot;:false,&quot;dropping-particle&quot;:&quot;&quot;,&quot;non-dropping-particle&quot;:&quot;&quot;},{&quot;family&quot;:&quot;Cavallo&quot;,&quot;given&quot;:&quot;Domenico Maria&quot;,&quot;parse-names&quot;:false,&quot;dropping-particle&quot;:&quot;&quot;,&quot;non-dropping-particle&quot;:&quot;&quot;},{&quot;family&quot;:&quot;Sironi&quot;,&quot;given&quot;:&quot;Selena&quot;,&quot;parse-names&quot;:false,&quot;dropping-particle&quot;:&quot;&quot;,&quot;non-dropping-particle&quot;:&quot;&quot;}],&quot;container-title&quot;:&quot;Toxics 2024, Vol. 12, Page 784&quot;,&quot;accessed&quot;:{&quot;date-parts&quot;:[[2024,11,13]]},&quot;DOI&quot;:&quot;10.3390/TOXICS12110784&quot;,&quot;ISSN&quot;:&quot;2305-6304&quot;,&quot;URL&quot;:&quot;https://www.mdpi.com/2305-6304/12/11/784/htm&quot;,&quot;issued&quot;:{&quot;date-parts&quot;:[[2024,10,29]]},&quot;page&quot;:&quot;784&quot;,&quot;abstract&quot;:&quot;Human examiners, known as panelists, are exposed to an unknown occupational exposure risk while determining odor concentration (Cod) using dynamic olfactometry. In the literature, a few papers, based on a deterministic approach, have been proposed to establish this occupational risk. As a result, the purpose of this study is to develop and apply a probabilistic approach, based on the randomization of exposure parameters, for assessing and evaluating the occupational exposure risk among olfactometric examiners. In this methodology, the risk is assessed by computing the hazard index (HI) and inhalation risk (IR) to determine the non-carcinogenic and carcinogenic risks. To randomize the exposure parameters, a Monte Carlo simulation was described and then applied in real exposure scenario to establish the exposure risk in terms of probability. Therefore, a one-year survey of the working activity of olfactometric examiners of Laboratorio Olfattometrico of Politecnico di Milano university was conducted. Based on this data collection (exposure parameters and chemical data, divided according to sample categories), a randomized exposure scenario was constructed to estimate the probability and cumulative distribution function of risk parameters. Different distributions were obtained for different industrial samples categories and were compared with respect to acceptability criteria (the value of HI and IR at 95th percentile of distribution). The elaboration provided evidence that negligible non-carcinogenic and carcinogenic risks are associated with the panelists’ activity, according to an entire annual dataset. The application of probabilistic risk assessment provides a more comprehensive and effective characterization of the general exposure scenario for olfactometric examiners, surpassing the limitations of a deterministic approach. This method can be extended to future exposure scenarios and enables the selection of the most effective risk management strategies to protect the health of olfactometric examiners.&quot;,&quot;publisher&quot;:&quot;Multidisciplinary Digital Publishing Institute&quot;,&quot;issue&quot;:&quot;11&quot;,&quot;volume&quot;:&quot;12&quot;,&quot;container-title-short&quot;:&quot;&quot;},&quot;isTemporary&quot;:false}]},{&quot;citationID&quot;:&quot;MENDELEY_CITATION_143c50c6-733c-4f9d-9ca1-452d762aa250&quot;,&quot;properties&quot;:{&quot;noteIndex&quot;:0},&quot;isEdited&quot;:false,&quot;manualOverride&quot;:{&quot;isManuallyOverridden&quot;:false,&quot;citeprocText&quot;:&quot;(Polvara, Spinazzè, &lt;i&gt;et al.&lt;/i&gt;, 2021; Polvara &lt;i&gt;et al.&lt;/i&gt;, 2024)&quot;,&quot;manualOverrideText&quot;:&quot;&quot;},&quot;citationTag&quot;:&quot;MENDELEY_CITATION_v3_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&quot;,&quot;citationItems&quot;:[{&quot;id&quot;:&quot;1b0866ac-de33-3da6-9686-244930c08a4a&quot;,&quot;itemData&quot;:{&quot;type&quot;:&quot;article-journal&quot;,&quot;id&quot;:&quot;1b0866ac-de33-3da6-9686-244930c08a4a&quot;,&quot;title&quot;:&quot;Toxicological assessment method for evaluating the occupational risk of dynamic olfactometry assessors&quot;,&quot;author&quot;:[{&quot;family&quot;:&quot;Polvara&quot;,&quot;given&quot;:&quot;Elisa&quot;,&quot;parse-names&quot;:false,&quot;dropping-particle&quot;:&quot;&quot;,&quot;non-dropping-particle&quot;:&quot;&quot;},{&quot;family&quot;:&quot;Spinazzè&quot;,&quot;given&quot;:&quot;Andrea&quot;,&quot;parse-names&quot;:false,&quot;dropping-particle&quot;:&quot;&quot;,&quot;non-dropping-particle&quot;:&quot;&quot;},{&quot;family&quot;:&quot;Invernizzi&quot;,&quot;given&quot;:&quot;Marzio&quot;,&quot;parse-names&quot;:false,&quot;dropping-particle&quot;:&quot;&quot;,&quot;non-dropping-particle&quot;:&quot;&quot;},{&quot;family&quot;:&quot;Cattaneo&quot;,&quot;given&quot;:&quot;Andrea&quot;,&quot;parse-names&quot;:false,&quot;dropping-particle&quot;:&quot;&quot;,&quot;non-dropping-particle&quot;:&quot;&quot;},{&quot;family&quot;:&quot;Sironi&quot;,&quot;given&quot;:&quot;Selena&quot;,&quot;parse-names&quot;:false,&quot;dropping-particle&quot;:&quot;&quot;,&quot;non-dropping-particle&quot;:&quot;&quot;},{&quot;family&quot;:&quot;Cavallo&quot;,&quot;given&quot;:&quot;Domenico Maria&quot;,&quot;parse-names&quot;:false,&quot;dropping-particle&quot;:&quot;&quot;,&quot;non-dropping-particle&quot;:&quot;&quot;}],&quot;container-title&quot;:&quot;Regulatory Toxicology and Pharmacology&quot;,&quot;DOI&quot;:&quot;10.1016/j.yrtph.2021.105003&quot;,&quot;ISSN&quot;:&quot;0273-2300&quot;,&quot;URL&quot;:&quot;https://doi.org/10.1016/j.yrtph.2021.105003&quot;,&quot;issued&quot;:{&quot;date-parts&quot;:[[2021]]},&quot;page&quot;:&quot;105003&quot;,&quot;publisher&quot;:&quot;Elsevier Inc.&quot;,&quot;issue&quot;:&quot;May&quot;,&quot;volume&quot;:&quot;125&quot;,&quot;container-title-short&quot;:&quot;&quot;},&quot;isTemporary&quot;:false},{&quot;id&quot;:&quot;3f512234-77e1-3f4c-a434-879f9a228d7a&quot;,&quot;itemData&quot;:{&quot;type&quot;:&quot;article-journal&quot;,&quot;id&quot;:&quot;3f512234-77e1-3f4c-a434-879f9a228d7a&quot;,&quot;title&quot;:&quot;Probabilistic Approach for Assessing the Occupational Risk of Olfactometric Examiners: Methodology Description and Application to Real Exposure Scenario&quot;,&quot;author&quot;:[{&quot;family&quot;:&quot;Polvara&quot;,&quot;given&quot;:&quot;Elisa&quot;,&quot;parse-names&quot;:false,&quot;dropping-particle&quot;:&quot;&quot;,&quot;non-dropping-particle&quot;:&quot;&quot;},{&quot;family&quot;:&quot;Spinazzè&quot;,&quot;given&quot;:&quot;Andrea&quot;,&quot;parse-names&quot;:false,&quot;dropping-particle&quot;:&quot;&quot;,&quot;non-dropping-particle&quot;:&quot;&quot;},{&quot;family&quot;:&quot;Invernizzi&quot;,&quot;given&quot;:&quot;Marzio&quot;,&quot;parse-names&quot;:false,&quot;dropping-particle&quot;:&quot;&quot;,&quot;non-dropping-particle&quot;:&quot;&quot;},{&quot;family&quot;:&quot;Cattaneo&quot;,&quot;given&quot;:&quot;Andrea&quot;,&quot;parse-names&quot;:false,&quot;dropping-particle&quot;:&quot;&quot;,&quot;non-dropping-particle&quot;:&quot;&quot;},{&quot;family&quot;:&quot;Cavallo&quot;,&quot;given&quot;:&quot;Domenico Maria&quot;,&quot;parse-names&quot;:false,&quot;dropping-particle&quot;:&quot;&quot;,&quot;non-dropping-particle&quot;:&quot;&quot;},{&quot;family&quot;:&quot;Sironi&quot;,&quot;given&quot;:&quot;Selena&quot;,&quot;parse-names&quot;:false,&quot;dropping-particle&quot;:&quot;&quot;,&quot;non-dropping-particle&quot;:&quot;&quot;}],&quot;container-title&quot;:&quot;Toxics 2024, Vol. 12, Page 784&quot;,&quot;accessed&quot;:{&quot;date-parts&quot;:[[2024,11,13]]},&quot;DOI&quot;:&quot;10.3390/TOXICS12110784&quot;,&quot;ISSN&quot;:&quot;2305-6304&quot;,&quot;URL&quot;:&quot;https://www.mdpi.com/2305-6304/12/11/784/htm&quot;,&quot;issued&quot;:{&quot;date-parts&quot;:[[2024,10,29]]},&quot;page&quot;:&quot;784&quot;,&quot;abstract&quot;:&quot;Human examiners, known as panelists, are exposed to an unknown occupational exposure risk while determining odor concentration (Cod) using dynamic olfactometry. In the literature, a few papers, based on a deterministic approach, have been proposed to establish this occupational risk. As a result, the purpose of this study is to develop and apply a probabilistic approach, based on the randomization of exposure parameters, for assessing and evaluating the occupational exposure risk among olfactometric examiners. In this methodology, the risk is assessed by computing the hazard index (HI) and inhalation risk (IR) to determine the non-carcinogenic and carcinogenic risks. To randomize the exposure parameters, a Monte Carlo simulation was described and then applied in real exposure scenario to establish the exposure risk in terms of probability. Therefore, a one-year survey of the working activity of olfactometric examiners of Laboratorio Olfattometrico of Politecnico di Milano university was conducted. Based on this data collection (exposure parameters and chemical data, divided according to sample categories), a randomized exposure scenario was constructed to estimate the probability and cumulative distribution function of risk parameters. Different distributions were obtained for different industrial samples categories and were compared with respect to acceptability criteria (the value of HI and IR at 95th percentile of distribution). The elaboration provided evidence that negligible non-carcinogenic and carcinogenic risks are associated with the panelists’ activity, according to an entire annual dataset. The application of probabilistic risk assessment provides a more comprehensive and effective characterization of the general exposure scenario for olfactometric examiners, surpassing the limitations of a deterministic approach. This method can be extended to future exposure scenarios and enables the selection of the most effective risk management strategies to protect the health of olfactometric examiners.&quot;,&quot;publisher&quot;:&quot;Multidisciplinary Digital Publishing Institute&quot;,&quot;issue&quot;:&quot;11&quot;,&quot;volume&quot;:&quot;12&quot;,&quot;container-title-short&quot;:&quot;&quot;},&quot;isTemporary&quot;:false}]},{&quot;citationID&quot;:&quot;MENDELEY_CITATION_1851a440-a011-4be2-bee5-e9f44d9cbc29&quot;,&quot;properties&quot;:{&quot;noteIndex&quot;:0},&quot;isEdited&quot;:false,&quot;manualOverride&quot;:{&quot;isManuallyOverridden&quot;:false,&quot;citeprocText&quot;:&quot;(Polvara, Spinazzè, &lt;i&gt;et al.&lt;/i&gt;, 2021)&quot;,&quot;manualOverrideText&quot;:&quot;&quot;},&quot;citationTag&quot;:&quot;MENDELEY_CITATION_v3_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&quot;,&quot;citationItems&quot;:[{&quot;id&quot;:&quot;1b0866ac-de33-3da6-9686-244930c08a4a&quot;,&quot;itemData&quot;:{&quot;type&quot;:&quot;article-journal&quot;,&quot;id&quot;:&quot;1b0866ac-de33-3da6-9686-244930c08a4a&quot;,&quot;title&quot;:&quot;Toxicological assessment method for evaluating the occupational risk of dynamic olfactometry assessors&quot;,&quot;author&quot;:[{&quot;family&quot;:&quot;Polvara&quot;,&quot;given&quot;:&quot;Elisa&quot;,&quot;parse-names&quot;:false,&quot;dropping-particle&quot;:&quot;&quot;,&quot;non-dropping-particle&quot;:&quot;&quot;},{&quot;family&quot;:&quot;Spinazzè&quot;,&quot;given&quot;:&quot;Andrea&quot;,&quot;parse-names&quot;:false,&quot;dropping-particle&quot;:&quot;&quot;,&quot;non-dropping-particle&quot;:&quot;&quot;},{&quot;family&quot;:&quot;Invernizzi&quot;,&quot;given&quot;:&quot;Marzio&quot;,&quot;parse-names&quot;:false,&quot;dropping-particle&quot;:&quot;&quot;,&quot;non-dropping-particle&quot;:&quot;&quot;},{&quot;family&quot;:&quot;Cattaneo&quot;,&quot;given&quot;:&quot;Andrea&quot;,&quot;parse-names&quot;:false,&quot;dropping-particle&quot;:&quot;&quot;,&quot;non-dropping-particle&quot;:&quot;&quot;},{&quot;family&quot;:&quot;Sironi&quot;,&quot;given&quot;:&quot;Selena&quot;,&quot;parse-names&quot;:false,&quot;dropping-particle&quot;:&quot;&quot;,&quot;non-dropping-particle&quot;:&quot;&quot;},{&quot;family&quot;:&quot;Cavallo&quot;,&quot;given&quot;:&quot;Domenico Maria&quot;,&quot;parse-names&quot;:false,&quot;dropping-particle&quot;:&quot;&quot;,&quot;non-dropping-particle&quot;:&quot;&quot;}],&quot;container-title&quot;:&quot;Regulatory Toxicology and Pharmacology&quot;,&quot;DOI&quot;:&quot;10.1016/j.yrtph.2021.105003&quot;,&quot;ISSN&quot;:&quot;0273-2300&quot;,&quot;URL&quot;:&quot;https://doi.org/10.1016/j.yrtph.2021.105003&quot;,&quot;issued&quot;:{&quot;date-parts&quot;:[[2021]]},&quot;page&quot;:&quot;105003&quot;,&quot;publisher&quot;:&quot;Elsevier Inc.&quot;,&quot;issue&quot;:&quot;May&quot;,&quot;volume&quot;:&quot;125&quot;,&quot;container-title-short&quot;:&quot;&quot;},&quot;isTemporary&quot;:false}]},{&quot;citationID&quot;:&quot;MENDELEY_CITATION_b0e5b243-55ef-4a1b-b390-7ba16cfdf3aa&quot;,&quot;properties&quot;:{&quot;noteIndex&quot;:0},&quot;isEdited&quot;:false,&quot;manualOverride&quot;:{&quot;isManuallyOverridden&quot;:false,&quot;citeprocText&quot;:&quot;(EN 13725:2022, 2022)&quot;,&quot;manualOverrideText&quot;:&quot;&quot;},&quot;citationTag&quot;:&quot;MENDELEY_CITATION_v3_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&quot;,&quot;citationItems&quot;:[{&quot;id&quot;:&quot;c12f493e-6578-3766-8c10-27ba1aa9a076&quot;,&quot;itemData&quot;:{&quot;type&quot;:&quot;book&quot;,&quot;id&quot;:&quot;c12f493e-6578-3766-8c10-27ba1aa9a076&quot;,&quot;title&quot;:&quot;Stationary source emissions - Determination of odour concentration by dynamic olfactometry and odour&quot;,&quot;author&quot;:[{&quot;family&quot;:&quot;EN 13725:2022&quot;,&quot;given&quot;:&quot;&quot;,&quot;parse-names&quot;:false,&quot;dropping-particle&quot;:&quot;&quot;,&quot;non-dropping-particle&quot;:&quot;&quot;}],&quot;DOI&quot;:&quot;10.31030/3290685&quot;,&quot;ISBN&quot;:&quot;978 0 539 21821 3&quot;,&quot;issued&quot;:{&quot;date-parts&quot;:[[2022]]},&quot;container-title-short&quot;:&quot;&quot;},&quot;isTemporary&quot;:false}]}]"/>
    <we:property name="MENDELEY_CITATIONS_STYLE" value="{&quot;id&quot;:&quot;https://www.zotero.org/styles/harvard-cite-them-right-no-et-al&quot;,&quot;title&quot;:&quot;Cite Them Right 12th edition (author-date/Harvard, no \&quot;et al.\&quot;)&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D3253C8B4819647870B574913C71B03" ma:contentTypeVersion="18" ma:contentTypeDescription="Creare un nuovo documento." ma:contentTypeScope="" ma:versionID="dcdfae8bf58207056d2f622eea255665">
  <xsd:schema xmlns:xsd="http://www.w3.org/2001/XMLSchema" xmlns:xs="http://www.w3.org/2001/XMLSchema" xmlns:p="http://schemas.microsoft.com/office/2006/metadata/properties" xmlns:ns3="f14b45df-7c6c-4e43-bad7-b598bb9c4786" xmlns:ns4="a558988b-fffe-4a47-ae96-9231b3630e61" targetNamespace="http://schemas.microsoft.com/office/2006/metadata/properties" ma:root="true" ma:fieldsID="ca45ace469759bd5b8579328c9431522" ns3:_="" ns4:_="">
    <xsd:import namespace="f14b45df-7c6c-4e43-bad7-b598bb9c4786"/>
    <xsd:import namespace="a558988b-fffe-4a47-ae96-9231b3630e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b45df-7c6c-4e43-bad7-b598bb9c4786"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58988b-fffe-4a47-ae96-9231b3630e6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558988b-fffe-4a47-ae96-9231b3630e6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F0CC9-AB16-49C7-A4B1-4F43B6AA4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b45df-7c6c-4e43-bad7-b598bb9c4786"/>
    <ds:schemaRef ds:uri="a558988b-fffe-4a47-ae96-9231b3630e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CA36B3-AE81-4F7E-9BD5-3A3BAA48A2ED}">
  <ds:schemaRefs>
    <ds:schemaRef ds:uri="http://schemas.microsoft.com/sharepoint/v3/contenttype/forms"/>
  </ds:schemaRefs>
</ds:datastoreItem>
</file>

<file path=customXml/itemProps3.xml><?xml version="1.0" encoding="utf-8"?>
<ds:datastoreItem xmlns:ds="http://schemas.openxmlformats.org/officeDocument/2006/customXml" ds:itemID="{97ABD8F5-B4F4-4EE6-9A71-F248B84F464A}">
  <ds:schemaRefs>
    <ds:schemaRef ds:uri="http://schemas.microsoft.com/office/2006/metadata/properties"/>
    <ds:schemaRef ds:uri="http://schemas.microsoft.com/office/infopath/2007/PartnerControls"/>
    <ds:schemaRef ds:uri="a558988b-fffe-4a47-ae96-9231b3630e61"/>
  </ds:schemaRefs>
</ds:datastoreItem>
</file>

<file path=customXml/itemProps4.xml><?xml version="1.0" encoding="utf-8"?>
<ds:datastoreItem xmlns:ds="http://schemas.openxmlformats.org/officeDocument/2006/customXml" ds:itemID="{9D3983C9-6D0A-480C-BF79-A63BD3D9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Pages>
  <Words>3826</Words>
  <Characters>21809</Characters>
  <Application>Microsoft Office Word</Application>
  <DocSecurity>0</DocSecurity>
  <Lines>181</Lines>
  <Paragraphs>51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Dipartimento CMIC - Politecnico di Milano</Company>
  <LinksUpToDate>false</LinksUpToDate>
  <CharactersWithSpaces>25584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raffaella</dc:creator>
  <cp:lastModifiedBy>Elisa Polvara</cp:lastModifiedBy>
  <cp:revision>8</cp:revision>
  <cp:lastPrinted>2015-05-12T18:31:00Z</cp:lastPrinted>
  <dcterms:created xsi:type="dcterms:W3CDTF">2026-06-10T06:55:00Z</dcterms:created>
  <dcterms:modified xsi:type="dcterms:W3CDTF">2026-06-19T09:13:00Z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ContentTypeId">
    <vt:lpwstr>0x0101005D3253C8B4819647870B574913C71B03</vt:lpwstr>
  </property>
</Properties>
</file>