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1461DA" w14:paraId="380FA3CD" w14:textId="77777777" w:rsidTr="00DE264A">
        <w:trPr>
          <w:trHeight w:val="567"/>
          <w:jc w:val="center"/>
        </w:trPr>
        <w:tc>
          <w:tcPr>
            <w:tcW w:w="6946" w:type="dxa"/>
            <w:vMerge/>
            <w:tcBorders>
              <w:right w:val="single" w:sz="4" w:space="0" w:color="auto"/>
            </w:tcBorders>
          </w:tcPr>
          <w:p w14:paraId="39E5E4C1" w14:textId="77777777" w:rsidR="000A03B2" w:rsidRPr="00B57B36"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676E17" w:rsidRDefault="000D0268" w:rsidP="00CD5FE2">
            <w:pPr>
              <w:spacing w:line="140" w:lineRule="atLeast"/>
              <w:jc w:val="right"/>
              <w:rPr>
                <w:rFonts w:cs="Arial"/>
                <w:sz w:val="13"/>
                <w:szCs w:val="13"/>
                <w:lang w:val="da-DK"/>
              </w:rPr>
            </w:pPr>
            <w:r w:rsidRPr="00676E17">
              <w:rPr>
                <w:rFonts w:cs="Arial"/>
                <w:sz w:val="13"/>
                <w:szCs w:val="13"/>
                <w:lang w:val="da-DK"/>
              </w:rPr>
              <w:t>Online at www.cetjournal.it</w:t>
            </w:r>
          </w:p>
        </w:tc>
      </w:tr>
      <w:tr w:rsidR="000A03B2" w:rsidRPr="00B57B36" w14:paraId="2D1B7169" w14:textId="77777777" w:rsidTr="00DE264A">
        <w:trPr>
          <w:trHeight w:val="68"/>
          <w:jc w:val="center"/>
        </w:trPr>
        <w:tc>
          <w:tcPr>
            <w:tcW w:w="8789"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xml:space="preserve">, AIDIC </w:t>
            </w:r>
            <w:proofErr w:type="spellStart"/>
            <w:r w:rsidRPr="00B57B36">
              <w:rPr>
                <w:rFonts w:ascii="Tahoma" w:hAnsi="Tahoma" w:cs="Tahoma"/>
                <w:iCs/>
                <w:color w:val="333333"/>
                <w:sz w:val="14"/>
                <w:szCs w:val="14"/>
                <w:lang w:eastAsia="it-IT"/>
              </w:rPr>
              <w:t>Servizi</w:t>
            </w:r>
            <w:proofErr w:type="spellEnd"/>
            <w:r w:rsidRPr="00B57B36">
              <w:rPr>
                <w:rFonts w:ascii="Tahoma" w:hAnsi="Tahoma" w:cs="Tahoma"/>
                <w:iCs/>
                <w:color w:val="333333"/>
                <w:sz w:val="14"/>
                <w:szCs w:val="14"/>
                <w:lang w:eastAsia="it-IT"/>
              </w:rPr>
              <w:t xml:space="preserve">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E667253" w14:textId="178D119E" w:rsidR="00E978D0" w:rsidRPr="00B57B36" w:rsidRDefault="00B93DB6" w:rsidP="00E978D0">
      <w:pPr>
        <w:pStyle w:val="CETTitle"/>
      </w:pPr>
      <w:r>
        <w:t>Data processing approaches for sensors humidity and drift compensation in environmental odour monitoring</w:t>
      </w:r>
    </w:p>
    <w:p w14:paraId="0488FED2" w14:textId="4201FF0A" w:rsidR="00B57E6F" w:rsidRPr="000D6F30" w:rsidRDefault="003741CB" w:rsidP="00B57E6F">
      <w:pPr>
        <w:pStyle w:val="CETAuthors"/>
        <w:rPr>
          <w:lang w:val="it-IT"/>
        </w:rPr>
      </w:pPr>
      <w:r w:rsidRPr="000D6F30">
        <w:rPr>
          <w:lang w:val="it-IT"/>
        </w:rPr>
        <w:t>Christian Ratti</w:t>
      </w:r>
      <w:r w:rsidR="00C85D35" w:rsidRPr="000D6F30">
        <w:rPr>
          <w:lang w:val="it-IT"/>
        </w:rPr>
        <w:t>*</w:t>
      </w:r>
      <w:r w:rsidRPr="000D6F30">
        <w:rPr>
          <w:lang w:val="it-IT"/>
        </w:rPr>
        <w:t>, Laura Capelli</w:t>
      </w:r>
    </w:p>
    <w:p w14:paraId="6B2D21B3" w14:textId="1BA21F30" w:rsidR="00B57E6F" w:rsidRPr="000D6F30" w:rsidRDefault="00C85D35" w:rsidP="00C85D35">
      <w:pPr>
        <w:pStyle w:val="Default"/>
        <w:rPr>
          <w:lang w:val="it-IT"/>
        </w:rPr>
      </w:pPr>
      <w:r w:rsidRPr="000D6F30">
        <w:rPr>
          <w:rFonts w:ascii="Arial" w:eastAsia="Times New Roman" w:hAnsi="Arial" w:cs="Times New Roman"/>
          <w:noProof/>
          <w:color w:val="auto"/>
          <w:sz w:val="16"/>
          <w:szCs w:val="20"/>
          <w:lang w:val="it-IT"/>
        </w:rPr>
        <w:t>Politecnico di Milano, Department of Chemistry, Materials and Chemical Engineering “Giulio Natta”, P.za Leonardo da Vinci 32, 20133</w:t>
      </w:r>
      <w:r w:rsidR="005C5D42" w:rsidRPr="000D6F30">
        <w:rPr>
          <w:rFonts w:ascii="Arial" w:eastAsia="Times New Roman" w:hAnsi="Arial" w:cs="Times New Roman"/>
          <w:noProof/>
          <w:color w:val="auto"/>
          <w:sz w:val="16"/>
          <w:szCs w:val="20"/>
          <w:lang w:val="it-IT"/>
        </w:rPr>
        <w:t>,</w:t>
      </w:r>
      <w:r w:rsidRPr="000D6F30">
        <w:rPr>
          <w:rFonts w:ascii="Arial" w:eastAsia="Times New Roman" w:hAnsi="Arial" w:cs="Times New Roman"/>
          <w:noProof/>
          <w:color w:val="auto"/>
          <w:sz w:val="16"/>
          <w:szCs w:val="20"/>
          <w:lang w:val="it-IT"/>
        </w:rPr>
        <w:t xml:space="preserve"> Milano, Italy</w:t>
      </w:r>
      <w:r w:rsidRPr="000D6F30">
        <w:rPr>
          <w:sz w:val="18"/>
          <w:szCs w:val="18"/>
          <w:lang w:val="it-IT"/>
        </w:rPr>
        <w:t xml:space="preserve"> </w:t>
      </w:r>
      <w:r w:rsidR="00B57E6F" w:rsidRPr="000D6F30">
        <w:rPr>
          <w:lang w:val="it-IT"/>
        </w:rPr>
        <w:t xml:space="preserve"> </w:t>
      </w:r>
    </w:p>
    <w:p w14:paraId="73F1267A" w14:textId="0F62A8E1" w:rsidR="00B57E6F" w:rsidRPr="00595009" w:rsidRDefault="001461DA" w:rsidP="00B57E6F">
      <w:pPr>
        <w:pStyle w:val="CETemail"/>
        <w:rPr>
          <w:lang w:val="fr-FR"/>
        </w:rPr>
      </w:pPr>
      <w:hyperlink r:id="rId10" w:history="1">
        <w:r w:rsidR="00427E96" w:rsidRPr="000C372C">
          <w:rPr>
            <w:rStyle w:val="Collegamentoipertestuale"/>
            <w:lang w:val="fr-FR"/>
          </w:rPr>
          <w:t>christian.ratti@polimi.it</w:t>
        </w:r>
      </w:hyperlink>
    </w:p>
    <w:p w14:paraId="4CA59FCC" w14:textId="60BAA457" w:rsidR="00CE69B8" w:rsidRPr="00CE69B8" w:rsidRDefault="00CE69B8" w:rsidP="00112AB2">
      <w:pPr>
        <w:pStyle w:val="CETBodytext"/>
      </w:pPr>
      <w:r w:rsidRPr="00CE69B8">
        <w:t>The application of Instrumental Odour Monitoring Systems (IOMS) for environmental odour monitoring has become increasingly relevant in recent years, thanks to their capability to operate continuously, allowing near real-time discrimination of odour events generated by industrial plants, which can cause annoyance to nearby populations.</w:t>
      </w:r>
      <w:r w:rsidR="001F24A6">
        <w:t xml:space="preserve"> </w:t>
      </w:r>
      <w:r w:rsidRPr="00CE69B8">
        <w:t xml:space="preserve">This study </w:t>
      </w:r>
      <w:r w:rsidR="00C44134">
        <w:t>refers to</w:t>
      </w:r>
      <w:r w:rsidRPr="00CE69B8">
        <w:t xml:space="preserve"> the application of an IOMS for monitoring odour emissions at the fenceline of a Waste Treatment Plant (WTP). The main focus is the development of appropriate data processing approaches applied to the sensor signals recorded by the IOMS during operation, in order to counteract interference related to variations in ambient humidity and drift effects.</w:t>
      </w:r>
      <w:r>
        <w:t xml:space="preserve"> </w:t>
      </w:r>
      <w:r w:rsidRPr="00CE69B8">
        <w:t>The study was conducted over a period of more than one year, during which dedicated olfactometric campaigns were carried out to train and test the IOMS odour classification and regression models.</w:t>
      </w:r>
      <w:r w:rsidR="001F24A6">
        <w:t xml:space="preserve"> </w:t>
      </w:r>
      <w:r w:rsidRPr="00CE69B8">
        <w:t>The results show that</w:t>
      </w:r>
      <w:r w:rsidR="00BA7AB1">
        <w:t xml:space="preserve"> </w:t>
      </w:r>
      <w:r w:rsidRPr="00CE69B8">
        <w:t>the application of specific data pre-processing strategies</w:t>
      </w:r>
      <w:r w:rsidR="00BA7AB1">
        <w:t xml:space="preserve"> </w:t>
      </w:r>
      <w:r w:rsidR="00BA7AB1" w:rsidRPr="0007066B">
        <w:rPr>
          <w:lang w:eastAsia="en-GB"/>
        </w:rPr>
        <w:t>effectively reduce the impact of interferents on IOMS outputs, leading to improved model performance</w:t>
      </w:r>
      <w:r w:rsidR="00BA7AB1">
        <w:rPr>
          <w:lang w:eastAsia="en-GB"/>
        </w:rPr>
        <w:t xml:space="preserve">: </w:t>
      </w:r>
      <w:r w:rsidRPr="00CE69B8">
        <w:t xml:space="preserve">acceptable IOMS </w:t>
      </w:r>
      <w:r w:rsidR="00F43EC3">
        <w:t xml:space="preserve">performance </w:t>
      </w:r>
      <w:r w:rsidR="00BA7AB1">
        <w:t xml:space="preserve">is maintained </w:t>
      </w:r>
      <w:r w:rsidRPr="00CE69B8">
        <w:t xml:space="preserve">even </w:t>
      </w:r>
      <w:r w:rsidR="00F43EC3">
        <w:t>though</w:t>
      </w:r>
      <w:r w:rsidR="00F43EC3" w:rsidRPr="00CE69B8">
        <w:t xml:space="preserve"> </w:t>
      </w:r>
      <w:r w:rsidRPr="00CE69B8">
        <w:t>the system is affected by drift effects. Conversely, models developed without proper compensation for humidity and drift exhibit significantly reduced performance.</w:t>
      </w:r>
    </w:p>
    <w:p w14:paraId="476B2F2E" w14:textId="77777777" w:rsidR="00600535" w:rsidRDefault="00600535" w:rsidP="00600535">
      <w:pPr>
        <w:pStyle w:val="CETHeading1"/>
        <w:rPr>
          <w:lang w:val="en-GB"/>
        </w:rPr>
      </w:pPr>
      <w:r w:rsidRPr="00B57B36">
        <w:rPr>
          <w:lang w:val="en-GB"/>
        </w:rPr>
        <w:t>Introduction</w:t>
      </w:r>
    </w:p>
    <w:p w14:paraId="3FA4FA45" w14:textId="77777777" w:rsidR="003B3466" w:rsidRPr="003B3466" w:rsidRDefault="001F24A6" w:rsidP="003B3466">
      <w:pPr>
        <w:pStyle w:val="CETBodytext"/>
        <w:rPr>
          <w:lang w:eastAsia="en-GB"/>
        </w:rPr>
      </w:pPr>
      <w:r w:rsidRPr="003B3466">
        <w:rPr>
          <w:rStyle w:val="CETBodytextCarattere"/>
        </w:rPr>
        <w:t>Odour pollution is a significant environmental issue, often associated with increased discomfort and complaints from citizens living near industrial plants</w:t>
      </w:r>
      <w:sdt>
        <w:sdtPr>
          <w:rPr>
            <w:rStyle w:val="CETBodytextCarattere"/>
          </w:rPr>
          <w:tag w:val="MENDELEY_CITATION_v3_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"/>
          <w:id w:val="-2016212920"/>
          <w:placeholder>
            <w:docPart w:val="DefaultPlaceholder_-1854013440"/>
          </w:placeholder>
        </w:sdtPr>
        <w:sdtEndPr>
          <w:rPr>
            <w:rStyle w:val="CETBodytextCarattere"/>
          </w:rPr>
        </w:sdtEndPr>
        <w:sdtContent>
          <w:r w:rsidRPr="003B3466">
            <w:rPr>
              <w:rStyle w:val="CETBodytextCarattere"/>
            </w:rPr>
            <w:t xml:space="preserve"> </w:t>
          </w:r>
          <w:r w:rsidR="00C3759A" w:rsidRPr="003B3466">
            <w:rPr>
              <w:rStyle w:val="CETBodytextCarattere"/>
            </w:rPr>
            <w:t>(Bax et al., 2020)</w:t>
          </w:r>
        </w:sdtContent>
      </w:sdt>
      <w:r w:rsidR="00C131BF" w:rsidRPr="003B3466">
        <w:rPr>
          <w:rStyle w:val="CETBodytextCarattere"/>
        </w:rPr>
        <w:t xml:space="preserve">. </w:t>
      </w:r>
      <w:r w:rsidR="003B3466" w:rsidRPr="003B3466">
        <w:rPr>
          <w:rStyle w:val="CETBodytextCarattere"/>
        </w:rPr>
        <w:t>In recent regulations, odour has been recognized as a pollutant that requires monitoring</w:t>
      </w:r>
      <w:r w:rsidR="00734707">
        <w:t xml:space="preserve"> </w:t>
      </w:r>
      <w:sdt>
        <w:sdtPr>
          <w:rPr>
            <w:rFonts w:cs="Arial"/>
            <w:color w:val="000000"/>
          </w:rPr>
          <w:tag w:val="MENDELEY_CITATION_v3_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"/>
          <w:id w:val="1401104865"/>
          <w:placeholder>
            <w:docPart w:val="DefaultPlaceholder_-1854013440"/>
          </w:placeholder>
        </w:sdtPr>
        <w:sdtEndPr/>
        <w:sdtContent>
          <w:r w:rsidR="00C3759A" w:rsidRPr="00C3759A">
            <w:rPr>
              <w:rFonts w:cs="Arial"/>
              <w:color w:val="000000"/>
            </w:rPr>
            <w:t>(</w:t>
          </w:r>
          <w:proofErr w:type="spellStart"/>
          <w:r w:rsidR="00C3759A" w:rsidRPr="00C3759A">
            <w:rPr>
              <w:rFonts w:cs="Arial"/>
              <w:color w:val="000000"/>
            </w:rPr>
            <w:t>Bokowa</w:t>
          </w:r>
          <w:proofErr w:type="spellEnd"/>
          <w:r w:rsidR="00C3759A" w:rsidRPr="00C3759A">
            <w:rPr>
              <w:rFonts w:cs="Arial"/>
              <w:color w:val="000000"/>
            </w:rPr>
            <w:t xml:space="preserve"> et al., 2021)</w:t>
          </w:r>
        </w:sdtContent>
      </w:sdt>
      <w:r w:rsidR="00FC37D9">
        <w:rPr>
          <w:rFonts w:cs="Arial"/>
          <w:color w:val="000000"/>
        </w:rPr>
        <w:t>.</w:t>
      </w:r>
      <w:r w:rsidR="00C131BF" w:rsidRPr="00C131BF">
        <w:t xml:space="preserve"> </w:t>
      </w:r>
      <w:r w:rsidR="003B3466" w:rsidRPr="003B3466">
        <w:rPr>
          <w:lang w:eastAsia="en-GB"/>
        </w:rPr>
        <w:t xml:space="preserve">For this reason, the use of electronic noses (e-noses), also referred to in this field as Instrumental Odour Monitoring Systems (IOMS), has gained considerable interest for monitoring odour emissions due to their capability to operate continuously, </w:t>
      </w:r>
      <w:proofErr w:type="spellStart"/>
      <w:r w:rsidR="003B3466" w:rsidRPr="003B3466">
        <w:rPr>
          <w:lang w:eastAsia="en-GB"/>
        </w:rPr>
        <w:t>analysing</w:t>
      </w:r>
      <w:proofErr w:type="spellEnd"/>
      <w:r w:rsidR="003B3466" w:rsidRPr="003B3466">
        <w:rPr>
          <w:lang w:eastAsia="en-GB"/>
        </w:rPr>
        <w:t xml:space="preserve"> ambient air and discriminating among different odours.</w:t>
      </w:r>
    </w:p>
    <w:p w14:paraId="29430717" w14:textId="54261975" w:rsidR="00C131BF" w:rsidRPr="00C131BF" w:rsidRDefault="003B3466" w:rsidP="003B3466">
      <w:pPr>
        <w:pStyle w:val="CETBodytext"/>
      </w:pPr>
      <w:r w:rsidRPr="003B3466">
        <w:t>However, their application in the environmental field is hindered by the presence of unwanted interferents, such as variations in ambient humidity</w:t>
      </w:r>
      <w:r>
        <w:rPr>
          <w:rFonts w:cs="Arial"/>
          <w:color w:val="000000"/>
        </w:rPr>
        <w:t xml:space="preserve"> </w:t>
      </w:r>
      <w:sdt>
        <w:sdtPr>
          <w:rPr>
            <w:rFonts w:cs="Arial"/>
            <w:color w:val="000000"/>
          </w:rPr>
          <w:tag w:val="MENDELEY_CITATION_v3_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"/>
          <w:id w:val="1080950810"/>
          <w:placeholder>
            <w:docPart w:val="DefaultPlaceholder_-1854013440"/>
          </w:placeholder>
        </w:sdtPr>
        <w:sdtEndPr/>
        <w:sdtContent>
          <w:r w:rsidR="00C3759A" w:rsidRPr="00C3759A">
            <w:rPr>
              <w:rFonts w:cs="Arial"/>
              <w:color w:val="000000"/>
            </w:rPr>
            <w:t>(Robbiani et al., 2023)</w:t>
          </w:r>
        </w:sdtContent>
      </w:sdt>
      <w:r w:rsidR="00C131BF" w:rsidRPr="00C131BF">
        <w:t xml:space="preserve">, </w:t>
      </w:r>
      <w:r w:rsidR="0007066B">
        <w:t>which can modify sensor responses, as well as by long-term stability issues (i.e., sensor drift)</w:t>
      </w:r>
      <w:r w:rsidR="00F62275">
        <w:t xml:space="preserve"> </w:t>
      </w:r>
      <w:sdt>
        <w:sdtPr>
          <w:rPr>
            <w:rFonts w:cs="Arial"/>
            <w:color w:val="000000"/>
          </w:rPr>
          <w:tag w:val="MENDELEY_CITATION_v3_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"/>
          <w:id w:val="41872129"/>
          <w:placeholder>
            <w:docPart w:val="DefaultPlaceholder_-1854013440"/>
          </w:placeholder>
        </w:sdtPr>
        <w:sdtEndPr/>
        <w:sdtContent>
          <w:r w:rsidR="00C3759A" w:rsidRPr="00C3759A">
            <w:rPr>
              <w:rFonts w:cs="Arial"/>
              <w:color w:val="000000"/>
            </w:rPr>
            <w:t>(Ren et al., 2024)</w:t>
          </w:r>
        </w:sdtContent>
      </w:sdt>
      <w:r w:rsidR="00C131BF" w:rsidRPr="00C131BF">
        <w:t xml:space="preserve"> affecting sensors installed in IOMS.</w:t>
      </w:r>
    </w:p>
    <w:p w14:paraId="59F4F9F8" w14:textId="13CFFC03" w:rsidR="00835A90" w:rsidRDefault="0007066B" w:rsidP="0007066B">
      <w:pPr>
        <w:pStyle w:val="CETBodytext"/>
        <w:rPr>
          <w:lang w:eastAsia="en-GB"/>
        </w:rPr>
      </w:pPr>
      <w:r w:rsidRPr="0007066B">
        <w:rPr>
          <w:lang w:eastAsia="en-GB"/>
        </w:rPr>
        <w:t xml:space="preserve">The work presented here </w:t>
      </w:r>
      <w:r w:rsidR="00C44134">
        <w:rPr>
          <w:lang w:eastAsia="en-GB"/>
        </w:rPr>
        <w:t>refers to</w:t>
      </w:r>
      <w:r w:rsidR="00C44134" w:rsidRPr="0007066B">
        <w:rPr>
          <w:lang w:eastAsia="en-GB"/>
        </w:rPr>
        <w:t xml:space="preserve"> </w:t>
      </w:r>
      <w:r w:rsidRPr="0007066B">
        <w:rPr>
          <w:lang w:eastAsia="en-GB"/>
        </w:rPr>
        <w:t xml:space="preserve">the application of an IOMS for monitoring odour emissions at the fenceline of a Waste Treatment Plant (WTP) producing biomethane and compost from the organic fraction of municipal solid waste. </w:t>
      </w:r>
      <w:r w:rsidR="009D1DBF">
        <w:rPr>
          <w:lang w:eastAsia="en-GB"/>
        </w:rPr>
        <w:t>T</w:t>
      </w:r>
      <w:r w:rsidRPr="0007066B">
        <w:rPr>
          <w:lang w:eastAsia="en-GB"/>
        </w:rPr>
        <w:t xml:space="preserve">he main </w:t>
      </w:r>
      <w:r w:rsidR="009D1DBF">
        <w:rPr>
          <w:lang w:eastAsia="en-GB"/>
        </w:rPr>
        <w:t>objective of the paper is the</w:t>
      </w:r>
      <w:r w:rsidRPr="0007066B">
        <w:rPr>
          <w:lang w:eastAsia="en-GB"/>
        </w:rPr>
        <w:t xml:space="preserve"> development of appropriate data pre-processing methodologies to account and compensate for interference related to ambient humidity variations and sensor drift.</w:t>
      </w:r>
      <w:r w:rsidR="00BA7AB1">
        <w:rPr>
          <w:lang w:eastAsia="en-GB"/>
        </w:rPr>
        <w:t xml:space="preserve"> </w:t>
      </w:r>
      <w:r w:rsidRPr="0007066B">
        <w:rPr>
          <w:lang w:eastAsia="en-GB"/>
        </w:rPr>
        <w:t>To validate the proposed approaches, the IOMS was used to characterize samples collected from different odour sources of the plant over a period of 16 months, from March 2024 to July 2025. Four campaigns, conducted between March 2024 and September 2024, were carried out to train the instrument to recognize the different odour classes associated with WTP emissions. Two independent campaigns, conducted in March 2025 and July 2025, were used for field validation and to test the performance of the trained IOMS in terms of odour classification and quantification.</w:t>
      </w:r>
    </w:p>
    <w:p w14:paraId="3FC7C333" w14:textId="052E5F33" w:rsidR="0007066B" w:rsidRPr="0007066B" w:rsidRDefault="00F43EC3" w:rsidP="0007066B">
      <w:pPr>
        <w:pStyle w:val="CETBodytext"/>
        <w:rPr>
          <w:lang w:eastAsia="en-GB"/>
        </w:rPr>
      </w:pPr>
      <w:r>
        <w:rPr>
          <w:lang w:eastAsia="en-GB"/>
        </w:rPr>
        <w:t xml:space="preserve">The use of field data acquired on a real plant </w:t>
      </w:r>
      <w:r w:rsidR="00835A90">
        <w:rPr>
          <w:lang w:eastAsia="en-GB"/>
        </w:rPr>
        <w:t xml:space="preserve">over such a long period of time and the development and testing of the approaches in </w:t>
      </w:r>
      <w:r w:rsidR="00067D72">
        <w:rPr>
          <w:lang w:eastAsia="en-GB"/>
        </w:rPr>
        <w:t xml:space="preserve">a complex real-world scenario </w:t>
      </w:r>
      <w:r w:rsidR="00835A90">
        <w:rPr>
          <w:lang w:eastAsia="en-GB"/>
        </w:rPr>
        <w:t>surely represents one of the main strengths of this work</w:t>
      </w:r>
      <w:r w:rsidR="00067D72">
        <w:rPr>
          <w:lang w:eastAsia="en-GB"/>
        </w:rPr>
        <w:t xml:space="preserve">, making it different from other studies </w:t>
      </w:r>
      <w:r w:rsidR="006F15D9">
        <w:rPr>
          <w:lang w:eastAsia="en-GB"/>
        </w:rPr>
        <w:t xml:space="preserve">developing </w:t>
      </w:r>
      <w:r w:rsidR="00F2696B">
        <w:rPr>
          <w:lang w:eastAsia="en-GB"/>
        </w:rPr>
        <w:t>more advanced</w:t>
      </w:r>
      <w:r w:rsidR="006F15D9">
        <w:rPr>
          <w:lang w:eastAsia="en-GB"/>
        </w:rPr>
        <w:t xml:space="preserve"> data processing </w:t>
      </w:r>
      <w:r w:rsidR="00F2696B">
        <w:rPr>
          <w:lang w:eastAsia="en-GB"/>
        </w:rPr>
        <w:t>strategies</w:t>
      </w:r>
      <w:r w:rsidR="006F15D9">
        <w:rPr>
          <w:lang w:eastAsia="en-GB"/>
        </w:rPr>
        <w:t xml:space="preserve">, but </w:t>
      </w:r>
      <w:r w:rsidR="00F2696B">
        <w:rPr>
          <w:lang w:eastAsia="en-GB"/>
        </w:rPr>
        <w:t xml:space="preserve">mostly </w:t>
      </w:r>
      <w:r w:rsidR="006F15D9">
        <w:rPr>
          <w:lang w:eastAsia="en-GB"/>
        </w:rPr>
        <w:t>applied to oversimplified contexts.</w:t>
      </w:r>
    </w:p>
    <w:p w14:paraId="6B987886" w14:textId="136BC363" w:rsidR="009A2C31" w:rsidRDefault="009A2C31" w:rsidP="009A2C31">
      <w:pPr>
        <w:pStyle w:val="CETHeading1"/>
      </w:pPr>
      <w:r>
        <w:lastRenderedPageBreak/>
        <w:t>Material and methods</w:t>
      </w:r>
    </w:p>
    <w:p w14:paraId="557DA6EE" w14:textId="5D3CD9EA" w:rsidR="009A2C31" w:rsidRDefault="004A4FF5" w:rsidP="009A2C31">
      <w:pPr>
        <w:pStyle w:val="CETheadingx"/>
      </w:pPr>
      <w:r>
        <w:t>Plant description</w:t>
      </w:r>
    </w:p>
    <w:p w14:paraId="74D21BFC" w14:textId="77777777" w:rsidR="00AB161E" w:rsidRPr="00AB161E" w:rsidRDefault="00AB161E" w:rsidP="0048104F">
      <w:pPr>
        <w:pStyle w:val="CETBodytext"/>
        <w:rPr>
          <w:lang w:eastAsia="en-GB"/>
        </w:rPr>
      </w:pPr>
      <w:r w:rsidRPr="00AB161E">
        <w:rPr>
          <w:lang w:eastAsia="en-GB"/>
        </w:rPr>
        <w:t>The plant investigated in this study is a Waste Treatment Plant (WTP) dedicated to the conversion of the Organic Fraction of Municipal Solid Waste (OFMSW) into biomethane and compost.</w:t>
      </w:r>
    </w:p>
    <w:p w14:paraId="3B888291" w14:textId="77777777" w:rsidR="00AB161E" w:rsidRPr="00AB161E" w:rsidRDefault="00AB161E" w:rsidP="0048104F">
      <w:pPr>
        <w:pStyle w:val="CETBodytext"/>
        <w:rPr>
          <w:lang w:eastAsia="en-GB"/>
        </w:rPr>
      </w:pPr>
      <w:r w:rsidRPr="00AB161E">
        <w:rPr>
          <w:lang w:eastAsia="en-GB"/>
        </w:rPr>
        <w:t>Upon receipt, the waste is pre-treated to remove inorganic residuals before undergoing anaerobic digestion. The products of anaerobic digestion are digestate and biogas, both of which are intermediate products that are further processed. Specifically, biogas is upgraded to biomethane by removing impurities through a filtration process, while the digestate is mixed with lignocellulosic material and undergoes an aerobic process to produce compost.</w:t>
      </w:r>
    </w:p>
    <w:p w14:paraId="7F05BD6D" w14:textId="77777777" w:rsidR="00AB161E" w:rsidRPr="00AB161E" w:rsidRDefault="00AB161E" w:rsidP="0048104F">
      <w:pPr>
        <w:pStyle w:val="CETBodytext"/>
        <w:rPr>
          <w:lang w:eastAsia="en-GB"/>
        </w:rPr>
      </w:pPr>
      <w:r w:rsidRPr="00AB161E">
        <w:rPr>
          <w:lang w:eastAsia="en-GB"/>
        </w:rPr>
        <w:t>The different process buildings of the WTP are controlled by a series of ventilation systems that extract exhaust air and convey it to a biofilter unit to reduce the concentration of volatile organic compounds (VOCs) before release into the atmosphere.</w:t>
      </w:r>
    </w:p>
    <w:p w14:paraId="1A410D1D" w14:textId="77777777" w:rsidR="00AB161E" w:rsidRPr="00AB161E" w:rsidRDefault="00AB161E" w:rsidP="0048104F">
      <w:pPr>
        <w:pStyle w:val="CETBodytext"/>
        <w:rPr>
          <w:lang w:eastAsia="en-GB"/>
        </w:rPr>
      </w:pPr>
      <w:r w:rsidRPr="00AB161E">
        <w:rPr>
          <w:lang w:eastAsia="en-GB"/>
        </w:rPr>
        <w:t>Different odour emission sources associated with various sections of the plant were identified:</w:t>
      </w:r>
    </w:p>
    <w:p w14:paraId="6C411C0C" w14:textId="0FFB9B09" w:rsidR="008D22D8" w:rsidRDefault="002D0DE5" w:rsidP="008D22D8">
      <w:pPr>
        <w:pStyle w:val="CETBodytext"/>
        <w:numPr>
          <w:ilvl w:val="0"/>
          <w:numId w:val="23"/>
        </w:numPr>
      </w:pPr>
      <w:r>
        <w:t xml:space="preserve">Fugitive emissions associated </w:t>
      </w:r>
      <w:r w:rsidR="0048104F">
        <w:t>with</w:t>
      </w:r>
      <w:r>
        <w:t xml:space="preserve"> the OFMSW rece</w:t>
      </w:r>
      <w:r w:rsidR="0048104F">
        <w:t>ption</w:t>
      </w:r>
      <w:r w:rsidR="00933C3B">
        <w:t xml:space="preserve"> building;</w:t>
      </w:r>
    </w:p>
    <w:p w14:paraId="416E501C" w14:textId="242CC0BB" w:rsidR="00933C3B" w:rsidRDefault="00933C3B" w:rsidP="008D22D8">
      <w:pPr>
        <w:pStyle w:val="CETBodytext"/>
        <w:numPr>
          <w:ilvl w:val="0"/>
          <w:numId w:val="23"/>
        </w:numPr>
      </w:pPr>
      <w:r>
        <w:t xml:space="preserve">Fugitive emissions associated </w:t>
      </w:r>
      <w:r w:rsidR="0048104F">
        <w:t>with</w:t>
      </w:r>
      <w:r>
        <w:t xml:space="preserve"> the OFMSW pre-treatment facilities;</w:t>
      </w:r>
    </w:p>
    <w:p w14:paraId="4E3B787A" w14:textId="56DB025F" w:rsidR="00933C3B" w:rsidRDefault="00385E7D" w:rsidP="008D22D8">
      <w:pPr>
        <w:pStyle w:val="CETBodytext"/>
        <w:numPr>
          <w:ilvl w:val="0"/>
          <w:numId w:val="23"/>
        </w:numPr>
      </w:pPr>
      <w:r>
        <w:t>Conveyed emissions from the biofilters;</w:t>
      </w:r>
    </w:p>
    <w:p w14:paraId="5D69B2EA" w14:textId="700B8392" w:rsidR="00385E7D" w:rsidRDefault="00385E7D" w:rsidP="008D22D8">
      <w:pPr>
        <w:pStyle w:val="CETBodytext"/>
        <w:numPr>
          <w:ilvl w:val="0"/>
          <w:numId w:val="23"/>
        </w:numPr>
      </w:pPr>
      <w:r>
        <w:t xml:space="preserve">Fugitive emissions </w:t>
      </w:r>
      <w:r w:rsidR="00962FD7">
        <w:t>of biogas from the biodigester and from valves or ducts used for its transpor</w:t>
      </w:r>
      <w:r w:rsidR="00FF0139">
        <w:t>t</w:t>
      </w:r>
      <w:r w:rsidR="00962FD7">
        <w:t xml:space="preserve"> </w:t>
      </w:r>
      <w:r w:rsidR="002F1F1B">
        <w:t>to the upgrading section</w:t>
      </w:r>
      <w:r w:rsidR="00C43FBA">
        <w:t>.</w:t>
      </w:r>
    </w:p>
    <w:p w14:paraId="239583A4" w14:textId="3C1C34D9" w:rsidR="004A4FF5" w:rsidRDefault="00143213" w:rsidP="004A4FF5">
      <w:pPr>
        <w:pStyle w:val="CETheadingx"/>
      </w:pPr>
      <w:r>
        <w:t>Monitoring system</w:t>
      </w:r>
    </w:p>
    <w:p w14:paraId="35BBC242" w14:textId="77777777" w:rsidR="00BF1DFD" w:rsidRPr="00BF1DFD" w:rsidRDefault="00BF1DFD" w:rsidP="00BF1DFD">
      <w:pPr>
        <w:pStyle w:val="CETBodytext"/>
        <w:rPr>
          <w:lang w:eastAsia="en-GB"/>
        </w:rPr>
      </w:pPr>
      <w:r w:rsidRPr="00BF1DFD">
        <w:rPr>
          <w:lang w:eastAsia="en-GB"/>
        </w:rPr>
        <w:t xml:space="preserve">The monitoring system described in this study consists of one IOMS WT1, commercialized by </w:t>
      </w:r>
      <w:proofErr w:type="spellStart"/>
      <w:r w:rsidRPr="00BF1DFD">
        <w:rPr>
          <w:lang w:eastAsia="en-GB"/>
        </w:rPr>
        <w:t>Ellona</w:t>
      </w:r>
      <w:proofErr w:type="spellEnd"/>
      <w:r w:rsidRPr="00BF1DFD">
        <w:rPr>
          <w:lang w:eastAsia="en-GB"/>
        </w:rPr>
        <w:t xml:space="preserve"> (Toulouse, France), and a Vantage Pro2 weather station, commercialized by Davis Instruments Corporation (Hayward, USA).</w:t>
      </w:r>
    </w:p>
    <w:p w14:paraId="7F18266E" w14:textId="77777777" w:rsidR="00BF1DFD" w:rsidRPr="00BF1DFD" w:rsidRDefault="00BF1DFD" w:rsidP="00BF1DFD">
      <w:pPr>
        <w:pStyle w:val="CETBodytext"/>
        <w:rPr>
          <w:lang w:eastAsia="en-GB"/>
        </w:rPr>
      </w:pPr>
      <w:r w:rsidRPr="00BF1DFD">
        <w:rPr>
          <w:lang w:eastAsia="en-GB"/>
        </w:rPr>
        <w:t>Regarding the IOMS, the sensor chamber includes four metal oxide sensors (MOS), two electrochemical sensors specific for ammonia and hydrogen sulfide, one photoionization detector (PID) for VOC detection (calibrated in isobutylene), and sensors for measuring relative humidity and temperature inside the chamber.</w:t>
      </w:r>
    </w:p>
    <w:p w14:paraId="5C873C9A" w14:textId="77777777" w:rsidR="00BF1DFD" w:rsidRPr="00BF1DFD" w:rsidRDefault="00BF1DFD" w:rsidP="00BF1DFD">
      <w:pPr>
        <w:pStyle w:val="CETBodytext"/>
        <w:rPr>
          <w:lang w:eastAsia="en-GB"/>
        </w:rPr>
      </w:pPr>
      <w:r w:rsidRPr="00BF1DFD">
        <w:rPr>
          <w:lang w:eastAsia="en-GB"/>
        </w:rPr>
        <w:t>The installation point of the IOMS was selected based on the final objective of the monitoring system, which is to detect odour emissions that may cause nuisance to nearby residents. For this purpose, a parametric dispersion model was applied to identify the directions of odour plumes that most frequently impact receptors, thereby allowing the optimal installation point of the IOMS to be defined at the fenceline of the plant.</w:t>
      </w:r>
    </w:p>
    <w:p w14:paraId="4B5FAAF7" w14:textId="32F0B5B6" w:rsidR="00C0612C" w:rsidRDefault="00561FEF" w:rsidP="00C0612C">
      <w:pPr>
        <w:pStyle w:val="CETheadingx"/>
      </w:pPr>
      <w:r>
        <w:t>Dataset acquisition</w:t>
      </w:r>
    </w:p>
    <w:p w14:paraId="3CA3BD41" w14:textId="77777777" w:rsidR="00B81327" w:rsidRPr="00B81327" w:rsidRDefault="00B81327" w:rsidP="00BD0AB2">
      <w:pPr>
        <w:pStyle w:val="CETBodytext"/>
        <w:rPr>
          <w:lang w:eastAsia="en-GB"/>
        </w:rPr>
      </w:pPr>
      <w:r w:rsidRPr="00B81327">
        <w:rPr>
          <w:lang w:eastAsia="en-GB"/>
        </w:rPr>
        <w:t>Six olfactometric campaigns were conducted from March 2024 to July 2025 with the aim of collecting gas samples from WTP emission sources to train and validate the IOMS. Odour samples were collected in different months in order to account for variability associated with environmental conditions, seasonality, and intrinsic variations in process operating conditions.</w:t>
      </w:r>
    </w:p>
    <w:p w14:paraId="4966CF34" w14:textId="7E6E5C9B" w:rsidR="00FF0032" w:rsidRPr="00FF0032" w:rsidRDefault="00B81327" w:rsidP="00FF0032">
      <w:pPr>
        <w:pStyle w:val="CETBodytext"/>
        <w:rPr>
          <w:lang w:eastAsia="en-GB"/>
        </w:rPr>
      </w:pPr>
      <w:r w:rsidRPr="00FF0032">
        <w:rPr>
          <w:rStyle w:val="CETBodytextCarattere"/>
        </w:rPr>
        <w:t xml:space="preserve">The samples obtained from the odour sources were </w:t>
      </w:r>
      <w:proofErr w:type="spellStart"/>
      <w:r w:rsidRPr="00FF0032">
        <w:rPr>
          <w:rStyle w:val="CETBodytextCarattere"/>
        </w:rPr>
        <w:t>analysed</w:t>
      </w:r>
      <w:proofErr w:type="spellEnd"/>
      <w:r w:rsidRPr="00FF0032">
        <w:rPr>
          <w:rStyle w:val="CETBodytextCarattere"/>
        </w:rPr>
        <w:t xml:space="preserve"> using dynamic olfactometry</w:t>
      </w:r>
      <w:r w:rsidR="00BD0AB2" w:rsidRPr="00FF0032">
        <w:rPr>
          <w:rStyle w:val="CETBodytextCarattere"/>
        </w:rPr>
        <w:t xml:space="preserve"> </w:t>
      </w:r>
      <w:r w:rsidR="0007098D" w:rsidRPr="00FF0032">
        <w:rPr>
          <w:rStyle w:val="CETBodytextCarattere"/>
        </w:rPr>
        <w:t>(EN 13725:2022)</w:t>
      </w:r>
      <w:r w:rsidR="0007098D">
        <w:t xml:space="preserve"> </w:t>
      </w:r>
      <w:sdt>
        <w:sdtPr>
          <w:rPr>
            <w:rFonts w:cs="Arial"/>
            <w:color w:val="000000"/>
          </w:rPr>
          <w:tag w:val="MENDELEY_CITATION_v3_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"/>
          <w:id w:val="476035703"/>
          <w:placeholder>
            <w:docPart w:val="DefaultPlaceholder_-1854013440"/>
          </w:placeholder>
        </w:sdtPr>
        <w:sdtEndPr/>
        <w:sdtContent>
          <w:r w:rsidR="00C3759A" w:rsidRPr="00C3759A">
            <w:rPr>
              <w:rFonts w:cs="Arial"/>
              <w:color w:val="000000"/>
            </w:rPr>
            <w:t>(CEN., 2022)</w:t>
          </w:r>
        </w:sdtContent>
      </w:sdt>
      <w:r w:rsidR="0007098D">
        <w:t xml:space="preserve"> </w:t>
      </w:r>
      <w:r w:rsidR="00FF0032" w:rsidRPr="00FF0032">
        <w:rPr>
          <w:lang w:eastAsia="en-GB"/>
        </w:rPr>
        <w:t xml:space="preserve">to determine their odour concentration. Once the concentration of the pure sample had been established, dilution with ambient air was </w:t>
      </w:r>
      <w:r w:rsidR="00AD2F5A">
        <w:rPr>
          <w:lang w:eastAsia="en-GB"/>
        </w:rPr>
        <w:t>realized</w:t>
      </w:r>
      <w:r w:rsidR="00AD2F5A" w:rsidRPr="00FF0032">
        <w:rPr>
          <w:lang w:eastAsia="en-GB"/>
        </w:rPr>
        <w:t xml:space="preserve"> </w:t>
      </w:r>
      <w:r w:rsidR="00FF0032" w:rsidRPr="00FF0032">
        <w:rPr>
          <w:lang w:eastAsia="en-GB"/>
        </w:rPr>
        <w:t xml:space="preserve">directly in the field, producing several diluted samples for analysis with the IOMS. For application at the fenceline, it is essential to reduce sample concentrations to levels </w:t>
      </w:r>
      <w:r w:rsidR="00AD2F5A">
        <w:rPr>
          <w:lang w:eastAsia="en-GB"/>
        </w:rPr>
        <w:t xml:space="preserve">similar to those </w:t>
      </w:r>
      <w:r w:rsidR="00FF0032" w:rsidRPr="00FF0032">
        <w:rPr>
          <w:lang w:eastAsia="en-GB"/>
        </w:rPr>
        <w:t>expected during normal IOMS operation.</w:t>
      </w:r>
    </w:p>
    <w:p w14:paraId="2D2BE69C" w14:textId="3E45C993" w:rsidR="00561FEF" w:rsidRDefault="00FF0032" w:rsidP="00FF0032">
      <w:pPr>
        <w:pStyle w:val="CETBodytext"/>
      </w:pPr>
      <w:r w:rsidRPr="00FF0032">
        <w:t xml:space="preserve">For the definition of the training dataset, samples acquired during the campaigns of March 2024, April 2024, July 2024, and September 2024 were used, while samples collected </w:t>
      </w:r>
      <w:r w:rsidR="00A06F40">
        <w:t xml:space="preserve">and </w:t>
      </w:r>
      <w:proofErr w:type="spellStart"/>
      <w:r w:rsidR="00A06F40">
        <w:t>analysed</w:t>
      </w:r>
      <w:proofErr w:type="spellEnd"/>
      <w:r w:rsidR="00A06F40">
        <w:t xml:space="preserve"> </w:t>
      </w:r>
      <w:r w:rsidRPr="00FF0032">
        <w:t xml:space="preserve">in March 2025 and July 2025 were used as an external test set. These two </w:t>
      </w:r>
      <w:r w:rsidR="00027635">
        <w:t xml:space="preserve">“test” </w:t>
      </w:r>
      <w:r w:rsidRPr="00FF0032">
        <w:t>campaigns were conducted as field validation in accordance with UNI 11761:2023</w:t>
      </w:r>
      <w:r>
        <w:t xml:space="preserve"> </w:t>
      </w:r>
      <w:sdt>
        <w:sdtPr>
          <w:rPr>
            <w:rFonts w:cs="Arial"/>
            <w:color w:val="000000"/>
          </w:rPr>
          <w:tag w:val="MENDELEY_CITATION_v3_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"/>
          <w:id w:val="2126659370"/>
          <w:placeholder>
            <w:docPart w:val="DefaultPlaceholder_-1854013440"/>
          </w:placeholder>
        </w:sdtPr>
        <w:sdtEndPr/>
        <w:sdtContent>
          <w:r w:rsidR="00C3759A" w:rsidRPr="00C3759A">
            <w:rPr>
              <w:rFonts w:cs="Arial"/>
              <w:color w:val="000000"/>
            </w:rPr>
            <w:t>(UNI., 2023)</w:t>
          </w:r>
        </w:sdtContent>
      </w:sdt>
      <w:r w:rsidR="004727C0">
        <w:t xml:space="preserve">, </w:t>
      </w:r>
      <w:r w:rsidR="00027635">
        <w:t xml:space="preserve">with the purpose of </w:t>
      </w:r>
      <w:r w:rsidR="004727C0">
        <w:t>assess</w:t>
      </w:r>
      <w:r w:rsidR="00027635">
        <w:t>ing</w:t>
      </w:r>
      <w:r w:rsidR="004727C0">
        <w:t xml:space="preserve"> the reliability of the IOMS in properly discriminating and quantifying odour events generated by the plant.</w:t>
      </w:r>
    </w:p>
    <w:p w14:paraId="6B809AA7" w14:textId="1FDBDDCD" w:rsidR="004727C0" w:rsidRPr="004727C0" w:rsidRDefault="00967C90" w:rsidP="004727C0">
      <w:pPr>
        <w:pStyle w:val="CETBodytext"/>
        <w:rPr>
          <w:lang w:eastAsia="en-GB"/>
        </w:rPr>
      </w:pPr>
      <w:r>
        <w:fldChar w:fldCharType="begin"/>
      </w:r>
      <w:r>
        <w:instrText xml:space="preserve"> REF _Ref227250396 \h </w:instrText>
      </w:r>
      <w:r w:rsidR="004727C0">
        <w:instrText xml:space="preserve"> \* MERGEFORMAT </w:instrText>
      </w:r>
      <w:r>
        <w:fldChar w:fldCharType="separate"/>
      </w:r>
      <w:r>
        <w:t xml:space="preserve">Table </w:t>
      </w:r>
      <w:r>
        <w:rPr>
          <w:noProof/>
        </w:rPr>
        <w:t>1</w:t>
      </w:r>
      <w:r>
        <w:fldChar w:fldCharType="end"/>
      </w:r>
      <w:r>
        <w:t xml:space="preserve"> </w:t>
      </w:r>
      <w:r w:rsidR="004727C0" w:rsidRPr="004727C0">
        <w:rPr>
          <w:lang w:eastAsia="en-GB"/>
        </w:rPr>
        <w:t xml:space="preserve">summarizes the total number of samples </w:t>
      </w:r>
      <w:proofErr w:type="spellStart"/>
      <w:r w:rsidR="004727C0" w:rsidRPr="004727C0">
        <w:rPr>
          <w:lang w:eastAsia="en-GB"/>
        </w:rPr>
        <w:t>analysed</w:t>
      </w:r>
      <w:proofErr w:type="spellEnd"/>
      <w:r w:rsidR="004727C0" w:rsidRPr="004727C0">
        <w:rPr>
          <w:lang w:eastAsia="en-GB"/>
        </w:rPr>
        <w:t xml:space="preserve"> by the IOMS, specifying the number of independent samples collected for each odour class, the number of diluted samples </w:t>
      </w:r>
      <w:proofErr w:type="spellStart"/>
      <w:r w:rsidR="004727C0" w:rsidRPr="004727C0">
        <w:rPr>
          <w:lang w:eastAsia="en-GB"/>
        </w:rPr>
        <w:t>analysed</w:t>
      </w:r>
      <w:proofErr w:type="spellEnd"/>
      <w:r w:rsidR="004727C0" w:rsidRPr="004727C0">
        <w:rPr>
          <w:lang w:eastAsia="en-GB"/>
        </w:rPr>
        <w:t xml:space="preserve"> by the IOMS, and their odour concentration ranges. Four main odour classes were considered: ‘Air’, representing ambient air at the plant fenceline in the absence of odour; ‘Biogas’, including samples collected from the digester and upgrading area; ‘Biofilter’, including samples collected at the outlet of the biofilters; and ‘Sheds’, including samples collected from the buildings dedicated to waste reception and pre-treatment.</w:t>
      </w:r>
    </w:p>
    <w:p w14:paraId="3FB9DECC" w14:textId="77777777" w:rsidR="004727C0" w:rsidRPr="004727C0" w:rsidRDefault="004727C0" w:rsidP="004727C0">
      <w:pPr>
        <w:pStyle w:val="CETBodytext"/>
      </w:pPr>
      <w:r w:rsidRPr="004727C0">
        <w:t>During field analysis, it was observed that, due to improper operation of the biofilter unit, odours belonging to the ‘Biofilter’ class were very similar to those of the ‘Sheds’ class. This issue made the classification of the two classes particularly challenging for the IOMS; therefore, it was decided to merge these samples into a single macro-class called ‘Organic’.</w:t>
      </w:r>
    </w:p>
    <w:p w14:paraId="693A1440" w14:textId="1895C75E" w:rsidR="00B31C65" w:rsidRDefault="00B31C65" w:rsidP="00967C90">
      <w:pPr>
        <w:pStyle w:val="CETTabletitle"/>
      </w:pPr>
      <w:bookmarkStart w:id="1" w:name="_Ref227250396"/>
      <w:r>
        <w:lastRenderedPageBreak/>
        <w:t xml:space="preserve">Table </w:t>
      </w:r>
      <w:r>
        <w:fldChar w:fldCharType="begin"/>
      </w:r>
      <w:r>
        <w:instrText xml:space="preserve"> SEQ Table \* ARABIC </w:instrText>
      </w:r>
      <w:r>
        <w:fldChar w:fldCharType="separate"/>
      </w:r>
      <w:r w:rsidR="00967C90">
        <w:rPr>
          <w:noProof/>
        </w:rPr>
        <w:t>1</w:t>
      </w:r>
      <w:r>
        <w:fldChar w:fldCharType="end"/>
      </w:r>
      <w:bookmarkEnd w:id="1"/>
      <w:r w:rsidR="00967C90">
        <w:t xml:space="preserve">: </w:t>
      </w:r>
      <w:r w:rsidR="00AC0262">
        <w:t xml:space="preserve">Samples analysed by the IOMS for the definition of train and test set with </w:t>
      </w:r>
      <w:r w:rsidR="00E13B6B">
        <w:t>respective odour concentration range.</w:t>
      </w:r>
    </w:p>
    <w:tbl>
      <w:tblPr>
        <w:tblW w:w="8618"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675"/>
        <w:gridCol w:w="2314"/>
        <w:gridCol w:w="1157"/>
        <w:gridCol w:w="1157"/>
        <w:gridCol w:w="2315"/>
      </w:tblGrid>
      <w:tr w:rsidR="00643C1C" w:rsidRPr="00B57B36" w14:paraId="1BB1D562" w14:textId="77777777" w:rsidTr="00A03D48">
        <w:trPr>
          <w:trHeight w:val="269"/>
          <w:tblHeader/>
        </w:trPr>
        <w:tc>
          <w:tcPr>
            <w:tcW w:w="1675" w:type="dxa"/>
            <w:vMerge w:val="restart"/>
            <w:tcBorders>
              <w:top w:val="single" w:sz="12" w:space="0" w:color="008000"/>
            </w:tcBorders>
            <w:shd w:val="clear" w:color="auto" w:fill="FFFFFF"/>
            <w:vAlign w:val="center"/>
          </w:tcPr>
          <w:p w14:paraId="3F069D38" w14:textId="74B09EBA" w:rsidR="00643C1C" w:rsidRPr="00B57B36" w:rsidRDefault="00643C1C" w:rsidP="00643C1C">
            <w:pPr>
              <w:pStyle w:val="CETBodytext"/>
              <w:jc w:val="center"/>
              <w:rPr>
                <w:lang w:val="en-GB"/>
              </w:rPr>
            </w:pPr>
            <w:r>
              <w:rPr>
                <w:lang w:val="en-GB"/>
              </w:rPr>
              <w:t>Odour Class</w:t>
            </w:r>
          </w:p>
        </w:tc>
        <w:tc>
          <w:tcPr>
            <w:tcW w:w="2314" w:type="dxa"/>
            <w:tcBorders>
              <w:top w:val="single" w:sz="12" w:space="0" w:color="008000"/>
              <w:bottom w:val="single" w:sz="8" w:space="0" w:color="008000"/>
              <w:right w:val="nil"/>
            </w:tcBorders>
            <w:shd w:val="clear" w:color="auto" w:fill="FFFFFF"/>
            <w:vAlign w:val="center"/>
          </w:tcPr>
          <w:p w14:paraId="7912746F" w14:textId="3B71548F" w:rsidR="00643C1C" w:rsidRPr="00B57B36" w:rsidRDefault="00643C1C" w:rsidP="00643C1C">
            <w:pPr>
              <w:pStyle w:val="CETBodytext"/>
              <w:ind w:right="-1"/>
              <w:jc w:val="center"/>
              <w:rPr>
                <w:rFonts w:cs="Arial"/>
                <w:szCs w:val="18"/>
                <w:lang w:val="en-GB"/>
              </w:rPr>
            </w:pPr>
            <w:r>
              <w:rPr>
                <w:lang w:val="en-GB"/>
              </w:rPr>
              <w:t>N° independent samples</w:t>
            </w:r>
          </w:p>
        </w:tc>
        <w:tc>
          <w:tcPr>
            <w:tcW w:w="2314" w:type="dxa"/>
            <w:gridSpan w:val="2"/>
            <w:tcBorders>
              <w:top w:val="single" w:sz="12" w:space="0" w:color="008000"/>
              <w:left w:val="nil"/>
              <w:bottom w:val="single" w:sz="8" w:space="0" w:color="008000"/>
              <w:right w:val="nil"/>
            </w:tcBorders>
            <w:shd w:val="clear" w:color="auto" w:fill="FFFFFF"/>
            <w:vAlign w:val="center"/>
          </w:tcPr>
          <w:p w14:paraId="5409C793" w14:textId="05C5C56C" w:rsidR="00643C1C" w:rsidRPr="00B57B36" w:rsidRDefault="00643C1C" w:rsidP="00643C1C">
            <w:pPr>
              <w:pStyle w:val="CETBodytext"/>
              <w:ind w:right="-1"/>
              <w:jc w:val="center"/>
              <w:rPr>
                <w:rFonts w:cs="Arial"/>
                <w:szCs w:val="18"/>
                <w:lang w:val="en-GB"/>
              </w:rPr>
            </w:pPr>
            <w:r>
              <w:rPr>
                <w:lang w:val="en-GB"/>
              </w:rPr>
              <w:t>N° diluted samples</w:t>
            </w:r>
          </w:p>
        </w:tc>
        <w:tc>
          <w:tcPr>
            <w:tcW w:w="2315" w:type="dxa"/>
            <w:tcBorders>
              <w:top w:val="single" w:sz="12" w:space="0" w:color="008000"/>
              <w:left w:val="nil"/>
              <w:bottom w:val="single" w:sz="8" w:space="0" w:color="008000"/>
              <w:right w:val="nil"/>
            </w:tcBorders>
            <w:shd w:val="clear" w:color="auto" w:fill="FFFFFF"/>
            <w:vAlign w:val="center"/>
          </w:tcPr>
          <w:p w14:paraId="294498D1" w14:textId="0F33810D" w:rsidR="00643C1C" w:rsidRPr="00B57B36" w:rsidRDefault="00643C1C" w:rsidP="00643C1C">
            <w:pPr>
              <w:pStyle w:val="CETBodytext"/>
              <w:ind w:right="-1"/>
              <w:jc w:val="center"/>
              <w:rPr>
                <w:rFonts w:cs="Arial"/>
                <w:szCs w:val="18"/>
                <w:lang w:val="en-GB"/>
              </w:rPr>
            </w:pPr>
            <w:r>
              <w:rPr>
                <w:lang w:val="en-GB"/>
              </w:rPr>
              <w:t>Odour concentration range [</w:t>
            </w:r>
            <w:proofErr w:type="spellStart"/>
            <w:r>
              <w:rPr>
                <w:lang w:val="en-GB"/>
              </w:rPr>
              <w:t>ou</w:t>
            </w:r>
            <w:r>
              <w:rPr>
                <w:vertAlign w:val="subscript"/>
                <w:lang w:val="en-GB"/>
              </w:rPr>
              <w:t>E</w:t>
            </w:r>
            <w:proofErr w:type="spellEnd"/>
            <w:r>
              <w:rPr>
                <w:lang w:val="en-GB"/>
              </w:rPr>
              <w:t>/m</w:t>
            </w:r>
            <w:r>
              <w:rPr>
                <w:vertAlign w:val="superscript"/>
                <w:lang w:val="en-GB"/>
              </w:rPr>
              <w:t>3</w:t>
            </w:r>
            <w:r>
              <w:rPr>
                <w:lang w:val="en-GB"/>
              </w:rPr>
              <w:t>]</w:t>
            </w:r>
          </w:p>
        </w:tc>
      </w:tr>
      <w:tr w:rsidR="00EC7C4B" w:rsidRPr="00B57B36" w14:paraId="6B662915" w14:textId="77777777" w:rsidTr="00B07776">
        <w:trPr>
          <w:trHeight w:val="269"/>
          <w:tblHeader/>
        </w:trPr>
        <w:tc>
          <w:tcPr>
            <w:tcW w:w="1675" w:type="dxa"/>
            <w:vMerge/>
            <w:tcBorders>
              <w:bottom w:val="single" w:sz="12" w:space="0" w:color="008000"/>
            </w:tcBorders>
            <w:shd w:val="clear" w:color="auto" w:fill="FFFFFF"/>
          </w:tcPr>
          <w:p w14:paraId="68513412" w14:textId="77777777" w:rsidR="00EC7C4B" w:rsidRDefault="00EC7C4B" w:rsidP="00285C09">
            <w:pPr>
              <w:pStyle w:val="CETBodytext"/>
              <w:rPr>
                <w:lang w:val="en-GB"/>
              </w:rPr>
            </w:pPr>
          </w:p>
        </w:tc>
        <w:tc>
          <w:tcPr>
            <w:tcW w:w="2314" w:type="dxa"/>
            <w:tcBorders>
              <w:top w:val="single" w:sz="8" w:space="0" w:color="008000"/>
              <w:bottom w:val="single" w:sz="12" w:space="0" w:color="008000"/>
              <w:right w:val="nil"/>
            </w:tcBorders>
            <w:shd w:val="clear" w:color="auto" w:fill="FFFFFF"/>
            <w:vAlign w:val="center"/>
          </w:tcPr>
          <w:p w14:paraId="24524DE2" w14:textId="5CA9C3A7" w:rsidR="00EC7C4B" w:rsidRDefault="00EC7C4B" w:rsidP="00285C09">
            <w:pPr>
              <w:pStyle w:val="CETBodytext"/>
              <w:ind w:right="-1"/>
              <w:jc w:val="center"/>
              <w:rPr>
                <w:lang w:val="en-GB"/>
              </w:rPr>
            </w:pPr>
          </w:p>
        </w:tc>
        <w:tc>
          <w:tcPr>
            <w:tcW w:w="1157" w:type="dxa"/>
            <w:tcBorders>
              <w:top w:val="single" w:sz="8" w:space="0" w:color="008000"/>
              <w:left w:val="nil"/>
              <w:bottom w:val="single" w:sz="12" w:space="0" w:color="008000"/>
              <w:right w:val="nil"/>
            </w:tcBorders>
            <w:shd w:val="clear" w:color="auto" w:fill="FFFFFF"/>
            <w:vAlign w:val="center"/>
          </w:tcPr>
          <w:p w14:paraId="3F883244" w14:textId="54CE2F71" w:rsidR="00EC7C4B" w:rsidRDefault="00EC7C4B" w:rsidP="00285C09">
            <w:pPr>
              <w:pStyle w:val="CETBodytext"/>
              <w:ind w:right="-1"/>
              <w:jc w:val="center"/>
              <w:rPr>
                <w:lang w:val="en-GB"/>
              </w:rPr>
            </w:pPr>
            <w:r>
              <w:rPr>
                <w:lang w:val="en-GB"/>
              </w:rPr>
              <w:t>Train</w:t>
            </w:r>
          </w:p>
        </w:tc>
        <w:tc>
          <w:tcPr>
            <w:tcW w:w="1157" w:type="dxa"/>
            <w:tcBorders>
              <w:top w:val="single" w:sz="8" w:space="0" w:color="008000"/>
              <w:left w:val="nil"/>
              <w:bottom w:val="single" w:sz="12" w:space="0" w:color="008000"/>
              <w:right w:val="nil"/>
            </w:tcBorders>
            <w:shd w:val="clear" w:color="auto" w:fill="FFFFFF"/>
            <w:vAlign w:val="center"/>
          </w:tcPr>
          <w:p w14:paraId="0482A541" w14:textId="72FA75B5" w:rsidR="00EC7C4B" w:rsidRDefault="00EC7C4B" w:rsidP="00285C09">
            <w:pPr>
              <w:pStyle w:val="CETBodytext"/>
              <w:ind w:right="-1"/>
              <w:jc w:val="center"/>
              <w:rPr>
                <w:lang w:val="en-GB"/>
              </w:rPr>
            </w:pPr>
            <w:r>
              <w:rPr>
                <w:lang w:val="en-GB"/>
              </w:rPr>
              <w:t>Test</w:t>
            </w:r>
          </w:p>
        </w:tc>
        <w:tc>
          <w:tcPr>
            <w:tcW w:w="2315" w:type="dxa"/>
            <w:tcBorders>
              <w:top w:val="single" w:sz="8" w:space="0" w:color="008000"/>
              <w:left w:val="nil"/>
              <w:bottom w:val="single" w:sz="12" w:space="0" w:color="008000"/>
              <w:right w:val="nil"/>
            </w:tcBorders>
            <w:shd w:val="clear" w:color="auto" w:fill="FFFFFF"/>
            <w:vAlign w:val="center"/>
          </w:tcPr>
          <w:p w14:paraId="230A7366" w14:textId="77993C4C" w:rsidR="00EC7C4B" w:rsidRPr="00285C09" w:rsidRDefault="00EC7C4B" w:rsidP="00285C09">
            <w:pPr>
              <w:pStyle w:val="CETBodytext"/>
              <w:ind w:right="-1"/>
              <w:jc w:val="center"/>
              <w:rPr>
                <w:lang w:val="en-GB"/>
              </w:rPr>
            </w:pPr>
          </w:p>
        </w:tc>
      </w:tr>
      <w:tr w:rsidR="00A03D48" w:rsidRPr="00B57B36" w14:paraId="25B3CB78" w14:textId="77777777" w:rsidTr="00B07776">
        <w:trPr>
          <w:trHeight w:val="299"/>
          <w:tblHeader/>
        </w:trPr>
        <w:tc>
          <w:tcPr>
            <w:tcW w:w="1675" w:type="dxa"/>
            <w:tcBorders>
              <w:top w:val="single" w:sz="12" w:space="0" w:color="008000"/>
            </w:tcBorders>
            <w:shd w:val="clear" w:color="auto" w:fill="FFFFFF"/>
            <w:vAlign w:val="center"/>
          </w:tcPr>
          <w:p w14:paraId="1053E041" w14:textId="1C0D98D3" w:rsidR="00A03D48" w:rsidRPr="00B57B36" w:rsidRDefault="00A03D48" w:rsidP="00285C09">
            <w:pPr>
              <w:pStyle w:val="CETBodytext"/>
              <w:jc w:val="center"/>
              <w:rPr>
                <w:lang w:val="en-GB"/>
              </w:rPr>
            </w:pPr>
            <w:r>
              <w:rPr>
                <w:lang w:val="en-GB"/>
              </w:rPr>
              <w:t>Air</w:t>
            </w:r>
          </w:p>
        </w:tc>
        <w:tc>
          <w:tcPr>
            <w:tcW w:w="2314" w:type="dxa"/>
            <w:tcBorders>
              <w:top w:val="single" w:sz="12" w:space="0" w:color="008000"/>
              <w:right w:val="nil"/>
            </w:tcBorders>
            <w:shd w:val="clear" w:color="auto" w:fill="FFFFFF"/>
            <w:vAlign w:val="center"/>
          </w:tcPr>
          <w:p w14:paraId="2114051D" w14:textId="050715A1" w:rsidR="00A03D48" w:rsidRPr="00BC30E1" w:rsidRDefault="00A03D48" w:rsidP="00285C09">
            <w:pPr>
              <w:pStyle w:val="CETBodytext"/>
              <w:ind w:right="-1"/>
              <w:jc w:val="center"/>
              <w:rPr>
                <w:lang w:val="en-GB"/>
              </w:rPr>
            </w:pPr>
            <w:r w:rsidRPr="00BC30E1">
              <w:rPr>
                <w:lang w:val="en-GB"/>
              </w:rPr>
              <w:t>42</w:t>
            </w:r>
          </w:p>
        </w:tc>
        <w:tc>
          <w:tcPr>
            <w:tcW w:w="1157" w:type="dxa"/>
            <w:tcBorders>
              <w:top w:val="single" w:sz="12" w:space="0" w:color="008000"/>
              <w:left w:val="nil"/>
              <w:bottom w:val="nil"/>
              <w:right w:val="nil"/>
            </w:tcBorders>
            <w:shd w:val="clear" w:color="auto" w:fill="FFFFFF"/>
            <w:vAlign w:val="center"/>
          </w:tcPr>
          <w:p w14:paraId="57752A96" w14:textId="2B3E0304" w:rsidR="00A03D48" w:rsidRPr="00BC30E1" w:rsidRDefault="00B636FC" w:rsidP="00285C09">
            <w:pPr>
              <w:pStyle w:val="CETBodytext"/>
              <w:ind w:right="-1"/>
              <w:jc w:val="center"/>
              <w:rPr>
                <w:lang w:val="en-GB"/>
              </w:rPr>
            </w:pPr>
            <w:r>
              <w:rPr>
                <w:lang w:val="en-GB"/>
              </w:rPr>
              <w:t>31</w:t>
            </w:r>
          </w:p>
        </w:tc>
        <w:tc>
          <w:tcPr>
            <w:tcW w:w="1157" w:type="dxa"/>
            <w:tcBorders>
              <w:top w:val="single" w:sz="12" w:space="0" w:color="008000"/>
              <w:left w:val="nil"/>
              <w:bottom w:val="nil"/>
              <w:right w:val="nil"/>
            </w:tcBorders>
            <w:shd w:val="clear" w:color="auto" w:fill="FFFFFF"/>
            <w:vAlign w:val="center"/>
          </w:tcPr>
          <w:p w14:paraId="1814E2B5" w14:textId="6650584A" w:rsidR="00A03D48" w:rsidRPr="00BC30E1" w:rsidRDefault="00B636FC" w:rsidP="00285C09">
            <w:pPr>
              <w:pStyle w:val="CETBodytext"/>
              <w:ind w:right="-1"/>
              <w:jc w:val="center"/>
              <w:rPr>
                <w:lang w:val="en-GB"/>
              </w:rPr>
            </w:pPr>
            <w:r>
              <w:rPr>
                <w:lang w:val="en-GB"/>
              </w:rPr>
              <w:t>11</w:t>
            </w:r>
          </w:p>
        </w:tc>
        <w:tc>
          <w:tcPr>
            <w:tcW w:w="2315" w:type="dxa"/>
            <w:tcBorders>
              <w:top w:val="single" w:sz="12" w:space="0" w:color="008000"/>
              <w:left w:val="nil"/>
              <w:bottom w:val="nil"/>
              <w:right w:val="nil"/>
            </w:tcBorders>
            <w:shd w:val="clear" w:color="auto" w:fill="FFFFFF"/>
            <w:vAlign w:val="center"/>
          </w:tcPr>
          <w:p w14:paraId="744A03EE" w14:textId="4E35C742" w:rsidR="00A03D48" w:rsidRPr="00BC30E1" w:rsidRDefault="00A03D48" w:rsidP="00285C09">
            <w:pPr>
              <w:pStyle w:val="CETBodytext"/>
              <w:ind w:right="-1"/>
              <w:jc w:val="center"/>
              <w:rPr>
                <w:lang w:val="en-GB"/>
              </w:rPr>
            </w:pPr>
            <w:r w:rsidRPr="00BC30E1">
              <w:rPr>
                <w:lang w:val="en-GB"/>
              </w:rPr>
              <w:t>20-60</w:t>
            </w:r>
          </w:p>
        </w:tc>
      </w:tr>
      <w:tr w:rsidR="00A03D48" w:rsidRPr="00B57B36" w14:paraId="1CF7DA3C" w14:textId="77777777" w:rsidTr="00B07776">
        <w:trPr>
          <w:trHeight w:val="284"/>
          <w:tblHeader/>
        </w:trPr>
        <w:tc>
          <w:tcPr>
            <w:tcW w:w="1675" w:type="dxa"/>
            <w:shd w:val="clear" w:color="auto" w:fill="FFFFFF"/>
            <w:vAlign w:val="center"/>
          </w:tcPr>
          <w:p w14:paraId="7D917C4D" w14:textId="27934B91" w:rsidR="00A03D48" w:rsidRDefault="00A03D48" w:rsidP="00064085">
            <w:pPr>
              <w:pStyle w:val="CETBodytext"/>
              <w:jc w:val="center"/>
              <w:rPr>
                <w:lang w:val="en-GB"/>
              </w:rPr>
            </w:pPr>
            <w:r>
              <w:rPr>
                <w:lang w:val="en-GB"/>
              </w:rPr>
              <w:t>Biofilter</w:t>
            </w:r>
          </w:p>
        </w:tc>
        <w:tc>
          <w:tcPr>
            <w:tcW w:w="2314" w:type="dxa"/>
            <w:tcBorders>
              <w:right w:val="nil"/>
            </w:tcBorders>
            <w:shd w:val="clear" w:color="auto" w:fill="FFFFFF"/>
            <w:vAlign w:val="center"/>
          </w:tcPr>
          <w:p w14:paraId="245BCA55" w14:textId="52EA9638" w:rsidR="00A03D48" w:rsidRPr="00B57B36" w:rsidRDefault="006349C1" w:rsidP="00064085">
            <w:pPr>
              <w:pStyle w:val="CETBodytext"/>
              <w:ind w:right="-1"/>
              <w:jc w:val="center"/>
              <w:rPr>
                <w:rFonts w:cs="Arial"/>
                <w:szCs w:val="18"/>
                <w:lang w:val="en-GB"/>
              </w:rPr>
            </w:pPr>
            <w:r>
              <w:rPr>
                <w:rFonts w:cs="Arial"/>
                <w:szCs w:val="18"/>
                <w:lang w:val="en-GB"/>
              </w:rPr>
              <w:t>20</w:t>
            </w:r>
          </w:p>
        </w:tc>
        <w:tc>
          <w:tcPr>
            <w:tcW w:w="1157" w:type="dxa"/>
            <w:tcBorders>
              <w:top w:val="nil"/>
              <w:left w:val="nil"/>
              <w:bottom w:val="nil"/>
              <w:right w:val="nil"/>
            </w:tcBorders>
            <w:shd w:val="clear" w:color="auto" w:fill="FFFFFF"/>
            <w:vAlign w:val="center"/>
          </w:tcPr>
          <w:p w14:paraId="2623EEED" w14:textId="43983FD5" w:rsidR="00A03D48" w:rsidRPr="00B57B36" w:rsidRDefault="00E23A3E" w:rsidP="00064085">
            <w:pPr>
              <w:pStyle w:val="CETBodytext"/>
              <w:ind w:right="-1"/>
              <w:jc w:val="center"/>
              <w:rPr>
                <w:rFonts w:cs="Arial"/>
                <w:szCs w:val="18"/>
                <w:lang w:val="en-GB"/>
              </w:rPr>
            </w:pPr>
            <w:r>
              <w:rPr>
                <w:rFonts w:cs="Arial"/>
                <w:szCs w:val="18"/>
                <w:lang w:val="en-GB"/>
              </w:rPr>
              <w:t>36</w:t>
            </w:r>
          </w:p>
        </w:tc>
        <w:tc>
          <w:tcPr>
            <w:tcW w:w="1157" w:type="dxa"/>
            <w:tcBorders>
              <w:top w:val="nil"/>
              <w:left w:val="nil"/>
              <w:bottom w:val="nil"/>
              <w:right w:val="nil"/>
            </w:tcBorders>
            <w:shd w:val="clear" w:color="auto" w:fill="FFFFFF"/>
            <w:vAlign w:val="center"/>
          </w:tcPr>
          <w:p w14:paraId="706DEA7B" w14:textId="399997D4" w:rsidR="00A03D48" w:rsidRPr="00B57B36" w:rsidRDefault="00071EE5" w:rsidP="00064085">
            <w:pPr>
              <w:pStyle w:val="CETBodytext"/>
              <w:ind w:right="-1"/>
              <w:jc w:val="center"/>
              <w:rPr>
                <w:rFonts w:cs="Arial"/>
                <w:szCs w:val="18"/>
                <w:lang w:val="en-GB"/>
              </w:rPr>
            </w:pPr>
            <w:r>
              <w:rPr>
                <w:rFonts w:cs="Arial"/>
                <w:szCs w:val="18"/>
                <w:lang w:val="en-GB"/>
              </w:rPr>
              <w:t>29</w:t>
            </w:r>
          </w:p>
        </w:tc>
        <w:tc>
          <w:tcPr>
            <w:tcW w:w="2315" w:type="dxa"/>
            <w:tcBorders>
              <w:top w:val="nil"/>
              <w:left w:val="nil"/>
              <w:bottom w:val="nil"/>
              <w:right w:val="nil"/>
            </w:tcBorders>
            <w:shd w:val="clear" w:color="auto" w:fill="FFFFFF"/>
            <w:vAlign w:val="center"/>
          </w:tcPr>
          <w:p w14:paraId="43C95516" w14:textId="20C2E557" w:rsidR="00A03D48" w:rsidRPr="00B57B36" w:rsidRDefault="00A03D48" w:rsidP="00064085">
            <w:pPr>
              <w:pStyle w:val="CETBodytext"/>
              <w:ind w:right="-1"/>
              <w:jc w:val="center"/>
              <w:rPr>
                <w:rFonts w:cs="Arial"/>
                <w:szCs w:val="18"/>
                <w:lang w:val="en-GB"/>
              </w:rPr>
            </w:pPr>
            <w:r>
              <w:rPr>
                <w:rFonts w:cs="Arial"/>
                <w:szCs w:val="18"/>
                <w:lang w:val="en-GB"/>
              </w:rPr>
              <w:t>30-500</w:t>
            </w:r>
          </w:p>
        </w:tc>
      </w:tr>
      <w:tr w:rsidR="00A03D48" w:rsidRPr="00B57B36" w14:paraId="07F5BBF9" w14:textId="77777777" w:rsidTr="00B07776">
        <w:trPr>
          <w:trHeight w:val="284"/>
          <w:tblHeader/>
        </w:trPr>
        <w:tc>
          <w:tcPr>
            <w:tcW w:w="1675" w:type="dxa"/>
            <w:shd w:val="clear" w:color="auto" w:fill="FFFFFF"/>
            <w:vAlign w:val="center"/>
          </w:tcPr>
          <w:p w14:paraId="6B7BF87A" w14:textId="2BA59EF8" w:rsidR="00A03D48" w:rsidRDefault="00A03D48" w:rsidP="00064085">
            <w:pPr>
              <w:pStyle w:val="CETBodytext"/>
              <w:jc w:val="center"/>
              <w:rPr>
                <w:lang w:val="en-GB"/>
              </w:rPr>
            </w:pPr>
            <w:r>
              <w:rPr>
                <w:lang w:val="en-GB"/>
              </w:rPr>
              <w:t>Biogas</w:t>
            </w:r>
          </w:p>
        </w:tc>
        <w:tc>
          <w:tcPr>
            <w:tcW w:w="2314" w:type="dxa"/>
            <w:tcBorders>
              <w:right w:val="nil"/>
            </w:tcBorders>
            <w:shd w:val="clear" w:color="auto" w:fill="FFFFFF"/>
            <w:vAlign w:val="center"/>
          </w:tcPr>
          <w:p w14:paraId="4F5DF232" w14:textId="4AC33E0E" w:rsidR="00A03D48" w:rsidRPr="00B57B36" w:rsidRDefault="00A81345" w:rsidP="00064085">
            <w:pPr>
              <w:pStyle w:val="CETBodytext"/>
              <w:ind w:right="-1"/>
              <w:jc w:val="center"/>
              <w:rPr>
                <w:rFonts w:cs="Arial"/>
                <w:szCs w:val="18"/>
                <w:lang w:val="en-GB"/>
              </w:rPr>
            </w:pPr>
            <w:r>
              <w:rPr>
                <w:rFonts w:cs="Arial"/>
                <w:szCs w:val="18"/>
                <w:lang w:val="en-GB"/>
              </w:rPr>
              <w:t>14</w:t>
            </w:r>
          </w:p>
        </w:tc>
        <w:tc>
          <w:tcPr>
            <w:tcW w:w="1157" w:type="dxa"/>
            <w:tcBorders>
              <w:top w:val="nil"/>
              <w:left w:val="nil"/>
              <w:bottom w:val="nil"/>
              <w:right w:val="nil"/>
            </w:tcBorders>
            <w:shd w:val="clear" w:color="auto" w:fill="FFFFFF"/>
            <w:vAlign w:val="center"/>
          </w:tcPr>
          <w:p w14:paraId="1F43C9F8" w14:textId="236A0F02" w:rsidR="00A03D48" w:rsidRPr="00B57B36" w:rsidRDefault="006C164F" w:rsidP="00064085">
            <w:pPr>
              <w:pStyle w:val="CETBodytext"/>
              <w:ind w:right="-1"/>
              <w:jc w:val="center"/>
              <w:rPr>
                <w:rFonts w:cs="Arial"/>
                <w:szCs w:val="18"/>
                <w:lang w:val="en-GB"/>
              </w:rPr>
            </w:pPr>
            <w:r>
              <w:rPr>
                <w:rFonts w:cs="Arial"/>
                <w:szCs w:val="18"/>
                <w:lang w:val="en-GB"/>
              </w:rPr>
              <w:t>40</w:t>
            </w:r>
          </w:p>
        </w:tc>
        <w:tc>
          <w:tcPr>
            <w:tcW w:w="1157" w:type="dxa"/>
            <w:tcBorders>
              <w:top w:val="nil"/>
              <w:left w:val="nil"/>
              <w:bottom w:val="nil"/>
              <w:right w:val="nil"/>
            </w:tcBorders>
            <w:shd w:val="clear" w:color="auto" w:fill="FFFFFF"/>
            <w:vAlign w:val="center"/>
          </w:tcPr>
          <w:p w14:paraId="62214C0B" w14:textId="297F7F8E" w:rsidR="00A03D48" w:rsidRPr="00B57B36" w:rsidRDefault="006C164F" w:rsidP="00064085">
            <w:pPr>
              <w:pStyle w:val="CETBodytext"/>
              <w:ind w:right="-1"/>
              <w:jc w:val="center"/>
              <w:rPr>
                <w:rFonts w:cs="Arial"/>
                <w:szCs w:val="18"/>
                <w:lang w:val="en-GB"/>
              </w:rPr>
            </w:pPr>
            <w:r>
              <w:rPr>
                <w:rFonts w:cs="Arial"/>
                <w:szCs w:val="18"/>
                <w:lang w:val="en-GB"/>
              </w:rPr>
              <w:t>23</w:t>
            </w:r>
          </w:p>
        </w:tc>
        <w:tc>
          <w:tcPr>
            <w:tcW w:w="2315" w:type="dxa"/>
            <w:tcBorders>
              <w:top w:val="nil"/>
              <w:left w:val="nil"/>
              <w:bottom w:val="nil"/>
              <w:right w:val="nil"/>
            </w:tcBorders>
            <w:shd w:val="clear" w:color="auto" w:fill="FFFFFF"/>
            <w:vAlign w:val="center"/>
          </w:tcPr>
          <w:p w14:paraId="326F20B5" w14:textId="6FE50408" w:rsidR="00A03D48" w:rsidRPr="00B57B36" w:rsidRDefault="00A03D48" w:rsidP="00064085">
            <w:pPr>
              <w:pStyle w:val="CETBodytext"/>
              <w:ind w:right="-1"/>
              <w:jc w:val="center"/>
              <w:rPr>
                <w:rFonts w:cs="Arial"/>
                <w:szCs w:val="18"/>
                <w:lang w:val="en-GB"/>
              </w:rPr>
            </w:pPr>
            <w:r>
              <w:rPr>
                <w:rFonts w:cs="Arial"/>
                <w:szCs w:val="18"/>
                <w:lang w:val="en-GB"/>
              </w:rPr>
              <w:t>20-870</w:t>
            </w:r>
          </w:p>
        </w:tc>
      </w:tr>
      <w:tr w:rsidR="00A03D48" w:rsidRPr="00B57B36" w14:paraId="7920DC96" w14:textId="77777777" w:rsidTr="00B07776">
        <w:trPr>
          <w:trHeight w:val="269"/>
          <w:tblHeader/>
        </w:trPr>
        <w:tc>
          <w:tcPr>
            <w:tcW w:w="1675" w:type="dxa"/>
            <w:shd w:val="clear" w:color="auto" w:fill="FFFFFF"/>
            <w:vAlign w:val="center"/>
          </w:tcPr>
          <w:p w14:paraId="45873D08" w14:textId="5968E898" w:rsidR="00A03D48" w:rsidRPr="00B57B36" w:rsidRDefault="00A03D48" w:rsidP="00064085">
            <w:pPr>
              <w:pStyle w:val="CETBodytext"/>
              <w:ind w:right="-1"/>
              <w:jc w:val="center"/>
              <w:rPr>
                <w:rFonts w:cs="Arial"/>
                <w:szCs w:val="18"/>
                <w:lang w:val="en-GB"/>
              </w:rPr>
            </w:pPr>
            <w:r>
              <w:rPr>
                <w:rFonts w:cs="Arial"/>
                <w:szCs w:val="18"/>
                <w:lang w:val="en-GB"/>
              </w:rPr>
              <w:t>Sheds</w:t>
            </w:r>
          </w:p>
        </w:tc>
        <w:tc>
          <w:tcPr>
            <w:tcW w:w="2314" w:type="dxa"/>
            <w:tcBorders>
              <w:right w:val="nil"/>
            </w:tcBorders>
            <w:shd w:val="clear" w:color="auto" w:fill="FFFFFF"/>
            <w:vAlign w:val="center"/>
          </w:tcPr>
          <w:p w14:paraId="36E98700" w14:textId="15B663C0" w:rsidR="00A03D48" w:rsidRPr="00B57B36" w:rsidRDefault="00A81345" w:rsidP="00064085">
            <w:pPr>
              <w:pStyle w:val="CETBodytext"/>
              <w:ind w:right="-1"/>
              <w:jc w:val="center"/>
              <w:rPr>
                <w:rFonts w:cs="Arial"/>
                <w:szCs w:val="18"/>
                <w:lang w:val="en-GB"/>
              </w:rPr>
            </w:pPr>
            <w:r>
              <w:rPr>
                <w:rFonts w:cs="Arial"/>
                <w:szCs w:val="18"/>
                <w:lang w:val="en-GB"/>
              </w:rPr>
              <w:t>17</w:t>
            </w:r>
          </w:p>
        </w:tc>
        <w:tc>
          <w:tcPr>
            <w:tcW w:w="1157" w:type="dxa"/>
            <w:tcBorders>
              <w:top w:val="nil"/>
              <w:left w:val="nil"/>
              <w:bottom w:val="single" w:sz="12" w:space="0" w:color="008000"/>
              <w:right w:val="nil"/>
            </w:tcBorders>
            <w:shd w:val="clear" w:color="auto" w:fill="FFFFFF"/>
            <w:vAlign w:val="center"/>
          </w:tcPr>
          <w:p w14:paraId="4D726770" w14:textId="3FB09EB2" w:rsidR="00A03D48" w:rsidRPr="00B57B36" w:rsidRDefault="00417D29" w:rsidP="00064085">
            <w:pPr>
              <w:pStyle w:val="CETBodytext"/>
              <w:ind w:right="-1"/>
              <w:jc w:val="center"/>
              <w:rPr>
                <w:rFonts w:cs="Arial"/>
                <w:szCs w:val="18"/>
                <w:lang w:val="en-GB"/>
              </w:rPr>
            </w:pPr>
            <w:r>
              <w:rPr>
                <w:rFonts w:cs="Arial"/>
                <w:szCs w:val="18"/>
                <w:lang w:val="en-GB"/>
              </w:rPr>
              <w:t>46</w:t>
            </w:r>
          </w:p>
        </w:tc>
        <w:tc>
          <w:tcPr>
            <w:tcW w:w="1157" w:type="dxa"/>
            <w:tcBorders>
              <w:top w:val="nil"/>
              <w:left w:val="nil"/>
              <w:bottom w:val="single" w:sz="12" w:space="0" w:color="008000"/>
              <w:right w:val="nil"/>
            </w:tcBorders>
            <w:shd w:val="clear" w:color="auto" w:fill="FFFFFF"/>
            <w:vAlign w:val="center"/>
          </w:tcPr>
          <w:p w14:paraId="37ECE4B1" w14:textId="1B61E8B0" w:rsidR="00A03D48" w:rsidRPr="00B57B36" w:rsidRDefault="00417D29" w:rsidP="00064085">
            <w:pPr>
              <w:pStyle w:val="CETBodytext"/>
              <w:ind w:right="-1"/>
              <w:jc w:val="center"/>
              <w:rPr>
                <w:rFonts w:cs="Arial"/>
                <w:szCs w:val="18"/>
                <w:lang w:val="en-GB"/>
              </w:rPr>
            </w:pPr>
            <w:r>
              <w:rPr>
                <w:rFonts w:cs="Arial"/>
                <w:szCs w:val="18"/>
                <w:lang w:val="en-GB"/>
              </w:rPr>
              <w:t>20</w:t>
            </w:r>
          </w:p>
        </w:tc>
        <w:tc>
          <w:tcPr>
            <w:tcW w:w="2315" w:type="dxa"/>
            <w:tcBorders>
              <w:top w:val="nil"/>
              <w:left w:val="nil"/>
              <w:bottom w:val="single" w:sz="12" w:space="0" w:color="008000"/>
              <w:right w:val="nil"/>
            </w:tcBorders>
            <w:shd w:val="clear" w:color="auto" w:fill="FFFFFF"/>
            <w:vAlign w:val="center"/>
          </w:tcPr>
          <w:p w14:paraId="160E1E0A" w14:textId="3FD8A769" w:rsidR="00A03D48" w:rsidRPr="00B57B36" w:rsidRDefault="00A03D48" w:rsidP="00064085">
            <w:pPr>
              <w:pStyle w:val="CETBodytext"/>
              <w:ind w:right="-1"/>
              <w:jc w:val="center"/>
              <w:rPr>
                <w:rFonts w:cs="Arial"/>
                <w:szCs w:val="18"/>
                <w:lang w:val="en-GB"/>
              </w:rPr>
            </w:pPr>
            <w:r>
              <w:rPr>
                <w:rFonts w:cs="Arial"/>
                <w:szCs w:val="18"/>
                <w:lang w:val="en-GB"/>
              </w:rPr>
              <w:t>20-370</w:t>
            </w:r>
          </w:p>
        </w:tc>
      </w:tr>
    </w:tbl>
    <w:p w14:paraId="14E3A871" w14:textId="41076F5B" w:rsidR="002B658C" w:rsidRDefault="002B658C" w:rsidP="002B658C">
      <w:pPr>
        <w:pStyle w:val="CETheadingx"/>
      </w:pPr>
      <w:r>
        <w:t>Data processing</w:t>
      </w:r>
    </w:p>
    <w:p w14:paraId="2B267573" w14:textId="29B5CC94" w:rsidR="00E95215" w:rsidRDefault="00E95215" w:rsidP="00C43FBA">
      <w:pPr>
        <w:pStyle w:val="CETBodytext"/>
      </w:pPr>
      <w:r>
        <w:t xml:space="preserve">For the study, </w:t>
      </w:r>
      <w:r w:rsidR="00225DED">
        <w:t xml:space="preserve">a specific data pre-processing </w:t>
      </w:r>
      <w:r w:rsidR="00B31C65">
        <w:t xml:space="preserve">approach </w:t>
      </w:r>
      <w:r w:rsidR="00C47489">
        <w:t>was</w:t>
      </w:r>
      <w:r w:rsidR="00B31C65">
        <w:t xml:space="preserve"> developed. T</w:t>
      </w:r>
      <w:r w:rsidR="003279B1">
        <w:t>he</w:t>
      </w:r>
      <w:r w:rsidR="0036296A">
        <w:t xml:space="preserve"> </w:t>
      </w:r>
      <w:r w:rsidR="002D0C11">
        <w:t xml:space="preserve">signal pre-processing is focused on the normalization of sensor resistance according to </w:t>
      </w:r>
      <w:r w:rsidR="00211343">
        <w:t>E</w:t>
      </w:r>
      <w:r w:rsidR="002E79B2">
        <w:t xml:space="preserve">q. </w:t>
      </w:r>
      <w:r w:rsidR="00D653D2">
        <w:t>(1)</w:t>
      </w:r>
      <w:r w:rsidR="00211343">
        <w:t>:</w:t>
      </w:r>
    </w:p>
    <w:tbl>
      <w:tblPr>
        <w:tblW w:w="5000" w:type="pct"/>
        <w:tblLook w:val="04A0" w:firstRow="1" w:lastRow="0" w:firstColumn="1" w:lastColumn="0" w:noHBand="0" w:noVBand="1"/>
      </w:tblPr>
      <w:tblGrid>
        <w:gridCol w:w="7983"/>
        <w:gridCol w:w="804"/>
      </w:tblGrid>
      <w:tr w:rsidR="00F32A39" w:rsidRPr="00B57B36" w14:paraId="7EC55C0E" w14:textId="77777777" w:rsidTr="003118F2">
        <w:tc>
          <w:tcPr>
            <w:tcW w:w="8188" w:type="dxa"/>
            <w:vAlign w:val="center"/>
          </w:tcPr>
          <w:p w14:paraId="0CDDB10F" w14:textId="32CB4C58" w:rsidR="00F32A39" w:rsidRPr="00B57B36" w:rsidRDefault="001461DA" w:rsidP="003118F2">
            <w:pPr>
              <w:pStyle w:val="CETEquation"/>
            </w:pPr>
            <m:oMathPara>
              <m:oMath>
                <m:sSub>
                  <m:sSubPr>
                    <m:ctrlPr>
                      <w:rPr>
                        <w:rFonts w:ascii="Cambria Math" w:hAnsi="Cambria Math"/>
                        <w:i/>
                      </w:rPr>
                    </m:ctrlPr>
                  </m:sSubPr>
                  <m:e>
                    <m:r>
                      <w:rPr>
                        <w:rFonts w:ascii="Cambria Math" w:hAnsi="Cambria Math"/>
                      </w:rPr>
                      <m:t>y</m:t>
                    </m:r>
                  </m:e>
                  <m:sub>
                    <m:r>
                      <w:rPr>
                        <w:rFonts w:ascii="Cambria Math" w:hAnsi="Cambria Math"/>
                      </w:rPr>
                      <m:t>norm</m:t>
                    </m:r>
                  </m:sub>
                </m:sSub>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ref</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ref</m:t>
                    </m:r>
                  </m:sub>
                </m:sSub>
              </m:oMath>
            </m:oMathPara>
          </w:p>
        </w:tc>
        <w:tc>
          <w:tcPr>
            <w:tcW w:w="815" w:type="dxa"/>
            <w:vAlign w:val="center"/>
          </w:tcPr>
          <w:p w14:paraId="2FDE508F" w14:textId="77777777" w:rsidR="00F32A39" w:rsidRPr="00B57B36" w:rsidRDefault="00F32A39" w:rsidP="003118F2">
            <w:pPr>
              <w:pStyle w:val="CETEquation"/>
              <w:jc w:val="right"/>
            </w:pPr>
            <w:r w:rsidRPr="00B57B36">
              <w:t>(1)</w:t>
            </w:r>
          </w:p>
        </w:tc>
      </w:tr>
    </w:tbl>
    <w:p w14:paraId="1D10F928" w14:textId="77777777" w:rsidR="00982196" w:rsidRPr="00982196" w:rsidRDefault="006470FA" w:rsidP="00982196">
      <w:pPr>
        <w:pStyle w:val="CETBodytext"/>
      </w:pPr>
      <w:r w:rsidRPr="00982196">
        <w:rPr>
          <w:rStyle w:val="CETBodytextCarattere"/>
        </w:rPr>
        <w:t xml:space="preserve">where </w:t>
      </w:r>
      <m:oMath>
        <m:r>
          <w:rPr>
            <w:rStyle w:val="CETBodytextCarattere"/>
            <w:rFonts w:ascii="Cambria Math" w:hAnsi="Cambria Math"/>
          </w:rPr>
          <m:t>y</m:t>
        </m:r>
      </m:oMath>
      <w:r w:rsidRPr="00982196">
        <w:rPr>
          <w:rStyle w:val="CETBodytextCarattere"/>
        </w:rPr>
        <w:t xml:space="preserve"> is the raw </w:t>
      </w:r>
      <w:r w:rsidR="007E293B" w:rsidRPr="00982196">
        <w:rPr>
          <w:rStyle w:val="CETBodytextCarattere"/>
        </w:rPr>
        <w:t>MOS resistanc</w:t>
      </w:r>
      <w:r w:rsidR="004B1CD8" w:rsidRPr="00982196">
        <w:rPr>
          <w:rStyle w:val="CETBodytextCarattere"/>
        </w:rPr>
        <w:t>e</w:t>
      </w:r>
      <w:r w:rsidR="007E293B" w:rsidRPr="00982196">
        <w:rPr>
          <w:rStyle w:val="CETBodytextCarattere"/>
        </w:rPr>
        <w:t>,</w:t>
      </w:r>
      <w:r w:rsidR="0050187B" w:rsidRPr="00982196">
        <w:rPr>
          <w:rStyle w:val="CETBodytextCarattere"/>
        </w:rPr>
        <w:t xml:space="preserve"> </w:t>
      </w:r>
      <m:oMath>
        <m:sSub>
          <m:sSubPr>
            <m:ctrlPr>
              <w:rPr>
                <w:rStyle w:val="CETBodytextCarattere"/>
                <w:rFonts w:ascii="Cambria Math" w:hAnsi="Cambria Math"/>
              </w:rPr>
            </m:ctrlPr>
          </m:sSubPr>
          <m:e>
            <m:r>
              <w:rPr>
                <w:rStyle w:val="CETBodytextCarattere"/>
                <w:rFonts w:ascii="Cambria Math" w:hAnsi="Cambria Math"/>
              </w:rPr>
              <m:t>y</m:t>
            </m:r>
          </m:e>
          <m:sub>
            <m:r>
              <w:rPr>
                <w:rStyle w:val="CETBodytextCarattere"/>
                <w:rFonts w:ascii="Cambria Math" w:hAnsi="Cambria Math"/>
              </w:rPr>
              <m:t>ref</m:t>
            </m:r>
          </m:sub>
        </m:sSub>
      </m:oMath>
      <w:r w:rsidR="0050187B" w:rsidRPr="00982196">
        <w:rPr>
          <w:rStyle w:val="CETBodytextCarattere"/>
        </w:rPr>
        <w:t xml:space="preserve"> is the</w:t>
      </w:r>
      <w:r w:rsidR="005467F1" w:rsidRPr="00982196">
        <w:rPr>
          <w:rStyle w:val="CETBodytextCarattere"/>
        </w:rPr>
        <w:t xml:space="preserve"> </w:t>
      </w:r>
      <w:r w:rsidR="00DC10A2" w:rsidRPr="00982196">
        <w:rPr>
          <w:rStyle w:val="CETBodytextCarattere"/>
        </w:rPr>
        <w:t xml:space="preserve">baseline </w:t>
      </w:r>
      <w:r w:rsidR="005467F1" w:rsidRPr="00982196">
        <w:rPr>
          <w:rStyle w:val="CETBodytextCarattere"/>
        </w:rPr>
        <w:t xml:space="preserve">reference </w:t>
      </w:r>
      <w:r w:rsidR="0050187B" w:rsidRPr="00982196">
        <w:rPr>
          <w:rStyle w:val="CETBodytextCarattere"/>
        </w:rPr>
        <w:t>MOS resistance</w:t>
      </w:r>
      <w:r w:rsidR="005467F1" w:rsidRPr="00982196">
        <w:rPr>
          <w:rStyle w:val="CETBodytextCarattere"/>
        </w:rPr>
        <w:t xml:space="preserve"> and</w:t>
      </w:r>
      <w:r w:rsidR="007E293B" w:rsidRPr="00982196">
        <w:rPr>
          <w:rStyle w:val="CETBodytextCarattere"/>
        </w:rPr>
        <w:t xml:space="preserve"> </w:t>
      </w:r>
      <m:oMath>
        <m:sSub>
          <m:sSubPr>
            <m:ctrlPr>
              <w:rPr>
                <w:rStyle w:val="CETBodytextCarattere"/>
                <w:rFonts w:ascii="Cambria Math" w:hAnsi="Cambria Math"/>
              </w:rPr>
            </m:ctrlPr>
          </m:sSubPr>
          <m:e>
            <m:r>
              <w:rPr>
                <w:rStyle w:val="CETBodytextCarattere"/>
                <w:rFonts w:ascii="Cambria Math" w:hAnsi="Cambria Math"/>
              </w:rPr>
              <m:t>y</m:t>
            </m:r>
          </m:e>
          <m:sub>
            <m:r>
              <w:rPr>
                <w:rStyle w:val="CETBodytextCarattere"/>
                <w:rFonts w:ascii="Cambria Math" w:hAnsi="Cambria Math"/>
              </w:rPr>
              <m:t>norm</m:t>
            </m:r>
          </m:sub>
        </m:sSub>
      </m:oMath>
      <w:r w:rsidR="007E293B" w:rsidRPr="00982196">
        <w:rPr>
          <w:rStyle w:val="CETBodytextCarattere"/>
        </w:rPr>
        <w:t xml:space="preserve"> </w:t>
      </w:r>
      <w:r w:rsidR="005467F1" w:rsidRPr="00982196">
        <w:rPr>
          <w:rStyle w:val="CETBodytextCarattere"/>
        </w:rPr>
        <w:t xml:space="preserve">is the normalized MOS </w:t>
      </w:r>
      <w:proofErr w:type="gramStart"/>
      <w:r w:rsidR="005467F1" w:rsidRPr="00982196">
        <w:rPr>
          <w:rStyle w:val="CETBodytextCarattere"/>
        </w:rPr>
        <w:t>resistanc</w:t>
      </w:r>
      <w:r w:rsidR="00971178" w:rsidRPr="00982196">
        <w:rPr>
          <w:rStyle w:val="CETBodytextCarattere"/>
        </w:rPr>
        <w:t>e.</w:t>
      </w:r>
      <w:proofErr w:type="gramEnd"/>
      <w:r w:rsidR="00214E1E" w:rsidRPr="00982196">
        <w:rPr>
          <w:rStyle w:val="CETBodytextCarattere"/>
        </w:rPr>
        <w:t xml:space="preserve"> </w:t>
      </w:r>
      <w:r w:rsidR="004B1CD8" w:rsidRPr="00982196">
        <w:rPr>
          <w:rStyle w:val="CETBodytextCarattere"/>
        </w:rPr>
        <w:t xml:space="preserve">The reference resistance used for normalization is a “dynamic” value that correlates the resistance of a specific MOS sensor in non-odorous ambient air with the absolute humidity recorded during the analysis. In this way, the reference value is continuously adjusted to account for variations caused by different humidity levels. However, variations in sensor resistance are not only related to humidity interference but also to long-term drift, which can permanently alter sensor </w:t>
      </w:r>
      <w:proofErr w:type="spellStart"/>
      <w:r w:rsidR="004B1CD8" w:rsidRPr="00982196">
        <w:rPr>
          <w:rStyle w:val="CETBodytextCarattere"/>
        </w:rPr>
        <w:t>behaviour</w:t>
      </w:r>
      <w:proofErr w:type="spellEnd"/>
      <w:r w:rsidR="004B1CD8" w:rsidRPr="00982196">
        <w:rPr>
          <w:rStyle w:val="CETBodytextCarattere"/>
        </w:rPr>
        <w:t xml:space="preserve">. </w:t>
      </w:r>
      <w:r w:rsidR="00982196" w:rsidRPr="00982196">
        <w:rPr>
          <w:rStyle w:val="CETBodytextCarattere"/>
        </w:rPr>
        <w:t xml:space="preserve">To address both issues, the reference baseline is evaluated using two different strategies. In the first approach, the reference resistance is </w:t>
      </w:r>
      <w:proofErr w:type="spellStart"/>
      <w:r w:rsidR="00982196" w:rsidRPr="00982196">
        <w:rPr>
          <w:rStyle w:val="CETBodytextCarattere"/>
        </w:rPr>
        <w:t>analysed</w:t>
      </w:r>
      <w:proofErr w:type="spellEnd"/>
      <w:r w:rsidR="00982196" w:rsidRPr="00982196">
        <w:rPr>
          <w:rStyle w:val="CETBodytextCarattere"/>
        </w:rPr>
        <w:t xml:space="preserve"> over multiple months to identify unwanted variations associated with drift phenomena. Subsequently, Orthogonal Signal Correction (OSC)</w:t>
      </w:r>
      <w:r w:rsidR="00982196">
        <w:t xml:space="preserve"> </w:t>
      </w:r>
      <w:sdt>
        <w:sdtPr>
          <w:rPr>
            <w:rFonts w:cs="Arial"/>
            <w:color w:val="000000"/>
          </w:rPr>
          <w:tag w:val="MENDELEY_CITATION_v3_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"/>
          <w:id w:val="-559013140"/>
          <w:placeholder>
            <w:docPart w:val="DefaultPlaceholder_-1854013440"/>
          </w:placeholder>
        </w:sdtPr>
        <w:sdtEndPr/>
        <w:sdtContent>
          <w:r w:rsidR="00C3759A" w:rsidRPr="00C3759A">
            <w:rPr>
              <w:rFonts w:cs="Arial"/>
              <w:color w:val="000000"/>
            </w:rPr>
            <w:t>(</w:t>
          </w:r>
          <w:proofErr w:type="spellStart"/>
          <w:r w:rsidR="00C3759A" w:rsidRPr="00C3759A">
            <w:rPr>
              <w:rFonts w:cs="Arial"/>
              <w:color w:val="000000"/>
            </w:rPr>
            <w:t>Fearn</w:t>
          </w:r>
          <w:proofErr w:type="spellEnd"/>
          <w:r w:rsidR="00C3759A" w:rsidRPr="00C3759A">
            <w:rPr>
              <w:rFonts w:cs="Arial"/>
              <w:color w:val="000000"/>
            </w:rPr>
            <w:t>, 2000)</w:t>
          </w:r>
        </w:sdtContent>
      </w:sdt>
      <w:r w:rsidR="00754965">
        <w:t xml:space="preserve"> </w:t>
      </w:r>
      <w:r w:rsidR="00982196" w:rsidRPr="00982196">
        <w:t>is applied to remove these undesired variations by eliminating signal components that are not correlated with the variable of interest.</w:t>
      </w:r>
    </w:p>
    <w:p w14:paraId="2F332835" w14:textId="77777777" w:rsidR="00982196" w:rsidRPr="00982196" w:rsidRDefault="00982196" w:rsidP="00982196">
      <w:pPr>
        <w:pStyle w:val="CETBodytext"/>
      </w:pPr>
      <w:r w:rsidRPr="00982196">
        <w:t>In the second approach, the long-term variation problem is addressed by evaluating the reference baseline using a sliding window that considers only the most recent data acquired prior to the time of analysis.</w:t>
      </w:r>
    </w:p>
    <w:p w14:paraId="70457D92" w14:textId="3F45ED6E" w:rsidR="00AC3EBC" w:rsidRPr="00982196" w:rsidRDefault="00982196" w:rsidP="00982196">
      <w:pPr>
        <w:pStyle w:val="CETBodytext"/>
        <w:rPr>
          <w:lang w:val="en-GB"/>
        </w:rPr>
      </w:pPr>
      <w:r w:rsidRPr="00982196">
        <w:t>In both cases, the reference baseline is estimated using regression functions based on exponential and power-law equations</w:t>
      </w:r>
      <w:r w:rsidR="000A7209">
        <w:t xml:space="preserve"> (Eq. (2) and Eq. (3))</w:t>
      </w:r>
      <w:r w:rsidRPr="00982196">
        <w:t>:</w:t>
      </w:r>
    </w:p>
    <w:tbl>
      <w:tblPr>
        <w:tblW w:w="5000" w:type="pct"/>
        <w:tblLook w:val="04A0" w:firstRow="1" w:lastRow="0" w:firstColumn="1" w:lastColumn="0" w:noHBand="0" w:noVBand="1"/>
      </w:tblPr>
      <w:tblGrid>
        <w:gridCol w:w="7983"/>
        <w:gridCol w:w="804"/>
      </w:tblGrid>
      <w:tr w:rsidR="009E49F5" w:rsidRPr="00B57B36" w14:paraId="753B6403" w14:textId="77777777" w:rsidTr="009E49F5">
        <w:tc>
          <w:tcPr>
            <w:tcW w:w="7983" w:type="dxa"/>
            <w:vAlign w:val="center"/>
          </w:tcPr>
          <w:p w14:paraId="2726C3BF" w14:textId="13A8B035" w:rsidR="009E49F5" w:rsidRPr="00B57B36" w:rsidRDefault="001461DA" w:rsidP="003118F2">
            <w:pPr>
              <w:pStyle w:val="CETEquation"/>
            </w:pPr>
            <m:oMathPara>
              <m:oMath>
                <m:sSub>
                  <m:sSubPr>
                    <m:ctrlPr>
                      <w:rPr>
                        <w:rFonts w:ascii="Cambria Math" w:hAnsi="Cambria Math"/>
                        <w:i/>
                      </w:rPr>
                    </m:ctrlPr>
                  </m:sSubPr>
                  <m:e>
                    <m:r>
                      <w:rPr>
                        <w:rFonts w:ascii="Cambria Math" w:hAnsi="Cambria Math"/>
                      </w:rPr>
                      <m:t>y</m:t>
                    </m:r>
                  </m:e>
                  <m:sub>
                    <m:r>
                      <w:rPr>
                        <w:rFonts w:ascii="Cambria Math" w:hAnsi="Cambria Math"/>
                      </w:rPr>
                      <m:t>ref</m:t>
                    </m:r>
                  </m:sub>
                </m:sSub>
                <m:r>
                  <w:rPr>
                    <w:rFonts w:ascii="Cambria Math" w:hAnsi="Cambria Math"/>
                  </w:rPr>
                  <m:t>=A*</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exp</m:t>
                        </m:r>
                        <m:ctrlPr>
                          <w:rPr>
                            <w:rFonts w:ascii="Cambria Math" w:hAnsi="Cambria Math"/>
                            <w:i/>
                          </w:rPr>
                        </m:ctrlPr>
                      </m:e>
                      <m:sup>
                        <m:r>
                          <m:rPr>
                            <m:sty m:val="p"/>
                          </m:rPr>
                          <w:rPr>
                            <w:rFonts w:ascii="Cambria Math" w:hAnsi="Cambria Math"/>
                          </w:rPr>
                          <m:t>-kAH</m:t>
                        </m:r>
                      </m:sup>
                    </m:sSup>
                    <m:ctrlPr>
                      <w:rPr>
                        <w:rFonts w:ascii="Cambria Math" w:hAnsi="Cambria Math"/>
                        <w:i/>
                      </w:rPr>
                    </m:ctrlPr>
                  </m:fName>
                  <m:e>
                    <m:r>
                      <w:rPr>
                        <w:rFonts w:ascii="Cambria Math" w:hAnsi="Cambria Math"/>
                      </w:rPr>
                      <m:t>+ c</m:t>
                    </m:r>
                    <m:ctrlPr>
                      <w:rPr>
                        <w:rFonts w:ascii="Cambria Math" w:hAnsi="Cambria Math"/>
                        <w:i/>
                      </w:rPr>
                    </m:ctrlPr>
                  </m:e>
                </m:func>
              </m:oMath>
            </m:oMathPara>
          </w:p>
        </w:tc>
        <w:tc>
          <w:tcPr>
            <w:tcW w:w="804" w:type="dxa"/>
            <w:vAlign w:val="center"/>
          </w:tcPr>
          <w:p w14:paraId="153033AE" w14:textId="6AE45D64" w:rsidR="009E49F5" w:rsidRPr="00B57B36" w:rsidRDefault="009E49F5" w:rsidP="003118F2">
            <w:pPr>
              <w:pStyle w:val="CETEquation"/>
              <w:jc w:val="right"/>
            </w:pPr>
            <w:r w:rsidRPr="00B57B36">
              <w:t>(</w:t>
            </w:r>
            <w:r w:rsidR="00630C44">
              <w:t>2</w:t>
            </w:r>
            <w:r w:rsidRPr="00B57B36">
              <w:t>)</w:t>
            </w:r>
          </w:p>
        </w:tc>
      </w:tr>
      <w:tr w:rsidR="009E49F5" w:rsidRPr="00B57B36" w14:paraId="13EC9C78" w14:textId="77777777" w:rsidTr="009E49F5">
        <w:tc>
          <w:tcPr>
            <w:tcW w:w="7983" w:type="dxa"/>
            <w:vAlign w:val="center"/>
          </w:tcPr>
          <w:p w14:paraId="0278C413" w14:textId="1347F26A" w:rsidR="009E49F5" w:rsidRPr="009E49F5" w:rsidRDefault="001461DA" w:rsidP="003118F2">
            <w:pPr>
              <w:pStyle w:val="CETEquation"/>
              <w:rPr>
                <w:rFonts w:ascii="Cambria Math" w:hAnsi="Cambria Math"/>
                <w:oMath/>
              </w:rPr>
            </w:pPr>
            <m:oMathPara>
              <m:oMath>
                <m:sSub>
                  <m:sSubPr>
                    <m:ctrlPr>
                      <w:rPr>
                        <w:rFonts w:ascii="Cambria Math" w:hAnsi="Cambria Math"/>
                        <w:i/>
                      </w:rPr>
                    </m:ctrlPr>
                  </m:sSubPr>
                  <m:e>
                    <m:r>
                      <w:rPr>
                        <w:rFonts w:ascii="Cambria Math" w:hAnsi="Cambria Math"/>
                      </w:rPr>
                      <m:t>y</m:t>
                    </m:r>
                  </m:e>
                  <m:sub>
                    <m:r>
                      <w:rPr>
                        <w:rFonts w:ascii="Cambria Math" w:hAnsi="Cambria Math"/>
                      </w:rPr>
                      <m:t>ref</m:t>
                    </m:r>
                  </m:sub>
                </m:sSub>
                <m:r>
                  <w:rPr>
                    <w:rFonts w:ascii="Cambria Math" w:hAnsi="Cambria Math"/>
                  </w:rPr>
                  <m:t>=A*A</m:t>
                </m:r>
                <m:sSup>
                  <m:sSupPr>
                    <m:ctrlPr>
                      <w:rPr>
                        <w:rFonts w:ascii="Cambria Math" w:hAnsi="Cambria Math"/>
                        <w:i/>
                      </w:rPr>
                    </m:ctrlPr>
                  </m:sSupPr>
                  <m:e>
                    <m:r>
                      <w:rPr>
                        <w:rFonts w:ascii="Cambria Math" w:hAnsi="Cambria Math"/>
                      </w:rPr>
                      <m:t>H</m:t>
                    </m:r>
                  </m:e>
                  <m:sup>
                    <m:r>
                      <w:rPr>
                        <w:rFonts w:ascii="Cambria Math" w:hAnsi="Cambria Math"/>
                      </w:rPr>
                      <m:t>-k</m:t>
                    </m:r>
                  </m:sup>
                </m:sSup>
                <m:r>
                  <w:rPr>
                    <w:rFonts w:ascii="Cambria Math" w:hAnsi="Cambria Math"/>
                  </w:rPr>
                  <m:t>+c</m:t>
                </m:r>
              </m:oMath>
            </m:oMathPara>
          </w:p>
        </w:tc>
        <w:tc>
          <w:tcPr>
            <w:tcW w:w="804" w:type="dxa"/>
            <w:vAlign w:val="center"/>
          </w:tcPr>
          <w:p w14:paraId="6E06BF7A" w14:textId="01DB247D" w:rsidR="009E49F5" w:rsidRPr="00B57B36" w:rsidRDefault="009E49F5" w:rsidP="003118F2">
            <w:pPr>
              <w:pStyle w:val="CETEquation"/>
              <w:jc w:val="right"/>
            </w:pPr>
            <w:r w:rsidRPr="00B57B36">
              <w:t>(</w:t>
            </w:r>
            <w:r w:rsidR="00630C44">
              <w:t>3</w:t>
            </w:r>
            <w:r w:rsidRPr="00B57B36">
              <w:t>)</w:t>
            </w:r>
          </w:p>
        </w:tc>
      </w:tr>
    </w:tbl>
    <w:p w14:paraId="7EB10F64" w14:textId="77777777" w:rsidR="00F22A3D" w:rsidRPr="00F22A3D" w:rsidRDefault="00F22A3D" w:rsidP="00F22A3D">
      <w:pPr>
        <w:pStyle w:val="CETBodytext"/>
        <w:rPr>
          <w:lang w:eastAsia="en-GB"/>
        </w:rPr>
      </w:pPr>
      <w:r w:rsidRPr="00F22A3D">
        <w:rPr>
          <w:lang w:eastAsia="en-GB"/>
        </w:rPr>
        <w:t xml:space="preserve">where </w:t>
      </w:r>
      <w:r w:rsidRPr="00F22A3D">
        <w:rPr>
          <w:i/>
          <w:iCs/>
          <w:lang w:eastAsia="en-GB"/>
        </w:rPr>
        <w:t>A</w:t>
      </w:r>
      <w:r w:rsidRPr="00F22A3D">
        <w:rPr>
          <w:lang w:eastAsia="en-GB"/>
        </w:rPr>
        <w:t xml:space="preserve"> is a scaling factor, </w:t>
      </w:r>
      <w:r w:rsidRPr="00F22A3D">
        <w:rPr>
          <w:i/>
          <w:iCs/>
          <w:lang w:eastAsia="en-GB"/>
        </w:rPr>
        <w:t>k</w:t>
      </w:r>
      <w:r w:rsidRPr="00F22A3D">
        <w:rPr>
          <w:lang w:eastAsia="en-GB"/>
        </w:rPr>
        <w:t xml:space="preserve"> is the decay coefficient, </w:t>
      </w:r>
      <w:r w:rsidRPr="00F22A3D">
        <w:rPr>
          <w:i/>
          <w:iCs/>
          <w:lang w:eastAsia="en-GB"/>
        </w:rPr>
        <w:t>c</w:t>
      </w:r>
      <w:r w:rsidRPr="00F22A3D">
        <w:rPr>
          <w:lang w:eastAsia="en-GB"/>
        </w:rPr>
        <w:t xml:space="preserve"> is the offset parameter, and </w:t>
      </w:r>
      <w:r w:rsidRPr="00F22A3D">
        <w:rPr>
          <w:i/>
          <w:iCs/>
          <w:lang w:eastAsia="en-GB"/>
        </w:rPr>
        <w:t>AH</w:t>
      </w:r>
      <w:r w:rsidRPr="00F22A3D">
        <w:rPr>
          <w:lang w:eastAsia="en-GB"/>
        </w:rPr>
        <w:t xml:space="preserve"> is the absolute humidity level recorded during the analysis.</w:t>
      </w:r>
    </w:p>
    <w:p w14:paraId="69A860C4" w14:textId="77777777" w:rsidR="00F22A3D" w:rsidRPr="00F22A3D" w:rsidRDefault="00F22A3D" w:rsidP="00F22A3D">
      <w:pPr>
        <w:pStyle w:val="CETBodytext"/>
        <w:rPr>
          <w:lang w:eastAsia="en-GB"/>
        </w:rPr>
      </w:pPr>
      <w:r w:rsidRPr="00F22A3D">
        <w:rPr>
          <w:lang w:eastAsia="en-GB"/>
        </w:rPr>
        <w:t>After pre-processing, informative features are extracted from all MOS and electrochemical sensors. These features are used as input for a Principal Component Analysis (PCA), conducted as an exploratory analysis to reduce dataset dimensionality, identify possible clusters, and detect outliers.</w:t>
      </w:r>
    </w:p>
    <w:p w14:paraId="6FFFC0FC" w14:textId="30B0E4DC" w:rsidR="00E863E7" w:rsidRDefault="00F22A3D" w:rsidP="004A4FF5">
      <w:pPr>
        <w:pStyle w:val="CETBodytext"/>
      </w:pPr>
      <w:r w:rsidRPr="00F22A3D">
        <w:rPr>
          <w:lang w:eastAsia="en-GB"/>
        </w:rPr>
        <w:t>Following this preliminary step, a feature selection procedure is carried out using the Boruta algorithm</w:t>
      </w:r>
      <w:r>
        <w:rPr>
          <w:lang w:eastAsia="en-GB"/>
        </w:rPr>
        <w:t xml:space="preserve"> </w:t>
      </w:r>
      <w:sdt>
        <w:sdtPr>
          <w:rPr>
            <w:rFonts w:cs="Arial"/>
            <w:color w:val="000000"/>
          </w:rPr>
          <w:tag w:val="MENDELEY_CITATION_v3_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"/>
          <w:id w:val="206609135"/>
          <w:placeholder>
            <w:docPart w:val="DefaultPlaceholder_-1854013440"/>
          </w:placeholder>
        </w:sdtPr>
        <w:sdtEndPr/>
        <w:sdtContent>
          <w:r w:rsidR="00C3759A" w:rsidRPr="00C3759A">
            <w:rPr>
              <w:rFonts w:cs="Arial"/>
              <w:color w:val="000000"/>
            </w:rPr>
            <w:t>(</w:t>
          </w:r>
          <w:proofErr w:type="spellStart"/>
          <w:r w:rsidR="00C3759A" w:rsidRPr="00C3759A">
            <w:rPr>
              <w:rFonts w:cs="Arial"/>
              <w:color w:val="000000"/>
            </w:rPr>
            <w:t>Kursa</w:t>
          </w:r>
          <w:proofErr w:type="spellEnd"/>
          <w:r w:rsidR="00C3759A" w:rsidRPr="00C3759A">
            <w:rPr>
              <w:rFonts w:cs="Arial"/>
              <w:color w:val="000000"/>
            </w:rPr>
            <w:t xml:space="preserve"> et al., 2010)</w:t>
          </w:r>
        </w:sdtContent>
      </w:sdt>
      <w:r>
        <w:t>, in order to include only the most informative features in the model development.</w:t>
      </w:r>
    </w:p>
    <w:p w14:paraId="5BCCDA57" w14:textId="77777777" w:rsidR="00257F63" w:rsidRPr="00257F63" w:rsidRDefault="00257F63" w:rsidP="00257F63">
      <w:pPr>
        <w:pStyle w:val="CETBodytext"/>
        <w:rPr>
          <w:lang w:eastAsia="en-GB"/>
        </w:rPr>
      </w:pPr>
      <w:r w:rsidRPr="00257F63">
        <w:rPr>
          <w:lang w:eastAsia="en-GB"/>
        </w:rPr>
        <w:t xml:space="preserve">For the implementation of the machine learning models, a two-step procedure was followed, consisting of the development of a classification model followed by a regression model. The classification model is based on a Support Vector Machine (SVM) classifier, which allows discrimination among the different odour classes. Then, based on the identified class, specific regression models were developed using Support Vector Regression (SVR) to estimate the odour concentration of the </w:t>
      </w:r>
      <w:proofErr w:type="spellStart"/>
      <w:r w:rsidRPr="00257F63">
        <w:rPr>
          <w:lang w:eastAsia="en-GB"/>
        </w:rPr>
        <w:t>analysed</w:t>
      </w:r>
      <w:proofErr w:type="spellEnd"/>
      <w:r w:rsidRPr="00257F63">
        <w:rPr>
          <w:lang w:eastAsia="en-GB"/>
        </w:rPr>
        <w:t xml:space="preserve"> samples.</w:t>
      </w:r>
    </w:p>
    <w:p w14:paraId="0C5201AC" w14:textId="26080FD9" w:rsidR="009E02A4" w:rsidRDefault="00257F63" w:rsidP="004A4FF5">
      <w:pPr>
        <w:pStyle w:val="CETBodytext"/>
      </w:pPr>
      <w:r w:rsidRPr="00257F63">
        <w:rPr>
          <w:lang w:eastAsia="en-GB"/>
        </w:rPr>
        <w:t>Based on the different pre-processing approaches adopted, five different models were trained and evaluated using an external independent test set, as reported in</w:t>
      </w:r>
      <w:r>
        <w:rPr>
          <w:lang w:eastAsia="en-GB"/>
        </w:rPr>
        <w:t xml:space="preserve"> </w:t>
      </w:r>
      <w:r w:rsidR="00E13B6B">
        <w:fldChar w:fldCharType="begin"/>
      </w:r>
      <w:r w:rsidR="00E13B6B">
        <w:instrText xml:space="preserve"> REF _Ref227250487 \h </w:instrText>
      </w:r>
      <w:r w:rsidR="00E13B6B">
        <w:fldChar w:fldCharType="separate"/>
      </w:r>
      <w:r w:rsidR="00E13B6B">
        <w:t xml:space="preserve">Table </w:t>
      </w:r>
      <w:r w:rsidR="00E13B6B">
        <w:rPr>
          <w:noProof/>
        </w:rPr>
        <w:t>2</w:t>
      </w:r>
      <w:r w:rsidR="00E13B6B">
        <w:fldChar w:fldCharType="end"/>
      </w:r>
      <w:r w:rsidR="00E13B6B">
        <w:t>.</w:t>
      </w:r>
    </w:p>
    <w:p w14:paraId="5FA1C85F" w14:textId="70B5339E" w:rsidR="00967C90" w:rsidRDefault="00967C90" w:rsidP="00967C90">
      <w:pPr>
        <w:pStyle w:val="CETTabletitle"/>
      </w:pPr>
      <w:bookmarkStart w:id="2" w:name="_Ref227250487"/>
      <w:r>
        <w:lastRenderedPageBreak/>
        <w:t xml:space="preserve">Table </w:t>
      </w:r>
      <w:r>
        <w:fldChar w:fldCharType="begin"/>
      </w:r>
      <w:r>
        <w:instrText xml:space="preserve"> SEQ Table \* ARABIC </w:instrText>
      </w:r>
      <w:r>
        <w:fldChar w:fldCharType="separate"/>
      </w:r>
      <w:r>
        <w:rPr>
          <w:noProof/>
        </w:rPr>
        <w:t>2</w:t>
      </w:r>
      <w:r>
        <w:fldChar w:fldCharType="end"/>
      </w:r>
      <w:bookmarkEnd w:id="2"/>
      <w:r>
        <w:t>:</w:t>
      </w:r>
      <w:r w:rsidR="00E13B6B">
        <w:t xml:space="preserve"> </w:t>
      </w:r>
      <w:r w:rsidR="00FF4C9D">
        <w:t xml:space="preserve">Models </w:t>
      </w:r>
      <w:r w:rsidR="007128C1">
        <w:t>acronym with relative description.</w:t>
      </w:r>
    </w:p>
    <w:tbl>
      <w:tblPr>
        <w:tblW w:w="9225"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276"/>
        <w:gridCol w:w="7949"/>
      </w:tblGrid>
      <w:tr w:rsidR="00F318C3" w:rsidRPr="00B57B36" w14:paraId="29256073" w14:textId="77777777" w:rsidTr="00C8732E">
        <w:trPr>
          <w:trHeight w:val="261"/>
          <w:tblHeader/>
        </w:trPr>
        <w:tc>
          <w:tcPr>
            <w:tcW w:w="1276" w:type="dxa"/>
            <w:tcBorders>
              <w:top w:val="single" w:sz="12" w:space="0" w:color="008000"/>
              <w:bottom w:val="single" w:sz="6" w:space="0" w:color="008000"/>
            </w:tcBorders>
            <w:shd w:val="clear" w:color="auto" w:fill="FFFFFF"/>
          </w:tcPr>
          <w:p w14:paraId="0672D106" w14:textId="31FA9A1E" w:rsidR="00F318C3" w:rsidRPr="00B57B36" w:rsidRDefault="00F318C3" w:rsidP="003118F2">
            <w:pPr>
              <w:pStyle w:val="CETBodytext"/>
              <w:rPr>
                <w:lang w:val="en-GB"/>
              </w:rPr>
            </w:pPr>
            <w:r>
              <w:rPr>
                <w:lang w:val="en-GB"/>
              </w:rPr>
              <w:t>Model acronym</w:t>
            </w:r>
            <w:r w:rsidRPr="00B57B36">
              <w:rPr>
                <w:lang w:val="en-GB"/>
              </w:rPr>
              <w:t xml:space="preserve"> </w:t>
            </w:r>
          </w:p>
        </w:tc>
        <w:tc>
          <w:tcPr>
            <w:tcW w:w="7949" w:type="dxa"/>
            <w:tcBorders>
              <w:top w:val="single" w:sz="12" w:space="0" w:color="008000"/>
              <w:bottom w:val="single" w:sz="6" w:space="0" w:color="008000"/>
            </w:tcBorders>
            <w:shd w:val="clear" w:color="auto" w:fill="FFFFFF"/>
            <w:vAlign w:val="center"/>
          </w:tcPr>
          <w:p w14:paraId="03929331" w14:textId="61BFE89F" w:rsidR="00F318C3" w:rsidRPr="00B57B36" w:rsidRDefault="00854CC8" w:rsidP="00854CC8">
            <w:pPr>
              <w:pStyle w:val="CETBodytext"/>
              <w:ind w:right="-1"/>
              <w:jc w:val="center"/>
              <w:rPr>
                <w:rFonts w:cs="Arial"/>
                <w:szCs w:val="18"/>
                <w:lang w:val="en-GB"/>
              </w:rPr>
            </w:pPr>
            <w:r>
              <w:rPr>
                <w:lang w:val="en-GB"/>
              </w:rPr>
              <w:t>Model description</w:t>
            </w:r>
          </w:p>
        </w:tc>
      </w:tr>
      <w:tr w:rsidR="00F318C3" w:rsidRPr="00B57B36" w14:paraId="647A0032" w14:textId="77777777" w:rsidTr="00C8732E">
        <w:trPr>
          <w:trHeight w:val="290"/>
          <w:tblHeader/>
        </w:trPr>
        <w:tc>
          <w:tcPr>
            <w:tcW w:w="1276" w:type="dxa"/>
            <w:shd w:val="clear" w:color="auto" w:fill="FFFFFF"/>
          </w:tcPr>
          <w:p w14:paraId="19F1D53E" w14:textId="6D3E9DF4" w:rsidR="00F318C3" w:rsidRPr="00B57B36" w:rsidRDefault="00854CC8" w:rsidP="003118F2">
            <w:pPr>
              <w:pStyle w:val="CETBodytext"/>
              <w:rPr>
                <w:lang w:val="en-GB"/>
              </w:rPr>
            </w:pPr>
            <w:r>
              <w:rPr>
                <w:lang w:val="en-GB"/>
              </w:rPr>
              <w:t xml:space="preserve">No </w:t>
            </w:r>
            <w:proofErr w:type="spellStart"/>
            <w:r>
              <w:rPr>
                <w:lang w:val="en-GB"/>
              </w:rPr>
              <w:t>pret</w:t>
            </w:r>
            <w:proofErr w:type="spellEnd"/>
          </w:p>
        </w:tc>
        <w:tc>
          <w:tcPr>
            <w:tcW w:w="7949" w:type="dxa"/>
            <w:shd w:val="clear" w:color="auto" w:fill="FFFFFF"/>
          </w:tcPr>
          <w:p w14:paraId="3B9BD653" w14:textId="135565DF" w:rsidR="00F318C3" w:rsidRPr="00B57B36" w:rsidRDefault="0018143E" w:rsidP="003118F2">
            <w:pPr>
              <w:pStyle w:val="CETBodytext"/>
              <w:ind w:right="-1"/>
              <w:rPr>
                <w:rFonts w:cs="Arial"/>
                <w:szCs w:val="18"/>
                <w:lang w:val="en-GB"/>
              </w:rPr>
            </w:pPr>
            <w:r>
              <w:rPr>
                <w:rFonts w:cs="Arial"/>
                <w:szCs w:val="18"/>
                <w:lang w:val="en-GB"/>
              </w:rPr>
              <w:t xml:space="preserve">Implementation of </w:t>
            </w:r>
            <w:r w:rsidR="00BD1281">
              <w:rPr>
                <w:rFonts w:cs="Arial"/>
                <w:szCs w:val="18"/>
                <w:lang w:val="en-GB"/>
              </w:rPr>
              <w:t>decision</w:t>
            </w:r>
            <w:r w:rsidR="00BE1913">
              <w:rPr>
                <w:rFonts w:cs="Arial"/>
                <w:szCs w:val="18"/>
                <w:lang w:val="en-GB"/>
              </w:rPr>
              <w:t xml:space="preserve"> models without applying specific pre-processing</w:t>
            </w:r>
          </w:p>
        </w:tc>
      </w:tr>
      <w:tr w:rsidR="00854CC8" w:rsidRPr="00B57B36" w14:paraId="70D378BB" w14:textId="77777777" w:rsidTr="00C8732E">
        <w:trPr>
          <w:trHeight w:val="275"/>
          <w:tblHeader/>
        </w:trPr>
        <w:tc>
          <w:tcPr>
            <w:tcW w:w="1276" w:type="dxa"/>
            <w:shd w:val="clear" w:color="auto" w:fill="FFFFFF"/>
          </w:tcPr>
          <w:p w14:paraId="1CA845F1" w14:textId="3FD70400" w:rsidR="00854CC8" w:rsidRDefault="002A4A52" w:rsidP="003118F2">
            <w:pPr>
              <w:pStyle w:val="CETBodytext"/>
              <w:rPr>
                <w:lang w:val="en-GB"/>
              </w:rPr>
            </w:pPr>
            <w:r>
              <w:rPr>
                <w:lang w:val="en-GB"/>
              </w:rPr>
              <w:t>OSC exp</w:t>
            </w:r>
          </w:p>
        </w:tc>
        <w:tc>
          <w:tcPr>
            <w:tcW w:w="7949" w:type="dxa"/>
            <w:shd w:val="clear" w:color="auto" w:fill="FFFFFF"/>
          </w:tcPr>
          <w:p w14:paraId="7E8FE1B9" w14:textId="27D71AC7" w:rsidR="00854CC8" w:rsidRPr="00B57B36" w:rsidRDefault="00BE1913" w:rsidP="003118F2">
            <w:pPr>
              <w:pStyle w:val="CETBodytext"/>
              <w:ind w:right="-1"/>
              <w:rPr>
                <w:rFonts w:cs="Arial"/>
                <w:szCs w:val="18"/>
                <w:lang w:val="en-GB"/>
              </w:rPr>
            </w:pPr>
            <w:r>
              <w:rPr>
                <w:rFonts w:cs="Arial"/>
                <w:szCs w:val="18"/>
                <w:lang w:val="en-GB"/>
              </w:rPr>
              <w:t xml:space="preserve">Implementation of </w:t>
            </w:r>
            <w:r w:rsidR="00BD1281">
              <w:rPr>
                <w:rFonts w:cs="Arial"/>
                <w:szCs w:val="18"/>
                <w:lang w:val="en-GB"/>
              </w:rPr>
              <w:t xml:space="preserve">decision </w:t>
            </w:r>
            <w:r>
              <w:rPr>
                <w:rFonts w:cs="Arial"/>
                <w:szCs w:val="18"/>
                <w:lang w:val="en-GB"/>
              </w:rPr>
              <w:t>models</w:t>
            </w:r>
            <w:r w:rsidR="00AD21DB">
              <w:rPr>
                <w:rFonts w:cs="Arial"/>
                <w:szCs w:val="18"/>
                <w:lang w:val="en-GB"/>
              </w:rPr>
              <w:t xml:space="preserve"> using OSC correction and exponential functions as pre-treatment</w:t>
            </w:r>
          </w:p>
        </w:tc>
      </w:tr>
      <w:tr w:rsidR="00AD21DB" w:rsidRPr="00B57B36" w14:paraId="6892FAAE" w14:textId="77777777" w:rsidTr="00C8732E">
        <w:trPr>
          <w:trHeight w:val="275"/>
          <w:tblHeader/>
        </w:trPr>
        <w:tc>
          <w:tcPr>
            <w:tcW w:w="1276" w:type="dxa"/>
            <w:shd w:val="clear" w:color="auto" w:fill="FFFFFF"/>
          </w:tcPr>
          <w:p w14:paraId="5AD0F0AF" w14:textId="4DBBAA64" w:rsidR="00AD21DB" w:rsidRDefault="00AD21DB" w:rsidP="00AD21DB">
            <w:pPr>
              <w:pStyle w:val="CETBodytext"/>
              <w:rPr>
                <w:lang w:val="en-GB"/>
              </w:rPr>
            </w:pPr>
            <w:r>
              <w:rPr>
                <w:lang w:val="en-GB"/>
              </w:rPr>
              <w:t>OSC pow</w:t>
            </w:r>
          </w:p>
        </w:tc>
        <w:tc>
          <w:tcPr>
            <w:tcW w:w="7949" w:type="dxa"/>
            <w:shd w:val="clear" w:color="auto" w:fill="FFFFFF"/>
          </w:tcPr>
          <w:p w14:paraId="1CAE5F84" w14:textId="3EA93365" w:rsidR="00AD21DB" w:rsidRPr="00B57B36" w:rsidRDefault="00AD21DB" w:rsidP="00AD21DB">
            <w:pPr>
              <w:pStyle w:val="CETBodytext"/>
              <w:ind w:right="-1"/>
              <w:rPr>
                <w:rFonts w:cs="Arial"/>
                <w:szCs w:val="18"/>
                <w:lang w:val="en-GB"/>
              </w:rPr>
            </w:pPr>
            <w:r>
              <w:rPr>
                <w:rFonts w:cs="Arial"/>
                <w:szCs w:val="18"/>
                <w:lang w:val="en-GB"/>
              </w:rPr>
              <w:t xml:space="preserve">Implementation of </w:t>
            </w:r>
            <w:r w:rsidR="00C22C5D">
              <w:rPr>
                <w:rFonts w:cs="Arial"/>
                <w:szCs w:val="18"/>
                <w:lang w:val="en-GB"/>
              </w:rPr>
              <w:t xml:space="preserve">decision </w:t>
            </w:r>
            <w:r>
              <w:rPr>
                <w:rFonts w:cs="Arial"/>
                <w:szCs w:val="18"/>
                <w:lang w:val="en-GB"/>
              </w:rPr>
              <w:t>models using OSC correction and power-law functions as pre-treatment</w:t>
            </w:r>
          </w:p>
        </w:tc>
      </w:tr>
      <w:tr w:rsidR="00AD21DB" w:rsidRPr="00B57B36" w14:paraId="59153798" w14:textId="77777777" w:rsidTr="00C8732E">
        <w:trPr>
          <w:trHeight w:val="275"/>
          <w:tblHeader/>
        </w:trPr>
        <w:tc>
          <w:tcPr>
            <w:tcW w:w="1276" w:type="dxa"/>
            <w:shd w:val="clear" w:color="auto" w:fill="FFFFFF"/>
          </w:tcPr>
          <w:p w14:paraId="6F94799C" w14:textId="52E3DE54" w:rsidR="00AD21DB" w:rsidRDefault="00AD21DB" w:rsidP="00AD21DB">
            <w:pPr>
              <w:pStyle w:val="CETBodytext"/>
              <w:rPr>
                <w:lang w:val="en-GB"/>
              </w:rPr>
            </w:pPr>
            <w:r>
              <w:rPr>
                <w:lang w:val="en-GB"/>
              </w:rPr>
              <w:t>Slid exp</w:t>
            </w:r>
          </w:p>
        </w:tc>
        <w:tc>
          <w:tcPr>
            <w:tcW w:w="7949" w:type="dxa"/>
            <w:shd w:val="clear" w:color="auto" w:fill="FFFFFF"/>
          </w:tcPr>
          <w:p w14:paraId="2E0A380E" w14:textId="72818E0C" w:rsidR="00AD21DB" w:rsidRPr="00B57B36" w:rsidRDefault="00AD21DB" w:rsidP="00AD21DB">
            <w:pPr>
              <w:pStyle w:val="CETBodytext"/>
              <w:ind w:right="-1"/>
              <w:rPr>
                <w:rFonts w:cs="Arial"/>
                <w:szCs w:val="18"/>
                <w:lang w:val="en-GB"/>
              </w:rPr>
            </w:pPr>
            <w:r>
              <w:rPr>
                <w:rFonts w:cs="Arial"/>
                <w:szCs w:val="18"/>
                <w:lang w:val="en-GB"/>
              </w:rPr>
              <w:t xml:space="preserve">Implementation of </w:t>
            </w:r>
            <w:r w:rsidR="00C22C5D">
              <w:rPr>
                <w:rFonts w:cs="Arial"/>
                <w:szCs w:val="18"/>
                <w:lang w:val="en-GB"/>
              </w:rPr>
              <w:t xml:space="preserve">decision </w:t>
            </w:r>
            <w:r>
              <w:rPr>
                <w:rFonts w:cs="Arial"/>
                <w:szCs w:val="18"/>
                <w:lang w:val="en-GB"/>
              </w:rPr>
              <w:t xml:space="preserve">models using </w:t>
            </w:r>
            <w:r w:rsidR="00C0612C">
              <w:rPr>
                <w:rFonts w:cs="Arial"/>
                <w:szCs w:val="18"/>
                <w:lang w:val="en-GB"/>
              </w:rPr>
              <w:t>sliding window</w:t>
            </w:r>
            <w:r>
              <w:rPr>
                <w:rFonts w:cs="Arial"/>
                <w:szCs w:val="18"/>
                <w:lang w:val="en-GB"/>
              </w:rPr>
              <w:t xml:space="preserve"> and exponential functions as pre-treatment</w:t>
            </w:r>
          </w:p>
        </w:tc>
      </w:tr>
      <w:tr w:rsidR="00AD21DB" w:rsidRPr="00B57B36" w14:paraId="30C41FFD" w14:textId="77777777" w:rsidTr="00C8732E">
        <w:trPr>
          <w:trHeight w:val="261"/>
          <w:tblHeader/>
        </w:trPr>
        <w:tc>
          <w:tcPr>
            <w:tcW w:w="1276" w:type="dxa"/>
            <w:tcBorders>
              <w:bottom w:val="single" w:sz="12" w:space="0" w:color="008000"/>
            </w:tcBorders>
            <w:shd w:val="clear" w:color="auto" w:fill="FFFFFF"/>
          </w:tcPr>
          <w:p w14:paraId="37667A65" w14:textId="7BE5DCCA" w:rsidR="00AD21DB" w:rsidRPr="00B57B36" w:rsidRDefault="00AD21DB" w:rsidP="00AD21DB">
            <w:pPr>
              <w:pStyle w:val="CETBodytext"/>
              <w:ind w:right="-1"/>
              <w:rPr>
                <w:rFonts w:cs="Arial"/>
                <w:szCs w:val="18"/>
                <w:lang w:val="en-GB"/>
              </w:rPr>
            </w:pPr>
            <w:r>
              <w:rPr>
                <w:rFonts w:cs="Arial"/>
                <w:szCs w:val="18"/>
                <w:lang w:val="en-GB"/>
              </w:rPr>
              <w:t>Slid pow</w:t>
            </w:r>
          </w:p>
        </w:tc>
        <w:tc>
          <w:tcPr>
            <w:tcW w:w="7949" w:type="dxa"/>
            <w:tcBorders>
              <w:bottom w:val="single" w:sz="12" w:space="0" w:color="008000"/>
            </w:tcBorders>
            <w:shd w:val="clear" w:color="auto" w:fill="FFFFFF"/>
          </w:tcPr>
          <w:p w14:paraId="034CB4E3" w14:textId="3F2DE5DE" w:rsidR="00AD21DB" w:rsidRPr="00B57B36" w:rsidRDefault="00AD21DB" w:rsidP="00AD21DB">
            <w:pPr>
              <w:pStyle w:val="CETBodytext"/>
              <w:ind w:right="-1"/>
              <w:rPr>
                <w:rFonts w:cs="Arial"/>
                <w:szCs w:val="18"/>
                <w:lang w:val="en-GB"/>
              </w:rPr>
            </w:pPr>
            <w:r>
              <w:rPr>
                <w:rFonts w:cs="Arial"/>
                <w:szCs w:val="18"/>
                <w:lang w:val="en-GB"/>
              </w:rPr>
              <w:t xml:space="preserve">Implementation of </w:t>
            </w:r>
            <w:r w:rsidR="007D070B">
              <w:rPr>
                <w:rFonts w:cs="Arial"/>
                <w:szCs w:val="18"/>
                <w:lang w:val="en-GB"/>
              </w:rPr>
              <w:t xml:space="preserve">decision </w:t>
            </w:r>
            <w:r>
              <w:rPr>
                <w:rFonts w:cs="Arial"/>
                <w:szCs w:val="18"/>
                <w:lang w:val="en-GB"/>
              </w:rPr>
              <w:t>models using sliding window and power-law functions as pre-treatment</w:t>
            </w:r>
          </w:p>
        </w:tc>
      </w:tr>
    </w:tbl>
    <w:p w14:paraId="40F1D119" w14:textId="63CD0554" w:rsidR="00FD237F" w:rsidRDefault="008A0455" w:rsidP="00FD237F">
      <w:pPr>
        <w:pStyle w:val="CETheadingx"/>
      </w:pPr>
      <w:bookmarkStart w:id="3" w:name="_Ref229381181"/>
      <w:r>
        <w:t>Model e</w:t>
      </w:r>
      <w:r w:rsidR="00FD237F">
        <w:t>valuation metrics</w:t>
      </w:r>
      <w:bookmarkEnd w:id="3"/>
    </w:p>
    <w:p w14:paraId="71F92883" w14:textId="4004D4F3" w:rsidR="00364445" w:rsidRDefault="00364445" w:rsidP="008A0455">
      <w:pPr>
        <w:pStyle w:val="CETBodytext"/>
      </w:pPr>
      <w:r>
        <w:t xml:space="preserve">The IOMS output </w:t>
      </w:r>
      <w:r w:rsidR="00AF367D">
        <w:t>was evaluated using the metrics defined in the UNI 11761:2023 for the field validation.</w:t>
      </w:r>
    </w:p>
    <w:p w14:paraId="247FA59C" w14:textId="6A1F8593" w:rsidR="006A6338" w:rsidRDefault="00661A64" w:rsidP="008A0455">
      <w:pPr>
        <w:pStyle w:val="CETBodytext"/>
      </w:pPr>
      <w:r>
        <w:t xml:space="preserve">To evaluate </w:t>
      </w:r>
      <w:r w:rsidR="00071046">
        <w:t>the</w:t>
      </w:r>
      <w:r>
        <w:t xml:space="preserve"> odour</w:t>
      </w:r>
      <w:r w:rsidR="00071046">
        <w:t xml:space="preserve"> </w:t>
      </w:r>
      <w:r>
        <w:t xml:space="preserve">classification </w:t>
      </w:r>
      <w:r w:rsidR="00071046">
        <w:t>accuracy</w:t>
      </w:r>
      <w:r>
        <w:t xml:space="preserve">, </w:t>
      </w:r>
      <w:r w:rsidR="00D96528">
        <w:t>the overall accuracy index (Eq. (4)) and the recall</w:t>
      </w:r>
      <w:r w:rsidR="006A6338">
        <w:t xml:space="preserve"> index for each class (Eq. (5))</w:t>
      </w:r>
      <w:r>
        <w:t xml:space="preserve"> are considered.</w:t>
      </w:r>
    </w:p>
    <w:tbl>
      <w:tblPr>
        <w:tblW w:w="5000" w:type="pct"/>
        <w:tblLook w:val="04A0" w:firstRow="1" w:lastRow="0" w:firstColumn="1" w:lastColumn="0" w:noHBand="0" w:noVBand="1"/>
      </w:tblPr>
      <w:tblGrid>
        <w:gridCol w:w="7983"/>
        <w:gridCol w:w="804"/>
      </w:tblGrid>
      <w:tr w:rsidR="003B2837" w:rsidRPr="00B57B36" w14:paraId="79D53777" w14:textId="77777777" w:rsidTr="003118F2">
        <w:tc>
          <w:tcPr>
            <w:tcW w:w="7983" w:type="dxa"/>
            <w:vAlign w:val="center"/>
          </w:tcPr>
          <w:p w14:paraId="4104F897" w14:textId="0CF83534" w:rsidR="003B2837" w:rsidRPr="00B57B36" w:rsidRDefault="00D74BD9" w:rsidP="003118F2">
            <w:pPr>
              <w:pStyle w:val="CETEquation"/>
            </w:pPr>
            <m:oMathPara>
              <m:oMath>
                <m:r>
                  <w:rPr>
                    <w:rFonts w:ascii="Cambria Math" w:hAnsi="Cambria Math"/>
                  </w:rPr>
                  <m:t>Accuracy=</m:t>
                </m:r>
                <m:f>
                  <m:fPr>
                    <m:ctrlPr>
                      <w:rPr>
                        <w:rFonts w:ascii="Cambria Math" w:hAnsi="Cambria Math"/>
                        <w:i/>
                      </w:rPr>
                    </m:ctrlPr>
                  </m:fPr>
                  <m:num>
                    <m:r>
                      <w:rPr>
                        <w:rFonts w:ascii="Cambria Math" w:hAnsi="Cambria Math"/>
                      </w:rPr>
                      <m:t>correct classified</m:t>
                    </m:r>
                  </m:num>
                  <m:den>
                    <m:r>
                      <w:rPr>
                        <w:rFonts w:ascii="Cambria Math" w:hAnsi="Cambria Math"/>
                      </w:rPr>
                      <m:t>total samples</m:t>
                    </m:r>
                  </m:den>
                </m:f>
                <m:r>
                  <w:rPr>
                    <w:rFonts w:ascii="Cambria Math" w:hAnsi="Cambria Math"/>
                  </w:rPr>
                  <m:t>=</m:t>
                </m:r>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+T</m:t>
                    </m:r>
                    <m:sSub>
                      <m:sSubPr>
                        <m:ctrlPr>
                          <w:rPr>
                            <w:rFonts w:ascii="Cambria Math" w:hAnsi="Cambria Math"/>
                            <w:i/>
                          </w:rPr>
                        </m:ctrlPr>
                      </m:sSubPr>
                      <m:e>
                        <m:r>
                          <w:rPr>
                            <w:rFonts w:ascii="Cambria Math" w:hAnsi="Cambria Math"/>
                          </w:rPr>
                          <m:t>N</m:t>
                        </m:r>
                      </m:e>
                      <m:sub>
                        <m:r>
                          <w:rPr>
                            <w:rFonts w:ascii="Cambria Math" w:hAnsi="Cambria Math"/>
                          </w:rPr>
                          <m:t>i</m:t>
                        </m:r>
                      </m:sub>
                    </m:sSub>
                  </m:num>
                  <m:den>
                    <m:r>
                      <w:rPr>
                        <w:rFonts w:ascii="Cambria Math" w:hAnsi="Cambria Math"/>
                      </w:rPr>
                      <m:t>total samples</m:t>
                    </m:r>
                  </m:den>
                </m:f>
              </m:oMath>
            </m:oMathPara>
          </w:p>
        </w:tc>
        <w:tc>
          <w:tcPr>
            <w:tcW w:w="804" w:type="dxa"/>
            <w:vAlign w:val="center"/>
          </w:tcPr>
          <w:p w14:paraId="76C189ED" w14:textId="63D65120" w:rsidR="003B2837" w:rsidRPr="00B57B36" w:rsidRDefault="003B2837" w:rsidP="003118F2">
            <w:pPr>
              <w:pStyle w:val="CETEquation"/>
              <w:jc w:val="right"/>
            </w:pPr>
            <w:r w:rsidRPr="00B57B36">
              <w:t>(</w:t>
            </w:r>
            <w:r>
              <w:t>4</w:t>
            </w:r>
            <w:r w:rsidRPr="00B57B36">
              <w:t>)</w:t>
            </w:r>
          </w:p>
        </w:tc>
      </w:tr>
      <w:tr w:rsidR="003B2837" w:rsidRPr="00B57B36" w14:paraId="3C698B9C" w14:textId="77777777" w:rsidTr="003118F2">
        <w:tc>
          <w:tcPr>
            <w:tcW w:w="7983" w:type="dxa"/>
            <w:vAlign w:val="center"/>
          </w:tcPr>
          <w:p w14:paraId="03BDBF81" w14:textId="3332BBE4" w:rsidR="003B2837" w:rsidRPr="009E49F5" w:rsidRDefault="00D74BD9" w:rsidP="003118F2">
            <w:pPr>
              <w:pStyle w:val="CETEquation"/>
              <w:rPr>
                <w:rFonts w:ascii="Cambria Math" w:hAnsi="Cambria Math"/>
                <w:oMath/>
              </w:rPr>
            </w:pPr>
            <m:oMathPara>
              <m:oMath>
                <m:r>
                  <w:rPr>
                    <w:rFonts w:ascii="Cambria Math" w:hAnsi="Cambria Math"/>
                  </w:rPr>
                  <m:t xml:space="preserve">Recall= </m:t>
                </m:r>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P</m:t>
                        </m:r>
                      </m:e>
                      <m:sub>
                        <m:r>
                          <w:rPr>
                            <w:rFonts w:ascii="Cambria Math" w:hAnsi="Cambria Math"/>
                          </w:rPr>
                          <m:t>i</m:t>
                        </m:r>
                      </m:sub>
                    </m:sSub>
                  </m:num>
                  <m:den>
                    <m:r>
                      <w:rPr>
                        <w:rFonts w:ascii="Cambria Math" w:hAnsi="Cambria Math"/>
                      </w:rPr>
                      <m:t>T</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+F</m:t>
                    </m:r>
                    <m:sSub>
                      <m:sSubPr>
                        <m:ctrlPr>
                          <w:rPr>
                            <w:rFonts w:ascii="Cambria Math" w:hAnsi="Cambria Math"/>
                            <w:i/>
                          </w:rPr>
                        </m:ctrlPr>
                      </m:sSubPr>
                      <m:e>
                        <m:r>
                          <w:rPr>
                            <w:rFonts w:ascii="Cambria Math" w:hAnsi="Cambria Math"/>
                          </w:rPr>
                          <m:t>N</m:t>
                        </m:r>
                      </m:e>
                      <m:sub>
                        <m:r>
                          <w:rPr>
                            <w:rFonts w:ascii="Cambria Math" w:hAnsi="Cambria Math"/>
                          </w:rPr>
                          <m:t>i</m:t>
                        </m:r>
                      </m:sub>
                    </m:sSub>
                  </m:den>
                </m:f>
              </m:oMath>
            </m:oMathPara>
          </w:p>
        </w:tc>
        <w:tc>
          <w:tcPr>
            <w:tcW w:w="804" w:type="dxa"/>
            <w:vAlign w:val="center"/>
          </w:tcPr>
          <w:p w14:paraId="2168614D" w14:textId="20763316" w:rsidR="003B2837" w:rsidRPr="00B57B36" w:rsidRDefault="003B2837" w:rsidP="003118F2">
            <w:pPr>
              <w:pStyle w:val="CETEquation"/>
              <w:jc w:val="right"/>
            </w:pPr>
            <w:r w:rsidRPr="00B57B36">
              <w:t>(</w:t>
            </w:r>
            <w:r>
              <w:t>5</w:t>
            </w:r>
            <w:r w:rsidRPr="00B57B36">
              <w:t>)</w:t>
            </w:r>
          </w:p>
        </w:tc>
      </w:tr>
    </w:tbl>
    <w:p w14:paraId="53EA008F" w14:textId="71DFFA82" w:rsidR="006A6338" w:rsidRPr="00130F9E" w:rsidRDefault="00927CB8" w:rsidP="008A0455">
      <w:pPr>
        <w:pStyle w:val="CETBodytext"/>
      </w:pPr>
      <w:r>
        <w:t xml:space="preserve">where </w:t>
      </w:r>
      <m:oMath>
        <m:r>
          <w:rPr>
            <w:rFonts w:ascii="Cambria Math" w:hAnsi="Cambria Math"/>
          </w:rPr>
          <m:t>T</m:t>
        </m:r>
        <m:sSub>
          <m:sSubPr>
            <m:ctrlPr>
              <w:rPr>
                <w:rFonts w:ascii="Cambria Math" w:hAnsi="Cambria Math"/>
                <w:i/>
              </w:rPr>
            </m:ctrlPr>
          </m:sSubPr>
          <m:e>
            <m:r>
              <w:rPr>
                <w:rFonts w:ascii="Cambria Math" w:hAnsi="Cambria Math"/>
              </w:rPr>
              <m:t>P</m:t>
            </m:r>
          </m:e>
          <m:sub>
            <m:r>
              <w:rPr>
                <w:rFonts w:ascii="Cambria Math" w:hAnsi="Cambria Math"/>
              </w:rPr>
              <m:t>i</m:t>
            </m:r>
          </m:sub>
        </m:sSub>
      </m:oMath>
      <w:r w:rsidR="005E2A40">
        <w:t xml:space="preserve">, </w:t>
      </w:r>
      <m:oMath>
        <m:r>
          <w:rPr>
            <w:rFonts w:ascii="Cambria Math" w:hAnsi="Cambria Math"/>
          </w:rPr>
          <m:t>T</m:t>
        </m:r>
        <m:sSub>
          <m:sSubPr>
            <m:ctrlPr>
              <w:rPr>
                <w:rFonts w:ascii="Cambria Math" w:hAnsi="Cambria Math"/>
                <w:i/>
              </w:rPr>
            </m:ctrlPr>
          </m:sSubPr>
          <m:e>
            <m:r>
              <w:rPr>
                <w:rFonts w:ascii="Cambria Math" w:hAnsi="Cambria Math"/>
              </w:rPr>
              <m:t>N</m:t>
            </m:r>
          </m:e>
          <m:sub>
            <m:r>
              <w:rPr>
                <w:rFonts w:ascii="Cambria Math" w:hAnsi="Cambria Math"/>
              </w:rPr>
              <m:t>i</m:t>
            </m:r>
          </m:sub>
        </m:sSub>
      </m:oMath>
      <w:r w:rsidR="005E2A40">
        <w:t xml:space="preserve">, and </w:t>
      </w:r>
      <m:oMath>
        <m:r>
          <w:rPr>
            <w:rFonts w:ascii="Cambria Math" w:hAnsi="Cambria Math"/>
          </w:rPr>
          <m:t>F</m:t>
        </m:r>
        <m:sSub>
          <m:sSubPr>
            <m:ctrlPr>
              <w:rPr>
                <w:rFonts w:ascii="Cambria Math" w:hAnsi="Cambria Math"/>
                <w:i/>
              </w:rPr>
            </m:ctrlPr>
          </m:sSubPr>
          <m:e>
            <m:r>
              <w:rPr>
                <w:rFonts w:ascii="Cambria Math" w:hAnsi="Cambria Math"/>
              </w:rPr>
              <m:t>N</m:t>
            </m:r>
          </m:e>
          <m:sub>
            <m:r>
              <w:rPr>
                <w:rFonts w:ascii="Cambria Math" w:hAnsi="Cambria Math"/>
              </w:rPr>
              <m:t>i</m:t>
            </m:r>
          </m:sub>
        </m:sSub>
      </m:oMath>
      <w:r w:rsidR="00E272A1">
        <w:t xml:space="preserve"> indicates the true positives, true negatives and false negatives for each class </w:t>
      </w:r>
      <w:proofErr w:type="spellStart"/>
      <w:r w:rsidR="00E272A1">
        <w:rPr>
          <w:i/>
          <w:iCs/>
        </w:rPr>
        <w:t>i</w:t>
      </w:r>
      <w:proofErr w:type="spellEnd"/>
      <w:r w:rsidR="00130F9E">
        <w:rPr>
          <w:i/>
          <w:iCs/>
        </w:rPr>
        <w:t xml:space="preserve"> </w:t>
      </w:r>
      <w:r w:rsidR="00130F9E" w:rsidRPr="00130F9E">
        <w:t>respectively.</w:t>
      </w:r>
      <w:r w:rsidR="00130F9E">
        <w:rPr>
          <w:i/>
          <w:iCs/>
        </w:rPr>
        <w:t xml:space="preserve"> </w:t>
      </w:r>
    </w:p>
    <w:p w14:paraId="70D81D5A" w14:textId="3F4DBD0E" w:rsidR="00895B48" w:rsidRDefault="00EC503A" w:rsidP="008A0455">
      <w:pPr>
        <w:pStyle w:val="CETBodytext"/>
      </w:pPr>
      <w:r>
        <w:t xml:space="preserve">On the other hand, </w:t>
      </w:r>
      <w:r w:rsidR="00264C8E">
        <w:t>regarding the</w:t>
      </w:r>
      <w:r w:rsidR="00C02ECE">
        <w:t xml:space="preserve"> </w:t>
      </w:r>
      <w:r w:rsidR="00984C93">
        <w:t xml:space="preserve">regression models </w:t>
      </w:r>
      <w:r w:rsidR="00264C8E">
        <w:t xml:space="preserve">used for odour quantification </w:t>
      </w:r>
      <w:r w:rsidR="00984C93">
        <w:t xml:space="preserve">(i.e., estimation of the odour concentration), the performance of the IOMS was assessed </w:t>
      </w:r>
      <w:r w:rsidR="008F6451">
        <w:t>using</w:t>
      </w:r>
      <w:r w:rsidR="00984C93">
        <w:t xml:space="preserve"> Bland-Altman analysis</w:t>
      </w:r>
      <w:r w:rsidR="00E47064">
        <w:t xml:space="preserve"> </w:t>
      </w:r>
      <w:sdt>
        <w:sdtPr>
          <w:rPr>
            <w:rFonts w:cs="Arial"/>
            <w:color w:val="000000"/>
          </w:rPr>
          <w:tag w:val="MENDELEY_CITATION_v3_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"/>
          <w:id w:val="-1155055847"/>
          <w:placeholder>
            <w:docPart w:val="DefaultPlaceholder_-1854013440"/>
          </w:placeholder>
        </w:sdtPr>
        <w:sdtEndPr/>
        <w:sdtContent>
          <w:r w:rsidR="00C3759A" w:rsidRPr="00C3759A">
            <w:rPr>
              <w:rFonts w:cs="Arial"/>
              <w:color w:val="000000"/>
            </w:rPr>
            <w:t>(</w:t>
          </w:r>
          <w:proofErr w:type="spellStart"/>
          <w:r w:rsidR="00C3759A" w:rsidRPr="00C3759A">
            <w:rPr>
              <w:rFonts w:cs="Arial"/>
              <w:color w:val="000000"/>
            </w:rPr>
            <w:t>Giavarina</w:t>
          </w:r>
          <w:proofErr w:type="spellEnd"/>
          <w:r w:rsidR="00C3759A" w:rsidRPr="00C3759A">
            <w:rPr>
              <w:rFonts w:cs="Arial"/>
              <w:color w:val="000000"/>
            </w:rPr>
            <w:t>, 2015)</w:t>
          </w:r>
        </w:sdtContent>
      </w:sdt>
      <w:r w:rsidR="00E47064">
        <w:t>.</w:t>
      </w:r>
      <w:r w:rsidR="00D34654">
        <w:t xml:space="preserve"> </w:t>
      </w:r>
      <w:r w:rsidR="00AD59EC">
        <w:t xml:space="preserve">The choice of Bland–Altman analysis is related to the uncertainty associated with the reference method for odour concentration measurement, namely dynamic olfactometry (EN 13725:2022). Since concentrations estimated by dynamic olfactometry are subject to a significant level of uncertainty (approximately 50%), the use of traditional regression evaluation metrics is not appropriate. Instead, a method such as Bland–Altman analysis is more suitable, as it allows comparison between outputs of different methods </w:t>
      </w:r>
      <w:r w:rsidR="00017781">
        <w:t>with similar</w:t>
      </w:r>
      <w:r w:rsidR="00AD59EC">
        <w:t xml:space="preserve"> uncertainty.</w:t>
      </w:r>
    </w:p>
    <w:p w14:paraId="79168B48" w14:textId="7B3F028D" w:rsidR="008A0455" w:rsidRPr="005B59D2" w:rsidRDefault="00AD59EC" w:rsidP="008A0455">
      <w:pPr>
        <w:pStyle w:val="CETBodytext"/>
      </w:pPr>
      <w:r>
        <w:t xml:space="preserve">Bland–Altman analysis evaluates the agreement between the outputs of dynamic olfactometry and the IOMS regression model by </w:t>
      </w:r>
      <w:proofErr w:type="spellStart"/>
      <w:r>
        <w:t>analysing</w:t>
      </w:r>
      <w:proofErr w:type="spellEnd"/>
      <w:r>
        <w:t xml:space="preserve"> the differences in the logarithm of odour concentration</w:t>
      </w:r>
      <w:r w:rsidR="00BD5822">
        <w:t xml:space="preserve">, thereby providing </w:t>
      </w:r>
      <w:r w:rsidR="00507C86">
        <w:t>the</w:t>
      </w:r>
      <w:r w:rsidR="00682EEB">
        <w:t xml:space="preserve"> bias</w:t>
      </w:r>
      <w:r w:rsidR="00A2373F">
        <w:t>, which is the mean of the differences, and</w:t>
      </w:r>
      <w:r w:rsidR="00507C86">
        <w:t xml:space="preserve"> “</w:t>
      </w:r>
      <w:r w:rsidR="00E7057E">
        <w:t>L</w:t>
      </w:r>
      <w:r w:rsidR="00507C86">
        <w:t xml:space="preserve">imits of </w:t>
      </w:r>
      <w:r w:rsidR="00E7057E">
        <w:t>A</w:t>
      </w:r>
      <w:r w:rsidR="00507C86">
        <w:t xml:space="preserve">greement” (upper </w:t>
      </w:r>
      <w:proofErr w:type="spellStart"/>
      <w:r w:rsidR="00507C86">
        <w:t>LoA</w:t>
      </w:r>
      <w:proofErr w:type="spellEnd"/>
      <w:r w:rsidR="00507C86">
        <w:t xml:space="preserve"> and lower </w:t>
      </w:r>
      <w:proofErr w:type="spellStart"/>
      <w:r w:rsidR="00507C86">
        <w:t>LoA</w:t>
      </w:r>
      <w:proofErr w:type="spellEnd"/>
      <w:r w:rsidR="00507C86">
        <w:t xml:space="preserve">), which define the range within which 95% of the differences between the two measurements are expected to lie. </w:t>
      </w:r>
      <w:r>
        <w:t>To apply Bland–Altman analysis, it is first necessary to verify whether the differences between the values estimated by the two methods are normally distributed. This can be done using the Shapiro–Wilk test, confirming that the resulting p-value is greater than 0.05.</w:t>
      </w:r>
    </w:p>
    <w:p w14:paraId="51B02F99" w14:textId="40B37DE7" w:rsidR="00F318C3" w:rsidRDefault="007667AF" w:rsidP="007667AF">
      <w:pPr>
        <w:pStyle w:val="CETHeading1"/>
      </w:pPr>
      <w:r>
        <w:t>Results</w:t>
      </w:r>
    </w:p>
    <w:p w14:paraId="188D442D" w14:textId="0A22865D" w:rsidR="00171A29" w:rsidRDefault="000D77C5" w:rsidP="00171A29">
      <w:pPr>
        <w:pStyle w:val="CETheadingx"/>
      </w:pPr>
      <w:r>
        <w:t>IOMS classification models</w:t>
      </w:r>
    </w:p>
    <w:p w14:paraId="7C067957" w14:textId="53A9CBB0" w:rsidR="00271A05" w:rsidRDefault="009707E6" w:rsidP="00271A05">
      <w:pPr>
        <w:pStyle w:val="CETBodytext"/>
      </w:pPr>
      <w:r>
        <w:t xml:space="preserve">This </w:t>
      </w:r>
      <w:r w:rsidR="00BB1CEE">
        <w:t xml:space="preserve">section reports the results of the IOMS classification performance assessed using the external test set. To increase the robustness of the developed models, each SVM model was tuned using four different internal validation sets and subsequently evaluated on the test set. In this way, for each implemented model, four sets of classification metrics were obtained, and their average values are reported in </w:t>
      </w:r>
      <w:r w:rsidR="007128C1">
        <w:fldChar w:fldCharType="begin"/>
      </w:r>
      <w:r w:rsidR="007128C1">
        <w:instrText xml:space="preserve"> REF _Ref227250559 \h </w:instrText>
      </w:r>
      <w:r w:rsidR="007128C1">
        <w:fldChar w:fldCharType="separate"/>
      </w:r>
      <w:r w:rsidR="007128C1">
        <w:t xml:space="preserve">Table </w:t>
      </w:r>
      <w:r w:rsidR="007128C1">
        <w:rPr>
          <w:noProof/>
        </w:rPr>
        <w:t>3</w:t>
      </w:r>
      <w:r w:rsidR="007128C1">
        <w:fldChar w:fldCharType="end"/>
      </w:r>
      <w:r w:rsidR="00BB1CEE">
        <w:t>,</w:t>
      </w:r>
      <w:r w:rsidR="0087531F">
        <w:t xml:space="preserve"> </w:t>
      </w:r>
      <w:r w:rsidR="00804165">
        <w:t xml:space="preserve">with </w:t>
      </w:r>
      <w:r w:rsidR="00101E07">
        <w:t>the</w:t>
      </w:r>
      <w:r w:rsidR="00B6045E">
        <w:t xml:space="preserve"> </w:t>
      </w:r>
      <w:r w:rsidR="00B27807">
        <w:t xml:space="preserve">95% </w:t>
      </w:r>
      <w:r w:rsidR="00C82306">
        <w:t xml:space="preserve">confidence interval </w:t>
      </w:r>
      <w:r w:rsidR="00967DE6">
        <w:t xml:space="preserve">reported </w:t>
      </w:r>
      <w:r w:rsidR="00645725">
        <w:t>in square backets.</w:t>
      </w:r>
    </w:p>
    <w:p w14:paraId="68F9591D" w14:textId="77777777" w:rsidR="00507C86" w:rsidRPr="004569C4" w:rsidRDefault="00507C86" w:rsidP="00507C86">
      <w:pPr>
        <w:pStyle w:val="CETBodytext"/>
      </w:pPr>
      <w:r w:rsidRPr="004569C4">
        <w:t>The model developed without any pre-treatment achieved the worst performance, with a global accuracy of 44% and a very low recall for the ‘Organic’ odour class (4%). In comparison, the models applying the pre-treatment approaches achieved significantly better results, with accuracies ranging from 88% to 93%.</w:t>
      </w:r>
    </w:p>
    <w:p w14:paraId="40DC9B75" w14:textId="2C217976" w:rsidR="00507C86" w:rsidRPr="004569C4" w:rsidRDefault="00507C86" w:rsidP="00507C86">
      <w:pPr>
        <w:pStyle w:val="CETBodytext"/>
      </w:pPr>
      <w:r w:rsidRPr="004569C4">
        <w:t>The difference in performance is mainly related to an anomalous variation in the sensor resistance baseline values that occurred after the training period. Due to this drift effect, the sensor responses during field validation differ substantially from those observed during the training phase, and without proper compensation, the IOMS is no longer able to correctly classify the different odour classes.</w:t>
      </w:r>
    </w:p>
    <w:p w14:paraId="588BBEF1" w14:textId="74233122" w:rsidR="00967C90" w:rsidRDefault="00967C90" w:rsidP="00967C90">
      <w:pPr>
        <w:pStyle w:val="CETTabletitle"/>
      </w:pPr>
      <w:bookmarkStart w:id="4" w:name="_Ref227250559"/>
      <w:r>
        <w:lastRenderedPageBreak/>
        <w:t xml:space="preserve">Table </w:t>
      </w:r>
      <w:r>
        <w:fldChar w:fldCharType="begin"/>
      </w:r>
      <w:r>
        <w:instrText xml:space="preserve"> SEQ Table \* ARABIC </w:instrText>
      </w:r>
      <w:r>
        <w:fldChar w:fldCharType="separate"/>
      </w:r>
      <w:r>
        <w:rPr>
          <w:noProof/>
        </w:rPr>
        <w:t>3</w:t>
      </w:r>
      <w:r>
        <w:fldChar w:fldCharType="end"/>
      </w:r>
      <w:bookmarkEnd w:id="4"/>
      <w:r>
        <w:t>:</w:t>
      </w:r>
      <w:r w:rsidR="007128C1">
        <w:t xml:space="preserve"> </w:t>
      </w:r>
      <w:r w:rsidR="00822745">
        <w:t>Classification accuracies and recalls for the models implemented.</w:t>
      </w:r>
    </w:p>
    <w:tbl>
      <w:tblPr>
        <w:tblW w:w="9225"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076"/>
        <w:gridCol w:w="1185"/>
        <w:gridCol w:w="1988"/>
        <w:gridCol w:w="1988"/>
        <w:gridCol w:w="1988"/>
      </w:tblGrid>
      <w:tr w:rsidR="00BD7CD3" w:rsidRPr="00B57B36" w14:paraId="7D922F95" w14:textId="77777777" w:rsidTr="00BD7CD3">
        <w:trPr>
          <w:trHeight w:val="261"/>
          <w:tblHeader/>
        </w:trPr>
        <w:tc>
          <w:tcPr>
            <w:tcW w:w="2076" w:type="dxa"/>
            <w:vMerge w:val="restart"/>
            <w:tcBorders>
              <w:top w:val="single" w:sz="12" w:space="0" w:color="008000"/>
            </w:tcBorders>
            <w:shd w:val="clear" w:color="auto" w:fill="FFFFFF"/>
            <w:vAlign w:val="center"/>
          </w:tcPr>
          <w:p w14:paraId="71BAE7B2" w14:textId="182A2422" w:rsidR="00BD7CD3" w:rsidRPr="00B57B36" w:rsidRDefault="00BD7CD3" w:rsidP="00BD7CD3">
            <w:pPr>
              <w:pStyle w:val="CETBodytext"/>
              <w:jc w:val="center"/>
              <w:rPr>
                <w:lang w:val="en-GB"/>
              </w:rPr>
            </w:pPr>
            <w:r>
              <w:rPr>
                <w:lang w:val="en-GB"/>
              </w:rPr>
              <w:t>Model</w:t>
            </w:r>
          </w:p>
        </w:tc>
        <w:tc>
          <w:tcPr>
            <w:tcW w:w="1185" w:type="dxa"/>
            <w:vMerge w:val="restart"/>
            <w:tcBorders>
              <w:top w:val="single" w:sz="12" w:space="0" w:color="008000"/>
            </w:tcBorders>
            <w:shd w:val="clear" w:color="auto" w:fill="FFFFFF"/>
            <w:vAlign w:val="center"/>
          </w:tcPr>
          <w:p w14:paraId="5EB07469" w14:textId="26B1316B" w:rsidR="00BD7CD3" w:rsidRPr="00B57B36" w:rsidRDefault="00BD7CD3" w:rsidP="00BD7CD3">
            <w:pPr>
              <w:pStyle w:val="CETBodytext"/>
              <w:ind w:right="-1"/>
              <w:jc w:val="center"/>
              <w:rPr>
                <w:rFonts w:cs="Arial"/>
                <w:szCs w:val="18"/>
                <w:lang w:val="en-GB"/>
              </w:rPr>
            </w:pPr>
            <w:r>
              <w:rPr>
                <w:lang w:val="en-GB"/>
              </w:rPr>
              <w:t>Accuracy</w:t>
            </w:r>
          </w:p>
        </w:tc>
        <w:tc>
          <w:tcPr>
            <w:tcW w:w="5964" w:type="dxa"/>
            <w:gridSpan w:val="3"/>
            <w:tcBorders>
              <w:top w:val="single" w:sz="12" w:space="0" w:color="008000"/>
              <w:bottom w:val="single" w:sz="8" w:space="0" w:color="008000"/>
            </w:tcBorders>
            <w:shd w:val="clear" w:color="auto" w:fill="FFFFFF"/>
            <w:vAlign w:val="center"/>
          </w:tcPr>
          <w:p w14:paraId="2A5798EB" w14:textId="0A4E9943" w:rsidR="00BD7CD3" w:rsidRPr="00B57B36" w:rsidRDefault="00BD7CD3" w:rsidP="00BD7CD3">
            <w:pPr>
              <w:pStyle w:val="CETBodytext"/>
              <w:ind w:right="-1"/>
              <w:jc w:val="center"/>
              <w:rPr>
                <w:rFonts w:cs="Arial"/>
                <w:szCs w:val="18"/>
                <w:lang w:val="en-GB"/>
              </w:rPr>
            </w:pPr>
            <w:r>
              <w:rPr>
                <w:rFonts w:cs="Arial"/>
                <w:szCs w:val="18"/>
                <w:lang w:val="en-GB"/>
              </w:rPr>
              <w:t>Recall</w:t>
            </w:r>
          </w:p>
        </w:tc>
      </w:tr>
      <w:tr w:rsidR="00BD7CD3" w:rsidRPr="00B57B36" w14:paraId="66F5C7BA" w14:textId="77777777" w:rsidTr="00BD7CD3">
        <w:trPr>
          <w:trHeight w:val="261"/>
          <w:tblHeader/>
        </w:trPr>
        <w:tc>
          <w:tcPr>
            <w:tcW w:w="2076" w:type="dxa"/>
            <w:vMerge/>
            <w:tcBorders>
              <w:bottom w:val="single" w:sz="12" w:space="0" w:color="008000"/>
            </w:tcBorders>
            <w:shd w:val="clear" w:color="auto" w:fill="FFFFFF"/>
            <w:vAlign w:val="center"/>
          </w:tcPr>
          <w:p w14:paraId="79C958C2" w14:textId="77777777" w:rsidR="00BD7CD3" w:rsidRDefault="00BD7CD3" w:rsidP="00BD7CD3">
            <w:pPr>
              <w:pStyle w:val="CETBodytext"/>
              <w:jc w:val="center"/>
              <w:rPr>
                <w:lang w:val="en-GB"/>
              </w:rPr>
            </w:pPr>
          </w:p>
        </w:tc>
        <w:tc>
          <w:tcPr>
            <w:tcW w:w="1185" w:type="dxa"/>
            <w:vMerge/>
            <w:tcBorders>
              <w:bottom w:val="single" w:sz="12" w:space="0" w:color="008000"/>
            </w:tcBorders>
            <w:shd w:val="clear" w:color="auto" w:fill="FFFFFF"/>
            <w:vAlign w:val="center"/>
          </w:tcPr>
          <w:p w14:paraId="3C5EFE17" w14:textId="77777777" w:rsidR="00BD7CD3" w:rsidRDefault="00BD7CD3" w:rsidP="00BD7CD3">
            <w:pPr>
              <w:pStyle w:val="CETBodytext"/>
              <w:ind w:right="-1"/>
              <w:jc w:val="center"/>
              <w:rPr>
                <w:lang w:val="en-GB"/>
              </w:rPr>
            </w:pPr>
          </w:p>
        </w:tc>
        <w:tc>
          <w:tcPr>
            <w:tcW w:w="1988" w:type="dxa"/>
            <w:tcBorders>
              <w:top w:val="single" w:sz="8" w:space="0" w:color="008000"/>
              <w:bottom w:val="single" w:sz="12" w:space="0" w:color="008000"/>
            </w:tcBorders>
            <w:shd w:val="clear" w:color="auto" w:fill="FFFFFF"/>
            <w:vAlign w:val="center"/>
          </w:tcPr>
          <w:p w14:paraId="17F1A0A7" w14:textId="4190AF63" w:rsidR="00BD7CD3" w:rsidRDefault="003B2646" w:rsidP="00BD7CD3">
            <w:pPr>
              <w:pStyle w:val="CETBodytext"/>
              <w:ind w:right="-1"/>
              <w:jc w:val="center"/>
              <w:rPr>
                <w:rFonts w:cs="Arial"/>
                <w:szCs w:val="18"/>
                <w:lang w:val="en-GB"/>
              </w:rPr>
            </w:pPr>
            <w:r>
              <w:rPr>
                <w:rFonts w:cs="Arial"/>
                <w:szCs w:val="18"/>
                <w:lang w:val="en-GB"/>
              </w:rPr>
              <w:t>Air</w:t>
            </w:r>
          </w:p>
        </w:tc>
        <w:tc>
          <w:tcPr>
            <w:tcW w:w="1988" w:type="dxa"/>
            <w:tcBorders>
              <w:top w:val="single" w:sz="8" w:space="0" w:color="008000"/>
              <w:bottom w:val="single" w:sz="12" w:space="0" w:color="008000"/>
            </w:tcBorders>
            <w:shd w:val="clear" w:color="auto" w:fill="FFFFFF"/>
            <w:vAlign w:val="center"/>
          </w:tcPr>
          <w:p w14:paraId="2BACD487" w14:textId="40FF8BB3" w:rsidR="00BD7CD3" w:rsidRDefault="003B2646" w:rsidP="00BD7CD3">
            <w:pPr>
              <w:pStyle w:val="CETBodytext"/>
              <w:ind w:right="-1"/>
              <w:jc w:val="center"/>
              <w:rPr>
                <w:rFonts w:cs="Arial"/>
                <w:szCs w:val="18"/>
                <w:lang w:val="en-GB"/>
              </w:rPr>
            </w:pPr>
            <w:r>
              <w:rPr>
                <w:rFonts w:cs="Arial"/>
                <w:szCs w:val="18"/>
                <w:lang w:val="en-GB"/>
              </w:rPr>
              <w:t>Biogas</w:t>
            </w:r>
          </w:p>
        </w:tc>
        <w:tc>
          <w:tcPr>
            <w:tcW w:w="1988" w:type="dxa"/>
            <w:tcBorders>
              <w:top w:val="single" w:sz="8" w:space="0" w:color="008000"/>
              <w:bottom w:val="single" w:sz="12" w:space="0" w:color="008000"/>
            </w:tcBorders>
            <w:shd w:val="clear" w:color="auto" w:fill="FFFFFF"/>
            <w:vAlign w:val="center"/>
          </w:tcPr>
          <w:p w14:paraId="23469CB0" w14:textId="7F485900" w:rsidR="00BD7CD3" w:rsidRDefault="003B2646" w:rsidP="00BD7CD3">
            <w:pPr>
              <w:pStyle w:val="CETBodytext"/>
              <w:ind w:right="-1"/>
              <w:jc w:val="center"/>
              <w:rPr>
                <w:rFonts w:cs="Arial"/>
                <w:szCs w:val="18"/>
                <w:lang w:val="en-GB"/>
              </w:rPr>
            </w:pPr>
            <w:r>
              <w:rPr>
                <w:rFonts w:cs="Arial"/>
                <w:szCs w:val="18"/>
                <w:lang w:val="en-GB"/>
              </w:rPr>
              <w:t>Organic</w:t>
            </w:r>
          </w:p>
        </w:tc>
      </w:tr>
      <w:tr w:rsidR="00BD7CD3" w:rsidRPr="00B57B36" w14:paraId="0AC9B463" w14:textId="77777777" w:rsidTr="00BD7CD3">
        <w:trPr>
          <w:trHeight w:val="290"/>
          <w:tblHeader/>
        </w:trPr>
        <w:tc>
          <w:tcPr>
            <w:tcW w:w="2076" w:type="dxa"/>
            <w:tcBorders>
              <w:top w:val="single" w:sz="12" w:space="0" w:color="008000"/>
            </w:tcBorders>
            <w:shd w:val="clear" w:color="auto" w:fill="FFFFFF"/>
            <w:vAlign w:val="center"/>
          </w:tcPr>
          <w:p w14:paraId="6C385A84" w14:textId="77777777" w:rsidR="00BD7CD3" w:rsidRPr="00B57B36" w:rsidRDefault="00BD7CD3" w:rsidP="00BD7CD3">
            <w:pPr>
              <w:pStyle w:val="CETBodytext"/>
              <w:jc w:val="center"/>
              <w:rPr>
                <w:lang w:val="en-GB"/>
              </w:rPr>
            </w:pPr>
            <w:r>
              <w:rPr>
                <w:lang w:val="en-GB"/>
              </w:rPr>
              <w:t xml:space="preserve">No </w:t>
            </w:r>
            <w:proofErr w:type="spellStart"/>
            <w:r>
              <w:rPr>
                <w:lang w:val="en-GB"/>
              </w:rPr>
              <w:t>pret</w:t>
            </w:r>
            <w:proofErr w:type="spellEnd"/>
          </w:p>
        </w:tc>
        <w:tc>
          <w:tcPr>
            <w:tcW w:w="1185" w:type="dxa"/>
            <w:tcBorders>
              <w:top w:val="single" w:sz="12" w:space="0" w:color="008000"/>
            </w:tcBorders>
            <w:shd w:val="clear" w:color="auto" w:fill="FFFFFF"/>
            <w:vAlign w:val="center"/>
          </w:tcPr>
          <w:p w14:paraId="1EF3BBBB" w14:textId="77777777" w:rsidR="0034739D" w:rsidRDefault="00730073" w:rsidP="00BD7CD3">
            <w:pPr>
              <w:pStyle w:val="CETBodytext"/>
              <w:ind w:right="-1"/>
              <w:jc w:val="center"/>
              <w:rPr>
                <w:rFonts w:cs="Arial"/>
                <w:szCs w:val="18"/>
                <w:lang w:val="en-GB"/>
              </w:rPr>
            </w:pPr>
            <w:r>
              <w:rPr>
                <w:rFonts w:cs="Arial"/>
                <w:szCs w:val="18"/>
                <w:lang w:val="en-GB"/>
              </w:rPr>
              <w:t>44%</w:t>
            </w:r>
          </w:p>
          <w:p w14:paraId="6A8C7015" w14:textId="202AE52D" w:rsidR="00BD7CD3" w:rsidRPr="00B57B36" w:rsidRDefault="00730073" w:rsidP="00BD7CD3">
            <w:pPr>
              <w:pStyle w:val="CETBodytext"/>
              <w:ind w:right="-1"/>
              <w:jc w:val="center"/>
              <w:rPr>
                <w:rFonts w:cs="Arial"/>
                <w:szCs w:val="18"/>
                <w:lang w:val="en-GB"/>
              </w:rPr>
            </w:pPr>
            <w:r>
              <w:rPr>
                <w:rFonts w:cs="Arial"/>
                <w:szCs w:val="18"/>
                <w:lang w:val="en-GB"/>
              </w:rPr>
              <w:t>[</w:t>
            </w:r>
            <w:r w:rsidR="0034739D">
              <w:rPr>
                <w:rFonts w:cs="Arial"/>
                <w:szCs w:val="18"/>
                <w:lang w:val="en-GB"/>
              </w:rPr>
              <w:t>39%-48%]</w:t>
            </w:r>
          </w:p>
        </w:tc>
        <w:tc>
          <w:tcPr>
            <w:tcW w:w="1988" w:type="dxa"/>
            <w:tcBorders>
              <w:top w:val="single" w:sz="12" w:space="0" w:color="008000"/>
            </w:tcBorders>
            <w:shd w:val="clear" w:color="auto" w:fill="FFFFFF"/>
            <w:vAlign w:val="center"/>
          </w:tcPr>
          <w:p w14:paraId="7C34D135" w14:textId="77777777" w:rsidR="0034739D" w:rsidRDefault="0034739D" w:rsidP="0026653F">
            <w:pPr>
              <w:pStyle w:val="CETBodytext"/>
              <w:ind w:right="-1"/>
              <w:jc w:val="center"/>
              <w:rPr>
                <w:rFonts w:cs="Arial"/>
                <w:szCs w:val="18"/>
                <w:lang w:val="en-GB"/>
              </w:rPr>
            </w:pPr>
            <w:r>
              <w:rPr>
                <w:rFonts w:cs="Arial"/>
                <w:szCs w:val="18"/>
                <w:lang w:val="en-GB"/>
              </w:rPr>
              <w:t>100%</w:t>
            </w:r>
          </w:p>
          <w:p w14:paraId="16757BCE" w14:textId="1E5B7542" w:rsidR="00610130" w:rsidRPr="00B57B36" w:rsidRDefault="00610130" w:rsidP="0026653F">
            <w:pPr>
              <w:pStyle w:val="CETBodytext"/>
              <w:ind w:right="-1"/>
              <w:jc w:val="center"/>
              <w:rPr>
                <w:rFonts w:cs="Arial"/>
                <w:szCs w:val="18"/>
                <w:lang w:val="en-GB"/>
              </w:rPr>
            </w:pPr>
            <w:r>
              <w:rPr>
                <w:rFonts w:cs="Arial"/>
                <w:szCs w:val="18"/>
                <w:lang w:val="en-GB"/>
              </w:rPr>
              <w:t>[100%-100%]</w:t>
            </w:r>
          </w:p>
        </w:tc>
        <w:tc>
          <w:tcPr>
            <w:tcW w:w="1988" w:type="dxa"/>
            <w:tcBorders>
              <w:top w:val="single" w:sz="12" w:space="0" w:color="008000"/>
            </w:tcBorders>
            <w:shd w:val="clear" w:color="auto" w:fill="FFFFFF"/>
            <w:vAlign w:val="center"/>
          </w:tcPr>
          <w:p w14:paraId="63E905F8" w14:textId="77777777" w:rsidR="00BD7CD3" w:rsidRDefault="00EC2F2F" w:rsidP="00BD7CD3">
            <w:pPr>
              <w:pStyle w:val="CETBodytext"/>
              <w:ind w:right="-1"/>
              <w:jc w:val="center"/>
              <w:rPr>
                <w:rFonts w:cs="Arial"/>
                <w:szCs w:val="18"/>
                <w:lang w:val="en-GB"/>
              </w:rPr>
            </w:pPr>
            <w:r>
              <w:rPr>
                <w:rFonts w:cs="Arial"/>
                <w:szCs w:val="18"/>
                <w:lang w:val="en-GB"/>
              </w:rPr>
              <w:t>89%</w:t>
            </w:r>
          </w:p>
          <w:p w14:paraId="341B48F5" w14:textId="7631CE4D" w:rsidR="00EC2F2F" w:rsidRPr="00B57B36" w:rsidRDefault="00EC2F2F" w:rsidP="00BD7CD3">
            <w:pPr>
              <w:pStyle w:val="CETBodytext"/>
              <w:ind w:right="-1"/>
              <w:jc w:val="center"/>
              <w:rPr>
                <w:rFonts w:cs="Arial"/>
                <w:szCs w:val="18"/>
                <w:lang w:val="en-GB"/>
              </w:rPr>
            </w:pPr>
            <w:r>
              <w:rPr>
                <w:rFonts w:cs="Arial"/>
                <w:szCs w:val="18"/>
                <w:lang w:val="en-GB"/>
              </w:rPr>
              <w:t>[82%-96%]</w:t>
            </w:r>
          </w:p>
        </w:tc>
        <w:tc>
          <w:tcPr>
            <w:tcW w:w="1988" w:type="dxa"/>
            <w:tcBorders>
              <w:top w:val="single" w:sz="12" w:space="0" w:color="008000"/>
            </w:tcBorders>
            <w:shd w:val="clear" w:color="auto" w:fill="FFFFFF"/>
            <w:vAlign w:val="center"/>
          </w:tcPr>
          <w:p w14:paraId="2BE37AF8" w14:textId="77777777" w:rsidR="00BD7CD3" w:rsidRDefault="00EC2F2F" w:rsidP="00BD7CD3">
            <w:pPr>
              <w:pStyle w:val="CETBodytext"/>
              <w:ind w:right="-1"/>
              <w:jc w:val="center"/>
              <w:rPr>
                <w:rFonts w:cs="Arial"/>
                <w:szCs w:val="18"/>
                <w:lang w:val="en-GB"/>
              </w:rPr>
            </w:pPr>
            <w:r>
              <w:rPr>
                <w:rFonts w:cs="Arial"/>
                <w:szCs w:val="18"/>
                <w:lang w:val="en-GB"/>
              </w:rPr>
              <w:t>4%</w:t>
            </w:r>
          </w:p>
          <w:p w14:paraId="48F56FAA" w14:textId="3023D0D1" w:rsidR="00EC2F2F" w:rsidRPr="00B57B36" w:rsidRDefault="00EC2F2F" w:rsidP="00BD7CD3">
            <w:pPr>
              <w:pStyle w:val="CETBodytext"/>
              <w:ind w:right="-1"/>
              <w:jc w:val="center"/>
              <w:rPr>
                <w:rFonts w:cs="Arial"/>
                <w:szCs w:val="18"/>
                <w:lang w:val="en-GB"/>
              </w:rPr>
            </w:pPr>
            <w:r>
              <w:rPr>
                <w:rFonts w:cs="Arial"/>
                <w:szCs w:val="18"/>
                <w:lang w:val="en-GB"/>
              </w:rPr>
              <w:t>[</w:t>
            </w:r>
            <w:r w:rsidR="002040D5">
              <w:rPr>
                <w:rFonts w:cs="Arial"/>
                <w:szCs w:val="18"/>
                <w:lang w:val="en-GB"/>
              </w:rPr>
              <w:t>0%-16%]</w:t>
            </w:r>
          </w:p>
        </w:tc>
      </w:tr>
      <w:tr w:rsidR="00BD7CD3" w:rsidRPr="00B57B36" w14:paraId="7139A9F8" w14:textId="77777777" w:rsidTr="00BD7CD3">
        <w:trPr>
          <w:trHeight w:val="275"/>
          <w:tblHeader/>
        </w:trPr>
        <w:tc>
          <w:tcPr>
            <w:tcW w:w="2076" w:type="dxa"/>
            <w:shd w:val="clear" w:color="auto" w:fill="FFFFFF"/>
            <w:vAlign w:val="center"/>
          </w:tcPr>
          <w:p w14:paraId="7719F574" w14:textId="77777777" w:rsidR="00BD7CD3" w:rsidRDefault="00BD7CD3" w:rsidP="00BD7CD3">
            <w:pPr>
              <w:pStyle w:val="CETBodytext"/>
              <w:jc w:val="center"/>
              <w:rPr>
                <w:lang w:val="en-GB"/>
              </w:rPr>
            </w:pPr>
            <w:r>
              <w:rPr>
                <w:lang w:val="en-GB"/>
              </w:rPr>
              <w:t>OSC exp</w:t>
            </w:r>
          </w:p>
        </w:tc>
        <w:tc>
          <w:tcPr>
            <w:tcW w:w="1185" w:type="dxa"/>
            <w:shd w:val="clear" w:color="auto" w:fill="FFFFFF"/>
            <w:vAlign w:val="center"/>
          </w:tcPr>
          <w:p w14:paraId="235CF132" w14:textId="77777777" w:rsidR="00BD7CD3" w:rsidRDefault="00F43EC1" w:rsidP="00BD7CD3">
            <w:pPr>
              <w:pStyle w:val="CETBodytext"/>
              <w:ind w:right="-1"/>
              <w:jc w:val="center"/>
              <w:rPr>
                <w:rFonts w:cs="Arial"/>
                <w:szCs w:val="18"/>
                <w:lang w:val="en-GB"/>
              </w:rPr>
            </w:pPr>
            <w:r>
              <w:rPr>
                <w:rFonts w:cs="Arial"/>
                <w:szCs w:val="18"/>
                <w:lang w:val="en-GB"/>
              </w:rPr>
              <w:t>93%</w:t>
            </w:r>
          </w:p>
          <w:p w14:paraId="485E87A4" w14:textId="7A13FD56" w:rsidR="00F43EC1" w:rsidRPr="00B57B36" w:rsidRDefault="00F43EC1" w:rsidP="00BD7CD3">
            <w:pPr>
              <w:pStyle w:val="CETBodytext"/>
              <w:ind w:right="-1"/>
              <w:jc w:val="center"/>
              <w:rPr>
                <w:rFonts w:cs="Arial"/>
                <w:szCs w:val="18"/>
                <w:lang w:val="en-GB"/>
              </w:rPr>
            </w:pPr>
            <w:r>
              <w:rPr>
                <w:rFonts w:cs="Arial"/>
                <w:szCs w:val="18"/>
                <w:lang w:val="en-GB"/>
              </w:rPr>
              <w:t>[</w:t>
            </w:r>
            <w:r w:rsidR="004D5344">
              <w:rPr>
                <w:rFonts w:cs="Arial"/>
                <w:szCs w:val="18"/>
                <w:lang w:val="en-GB"/>
              </w:rPr>
              <w:t>90%-95%]</w:t>
            </w:r>
          </w:p>
        </w:tc>
        <w:tc>
          <w:tcPr>
            <w:tcW w:w="1988" w:type="dxa"/>
            <w:shd w:val="clear" w:color="auto" w:fill="FFFFFF"/>
            <w:vAlign w:val="center"/>
          </w:tcPr>
          <w:p w14:paraId="780639DE" w14:textId="77777777" w:rsidR="004D5344" w:rsidRDefault="004D5344" w:rsidP="004D5344">
            <w:pPr>
              <w:pStyle w:val="CETBodytext"/>
              <w:ind w:right="-1"/>
              <w:jc w:val="center"/>
              <w:rPr>
                <w:rFonts w:cs="Arial"/>
                <w:szCs w:val="18"/>
                <w:lang w:val="en-GB"/>
              </w:rPr>
            </w:pPr>
            <w:r>
              <w:rPr>
                <w:rFonts w:cs="Arial"/>
                <w:szCs w:val="18"/>
                <w:lang w:val="en-GB"/>
              </w:rPr>
              <w:t>100%</w:t>
            </w:r>
          </w:p>
          <w:p w14:paraId="280B2A7A" w14:textId="21E6EE17" w:rsidR="00BD7CD3" w:rsidRPr="00B57B36" w:rsidRDefault="004D5344" w:rsidP="004D5344">
            <w:pPr>
              <w:pStyle w:val="CETBodytext"/>
              <w:ind w:right="-1"/>
              <w:jc w:val="center"/>
              <w:rPr>
                <w:rFonts w:cs="Arial"/>
                <w:szCs w:val="18"/>
                <w:lang w:val="en-GB"/>
              </w:rPr>
            </w:pPr>
            <w:r>
              <w:rPr>
                <w:rFonts w:cs="Arial"/>
                <w:szCs w:val="18"/>
                <w:lang w:val="en-GB"/>
              </w:rPr>
              <w:t>[100%-100%]</w:t>
            </w:r>
          </w:p>
        </w:tc>
        <w:tc>
          <w:tcPr>
            <w:tcW w:w="1988" w:type="dxa"/>
            <w:shd w:val="clear" w:color="auto" w:fill="FFFFFF"/>
            <w:vAlign w:val="center"/>
          </w:tcPr>
          <w:p w14:paraId="2D8965AC" w14:textId="77777777" w:rsidR="00BD7CD3" w:rsidRDefault="004D5344" w:rsidP="00BD7CD3">
            <w:pPr>
              <w:pStyle w:val="CETBodytext"/>
              <w:ind w:right="-1"/>
              <w:jc w:val="center"/>
              <w:rPr>
                <w:rFonts w:cs="Arial"/>
                <w:szCs w:val="18"/>
                <w:lang w:val="en-GB"/>
              </w:rPr>
            </w:pPr>
            <w:r>
              <w:rPr>
                <w:rFonts w:cs="Arial"/>
                <w:szCs w:val="18"/>
                <w:lang w:val="en-GB"/>
              </w:rPr>
              <w:t>91%</w:t>
            </w:r>
          </w:p>
          <w:p w14:paraId="4F693F85" w14:textId="65517099" w:rsidR="004D5344" w:rsidRPr="00B57B36" w:rsidRDefault="004D5344" w:rsidP="00BD7CD3">
            <w:pPr>
              <w:pStyle w:val="CETBodytext"/>
              <w:ind w:right="-1"/>
              <w:jc w:val="center"/>
              <w:rPr>
                <w:rFonts w:cs="Arial"/>
                <w:szCs w:val="18"/>
                <w:lang w:val="en-GB"/>
              </w:rPr>
            </w:pPr>
            <w:r>
              <w:rPr>
                <w:rFonts w:cs="Arial"/>
                <w:szCs w:val="18"/>
                <w:lang w:val="en-GB"/>
              </w:rPr>
              <w:t>[80%-100%]</w:t>
            </w:r>
          </w:p>
        </w:tc>
        <w:tc>
          <w:tcPr>
            <w:tcW w:w="1988" w:type="dxa"/>
            <w:shd w:val="clear" w:color="auto" w:fill="FFFFFF"/>
            <w:vAlign w:val="center"/>
          </w:tcPr>
          <w:p w14:paraId="3CBF6BB4" w14:textId="77777777" w:rsidR="00BD7CD3" w:rsidRDefault="002F52FC" w:rsidP="00BD7CD3">
            <w:pPr>
              <w:pStyle w:val="CETBodytext"/>
              <w:ind w:right="-1"/>
              <w:jc w:val="center"/>
              <w:rPr>
                <w:rFonts w:cs="Arial"/>
                <w:szCs w:val="18"/>
                <w:lang w:val="en-GB"/>
              </w:rPr>
            </w:pPr>
            <w:r>
              <w:rPr>
                <w:rFonts w:cs="Arial"/>
                <w:szCs w:val="18"/>
                <w:lang w:val="en-GB"/>
              </w:rPr>
              <w:t>91%</w:t>
            </w:r>
          </w:p>
          <w:p w14:paraId="39EA6BE3" w14:textId="33C4628E" w:rsidR="002F52FC" w:rsidRPr="00B57B36" w:rsidRDefault="002F52FC" w:rsidP="00BD7CD3">
            <w:pPr>
              <w:pStyle w:val="CETBodytext"/>
              <w:ind w:right="-1"/>
              <w:jc w:val="center"/>
              <w:rPr>
                <w:rFonts w:cs="Arial"/>
                <w:szCs w:val="18"/>
                <w:lang w:val="en-GB"/>
              </w:rPr>
            </w:pPr>
            <w:r>
              <w:rPr>
                <w:rFonts w:cs="Arial"/>
                <w:szCs w:val="18"/>
                <w:lang w:val="en-GB"/>
              </w:rPr>
              <w:t>[84%-98%]</w:t>
            </w:r>
          </w:p>
        </w:tc>
      </w:tr>
      <w:tr w:rsidR="00BD7CD3" w:rsidRPr="00B57B36" w14:paraId="049409D0" w14:textId="77777777" w:rsidTr="00BD7CD3">
        <w:trPr>
          <w:trHeight w:val="275"/>
          <w:tblHeader/>
        </w:trPr>
        <w:tc>
          <w:tcPr>
            <w:tcW w:w="2076" w:type="dxa"/>
            <w:shd w:val="clear" w:color="auto" w:fill="FFFFFF"/>
            <w:vAlign w:val="center"/>
          </w:tcPr>
          <w:p w14:paraId="4C3A8C60" w14:textId="77777777" w:rsidR="00BD7CD3" w:rsidRDefault="00BD7CD3" w:rsidP="00BD7CD3">
            <w:pPr>
              <w:pStyle w:val="CETBodytext"/>
              <w:jc w:val="center"/>
              <w:rPr>
                <w:lang w:val="en-GB"/>
              </w:rPr>
            </w:pPr>
            <w:r>
              <w:rPr>
                <w:lang w:val="en-GB"/>
              </w:rPr>
              <w:t>OSC pow</w:t>
            </w:r>
          </w:p>
        </w:tc>
        <w:tc>
          <w:tcPr>
            <w:tcW w:w="1185" w:type="dxa"/>
            <w:shd w:val="clear" w:color="auto" w:fill="FFFFFF"/>
            <w:vAlign w:val="center"/>
          </w:tcPr>
          <w:p w14:paraId="43CCC65D" w14:textId="77777777" w:rsidR="00BD7CD3" w:rsidRDefault="006C71B8" w:rsidP="00BD7CD3">
            <w:pPr>
              <w:pStyle w:val="CETBodytext"/>
              <w:ind w:right="-1"/>
              <w:jc w:val="center"/>
              <w:rPr>
                <w:rFonts w:cs="Arial"/>
                <w:szCs w:val="18"/>
                <w:lang w:val="en-GB"/>
              </w:rPr>
            </w:pPr>
            <w:r>
              <w:rPr>
                <w:rFonts w:cs="Arial"/>
                <w:szCs w:val="18"/>
                <w:lang w:val="en-GB"/>
              </w:rPr>
              <w:t>89%</w:t>
            </w:r>
          </w:p>
          <w:p w14:paraId="095FE7D1" w14:textId="76188EA7" w:rsidR="006C71B8" w:rsidRPr="00B57B36" w:rsidRDefault="006C71B8" w:rsidP="00BD7CD3">
            <w:pPr>
              <w:pStyle w:val="CETBodytext"/>
              <w:ind w:right="-1"/>
              <w:jc w:val="center"/>
              <w:rPr>
                <w:rFonts w:cs="Arial"/>
                <w:szCs w:val="18"/>
                <w:lang w:val="en-GB"/>
              </w:rPr>
            </w:pPr>
            <w:r>
              <w:rPr>
                <w:rFonts w:cs="Arial"/>
                <w:szCs w:val="18"/>
                <w:lang w:val="en-GB"/>
              </w:rPr>
              <w:t>[85%-92%]</w:t>
            </w:r>
          </w:p>
        </w:tc>
        <w:tc>
          <w:tcPr>
            <w:tcW w:w="1988" w:type="dxa"/>
            <w:shd w:val="clear" w:color="auto" w:fill="FFFFFF"/>
            <w:vAlign w:val="center"/>
          </w:tcPr>
          <w:p w14:paraId="29023D83" w14:textId="77777777" w:rsidR="009B7834" w:rsidRDefault="009B7834" w:rsidP="009B7834">
            <w:pPr>
              <w:pStyle w:val="CETBodytext"/>
              <w:ind w:right="-1"/>
              <w:jc w:val="center"/>
              <w:rPr>
                <w:rFonts w:cs="Arial"/>
                <w:szCs w:val="18"/>
                <w:lang w:val="en-GB"/>
              </w:rPr>
            </w:pPr>
            <w:r>
              <w:rPr>
                <w:rFonts w:cs="Arial"/>
                <w:szCs w:val="18"/>
                <w:lang w:val="en-GB"/>
              </w:rPr>
              <w:t>100%</w:t>
            </w:r>
          </w:p>
          <w:p w14:paraId="21410AB9" w14:textId="55FE99B7" w:rsidR="00BD7CD3" w:rsidRPr="00B57B36" w:rsidRDefault="009B7834" w:rsidP="009B7834">
            <w:pPr>
              <w:pStyle w:val="CETBodytext"/>
              <w:ind w:right="-1"/>
              <w:jc w:val="center"/>
              <w:rPr>
                <w:rFonts w:cs="Arial"/>
                <w:szCs w:val="18"/>
                <w:lang w:val="en-GB"/>
              </w:rPr>
            </w:pPr>
            <w:r>
              <w:rPr>
                <w:rFonts w:cs="Arial"/>
                <w:szCs w:val="18"/>
                <w:lang w:val="en-GB"/>
              </w:rPr>
              <w:t>[100%-100%]</w:t>
            </w:r>
          </w:p>
        </w:tc>
        <w:tc>
          <w:tcPr>
            <w:tcW w:w="1988" w:type="dxa"/>
            <w:shd w:val="clear" w:color="auto" w:fill="FFFFFF"/>
            <w:vAlign w:val="center"/>
          </w:tcPr>
          <w:p w14:paraId="2120EFD2" w14:textId="77777777" w:rsidR="00BD7CD3" w:rsidRDefault="006C71B8" w:rsidP="00BD7CD3">
            <w:pPr>
              <w:pStyle w:val="CETBodytext"/>
              <w:ind w:right="-1"/>
              <w:jc w:val="center"/>
              <w:rPr>
                <w:rFonts w:cs="Arial"/>
                <w:szCs w:val="18"/>
                <w:lang w:val="en-GB"/>
              </w:rPr>
            </w:pPr>
            <w:r>
              <w:rPr>
                <w:rFonts w:cs="Arial"/>
                <w:szCs w:val="18"/>
                <w:lang w:val="en-GB"/>
              </w:rPr>
              <w:t>82%</w:t>
            </w:r>
          </w:p>
          <w:p w14:paraId="57450FE1" w14:textId="2C93D5A2" w:rsidR="006C71B8" w:rsidRPr="00B57B36" w:rsidRDefault="006C71B8" w:rsidP="00BD7CD3">
            <w:pPr>
              <w:pStyle w:val="CETBodytext"/>
              <w:ind w:right="-1"/>
              <w:jc w:val="center"/>
              <w:rPr>
                <w:rFonts w:cs="Arial"/>
                <w:szCs w:val="18"/>
                <w:lang w:val="en-GB"/>
              </w:rPr>
            </w:pPr>
            <w:r>
              <w:rPr>
                <w:rFonts w:cs="Arial"/>
                <w:szCs w:val="18"/>
                <w:lang w:val="en-GB"/>
              </w:rPr>
              <w:t>[71%-92%]</w:t>
            </w:r>
          </w:p>
        </w:tc>
        <w:tc>
          <w:tcPr>
            <w:tcW w:w="1988" w:type="dxa"/>
            <w:shd w:val="clear" w:color="auto" w:fill="FFFFFF"/>
            <w:vAlign w:val="center"/>
          </w:tcPr>
          <w:p w14:paraId="1C6EC193" w14:textId="77777777" w:rsidR="00BD7CD3" w:rsidRDefault="0015213C" w:rsidP="00BD7CD3">
            <w:pPr>
              <w:pStyle w:val="CETBodytext"/>
              <w:ind w:right="-1"/>
              <w:jc w:val="center"/>
              <w:rPr>
                <w:rFonts w:cs="Arial"/>
                <w:szCs w:val="18"/>
                <w:lang w:val="en-GB"/>
              </w:rPr>
            </w:pPr>
            <w:r>
              <w:rPr>
                <w:rFonts w:cs="Arial"/>
                <w:szCs w:val="18"/>
                <w:lang w:val="en-GB"/>
              </w:rPr>
              <w:t>89%</w:t>
            </w:r>
          </w:p>
          <w:p w14:paraId="7D280D52" w14:textId="363A8BBB" w:rsidR="0015213C" w:rsidRPr="00B57B36" w:rsidRDefault="0015213C" w:rsidP="00BD7CD3">
            <w:pPr>
              <w:pStyle w:val="CETBodytext"/>
              <w:ind w:right="-1"/>
              <w:jc w:val="center"/>
              <w:rPr>
                <w:rFonts w:cs="Arial"/>
                <w:szCs w:val="18"/>
                <w:lang w:val="en-GB"/>
              </w:rPr>
            </w:pPr>
            <w:r>
              <w:rPr>
                <w:rFonts w:cs="Arial"/>
                <w:szCs w:val="18"/>
                <w:lang w:val="en-GB"/>
              </w:rPr>
              <w:t>[81%-97%]</w:t>
            </w:r>
          </w:p>
        </w:tc>
      </w:tr>
      <w:tr w:rsidR="00BD7CD3" w:rsidRPr="00B57B36" w14:paraId="776F10CB" w14:textId="77777777" w:rsidTr="00BD7CD3">
        <w:trPr>
          <w:trHeight w:val="275"/>
          <w:tblHeader/>
        </w:trPr>
        <w:tc>
          <w:tcPr>
            <w:tcW w:w="2076" w:type="dxa"/>
            <w:shd w:val="clear" w:color="auto" w:fill="FFFFFF"/>
            <w:vAlign w:val="center"/>
          </w:tcPr>
          <w:p w14:paraId="3E493054" w14:textId="77777777" w:rsidR="00BD7CD3" w:rsidRDefault="00BD7CD3" w:rsidP="00BD7CD3">
            <w:pPr>
              <w:pStyle w:val="CETBodytext"/>
              <w:jc w:val="center"/>
              <w:rPr>
                <w:lang w:val="en-GB"/>
              </w:rPr>
            </w:pPr>
            <w:r>
              <w:rPr>
                <w:lang w:val="en-GB"/>
              </w:rPr>
              <w:t>Slid exp</w:t>
            </w:r>
          </w:p>
        </w:tc>
        <w:tc>
          <w:tcPr>
            <w:tcW w:w="1185" w:type="dxa"/>
            <w:shd w:val="clear" w:color="auto" w:fill="FFFFFF"/>
            <w:vAlign w:val="center"/>
          </w:tcPr>
          <w:p w14:paraId="565AF324" w14:textId="77777777" w:rsidR="00BD7CD3" w:rsidRDefault="00762BF9" w:rsidP="00BD7CD3">
            <w:pPr>
              <w:pStyle w:val="CETBodytext"/>
              <w:ind w:right="-1"/>
              <w:jc w:val="center"/>
              <w:rPr>
                <w:rFonts w:cs="Arial"/>
                <w:szCs w:val="18"/>
                <w:lang w:val="en-GB"/>
              </w:rPr>
            </w:pPr>
            <w:r>
              <w:rPr>
                <w:rFonts w:cs="Arial"/>
                <w:szCs w:val="18"/>
                <w:lang w:val="en-GB"/>
              </w:rPr>
              <w:t>91%</w:t>
            </w:r>
          </w:p>
          <w:p w14:paraId="54E43EF9" w14:textId="53FD66CD" w:rsidR="00762BF9" w:rsidRPr="00B57B36" w:rsidRDefault="00762BF9" w:rsidP="00BD7CD3">
            <w:pPr>
              <w:pStyle w:val="CETBodytext"/>
              <w:ind w:right="-1"/>
              <w:jc w:val="center"/>
              <w:rPr>
                <w:rFonts w:cs="Arial"/>
                <w:szCs w:val="18"/>
                <w:lang w:val="en-GB"/>
              </w:rPr>
            </w:pPr>
            <w:r>
              <w:rPr>
                <w:rFonts w:cs="Arial"/>
                <w:szCs w:val="18"/>
                <w:lang w:val="en-GB"/>
              </w:rPr>
              <w:t>[91%-91%]</w:t>
            </w:r>
          </w:p>
        </w:tc>
        <w:tc>
          <w:tcPr>
            <w:tcW w:w="1988" w:type="dxa"/>
            <w:shd w:val="clear" w:color="auto" w:fill="FFFFFF"/>
            <w:vAlign w:val="center"/>
          </w:tcPr>
          <w:p w14:paraId="6516987F" w14:textId="77777777" w:rsidR="00762BF9" w:rsidRDefault="00762BF9" w:rsidP="00762BF9">
            <w:pPr>
              <w:pStyle w:val="CETBodytext"/>
              <w:ind w:right="-1"/>
              <w:jc w:val="center"/>
              <w:rPr>
                <w:rFonts w:cs="Arial"/>
                <w:szCs w:val="18"/>
                <w:lang w:val="en-GB"/>
              </w:rPr>
            </w:pPr>
            <w:r>
              <w:rPr>
                <w:rFonts w:cs="Arial"/>
                <w:szCs w:val="18"/>
                <w:lang w:val="en-GB"/>
              </w:rPr>
              <w:t>100%</w:t>
            </w:r>
          </w:p>
          <w:p w14:paraId="2B0C4F10" w14:textId="2EE53FD1" w:rsidR="00BD7CD3" w:rsidRPr="00B57B36" w:rsidRDefault="00762BF9" w:rsidP="00762BF9">
            <w:pPr>
              <w:pStyle w:val="CETBodytext"/>
              <w:ind w:right="-1"/>
              <w:jc w:val="center"/>
              <w:rPr>
                <w:rFonts w:cs="Arial"/>
                <w:szCs w:val="18"/>
                <w:lang w:val="en-GB"/>
              </w:rPr>
            </w:pPr>
            <w:r>
              <w:rPr>
                <w:rFonts w:cs="Arial"/>
                <w:szCs w:val="18"/>
                <w:lang w:val="en-GB"/>
              </w:rPr>
              <w:t>[100%-100%]</w:t>
            </w:r>
          </w:p>
        </w:tc>
        <w:tc>
          <w:tcPr>
            <w:tcW w:w="1988" w:type="dxa"/>
            <w:shd w:val="clear" w:color="auto" w:fill="FFFFFF"/>
            <w:vAlign w:val="center"/>
          </w:tcPr>
          <w:p w14:paraId="146E311F" w14:textId="77777777" w:rsidR="00BD7CD3" w:rsidRDefault="00762BF9" w:rsidP="00BD7CD3">
            <w:pPr>
              <w:pStyle w:val="CETBodytext"/>
              <w:ind w:right="-1"/>
              <w:jc w:val="center"/>
              <w:rPr>
                <w:rFonts w:cs="Arial"/>
                <w:szCs w:val="18"/>
                <w:lang w:val="en-GB"/>
              </w:rPr>
            </w:pPr>
            <w:r>
              <w:rPr>
                <w:rFonts w:cs="Arial"/>
                <w:szCs w:val="18"/>
                <w:lang w:val="en-GB"/>
              </w:rPr>
              <w:t>91%</w:t>
            </w:r>
          </w:p>
          <w:p w14:paraId="1241DDAD" w14:textId="05A49A22" w:rsidR="00762BF9" w:rsidRPr="00B57B36" w:rsidRDefault="00762BF9" w:rsidP="00BD7CD3">
            <w:pPr>
              <w:pStyle w:val="CETBodytext"/>
              <w:ind w:right="-1"/>
              <w:jc w:val="center"/>
              <w:rPr>
                <w:rFonts w:cs="Arial"/>
                <w:szCs w:val="18"/>
                <w:lang w:val="en-GB"/>
              </w:rPr>
            </w:pPr>
            <w:r>
              <w:rPr>
                <w:rFonts w:cs="Arial"/>
                <w:szCs w:val="18"/>
                <w:lang w:val="en-GB"/>
              </w:rPr>
              <w:t>[91%-91%]</w:t>
            </w:r>
          </w:p>
        </w:tc>
        <w:tc>
          <w:tcPr>
            <w:tcW w:w="1988" w:type="dxa"/>
            <w:shd w:val="clear" w:color="auto" w:fill="FFFFFF"/>
            <w:vAlign w:val="center"/>
          </w:tcPr>
          <w:p w14:paraId="70E4C677" w14:textId="77777777" w:rsidR="00BD7CD3" w:rsidRDefault="00762BF9" w:rsidP="00BD7CD3">
            <w:pPr>
              <w:pStyle w:val="CETBodytext"/>
              <w:ind w:right="-1"/>
              <w:jc w:val="center"/>
              <w:rPr>
                <w:rFonts w:cs="Arial"/>
                <w:szCs w:val="18"/>
                <w:lang w:val="en-GB"/>
              </w:rPr>
            </w:pPr>
            <w:r>
              <w:rPr>
                <w:rFonts w:cs="Arial"/>
                <w:szCs w:val="18"/>
                <w:lang w:val="en-GB"/>
              </w:rPr>
              <w:t>89%</w:t>
            </w:r>
          </w:p>
          <w:p w14:paraId="18CFD019" w14:textId="22A0065C" w:rsidR="00762BF9" w:rsidRPr="00B57B36" w:rsidRDefault="00762BF9" w:rsidP="00BD7CD3">
            <w:pPr>
              <w:pStyle w:val="CETBodytext"/>
              <w:ind w:right="-1"/>
              <w:jc w:val="center"/>
              <w:rPr>
                <w:rFonts w:cs="Arial"/>
                <w:szCs w:val="18"/>
                <w:lang w:val="en-GB"/>
              </w:rPr>
            </w:pPr>
            <w:r>
              <w:rPr>
                <w:rFonts w:cs="Arial"/>
                <w:szCs w:val="18"/>
                <w:lang w:val="en-GB"/>
              </w:rPr>
              <w:t>[89%-89%]</w:t>
            </w:r>
          </w:p>
        </w:tc>
      </w:tr>
      <w:tr w:rsidR="00BD7CD3" w:rsidRPr="00B57B36" w14:paraId="27D886FF" w14:textId="77777777" w:rsidTr="00BD7CD3">
        <w:trPr>
          <w:trHeight w:val="261"/>
          <w:tblHeader/>
        </w:trPr>
        <w:tc>
          <w:tcPr>
            <w:tcW w:w="2076" w:type="dxa"/>
            <w:shd w:val="clear" w:color="auto" w:fill="FFFFFF"/>
            <w:vAlign w:val="center"/>
          </w:tcPr>
          <w:p w14:paraId="7AE4210C" w14:textId="77777777" w:rsidR="00BD7CD3" w:rsidRPr="00B57B36" w:rsidRDefault="00BD7CD3" w:rsidP="00BD7CD3">
            <w:pPr>
              <w:pStyle w:val="CETBodytext"/>
              <w:ind w:right="-1"/>
              <w:jc w:val="center"/>
              <w:rPr>
                <w:rFonts w:cs="Arial"/>
                <w:szCs w:val="18"/>
                <w:lang w:val="en-GB"/>
              </w:rPr>
            </w:pPr>
            <w:r>
              <w:rPr>
                <w:rFonts w:cs="Arial"/>
                <w:szCs w:val="18"/>
                <w:lang w:val="en-GB"/>
              </w:rPr>
              <w:t>Slid pow</w:t>
            </w:r>
          </w:p>
        </w:tc>
        <w:tc>
          <w:tcPr>
            <w:tcW w:w="1185" w:type="dxa"/>
            <w:shd w:val="clear" w:color="auto" w:fill="FFFFFF"/>
            <w:vAlign w:val="center"/>
          </w:tcPr>
          <w:p w14:paraId="086FD58B" w14:textId="77777777" w:rsidR="00BD7CD3" w:rsidRDefault="003041A1" w:rsidP="00BD7CD3">
            <w:pPr>
              <w:pStyle w:val="CETBodytext"/>
              <w:ind w:right="-1"/>
              <w:jc w:val="center"/>
              <w:rPr>
                <w:rFonts w:cs="Arial"/>
                <w:szCs w:val="18"/>
                <w:lang w:val="en-GB"/>
              </w:rPr>
            </w:pPr>
            <w:r>
              <w:rPr>
                <w:rFonts w:cs="Arial"/>
                <w:szCs w:val="18"/>
                <w:lang w:val="en-GB"/>
              </w:rPr>
              <w:t>88%</w:t>
            </w:r>
          </w:p>
          <w:p w14:paraId="28B52974" w14:textId="0DCD6542" w:rsidR="003041A1" w:rsidRPr="00B57B36" w:rsidRDefault="003041A1" w:rsidP="00BD7CD3">
            <w:pPr>
              <w:pStyle w:val="CETBodytext"/>
              <w:ind w:right="-1"/>
              <w:jc w:val="center"/>
              <w:rPr>
                <w:rFonts w:cs="Arial"/>
                <w:szCs w:val="18"/>
                <w:lang w:val="en-GB"/>
              </w:rPr>
            </w:pPr>
            <w:r>
              <w:rPr>
                <w:rFonts w:cs="Arial"/>
                <w:szCs w:val="18"/>
                <w:lang w:val="en-GB"/>
              </w:rPr>
              <w:t>[87%-89%]</w:t>
            </w:r>
          </w:p>
        </w:tc>
        <w:tc>
          <w:tcPr>
            <w:tcW w:w="1988" w:type="dxa"/>
            <w:shd w:val="clear" w:color="auto" w:fill="FFFFFF"/>
            <w:vAlign w:val="center"/>
          </w:tcPr>
          <w:p w14:paraId="7DE9BFD7" w14:textId="77777777" w:rsidR="00541551" w:rsidRDefault="00541551" w:rsidP="00541551">
            <w:pPr>
              <w:pStyle w:val="CETBodytext"/>
              <w:ind w:right="-1"/>
              <w:jc w:val="center"/>
              <w:rPr>
                <w:rFonts w:cs="Arial"/>
                <w:szCs w:val="18"/>
                <w:lang w:val="en-GB"/>
              </w:rPr>
            </w:pPr>
            <w:r>
              <w:rPr>
                <w:rFonts w:cs="Arial"/>
                <w:szCs w:val="18"/>
                <w:lang w:val="en-GB"/>
              </w:rPr>
              <w:t>100%</w:t>
            </w:r>
          </w:p>
          <w:p w14:paraId="718D95E5" w14:textId="0B719FBB" w:rsidR="00BD7CD3" w:rsidRPr="00B57B36" w:rsidRDefault="00541551" w:rsidP="00541551">
            <w:pPr>
              <w:pStyle w:val="CETBodytext"/>
              <w:ind w:right="-1"/>
              <w:jc w:val="center"/>
              <w:rPr>
                <w:rFonts w:cs="Arial"/>
                <w:szCs w:val="18"/>
                <w:lang w:val="en-GB"/>
              </w:rPr>
            </w:pPr>
            <w:r>
              <w:rPr>
                <w:rFonts w:cs="Arial"/>
                <w:szCs w:val="18"/>
                <w:lang w:val="en-GB"/>
              </w:rPr>
              <w:t>[100%-100%]</w:t>
            </w:r>
          </w:p>
        </w:tc>
        <w:tc>
          <w:tcPr>
            <w:tcW w:w="1988" w:type="dxa"/>
            <w:shd w:val="clear" w:color="auto" w:fill="FFFFFF"/>
            <w:vAlign w:val="center"/>
          </w:tcPr>
          <w:p w14:paraId="1894E7D4" w14:textId="77777777" w:rsidR="00BD7CD3" w:rsidRDefault="003041A1" w:rsidP="00BD7CD3">
            <w:pPr>
              <w:pStyle w:val="CETBodytext"/>
              <w:ind w:right="-1"/>
              <w:jc w:val="center"/>
              <w:rPr>
                <w:rFonts w:cs="Arial"/>
                <w:szCs w:val="18"/>
                <w:lang w:val="en-GB"/>
              </w:rPr>
            </w:pPr>
            <w:r>
              <w:rPr>
                <w:rFonts w:cs="Arial"/>
                <w:szCs w:val="18"/>
                <w:lang w:val="en-GB"/>
              </w:rPr>
              <w:t>97%</w:t>
            </w:r>
          </w:p>
          <w:p w14:paraId="5FBC613C" w14:textId="6AD0833B" w:rsidR="003041A1" w:rsidRPr="00B57B36" w:rsidRDefault="003041A1" w:rsidP="00BD7CD3">
            <w:pPr>
              <w:pStyle w:val="CETBodytext"/>
              <w:ind w:right="-1"/>
              <w:jc w:val="center"/>
              <w:rPr>
                <w:rFonts w:cs="Arial"/>
                <w:szCs w:val="18"/>
                <w:lang w:val="en-GB"/>
              </w:rPr>
            </w:pPr>
            <w:r>
              <w:rPr>
                <w:rFonts w:cs="Arial"/>
                <w:szCs w:val="18"/>
                <w:lang w:val="en-GB"/>
              </w:rPr>
              <w:t>[93%-100%]</w:t>
            </w:r>
          </w:p>
        </w:tc>
        <w:tc>
          <w:tcPr>
            <w:tcW w:w="1988" w:type="dxa"/>
            <w:shd w:val="clear" w:color="auto" w:fill="FFFFFF"/>
            <w:vAlign w:val="center"/>
          </w:tcPr>
          <w:p w14:paraId="331444B6" w14:textId="77777777" w:rsidR="00BD7CD3" w:rsidRDefault="009E1DB5" w:rsidP="00BD7CD3">
            <w:pPr>
              <w:pStyle w:val="CETBodytext"/>
              <w:ind w:right="-1"/>
              <w:jc w:val="center"/>
              <w:rPr>
                <w:rFonts w:cs="Arial"/>
                <w:szCs w:val="18"/>
                <w:lang w:val="en-GB"/>
              </w:rPr>
            </w:pPr>
            <w:r>
              <w:rPr>
                <w:rFonts w:cs="Arial"/>
                <w:szCs w:val="18"/>
                <w:lang w:val="en-GB"/>
              </w:rPr>
              <w:t>80%</w:t>
            </w:r>
          </w:p>
          <w:p w14:paraId="1CD4B961" w14:textId="2CE71C58" w:rsidR="009E1DB5" w:rsidRPr="00B57B36" w:rsidRDefault="009E1DB5" w:rsidP="00BD7CD3">
            <w:pPr>
              <w:pStyle w:val="CETBodytext"/>
              <w:ind w:right="-1"/>
              <w:jc w:val="center"/>
              <w:rPr>
                <w:rFonts w:cs="Arial"/>
                <w:szCs w:val="18"/>
                <w:lang w:val="en-GB"/>
              </w:rPr>
            </w:pPr>
            <w:r>
              <w:rPr>
                <w:rFonts w:cs="Arial"/>
                <w:szCs w:val="18"/>
                <w:lang w:val="en-GB"/>
              </w:rPr>
              <w:t>[80%-80%]</w:t>
            </w:r>
          </w:p>
        </w:tc>
      </w:tr>
    </w:tbl>
    <w:p w14:paraId="55D3D3EE" w14:textId="386DA01E" w:rsidR="000D77C5" w:rsidRDefault="000D77C5" w:rsidP="000D77C5">
      <w:pPr>
        <w:pStyle w:val="CETheadingx"/>
      </w:pPr>
      <w:r>
        <w:t>IOMS regression models</w:t>
      </w:r>
    </w:p>
    <w:p w14:paraId="2DBD279D" w14:textId="77777777" w:rsidR="00DC6D60" w:rsidRDefault="00A7530A" w:rsidP="00CB03DE">
      <w:pPr>
        <w:pStyle w:val="CETBodytext"/>
      </w:pPr>
      <w:r>
        <w:t xml:space="preserve">The </w:t>
      </w:r>
      <w:r w:rsidR="00DC6D60">
        <w:t xml:space="preserve">IOMS was also tested to evaluate its ability to correctly estimate the odour concentration of the </w:t>
      </w:r>
      <w:proofErr w:type="spellStart"/>
      <w:r w:rsidR="00DC6D60">
        <w:t>analysed</w:t>
      </w:r>
      <w:proofErr w:type="spellEnd"/>
      <w:r w:rsidR="00DC6D60">
        <w:t xml:space="preserve"> samples, compared with the reference method, dynamic olfactometry (EN 13725:2022). The comparison was carried out for each model using Bland–Altman analysis.</w:t>
      </w:r>
    </w:p>
    <w:p w14:paraId="583812E1" w14:textId="77777777" w:rsidR="00F86D57" w:rsidRDefault="00437319" w:rsidP="00F86D57">
      <w:pPr>
        <w:pStyle w:val="CETBodytext"/>
      </w:pPr>
      <w:r>
        <w:t xml:space="preserve">For </w:t>
      </w:r>
      <w:r w:rsidR="00DC6D60">
        <w:t>all models with pre-treatment, the Shapiro–Wilk test was performed, resulting in p-values higher than 0.05, indicating that the hypothesis of normality of the differences cannot be rejected and that Bland–Altman analysis can be applied. For the no pre-treatment approach, this criterion was not met; therefore, it was not possible to perform Bland–Altman analysis.</w:t>
      </w:r>
      <w:r w:rsidR="00BE007A">
        <w:t xml:space="preserve"> As shown in </w:t>
      </w:r>
      <w:r w:rsidR="00822745">
        <w:fldChar w:fldCharType="begin"/>
      </w:r>
      <w:r w:rsidR="00822745">
        <w:instrText xml:space="preserve"> REF _Ref227250615 \h </w:instrText>
      </w:r>
      <w:r w:rsidR="00822745">
        <w:fldChar w:fldCharType="separate"/>
      </w:r>
      <w:r w:rsidR="00822745">
        <w:t xml:space="preserve">Figure </w:t>
      </w:r>
      <w:r w:rsidR="00822745">
        <w:rPr>
          <w:noProof/>
        </w:rPr>
        <w:t>1</w:t>
      </w:r>
      <w:r w:rsidR="00822745">
        <w:fldChar w:fldCharType="end"/>
      </w:r>
      <w:r w:rsidR="00BE007A">
        <w:t xml:space="preserve">, </w:t>
      </w:r>
      <w:r w:rsidR="00F86D57">
        <w:t>the regression model without pre-treatment is not capable of correctly estimating odour concentration, instead producing a nearly constant predicted value (as indicated by the vertical line). As observed for the classification task, the regression models developed for the IOMS are also affected by sensor drift, leading to poor estimation of odour concentration.</w:t>
      </w:r>
    </w:p>
    <w:p w14:paraId="60C572F9" w14:textId="0E8D27AF" w:rsidR="00967C90" w:rsidRDefault="002F63DF" w:rsidP="00F86D57">
      <w:pPr>
        <w:pStyle w:val="CETBodytext"/>
      </w:pPr>
      <w:r>
        <w:rPr>
          <w:noProof/>
        </w:rPr>
        <w:drawing>
          <wp:inline distT="0" distB="0" distL="0" distR="0" wp14:anchorId="2499B82D" wp14:editId="5E89C644">
            <wp:extent cx="3054350" cy="1832541"/>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1"/>
                    <a:stretch>
                      <a:fillRect/>
                    </a:stretch>
                  </pic:blipFill>
                  <pic:spPr>
                    <a:xfrm>
                      <a:off x="0" y="0"/>
                      <a:ext cx="3068196" cy="1840849"/>
                    </a:xfrm>
                    <a:prstGeom prst="rect">
                      <a:avLst/>
                    </a:prstGeom>
                  </pic:spPr>
                </pic:pic>
              </a:graphicData>
            </a:graphic>
          </wp:inline>
        </w:drawing>
      </w:r>
    </w:p>
    <w:p w14:paraId="319A9840" w14:textId="7B19B461" w:rsidR="00F647F7" w:rsidRDefault="00967C90" w:rsidP="00967C90">
      <w:pPr>
        <w:pStyle w:val="CETCaption"/>
      </w:pPr>
      <w:bookmarkStart w:id="5" w:name="_Ref227250615"/>
      <w:r>
        <w:t xml:space="preserve">Figure </w:t>
      </w:r>
      <w:r>
        <w:fldChar w:fldCharType="begin"/>
      </w:r>
      <w:r>
        <w:instrText xml:space="preserve"> SEQ Figure \* ARABIC </w:instrText>
      </w:r>
      <w:r>
        <w:fldChar w:fldCharType="separate"/>
      </w:r>
      <w:r>
        <w:rPr>
          <w:noProof/>
        </w:rPr>
        <w:t>1</w:t>
      </w:r>
      <w:r>
        <w:fldChar w:fldCharType="end"/>
      </w:r>
      <w:bookmarkEnd w:id="5"/>
      <w:r>
        <w:t>:</w:t>
      </w:r>
      <w:r w:rsidR="00822745">
        <w:t xml:space="preserve"> </w:t>
      </w:r>
      <w:r w:rsidR="00DA31DB">
        <w:t xml:space="preserve">Representation of </w:t>
      </w:r>
      <w:r w:rsidR="008E6721">
        <w:t xml:space="preserve">IOMS estimated odour concentration, on x-axis, and odour concentration estimated with dynamic olfactometry, on y-axis. </w:t>
      </w:r>
      <w:r w:rsidR="00C71B9A">
        <w:t xml:space="preserve">Green points </w:t>
      </w:r>
      <w:r w:rsidR="00480453">
        <w:t>represent</w:t>
      </w:r>
      <w:r w:rsidR="00C71B9A">
        <w:t xml:space="preserve"> values within </w:t>
      </w:r>
      <w:r w:rsidR="00BD5593">
        <w:t xml:space="preserve">dynamic olfactometry confidence interval </w:t>
      </w:r>
      <w:r w:rsidR="00D414A9">
        <w:t xml:space="preserve">(i.e., dashed lines) while the red points </w:t>
      </w:r>
      <w:r w:rsidR="00480453">
        <w:t>represent</w:t>
      </w:r>
      <w:r w:rsidR="00D414A9">
        <w:t xml:space="preserve"> the values outside</w:t>
      </w:r>
      <w:r w:rsidR="00480453">
        <w:t>.</w:t>
      </w:r>
    </w:p>
    <w:p w14:paraId="206C1A85" w14:textId="797FE225" w:rsidR="003A3926" w:rsidRDefault="00B2735C" w:rsidP="00CB03DE">
      <w:pPr>
        <w:pStyle w:val="CETBodytext"/>
      </w:pPr>
      <w:r>
        <w:t xml:space="preserve">The </w:t>
      </w:r>
      <w:r w:rsidR="00B10C77">
        <w:t xml:space="preserve">application of Bland–Altman analysis provides information on the bias, defined as the mean of the differences between the logarithms of the odour concentrations estimated by dynamic olfactometry and by the IOMS, as well as the upper and lower </w:t>
      </w:r>
      <w:proofErr w:type="spellStart"/>
      <w:r w:rsidR="00B10C77">
        <w:t>LoA</w:t>
      </w:r>
      <w:proofErr w:type="spellEnd"/>
      <w:r w:rsidR="00E7057E">
        <w:t xml:space="preserve">, as explained in section </w:t>
      </w:r>
      <w:r w:rsidR="00E7057E">
        <w:fldChar w:fldCharType="begin"/>
      </w:r>
      <w:r w:rsidR="00E7057E">
        <w:instrText xml:space="preserve"> REF _Ref229381181 \r \h </w:instrText>
      </w:r>
      <w:r w:rsidR="00E7057E">
        <w:fldChar w:fldCharType="separate"/>
      </w:r>
      <w:r w:rsidR="00E7057E">
        <w:t>2.5</w:t>
      </w:r>
      <w:r w:rsidR="00E7057E">
        <w:fldChar w:fldCharType="end"/>
      </w:r>
      <w:r w:rsidR="00B10C77">
        <w:t xml:space="preserve">. </w:t>
      </w:r>
      <w:r w:rsidR="00C82950">
        <w:t xml:space="preserve">These </w:t>
      </w:r>
      <w:r w:rsidR="00DA5AEE">
        <w:t xml:space="preserve">parameters already provide a useful indication of the models’ ability to estimate odour concentration; however, it is more informative to evaluate quantification performance using the same criteria for accuracy and intermediate precision defined in EN 13725:2022 for dynamic olfactometry. According to the standard, the accuracy criterion is satisfied if the logarithm of the bias is less than 0.217 </w:t>
      </w:r>
      <w:r w:rsidR="00E003C6">
        <w:t>(Eq. (</w:t>
      </w:r>
      <w:r w:rsidR="00A06E46">
        <w:t>6</w:t>
      </w:r>
      <w:r w:rsidR="00E003C6">
        <w:t xml:space="preserve">)), </w:t>
      </w:r>
      <w:r w:rsidR="00DA5AEE">
        <w:t>while for the intermediate precision criterion, the standard deviation of the observations (i.e., the differences between odour concentrations estimated by dynamic olfactometry and by the IOMS), in non-logarithmic form, multiplied by 1.96, should be lower than 3</w:t>
      </w:r>
      <w:r w:rsidR="006F6491">
        <w:t xml:space="preserve"> (eq. (</w:t>
      </w:r>
      <w:r w:rsidR="00A06E46">
        <w:t>7</w:t>
      </w:r>
      <w:r w:rsidR="006F6491">
        <w:t>))</w:t>
      </w:r>
      <w:r w:rsidR="003A3926">
        <w:t xml:space="preserve">. </w:t>
      </w:r>
    </w:p>
    <w:tbl>
      <w:tblPr>
        <w:tblW w:w="5000" w:type="pct"/>
        <w:tblLook w:val="04A0" w:firstRow="1" w:lastRow="0" w:firstColumn="1" w:lastColumn="0" w:noHBand="0" w:noVBand="1"/>
      </w:tblPr>
      <w:tblGrid>
        <w:gridCol w:w="7983"/>
        <w:gridCol w:w="804"/>
      </w:tblGrid>
      <w:tr w:rsidR="003A3926" w:rsidRPr="00B57B36" w14:paraId="416D726C" w14:textId="77777777" w:rsidTr="00541D3C">
        <w:tc>
          <w:tcPr>
            <w:tcW w:w="7983" w:type="dxa"/>
            <w:vAlign w:val="center"/>
          </w:tcPr>
          <w:p w14:paraId="2FD288C7" w14:textId="28C8E147" w:rsidR="003A3926" w:rsidRPr="00B57B36" w:rsidRDefault="00F32617" w:rsidP="00541D3C">
            <w:pPr>
              <w:pStyle w:val="CETEquation"/>
            </w:pPr>
            <m:oMathPara>
              <m:oMath>
                <m:r>
                  <w:rPr>
                    <w:rFonts w:ascii="Cambria Math" w:hAnsi="Cambria Math"/>
                  </w:rPr>
                  <m:t xml:space="preserve">Accuracy criterion: </m:t>
                </m:r>
                <m:d>
                  <m:dPr>
                    <m:begChr m:val="|"/>
                    <m:endChr m:val="|"/>
                    <m:ctrlPr>
                      <w:rPr>
                        <w:rFonts w:ascii="Cambria Math" w:hAnsi="Cambria Math"/>
                        <w:i/>
                      </w:rPr>
                    </m:ctrlPr>
                  </m:d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ctrlPr>
                              <w:rPr>
                                <w:rFonts w:ascii="Cambria Math" w:hAnsi="Cambria Math"/>
                              </w:rPr>
                            </m:ctrlPr>
                          </m:sub>
                        </m:sSub>
                      </m:fName>
                      <m:e>
                        <m:r>
                          <w:rPr>
                            <w:rFonts w:ascii="Cambria Math" w:hAnsi="Cambria Math"/>
                          </w:rPr>
                          <m:t>bias</m:t>
                        </m:r>
                      </m:e>
                    </m:func>
                  </m:e>
                </m:d>
                <m:r>
                  <w:rPr>
                    <w:rFonts w:ascii="Cambria Math" w:hAnsi="Cambria Math"/>
                  </w:rPr>
                  <m:t>&lt;0.217</m:t>
                </m:r>
              </m:oMath>
            </m:oMathPara>
          </w:p>
        </w:tc>
        <w:tc>
          <w:tcPr>
            <w:tcW w:w="804" w:type="dxa"/>
            <w:vAlign w:val="center"/>
          </w:tcPr>
          <w:p w14:paraId="3AD61196" w14:textId="36FDD8EE" w:rsidR="003A3926" w:rsidRPr="00B57B36" w:rsidRDefault="003A3926" w:rsidP="00541D3C">
            <w:pPr>
              <w:pStyle w:val="CETEquation"/>
              <w:jc w:val="right"/>
            </w:pPr>
            <w:r w:rsidRPr="00B57B36">
              <w:t>(</w:t>
            </w:r>
            <w:r w:rsidR="00A06E46">
              <w:t>6</w:t>
            </w:r>
            <w:r w:rsidRPr="00B57B36">
              <w:t>)</w:t>
            </w:r>
          </w:p>
        </w:tc>
      </w:tr>
      <w:tr w:rsidR="003A3926" w:rsidRPr="00B57B36" w14:paraId="2F17D1E9" w14:textId="77777777" w:rsidTr="00541D3C">
        <w:tc>
          <w:tcPr>
            <w:tcW w:w="7983" w:type="dxa"/>
            <w:vAlign w:val="center"/>
          </w:tcPr>
          <w:p w14:paraId="1ECB654A" w14:textId="2872E61A" w:rsidR="003A3926" w:rsidRPr="009E49F5" w:rsidRDefault="00A06E46" w:rsidP="00541D3C">
            <w:pPr>
              <w:pStyle w:val="CETEquation"/>
              <w:rPr>
                <w:rFonts w:ascii="Cambria Math" w:hAnsi="Cambria Math"/>
                <w:oMath/>
              </w:rPr>
            </w:pPr>
            <m:oMathPara>
              <m:oMath>
                <m:r>
                  <w:rPr>
                    <w:rFonts w:ascii="Cambria Math" w:hAnsi="Cambria Math"/>
                  </w:rPr>
                  <m:t>Intermediate precision criterion: 1.96*std.dev&lt;3</m:t>
                </m:r>
              </m:oMath>
            </m:oMathPara>
          </w:p>
        </w:tc>
        <w:tc>
          <w:tcPr>
            <w:tcW w:w="804" w:type="dxa"/>
            <w:vAlign w:val="center"/>
          </w:tcPr>
          <w:p w14:paraId="7BF9895E" w14:textId="21982E4F" w:rsidR="003A3926" w:rsidRPr="00B57B36" w:rsidRDefault="003A3926" w:rsidP="00541D3C">
            <w:pPr>
              <w:pStyle w:val="CETEquation"/>
              <w:jc w:val="right"/>
            </w:pPr>
            <w:r w:rsidRPr="00B57B36">
              <w:t>(</w:t>
            </w:r>
            <w:r w:rsidR="00A06E46">
              <w:t>7</w:t>
            </w:r>
            <w:r w:rsidRPr="00B57B36">
              <w:t>)</w:t>
            </w:r>
          </w:p>
        </w:tc>
      </w:tr>
    </w:tbl>
    <w:p w14:paraId="4B14287B" w14:textId="14A747B5" w:rsidR="00CE614A" w:rsidRPr="007A1E63" w:rsidRDefault="003A3926" w:rsidP="00CE614A">
      <w:pPr>
        <w:pStyle w:val="CETBodytext"/>
      </w:pPr>
      <w:r>
        <w:lastRenderedPageBreak/>
        <w:t xml:space="preserve">All the parameters just described </w:t>
      </w:r>
      <w:r w:rsidR="00842D53">
        <w:t>as calculated for the different models</w:t>
      </w:r>
      <w:r w:rsidR="00CE614A">
        <w:t xml:space="preserve"> tested </w:t>
      </w:r>
      <w:r>
        <w:t>are</w:t>
      </w:r>
      <w:r w:rsidR="00D77265">
        <w:t xml:space="preserve"> </w:t>
      </w:r>
      <w:r w:rsidR="00842D53">
        <w:t>reported in</w:t>
      </w:r>
      <w:r w:rsidR="00D77265">
        <w:t xml:space="preserve"> </w:t>
      </w:r>
      <w:r w:rsidR="007D070B">
        <w:fldChar w:fldCharType="begin"/>
      </w:r>
      <w:r w:rsidR="007D070B">
        <w:instrText xml:space="preserve"> REF _Ref227250966 \h </w:instrText>
      </w:r>
      <w:r w:rsidR="007D070B">
        <w:fldChar w:fldCharType="separate"/>
      </w:r>
      <w:r w:rsidR="007D070B">
        <w:t xml:space="preserve">Table </w:t>
      </w:r>
      <w:r w:rsidR="007D070B">
        <w:rPr>
          <w:noProof/>
        </w:rPr>
        <w:t>4</w:t>
      </w:r>
      <w:r w:rsidR="007D070B">
        <w:fldChar w:fldCharType="end"/>
      </w:r>
      <w:r w:rsidR="007D070B">
        <w:t>.</w:t>
      </w:r>
      <w:r w:rsidR="00CE614A">
        <w:t xml:space="preserve"> The accuracy criterion is satisfied by all models; however, all models exhibit values higher than 3 for the intermediate precision criterion. Nevertheless, the values obtained are close to the required limit, indicating that the IOMS performance </w:t>
      </w:r>
      <w:r w:rsidR="00173E5B">
        <w:t>related to</w:t>
      </w:r>
      <w:r w:rsidR="00CE614A">
        <w:t xml:space="preserve"> odour quantification </w:t>
      </w:r>
      <w:r w:rsidR="00173E5B">
        <w:t xml:space="preserve">are comparable to </w:t>
      </w:r>
      <w:r w:rsidR="00DD303C">
        <w:t>those of the reference method</w:t>
      </w:r>
      <w:r w:rsidR="00CE614A">
        <w:t>.</w:t>
      </w:r>
    </w:p>
    <w:p w14:paraId="33385D29" w14:textId="6268EA07" w:rsidR="00967C90" w:rsidRDefault="00967C90" w:rsidP="00967C90">
      <w:pPr>
        <w:pStyle w:val="CETTabletitle"/>
      </w:pPr>
      <w:bookmarkStart w:id="6" w:name="_Ref227250966"/>
      <w:r>
        <w:t xml:space="preserve">Table </w:t>
      </w:r>
      <w:r>
        <w:fldChar w:fldCharType="begin"/>
      </w:r>
      <w:r>
        <w:instrText xml:space="preserve"> SEQ Table \* ARABIC </w:instrText>
      </w:r>
      <w:r>
        <w:fldChar w:fldCharType="separate"/>
      </w:r>
      <w:r>
        <w:rPr>
          <w:noProof/>
        </w:rPr>
        <w:t>4</w:t>
      </w:r>
      <w:r>
        <w:fldChar w:fldCharType="end"/>
      </w:r>
      <w:bookmarkEnd w:id="6"/>
      <w:r w:rsidR="007D070B">
        <w:t>:</w:t>
      </w:r>
      <w:r w:rsidR="000510BC">
        <w:t xml:space="preserve"> Bland-Altman parameters and intermediate precision criterion value</w:t>
      </w:r>
      <w:r w:rsidR="001C505D">
        <w:t xml:space="preserve"> for the different models.</w:t>
      </w:r>
      <w:r w:rsidR="000510BC">
        <w:t xml:space="preserve"> </w:t>
      </w:r>
    </w:p>
    <w:tbl>
      <w:tblPr>
        <w:tblW w:w="8742"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666"/>
        <w:gridCol w:w="1033"/>
        <w:gridCol w:w="1639"/>
        <w:gridCol w:w="1614"/>
        <w:gridCol w:w="1278"/>
        <w:gridCol w:w="1512"/>
      </w:tblGrid>
      <w:tr w:rsidR="00B91DB4" w:rsidRPr="00B57B36" w14:paraId="72DDAD13" w14:textId="24743142" w:rsidTr="004A2351">
        <w:trPr>
          <w:trHeight w:val="236"/>
          <w:tblHeader/>
        </w:trPr>
        <w:tc>
          <w:tcPr>
            <w:tcW w:w="1666" w:type="dxa"/>
            <w:vMerge w:val="restart"/>
            <w:tcBorders>
              <w:top w:val="single" w:sz="12" w:space="0" w:color="008000"/>
            </w:tcBorders>
            <w:shd w:val="clear" w:color="auto" w:fill="FFFFFF"/>
            <w:vAlign w:val="center"/>
          </w:tcPr>
          <w:p w14:paraId="45FB4E2B" w14:textId="77777777" w:rsidR="00B91DB4" w:rsidRPr="00B57B36" w:rsidRDefault="00B91DB4" w:rsidP="00541D3C">
            <w:pPr>
              <w:pStyle w:val="CETBodytext"/>
              <w:jc w:val="center"/>
              <w:rPr>
                <w:lang w:val="en-GB"/>
              </w:rPr>
            </w:pPr>
            <w:r>
              <w:rPr>
                <w:lang w:val="en-GB"/>
              </w:rPr>
              <w:t>Model</w:t>
            </w:r>
          </w:p>
        </w:tc>
        <w:tc>
          <w:tcPr>
            <w:tcW w:w="1033" w:type="dxa"/>
            <w:vMerge w:val="restart"/>
            <w:tcBorders>
              <w:top w:val="single" w:sz="12" w:space="0" w:color="008000"/>
            </w:tcBorders>
            <w:shd w:val="clear" w:color="auto" w:fill="FFFFFF"/>
            <w:vAlign w:val="center"/>
          </w:tcPr>
          <w:p w14:paraId="54F2935F" w14:textId="6C0FF410" w:rsidR="00B91DB4" w:rsidRPr="00B57B36" w:rsidRDefault="00B91DB4" w:rsidP="00541D3C">
            <w:pPr>
              <w:pStyle w:val="CETBodytext"/>
              <w:ind w:right="-1"/>
              <w:jc w:val="center"/>
              <w:rPr>
                <w:rFonts w:cs="Arial"/>
                <w:szCs w:val="18"/>
                <w:lang w:val="en-GB"/>
              </w:rPr>
            </w:pPr>
            <w:r>
              <w:rPr>
                <w:lang w:val="en-GB"/>
              </w:rPr>
              <w:t>|bias|</w:t>
            </w:r>
          </w:p>
        </w:tc>
        <w:tc>
          <w:tcPr>
            <w:tcW w:w="1639" w:type="dxa"/>
            <w:vMerge w:val="restart"/>
            <w:tcBorders>
              <w:top w:val="single" w:sz="12" w:space="0" w:color="008000"/>
            </w:tcBorders>
            <w:shd w:val="clear" w:color="auto" w:fill="FFFFFF"/>
            <w:vAlign w:val="center"/>
          </w:tcPr>
          <w:p w14:paraId="2DF12A1E" w14:textId="1A466669" w:rsidR="00B91DB4" w:rsidRPr="00B57B36" w:rsidRDefault="00B91DB4" w:rsidP="00541D3C">
            <w:pPr>
              <w:pStyle w:val="CETBodytext"/>
              <w:ind w:right="-1"/>
              <w:jc w:val="center"/>
              <w:rPr>
                <w:rFonts w:cs="Arial"/>
                <w:szCs w:val="18"/>
                <w:lang w:val="en-GB"/>
              </w:rPr>
            </w:pPr>
            <w:r>
              <w:rPr>
                <w:rFonts w:cs="Arial"/>
                <w:szCs w:val="18"/>
                <w:lang w:val="en-GB"/>
              </w:rPr>
              <w:t xml:space="preserve">Upper </w:t>
            </w:r>
            <w:proofErr w:type="spellStart"/>
            <w:r>
              <w:rPr>
                <w:rFonts w:cs="Arial"/>
                <w:szCs w:val="18"/>
                <w:lang w:val="en-GB"/>
              </w:rPr>
              <w:t>LoA</w:t>
            </w:r>
            <w:proofErr w:type="spellEnd"/>
          </w:p>
        </w:tc>
        <w:tc>
          <w:tcPr>
            <w:tcW w:w="1614" w:type="dxa"/>
            <w:vMerge w:val="restart"/>
            <w:tcBorders>
              <w:top w:val="single" w:sz="12" w:space="0" w:color="008000"/>
            </w:tcBorders>
            <w:shd w:val="clear" w:color="auto" w:fill="FFFFFF"/>
            <w:vAlign w:val="center"/>
          </w:tcPr>
          <w:p w14:paraId="17E97BDF" w14:textId="30504530" w:rsidR="00B91DB4" w:rsidRPr="00B57B36" w:rsidRDefault="00B91DB4" w:rsidP="00541D3C">
            <w:pPr>
              <w:pStyle w:val="CETBodytext"/>
              <w:ind w:right="-1"/>
              <w:jc w:val="center"/>
              <w:rPr>
                <w:rFonts w:cs="Arial"/>
                <w:szCs w:val="18"/>
                <w:lang w:val="en-GB"/>
              </w:rPr>
            </w:pPr>
            <w:r>
              <w:rPr>
                <w:rFonts w:cs="Arial"/>
                <w:szCs w:val="18"/>
                <w:lang w:val="en-GB"/>
              </w:rPr>
              <w:t xml:space="preserve">Lower </w:t>
            </w:r>
            <w:proofErr w:type="spellStart"/>
            <w:r>
              <w:rPr>
                <w:rFonts w:cs="Arial"/>
                <w:szCs w:val="18"/>
                <w:lang w:val="en-GB"/>
              </w:rPr>
              <w:t>LoA</w:t>
            </w:r>
            <w:proofErr w:type="spellEnd"/>
          </w:p>
        </w:tc>
        <w:tc>
          <w:tcPr>
            <w:tcW w:w="1278" w:type="dxa"/>
            <w:vMerge w:val="restart"/>
            <w:tcBorders>
              <w:top w:val="single" w:sz="12" w:space="0" w:color="008000"/>
            </w:tcBorders>
            <w:shd w:val="clear" w:color="auto" w:fill="FFFFFF"/>
            <w:vAlign w:val="center"/>
          </w:tcPr>
          <w:p w14:paraId="5B6B8E2E" w14:textId="6613E236" w:rsidR="00B91DB4" w:rsidRDefault="00B91DB4" w:rsidP="00B91DB4">
            <w:pPr>
              <w:pStyle w:val="CETBodytext"/>
              <w:ind w:right="-1"/>
              <w:jc w:val="center"/>
              <w:rPr>
                <w:rFonts w:cs="Arial"/>
                <w:szCs w:val="18"/>
                <w:lang w:val="en-GB"/>
              </w:rPr>
            </w:pPr>
            <w:r>
              <w:rPr>
                <w:rFonts w:cs="Arial"/>
                <w:szCs w:val="18"/>
                <w:lang w:val="en-GB"/>
              </w:rPr>
              <w:t>Standard deviation</w:t>
            </w:r>
          </w:p>
        </w:tc>
        <w:tc>
          <w:tcPr>
            <w:tcW w:w="1512" w:type="dxa"/>
            <w:vMerge w:val="restart"/>
            <w:tcBorders>
              <w:top w:val="single" w:sz="12" w:space="0" w:color="008000"/>
            </w:tcBorders>
            <w:shd w:val="clear" w:color="auto" w:fill="FFFFFF"/>
            <w:vAlign w:val="center"/>
          </w:tcPr>
          <w:p w14:paraId="7C78D941" w14:textId="489DC20F" w:rsidR="00B91DB4" w:rsidRDefault="00E26BB5" w:rsidP="00B91DB4">
            <w:pPr>
              <w:pStyle w:val="CETBodytext"/>
              <w:ind w:right="-1"/>
              <w:jc w:val="center"/>
              <w:rPr>
                <w:rFonts w:cs="Arial"/>
                <w:szCs w:val="18"/>
                <w:lang w:val="en-GB"/>
              </w:rPr>
            </w:pPr>
            <w:r>
              <w:rPr>
                <w:rFonts w:cs="Arial"/>
                <w:szCs w:val="18"/>
                <w:lang w:val="en-GB"/>
              </w:rPr>
              <w:t>Intermediate precision criteri</w:t>
            </w:r>
            <w:r w:rsidR="004A2351">
              <w:rPr>
                <w:rFonts w:cs="Arial"/>
                <w:szCs w:val="18"/>
                <w:lang w:val="en-GB"/>
              </w:rPr>
              <w:t>on</w:t>
            </w:r>
          </w:p>
        </w:tc>
      </w:tr>
      <w:tr w:rsidR="00B91DB4" w:rsidRPr="00B57B36" w14:paraId="159526B4" w14:textId="677D1056" w:rsidTr="004A2351">
        <w:trPr>
          <w:trHeight w:val="236"/>
          <w:tblHeader/>
        </w:trPr>
        <w:tc>
          <w:tcPr>
            <w:tcW w:w="1666" w:type="dxa"/>
            <w:vMerge/>
            <w:tcBorders>
              <w:bottom w:val="single" w:sz="8" w:space="0" w:color="008000"/>
            </w:tcBorders>
            <w:shd w:val="clear" w:color="auto" w:fill="FFFFFF"/>
            <w:vAlign w:val="center"/>
          </w:tcPr>
          <w:p w14:paraId="3E4588B3" w14:textId="77777777" w:rsidR="00B91DB4" w:rsidRDefault="00B91DB4" w:rsidP="00541D3C">
            <w:pPr>
              <w:pStyle w:val="CETBodytext"/>
              <w:jc w:val="center"/>
              <w:rPr>
                <w:lang w:val="en-GB"/>
              </w:rPr>
            </w:pPr>
          </w:p>
        </w:tc>
        <w:tc>
          <w:tcPr>
            <w:tcW w:w="1033" w:type="dxa"/>
            <w:vMerge/>
            <w:tcBorders>
              <w:bottom w:val="single" w:sz="8" w:space="0" w:color="008000"/>
            </w:tcBorders>
            <w:shd w:val="clear" w:color="auto" w:fill="FFFFFF"/>
            <w:vAlign w:val="center"/>
          </w:tcPr>
          <w:p w14:paraId="0C9A00A4" w14:textId="77777777" w:rsidR="00B91DB4" w:rsidRDefault="00B91DB4" w:rsidP="00541D3C">
            <w:pPr>
              <w:pStyle w:val="CETBodytext"/>
              <w:ind w:right="-1"/>
              <w:jc w:val="center"/>
              <w:rPr>
                <w:lang w:val="en-GB"/>
              </w:rPr>
            </w:pPr>
          </w:p>
        </w:tc>
        <w:tc>
          <w:tcPr>
            <w:tcW w:w="1639" w:type="dxa"/>
            <w:vMerge/>
            <w:tcBorders>
              <w:bottom w:val="single" w:sz="8" w:space="0" w:color="008000"/>
            </w:tcBorders>
            <w:shd w:val="clear" w:color="auto" w:fill="FFFFFF"/>
            <w:vAlign w:val="center"/>
          </w:tcPr>
          <w:p w14:paraId="4A13C918" w14:textId="77777777" w:rsidR="00B91DB4" w:rsidRPr="00B57B36" w:rsidRDefault="00B91DB4" w:rsidP="00541D3C">
            <w:pPr>
              <w:pStyle w:val="CETBodytext"/>
              <w:ind w:right="-1"/>
              <w:jc w:val="center"/>
              <w:rPr>
                <w:rFonts w:cs="Arial"/>
                <w:szCs w:val="18"/>
                <w:lang w:val="en-GB"/>
              </w:rPr>
            </w:pPr>
          </w:p>
        </w:tc>
        <w:tc>
          <w:tcPr>
            <w:tcW w:w="1614" w:type="dxa"/>
            <w:vMerge/>
            <w:tcBorders>
              <w:bottom w:val="single" w:sz="8" w:space="0" w:color="008000"/>
            </w:tcBorders>
            <w:shd w:val="clear" w:color="auto" w:fill="FFFFFF"/>
            <w:vAlign w:val="center"/>
          </w:tcPr>
          <w:p w14:paraId="74166F63" w14:textId="77777777" w:rsidR="00B91DB4" w:rsidRPr="00B57B36" w:rsidRDefault="00B91DB4" w:rsidP="00541D3C">
            <w:pPr>
              <w:pStyle w:val="CETBodytext"/>
              <w:ind w:right="-1"/>
              <w:jc w:val="center"/>
              <w:rPr>
                <w:rFonts w:cs="Arial"/>
                <w:szCs w:val="18"/>
                <w:lang w:val="en-GB"/>
              </w:rPr>
            </w:pPr>
          </w:p>
        </w:tc>
        <w:tc>
          <w:tcPr>
            <w:tcW w:w="1278" w:type="dxa"/>
            <w:vMerge/>
            <w:tcBorders>
              <w:bottom w:val="single" w:sz="8" w:space="0" w:color="008000"/>
            </w:tcBorders>
            <w:shd w:val="clear" w:color="auto" w:fill="FFFFFF"/>
            <w:vAlign w:val="center"/>
          </w:tcPr>
          <w:p w14:paraId="09CC2924" w14:textId="77777777" w:rsidR="00B91DB4" w:rsidRPr="00B57B36" w:rsidRDefault="00B91DB4" w:rsidP="00B91DB4">
            <w:pPr>
              <w:pStyle w:val="CETBodytext"/>
              <w:ind w:right="-1"/>
              <w:jc w:val="center"/>
              <w:rPr>
                <w:rFonts w:cs="Arial"/>
                <w:szCs w:val="18"/>
                <w:lang w:val="en-GB"/>
              </w:rPr>
            </w:pPr>
          </w:p>
        </w:tc>
        <w:tc>
          <w:tcPr>
            <w:tcW w:w="1512" w:type="dxa"/>
            <w:vMerge/>
            <w:tcBorders>
              <w:bottom w:val="single" w:sz="8" w:space="0" w:color="008000"/>
            </w:tcBorders>
            <w:shd w:val="clear" w:color="auto" w:fill="FFFFFF"/>
            <w:vAlign w:val="center"/>
          </w:tcPr>
          <w:p w14:paraId="7DD3C040" w14:textId="77777777" w:rsidR="00B91DB4" w:rsidRPr="00B57B36" w:rsidRDefault="00B91DB4" w:rsidP="00B91DB4">
            <w:pPr>
              <w:pStyle w:val="CETBodytext"/>
              <w:ind w:right="-1"/>
              <w:jc w:val="center"/>
              <w:rPr>
                <w:rFonts w:cs="Arial"/>
                <w:szCs w:val="18"/>
                <w:lang w:val="en-GB"/>
              </w:rPr>
            </w:pPr>
          </w:p>
        </w:tc>
      </w:tr>
      <w:tr w:rsidR="00B91DB4" w:rsidRPr="00B57B36" w14:paraId="57001CD7" w14:textId="51A4A029" w:rsidTr="004A2351">
        <w:trPr>
          <w:trHeight w:val="286"/>
          <w:tblHeader/>
        </w:trPr>
        <w:tc>
          <w:tcPr>
            <w:tcW w:w="1666" w:type="dxa"/>
            <w:tcBorders>
              <w:top w:val="single" w:sz="8" w:space="0" w:color="008000"/>
            </w:tcBorders>
            <w:shd w:val="clear" w:color="auto" w:fill="FFFFFF"/>
            <w:vAlign w:val="center"/>
          </w:tcPr>
          <w:p w14:paraId="13FC2281" w14:textId="77777777" w:rsidR="00B91DB4" w:rsidRDefault="00B91DB4" w:rsidP="00541D3C">
            <w:pPr>
              <w:pStyle w:val="CETBodytext"/>
              <w:jc w:val="center"/>
              <w:rPr>
                <w:lang w:val="en-GB"/>
              </w:rPr>
            </w:pPr>
            <w:r>
              <w:rPr>
                <w:lang w:val="en-GB"/>
              </w:rPr>
              <w:t>OSC exp</w:t>
            </w:r>
          </w:p>
        </w:tc>
        <w:tc>
          <w:tcPr>
            <w:tcW w:w="1033" w:type="dxa"/>
            <w:tcBorders>
              <w:top w:val="single" w:sz="8" w:space="0" w:color="008000"/>
            </w:tcBorders>
            <w:shd w:val="clear" w:color="auto" w:fill="FFFFFF"/>
            <w:vAlign w:val="center"/>
          </w:tcPr>
          <w:p w14:paraId="6CFFFE20" w14:textId="2C7B49BB" w:rsidR="00B91DB4" w:rsidRPr="00B57B36" w:rsidRDefault="00842447" w:rsidP="00541D3C">
            <w:pPr>
              <w:pStyle w:val="CETBodytext"/>
              <w:ind w:right="-1"/>
              <w:jc w:val="center"/>
              <w:rPr>
                <w:rFonts w:cs="Arial"/>
                <w:szCs w:val="18"/>
                <w:lang w:val="en-GB"/>
              </w:rPr>
            </w:pPr>
            <w:r>
              <w:rPr>
                <w:rFonts w:cs="Arial"/>
                <w:szCs w:val="18"/>
                <w:lang w:val="en-GB"/>
              </w:rPr>
              <w:t>0.08</w:t>
            </w:r>
          </w:p>
        </w:tc>
        <w:tc>
          <w:tcPr>
            <w:tcW w:w="1639" w:type="dxa"/>
            <w:tcBorders>
              <w:top w:val="single" w:sz="8" w:space="0" w:color="008000"/>
            </w:tcBorders>
            <w:shd w:val="clear" w:color="auto" w:fill="FFFFFF"/>
            <w:vAlign w:val="center"/>
          </w:tcPr>
          <w:p w14:paraId="28E83399" w14:textId="47A3DCD8" w:rsidR="00B91DB4" w:rsidRPr="00B57B36" w:rsidRDefault="00842447" w:rsidP="00541D3C">
            <w:pPr>
              <w:pStyle w:val="CETBodytext"/>
              <w:ind w:right="-1"/>
              <w:jc w:val="center"/>
              <w:rPr>
                <w:rFonts w:cs="Arial"/>
                <w:szCs w:val="18"/>
                <w:lang w:val="en-GB"/>
              </w:rPr>
            </w:pPr>
            <w:r>
              <w:rPr>
                <w:rFonts w:cs="Arial"/>
                <w:szCs w:val="18"/>
                <w:lang w:val="en-GB"/>
              </w:rPr>
              <w:t>0.40</w:t>
            </w:r>
          </w:p>
        </w:tc>
        <w:tc>
          <w:tcPr>
            <w:tcW w:w="1614" w:type="dxa"/>
            <w:tcBorders>
              <w:top w:val="single" w:sz="8" w:space="0" w:color="008000"/>
            </w:tcBorders>
            <w:shd w:val="clear" w:color="auto" w:fill="FFFFFF"/>
            <w:vAlign w:val="center"/>
          </w:tcPr>
          <w:p w14:paraId="5B05ABCD" w14:textId="1E2BD264" w:rsidR="00B91DB4" w:rsidRPr="00B57B36" w:rsidRDefault="004E2D7B" w:rsidP="00541D3C">
            <w:pPr>
              <w:pStyle w:val="CETBodytext"/>
              <w:ind w:right="-1"/>
              <w:jc w:val="center"/>
              <w:rPr>
                <w:rFonts w:cs="Arial"/>
                <w:szCs w:val="18"/>
                <w:lang w:val="en-GB"/>
              </w:rPr>
            </w:pPr>
            <w:r>
              <w:rPr>
                <w:rFonts w:cs="Arial"/>
                <w:szCs w:val="18"/>
                <w:lang w:val="en-GB"/>
              </w:rPr>
              <w:t>-0.57</w:t>
            </w:r>
          </w:p>
        </w:tc>
        <w:tc>
          <w:tcPr>
            <w:tcW w:w="1278" w:type="dxa"/>
            <w:tcBorders>
              <w:top w:val="single" w:sz="8" w:space="0" w:color="008000"/>
            </w:tcBorders>
            <w:shd w:val="clear" w:color="auto" w:fill="FFFFFF"/>
            <w:vAlign w:val="center"/>
          </w:tcPr>
          <w:p w14:paraId="58916154" w14:textId="6EBEFADB" w:rsidR="00B91DB4" w:rsidRDefault="005E6F56" w:rsidP="00B91DB4">
            <w:pPr>
              <w:pStyle w:val="CETBodytext"/>
              <w:ind w:right="-1"/>
              <w:jc w:val="center"/>
              <w:rPr>
                <w:rFonts w:cs="Arial"/>
                <w:szCs w:val="18"/>
                <w:lang w:val="en-GB"/>
              </w:rPr>
            </w:pPr>
            <w:r>
              <w:rPr>
                <w:rFonts w:cs="Arial"/>
                <w:szCs w:val="18"/>
                <w:lang w:val="en-GB"/>
              </w:rPr>
              <w:t>1.77</w:t>
            </w:r>
          </w:p>
        </w:tc>
        <w:tc>
          <w:tcPr>
            <w:tcW w:w="1512" w:type="dxa"/>
            <w:tcBorders>
              <w:top w:val="single" w:sz="8" w:space="0" w:color="008000"/>
            </w:tcBorders>
            <w:shd w:val="clear" w:color="auto" w:fill="FFFFFF"/>
            <w:vAlign w:val="center"/>
          </w:tcPr>
          <w:p w14:paraId="68DA31A4" w14:textId="49DA4C51" w:rsidR="00B91DB4" w:rsidRDefault="005E6F56" w:rsidP="00B91DB4">
            <w:pPr>
              <w:pStyle w:val="CETBodytext"/>
              <w:ind w:right="-1"/>
              <w:jc w:val="center"/>
              <w:rPr>
                <w:rFonts w:cs="Arial"/>
                <w:szCs w:val="18"/>
                <w:lang w:val="en-GB"/>
              </w:rPr>
            </w:pPr>
            <w:r>
              <w:rPr>
                <w:rFonts w:cs="Arial"/>
                <w:szCs w:val="18"/>
                <w:lang w:val="en-GB"/>
              </w:rPr>
              <w:t>3.47</w:t>
            </w:r>
          </w:p>
        </w:tc>
      </w:tr>
      <w:tr w:rsidR="00B91DB4" w:rsidRPr="00B57B36" w14:paraId="2DF155F9" w14:textId="376B61E6" w:rsidTr="004A2351">
        <w:trPr>
          <w:trHeight w:val="286"/>
          <w:tblHeader/>
        </w:trPr>
        <w:tc>
          <w:tcPr>
            <w:tcW w:w="1666" w:type="dxa"/>
            <w:shd w:val="clear" w:color="auto" w:fill="FFFFFF"/>
            <w:vAlign w:val="center"/>
          </w:tcPr>
          <w:p w14:paraId="3A5F4A75" w14:textId="77777777" w:rsidR="00B91DB4" w:rsidRDefault="00B91DB4" w:rsidP="00541D3C">
            <w:pPr>
              <w:pStyle w:val="CETBodytext"/>
              <w:jc w:val="center"/>
              <w:rPr>
                <w:lang w:val="en-GB"/>
              </w:rPr>
            </w:pPr>
            <w:r>
              <w:rPr>
                <w:lang w:val="en-GB"/>
              </w:rPr>
              <w:t>OSC pow</w:t>
            </w:r>
          </w:p>
        </w:tc>
        <w:tc>
          <w:tcPr>
            <w:tcW w:w="1033" w:type="dxa"/>
            <w:shd w:val="clear" w:color="auto" w:fill="FFFFFF"/>
            <w:vAlign w:val="center"/>
          </w:tcPr>
          <w:p w14:paraId="5CD4ED9F" w14:textId="3AF03703" w:rsidR="00B91DB4" w:rsidRPr="00B57B36" w:rsidRDefault="00842447" w:rsidP="00541D3C">
            <w:pPr>
              <w:pStyle w:val="CETBodytext"/>
              <w:ind w:right="-1"/>
              <w:jc w:val="center"/>
              <w:rPr>
                <w:rFonts w:cs="Arial"/>
                <w:szCs w:val="18"/>
                <w:lang w:val="en-GB"/>
              </w:rPr>
            </w:pPr>
            <w:r>
              <w:rPr>
                <w:rFonts w:cs="Arial"/>
                <w:szCs w:val="18"/>
                <w:lang w:val="en-GB"/>
              </w:rPr>
              <w:t>0.0</w:t>
            </w:r>
            <w:r w:rsidR="005E6F56">
              <w:rPr>
                <w:rFonts w:cs="Arial"/>
                <w:szCs w:val="18"/>
                <w:lang w:val="en-GB"/>
              </w:rPr>
              <w:t>3</w:t>
            </w:r>
          </w:p>
        </w:tc>
        <w:tc>
          <w:tcPr>
            <w:tcW w:w="1639" w:type="dxa"/>
            <w:shd w:val="clear" w:color="auto" w:fill="FFFFFF"/>
            <w:vAlign w:val="center"/>
          </w:tcPr>
          <w:p w14:paraId="542EBDE4" w14:textId="27B98830" w:rsidR="00B91DB4" w:rsidRPr="00B57B36" w:rsidRDefault="00842447" w:rsidP="00541D3C">
            <w:pPr>
              <w:pStyle w:val="CETBodytext"/>
              <w:ind w:right="-1"/>
              <w:jc w:val="center"/>
              <w:rPr>
                <w:rFonts w:cs="Arial"/>
                <w:szCs w:val="18"/>
                <w:lang w:val="en-GB"/>
              </w:rPr>
            </w:pPr>
            <w:r>
              <w:rPr>
                <w:rFonts w:cs="Arial"/>
                <w:szCs w:val="18"/>
                <w:lang w:val="en-GB"/>
              </w:rPr>
              <w:t>0.51</w:t>
            </w:r>
          </w:p>
        </w:tc>
        <w:tc>
          <w:tcPr>
            <w:tcW w:w="1614" w:type="dxa"/>
            <w:shd w:val="clear" w:color="auto" w:fill="FFFFFF"/>
            <w:vAlign w:val="center"/>
          </w:tcPr>
          <w:p w14:paraId="12BDCE6B" w14:textId="4984A5B0" w:rsidR="00B91DB4" w:rsidRPr="00B57B36" w:rsidRDefault="004E2D7B" w:rsidP="00541D3C">
            <w:pPr>
              <w:pStyle w:val="CETBodytext"/>
              <w:ind w:right="-1"/>
              <w:jc w:val="center"/>
              <w:rPr>
                <w:rFonts w:cs="Arial"/>
                <w:szCs w:val="18"/>
                <w:lang w:val="en-GB"/>
              </w:rPr>
            </w:pPr>
            <w:r>
              <w:rPr>
                <w:rFonts w:cs="Arial"/>
                <w:szCs w:val="18"/>
                <w:lang w:val="en-GB"/>
              </w:rPr>
              <w:t>-0.56</w:t>
            </w:r>
          </w:p>
        </w:tc>
        <w:tc>
          <w:tcPr>
            <w:tcW w:w="1278" w:type="dxa"/>
            <w:shd w:val="clear" w:color="auto" w:fill="FFFFFF"/>
            <w:vAlign w:val="center"/>
          </w:tcPr>
          <w:p w14:paraId="0E83E70C" w14:textId="65443008" w:rsidR="00B91DB4" w:rsidRDefault="005E6F56" w:rsidP="00B91DB4">
            <w:pPr>
              <w:pStyle w:val="CETBodytext"/>
              <w:ind w:right="-1"/>
              <w:jc w:val="center"/>
              <w:rPr>
                <w:rFonts w:cs="Arial"/>
                <w:szCs w:val="18"/>
                <w:lang w:val="en-GB"/>
              </w:rPr>
            </w:pPr>
            <w:r>
              <w:rPr>
                <w:rFonts w:cs="Arial"/>
                <w:szCs w:val="18"/>
                <w:lang w:val="en-GB"/>
              </w:rPr>
              <w:t>1.88</w:t>
            </w:r>
          </w:p>
        </w:tc>
        <w:tc>
          <w:tcPr>
            <w:tcW w:w="1512" w:type="dxa"/>
            <w:shd w:val="clear" w:color="auto" w:fill="FFFFFF"/>
            <w:vAlign w:val="center"/>
          </w:tcPr>
          <w:p w14:paraId="499E3E3C" w14:textId="1A1E5507" w:rsidR="00B91DB4" w:rsidRDefault="005E6F56" w:rsidP="00B91DB4">
            <w:pPr>
              <w:pStyle w:val="CETBodytext"/>
              <w:ind w:right="-1"/>
              <w:jc w:val="center"/>
              <w:rPr>
                <w:rFonts w:cs="Arial"/>
                <w:szCs w:val="18"/>
                <w:lang w:val="en-GB"/>
              </w:rPr>
            </w:pPr>
            <w:r>
              <w:rPr>
                <w:rFonts w:cs="Arial"/>
                <w:szCs w:val="18"/>
                <w:lang w:val="en-GB"/>
              </w:rPr>
              <w:t>3.68</w:t>
            </w:r>
          </w:p>
        </w:tc>
      </w:tr>
      <w:tr w:rsidR="00B91DB4" w:rsidRPr="00B57B36" w14:paraId="7BFE2E57" w14:textId="73F2AED5" w:rsidTr="004A2351">
        <w:trPr>
          <w:trHeight w:val="286"/>
          <w:tblHeader/>
        </w:trPr>
        <w:tc>
          <w:tcPr>
            <w:tcW w:w="1666" w:type="dxa"/>
            <w:shd w:val="clear" w:color="auto" w:fill="FFFFFF"/>
            <w:vAlign w:val="center"/>
          </w:tcPr>
          <w:p w14:paraId="1E7BFEEF" w14:textId="77777777" w:rsidR="00B91DB4" w:rsidRDefault="00B91DB4" w:rsidP="00541D3C">
            <w:pPr>
              <w:pStyle w:val="CETBodytext"/>
              <w:jc w:val="center"/>
              <w:rPr>
                <w:lang w:val="en-GB"/>
              </w:rPr>
            </w:pPr>
            <w:r>
              <w:rPr>
                <w:lang w:val="en-GB"/>
              </w:rPr>
              <w:t>Slid exp</w:t>
            </w:r>
          </w:p>
        </w:tc>
        <w:tc>
          <w:tcPr>
            <w:tcW w:w="1033" w:type="dxa"/>
            <w:shd w:val="clear" w:color="auto" w:fill="FFFFFF"/>
            <w:vAlign w:val="center"/>
          </w:tcPr>
          <w:p w14:paraId="2FE24796" w14:textId="537BF291" w:rsidR="00B91DB4" w:rsidRPr="00B57B36" w:rsidRDefault="00842447" w:rsidP="00541D3C">
            <w:pPr>
              <w:pStyle w:val="CETBodytext"/>
              <w:ind w:right="-1"/>
              <w:jc w:val="center"/>
              <w:rPr>
                <w:rFonts w:cs="Arial"/>
                <w:szCs w:val="18"/>
                <w:lang w:val="en-GB"/>
              </w:rPr>
            </w:pPr>
            <w:r>
              <w:rPr>
                <w:rFonts w:cs="Arial"/>
                <w:szCs w:val="18"/>
                <w:lang w:val="en-GB"/>
              </w:rPr>
              <w:t>0.0</w:t>
            </w:r>
            <w:r w:rsidR="005E6F56">
              <w:rPr>
                <w:rFonts w:cs="Arial"/>
                <w:szCs w:val="18"/>
                <w:lang w:val="en-GB"/>
              </w:rPr>
              <w:t>2</w:t>
            </w:r>
          </w:p>
        </w:tc>
        <w:tc>
          <w:tcPr>
            <w:tcW w:w="1639" w:type="dxa"/>
            <w:shd w:val="clear" w:color="auto" w:fill="FFFFFF"/>
            <w:vAlign w:val="center"/>
          </w:tcPr>
          <w:p w14:paraId="55FA4BDC" w14:textId="1584BB2E" w:rsidR="00B91DB4" w:rsidRPr="00B57B36" w:rsidRDefault="00842447" w:rsidP="00541D3C">
            <w:pPr>
              <w:pStyle w:val="CETBodytext"/>
              <w:ind w:right="-1"/>
              <w:jc w:val="center"/>
              <w:rPr>
                <w:rFonts w:cs="Arial"/>
                <w:szCs w:val="18"/>
                <w:lang w:val="en-GB"/>
              </w:rPr>
            </w:pPr>
            <w:r>
              <w:rPr>
                <w:rFonts w:cs="Arial"/>
                <w:szCs w:val="18"/>
                <w:lang w:val="en-GB"/>
              </w:rPr>
              <w:t>0.49</w:t>
            </w:r>
          </w:p>
        </w:tc>
        <w:tc>
          <w:tcPr>
            <w:tcW w:w="1614" w:type="dxa"/>
            <w:shd w:val="clear" w:color="auto" w:fill="FFFFFF"/>
            <w:vAlign w:val="center"/>
          </w:tcPr>
          <w:p w14:paraId="093A0930" w14:textId="3D03F607" w:rsidR="00B91DB4" w:rsidRPr="00B57B36" w:rsidRDefault="004E2D7B" w:rsidP="00541D3C">
            <w:pPr>
              <w:pStyle w:val="CETBodytext"/>
              <w:ind w:right="-1"/>
              <w:jc w:val="center"/>
              <w:rPr>
                <w:rFonts w:cs="Arial"/>
                <w:szCs w:val="18"/>
                <w:lang w:val="en-GB"/>
              </w:rPr>
            </w:pPr>
            <w:r>
              <w:rPr>
                <w:rFonts w:cs="Arial"/>
                <w:szCs w:val="18"/>
                <w:lang w:val="en-GB"/>
              </w:rPr>
              <w:t>-0.46</w:t>
            </w:r>
          </w:p>
        </w:tc>
        <w:tc>
          <w:tcPr>
            <w:tcW w:w="1278" w:type="dxa"/>
            <w:shd w:val="clear" w:color="auto" w:fill="FFFFFF"/>
            <w:vAlign w:val="center"/>
          </w:tcPr>
          <w:p w14:paraId="0174DBF5" w14:textId="2B3C26A2" w:rsidR="00B91DB4" w:rsidRDefault="005E6F56" w:rsidP="00B91DB4">
            <w:pPr>
              <w:pStyle w:val="CETBodytext"/>
              <w:ind w:right="-1"/>
              <w:jc w:val="center"/>
              <w:rPr>
                <w:rFonts w:cs="Arial"/>
                <w:szCs w:val="18"/>
                <w:lang w:val="en-GB"/>
              </w:rPr>
            </w:pPr>
            <w:r>
              <w:rPr>
                <w:rFonts w:cs="Arial"/>
                <w:szCs w:val="18"/>
                <w:lang w:val="en-GB"/>
              </w:rPr>
              <w:t>1.75</w:t>
            </w:r>
          </w:p>
        </w:tc>
        <w:tc>
          <w:tcPr>
            <w:tcW w:w="1512" w:type="dxa"/>
            <w:shd w:val="clear" w:color="auto" w:fill="FFFFFF"/>
            <w:vAlign w:val="center"/>
          </w:tcPr>
          <w:p w14:paraId="64EBA085" w14:textId="3AABE324" w:rsidR="00B91DB4" w:rsidRDefault="005E6F56" w:rsidP="00B91DB4">
            <w:pPr>
              <w:pStyle w:val="CETBodytext"/>
              <w:ind w:right="-1"/>
              <w:jc w:val="center"/>
              <w:rPr>
                <w:rFonts w:cs="Arial"/>
                <w:szCs w:val="18"/>
                <w:lang w:val="en-GB"/>
              </w:rPr>
            </w:pPr>
            <w:r>
              <w:rPr>
                <w:rFonts w:cs="Arial"/>
                <w:szCs w:val="18"/>
                <w:lang w:val="en-GB"/>
              </w:rPr>
              <w:t>3.43</w:t>
            </w:r>
          </w:p>
        </w:tc>
      </w:tr>
      <w:tr w:rsidR="00B91DB4" w:rsidRPr="00B57B36" w14:paraId="7192FC66" w14:textId="732E062A" w:rsidTr="004A2351">
        <w:trPr>
          <w:trHeight w:val="270"/>
          <w:tblHeader/>
        </w:trPr>
        <w:tc>
          <w:tcPr>
            <w:tcW w:w="1666" w:type="dxa"/>
            <w:tcBorders>
              <w:bottom w:val="single" w:sz="12" w:space="0" w:color="008000"/>
            </w:tcBorders>
            <w:shd w:val="clear" w:color="auto" w:fill="FFFFFF"/>
            <w:vAlign w:val="center"/>
          </w:tcPr>
          <w:p w14:paraId="6144B2FE" w14:textId="77777777" w:rsidR="00B91DB4" w:rsidRPr="00B57B36" w:rsidRDefault="00B91DB4" w:rsidP="00541D3C">
            <w:pPr>
              <w:pStyle w:val="CETBodytext"/>
              <w:ind w:right="-1"/>
              <w:jc w:val="center"/>
              <w:rPr>
                <w:rFonts w:cs="Arial"/>
                <w:szCs w:val="18"/>
                <w:lang w:val="en-GB"/>
              </w:rPr>
            </w:pPr>
            <w:r>
              <w:rPr>
                <w:rFonts w:cs="Arial"/>
                <w:szCs w:val="18"/>
                <w:lang w:val="en-GB"/>
              </w:rPr>
              <w:t>Slid pow</w:t>
            </w:r>
          </w:p>
        </w:tc>
        <w:tc>
          <w:tcPr>
            <w:tcW w:w="1033" w:type="dxa"/>
            <w:tcBorders>
              <w:bottom w:val="single" w:sz="12" w:space="0" w:color="008000"/>
            </w:tcBorders>
            <w:shd w:val="clear" w:color="auto" w:fill="FFFFFF"/>
            <w:vAlign w:val="center"/>
          </w:tcPr>
          <w:p w14:paraId="73D33E18" w14:textId="51772A2D" w:rsidR="00B91DB4" w:rsidRPr="00B57B36" w:rsidRDefault="00842447" w:rsidP="00541D3C">
            <w:pPr>
              <w:pStyle w:val="CETBodytext"/>
              <w:ind w:right="-1"/>
              <w:jc w:val="center"/>
              <w:rPr>
                <w:rFonts w:cs="Arial"/>
                <w:szCs w:val="18"/>
                <w:lang w:val="en-GB"/>
              </w:rPr>
            </w:pPr>
            <w:r>
              <w:rPr>
                <w:rFonts w:cs="Arial"/>
                <w:szCs w:val="18"/>
                <w:lang w:val="en-GB"/>
              </w:rPr>
              <w:t>0.1</w:t>
            </w:r>
            <w:r w:rsidR="004E2D7B">
              <w:rPr>
                <w:rFonts w:cs="Arial"/>
                <w:szCs w:val="18"/>
                <w:lang w:val="en-GB"/>
              </w:rPr>
              <w:t>0</w:t>
            </w:r>
          </w:p>
        </w:tc>
        <w:tc>
          <w:tcPr>
            <w:tcW w:w="1639" w:type="dxa"/>
            <w:tcBorders>
              <w:bottom w:val="single" w:sz="12" w:space="0" w:color="008000"/>
            </w:tcBorders>
            <w:shd w:val="clear" w:color="auto" w:fill="FFFFFF"/>
            <w:vAlign w:val="center"/>
          </w:tcPr>
          <w:p w14:paraId="0E9153AD" w14:textId="262CAEEA" w:rsidR="00B91DB4" w:rsidRPr="00B57B36" w:rsidRDefault="00842447" w:rsidP="00541D3C">
            <w:pPr>
              <w:pStyle w:val="CETBodytext"/>
              <w:ind w:right="-1"/>
              <w:jc w:val="center"/>
              <w:rPr>
                <w:rFonts w:cs="Arial"/>
                <w:szCs w:val="18"/>
                <w:lang w:val="en-GB"/>
              </w:rPr>
            </w:pPr>
            <w:r>
              <w:rPr>
                <w:rFonts w:cs="Arial"/>
                <w:szCs w:val="18"/>
                <w:lang w:val="en-GB"/>
              </w:rPr>
              <w:t>0.50</w:t>
            </w:r>
          </w:p>
        </w:tc>
        <w:tc>
          <w:tcPr>
            <w:tcW w:w="1614" w:type="dxa"/>
            <w:tcBorders>
              <w:bottom w:val="single" w:sz="12" w:space="0" w:color="008000"/>
            </w:tcBorders>
            <w:shd w:val="clear" w:color="auto" w:fill="FFFFFF"/>
            <w:vAlign w:val="center"/>
          </w:tcPr>
          <w:p w14:paraId="595702F0" w14:textId="10D188BB" w:rsidR="00B91DB4" w:rsidRPr="00B57B36" w:rsidRDefault="004E2D7B" w:rsidP="00541D3C">
            <w:pPr>
              <w:pStyle w:val="CETBodytext"/>
              <w:ind w:right="-1"/>
              <w:jc w:val="center"/>
              <w:rPr>
                <w:rFonts w:cs="Arial"/>
                <w:szCs w:val="18"/>
                <w:lang w:val="en-GB"/>
              </w:rPr>
            </w:pPr>
            <w:r>
              <w:rPr>
                <w:rFonts w:cs="Arial"/>
                <w:szCs w:val="18"/>
                <w:lang w:val="en-GB"/>
              </w:rPr>
              <w:t>-0.70</w:t>
            </w:r>
          </w:p>
        </w:tc>
        <w:tc>
          <w:tcPr>
            <w:tcW w:w="1278" w:type="dxa"/>
            <w:tcBorders>
              <w:bottom w:val="single" w:sz="12" w:space="0" w:color="008000"/>
            </w:tcBorders>
            <w:shd w:val="clear" w:color="auto" w:fill="FFFFFF"/>
            <w:vAlign w:val="center"/>
          </w:tcPr>
          <w:p w14:paraId="689C4395" w14:textId="78B28FD2" w:rsidR="00B91DB4" w:rsidRDefault="005E6F56" w:rsidP="00B91DB4">
            <w:pPr>
              <w:pStyle w:val="CETBodytext"/>
              <w:ind w:right="-1"/>
              <w:jc w:val="center"/>
              <w:rPr>
                <w:rFonts w:cs="Arial"/>
                <w:szCs w:val="18"/>
                <w:lang w:val="en-GB"/>
              </w:rPr>
            </w:pPr>
            <w:r>
              <w:rPr>
                <w:rFonts w:cs="Arial"/>
                <w:szCs w:val="18"/>
                <w:lang w:val="en-GB"/>
              </w:rPr>
              <w:t>2.02</w:t>
            </w:r>
          </w:p>
        </w:tc>
        <w:tc>
          <w:tcPr>
            <w:tcW w:w="1512" w:type="dxa"/>
            <w:tcBorders>
              <w:bottom w:val="single" w:sz="12" w:space="0" w:color="008000"/>
            </w:tcBorders>
            <w:shd w:val="clear" w:color="auto" w:fill="FFFFFF"/>
            <w:vAlign w:val="center"/>
          </w:tcPr>
          <w:p w14:paraId="61139165" w14:textId="021A720B" w:rsidR="00B91DB4" w:rsidRDefault="005E6F56" w:rsidP="00B91DB4">
            <w:pPr>
              <w:pStyle w:val="CETBodytext"/>
              <w:ind w:right="-1"/>
              <w:jc w:val="center"/>
              <w:rPr>
                <w:rFonts w:cs="Arial"/>
                <w:szCs w:val="18"/>
                <w:lang w:val="en-GB"/>
              </w:rPr>
            </w:pPr>
            <w:r>
              <w:rPr>
                <w:rFonts w:cs="Arial"/>
                <w:szCs w:val="18"/>
                <w:lang w:val="en-GB"/>
              </w:rPr>
              <w:t>3.95</w:t>
            </w:r>
          </w:p>
        </w:tc>
      </w:tr>
    </w:tbl>
    <w:p w14:paraId="21D82F67" w14:textId="3AEBE98B" w:rsidR="000D77C5" w:rsidRDefault="000D77C5" w:rsidP="000D77C5">
      <w:pPr>
        <w:pStyle w:val="CETHeading1"/>
      </w:pPr>
      <w:r>
        <w:t>Conclusions</w:t>
      </w:r>
    </w:p>
    <w:p w14:paraId="44B4861E" w14:textId="0D5819E8" w:rsidR="00CE2678" w:rsidRDefault="00377C25" w:rsidP="00CE2678">
      <w:pPr>
        <w:pStyle w:val="CETBodytext"/>
      </w:pPr>
      <w:r>
        <w:t xml:space="preserve">The </w:t>
      </w:r>
      <w:r w:rsidR="00EA361E">
        <w:t>present study investigated the application of an IOMS at the fenceline of a WTP for the classification and quantification of odour sources. The main focus of the work was the development of specific data processing approaches based on pre-processing strategies designed to compensate for interferences related to humidity variations and sensor drift. Four different models were developed and compared with a classical approach based on raw data processing without any dedicated pre-processing.</w:t>
      </w:r>
    </w:p>
    <w:p w14:paraId="45CD50DF" w14:textId="65814C0A" w:rsidR="00DA1866" w:rsidRDefault="00E20D1A" w:rsidP="00CE2678">
      <w:pPr>
        <w:pStyle w:val="CETBodytext"/>
      </w:pPr>
      <w:r>
        <w:t xml:space="preserve">For </w:t>
      </w:r>
      <w:r w:rsidR="006F2867">
        <w:t xml:space="preserve">this case study, an independent external test set was used to evaluate the performance of both classification and regression models. This test set consisted of odour samples </w:t>
      </w:r>
      <w:proofErr w:type="spellStart"/>
      <w:r w:rsidR="006F2867">
        <w:t>analysed</w:t>
      </w:r>
      <w:proofErr w:type="spellEnd"/>
      <w:r w:rsidR="006F2867">
        <w:t xml:space="preserve"> in a separate time period following the training phase. It is important to highlight that, after model training, an anomalous condition caused one of the sensors in the array to undergo a drastic change in baseline resistance, leading to a different response </w:t>
      </w:r>
      <w:proofErr w:type="spellStart"/>
      <w:r w:rsidR="006F2867">
        <w:t>behaviour</w:t>
      </w:r>
      <w:proofErr w:type="spellEnd"/>
      <w:r w:rsidR="006F2867">
        <w:t xml:space="preserve"> during field validation.</w:t>
      </w:r>
    </w:p>
    <w:p w14:paraId="34E59497" w14:textId="66E8F25C" w:rsidR="00290A50" w:rsidRDefault="00290A50" w:rsidP="00CE2678">
      <w:pPr>
        <w:pStyle w:val="CETBodytext"/>
      </w:pPr>
      <w:r>
        <w:t xml:space="preserve">The </w:t>
      </w:r>
      <w:r w:rsidR="006F2867">
        <w:t>results demonstrate that, in the absence of pre-treatment, IOMS performance is significantly affected by this drift.</w:t>
      </w:r>
      <w:r w:rsidR="00173E5B">
        <w:t xml:space="preserve"> More in detail</w:t>
      </w:r>
      <w:r w:rsidR="006F2867">
        <w:t>, the model achieved a low classification accuracy on the external test set (44%), and the regression model was not able to correctly estimate odour concentration values. Conversely, the models developed using dedicated pre-processing strategies were still able to correctly classify odour samples, with accuracies ranging from 88% to 93%. Moreover, their quantification performance was found to be comparable with the quality criteria defined in EN 13725:2022.</w:t>
      </w:r>
    </w:p>
    <w:p w14:paraId="7FC90F99" w14:textId="3F8E5D9B" w:rsidR="00B646B0" w:rsidRDefault="00B646B0" w:rsidP="00CE2678">
      <w:pPr>
        <w:pStyle w:val="CETBodytext"/>
      </w:pPr>
      <w:r>
        <w:t xml:space="preserve">Future </w:t>
      </w:r>
      <w:r w:rsidR="006F2867">
        <w:t xml:space="preserve">studies will focus on </w:t>
      </w:r>
      <w:r w:rsidR="00E05F74">
        <w:t>trying to generalize the approaches here developed to other case studies and to other sensor arrays.</w:t>
      </w:r>
    </w:p>
    <w:p w14:paraId="3BE75639" w14:textId="2A8C8CAB" w:rsidR="000D77C5" w:rsidRPr="000D77C5" w:rsidRDefault="000D77C5" w:rsidP="000D77C5">
      <w:pPr>
        <w:pStyle w:val="CETHeadingxx"/>
      </w:pPr>
      <w:r>
        <w:t>References</w:t>
      </w:r>
    </w:p>
    <w:sdt>
      <w:sdtPr>
        <w:rPr>
          <w:lang w:val="en-US"/>
        </w:rPr>
        <w:tag w:val="MENDELEY_BIBLIOGRAPHY"/>
        <w:id w:val="-1578900454"/>
        <w:placeholder>
          <w:docPart w:val="DefaultPlaceholder_-1854013440"/>
        </w:placeholder>
      </w:sdtPr>
      <w:sdtEndPr>
        <w:rPr>
          <w:rFonts w:cs="Arial"/>
          <w:color w:val="000000"/>
        </w:rPr>
      </w:sdtEndPr>
      <w:sdtContent>
        <w:p w14:paraId="17F36E5A" w14:textId="77777777" w:rsidR="00601DE1" w:rsidRPr="00601DE1" w:rsidRDefault="00601DE1" w:rsidP="00236875">
          <w:pPr>
            <w:pStyle w:val="CETReferencetext"/>
            <w:ind w:left="-284"/>
            <w:divId w:val="72095126"/>
            <w:rPr>
              <w:szCs w:val="24"/>
            </w:rPr>
          </w:pPr>
          <w:r w:rsidRPr="00012959">
            <w:t xml:space="preserve">Bax, C., Sironi, S., &amp; Capelli, L. (2020). </w:t>
          </w:r>
          <w:r w:rsidRPr="00601DE1">
            <w:t xml:space="preserve">Definition and Application of a Protocol for Electronic Nose Field Performance Testing: Example of </w:t>
          </w:r>
          <w:proofErr w:type="spellStart"/>
          <w:r w:rsidRPr="00601DE1">
            <w:t>Odor</w:t>
          </w:r>
          <w:proofErr w:type="spellEnd"/>
          <w:r w:rsidRPr="00601DE1">
            <w:t xml:space="preserve"> Monitoring from a Tire Storage Area. </w:t>
          </w:r>
          <w:r w:rsidRPr="00601DE1">
            <w:rPr>
              <w:i/>
              <w:iCs/>
            </w:rPr>
            <w:t>Atmosphere 2020, Vol. 11, Page 426</w:t>
          </w:r>
          <w:r w:rsidRPr="00601DE1">
            <w:t xml:space="preserve">, </w:t>
          </w:r>
          <w:r w:rsidRPr="00601DE1">
            <w:rPr>
              <w:i/>
              <w:iCs/>
            </w:rPr>
            <w:t>11</w:t>
          </w:r>
          <w:r w:rsidRPr="00601DE1">
            <w:t>(4), 426. https://doi.org/10.3390/ATMOS11040426</w:t>
          </w:r>
        </w:p>
        <w:p w14:paraId="70DD35AE" w14:textId="77777777" w:rsidR="00601DE1" w:rsidRPr="00601DE1" w:rsidRDefault="00601DE1" w:rsidP="00236875">
          <w:pPr>
            <w:pStyle w:val="CETReferencetext"/>
            <w:ind w:left="-284"/>
            <w:divId w:val="443312022"/>
          </w:pPr>
          <w:proofErr w:type="spellStart"/>
          <w:r w:rsidRPr="00601DE1">
            <w:t>Bokowa</w:t>
          </w:r>
          <w:proofErr w:type="spellEnd"/>
          <w:r w:rsidRPr="00601DE1">
            <w:t xml:space="preserve">, A., Diaz, C., </w:t>
          </w:r>
          <w:proofErr w:type="spellStart"/>
          <w:r w:rsidRPr="00601DE1">
            <w:t>Koziel</w:t>
          </w:r>
          <w:proofErr w:type="spellEnd"/>
          <w:r w:rsidRPr="00601DE1">
            <w:t xml:space="preserve">, J. A., McGinley, M., Barclay, J., </w:t>
          </w:r>
          <w:proofErr w:type="spellStart"/>
          <w:r w:rsidRPr="00601DE1">
            <w:t>Schauberger</w:t>
          </w:r>
          <w:proofErr w:type="spellEnd"/>
          <w:r w:rsidRPr="00601DE1">
            <w:t xml:space="preserve">, G., Guillot, J. M., Sneath, R., Capelli, L., </w:t>
          </w:r>
          <w:proofErr w:type="spellStart"/>
          <w:r w:rsidRPr="00601DE1">
            <w:t>Zorich</w:t>
          </w:r>
          <w:proofErr w:type="spellEnd"/>
          <w:r w:rsidRPr="00601DE1">
            <w:t xml:space="preserve">, V., </w:t>
          </w:r>
          <w:proofErr w:type="spellStart"/>
          <w:r w:rsidRPr="00601DE1">
            <w:t>Izquierdo</w:t>
          </w:r>
          <w:proofErr w:type="spellEnd"/>
          <w:r w:rsidRPr="00601DE1">
            <w:t xml:space="preserve">, C., </w:t>
          </w:r>
          <w:proofErr w:type="spellStart"/>
          <w:r w:rsidRPr="00601DE1">
            <w:t>Bilsen</w:t>
          </w:r>
          <w:proofErr w:type="spellEnd"/>
          <w:r w:rsidRPr="00601DE1">
            <w:t xml:space="preserve">, I., Romain, A. C., Del Carmen Cabeza, M., Liu, D., Both, R., Van </w:t>
          </w:r>
          <w:proofErr w:type="spellStart"/>
          <w:r w:rsidRPr="00601DE1">
            <w:t>Belois</w:t>
          </w:r>
          <w:proofErr w:type="spellEnd"/>
          <w:r w:rsidRPr="00601DE1">
            <w:t xml:space="preserve">, H., Higuchi, T., &amp; </w:t>
          </w:r>
          <w:proofErr w:type="spellStart"/>
          <w:r w:rsidRPr="00601DE1">
            <w:t>Wahe</w:t>
          </w:r>
          <w:proofErr w:type="spellEnd"/>
          <w:r w:rsidRPr="00601DE1">
            <w:t xml:space="preserve">, L. (2021). Summary and overview of the odour </w:t>
          </w:r>
          <w:proofErr w:type="spellStart"/>
          <w:r w:rsidRPr="00601DE1">
            <w:t>regulationsworldwide</w:t>
          </w:r>
          <w:proofErr w:type="spellEnd"/>
          <w:r w:rsidRPr="00601DE1">
            <w:t xml:space="preserve">. </w:t>
          </w:r>
          <w:r w:rsidRPr="00601DE1">
            <w:rPr>
              <w:i/>
              <w:iCs/>
            </w:rPr>
            <w:t>Atmosphere</w:t>
          </w:r>
          <w:r w:rsidRPr="00601DE1">
            <w:t xml:space="preserve">, </w:t>
          </w:r>
          <w:r w:rsidRPr="00601DE1">
            <w:rPr>
              <w:i/>
              <w:iCs/>
            </w:rPr>
            <w:t>12</w:t>
          </w:r>
          <w:r w:rsidRPr="00601DE1">
            <w:t>(2). https://doi.org/10.3390/ATMOS12020206</w:t>
          </w:r>
        </w:p>
        <w:p w14:paraId="71613CE2" w14:textId="77777777" w:rsidR="00601DE1" w:rsidRPr="00601DE1" w:rsidRDefault="00601DE1" w:rsidP="00236875">
          <w:pPr>
            <w:pStyle w:val="CETReferencetext"/>
            <w:ind w:left="-284"/>
            <w:divId w:val="398409004"/>
          </w:pPr>
          <w:r w:rsidRPr="00601DE1">
            <w:t xml:space="preserve">CEN. (2022). EN 13725:2022. Stationary source emissions - Determination of odour concentration by dynamic olfactometry and odour emission rate. In </w:t>
          </w:r>
          <w:r w:rsidRPr="00601DE1">
            <w:rPr>
              <w:i/>
              <w:iCs/>
            </w:rPr>
            <w:t>CEN: Brussels, Belgium</w:t>
          </w:r>
          <w:r w:rsidRPr="00601DE1">
            <w:t>.</w:t>
          </w:r>
        </w:p>
        <w:p w14:paraId="3A69A0DD" w14:textId="77777777" w:rsidR="00601DE1" w:rsidRPr="00601DE1" w:rsidRDefault="00601DE1" w:rsidP="00236875">
          <w:pPr>
            <w:pStyle w:val="CETReferencetext"/>
            <w:ind w:left="-284"/>
            <w:divId w:val="1327172000"/>
          </w:pPr>
          <w:proofErr w:type="spellStart"/>
          <w:r w:rsidRPr="00601DE1">
            <w:t>Fearn</w:t>
          </w:r>
          <w:proofErr w:type="spellEnd"/>
          <w:r w:rsidRPr="00601DE1">
            <w:t xml:space="preserve">, T. (2000). On orthogonal signal correction. </w:t>
          </w:r>
          <w:r w:rsidRPr="00601DE1">
            <w:rPr>
              <w:i/>
              <w:iCs/>
            </w:rPr>
            <w:t>Chemometrics and Intelligent Laboratory Systems</w:t>
          </w:r>
          <w:r w:rsidRPr="00601DE1">
            <w:t xml:space="preserve">, </w:t>
          </w:r>
          <w:r w:rsidRPr="00601DE1">
            <w:rPr>
              <w:i/>
              <w:iCs/>
            </w:rPr>
            <w:t>50</w:t>
          </w:r>
          <w:r w:rsidRPr="00601DE1">
            <w:t>(1), 47–52. https://doi.org/10.1016/S0169-7439(99)00045-3</w:t>
          </w:r>
        </w:p>
        <w:p w14:paraId="014D1462" w14:textId="77777777" w:rsidR="00601DE1" w:rsidRPr="00601DE1" w:rsidRDefault="00601DE1" w:rsidP="00236875">
          <w:pPr>
            <w:pStyle w:val="CETReferencetext"/>
            <w:ind w:left="-284"/>
            <w:divId w:val="1196499224"/>
            <w:rPr>
              <w:lang w:val="it-IT"/>
            </w:rPr>
          </w:pPr>
          <w:proofErr w:type="spellStart"/>
          <w:r w:rsidRPr="00601DE1">
            <w:rPr>
              <w:lang w:val="da-DK"/>
            </w:rPr>
            <w:t>Giavarina</w:t>
          </w:r>
          <w:proofErr w:type="spellEnd"/>
          <w:r w:rsidRPr="00601DE1">
            <w:rPr>
              <w:lang w:val="da-DK"/>
            </w:rPr>
            <w:t xml:space="preserve">, D. (2015). </w:t>
          </w:r>
          <w:proofErr w:type="spellStart"/>
          <w:r w:rsidRPr="00601DE1">
            <w:rPr>
              <w:lang w:val="da-DK"/>
            </w:rPr>
            <w:t>Understanding</w:t>
          </w:r>
          <w:proofErr w:type="spellEnd"/>
          <w:r w:rsidRPr="00601DE1">
            <w:rPr>
              <w:lang w:val="da-DK"/>
            </w:rPr>
            <w:t xml:space="preserve"> Bland </w:t>
          </w:r>
          <w:proofErr w:type="spellStart"/>
          <w:r w:rsidRPr="00601DE1">
            <w:rPr>
              <w:lang w:val="da-DK"/>
            </w:rPr>
            <w:t>Altman</w:t>
          </w:r>
          <w:proofErr w:type="spellEnd"/>
          <w:r w:rsidRPr="00601DE1">
            <w:rPr>
              <w:lang w:val="da-DK"/>
            </w:rPr>
            <w:t xml:space="preserve"> </w:t>
          </w:r>
          <w:proofErr w:type="spellStart"/>
          <w:r w:rsidRPr="00601DE1">
            <w:rPr>
              <w:lang w:val="da-DK"/>
            </w:rPr>
            <w:t>analysis</w:t>
          </w:r>
          <w:proofErr w:type="spellEnd"/>
          <w:r w:rsidRPr="00601DE1">
            <w:rPr>
              <w:lang w:val="da-DK"/>
            </w:rPr>
            <w:t xml:space="preserve">. </w:t>
          </w:r>
          <w:proofErr w:type="spellStart"/>
          <w:r w:rsidRPr="00601DE1">
            <w:rPr>
              <w:i/>
              <w:iCs/>
              <w:lang w:val="it-IT"/>
            </w:rPr>
            <w:t>Biochemia</w:t>
          </w:r>
          <w:proofErr w:type="spellEnd"/>
          <w:r w:rsidRPr="00601DE1">
            <w:rPr>
              <w:i/>
              <w:iCs/>
              <w:lang w:val="it-IT"/>
            </w:rPr>
            <w:t xml:space="preserve"> Medica</w:t>
          </w:r>
          <w:r w:rsidRPr="00601DE1">
            <w:rPr>
              <w:lang w:val="it-IT"/>
            </w:rPr>
            <w:t xml:space="preserve">, </w:t>
          </w:r>
          <w:r w:rsidRPr="00601DE1">
            <w:rPr>
              <w:i/>
              <w:iCs/>
              <w:lang w:val="it-IT"/>
            </w:rPr>
            <w:t>25</w:t>
          </w:r>
          <w:r w:rsidRPr="00601DE1">
            <w:rPr>
              <w:lang w:val="it-IT"/>
            </w:rPr>
            <w:t>(2), 141. https://doi.org/10.11613/BM.2015.015</w:t>
          </w:r>
        </w:p>
        <w:p w14:paraId="05139BC4" w14:textId="77777777" w:rsidR="00601DE1" w:rsidRPr="00601DE1" w:rsidRDefault="00601DE1" w:rsidP="00236875">
          <w:pPr>
            <w:pStyle w:val="CETReferencetext"/>
            <w:ind w:left="-284"/>
            <w:divId w:val="435755336"/>
          </w:pPr>
          <w:proofErr w:type="spellStart"/>
          <w:r w:rsidRPr="00601DE1">
            <w:rPr>
              <w:lang w:val="it-IT"/>
            </w:rPr>
            <w:t>Kursa</w:t>
          </w:r>
          <w:proofErr w:type="spellEnd"/>
          <w:r w:rsidRPr="00601DE1">
            <w:rPr>
              <w:lang w:val="it-IT"/>
            </w:rPr>
            <w:t xml:space="preserve">, M. B., </w:t>
          </w:r>
          <w:proofErr w:type="spellStart"/>
          <w:r w:rsidRPr="00601DE1">
            <w:rPr>
              <w:lang w:val="it-IT"/>
            </w:rPr>
            <w:t>Jankowski</w:t>
          </w:r>
          <w:proofErr w:type="spellEnd"/>
          <w:r w:rsidRPr="00601DE1">
            <w:rPr>
              <w:lang w:val="it-IT"/>
            </w:rPr>
            <w:t xml:space="preserve">, A., &amp; </w:t>
          </w:r>
          <w:proofErr w:type="spellStart"/>
          <w:r w:rsidRPr="00601DE1">
            <w:rPr>
              <w:lang w:val="it-IT"/>
            </w:rPr>
            <w:t>Rudnicki</w:t>
          </w:r>
          <w:proofErr w:type="spellEnd"/>
          <w:r w:rsidRPr="00601DE1">
            <w:rPr>
              <w:lang w:val="it-IT"/>
            </w:rPr>
            <w:t xml:space="preserve">, W. R. (2010). </w:t>
          </w:r>
          <w:r w:rsidRPr="00601DE1">
            <w:t xml:space="preserve">Boruta - A system for feature selection. </w:t>
          </w:r>
          <w:proofErr w:type="spellStart"/>
          <w:r w:rsidRPr="00601DE1">
            <w:rPr>
              <w:i/>
              <w:iCs/>
            </w:rPr>
            <w:t>Fundamenta</w:t>
          </w:r>
          <w:proofErr w:type="spellEnd"/>
          <w:r w:rsidRPr="00601DE1">
            <w:rPr>
              <w:i/>
              <w:iCs/>
            </w:rPr>
            <w:t xml:space="preserve"> </w:t>
          </w:r>
          <w:proofErr w:type="spellStart"/>
          <w:r w:rsidRPr="00601DE1">
            <w:rPr>
              <w:i/>
              <w:iCs/>
            </w:rPr>
            <w:t>Informaticae</w:t>
          </w:r>
          <w:proofErr w:type="spellEnd"/>
          <w:r w:rsidRPr="00601DE1">
            <w:t xml:space="preserve">, </w:t>
          </w:r>
          <w:r w:rsidRPr="00601DE1">
            <w:rPr>
              <w:i/>
              <w:iCs/>
            </w:rPr>
            <w:t>101</w:t>
          </w:r>
          <w:r w:rsidRPr="00601DE1">
            <w:t>(4), 271–285.</w:t>
          </w:r>
        </w:p>
        <w:p w14:paraId="5C4B6F77" w14:textId="77777777" w:rsidR="00601DE1" w:rsidRPr="00012959" w:rsidRDefault="00601DE1" w:rsidP="00236875">
          <w:pPr>
            <w:pStyle w:val="CETReferencetext"/>
            <w:ind w:left="-284"/>
            <w:divId w:val="1990360747"/>
            <w:rPr>
              <w:lang w:val="it-IT"/>
            </w:rPr>
          </w:pPr>
          <w:r w:rsidRPr="00601DE1">
            <w:t xml:space="preserve">Ren, L., Cheng, G., Chen, W., Li, P., &amp; Wang, Z. (2024). Advances in drift compensation algorithms for electronic nose technology. </w:t>
          </w:r>
          <w:r w:rsidRPr="00012959">
            <w:rPr>
              <w:i/>
              <w:iCs/>
              <w:lang w:val="it-IT"/>
            </w:rPr>
            <w:t>Sensor Review</w:t>
          </w:r>
          <w:r w:rsidRPr="00012959">
            <w:rPr>
              <w:lang w:val="it-IT"/>
            </w:rPr>
            <w:t xml:space="preserve">, </w:t>
          </w:r>
          <w:r w:rsidRPr="00012959">
            <w:rPr>
              <w:i/>
              <w:iCs/>
              <w:lang w:val="it-IT"/>
            </w:rPr>
            <w:t>44</w:t>
          </w:r>
          <w:r w:rsidRPr="00012959">
            <w:rPr>
              <w:lang w:val="it-IT"/>
            </w:rPr>
            <w:t>(6), 733–745. https://doi.org/10.1108/SR-06-2024-0554/FULL/PDF</w:t>
          </w:r>
        </w:p>
        <w:p w14:paraId="55001595" w14:textId="77777777" w:rsidR="00601DE1" w:rsidRPr="00601DE1" w:rsidRDefault="00601DE1" w:rsidP="00236875">
          <w:pPr>
            <w:pStyle w:val="CETReferencetext"/>
            <w:ind w:left="-284"/>
            <w:divId w:val="228615815"/>
            <w:rPr>
              <w:lang w:val="it-IT"/>
            </w:rPr>
          </w:pPr>
          <w:r w:rsidRPr="00601DE1">
            <w:rPr>
              <w:lang w:val="it-IT"/>
            </w:rPr>
            <w:t xml:space="preserve">Robbiani, S., Lotesoriere, B. J., </w:t>
          </w:r>
          <w:proofErr w:type="spellStart"/>
          <w:r w:rsidRPr="00601DE1">
            <w:rPr>
              <w:lang w:val="it-IT"/>
            </w:rPr>
            <w:t>Dellacà</w:t>
          </w:r>
          <w:proofErr w:type="spellEnd"/>
          <w:r w:rsidRPr="00601DE1">
            <w:rPr>
              <w:lang w:val="it-IT"/>
            </w:rPr>
            <w:t xml:space="preserve">, R. L., &amp; Capelli, L. (2023). </w:t>
          </w:r>
          <w:r w:rsidRPr="00601DE1">
            <w:t xml:space="preserve">Physical Confounding Factors Affecting Gas Sensors Response: A Review on Effects and Compensation Strategies for Electronic Nose Applications. </w:t>
          </w:r>
          <w:proofErr w:type="spellStart"/>
          <w:r w:rsidRPr="00601DE1">
            <w:rPr>
              <w:i/>
              <w:iCs/>
              <w:lang w:val="it-IT"/>
            </w:rPr>
            <w:t>Chemosensors</w:t>
          </w:r>
          <w:proofErr w:type="spellEnd"/>
          <w:r w:rsidRPr="00601DE1">
            <w:rPr>
              <w:i/>
              <w:iCs/>
              <w:lang w:val="it-IT"/>
            </w:rPr>
            <w:t xml:space="preserve"> 2023, Vol. 11, Page 514</w:t>
          </w:r>
          <w:r w:rsidRPr="00601DE1">
            <w:rPr>
              <w:lang w:val="it-IT"/>
            </w:rPr>
            <w:t xml:space="preserve">, </w:t>
          </w:r>
          <w:r w:rsidRPr="00601DE1">
            <w:rPr>
              <w:i/>
              <w:iCs/>
              <w:lang w:val="it-IT"/>
            </w:rPr>
            <w:t>11</w:t>
          </w:r>
          <w:r w:rsidRPr="00601DE1">
            <w:rPr>
              <w:lang w:val="it-IT"/>
            </w:rPr>
            <w:t>(10), 514. https://doi.org/10.3390/CHEMOSENSORS11100514</w:t>
          </w:r>
        </w:p>
        <w:p w14:paraId="7F48DE8D" w14:textId="77777777" w:rsidR="00601DE1" w:rsidRPr="00601DE1" w:rsidRDefault="00601DE1" w:rsidP="00236875">
          <w:pPr>
            <w:pStyle w:val="CETReferencetext"/>
            <w:ind w:left="-284"/>
            <w:divId w:val="1707871099"/>
          </w:pPr>
          <w:r w:rsidRPr="00601DE1">
            <w:rPr>
              <w:lang w:val="it-IT"/>
            </w:rPr>
            <w:t>UNI. (2023). UNI 11761:2023. Emissioni e qualità dell’aria - Misurazione strumentale degli odori tramite IOMS (</w:t>
          </w:r>
          <w:proofErr w:type="spellStart"/>
          <w:r w:rsidRPr="00601DE1">
            <w:rPr>
              <w:lang w:val="it-IT"/>
            </w:rPr>
            <w:t>Instrumental</w:t>
          </w:r>
          <w:proofErr w:type="spellEnd"/>
          <w:r w:rsidRPr="00601DE1">
            <w:rPr>
              <w:lang w:val="it-IT"/>
            </w:rPr>
            <w:t xml:space="preserve"> Odour Monitoring Systems). </w:t>
          </w:r>
          <w:r w:rsidRPr="00601DE1">
            <w:t xml:space="preserve">In </w:t>
          </w:r>
          <w:r w:rsidRPr="00601DE1">
            <w:rPr>
              <w:i/>
              <w:iCs/>
            </w:rPr>
            <w:t>UNI, Milano, Italy</w:t>
          </w:r>
          <w:r w:rsidRPr="00601DE1">
            <w:t>.</w:t>
          </w:r>
        </w:p>
        <w:p w14:paraId="19C4FC68" w14:textId="1874510B" w:rsidR="004628D2" w:rsidRDefault="00601DE1" w:rsidP="00B31C65">
          <w:pPr>
            <w:pStyle w:val="CETBodytext"/>
          </w:pPr>
          <w:r w:rsidRPr="00601DE1">
            <w:rPr>
              <w:rFonts w:cs="Arial"/>
              <w:color w:val="000000"/>
            </w:rPr>
            <w:lastRenderedPageBreak/>
            <w:t> </w:t>
          </w:r>
        </w:p>
      </w:sdtContent>
    </w:sdt>
    <w:sectPr w:rsidR="004628D2"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A7BE6" w14:textId="77777777" w:rsidR="007D73E2" w:rsidRDefault="007D73E2" w:rsidP="004F5E36">
      <w:r>
        <w:separator/>
      </w:r>
    </w:p>
  </w:endnote>
  <w:endnote w:type="continuationSeparator" w:id="0">
    <w:p w14:paraId="25A94001" w14:textId="77777777" w:rsidR="007D73E2" w:rsidRDefault="007D73E2"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DCC66" w14:textId="77777777" w:rsidR="007D73E2" w:rsidRDefault="007D73E2" w:rsidP="004F5E36">
      <w:r>
        <w:separator/>
      </w:r>
    </w:p>
  </w:footnote>
  <w:footnote w:type="continuationSeparator" w:id="0">
    <w:p w14:paraId="580A6CDB" w14:textId="77777777" w:rsidR="007D73E2" w:rsidRDefault="007D73E2"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18DD13E3"/>
    <w:multiLevelType w:val="hybridMultilevel"/>
    <w:tmpl w:val="3C1C6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2"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9"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8"/>
  </w:num>
  <w:num w:numId="13">
    <w:abstractNumId w:val="13"/>
  </w:num>
  <w:num w:numId="14">
    <w:abstractNumId w:val="19"/>
  </w:num>
  <w:num w:numId="15">
    <w:abstractNumId w:val="21"/>
  </w:num>
  <w:num w:numId="16">
    <w:abstractNumId w:val="20"/>
  </w:num>
  <w:num w:numId="17">
    <w:abstractNumId w:val="12"/>
  </w:num>
  <w:num w:numId="18">
    <w:abstractNumId w:val="13"/>
    <w:lvlOverride w:ilvl="0">
      <w:startOverride w:val="1"/>
    </w:lvlOverride>
  </w:num>
  <w:num w:numId="19">
    <w:abstractNumId w:val="17"/>
  </w:num>
  <w:num w:numId="20">
    <w:abstractNumId w:val="16"/>
  </w:num>
  <w:num w:numId="21">
    <w:abstractNumId w:val="15"/>
  </w:num>
  <w:num w:numId="22">
    <w:abstractNumId w:val="1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308E"/>
    <w:rsid w:val="000052FB"/>
    <w:rsid w:val="00005884"/>
    <w:rsid w:val="00005A19"/>
    <w:rsid w:val="000117CB"/>
    <w:rsid w:val="00012959"/>
    <w:rsid w:val="0001558C"/>
    <w:rsid w:val="00016F45"/>
    <w:rsid w:val="00017781"/>
    <w:rsid w:val="00020793"/>
    <w:rsid w:val="00027635"/>
    <w:rsid w:val="00027A24"/>
    <w:rsid w:val="00027D47"/>
    <w:rsid w:val="0003148D"/>
    <w:rsid w:val="00031EEC"/>
    <w:rsid w:val="00032065"/>
    <w:rsid w:val="00041BCD"/>
    <w:rsid w:val="000510BC"/>
    <w:rsid w:val="00051566"/>
    <w:rsid w:val="0005333B"/>
    <w:rsid w:val="000562A9"/>
    <w:rsid w:val="00061B6E"/>
    <w:rsid w:val="00062770"/>
    <w:rsid w:val="00062A9A"/>
    <w:rsid w:val="00064085"/>
    <w:rsid w:val="00065058"/>
    <w:rsid w:val="000653CB"/>
    <w:rsid w:val="000671C3"/>
    <w:rsid w:val="00067D72"/>
    <w:rsid w:val="0007014F"/>
    <w:rsid w:val="0007066B"/>
    <w:rsid w:val="0007098D"/>
    <w:rsid w:val="00071046"/>
    <w:rsid w:val="00071EE5"/>
    <w:rsid w:val="00072848"/>
    <w:rsid w:val="00086C39"/>
    <w:rsid w:val="00094205"/>
    <w:rsid w:val="00094D4E"/>
    <w:rsid w:val="000A03B2"/>
    <w:rsid w:val="000A12E1"/>
    <w:rsid w:val="000A2408"/>
    <w:rsid w:val="000A35DF"/>
    <w:rsid w:val="000A7209"/>
    <w:rsid w:val="000B5BA9"/>
    <w:rsid w:val="000B6FDF"/>
    <w:rsid w:val="000C1364"/>
    <w:rsid w:val="000C6667"/>
    <w:rsid w:val="000D0268"/>
    <w:rsid w:val="000D34BE"/>
    <w:rsid w:val="000D6323"/>
    <w:rsid w:val="000D6F30"/>
    <w:rsid w:val="000D7716"/>
    <w:rsid w:val="000D77C5"/>
    <w:rsid w:val="000E102F"/>
    <w:rsid w:val="000E36F1"/>
    <w:rsid w:val="000E3A73"/>
    <w:rsid w:val="000E414A"/>
    <w:rsid w:val="000E75FD"/>
    <w:rsid w:val="000F093C"/>
    <w:rsid w:val="000F4D60"/>
    <w:rsid w:val="000F787B"/>
    <w:rsid w:val="00101E07"/>
    <w:rsid w:val="0010393E"/>
    <w:rsid w:val="00110249"/>
    <w:rsid w:val="0011129E"/>
    <w:rsid w:val="00112AB2"/>
    <w:rsid w:val="0012091F"/>
    <w:rsid w:val="00124AAD"/>
    <w:rsid w:val="00126BC2"/>
    <w:rsid w:val="001271A2"/>
    <w:rsid w:val="001308B6"/>
    <w:rsid w:val="00130F9E"/>
    <w:rsid w:val="0013121F"/>
    <w:rsid w:val="00131FE6"/>
    <w:rsid w:val="0013263F"/>
    <w:rsid w:val="001331DF"/>
    <w:rsid w:val="00134DE4"/>
    <w:rsid w:val="0014034D"/>
    <w:rsid w:val="00140FE3"/>
    <w:rsid w:val="00142901"/>
    <w:rsid w:val="00142ABF"/>
    <w:rsid w:val="00143213"/>
    <w:rsid w:val="00143D7A"/>
    <w:rsid w:val="00144D16"/>
    <w:rsid w:val="001461DA"/>
    <w:rsid w:val="00147888"/>
    <w:rsid w:val="00150E59"/>
    <w:rsid w:val="0015213C"/>
    <w:rsid w:val="00152CC4"/>
    <w:rsid w:val="00152DE3"/>
    <w:rsid w:val="00163453"/>
    <w:rsid w:val="001634B2"/>
    <w:rsid w:val="00164CF9"/>
    <w:rsid w:val="001667A6"/>
    <w:rsid w:val="00171A29"/>
    <w:rsid w:val="001724EA"/>
    <w:rsid w:val="00173E5B"/>
    <w:rsid w:val="00177231"/>
    <w:rsid w:val="001772E8"/>
    <w:rsid w:val="0018086F"/>
    <w:rsid w:val="0018143E"/>
    <w:rsid w:val="00184AD6"/>
    <w:rsid w:val="00190137"/>
    <w:rsid w:val="001932C9"/>
    <w:rsid w:val="001944DE"/>
    <w:rsid w:val="001A0154"/>
    <w:rsid w:val="001A3BF5"/>
    <w:rsid w:val="001A4AF7"/>
    <w:rsid w:val="001A4FC1"/>
    <w:rsid w:val="001A6B1A"/>
    <w:rsid w:val="001B0349"/>
    <w:rsid w:val="001B1E93"/>
    <w:rsid w:val="001B3862"/>
    <w:rsid w:val="001B65C1"/>
    <w:rsid w:val="001C260F"/>
    <w:rsid w:val="001C33F1"/>
    <w:rsid w:val="001C372C"/>
    <w:rsid w:val="001C4DDC"/>
    <w:rsid w:val="001C505D"/>
    <w:rsid w:val="001C6482"/>
    <w:rsid w:val="001C684B"/>
    <w:rsid w:val="001D0CFB"/>
    <w:rsid w:val="001D21AF"/>
    <w:rsid w:val="001D53FC"/>
    <w:rsid w:val="001E1E37"/>
    <w:rsid w:val="001F1469"/>
    <w:rsid w:val="001F24A6"/>
    <w:rsid w:val="001F42A5"/>
    <w:rsid w:val="001F4AE4"/>
    <w:rsid w:val="001F4AF2"/>
    <w:rsid w:val="001F7B9D"/>
    <w:rsid w:val="00201C93"/>
    <w:rsid w:val="002040D5"/>
    <w:rsid w:val="00207FA0"/>
    <w:rsid w:val="00211343"/>
    <w:rsid w:val="00214E1E"/>
    <w:rsid w:val="0021613E"/>
    <w:rsid w:val="002224B4"/>
    <w:rsid w:val="00225DED"/>
    <w:rsid w:val="00236875"/>
    <w:rsid w:val="002428D2"/>
    <w:rsid w:val="002447EF"/>
    <w:rsid w:val="00247136"/>
    <w:rsid w:val="00247A2A"/>
    <w:rsid w:val="00251550"/>
    <w:rsid w:val="00257F63"/>
    <w:rsid w:val="00263B05"/>
    <w:rsid w:val="00264C8E"/>
    <w:rsid w:val="0026653F"/>
    <w:rsid w:val="0026703C"/>
    <w:rsid w:val="00270041"/>
    <w:rsid w:val="00271714"/>
    <w:rsid w:val="00271A05"/>
    <w:rsid w:val="0027221A"/>
    <w:rsid w:val="00274323"/>
    <w:rsid w:val="00275489"/>
    <w:rsid w:val="00275B61"/>
    <w:rsid w:val="00280FAF"/>
    <w:rsid w:val="00282656"/>
    <w:rsid w:val="00282706"/>
    <w:rsid w:val="00284535"/>
    <w:rsid w:val="00285C09"/>
    <w:rsid w:val="00290A50"/>
    <w:rsid w:val="00296B83"/>
    <w:rsid w:val="002972E9"/>
    <w:rsid w:val="002A06C3"/>
    <w:rsid w:val="002A2B5C"/>
    <w:rsid w:val="002A4A52"/>
    <w:rsid w:val="002B0270"/>
    <w:rsid w:val="002B12F4"/>
    <w:rsid w:val="002B3451"/>
    <w:rsid w:val="002B4015"/>
    <w:rsid w:val="002B5E8F"/>
    <w:rsid w:val="002B658C"/>
    <w:rsid w:val="002B78CE"/>
    <w:rsid w:val="002C219D"/>
    <w:rsid w:val="002C2FB6"/>
    <w:rsid w:val="002C75EC"/>
    <w:rsid w:val="002C7E36"/>
    <w:rsid w:val="002D0C11"/>
    <w:rsid w:val="002D0DE5"/>
    <w:rsid w:val="002D68AB"/>
    <w:rsid w:val="002E2D96"/>
    <w:rsid w:val="002E5FA7"/>
    <w:rsid w:val="002E72BC"/>
    <w:rsid w:val="002E79B2"/>
    <w:rsid w:val="002F1F1B"/>
    <w:rsid w:val="002F3309"/>
    <w:rsid w:val="002F52FC"/>
    <w:rsid w:val="002F535F"/>
    <w:rsid w:val="002F63DF"/>
    <w:rsid w:val="003008CE"/>
    <w:rsid w:val="003009B7"/>
    <w:rsid w:val="00300E56"/>
    <w:rsid w:val="0030152C"/>
    <w:rsid w:val="003041A1"/>
    <w:rsid w:val="0030469C"/>
    <w:rsid w:val="0031665D"/>
    <w:rsid w:val="00321CA6"/>
    <w:rsid w:val="00323763"/>
    <w:rsid w:val="00323C5F"/>
    <w:rsid w:val="003279B1"/>
    <w:rsid w:val="003308C0"/>
    <w:rsid w:val="00333242"/>
    <w:rsid w:val="00334175"/>
    <w:rsid w:val="00334C09"/>
    <w:rsid w:val="00334DD3"/>
    <w:rsid w:val="00337E13"/>
    <w:rsid w:val="003416E8"/>
    <w:rsid w:val="00345A08"/>
    <w:rsid w:val="0034739D"/>
    <w:rsid w:val="00352885"/>
    <w:rsid w:val="003600F6"/>
    <w:rsid w:val="0036296A"/>
    <w:rsid w:val="00364445"/>
    <w:rsid w:val="0036590B"/>
    <w:rsid w:val="003723D4"/>
    <w:rsid w:val="00372BB8"/>
    <w:rsid w:val="003741CB"/>
    <w:rsid w:val="00377979"/>
    <w:rsid w:val="00377C25"/>
    <w:rsid w:val="00381905"/>
    <w:rsid w:val="00384CC8"/>
    <w:rsid w:val="00385E7D"/>
    <w:rsid w:val="003871FD"/>
    <w:rsid w:val="003927D0"/>
    <w:rsid w:val="003A1E30"/>
    <w:rsid w:val="003A2829"/>
    <w:rsid w:val="003A2D7B"/>
    <w:rsid w:val="003A3926"/>
    <w:rsid w:val="003A5E10"/>
    <w:rsid w:val="003A7D1C"/>
    <w:rsid w:val="003B2646"/>
    <w:rsid w:val="003B2837"/>
    <w:rsid w:val="003B304B"/>
    <w:rsid w:val="003B3146"/>
    <w:rsid w:val="003B3466"/>
    <w:rsid w:val="003C11CC"/>
    <w:rsid w:val="003C46B9"/>
    <w:rsid w:val="003C484C"/>
    <w:rsid w:val="003D1E02"/>
    <w:rsid w:val="003E1135"/>
    <w:rsid w:val="003F015E"/>
    <w:rsid w:val="003F066F"/>
    <w:rsid w:val="003F162C"/>
    <w:rsid w:val="00400414"/>
    <w:rsid w:val="00402CCC"/>
    <w:rsid w:val="00404D82"/>
    <w:rsid w:val="0040508A"/>
    <w:rsid w:val="00411BA8"/>
    <w:rsid w:val="0041446B"/>
    <w:rsid w:val="00417D29"/>
    <w:rsid w:val="00420542"/>
    <w:rsid w:val="00424546"/>
    <w:rsid w:val="00427E96"/>
    <w:rsid w:val="00434E85"/>
    <w:rsid w:val="00437319"/>
    <w:rsid w:val="0044071E"/>
    <w:rsid w:val="0044101F"/>
    <w:rsid w:val="0044329C"/>
    <w:rsid w:val="00443C56"/>
    <w:rsid w:val="0045222D"/>
    <w:rsid w:val="00453E24"/>
    <w:rsid w:val="004569C4"/>
    <w:rsid w:val="00457006"/>
    <w:rsid w:val="00457456"/>
    <w:rsid w:val="004577FE"/>
    <w:rsid w:val="00457B9C"/>
    <w:rsid w:val="00460591"/>
    <w:rsid w:val="0046164A"/>
    <w:rsid w:val="004628D2"/>
    <w:rsid w:val="00462DCD"/>
    <w:rsid w:val="00463DC0"/>
    <w:rsid w:val="004648AD"/>
    <w:rsid w:val="00466EDB"/>
    <w:rsid w:val="004703A9"/>
    <w:rsid w:val="004727C0"/>
    <w:rsid w:val="00472A8E"/>
    <w:rsid w:val="004760DE"/>
    <w:rsid w:val="004763D7"/>
    <w:rsid w:val="00480453"/>
    <w:rsid w:val="0048104F"/>
    <w:rsid w:val="00481184"/>
    <w:rsid w:val="00481752"/>
    <w:rsid w:val="004874B7"/>
    <w:rsid w:val="00487951"/>
    <w:rsid w:val="00490B47"/>
    <w:rsid w:val="00495D1D"/>
    <w:rsid w:val="004A004E"/>
    <w:rsid w:val="004A2351"/>
    <w:rsid w:val="004A24CF"/>
    <w:rsid w:val="004A4FF5"/>
    <w:rsid w:val="004A5E57"/>
    <w:rsid w:val="004A61C6"/>
    <w:rsid w:val="004B1CD8"/>
    <w:rsid w:val="004B39C3"/>
    <w:rsid w:val="004C194F"/>
    <w:rsid w:val="004C3D1D"/>
    <w:rsid w:val="004C3D84"/>
    <w:rsid w:val="004C5B69"/>
    <w:rsid w:val="004C7913"/>
    <w:rsid w:val="004D04B1"/>
    <w:rsid w:val="004D5344"/>
    <w:rsid w:val="004E2AF3"/>
    <w:rsid w:val="004E2D7B"/>
    <w:rsid w:val="004E45B8"/>
    <w:rsid w:val="004E4DD6"/>
    <w:rsid w:val="004F5E36"/>
    <w:rsid w:val="004F74AF"/>
    <w:rsid w:val="0050187B"/>
    <w:rsid w:val="005058E4"/>
    <w:rsid w:val="00507B47"/>
    <w:rsid w:val="00507BEF"/>
    <w:rsid w:val="00507C86"/>
    <w:rsid w:val="00507CC9"/>
    <w:rsid w:val="0051140B"/>
    <w:rsid w:val="005119A5"/>
    <w:rsid w:val="00512D9D"/>
    <w:rsid w:val="00513906"/>
    <w:rsid w:val="00524109"/>
    <w:rsid w:val="00524A3F"/>
    <w:rsid w:val="005278B7"/>
    <w:rsid w:val="00532016"/>
    <w:rsid w:val="0053248A"/>
    <w:rsid w:val="005346C8"/>
    <w:rsid w:val="00541551"/>
    <w:rsid w:val="00543BE3"/>
    <w:rsid w:val="00543E7D"/>
    <w:rsid w:val="005443EF"/>
    <w:rsid w:val="0054488B"/>
    <w:rsid w:val="005467F1"/>
    <w:rsid w:val="00547A68"/>
    <w:rsid w:val="00550D01"/>
    <w:rsid w:val="005531C9"/>
    <w:rsid w:val="005572B2"/>
    <w:rsid w:val="00561FEF"/>
    <w:rsid w:val="00563AEB"/>
    <w:rsid w:val="005709D2"/>
    <w:rsid w:val="00570C43"/>
    <w:rsid w:val="00572FE3"/>
    <w:rsid w:val="00573E32"/>
    <w:rsid w:val="00576EB1"/>
    <w:rsid w:val="00583166"/>
    <w:rsid w:val="00586848"/>
    <w:rsid w:val="005877A3"/>
    <w:rsid w:val="00592274"/>
    <w:rsid w:val="005935FF"/>
    <w:rsid w:val="00595009"/>
    <w:rsid w:val="0059682B"/>
    <w:rsid w:val="005A20D8"/>
    <w:rsid w:val="005A3DA6"/>
    <w:rsid w:val="005A4CEB"/>
    <w:rsid w:val="005A57E4"/>
    <w:rsid w:val="005B2110"/>
    <w:rsid w:val="005B59D2"/>
    <w:rsid w:val="005B61E6"/>
    <w:rsid w:val="005B7F3A"/>
    <w:rsid w:val="005C1F1F"/>
    <w:rsid w:val="005C5D42"/>
    <w:rsid w:val="005C5E95"/>
    <w:rsid w:val="005C77E1"/>
    <w:rsid w:val="005D5F8D"/>
    <w:rsid w:val="005D668A"/>
    <w:rsid w:val="005D6A2F"/>
    <w:rsid w:val="005D6CA3"/>
    <w:rsid w:val="005E0592"/>
    <w:rsid w:val="005E1A82"/>
    <w:rsid w:val="005E1DFE"/>
    <w:rsid w:val="005E2A40"/>
    <w:rsid w:val="005E35FF"/>
    <w:rsid w:val="005E5365"/>
    <w:rsid w:val="005E6F56"/>
    <w:rsid w:val="005E7002"/>
    <w:rsid w:val="005E794C"/>
    <w:rsid w:val="005F0A28"/>
    <w:rsid w:val="005F0E5E"/>
    <w:rsid w:val="005F6195"/>
    <w:rsid w:val="00600535"/>
    <w:rsid w:val="00601DE1"/>
    <w:rsid w:val="006034A5"/>
    <w:rsid w:val="00610130"/>
    <w:rsid w:val="00610CD6"/>
    <w:rsid w:val="0061253F"/>
    <w:rsid w:val="0061392E"/>
    <w:rsid w:val="00620DEE"/>
    <w:rsid w:val="00621F92"/>
    <w:rsid w:val="0062280A"/>
    <w:rsid w:val="006231E1"/>
    <w:rsid w:val="00625639"/>
    <w:rsid w:val="0063093A"/>
    <w:rsid w:val="00630C44"/>
    <w:rsid w:val="00631B33"/>
    <w:rsid w:val="006349C1"/>
    <w:rsid w:val="00634E7A"/>
    <w:rsid w:val="0063696D"/>
    <w:rsid w:val="0064184D"/>
    <w:rsid w:val="006422CC"/>
    <w:rsid w:val="00642A55"/>
    <w:rsid w:val="006433D5"/>
    <w:rsid w:val="00643C1C"/>
    <w:rsid w:val="00645725"/>
    <w:rsid w:val="00645FF4"/>
    <w:rsid w:val="006470FA"/>
    <w:rsid w:val="00651D18"/>
    <w:rsid w:val="00651D80"/>
    <w:rsid w:val="006573E3"/>
    <w:rsid w:val="00660E3E"/>
    <w:rsid w:val="00661A64"/>
    <w:rsid w:val="00662E74"/>
    <w:rsid w:val="00676E17"/>
    <w:rsid w:val="00680C23"/>
    <w:rsid w:val="00682EEB"/>
    <w:rsid w:val="00683E23"/>
    <w:rsid w:val="00684709"/>
    <w:rsid w:val="0068726F"/>
    <w:rsid w:val="00693766"/>
    <w:rsid w:val="006A3281"/>
    <w:rsid w:val="006A6338"/>
    <w:rsid w:val="006B4888"/>
    <w:rsid w:val="006B7A12"/>
    <w:rsid w:val="006C164F"/>
    <w:rsid w:val="006C187F"/>
    <w:rsid w:val="006C2E45"/>
    <w:rsid w:val="006C359C"/>
    <w:rsid w:val="006C5579"/>
    <w:rsid w:val="006C71B8"/>
    <w:rsid w:val="006D6E8B"/>
    <w:rsid w:val="006D7209"/>
    <w:rsid w:val="006E0C4C"/>
    <w:rsid w:val="006E44DD"/>
    <w:rsid w:val="006E737D"/>
    <w:rsid w:val="006F12F7"/>
    <w:rsid w:val="006F15D9"/>
    <w:rsid w:val="006F2867"/>
    <w:rsid w:val="006F3524"/>
    <w:rsid w:val="006F40BD"/>
    <w:rsid w:val="006F6491"/>
    <w:rsid w:val="006F713E"/>
    <w:rsid w:val="006F79AF"/>
    <w:rsid w:val="00703AEB"/>
    <w:rsid w:val="0070780C"/>
    <w:rsid w:val="00707DD1"/>
    <w:rsid w:val="007128C1"/>
    <w:rsid w:val="00713973"/>
    <w:rsid w:val="00720771"/>
    <w:rsid w:val="00720A24"/>
    <w:rsid w:val="0072153F"/>
    <w:rsid w:val="00724E58"/>
    <w:rsid w:val="00726881"/>
    <w:rsid w:val="00730073"/>
    <w:rsid w:val="0073092D"/>
    <w:rsid w:val="00732386"/>
    <w:rsid w:val="00732967"/>
    <w:rsid w:val="00734707"/>
    <w:rsid w:val="0073514D"/>
    <w:rsid w:val="00740328"/>
    <w:rsid w:val="00740AB5"/>
    <w:rsid w:val="00740C25"/>
    <w:rsid w:val="00740D40"/>
    <w:rsid w:val="007447F3"/>
    <w:rsid w:val="00744E66"/>
    <w:rsid w:val="007471D4"/>
    <w:rsid w:val="007535F2"/>
    <w:rsid w:val="00754965"/>
    <w:rsid w:val="0075499F"/>
    <w:rsid w:val="00756176"/>
    <w:rsid w:val="007617CC"/>
    <w:rsid w:val="00762135"/>
    <w:rsid w:val="007624D9"/>
    <w:rsid w:val="00762BF9"/>
    <w:rsid w:val="007661C8"/>
    <w:rsid w:val="007667AF"/>
    <w:rsid w:val="00767423"/>
    <w:rsid w:val="0077098D"/>
    <w:rsid w:val="0077424C"/>
    <w:rsid w:val="00780C5A"/>
    <w:rsid w:val="00782CDA"/>
    <w:rsid w:val="00785BF9"/>
    <w:rsid w:val="00791668"/>
    <w:rsid w:val="007927A3"/>
    <w:rsid w:val="00792F34"/>
    <w:rsid w:val="007931FA"/>
    <w:rsid w:val="00793C30"/>
    <w:rsid w:val="007A1E63"/>
    <w:rsid w:val="007A4861"/>
    <w:rsid w:val="007A6C80"/>
    <w:rsid w:val="007A7BBA"/>
    <w:rsid w:val="007B0C50"/>
    <w:rsid w:val="007B48F9"/>
    <w:rsid w:val="007B7403"/>
    <w:rsid w:val="007C1A43"/>
    <w:rsid w:val="007C76AE"/>
    <w:rsid w:val="007D070B"/>
    <w:rsid w:val="007D0951"/>
    <w:rsid w:val="007D73E2"/>
    <w:rsid w:val="007E1E07"/>
    <w:rsid w:val="007E293B"/>
    <w:rsid w:val="007E437D"/>
    <w:rsid w:val="007F17C9"/>
    <w:rsid w:val="007F27C8"/>
    <w:rsid w:val="0080013E"/>
    <w:rsid w:val="0080184B"/>
    <w:rsid w:val="00801A03"/>
    <w:rsid w:val="00804165"/>
    <w:rsid w:val="00810A81"/>
    <w:rsid w:val="00812A1C"/>
    <w:rsid w:val="00813288"/>
    <w:rsid w:val="008167FC"/>
    <w:rsid w:val="008168FC"/>
    <w:rsid w:val="008172C9"/>
    <w:rsid w:val="00822740"/>
    <w:rsid w:val="00822745"/>
    <w:rsid w:val="008257F0"/>
    <w:rsid w:val="008278E6"/>
    <w:rsid w:val="00830996"/>
    <w:rsid w:val="008314D7"/>
    <w:rsid w:val="008345F1"/>
    <w:rsid w:val="00834C28"/>
    <w:rsid w:val="0083513C"/>
    <w:rsid w:val="00835A90"/>
    <w:rsid w:val="008366BC"/>
    <w:rsid w:val="0083719B"/>
    <w:rsid w:val="00842447"/>
    <w:rsid w:val="00842D53"/>
    <w:rsid w:val="008516B1"/>
    <w:rsid w:val="00854CC8"/>
    <w:rsid w:val="008565D1"/>
    <w:rsid w:val="0086039E"/>
    <w:rsid w:val="00865B07"/>
    <w:rsid w:val="008667EA"/>
    <w:rsid w:val="0087531F"/>
    <w:rsid w:val="0087637F"/>
    <w:rsid w:val="00884757"/>
    <w:rsid w:val="0088689A"/>
    <w:rsid w:val="00891756"/>
    <w:rsid w:val="00892AD5"/>
    <w:rsid w:val="008946C7"/>
    <w:rsid w:val="00894DC8"/>
    <w:rsid w:val="00895424"/>
    <w:rsid w:val="00895B48"/>
    <w:rsid w:val="008A0455"/>
    <w:rsid w:val="008A1512"/>
    <w:rsid w:val="008A373E"/>
    <w:rsid w:val="008B51BB"/>
    <w:rsid w:val="008B5394"/>
    <w:rsid w:val="008B6B3E"/>
    <w:rsid w:val="008C10DF"/>
    <w:rsid w:val="008C461F"/>
    <w:rsid w:val="008D22D8"/>
    <w:rsid w:val="008D32B9"/>
    <w:rsid w:val="008D433B"/>
    <w:rsid w:val="008D4A16"/>
    <w:rsid w:val="008E156A"/>
    <w:rsid w:val="008E209A"/>
    <w:rsid w:val="008E3BAC"/>
    <w:rsid w:val="008E45BC"/>
    <w:rsid w:val="008E566E"/>
    <w:rsid w:val="008E6721"/>
    <w:rsid w:val="008F4BDE"/>
    <w:rsid w:val="008F52A6"/>
    <w:rsid w:val="008F6451"/>
    <w:rsid w:val="0090161A"/>
    <w:rsid w:val="00901EB6"/>
    <w:rsid w:val="009041F8"/>
    <w:rsid w:val="00904C62"/>
    <w:rsid w:val="00921396"/>
    <w:rsid w:val="00921D69"/>
    <w:rsid w:val="00922BA8"/>
    <w:rsid w:val="00924DAC"/>
    <w:rsid w:val="00925EA7"/>
    <w:rsid w:val="00927009"/>
    <w:rsid w:val="00927058"/>
    <w:rsid w:val="00927CB8"/>
    <w:rsid w:val="00930C1B"/>
    <w:rsid w:val="00933C3B"/>
    <w:rsid w:val="00936498"/>
    <w:rsid w:val="00942750"/>
    <w:rsid w:val="009450CE"/>
    <w:rsid w:val="009459BB"/>
    <w:rsid w:val="00947179"/>
    <w:rsid w:val="009473D7"/>
    <w:rsid w:val="0095164B"/>
    <w:rsid w:val="00954090"/>
    <w:rsid w:val="00954477"/>
    <w:rsid w:val="009573E7"/>
    <w:rsid w:val="00962FD7"/>
    <w:rsid w:val="00963E05"/>
    <w:rsid w:val="00964A45"/>
    <w:rsid w:val="00964F7D"/>
    <w:rsid w:val="00967843"/>
    <w:rsid w:val="00967C90"/>
    <w:rsid w:val="00967D54"/>
    <w:rsid w:val="00967DE6"/>
    <w:rsid w:val="009707E6"/>
    <w:rsid w:val="00971028"/>
    <w:rsid w:val="00971178"/>
    <w:rsid w:val="00982196"/>
    <w:rsid w:val="00984C3B"/>
    <w:rsid w:val="00984C93"/>
    <w:rsid w:val="00993B84"/>
    <w:rsid w:val="00994D34"/>
    <w:rsid w:val="00996483"/>
    <w:rsid w:val="00996F5A"/>
    <w:rsid w:val="0099706E"/>
    <w:rsid w:val="009A2C31"/>
    <w:rsid w:val="009B041A"/>
    <w:rsid w:val="009B07B4"/>
    <w:rsid w:val="009B20B1"/>
    <w:rsid w:val="009B7834"/>
    <w:rsid w:val="009C0284"/>
    <w:rsid w:val="009C37C3"/>
    <w:rsid w:val="009C68B7"/>
    <w:rsid w:val="009C7C86"/>
    <w:rsid w:val="009D07B1"/>
    <w:rsid w:val="009D0F4D"/>
    <w:rsid w:val="009D1662"/>
    <w:rsid w:val="009D1DBF"/>
    <w:rsid w:val="009D2FF7"/>
    <w:rsid w:val="009E02A4"/>
    <w:rsid w:val="009E1DB5"/>
    <w:rsid w:val="009E473B"/>
    <w:rsid w:val="009E47D5"/>
    <w:rsid w:val="009E49F5"/>
    <w:rsid w:val="009E5914"/>
    <w:rsid w:val="009E7884"/>
    <w:rsid w:val="009E788A"/>
    <w:rsid w:val="009F0E08"/>
    <w:rsid w:val="009F0EBC"/>
    <w:rsid w:val="009F2BA9"/>
    <w:rsid w:val="009F2CCF"/>
    <w:rsid w:val="00A00027"/>
    <w:rsid w:val="00A03D48"/>
    <w:rsid w:val="00A06E46"/>
    <w:rsid w:val="00A06F40"/>
    <w:rsid w:val="00A074C9"/>
    <w:rsid w:val="00A079AE"/>
    <w:rsid w:val="00A128FF"/>
    <w:rsid w:val="00A1462A"/>
    <w:rsid w:val="00A16E33"/>
    <w:rsid w:val="00A1763D"/>
    <w:rsid w:val="00A17A3B"/>
    <w:rsid w:val="00A17CEC"/>
    <w:rsid w:val="00A20531"/>
    <w:rsid w:val="00A21618"/>
    <w:rsid w:val="00A21ECD"/>
    <w:rsid w:val="00A22D22"/>
    <w:rsid w:val="00A2373F"/>
    <w:rsid w:val="00A23B21"/>
    <w:rsid w:val="00A25DE2"/>
    <w:rsid w:val="00A26CBB"/>
    <w:rsid w:val="00A27EF0"/>
    <w:rsid w:val="00A30E75"/>
    <w:rsid w:val="00A319CF"/>
    <w:rsid w:val="00A353D4"/>
    <w:rsid w:val="00A364C8"/>
    <w:rsid w:val="00A41A63"/>
    <w:rsid w:val="00A42361"/>
    <w:rsid w:val="00A42BAE"/>
    <w:rsid w:val="00A43F20"/>
    <w:rsid w:val="00A45DAC"/>
    <w:rsid w:val="00A50463"/>
    <w:rsid w:val="00A50B20"/>
    <w:rsid w:val="00A51390"/>
    <w:rsid w:val="00A60D13"/>
    <w:rsid w:val="00A63415"/>
    <w:rsid w:val="00A67F52"/>
    <w:rsid w:val="00A7223D"/>
    <w:rsid w:val="00A72745"/>
    <w:rsid w:val="00A7530A"/>
    <w:rsid w:val="00A76EFC"/>
    <w:rsid w:val="00A77ABB"/>
    <w:rsid w:val="00A81345"/>
    <w:rsid w:val="00A87D50"/>
    <w:rsid w:val="00A91010"/>
    <w:rsid w:val="00A92463"/>
    <w:rsid w:val="00A93225"/>
    <w:rsid w:val="00A97F29"/>
    <w:rsid w:val="00AA0A39"/>
    <w:rsid w:val="00AA0D38"/>
    <w:rsid w:val="00AA34BD"/>
    <w:rsid w:val="00AA4895"/>
    <w:rsid w:val="00AA4EFA"/>
    <w:rsid w:val="00AA702E"/>
    <w:rsid w:val="00AA7D26"/>
    <w:rsid w:val="00AB0964"/>
    <w:rsid w:val="00AB161E"/>
    <w:rsid w:val="00AB3A57"/>
    <w:rsid w:val="00AB5011"/>
    <w:rsid w:val="00AC0262"/>
    <w:rsid w:val="00AC155B"/>
    <w:rsid w:val="00AC28A8"/>
    <w:rsid w:val="00AC3EBC"/>
    <w:rsid w:val="00AC4C4D"/>
    <w:rsid w:val="00AC6117"/>
    <w:rsid w:val="00AC7368"/>
    <w:rsid w:val="00AD0278"/>
    <w:rsid w:val="00AD16B9"/>
    <w:rsid w:val="00AD20B9"/>
    <w:rsid w:val="00AD21DB"/>
    <w:rsid w:val="00AD263F"/>
    <w:rsid w:val="00AD2F5A"/>
    <w:rsid w:val="00AD59EC"/>
    <w:rsid w:val="00AE0FB1"/>
    <w:rsid w:val="00AE12BB"/>
    <w:rsid w:val="00AE377D"/>
    <w:rsid w:val="00AE456F"/>
    <w:rsid w:val="00AE6952"/>
    <w:rsid w:val="00AE70EC"/>
    <w:rsid w:val="00AF0EBA"/>
    <w:rsid w:val="00AF33A6"/>
    <w:rsid w:val="00AF367D"/>
    <w:rsid w:val="00B007B5"/>
    <w:rsid w:val="00B02C8A"/>
    <w:rsid w:val="00B042EB"/>
    <w:rsid w:val="00B06F15"/>
    <w:rsid w:val="00B07776"/>
    <w:rsid w:val="00B10C77"/>
    <w:rsid w:val="00B17FBD"/>
    <w:rsid w:val="00B21325"/>
    <w:rsid w:val="00B2735C"/>
    <w:rsid w:val="00B27807"/>
    <w:rsid w:val="00B278BC"/>
    <w:rsid w:val="00B315A6"/>
    <w:rsid w:val="00B31813"/>
    <w:rsid w:val="00B31C65"/>
    <w:rsid w:val="00B32971"/>
    <w:rsid w:val="00B33365"/>
    <w:rsid w:val="00B40C8E"/>
    <w:rsid w:val="00B4220A"/>
    <w:rsid w:val="00B4309B"/>
    <w:rsid w:val="00B4413B"/>
    <w:rsid w:val="00B47B88"/>
    <w:rsid w:val="00B57B36"/>
    <w:rsid w:val="00B57E6F"/>
    <w:rsid w:val="00B6045E"/>
    <w:rsid w:val="00B636FC"/>
    <w:rsid w:val="00B646B0"/>
    <w:rsid w:val="00B6519C"/>
    <w:rsid w:val="00B71398"/>
    <w:rsid w:val="00B81327"/>
    <w:rsid w:val="00B82C5F"/>
    <w:rsid w:val="00B8686D"/>
    <w:rsid w:val="00B91DB4"/>
    <w:rsid w:val="00B93DB6"/>
    <w:rsid w:val="00B93F69"/>
    <w:rsid w:val="00BA7AB1"/>
    <w:rsid w:val="00BB1CEE"/>
    <w:rsid w:val="00BB1DDC"/>
    <w:rsid w:val="00BB28FB"/>
    <w:rsid w:val="00BC0AB2"/>
    <w:rsid w:val="00BC1190"/>
    <w:rsid w:val="00BC30C9"/>
    <w:rsid w:val="00BC30E1"/>
    <w:rsid w:val="00BC5599"/>
    <w:rsid w:val="00BD077D"/>
    <w:rsid w:val="00BD0AB2"/>
    <w:rsid w:val="00BD11FB"/>
    <w:rsid w:val="00BD1281"/>
    <w:rsid w:val="00BD43F1"/>
    <w:rsid w:val="00BD4837"/>
    <w:rsid w:val="00BD5593"/>
    <w:rsid w:val="00BD5822"/>
    <w:rsid w:val="00BD7CD3"/>
    <w:rsid w:val="00BD7F33"/>
    <w:rsid w:val="00BE007A"/>
    <w:rsid w:val="00BE1913"/>
    <w:rsid w:val="00BE3E58"/>
    <w:rsid w:val="00BE4752"/>
    <w:rsid w:val="00BF1DFD"/>
    <w:rsid w:val="00BF3946"/>
    <w:rsid w:val="00C01616"/>
    <w:rsid w:val="00C0162B"/>
    <w:rsid w:val="00C02ECE"/>
    <w:rsid w:val="00C0612C"/>
    <w:rsid w:val="00C068ED"/>
    <w:rsid w:val="00C1177B"/>
    <w:rsid w:val="00C131BF"/>
    <w:rsid w:val="00C137AC"/>
    <w:rsid w:val="00C208E9"/>
    <w:rsid w:val="00C22C5D"/>
    <w:rsid w:val="00C22E0C"/>
    <w:rsid w:val="00C340A6"/>
    <w:rsid w:val="00C345B1"/>
    <w:rsid w:val="00C3759A"/>
    <w:rsid w:val="00C40142"/>
    <w:rsid w:val="00C43FBA"/>
    <w:rsid w:val="00C44134"/>
    <w:rsid w:val="00C443C7"/>
    <w:rsid w:val="00C47489"/>
    <w:rsid w:val="00C52C3C"/>
    <w:rsid w:val="00C55280"/>
    <w:rsid w:val="00C57182"/>
    <w:rsid w:val="00C57863"/>
    <w:rsid w:val="00C635DF"/>
    <w:rsid w:val="00C63A32"/>
    <w:rsid w:val="00C640AF"/>
    <w:rsid w:val="00C641EB"/>
    <w:rsid w:val="00C655FD"/>
    <w:rsid w:val="00C66B01"/>
    <w:rsid w:val="00C71B9A"/>
    <w:rsid w:val="00C71D2D"/>
    <w:rsid w:val="00C75407"/>
    <w:rsid w:val="00C75507"/>
    <w:rsid w:val="00C77436"/>
    <w:rsid w:val="00C8153C"/>
    <w:rsid w:val="00C82306"/>
    <w:rsid w:val="00C82950"/>
    <w:rsid w:val="00C841C6"/>
    <w:rsid w:val="00C85D35"/>
    <w:rsid w:val="00C870A8"/>
    <w:rsid w:val="00C8732E"/>
    <w:rsid w:val="00C87E0F"/>
    <w:rsid w:val="00C94434"/>
    <w:rsid w:val="00C947AB"/>
    <w:rsid w:val="00C965F3"/>
    <w:rsid w:val="00C96F04"/>
    <w:rsid w:val="00CA0D75"/>
    <w:rsid w:val="00CA1C95"/>
    <w:rsid w:val="00CA24FF"/>
    <w:rsid w:val="00CA2CB9"/>
    <w:rsid w:val="00CA4A6D"/>
    <w:rsid w:val="00CA5845"/>
    <w:rsid w:val="00CA5A9C"/>
    <w:rsid w:val="00CB03DE"/>
    <w:rsid w:val="00CB10EB"/>
    <w:rsid w:val="00CC102F"/>
    <w:rsid w:val="00CC3921"/>
    <w:rsid w:val="00CC3FD5"/>
    <w:rsid w:val="00CC4C20"/>
    <w:rsid w:val="00CD3517"/>
    <w:rsid w:val="00CD5C46"/>
    <w:rsid w:val="00CD5FE2"/>
    <w:rsid w:val="00CE2678"/>
    <w:rsid w:val="00CE4084"/>
    <w:rsid w:val="00CE614A"/>
    <w:rsid w:val="00CE69B8"/>
    <w:rsid w:val="00CE7C68"/>
    <w:rsid w:val="00CF187C"/>
    <w:rsid w:val="00CF1ECD"/>
    <w:rsid w:val="00D02B4C"/>
    <w:rsid w:val="00D03CF1"/>
    <w:rsid w:val="00D040C4"/>
    <w:rsid w:val="00D057FA"/>
    <w:rsid w:val="00D20AD1"/>
    <w:rsid w:val="00D2582C"/>
    <w:rsid w:val="00D33847"/>
    <w:rsid w:val="00D34654"/>
    <w:rsid w:val="00D37D90"/>
    <w:rsid w:val="00D414A9"/>
    <w:rsid w:val="00D41B3D"/>
    <w:rsid w:val="00D46B7E"/>
    <w:rsid w:val="00D46E71"/>
    <w:rsid w:val="00D51BB4"/>
    <w:rsid w:val="00D53B34"/>
    <w:rsid w:val="00D57C84"/>
    <w:rsid w:val="00D6057D"/>
    <w:rsid w:val="00D62E4B"/>
    <w:rsid w:val="00D653D2"/>
    <w:rsid w:val="00D71180"/>
    <w:rsid w:val="00D71640"/>
    <w:rsid w:val="00D74BD9"/>
    <w:rsid w:val="00D77265"/>
    <w:rsid w:val="00D836C5"/>
    <w:rsid w:val="00D84576"/>
    <w:rsid w:val="00D864A5"/>
    <w:rsid w:val="00D95FC2"/>
    <w:rsid w:val="00D96328"/>
    <w:rsid w:val="00D96528"/>
    <w:rsid w:val="00D9667D"/>
    <w:rsid w:val="00DA1399"/>
    <w:rsid w:val="00DA1866"/>
    <w:rsid w:val="00DA24C6"/>
    <w:rsid w:val="00DA31DB"/>
    <w:rsid w:val="00DA4D7B"/>
    <w:rsid w:val="00DA5AEE"/>
    <w:rsid w:val="00DB5912"/>
    <w:rsid w:val="00DC10A2"/>
    <w:rsid w:val="00DC683F"/>
    <w:rsid w:val="00DC6D60"/>
    <w:rsid w:val="00DD0D37"/>
    <w:rsid w:val="00DD1A2C"/>
    <w:rsid w:val="00DD1F58"/>
    <w:rsid w:val="00DD271C"/>
    <w:rsid w:val="00DD303C"/>
    <w:rsid w:val="00DD4754"/>
    <w:rsid w:val="00DD78EA"/>
    <w:rsid w:val="00DD7AC1"/>
    <w:rsid w:val="00DE0D09"/>
    <w:rsid w:val="00DE1A99"/>
    <w:rsid w:val="00DE264A"/>
    <w:rsid w:val="00DE31F9"/>
    <w:rsid w:val="00DE77DD"/>
    <w:rsid w:val="00DF499E"/>
    <w:rsid w:val="00DF5072"/>
    <w:rsid w:val="00E003C6"/>
    <w:rsid w:val="00E02D18"/>
    <w:rsid w:val="00E041E7"/>
    <w:rsid w:val="00E05F74"/>
    <w:rsid w:val="00E07BA4"/>
    <w:rsid w:val="00E101D1"/>
    <w:rsid w:val="00E12DDF"/>
    <w:rsid w:val="00E1396D"/>
    <w:rsid w:val="00E13B6B"/>
    <w:rsid w:val="00E15D8C"/>
    <w:rsid w:val="00E15DCA"/>
    <w:rsid w:val="00E17C64"/>
    <w:rsid w:val="00E20D1A"/>
    <w:rsid w:val="00E22B02"/>
    <w:rsid w:val="00E23A3E"/>
    <w:rsid w:val="00E23CA1"/>
    <w:rsid w:val="00E26BB5"/>
    <w:rsid w:val="00E272A1"/>
    <w:rsid w:val="00E27727"/>
    <w:rsid w:val="00E409A8"/>
    <w:rsid w:val="00E47064"/>
    <w:rsid w:val="00E47D61"/>
    <w:rsid w:val="00E50C12"/>
    <w:rsid w:val="00E540A2"/>
    <w:rsid w:val="00E576C1"/>
    <w:rsid w:val="00E65B91"/>
    <w:rsid w:val="00E7057E"/>
    <w:rsid w:val="00E7209D"/>
    <w:rsid w:val="00E72EAD"/>
    <w:rsid w:val="00E75C6B"/>
    <w:rsid w:val="00E75E09"/>
    <w:rsid w:val="00E77223"/>
    <w:rsid w:val="00E8528B"/>
    <w:rsid w:val="00E85B94"/>
    <w:rsid w:val="00E86251"/>
    <w:rsid w:val="00E863E7"/>
    <w:rsid w:val="00E9181C"/>
    <w:rsid w:val="00E94410"/>
    <w:rsid w:val="00E95215"/>
    <w:rsid w:val="00E95E94"/>
    <w:rsid w:val="00E97726"/>
    <w:rsid w:val="00E978D0"/>
    <w:rsid w:val="00EA01ED"/>
    <w:rsid w:val="00EA361E"/>
    <w:rsid w:val="00EA42FF"/>
    <w:rsid w:val="00EA4613"/>
    <w:rsid w:val="00EA472F"/>
    <w:rsid w:val="00EA7F91"/>
    <w:rsid w:val="00EB0217"/>
    <w:rsid w:val="00EB1308"/>
    <w:rsid w:val="00EB1523"/>
    <w:rsid w:val="00EB2D7F"/>
    <w:rsid w:val="00EB4A5B"/>
    <w:rsid w:val="00EB6D99"/>
    <w:rsid w:val="00EC0E49"/>
    <w:rsid w:val="00EC101F"/>
    <w:rsid w:val="00EC1D9F"/>
    <w:rsid w:val="00EC2F2F"/>
    <w:rsid w:val="00EC38FF"/>
    <w:rsid w:val="00EC503A"/>
    <w:rsid w:val="00EC7C4B"/>
    <w:rsid w:val="00EE0131"/>
    <w:rsid w:val="00EE17B0"/>
    <w:rsid w:val="00EF06D9"/>
    <w:rsid w:val="00EF0982"/>
    <w:rsid w:val="00EF1263"/>
    <w:rsid w:val="00F061D9"/>
    <w:rsid w:val="00F14E3A"/>
    <w:rsid w:val="00F163A2"/>
    <w:rsid w:val="00F22A3D"/>
    <w:rsid w:val="00F24EF2"/>
    <w:rsid w:val="00F2630D"/>
    <w:rsid w:val="00F2696B"/>
    <w:rsid w:val="00F26A77"/>
    <w:rsid w:val="00F3049E"/>
    <w:rsid w:val="00F30C64"/>
    <w:rsid w:val="00F316FA"/>
    <w:rsid w:val="00F318C3"/>
    <w:rsid w:val="00F32617"/>
    <w:rsid w:val="00F32A39"/>
    <w:rsid w:val="00F32AAB"/>
    <w:rsid w:val="00F32BA2"/>
    <w:rsid w:val="00F32CDB"/>
    <w:rsid w:val="00F3348F"/>
    <w:rsid w:val="00F3613F"/>
    <w:rsid w:val="00F36E40"/>
    <w:rsid w:val="00F37280"/>
    <w:rsid w:val="00F37C5A"/>
    <w:rsid w:val="00F4040B"/>
    <w:rsid w:val="00F41EE4"/>
    <w:rsid w:val="00F43EC1"/>
    <w:rsid w:val="00F43EC3"/>
    <w:rsid w:val="00F554FF"/>
    <w:rsid w:val="00F565FE"/>
    <w:rsid w:val="00F57917"/>
    <w:rsid w:val="00F62275"/>
    <w:rsid w:val="00F63A70"/>
    <w:rsid w:val="00F63D8C"/>
    <w:rsid w:val="00F647F7"/>
    <w:rsid w:val="00F649A6"/>
    <w:rsid w:val="00F661EC"/>
    <w:rsid w:val="00F67D6E"/>
    <w:rsid w:val="00F701B3"/>
    <w:rsid w:val="00F72F52"/>
    <w:rsid w:val="00F7534E"/>
    <w:rsid w:val="00F86D57"/>
    <w:rsid w:val="00F93EDF"/>
    <w:rsid w:val="00F95103"/>
    <w:rsid w:val="00FA03BA"/>
    <w:rsid w:val="00FA0776"/>
    <w:rsid w:val="00FA1802"/>
    <w:rsid w:val="00FA21D0"/>
    <w:rsid w:val="00FA24BE"/>
    <w:rsid w:val="00FA5F5F"/>
    <w:rsid w:val="00FB0178"/>
    <w:rsid w:val="00FB4B83"/>
    <w:rsid w:val="00FB730C"/>
    <w:rsid w:val="00FC1ABC"/>
    <w:rsid w:val="00FC2695"/>
    <w:rsid w:val="00FC37D9"/>
    <w:rsid w:val="00FC3E03"/>
    <w:rsid w:val="00FC3FC1"/>
    <w:rsid w:val="00FD237F"/>
    <w:rsid w:val="00FD47A0"/>
    <w:rsid w:val="00FD6849"/>
    <w:rsid w:val="00FF0032"/>
    <w:rsid w:val="00FF0139"/>
    <w:rsid w:val="00FF2CEE"/>
    <w:rsid w:val="00FF4C9D"/>
    <w:rsid w:val="00FF5425"/>
    <w:rsid w:val="00FF72B3"/>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character" w:styleId="Testosegnaposto">
    <w:name w:val="Placeholder Text"/>
    <w:basedOn w:val="Carpredefinitoparagrafo"/>
    <w:uiPriority w:val="99"/>
    <w:semiHidden/>
    <w:rsid w:val="00F32A39"/>
    <w:rPr>
      <w:color w:val="808080"/>
    </w:rPr>
  </w:style>
  <w:style w:type="paragraph" w:customStyle="1" w:styleId="Default">
    <w:name w:val="Default"/>
    <w:rsid w:val="00C85D35"/>
    <w:pPr>
      <w:autoSpaceDE w:val="0"/>
      <w:autoSpaceDN w:val="0"/>
      <w:adjustRightInd w:val="0"/>
      <w:spacing w:after="0" w:line="240" w:lineRule="auto"/>
    </w:pPr>
    <w:rPr>
      <w:rFonts w:ascii="Palatino Linotype" w:hAnsi="Palatino Linotype" w:cs="Palatino Linotype"/>
      <w:color w:val="000000"/>
      <w:sz w:val="24"/>
      <w:szCs w:val="24"/>
      <w:lang w:val="en-GB"/>
    </w:rPr>
  </w:style>
  <w:style w:type="character" w:styleId="Menzionenonrisolta">
    <w:name w:val="Unresolved Mention"/>
    <w:basedOn w:val="Carpredefinitoparagrafo"/>
    <w:uiPriority w:val="99"/>
    <w:semiHidden/>
    <w:unhideWhenUsed/>
    <w:rsid w:val="00427E96"/>
    <w:rPr>
      <w:color w:val="605E5C"/>
      <w:shd w:val="clear" w:color="auto" w:fill="E1DFDD"/>
    </w:rPr>
  </w:style>
  <w:style w:type="character" w:styleId="Enfasicorsivo">
    <w:name w:val="Emphasis"/>
    <w:basedOn w:val="Carpredefinitoparagrafo"/>
    <w:uiPriority w:val="20"/>
    <w:qFormat/>
    <w:rsid w:val="00F22A3D"/>
    <w:rPr>
      <w:i/>
      <w:iCs/>
    </w:rPr>
  </w:style>
  <w:style w:type="paragraph" w:styleId="Revisione">
    <w:name w:val="Revision"/>
    <w:hidden/>
    <w:uiPriority w:val="99"/>
    <w:semiHidden/>
    <w:rsid w:val="008278E6"/>
    <w:pPr>
      <w:spacing w:after="0" w:line="240" w:lineRule="auto"/>
    </w:pPr>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86306">
      <w:bodyDiv w:val="1"/>
      <w:marLeft w:val="0"/>
      <w:marRight w:val="0"/>
      <w:marTop w:val="0"/>
      <w:marBottom w:val="0"/>
      <w:divBdr>
        <w:top w:val="none" w:sz="0" w:space="0" w:color="auto"/>
        <w:left w:val="none" w:sz="0" w:space="0" w:color="auto"/>
        <w:bottom w:val="none" w:sz="0" w:space="0" w:color="auto"/>
        <w:right w:val="none" w:sz="0" w:space="0" w:color="auto"/>
      </w:divBdr>
    </w:div>
    <w:div w:id="219942355">
      <w:bodyDiv w:val="1"/>
      <w:marLeft w:val="0"/>
      <w:marRight w:val="0"/>
      <w:marTop w:val="0"/>
      <w:marBottom w:val="0"/>
      <w:divBdr>
        <w:top w:val="none" w:sz="0" w:space="0" w:color="auto"/>
        <w:left w:val="none" w:sz="0" w:space="0" w:color="auto"/>
        <w:bottom w:val="none" w:sz="0" w:space="0" w:color="auto"/>
        <w:right w:val="none" w:sz="0" w:space="0" w:color="auto"/>
      </w:divBdr>
    </w:div>
    <w:div w:id="549809105">
      <w:bodyDiv w:val="1"/>
      <w:marLeft w:val="0"/>
      <w:marRight w:val="0"/>
      <w:marTop w:val="0"/>
      <w:marBottom w:val="0"/>
      <w:divBdr>
        <w:top w:val="none" w:sz="0" w:space="0" w:color="auto"/>
        <w:left w:val="none" w:sz="0" w:space="0" w:color="auto"/>
        <w:bottom w:val="none" w:sz="0" w:space="0" w:color="auto"/>
        <w:right w:val="none" w:sz="0" w:space="0" w:color="auto"/>
      </w:divBdr>
    </w:div>
    <w:div w:id="714038851">
      <w:bodyDiv w:val="1"/>
      <w:marLeft w:val="0"/>
      <w:marRight w:val="0"/>
      <w:marTop w:val="0"/>
      <w:marBottom w:val="0"/>
      <w:divBdr>
        <w:top w:val="none" w:sz="0" w:space="0" w:color="auto"/>
        <w:left w:val="none" w:sz="0" w:space="0" w:color="auto"/>
        <w:bottom w:val="none" w:sz="0" w:space="0" w:color="auto"/>
        <w:right w:val="none" w:sz="0" w:space="0" w:color="auto"/>
      </w:divBdr>
    </w:div>
    <w:div w:id="753553952">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6658">
      <w:bodyDiv w:val="1"/>
      <w:marLeft w:val="0"/>
      <w:marRight w:val="0"/>
      <w:marTop w:val="0"/>
      <w:marBottom w:val="0"/>
      <w:divBdr>
        <w:top w:val="none" w:sz="0" w:space="0" w:color="auto"/>
        <w:left w:val="none" w:sz="0" w:space="0" w:color="auto"/>
        <w:bottom w:val="none" w:sz="0" w:space="0" w:color="auto"/>
        <w:right w:val="none" w:sz="0" w:space="0" w:color="auto"/>
      </w:divBdr>
    </w:div>
    <w:div w:id="1097562798">
      <w:bodyDiv w:val="1"/>
      <w:marLeft w:val="0"/>
      <w:marRight w:val="0"/>
      <w:marTop w:val="0"/>
      <w:marBottom w:val="0"/>
      <w:divBdr>
        <w:top w:val="none" w:sz="0" w:space="0" w:color="auto"/>
        <w:left w:val="none" w:sz="0" w:space="0" w:color="auto"/>
        <w:bottom w:val="none" w:sz="0" w:space="0" w:color="auto"/>
        <w:right w:val="none" w:sz="0" w:space="0" w:color="auto"/>
      </w:divBdr>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390032164">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574465476">
      <w:bodyDiv w:val="1"/>
      <w:marLeft w:val="0"/>
      <w:marRight w:val="0"/>
      <w:marTop w:val="0"/>
      <w:marBottom w:val="0"/>
      <w:divBdr>
        <w:top w:val="none" w:sz="0" w:space="0" w:color="auto"/>
        <w:left w:val="none" w:sz="0" w:space="0" w:color="auto"/>
        <w:bottom w:val="none" w:sz="0" w:space="0" w:color="auto"/>
        <w:right w:val="none" w:sz="0" w:space="0" w:color="auto"/>
      </w:divBdr>
    </w:div>
    <w:div w:id="1621107026">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135927">
      <w:bodyDiv w:val="1"/>
      <w:marLeft w:val="0"/>
      <w:marRight w:val="0"/>
      <w:marTop w:val="0"/>
      <w:marBottom w:val="0"/>
      <w:divBdr>
        <w:top w:val="none" w:sz="0" w:space="0" w:color="auto"/>
        <w:left w:val="none" w:sz="0" w:space="0" w:color="auto"/>
        <w:bottom w:val="none" w:sz="0" w:space="0" w:color="auto"/>
        <w:right w:val="none" w:sz="0" w:space="0" w:color="auto"/>
      </w:divBdr>
    </w:div>
    <w:div w:id="1756588081">
      <w:bodyDiv w:val="1"/>
      <w:marLeft w:val="0"/>
      <w:marRight w:val="0"/>
      <w:marTop w:val="0"/>
      <w:marBottom w:val="0"/>
      <w:divBdr>
        <w:top w:val="none" w:sz="0" w:space="0" w:color="auto"/>
        <w:left w:val="none" w:sz="0" w:space="0" w:color="auto"/>
        <w:bottom w:val="none" w:sz="0" w:space="0" w:color="auto"/>
        <w:right w:val="none" w:sz="0" w:space="0" w:color="auto"/>
      </w:divBdr>
      <w:divsChild>
        <w:div w:id="72095126">
          <w:marLeft w:val="480"/>
          <w:marRight w:val="0"/>
          <w:marTop w:val="0"/>
          <w:marBottom w:val="0"/>
          <w:divBdr>
            <w:top w:val="none" w:sz="0" w:space="0" w:color="auto"/>
            <w:left w:val="none" w:sz="0" w:space="0" w:color="auto"/>
            <w:bottom w:val="none" w:sz="0" w:space="0" w:color="auto"/>
            <w:right w:val="none" w:sz="0" w:space="0" w:color="auto"/>
          </w:divBdr>
        </w:div>
        <w:div w:id="443312022">
          <w:marLeft w:val="480"/>
          <w:marRight w:val="0"/>
          <w:marTop w:val="0"/>
          <w:marBottom w:val="0"/>
          <w:divBdr>
            <w:top w:val="none" w:sz="0" w:space="0" w:color="auto"/>
            <w:left w:val="none" w:sz="0" w:space="0" w:color="auto"/>
            <w:bottom w:val="none" w:sz="0" w:space="0" w:color="auto"/>
            <w:right w:val="none" w:sz="0" w:space="0" w:color="auto"/>
          </w:divBdr>
        </w:div>
        <w:div w:id="398409004">
          <w:marLeft w:val="480"/>
          <w:marRight w:val="0"/>
          <w:marTop w:val="0"/>
          <w:marBottom w:val="0"/>
          <w:divBdr>
            <w:top w:val="none" w:sz="0" w:space="0" w:color="auto"/>
            <w:left w:val="none" w:sz="0" w:space="0" w:color="auto"/>
            <w:bottom w:val="none" w:sz="0" w:space="0" w:color="auto"/>
            <w:right w:val="none" w:sz="0" w:space="0" w:color="auto"/>
          </w:divBdr>
        </w:div>
        <w:div w:id="1327172000">
          <w:marLeft w:val="480"/>
          <w:marRight w:val="0"/>
          <w:marTop w:val="0"/>
          <w:marBottom w:val="0"/>
          <w:divBdr>
            <w:top w:val="none" w:sz="0" w:space="0" w:color="auto"/>
            <w:left w:val="none" w:sz="0" w:space="0" w:color="auto"/>
            <w:bottom w:val="none" w:sz="0" w:space="0" w:color="auto"/>
            <w:right w:val="none" w:sz="0" w:space="0" w:color="auto"/>
          </w:divBdr>
        </w:div>
        <w:div w:id="1196499224">
          <w:marLeft w:val="480"/>
          <w:marRight w:val="0"/>
          <w:marTop w:val="0"/>
          <w:marBottom w:val="0"/>
          <w:divBdr>
            <w:top w:val="none" w:sz="0" w:space="0" w:color="auto"/>
            <w:left w:val="none" w:sz="0" w:space="0" w:color="auto"/>
            <w:bottom w:val="none" w:sz="0" w:space="0" w:color="auto"/>
            <w:right w:val="none" w:sz="0" w:space="0" w:color="auto"/>
          </w:divBdr>
        </w:div>
        <w:div w:id="435755336">
          <w:marLeft w:val="480"/>
          <w:marRight w:val="0"/>
          <w:marTop w:val="0"/>
          <w:marBottom w:val="0"/>
          <w:divBdr>
            <w:top w:val="none" w:sz="0" w:space="0" w:color="auto"/>
            <w:left w:val="none" w:sz="0" w:space="0" w:color="auto"/>
            <w:bottom w:val="none" w:sz="0" w:space="0" w:color="auto"/>
            <w:right w:val="none" w:sz="0" w:space="0" w:color="auto"/>
          </w:divBdr>
        </w:div>
        <w:div w:id="1990360747">
          <w:marLeft w:val="480"/>
          <w:marRight w:val="0"/>
          <w:marTop w:val="0"/>
          <w:marBottom w:val="0"/>
          <w:divBdr>
            <w:top w:val="none" w:sz="0" w:space="0" w:color="auto"/>
            <w:left w:val="none" w:sz="0" w:space="0" w:color="auto"/>
            <w:bottom w:val="none" w:sz="0" w:space="0" w:color="auto"/>
            <w:right w:val="none" w:sz="0" w:space="0" w:color="auto"/>
          </w:divBdr>
        </w:div>
        <w:div w:id="228615815">
          <w:marLeft w:val="480"/>
          <w:marRight w:val="0"/>
          <w:marTop w:val="0"/>
          <w:marBottom w:val="0"/>
          <w:divBdr>
            <w:top w:val="none" w:sz="0" w:space="0" w:color="auto"/>
            <w:left w:val="none" w:sz="0" w:space="0" w:color="auto"/>
            <w:bottom w:val="none" w:sz="0" w:space="0" w:color="auto"/>
            <w:right w:val="none" w:sz="0" w:space="0" w:color="auto"/>
          </w:divBdr>
        </w:div>
        <w:div w:id="1707871099">
          <w:marLeft w:val="480"/>
          <w:marRight w:val="0"/>
          <w:marTop w:val="0"/>
          <w:marBottom w:val="0"/>
          <w:divBdr>
            <w:top w:val="none" w:sz="0" w:space="0" w:color="auto"/>
            <w:left w:val="none" w:sz="0" w:space="0" w:color="auto"/>
            <w:bottom w:val="none" w:sz="0" w:space="0" w:color="auto"/>
            <w:right w:val="none" w:sz="0" w:space="0" w:color="auto"/>
          </w:divBdr>
        </w:div>
      </w:divsChild>
    </w:div>
    <w:div w:id="1928071715">
      <w:bodyDiv w:val="1"/>
      <w:marLeft w:val="0"/>
      <w:marRight w:val="0"/>
      <w:marTop w:val="0"/>
      <w:marBottom w:val="0"/>
      <w:divBdr>
        <w:top w:val="none" w:sz="0" w:space="0" w:color="auto"/>
        <w:left w:val="none" w:sz="0" w:space="0" w:color="auto"/>
        <w:bottom w:val="none" w:sz="0" w:space="0" w:color="auto"/>
        <w:right w:val="none" w:sz="0" w:space="0" w:color="auto"/>
      </w:divBdr>
    </w:div>
    <w:div w:id="1929845489">
      <w:bodyDiv w:val="1"/>
      <w:marLeft w:val="0"/>
      <w:marRight w:val="0"/>
      <w:marTop w:val="0"/>
      <w:marBottom w:val="0"/>
      <w:divBdr>
        <w:top w:val="none" w:sz="0" w:space="0" w:color="auto"/>
        <w:left w:val="none" w:sz="0" w:space="0" w:color="auto"/>
        <w:bottom w:val="none" w:sz="0" w:space="0" w:color="auto"/>
        <w:right w:val="none" w:sz="0" w:space="0" w:color="auto"/>
      </w:divBdr>
    </w:div>
    <w:div w:id="1998536485">
      <w:bodyDiv w:val="1"/>
      <w:marLeft w:val="0"/>
      <w:marRight w:val="0"/>
      <w:marTop w:val="0"/>
      <w:marBottom w:val="0"/>
      <w:divBdr>
        <w:top w:val="none" w:sz="0" w:space="0" w:color="auto"/>
        <w:left w:val="none" w:sz="0" w:space="0" w:color="auto"/>
        <w:bottom w:val="none" w:sz="0" w:space="0" w:color="auto"/>
        <w:right w:val="none" w:sz="0" w:space="0" w:color="auto"/>
      </w:divBdr>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0" Type="http://schemas.openxmlformats.org/officeDocument/2006/relationships/hyperlink" Target="mailto:christian.ratti@polimi.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73E9FD05-9AB3-4BE2-A447-2C0EE524C979}"/>
      </w:docPartPr>
      <w:docPartBody>
        <w:p w:rsidR="00BF21A4" w:rsidRDefault="007A2D34">
          <w:r w:rsidRPr="00776FCF">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D34"/>
    <w:rsid w:val="000820F6"/>
    <w:rsid w:val="00097745"/>
    <w:rsid w:val="0068726F"/>
    <w:rsid w:val="007A2D34"/>
    <w:rsid w:val="00BF21A4"/>
    <w:rsid w:val="00DD1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7A2D3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C9E0AA-3C4D-4F64-B47A-AB19A7F80B99}">
  <we:reference id="wa104382081" version="1.55.1.0" store="it-IT" storeType="OMEX"/>
  <we:alternateReferences>
    <we:reference id="WA104382081" version="1.55.1.0" store="" storeType="OMEX"/>
  </we:alternateReferences>
  <we:properties>
    <we:property name="MENDELEY_CITATIONS" value="[{&quot;citationID&quot;:&quot;MENDELEY_CITATION_72b39e91-c5cf-452c-9393-75a5e8c61f3d&quot;,&quot;properties&quot;:{&quot;noteIndex&quot;:0},&quot;isEdited&quot;:false,&quot;manualOverride&quot;:{&quot;isManuallyOverridden&quot;:false,&quot;citeprocText&quot;:&quot;(Bax et al., 2020)&quot;,&quot;manualOverrideText&quot;:&quot;&quot;},&quot;citationTag&quot;:&quot;MENDELEY_CITATION_v3_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&quot;,&quot;citationItems&quot;:[{&quot;id&quot;:&quot;f1504ed0-9ff6-38ff-a6fb-129b363b6a87&quot;,&quot;itemData&quot;:{&quot;type&quot;:&quot;article-journal&quot;,&quot;id&quot;:&quot;f1504ed0-9ff6-38ff-a6fb-129b363b6a87&quot;,&quot;title&quot;:&quot;Definition and Application of a Protocol for Electronic Nose Field Performance Testing: Example of Odor Monitoring from a Tire Storage Area&quot;,&quot;author&quot;:[{&quot;family&quot;:&quot;Bax&quot;,&quot;given&quot;:&quot;Carmen&quot;,&quot;parse-names&quot;:false,&quot;dropping-particle&quot;:&quot;&quot;,&quot;non-dropping-particle&quot;:&quot;&quot;},{&quot;family&quot;:&quot;Sironi&quot;,&quot;given&quot;:&quot;Selena&quot;,&quot;parse-names&quot;:false,&quot;dropping-particle&quot;:&quot;&quot;,&quot;non-dropping-particle&quot;:&quot;&quot;},{&quot;family&quot;:&quot;Capelli&quot;,&quot;given&quot;:&quot;Laura&quot;,&quot;parse-names&quot;:false,&quot;dropping-particle&quot;:&quot;&quot;,&quot;non-dropping-particle&quot;:&quot;&quot;}],&quot;container-title&quot;:&quot;Atmosphere 2020, Vol. 11, Page 426&quot;,&quot;accessed&quot;:{&quot;date-parts&quot;:[[2023,3,2]]},&quot;DOI&quot;:&quot;10.3390/ATMOS11040426&quot;,&quot;ISSN&quot;:&quot;2073-4433&quot;,&quot;URL&quot;:&quot;https://www.mdpi.com/2073-4433/11/4/426/htm&quot;,&quot;issued&quot;:{&quot;date-parts&quot;:[[2020,4,23]]},&quot;page&quot;:&quot;426&quot;,&quot;abstract&quot;:&quot;Odor pollution is nowadays recognized as a serious environmental concern. Italy still lacks a national regulation about odors, but several regions issued specific guidelines and regulations regarding odor emissions management, which combine olfactometric measurements with dispersion modeling for assessing odor impacts and verifying compliance with acceptability criteria. However, in cases of variable or diffuse sources, this approach is sometimes hardly applicable, because odor emission rates can hardly be estimated. In such cases, electronic noses, or more generally, Instrumental Odor Monitoring Systems (IOMS), represent a suitable solution for direct odor measurement. Accordingly, IOMS are explicitly mentioned in the most recent regional regulations as advanced tools for odor impact assessment. In Italy, data from instrumental odor monitoring have started to have regulatory value; thus the need arises to have specific quality programs to ensure and verify the reliability of IOMS outcomes. This paper describes the monitoring by a commercial electronic nose (EOS507F) of odors from an area dedicated to tire storage, a diffuse source with variable emissions over time, for which dispersion modeling is not applicable. The paper proposes also a protocol for IOMS performance testing in the field, to provide experimental data to support technical groups working on standardization both on the national and European level.&quot;,&quot;publisher&quot;:&quot;Multidisciplinary Digital Publishing Institute&quot;,&quot;issue&quot;:&quot;4&quot;,&quot;volume&quot;:&quot;11&quot;,&quot;container-title-short&quot;:&quot;&quot;},&quot;isTemporary&quot;:false}]},{&quot;citationID&quot;:&quot;MENDELEY_CITATION_fb4c431c-902e-4994-86c8-3d7ff94b2a84&quot;,&quot;properties&quot;:{&quot;noteIndex&quot;:0},&quot;isEdited&quot;:false,&quot;manualOverride&quot;:{&quot;isManuallyOverridden&quot;:false,&quot;citeprocText&quot;:&quot;(Bokowa et al., 2021)&quot;,&quot;manualOverrideText&quot;:&quot;&quot;},&quot;citationTag&quot;:&quot;MENDELEY_CITATION_v3_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&quot;,&quot;citationItems&quot;:[{&quot;id&quot;:&quot;359cd83a-2ec1-3ad9-88ad-58993ad62f4f&quot;,&quot;itemData&quot;:{&quot;type&quot;:&quot;article-journal&quot;,&quot;id&quot;:&quot;359cd83a-2ec1-3ad9-88ad-58993ad62f4f&quot;,&quot;title&quot;:&quot;Summary and overview of the odour regulationsworldwide&quot;,&quot;author&quot;:[{&quot;family&quot;:&quot;Bokowa&quot;,&quot;given&quot;:&quot;Anna&quot;,&quot;parse-names&quot;:false,&quot;dropping-particle&quot;:&quot;&quot;,&quot;non-dropping-particle&quot;:&quot;&quot;},{&quot;family&quot;:&quot;Diaz&quot;,&quot;given&quot;:&quot;Carlos&quot;,&quot;parse-names&quot;:false,&quot;dropping-particle&quot;:&quot;&quot;,&quot;non-dropping-particle&quot;:&quot;&quot;},{&quot;family&quot;:&quot;Koziel&quot;,&quot;given&quot;:&quot;Jacek A.&quot;,&quot;parse-names&quot;:false,&quot;dropping-particle&quot;:&quot;&quot;,&quot;non-dropping-particle&quot;:&quot;&quot;},{&quot;family&quot;:&quot;McGinley&quot;,&quot;given&quot;:&quot;Michael&quot;,&quot;parse-names&quot;:false,&quot;dropping-particle&quot;:&quot;&quot;,&quot;non-dropping-particle&quot;:&quot;&quot;},{&quot;family&quot;:&quot;Barclay&quot;,&quot;given&quot;:&quot;Jennifer&quot;,&quot;parse-names&quot;:false,&quot;dropping-particle&quot;:&quot;&quot;,&quot;non-dropping-particle&quot;:&quot;&quot;},{&quot;family&quot;:&quot;Schauberger&quot;,&quot;given&quot;:&quot;Günther&quot;,&quot;parse-names&quot;:false,&quot;dropping-particle&quot;:&quot;&quot;,&quot;non-dropping-particle&quot;:&quot;&quot;},{&quot;family&quot;:&quot;Guillot&quot;,&quot;given&quot;:&quot;Jean Michel&quot;,&quot;parse-names&quot;:false,&quot;dropping-particle&quot;:&quot;&quot;,&quot;non-dropping-particle&quot;:&quot;&quot;},{&quot;family&quot;:&quot;Sneath&quot;,&quot;given&quot;:&quot;Robert&quot;,&quot;parse-names&quot;:false,&quot;dropping-particle&quot;:&quot;&quot;,&quot;non-dropping-particle&quot;:&quot;&quot;},{&quot;family&quot;:&quot;Capelli&quot;,&quot;given&quot;:&quot;Laura&quot;,&quot;parse-names&quot;:false,&quot;dropping-particle&quot;:&quot;&quot;,&quot;non-dropping-particle&quot;:&quot;&quot;},{&quot;family&quot;:&quot;Zorich&quot;,&quot;given&quot;:&quot;Vania&quot;,&quot;parse-names&quot;:false,&quot;dropping-particle&quot;:&quot;&quot;,&quot;non-dropping-particle&quot;:&quot;&quot;},{&quot;family&quot;:&quot;Izquierdo&quot;,&quot;given&quot;:&quot;Cyntia&quot;,&quot;parse-names&quot;:false,&quot;dropping-particle&quot;:&quot;&quot;,&quot;non-dropping-particle&quot;:&quot;&quot;},{&quot;family&quot;:&quot;Bilsen&quot;,&quot;given&quot;:&quot;Ilse&quot;,&quot;parse-names&quot;:false,&quot;dropping-particle&quot;:&quot;&quot;,&quot;non-dropping-particle&quot;:&quot;&quot;},{&quot;family&quot;:&quot;Romain&quot;,&quot;given&quot;:&quot;Anne Claude&quot;,&quot;parse-names&quot;:false,&quot;dropping-particle&quot;:&quot;&quot;,&quot;non-dropping-particle&quot;:&quot;&quot;},{&quot;family&quot;:&quot;Carmen Cabeza&quot;,&quot;given&quot;:&quot;Maria&quot;,&quot;parse-names&quot;:false,&quot;dropping-particle&quot;:&quot;&quot;,&quot;non-dropping-particle&quot;:&quot;Del&quot;},{&quot;family&quot;:&quot;Liu&quot;,&quot;given&quot;:&quot;Dezhao&quot;,&quot;parse-names&quot;:false,&quot;dropping-particle&quot;:&quot;&quot;,&quot;non-dropping-particle&quot;:&quot;&quot;},{&quot;family&quot;:&quot;Both&quot;,&quot;given&quot;:&quot;Ralf&quot;,&quot;parse-names&quot;:false,&quot;dropping-particle&quot;:&quot;&quot;,&quot;non-dropping-particle&quot;:&quot;&quot;},{&quot;family&quot;:&quot;Belois&quot;,&quot;given&quot;:&quot;Hugo&quot;,&quot;parse-names&quot;:false,&quot;dropping-particle&quot;:&quot;&quot;,&quot;non-dropping-particle&quot;:&quot;Van&quot;},{&quot;family&quot;:&quot;Higuchi&quot;,&quot;given&quot;:&quot;Takaya&quot;,&quot;parse-names&quot;:false,&quot;dropping-particle&quot;:&quot;&quot;,&quot;non-dropping-particle&quot;:&quot;&quot;},{&quot;family&quot;:&quot;Wahe&quot;,&quot;given&quot;:&quot;Landon&quot;,&quot;parse-names&quot;:false,&quot;dropping-particle&quot;:&quot;&quot;,&quot;non-dropping-particle&quot;:&quot;&quot;}],&quot;container-title&quot;:&quot;Atmosphere&quot;,&quot;container-title-short&quot;:&quot;Atmosphere (Basel).&quot;,&quot;accessed&quot;:{&quot;date-parts&quot;:[[2025,12,2]]},&quot;DOI&quot;:&quot;10.3390/ATMOS12020206&quot;,&quot;ISSN&quot;:&quot;20734433&quot;,&quot;issued&quot;:{&quot;date-parts&quot;:[[2021,2,1]]},&quot;abstract&quot;:&quot;When it comes to air pollution complaints, odours are often the most significant contributor. Sources of odour emissions range from natural to anthropogenic. Mitigation of odour can be challenging, multifaceted, site-specific, and is often confounded by its complexity-defined by existing (or non-existing) environmental laws, public ordinances, and socio-economic considerations. The objective of this paper is to review and summarise odour legislation in selected European countries (France, Germany, Austria, Hungary, the UK, Spain, the Netherlands, Italy, Belgium), North America (the USA and Canada), and South America (Chile and Colombia), as well as Oceania (Australia and New Zealand) and Asia (Japan, China). Many countries have incorporated odour controls into their legislation. However, odour-related assessment criteria tend to be highly variable between countries, individual states, provinces, and even counties and towns. Legislation ranges from (1) no specific mention in environmental legislation that regulates pollutants which are known to have an odour impact to (2) extensive details about odour source testing, odour dispersion modelling, ambient odour monitoring, (3) setback distances, (4) process operations, and (5) odour control technologies and procedures. Agricultural operations are one specific source of odour emissions in rural and suburban areas and a model example of such complexities. Management of agricultural odour emissions is important because of the dense consolidation of animal feeding operations and the advance of housing development into rural areas. Overall, there is a need for continued survey, review, development, and adjustment of odour legislation that considers sustainable development, environmental stewardship, and socio-economic realities, all of which are amenable to a just, sitespecific, and sector-specific application.&quot;,&quot;publisher&quot;:&quot;MDPI AG&quot;,&quot;issue&quot;:&quot;2&quot;,&quot;volume&quot;:&quot;12&quot;},&quot;isTemporary&quot;:false}]},{&quot;citationID&quot;:&quot;MENDELEY_CITATION_e0dbc64a-4ef1-428d-a1cc-c5bf087c8103&quot;,&quot;properties&quot;:{&quot;noteIndex&quot;:0},&quot;isEdited&quot;:false,&quot;manualOverride&quot;:{&quot;isManuallyOverridden&quot;:false,&quot;citeprocText&quot;:&quot;(Robbiani et al., 2023)&quot;,&quot;manualOverrideText&quot;:&quot;&quot;},&quot;citationTag&quot;:&quot;MENDELEY_CITATION_v3_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&quot;,&quot;citationItems&quot;:[{&quot;id&quot;:&quot;def430a7-5f2e-3e0c-b57f-2bd10f290fd3&quot;,&quot;itemData&quot;:{&quot;type&quot;:&quot;article-journal&quot;,&quot;id&quot;:&quot;def430a7-5f2e-3e0c-b57f-2bd10f290fd3&quot;,&quot;title&quot;:&quot;Physical Confounding Factors Affecting Gas Sensors Response: A Review on Effects and Compensation Strategies for Electronic Nose Applications&quot;,&quot;author&quot;:[{&quot;family&quot;:&quot;Robbiani&quot;,&quot;given&quot;:&quot;Stefano&quot;,&quot;parse-names&quot;:false,&quot;dropping-particle&quot;:&quot;&quot;,&quot;non-dropping-particle&quot;:&quot;&quot;},{&quot;family&quot;:&quot;Lotesoriere&quot;,&quot;given&quot;:&quot;Beatrice Julia&quot;,&quot;parse-names&quot;:false,&quot;dropping-particle&quot;:&quot;&quot;,&quot;non-dropping-particle&quot;:&quot;&quot;},{&quot;family&quot;:&quot;Dellacà&quot;,&quot;given&quot;:&quot;Raffaele L.&quot;,&quot;parse-names&quot;:false,&quot;dropping-particle&quot;:&quot;&quot;,&quot;non-dropping-particle&quot;:&quot;&quot;},{&quot;family&quot;:&quot;Capelli&quot;,&quot;given&quot;:&quot;Laura&quot;,&quot;parse-names&quot;:false,&quot;dropping-particle&quot;:&quot;&quot;,&quot;non-dropping-particle&quot;:&quot;&quot;}],&quot;container-title&quot;:&quot;Chemosensors 2023, Vol. 11, Page 514&quot;,&quot;accessed&quot;:{&quot;date-parts&quot;:[[2025,9,11]]},&quot;DOI&quot;:&quot;10.3390/CHEMOSENSORS11100514&quot;,&quot;ISSN&quot;:&quot;2227-9040&quot;,&quot;URL&quot;:&quot;https://www.mdpi.com/2227-9040/11/10/514/htm&quot;,&quot;issued&quot;:{&quot;date-parts&quot;:[[2023,9,29]]},&quot;page&quot;:&quot;514&quot;,&quot;abstract&quot;:&quot;Electronic noses (e-noses) are devices based on combining different gas sensors’ responses to a given sample for identifying specific odor fingerprints. In recent years, this technology has been considered a promising novel tool in several fields of application, but several issues still hamper its widespread use. This review paper describes how some physical confounding factors, such as temperature, humidity, and gas flow, in terms of flow direction and flow rate, can drastically influence gas sensors’ responses and, consequently, e-nose results. Among the software and hardware approaches adopted to address such issues, different hardware compensation strategies proposed in the literature were critically analyzed. Solutions related to e-nose sensors’ modification, design and readout, sampling system and/or chamber geometry design were investigated. A trade-off between the loss of volatile compounds of interest, the decrease of sensors’ sensitivity, and the lack of fast responses need to be pointed out. The existing body of knowledge suggests that the e-nose design needs to be highly tailored to the target application to exploit the technology potentialities fully and highlights the need for further studies comparing the several solutions proposed as a starting point for the application-driven design of e-nose-based systems.&quot;,&quot;publisher&quot;:&quot;Multidisciplinary Digital Publishing Institute&quot;,&quot;issue&quot;:&quot;10&quot;,&quot;volume&quot;:&quot;11&quot;,&quot;container-title-short&quot;:&quot;&quot;},&quot;isTemporary&quot;:false}]},{&quot;citationID&quot;:&quot;MENDELEY_CITATION_8a7bd777-c9c0-4c70-8ba0-b28be12cd240&quot;,&quot;properties&quot;:{&quot;noteIndex&quot;:0},&quot;isEdited&quot;:false,&quot;manualOverride&quot;:{&quot;isManuallyOverridden&quot;:false,&quot;citeprocText&quot;:&quot;(Ren et al., 2024)&quot;,&quot;manualOverrideText&quot;:&quot;&quot;},&quot;citationTag&quot;:&quot;MENDELEY_CITATION_v3_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&quot;,&quot;citationItems&quot;:[{&quot;id&quot;:&quot;5bcfc117-f024-398b-90b7-cb11c9173168&quot;,&quot;itemData&quot;:{&quot;type&quot;:&quot;article-journal&quot;,&quot;id&quot;:&quot;5bcfc117-f024-398b-90b7-cb11c9173168&quot;,&quot;title&quot;:&quot;Advances in drift compensation algorithms for electronic nose technology&quot;,&quot;author&quot;:[{&quot;family&quot;:&quot;Ren&quot;,&quot;given&quot;:&quot;Lei&quot;,&quot;parse-names&quot;:false,&quot;dropping-particle&quot;:&quot;&quot;,&quot;non-dropping-particle&quot;:&quot;&quot;},{&quot;family&quot;:&quot;Cheng&quot;,&quot;given&quot;:&quot;Guolin&quot;,&quot;parse-names&quot;:false,&quot;dropping-particle&quot;:&quot;&quot;,&quot;non-dropping-particle&quot;:&quot;&quot;},{&quot;family&quot;:&quot;Chen&quot;,&quot;given&quot;:&quot;Wei&quot;,&quot;parse-names&quot;:false,&quot;dropping-particle&quot;:&quot;&quot;,&quot;non-dropping-particle&quot;:&quot;&quot;},{&quot;family&quot;:&quot;Li&quot;,&quot;given&quot;:&quot;Pei&quot;,&quot;parse-names&quot;:false,&quot;dropping-particle&quot;:&quot;&quot;,&quot;non-dropping-particle&quot;:&quot;&quot;},{&quot;family&quot;:&quot;Wang&quot;,&quot;given&quot;:&quot;Zhenhe&quot;,&quot;parse-names&quot;:false,&quot;dropping-particle&quot;:&quot;&quot;,&quot;non-dropping-particle&quot;:&quot;&quot;}],&quot;container-title&quot;:&quot;Sensor Review&quot;,&quot;accessed&quot;:{&quot;date-parts&quot;:[[2025,6,21]]},&quot;DOI&quot;:&quot;10.1108/SR-06-2024-0554/FULL/PDF&quot;,&quot;ISSN&quot;:&quot;02602288&quot;,&quot;issued&quot;:{&quot;date-parts&quot;:[[2024,11,20]]},&quot;page&quot;:&quot;733-745&quot;,&quot;abstract&quot;:&quot;Purpose: This paper aims to explore recent advances in drift compensation algorithms for Electronic Nose (E-nose) technology and addresses sensor drift challenges through offline, online and neural network-based strategies. It offers a comprehensive review and covers causes of drift, compensation methods and future directions. This synthesis provides insights for enhancing the reliability and effectiveness of E-nose systems in drift issues. Design/methodology/approach: The article adopts a comprehensive approach and systematically explores the causes of sensor drift in E-nose systems and proposes various compensation strategies. It covers both offline and online compensation methods, as well as neural network-based approaches, and provides a holistic view of the available techniques. Findings: The article provides a comprehensive overview of drift compensation algorithms for E-nose technology and consolidates recent research insights. It addresses challenges like sensor calibration and algorithm complexity, while discussing future directions. Readers gain an understanding of the current state-of-the-art and emerging trends in electronic olfaction. Originality/value: This article presents a comprehensive review of the latest advancements in drift compensation algorithms for electronic nose technology and covers the causes of drift, offline drift compensation algorithms, online drift compensation algorithms and neural network drift compensation algorithms. The article also summarizes and discusses the current challenges and future directions of drift compensation algorithms in electronic nose systems.&quot;,&quot;publisher&quot;:&quot;Emerald Publishing&quot;,&quot;issue&quot;:&quot;6&quot;,&quot;volume&quot;:&quot;44&quot;,&quot;container-title-short&quot;:&quot;&quot;},&quot;isTemporary&quot;:false}]},{&quot;citationID&quot;:&quot;MENDELEY_CITATION_f284e334-5cdc-4d87-a4ff-c6a5fc219324&quot;,&quot;properties&quot;:{&quot;noteIndex&quot;:0},&quot;isEdited&quot;:false,&quot;manualOverride&quot;:{&quot;isManuallyOverridden&quot;:false,&quot;citeprocText&quot;:&quot;(CEN., 2022)&quot;,&quot;manualOverrideText&quot;:&quot;&quot;},&quot;citationTag&quot;:&quot;MENDELEY_CITATION_v3_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&quot;,&quot;citationItems&quot;:[{&quot;id&quot;:&quot;aeda7596-3c22-3177-823c-27e36fd4aff3&quot;,&quot;itemData&quot;:{&quot;type&quot;:&quot;article&quot;,&quot;id&quot;:&quot;aeda7596-3c22-3177-823c-27e36fd4aff3&quot;,&quot;title&quot;:&quot;EN 13725:2022. Stationary source emissions - Determination of odour concentration by dynamic olfactometry and odour emission rate&quot;,&quot;author&quot;:[{&quot;family&quot;:&quot;CEN.&quot;,&quot;given&quot;:&quot;&quot;,&quot;parse-names&quot;:false,&quot;dropping-particle&quot;:&quot;&quot;,&quot;non-dropping-particle&quot;:&quot;&quot;}],&quot;container-title&quot;:&quot;CEN: Brussels, Belgium&quot;,&quot;issued&quot;:{&quot;date-parts&quot;:[[2022]]},&quot;publisher-place&quot;:&quot;CEN: Brussels, Belgium&quot;,&quot;container-title-short&quot;:&quot;&quot;},&quot;isTemporary&quot;:false}]},{&quot;citationID&quot;:&quot;MENDELEY_CITATION_06ef7116-e9b0-4020-a2d7-7376a380cbd8&quot;,&quot;properties&quot;:{&quot;noteIndex&quot;:0},&quot;isEdited&quot;:false,&quot;manualOverride&quot;:{&quot;isManuallyOverridden&quot;:false,&quot;citeprocText&quot;:&quot;(UNI., 2023)&quot;,&quot;manualOverrideText&quot;:&quot;&quot;},&quot;citationTag&quot;:&quot;MENDELEY_CITATION_v3_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&quot;,&quot;citationItems&quot;:[{&quot;id&quot;:&quot;7bb9f229-852e-3ce0-a7d4-2da907da8580&quot;,&quot;itemData&quot;:{&quot;type&quot;:&quot;article&quot;,&quot;id&quot;:&quot;7bb9f229-852e-3ce0-a7d4-2da907da8580&quot;,&quot;title&quot;:&quot;UNI 11761:2023. Emissioni e qualità dell'aria - Misurazione strumentale degli odori tramite IOMS (Instrumental Odour Monitoring Systems)&quot;,&quot;author&quot;:[{&quot;family&quot;:&quot;UNI.&quot;,&quot;given&quot;:&quot;&quot;,&quot;parse-names&quot;:false,&quot;dropping-particle&quot;:&quot;&quot;,&quot;non-dropping-particle&quot;:&quot;&quot;}],&quot;container-title&quot;:&quot;UNI, Milano, Italy&quot;,&quot;issued&quot;:{&quot;date-parts&quot;:[[2023]]},&quot;container-title-short&quot;:&quot;&quot;},&quot;isTemporary&quot;:false}]},{&quot;citationID&quot;:&quot;MENDELEY_CITATION_fddbcb19-b177-48c4-9e96-2cb39cf8b379&quot;,&quot;properties&quot;:{&quot;noteIndex&quot;:0},&quot;isEdited&quot;:false,&quot;manualOverride&quot;:{&quot;isManuallyOverridden&quot;:false,&quot;citeprocText&quot;:&quot;(Fearn, 2000)&quot;,&quot;manualOverrideText&quot;:&quot;&quot;},&quot;citationTag&quot;:&quot;MENDELEY_CITATION_v3_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&quot;,&quot;citationItems&quot;:[{&quot;id&quot;:&quot;9511a6fd-bfd4-3dcd-b31a-cdc8fa284e50&quot;,&quot;itemData&quot;:{&quot;type&quot;:&quot;article-journal&quot;,&quot;id&quot;:&quot;9511a6fd-bfd4-3dcd-b31a-cdc8fa284e50&quot;,&quot;title&quot;:&quot;On orthogonal signal correction&quot;,&quot;author&quot;:[{&quot;family&quot;:&quot;Fearn&quot;,&quot;given&quot;:&quot;Tom&quot;,&quot;parse-names&quot;:false,&quot;dropping-particle&quot;:&quot;&quot;,&quot;non-dropping-particle&quot;:&quot;&quot;}],&quot;container-title&quot;:&quot;Chemometrics and Intelligent Laboratory Systems&quot;,&quot;accessed&quot;:{&quot;date-parts&quot;:[[2026,1,12]]},&quot;DOI&quot;:&quot;10.1016/S0169-7439(99)00045-3&quot;,&quot;ISSN&quot;:&quot;0169-7439&quot;,&quot;URL&quot;:&quot;https://www.sciencedirect.com/science/article/pii/S0169743999000453&quot;,&quot;issued&quot;:{&quot;date-parts&quot;:[[2000,1,4]]},&quot;page&quot;:&quot;47-52&quot;,&quot;abstract&quot;:&quot;A new algorithm for orthogonal signal correction is presented, compared with existing algorithms, and illustrated on an example from near infrared spectroscopy. Given a matrix X of spectral or other high dimensional data and a vector or matrix Y of concentrations or other reference measurements on the same samples, orthogonal signal correction subtracts from X factors that account for as much as possible of the variance in X and are orthogonal to Y. The aim is to improve the performance of a subsequent partial least squares (PLS) regression of Y on X. Copyright (C) 2000 Elsevier Science B.V.&quot;,&quot;publisher&quot;:&quot;Elsevier&quot;,&quot;issue&quot;:&quot;1&quot;,&quot;volume&quot;:&quot;50&quot;,&quot;container-title-short&quot;:&quot;&quot;},&quot;isTemporary&quot;:false}]},{&quot;citationID&quot;:&quot;MENDELEY_CITATION_3a7f01f2-5bd8-4ec5-ad97-27a7c918094a&quot;,&quot;properties&quot;:{&quot;noteIndex&quot;:0},&quot;isEdited&quot;:false,&quot;manualOverride&quot;:{&quot;isManuallyOverridden&quot;:false,&quot;citeprocText&quot;:&quot;(Kursa et al., 2010)&quot;,&quot;manualOverrideText&quot;:&quot;&quot;},&quot;citationTag&quot;:&quot;MENDELEY_CITATION_v3_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&quot;,&quot;citationItems&quot;:[{&quot;id&quot;:&quot;22a861f0-ffe6-3e55-83d4-2c28f0c81812&quot;,&quot;itemData&quot;:{&quot;type&quot;:&quot;article-journal&quot;,&quot;id&quot;:&quot;22a861f0-ffe6-3e55-83d4-2c28f0c81812&quot;,&quot;title&quot;:&quot;Boruta - A system for feature selection&quot;,&quot;author&quot;:[{&quot;family&quot;:&quot;Kursa&quot;,&quot;given&quot;:&quot;Miron B.&quot;,&quot;parse-names&quot;:false,&quot;dropping-particle&quot;:&quot;&quot;,&quot;non-dropping-particle&quot;:&quot;&quot;},{&quot;family&quot;:&quot;Jankowski&quot;,&quot;given&quot;:&quot;Aleksander&quot;,&quot;parse-names&quot;:false,&quot;dropping-particle&quot;:&quot;&quot;,&quot;non-dropping-particle&quot;:&quot;&quot;},{&quot;family&quot;:&quot;Rudnicki&quot;,&quot;given&quot;:&quot;Witold R.&quot;,&quot;parse-names&quot;:false,&quot;dropping-particle&quot;:&quot;&quot;,&quot;non-dropping-particle&quot;:&quot;&quot;}],&quot;container-title&quot;:&quot;Fundamenta Informaticae&quot;,&quot;container-title-short&quot;:&quot;Fundam. Inform.&quot;,&quot;ISSN&quot;:&quot;01692968&quot;,&quot;issued&quot;:{&quot;date-parts&quot;:[[2010]]},&quot;page&quot;:&quot;271-285&quot;,&quot;abstract&quot;:&quot;Machine learning methods are often used to classify objects described by hundreds of attributes; in many applications of this kind a great fraction of attributes may be totally irrelevant to the classification problem. Even more, usually one cannot decide a priori which attributes are relevant. In this paper we present an improved version of the algorithm for identification of the full set of truly important variables in an information system. It is an extension of the random forest method which utilises the importance measure generated by the original algorithm. It compares, in the iterative fashion, the importances of original attributes with importances of their randomised copies. We analyse performance of the algorithm on several examples of synthetic data, as well as on a biologically important problem, namely on identification of the sequence motifs that are important for aptameric activity of short RNA sequences.&quot;,&quot;issue&quot;:&quot;4&quot;,&quot;volume&quot;:&quot;101&quot;},&quot;isTemporary&quot;:false}]},{&quot;citationID&quot;:&quot;MENDELEY_CITATION_df5cec00-7fde-4786-9395-b4819beee96b&quot;,&quot;properties&quot;:{&quot;noteIndex&quot;:0},&quot;isEdited&quot;:false,&quot;manualOverride&quot;:{&quot;isManuallyOverridden&quot;:false,&quot;citeprocText&quot;:&quot;(Giavarina, 2015)&quot;,&quot;manualOverrideText&quot;:&quot;&quot;},&quot;citationTag&quot;:&quot;MENDELEY_CITATION_v3_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&quot;,&quot;citationItems&quot;:[{&quot;id&quot;:&quot;efb326aa-29e6-30ed-b615-8c11eebe82d6&quot;,&quot;itemData&quot;:{&quot;type&quot;:&quot;article-journal&quot;,&quot;id&quot;:&quot;efb326aa-29e6-30ed-b615-8c11eebe82d6&quot;,&quot;title&quot;:&quot;Understanding Bland Altman analysis&quot;,&quot;author&quot;:[{&quot;family&quot;:&quot;Giavarina&quot;,&quot;given&quot;:&quot;Davide&quot;,&quot;parse-names&quot;:false,&quot;dropping-particle&quot;:&quot;&quot;,&quot;non-dropping-particle&quot;:&quot;&quot;}],&quot;container-title&quot;:&quot;Biochemia Medica&quot;,&quot;container-title-short&quot;:&quot;Biochem. Med. (Zagreb).&quot;,&quot;accessed&quot;:{&quot;date-parts&quot;:[[2025,8,1]]},&quot;DOI&quot;:&quot;10.11613/BM.2015.015&quot;,&quot;ISSN&quot;:&quot;13300962&quot;,&quot;PMID&quot;:&quot;26110027&quot;,&quot;URL&quot;:&quot;https://pmc.ncbi.nlm.nih.gov/articles/PMC4470095/&quot;,&quot;issued&quot;:{&quot;date-parts&quot;:[[2015]]},&quot;page&quot;:&quot;141&quot;,&quot;abstract&quot;:&quot;In a contemporary clinical laboratory it is very common to have to assess the agreement between two quantitative methods of measurement. The correct statistical approach to assess this degree of agreement is not obvious. Correlation and regression studies are frequently proposed. However, correlation studies the relationship between one variable and another, not the differences, and it is not recommended as a method for assessing the comparability between methods. In 1983 Altman and Bland (B&amp;A) proposed an alternative analysis, based on the quantification of the agreement between two quantitative measurements by studying the mean difference and constructing limits of agreement. The B&amp;A plot analysis is a simple way to evaluate a bias between the mean differences, and to estimate an agreement interval, within which 95% of the differences of the second method, compared to the first one, fall. Data can be analyzed both as unit differences plot and as percentage differences plot. The B&amp;A plot method only defines the intervals of agreements, it does not say whether those limits are acceptable or not. Acceptable limits must be defined a priori, based on clinical necessity, biological considerations or other goals. The aim of this article is to provide guidance on the use and interpretation of Bland Altman analysis in method comparison studies.&quot;,&quot;publisher&quot;:&quot;Biochemia Medica, Editorial Office&quot;,&quot;issue&quot;:&quot;2&quot;,&quot;volume&quot;:&quot;25&quot;},&quot;isTemporary&quot;:false}]}]"/>
    <we:property name="MENDELEY_CITATIONS_STYLE" value="{&quot;id&quot;:&quot;https://www.zotero.org/styles/apa&quot;,&quot;title&quot;:&quot;APA Style 7th edition&quot;,&quot;format&quot;:&quot;author-date&quot;,&quot;defaultLocale&quot;:null,&quot;isLocaleCodeValid&quot;:true}"/>
    <we:property name="MENDELEY_BIBLIOGRAPHY_IS_DIRTY" value="false"/>
    <we:property name="MENDELEY_BIBLIOGRAPHY_LAST_MODIFIED" value="1776349883531"/>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3560</Words>
  <Characters>20292</Characters>
  <Application>Microsoft Office Word</Application>
  <DocSecurity>0</DocSecurity>
  <Lines>169</Lines>
  <Paragraphs>47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23805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Christian Ratti</cp:lastModifiedBy>
  <cp:revision>2</cp:revision>
  <cp:lastPrinted>2015-05-12T18:31:00Z</cp:lastPrinted>
  <dcterms:created xsi:type="dcterms:W3CDTF">2026-05-11T07:18:00Z</dcterms:created>
  <dcterms:modified xsi:type="dcterms:W3CDTF">2026-05-11T07:18:00Z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