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bottom w:val="single" w:sz="4" w:space="0" w:color="auto"/>
        </w:tblBorders>
        <w:tblLook w:val="01E0" w:firstRow="1" w:lastRow="1" w:firstColumn="1" w:lastColumn="1" w:noHBand="0" w:noVBand="0"/>
      </w:tblPr>
      <w:tblGrid>
        <w:gridCol w:w="6940"/>
        <w:gridCol w:w="1842"/>
      </w:tblGrid>
      <w:tr w:rsidR="000A03B2" w:rsidRPr="00B57B36" w14:paraId="2A131A54" w14:textId="77777777" w:rsidTr="00E8266D">
        <w:trPr>
          <w:trHeight w:val="852"/>
          <w:jc w:val="center"/>
        </w:trPr>
        <w:tc>
          <w:tcPr>
            <w:tcW w:w="6940" w:type="dxa"/>
            <w:vMerge w:val="restart"/>
            <w:tcBorders>
              <w:right w:val="single" w:sz="4" w:space="0" w:color="auto"/>
            </w:tcBorders>
          </w:tcPr>
          <w:p w14:paraId="38C3D2BA" w14:textId="77777777" w:rsidR="000A03B2" w:rsidRPr="00B57B36" w:rsidRDefault="000A03B2" w:rsidP="00DE264A">
            <w:pPr>
              <w:tabs>
                <w:tab w:val="left" w:pos="-108"/>
              </w:tabs>
              <w:ind w:left="-108"/>
              <w:jc w:val="left"/>
              <w:rPr>
                <w:rFonts w:cs="Arial"/>
                <w:b/>
                <w:bCs/>
                <w:i/>
                <w:iCs/>
                <w:color w:val="000066"/>
                <w:sz w:val="12"/>
                <w:szCs w:val="12"/>
                <w:lang w:eastAsia="it-IT"/>
              </w:rPr>
            </w:pPr>
            <w:bookmarkStart w:id="0" w:name="_Hlk145068772"/>
            <w:r w:rsidRPr="00B57B36">
              <w:rPr>
                <w:rFonts w:ascii="AdvP6960" w:hAnsi="AdvP6960" w:cs="AdvP6960"/>
                <w:noProof/>
                <w:color w:val="241F20"/>
                <w:szCs w:val="18"/>
                <w:lang w:val="it-IT" w:eastAsia="it-IT"/>
              </w:rPr>
              <w:drawing>
                <wp:inline distT="0" distB="0" distL="0" distR="0" wp14:anchorId="02B7C3D3" wp14:editId="5EE03112">
                  <wp:extent cx="640080" cy="373380"/>
                  <wp:effectExtent l="0" t="0" r="7620" b="7620"/>
                  <wp:docPr id="5" name="Immagine 5" descr="ce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et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080" cy="373380"/>
                          </a:xfrm>
                          <a:prstGeom prst="rect">
                            <a:avLst/>
                          </a:prstGeom>
                          <a:noFill/>
                          <a:ln>
                            <a:noFill/>
                          </a:ln>
                        </pic:spPr>
                      </pic:pic>
                    </a:graphicData>
                  </a:graphic>
                </wp:inline>
              </w:drawing>
            </w:r>
            <w:r w:rsidRPr="00B57B36">
              <w:rPr>
                <w:rFonts w:ascii="AdvP6960" w:hAnsi="AdvP6960" w:cs="AdvP6960"/>
                <w:color w:val="241F20"/>
                <w:szCs w:val="18"/>
                <w:lang w:eastAsia="it-IT"/>
              </w:rPr>
              <w:t xml:space="preserve"> </w:t>
            </w:r>
            <w:r w:rsidRPr="00B57B36">
              <w:rPr>
                <w:rFonts w:cs="Arial"/>
                <w:b/>
                <w:bCs/>
                <w:i/>
                <w:iCs/>
                <w:color w:val="000066"/>
                <w:sz w:val="24"/>
                <w:szCs w:val="24"/>
                <w:lang w:eastAsia="it-IT"/>
              </w:rPr>
              <w:t>CHEMICAL ENGINEERING</w:t>
            </w:r>
            <w:r w:rsidRPr="00B57B36">
              <w:rPr>
                <w:rFonts w:cs="Arial"/>
                <w:b/>
                <w:bCs/>
                <w:i/>
                <w:iCs/>
                <w:color w:val="0033FF"/>
                <w:sz w:val="24"/>
                <w:szCs w:val="24"/>
                <w:lang w:eastAsia="it-IT"/>
              </w:rPr>
              <w:t xml:space="preserve"> </w:t>
            </w:r>
            <w:r w:rsidRPr="00B57B36">
              <w:rPr>
                <w:rFonts w:cs="Arial"/>
                <w:b/>
                <w:bCs/>
                <w:i/>
                <w:iCs/>
                <w:color w:val="666666"/>
                <w:sz w:val="24"/>
                <w:szCs w:val="24"/>
                <w:lang w:eastAsia="it-IT"/>
              </w:rPr>
              <w:t>TRANSACTIONS</w:t>
            </w:r>
            <w:r w:rsidRPr="00B57B36">
              <w:rPr>
                <w:color w:val="333333"/>
                <w:sz w:val="24"/>
                <w:szCs w:val="24"/>
                <w:lang w:eastAsia="it-IT"/>
              </w:rPr>
              <w:t xml:space="preserve"> </w:t>
            </w:r>
            <w:r w:rsidRPr="00B57B36">
              <w:rPr>
                <w:rFonts w:cs="Arial"/>
                <w:b/>
                <w:bCs/>
                <w:i/>
                <w:iCs/>
                <w:color w:val="000066"/>
                <w:sz w:val="27"/>
                <w:szCs w:val="27"/>
                <w:lang w:eastAsia="it-IT"/>
              </w:rPr>
              <w:br/>
            </w:r>
          </w:p>
          <w:p w14:paraId="4B780582" w14:textId="753620B8" w:rsidR="000A03B2" w:rsidRPr="00B57B36" w:rsidRDefault="00A76EFC" w:rsidP="001D21AF">
            <w:pPr>
              <w:tabs>
                <w:tab w:val="left" w:pos="-108"/>
              </w:tabs>
              <w:ind w:left="-108"/>
              <w:rPr>
                <w:rFonts w:cs="Arial"/>
                <w:b/>
                <w:bCs/>
                <w:i/>
                <w:iCs/>
                <w:color w:val="000066"/>
                <w:sz w:val="22"/>
                <w:szCs w:val="22"/>
                <w:lang w:eastAsia="it-IT"/>
              </w:rPr>
            </w:pPr>
            <w:r w:rsidRPr="00B57B36">
              <w:rPr>
                <w:rFonts w:cs="Arial"/>
                <w:b/>
                <w:bCs/>
                <w:i/>
                <w:iCs/>
                <w:color w:val="000066"/>
                <w:sz w:val="22"/>
                <w:szCs w:val="22"/>
                <w:lang w:eastAsia="it-IT"/>
              </w:rPr>
              <w:t>VOL.</w:t>
            </w:r>
            <w:r w:rsidR="00785BF9">
              <w:rPr>
                <w:rFonts w:cs="Arial"/>
                <w:b/>
                <w:bCs/>
                <w:i/>
                <w:iCs/>
                <w:color w:val="000066"/>
                <w:sz w:val="22"/>
                <w:szCs w:val="22"/>
                <w:lang w:eastAsia="it-IT"/>
              </w:rPr>
              <w:t xml:space="preserve"> </w:t>
            </w:r>
            <w:r w:rsidR="00AD0278">
              <w:rPr>
                <w:rFonts w:cs="Arial"/>
                <w:b/>
                <w:bCs/>
                <w:i/>
                <w:iCs/>
                <w:color w:val="000066"/>
                <w:sz w:val="22"/>
                <w:szCs w:val="22"/>
                <w:lang w:eastAsia="it-IT"/>
              </w:rPr>
              <w:t>xxx</w:t>
            </w:r>
            <w:r w:rsidR="007B48F9">
              <w:rPr>
                <w:rFonts w:cs="Arial"/>
                <w:b/>
                <w:bCs/>
                <w:i/>
                <w:iCs/>
                <w:color w:val="000066"/>
                <w:sz w:val="22"/>
                <w:szCs w:val="22"/>
                <w:lang w:eastAsia="it-IT"/>
              </w:rPr>
              <w:t>,</w:t>
            </w:r>
            <w:r w:rsidR="00FA5F5F">
              <w:rPr>
                <w:rFonts w:cs="Arial"/>
                <w:b/>
                <w:bCs/>
                <w:i/>
                <w:iCs/>
                <w:color w:val="000066"/>
                <w:sz w:val="22"/>
                <w:szCs w:val="22"/>
                <w:lang w:eastAsia="it-IT"/>
              </w:rPr>
              <w:t xml:space="preserve"> </w:t>
            </w:r>
            <w:r w:rsidR="0030152C">
              <w:rPr>
                <w:rFonts w:cs="Arial"/>
                <w:b/>
                <w:bCs/>
                <w:i/>
                <w:iCs/>
                <w:color w:val="000066"/>
                <w:sz w:val="22"/>
                <w:szCs w:val="22"/>
                <w:lang w:eastAsia="it-IT"/>
              </w:rPr>
              <w:t>202</w:t>
            </w:r>
            <w:r w:rsidR="00AD0278">
              <w:rPr>
                <w:rFonts w:cs="Arial"/>
                <w:b/>
                <w:bCs/>
                <w:i/>
                <w:iCs/>
                <w:color w:val="000066"/>
                <w:sz w:val="22"/>
                <w:szCs w:val="22"/>
                <w:lang w:eastAsia="it-IT"/>
              </w:rPr>
              <w:t>6</w:t>
            </w:r>
          </w:p>
        </w:tc>
        <w:tc>
          <w:tcPr>
            <w:tcW w:w="1842" w:type="dxa"/>
            <w:tcBorders>
              <w:left w:val="single" w:sz="4" w:space="0" w:color="auto"/>
              <w:bottom w:val="nil"/>
              <w:right w:val="single" w:sz="4" w:space="0" w:color="auto"/>
            </w:tcBorders>
          </w:tcPr>
          <w:p w14:paraId="56782132" w14:textId="77777777" w:rsidR="000A03B2" w:rsidRPr="00B57B36" w:rsidRDefault="000A03B2" w:rsidP="00CD5FE2">
            <w:pPr>
              <w:spacing w:line="140" w:lineRule="atLeast"/>
              <w:jc w:val="right"/>
              <w:rPr>
                <w:rFonts w:cs="Arial"/>
                <w:sz w:val="14"/>
                <w:szCs w:val="14"/>
              </w:rPr>
            </w:pPr>
            <w:r w:rsidRPr="00B57B36">
              <w:rPr>
                <w:rFonts w:cs="Arial"/>
                <w:sz w:val="14"/>
                <w:szCs w:val="14"/>
              </w:rPr>
              <w:t>A publication of</w:t>
            </w:r>
          </w:p>
          <w:p w14:paraId="599E5441" w14:textId="77777777" w:rsidR="000A03B2" w:rsidRPr="00B57B36" w:rsidRDefault="000A03B2" w:rsidP="00CD5FE2">
            <w:pPr>
              <w:jc w:val="right"/>
            </w:pPr>
            <w:r w:rsidRPr="00B57B36">
              <w:rPr>
                <w:noProof/>
                <w:lang w:val="it-IT" w:eastAsia="it-IT"/>
              </w:rPr>
              <w:drawing>
                <wp:inline distT="0" distB="0" distL="0" distR="0" wp14:anchorId="59C75AF4" wp14:editId="4FF92432">
                  <wp:extent cx="670560" cy="358140"/>
                  <wp:effectExtent l="0" t="0" r="0" b="3810"/>
                  <wp:docPr id="6" name="Immagine 6" descr="aidiclogo_gr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idiclogo_gran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0560" cy="358140"/>
                          </a:xfrm>
                          <a:prstGeom prst="rect">
                            <a:avLst/>
                          </a:prstGeom>
                          <a:noFill/>
                          <a:ln>
                            <a:noFill/>
                          </a:ln>
                        </pic:spPr>
                      </pic:pic>
                    </a:graphicData>
                  </a:graphic>
                </wp:inline>
              </w:drawing>
            </w:r>
          </w:p>
        </w:tc>
      </w:tr>
      <w:tr w:rsidR="000A03B2" w:rsidRPr="00B57B36" w14:paraId="380FA3CD" w14:textId="77777777" w:rsidTr="00E8266D">
        <w:trPr>
          <w:trHeight w:val="567"/>
          <w:jc w:val="center"/>
        </w:trPr>
        <w:tc>
          <w:tcPr>
            <w:tcW w:w="6940" w:type="dxa"/>
            <w:vMerge/>
            <w:tcBorders>
              <w:right w:val="single" w:sz="4" w:space="0" w:color="auto"/>
            </w:tcBorders>
          </w:tcPr>
          <w:p w14:paraId="39E5E4C1" w14:textId="77777777" w:rsidR="000A03B2" w:rsidRPr="00B57B36" w:rsidRDefault="000A03B2" w:rsidP="00CD5FE2">
            <w:pPr>
              <w:tabs>
                <w:tab w:val="left" w:pos="-108"/>
              </w:tabs>
            </w:pPr>
          </w:p>
        </w:tc>
        <w:tc>
          <w:tcPr>
            <w:tcW w:w="1842" w:type="dxa"/>
            <w:tcBorders>
              <w:left w:val="single" w:sz="4" w:space="0" w:color="auto"/>
              <w:bottom w:val="nil"/>
              <w:right w:val="single" w:sz="4" w:space="0" w:color="auto"/>
            </w:tcBorders>
          </w:tcPr>
          <w:p w14:paraId="43858A98" w14:textId="77777777" w:rsidR="000A03B2" w:rsidRPr="00B57B36" w:rsidRDefault="000A03B2" w:rsidP="00CD5FE2">
            <w:pPr>
              <w:spacing w:line="140" w:lineRule="atLeast"/>
              <w:jc w:val="right"/>
              <w:rPr>
                <w:rFonts w:cs="Arial"/>
                <w:sz w:val="14"/>
                <w:szCs w:val="14"/>
              </w:rPr>
            </w:pPr>
            <w:r w:rsidRPr="00B57B36">
              <w:rPr>
                <w:rFonts w:cs="Arial"/>
                <w:sz w:val="14"/>
                <w:szCs w:val="14"/>
              </w:rPr>
              <w:t>The Italian Association</w:t>
            </w:r>
          </w:p>
          <w:p w14:paraId="7522B1D2" w14:textId="77777777" w:rsidR="000A03B2" w:rsidRPr="00B57B36" w:rsidRDefault="000A03B2" w:rsidP="00CD5FE2">
            <w:pPr>
              <w:spacing w:line="140" w:lineRule="atLeast"/>
              <w:jc w:val="right"/>
              <w:rPr>
                <w:rFonts w:cs="Arial"/>
                <w:sz w:val="14"/>
                <w:szCs w:val="14"/>
              </w:rPr>
            </w:pPr>
            <w:r w:rsidRPr="00B57B36">
              <w:rPr>
                <w:rFonts w:cs="Arial"/>
                <w:sz w:val="14"/>
                <w:szCs w:val="14"/>
              </w:rPr>
              <w:t>of Chemical Engineering</w:t>
            </w:r>
          </w:p>
          <w:p w14:paraId="4F0CC5DE" w14:textId="47FDB2FC" w:rsidR="000A03B2" w:rsidRPr="000D0268" w:rsidRDefault="000D0268" w:rsidP="00CD5FE2">
            <w:pPr>
              <w:spacing w:line="140" w:lineRule="atLeast"/>
              <w:jc w:val="right"/>
              <w:rPr>
                <w:rFonts w:cs="Arial"/>
                <w:sz w:val="13"/>
                <w:szCs w:val="13"/>
              </w:rPr>
            </w:pPr>
            <w:r w:rsidRPr="000D0268">
              <w:rPr>
                <w:rFonts w:cs="Arial"/>
                <w:sz w:val="13"/>
                <w:szCs w:val="13"/>
              </w:rPr>
              <w:t>Online at www.cetjournal.it</w:t>
            </w:r>
          </w:p>
        </w:tc>
      </w:tr>
      <w:tr w:rsidR="000A03B2" w:rsidRPr="00B57B36" w14:paraId="2D1B7169" w14:textId="77777777" w:rsidTr="00E8266D">
        <w:trPr>
          <w:trHeight w:val="68"/>
          <w:jc w:val="center"/>
        </w:trPr>
        <w:tc>
          <w:tcPr>
            <w:tcW w:w="8782" w:type="dxa"/>
            <w:gridSpan w:val="2"/>
          </w:tcPr>
          <w:p w14:paraId="1D8DD3C9" w14:textId="354DD23C" w:rsidR="00AA7D26" w:rsidRPr="00005884" w:rsidRDefault="004A5E57" w:rsidP="004A5E57">
            <w:pPr>
              <w:ind w:left="-107"/>
              <w:outlineLvl w:val="2"/>
              <w:rPr>
                <w:rFonts w:ascii="Tahoma" w:hAnsi="Tahoma" w:cs="Tahoma"/>
                <w:bCs/>
                <w:color w:val="000000"/>
                <w:sz w:val="14"/>
                <w:szCs w:val="14"/>
                <w:lang w:val="it-IT" w:eastAsia="it-IT"/>
              </w:rPr>
            </w:pPr>
            <w:r w:rsidRPr="004A5E57">
              <w:rPr>
                <w:rFonts w:ascii="Tahoma" w:hAnsi="Tahoma" w:cs="Tahoma"/>
                <w:iCs/>
                <w:color w:val="333333"/>
                <w:sz w:val="14"/>
                <w:szCs w:val="14"/>
                <w:lang w:val="it-IT" w:eastAsia="it-IT"/>
              </w:rPr>
              <w:t>Guest Editors:</w:t>
            </w:r>
            <w:r w:rsidRPr="004A5E57">
              <w:rPr>
                <w:rFonts w:ascii="Tahoma" w:hAnsi="Tahoma" w:cs="Tahoma"/>
                <w:color w:val="000000"/>
                <w:sz w:val="14"/>
                <w:szCs w:val="14"/>
                <w:shd w:val="clear" w:color="auto" w:fill="FFFFFF"/>
                <w:lang w:val="it-IT"/>
              </w:rPr>
              <w:t xml:space="preserve"> </w:t>
            </w:r>
            <w:r w:rsidR="00550D01" w:rsidRPr="00550D01">
              <w:rPr>
                <w:rFonts w:ascii="Tahoma" w:hAnsi="Tahoma" w:cs="Tahoma"/>
                <w:color w:val="000000"/>
                <w:sz w:val="14"/>
                <w:szCs w:val="14"/>
                <w:shd w:val="clear" w:color="auto" w:fill="FFFFFF"/>
                <w:lang w:val="it-IT"/>
              </w:rPr>
              <w:t xml:space="preserve">Laura </w:t>
            </w:r>
            <w:r w:rsidR="00550D01">
              <w:rPr>
                <w:rFonts w:ascii="Tahoma" w:hAnsi="Tahoma" w:cs="Tahoma"/>
                <w:color w:val="000000"/>
                <w:sz w:val="14"/>
                <w:szCs w:val="14"/>
                <w:shd w:val="clear" w:color="auto" w:fill="FFFFFF"/>
                <w:lang w:val="it-IT"/>
              </w:rPr>
              <w:t>C</w:t>
            </w:r>
            <w:r w:rsidR="00550D01" w:rsidRPr="00550D01">
              <w:rPr>
                <w:rFonts w:ascii="Tahoma" w:hAnsi="Tahoma" w:cs="Tahoma"/>
                <w:color w:val="000000"/>
                <w:sz w:val="14"/>
                <w:szCs w:val="14"/>
                <w:shd w:val="clear" w:color="auto" w:fill="FFFFFF"/>
                <w:lang w:val="it-IT"/>
              </w:rPr>
              <w:t>apelli, Marzio Invernizzi</w:t>
            </w:r>
            <w:r w:rsidR="00550D01">
              <w:rPr>
                <w:rFonts w:ascii="Tahoma" w:hAnsi="Tahoma" w:cs="Tahoma"/>
                <w:color w:val="000000"/>
                <w:sz w:val="14"/>
                <w:szCs w:val="14"/>
                <w:shd w:val="clear" w:color="auto" w:fill="FFFFFF"/>
                <w:lang w:val="it-IT"/>
              </w:rPr>
              <w:t>,</w:t>
            </w:r>
            <w:r w:rsidR="00550D01" w:rsidRPr="00550D01">
              <w:rPr>
                <w:rFonts w:ascii="Tahoma" w:hAnsi="Tahoma" w:cs="Tahoma"/>
                <w:color w:val="000000"/>
                <w:sz w:val="14"/>
                <w:szCs w:val="14"/>
                <w:shd w:val="clear" w:color="auto" w:fill="FFFFFF"/>
                <w:lang w:val="it-IT"/>
              </w:rPr>
              <w:t xml:space="preserve"> Selena Sironi</w:t>
            </w:r>
          </w:p>
          <w:p w14:paraId="1B0F1814" w14:textId="710B7B96" w:rsidR="000A03B2" w:rsidRPr="00B57B36" w:rsidRDefault="00AA7D26" w:rsidP="00AA7D26">
            <w:pPr>
              <w:tabs>
                <w:tab w:val="left" w:pos="-108"/>
              </w:tabs>
              <w:spacing w:line="140" w:lineRule="atLeast"/>
              <w:ind w:left="-107"/>
              <w:jc w:val="left"/>
            </w:pPr>
            <w:r>
              <w:rPr>
                <w:rFonts w:ascii="Tahoma" w:hAnsi="Tahoma" w:cs="Tahoma"/>
                <w:iCs/>
                <w:color w:val="333333"/>
                <w:sz w:val="14"/>
                <w:szCs w:val="14"/>
                <w:lang w:eastAsia="it-IT"/>
              </w:rPr>
              <w:t>Copyright © 202</w:t>
            </w:r>
            <w:r w:rsidR="00005884">
              <w:rPr>
                <w:rFonts w:ascii="Tahoma" w:hAnsi="Tahoma" w:cs="Tahoma"/>
                <w:iCs/>
                <w:color w:val="333333"/>
                <w:sz w:val="14"/>
                <w:szCs w:val="14"/>
                <w:lang w:eastAsia="it-IT"/>
              </w:rPr>
              <w:t>6</w:t>
            </w:r>
            <w:r w:rsidRPr="00B57B36">
              <w:rPr>
                <w:rFonts w:ascii="Tahoma" w:hAnsi="Tahoma" w:cs="Tahoma"/>
                <w:iCs/>
                <w:color w:val="333333"/>
                <w:sz w:val="14"/>
                <w:szCs w:val="14"/>
                <w:lang w:eastAsia="it-IT"/>
              </w:rPr>
              <w:t>, AIDIC Servizi S.r.l.</w:t>
            </w:r>
            <w:r w:rsidRPr="00B57B36">
              <w:rPr>
                <w:rFonts w:ascii="Tahoma" w:hAnsi="Tahoma" w:cs="Tahoma"/>
                <w:iCs/>
                <w:color w:val="333333"/>
                <w:sz w:val="14"/>
                <w:szCs w:val="14"/>
                <w:lang w:eastAsia="it-IT"/>
              </w:rPr>
              <w:br/>
            </w:r>
            <w:r w:rsidRPr="00B57B36">
              <w:rPr>
                <w:rFonts w:ascii="Tahoma" w:hAnsi="Tahoma" w:cs="Tahoma"/>
                <w:b/>
                <w:iCs/>
                <w:color w:val="000000"/>
                <w:sz w:val="14"/>
                <w:szCs w:val="14"/>
                <w:lang w:eastAsia="it-IT"/>
              </w:rPr>
              <w:t>ISBN</w:t>
            </w:r>
            <w:r w:rsidRPr="00B57B36">
              <w:rPr>
                <w:rFonts w:ascii="Tahoma" w:hAnsi="Tahoma" w:cs="Tahoma"/>
                <w:iCs/>
                <w:color w:val="000000"/>
                <w:sz w:val="14"/>
                <w:szCs w:val="14"/>
                <w:lang w:eastAsia="it-IT"/>
              </w:rPr>
              <w:t xml:space="preserve"> </w:t>
            </w:r>
            <w:r w:rsidR="00D2582C" w:rsidRPr="000562A9">
              <w:rPr>
                <w:rFonts w:ascii="Tahoma" w:hAnsi="Tahoma" w:cs="Tahoma"/>
                <w:sz w:val="14"/>
                <w:szCs w:val="14"/>
              </w:rPr>
              <w:t>97</w:t>
            </w:r>
            <w:r w:rsidR="00D2582C">
              <w:rPr>
                <w:rFonts w:ascii="Tahoma" w:hAnsi="Tahoma" w:cs="Tahoma"/>
                <w:sz w:val="14"/>
                <w:szCs w:val="14"/>
              </w:rPr>
              <w:t>9</w:t>
            </w:r>
            <w:r w:rsidR="00D2582C" w:rsidRPr="000562A9">
              <w:rPr>
                <w:rFonts w:ascii="Tahoma" w:hAnsi="Tahoma" w:cs="Tahoma"/>
                <w:sz w:val="14"/>
                <w:szCs w:val="14"/>
              </w:rPr>
              <w:t>-</w:t>
            </w:r>
            <w:r w:rsidR="00D2582C">
              <w:rPr>
                <w:rFonts w:ascii="Tahoma" w:hAnsi="Tahoma" w:cs="Tahoma"/>
                <w:sz w:val="14"/>
                <w:szCs w:val="14"/>
              </w:rPr>
              <w:t>12</w:t>
            </w:r>
            <w:r w:rsidR="00D2582C" w:rsidRPr="000562A9">
              <w:rPr>
                <w:rFonts w:ascii="Tahoma" w:hAnsi="Tahoma" w:cs="Tahoma"/>
                <w:sz w:val="14"/>
                <w:szCs w:val="14"/>
              </w:rPr>
              <w:t>-</w:t>
            </w:r>
            <w:r w:rsidR="00D2582C">
              <w:rPr>
                <w:rFonts w:ascii="Tahoma" w:hAnsi="Tahoma" w:cs="Tahoma"/>
                <w:sz w:val="14"/>
                <w:szCs w:val="14"/>
              </w:rPr>
              <w:t>81206-</w:t>
            </w:r>
            <w:r w:rsidR="00005884">
              <w:rPr>
                <w:rFonts w:ascii="Tahoma" w:hAnsi="Tahoma" w:cs="Tahoma"/>
                <w:sz w:val="14"/>
                <w:szCs w:val="14"/>
              </w:rPr>
              <w:t>xx</w:t>
            </w:r>
            <w:r w:rsidR="009041F8">
              <w:rPr>
                <w:rFonts w:ascii="Tahoma" w:hAnsi="Tahoma" w:cs="Tahoma"/>
                <w:sz w:val="14"/>
                <w:szCs w:val="14"/>
              </w:rPr>
              <w:t>-</w:t>
            </w:r>
            <w:r w:rsidR="00005884">
              <w:rPr>
                <w:rFonts w:ascii="Tahoma" w:hAnsi="Tahoma" w:cs="Tahoma"/>
                <w:sz w:val="14"/>
                <w:szCs w:val="14"/>
              </w:rPr>
              <w:t>x</w:t>
            </w:r>
            <w:r w:rsidRPr="00EF06D9">
              <w:rPr>
                <w:rFonts w:ascii="Tahoma" w:hAnsi="Tahoma" w:cs="Tahoma"/>
                <w:iCs/>
                <w:color w:val="333333"/>
                <w:sz w:val="14"/>
                <w:szCs w:val="14"/>
                <w:lang w:eastAsia="it-IT"/>
              </w:rPr>
              <w:t>;</w:t>
            </w:r>
            <w:r w:rsidRPr="00B57B36">
              <w:rPr>
                <w:rFonts w:ascii="Tahoma" w:hAnsi="Tahoma" w:cs="Tahoma"/>
                <w:iCs/>
                <w:color w:val="333333"/>
                <w:sz w:val="14"/>
                <w:szCs w:val="14"/>
                <w:lang w:eastAsia="it-IT"/>
              </w:rPr>
              <w:t xml:space="preserve"> </w:t>
            </w:r>
            <w:r w:rsidRPr="00B57B36">
              <w:rPr>
                <w:rFonts w:ascii="Tahoma" w:hAnsi="Tahoma" w:cs="Tahoma"/>
                <w:b/>
                <w:iCs/>
                <w:color w:val="333333"/>
                <w:sz w:val="14"/>
                <w:szCs w:val="14"/>
                <w:lang w:eastAsia="it-IT"/>
              </w:rPr>
              <w:t>ISSN</w:t>
            </w:r>
            <w:r w:rsidRPr="00B57B36">
              <w:rPr>
                <w:rFonts w:ascii="Tahoma" w:hAnsi="Tahoma" w:cs="Tahoma"/>
                <w:iCs/>
                <w:color w:val="333333"/>
                <w:sz w:val="14"/>
                <w:szCs w:val="14"/>
                <w:lang w:eastAsia="it-IT"/>
              </w:rPr>
              <w:t xml:space="preserve"> 2283-9216</w:t>
            </w:r>
          </w:p>
        </w:tc>
      </w:tr>
    </w:tbl>
    <w:bookmarkEnd w:id="0"/>
    <w:p w14:paraId="2E667253" w14:textId="0180C54E" w:rsidR="00E978D0" w:rsidRPr="00B57B36" w:rsidRDefault="00E8266D" w:rsidP="00E978D0">
      <w:pPr>
        <w:pStyle w:val="CETTitle"/>
      </w:pPr>
      <w:r w:rsidRPr="00E8266D">
        <w:t>A comprehensive approach to modeling odor emissions from anaerobic ponds including biogas bubbling and surface volatilization</w:t>
      </w:r>
    </w:p>
    <w:p w14:paraId="0488FED2" w14:textId="458B4D65" w:rsidR="00B57E6F" w:rsidRPr="009E7BEE" w:rsidRDefault="009E7BEE" w:rsidP="00B57E6F">
      <w:pPr>
        <w:pStyle w:val="CETAuthors"/>
        <w:rPr>
          <w:lang w:val="pt-BR"/>
        </w:rPr>
      </w:pPr>
      <w:r w:rsidRPr="009E7BEE">
        <w:rPr>
          <w:lang w:val="pt-BR"/>
        </w:rPr>
        <w:t>Maria J. Allievi</w:t>
      </w:r>
      <w:r w:rsidRPr="00725AD8">
        <w:rPr>
          <w:vertAlign w:val="superscript"/>
          <w:lang w:val="pt-BR"/>
        </w:rPr>
        <w:t>a*</w:t>
      </w:r>
      <w:r w:rsidRPr="009E7BEE">
        <w:rPr>
          <w:lang w:val="pt-BR"/>
        </w:rPr>
        <w:t xml:space="preserve">, Ademir Prata </w:t>
      </w:r>
      <w:r w:rsidRPr="00725AD8">
        <w:rPr>
          <w:vertAlign w:val="superscript"/>
          <w:lang w:val="pt-BR"/>
        </w:rPr>
        <w:t>b,</w:t>
      </w:r>
      <w:r w:rsidRPr="009E7BEE">
        <w:rPr>
          <w:lang w:val="pt-BR"/>
        </w:rPr>
        <w:t xml:space="preserve"> Leonardo Hoinaski</w:t>
      </w:r>
      <w:r w:rsidR="0063763C">
        <w:rPr>
          <w:vertAlign w:val="superscript"/>
          <w:lang w:val="pt-BR"/>
        </w:rPr>
        <w:t>c</w:t>
      </w:r>
      <w:r w:rsidRPr="009E7BEE">
        <w:rPr>
          <w:lang w:val="pt-BR"/>
        </w:rPr>
        <w:t>, Paulo B. Filho</w:t>
      </w:r>
      <w:r w:rsidR="0063763C" w:rsidRPr="0063763C">
        <w:rPr>
          <w:vertAlign w:val="superscript"/>
          <w:lang w:val="pt-BR"/>
        </w:rPr>
        <w:t>c</w:t>
      </w:r>
      <w:r w:rsidR="00B57E6F" w:rsidRPr="009E7BEE">
        <w:rPr>
          <w:lang w:val="pt-BR"/>
        </w:rPr>
        <w:t xml:space="preserve"> </w:t>
      </w:r>
    </w:p>
    <w:p w14:paraId="6B2D21B3" w14:textId="302BF7D5" w:rsidR="00B57E6F" w:rsidRPr="00B54499" w:rsidRDefault="00B57E6F" w:rsidP="00B57E6F">
      <w:pPr>
        <w:pStyle w:val="CETAddress"/>
        <w:rPr>
          <w:lang w:val="pt-BR"/>
        </w:rPr>
      </w:pPr>
      <w:r w:rsidRPr="00B54499">
        <w:rPr>
          <w:vertAlign w:val="superscript"/>
          <w:lang w:val="pt-BR"/>
        </w:rPr>
        <w:t>a</w:t>
      </w:r>
      <w:r w:rsidR="00B54499" w:rsidRPr="00B54499">
        <w:rPr>
          <w:lang w:val="pt-BR"/>
        </w:rPr>
        <w:t>Environmental Institute of Santa Catarina (IMA)</w:t>
      </w:r>
      <w:r w:rsidR="00B12C7B" w:rsidRPr="00B54499">
        <w:rPr>
          <w:lang w:val="pt-BR"/>
        </w:rPr>
        <w:t>, Florianópolis, SC, Brazil</w:t>
      </w:r>
      <w:r w:rsidRPr="00B54499">
        <w:rPr>
          <w:lang w:val="pt-BR"/>
        </w:rPr>
        <w:t xml:space="preserve"> </w:t>
      </w:r>
    </w:p>
    <w:p w14:paraId="3D72B0B0" w14:textId="14C782B7" w:rsidR="00B57E6F" w:rsidRDefault="00B57E6F" w:rsidP="00B57E6F">
      <w:pPr>
        <w:pStyle w:val="CETAddress"/>
      </w:pPr>
      <w:r w:rsidRPr="00B57B36">
        <w:rPr>
          <w:vertAlign w:val="superscript"/>
        </w:rPr>
        <w:t>b</w:t>
      </w:r>
      <w:r w:rsidR="00214B94" w:rsidRPr="00214B94">
        <w:t>São Paulo State University (UNESP), Institute of Geosciences and Exact Sciences, Rio Claro, SP, Brazil</w:t>
      </w:r>
      <w:r w:rsidRPr="00B57B36">
        <w:t xml:space="preserve"> </w:t>
      </w:r>
    </w:p>
    <w:p w14:paraId="022CC7A4" w14:textId="189EB214" w:rsidR="0063763C" w:rsidRPr="00B57B36" w:rsidRDefault="0063763C" w:rsidP="00B57E6F">
      <w:pPr>
        <w:pStyle w:val="CETAddress"/>
      </w:pPr>
      <w:r>
        <w:rPr>
          <w:vertAlign w:val="superscript"/>
        </w:rPr>
        <w:t>c</w:t>
      </w:r>
      <w:r w:rsidRPr="00B12C7B">
        <w:t xml:space="preserve">Federal University of Santa Catarina </w:t>
      </w:r>
      <w:r>
        <w:t>(</w:t>
      </w:r>
      <w:r w:rsidRPr="00B12C7B">
        <w:t>UFSC</w:t>
      </w:r>
      <w:r>
        <w:t>),</w:t>
      </w:r>
      <w:r w:rsidRPr="00B12C7B">
        <w:t xml:space="preserve"> Dep</w:t>
      </w:r>
      <w:r w:rsidR="00B54499">
        <w:t xml:space="preserve">. </w:t>
      </w:r>
      <w:r w:rsidRPr="00B12C7B">
        <w:t>of Sanitary and Environmental Engineering, Florianópolis, SC, Brazil</w:t>
      </w:r>
      <w:r w:rsidRPr="00B57B36">
        <w:t xml:space="preserve"> </w:t>
      </w:r>
    </w:p>
    <w:p w14:paraId="73F1267A" w14:textId="50A51B3D" w:rsidR="00B57E6F" w:rsidRPr="00595009" w:rsidRDefault="00B57E6F" w:rsidP="00B57E6F">
      <w:pPr>
        <w:pStyle w:val="CETemail"/>
        <w:rPr>
          <w:lang w:val="fr-FR"/>
        </w:rPr>
      </w:pPr>
      <w:r>
        <w:t xml:space="preserve"> </w:t>
      </w:r>
      <w:r w:rsidR="00214B94">
        <w:rPr>
          <w:lang w:val="fr-FR"/>
        </w:rPr>
        <w:t>mjallievi@gmail.com</w:t>
      </w:r>
    </w:p>
    <w:p w14:paraId="4572D1EE" w14:textId="36CD6A07" w:rsidR="00AA2ACF" w:rsidRDefault="00AA2ACF" w:rsidP="00600535">
      <w:pPr>
        <w:pStyle w:val="CETBodytext"/>
        <w:rPr>
          <w:lang w:val="en-GB"/>
        </w:rPr>
      </w:pPr>
      <w:r w:rsidRPr="00AA2ACF">
        <w:rPr>
          <w:lang w:val="en-GB"/>
        </w:rPr>
        <w:t xml:space="preserve">Anaerobic ponds are widely used in Wastewater Treatment Plants (WWTP), yet their odor impact remains a significant challenge. In these systems, biogas bubbling is recognized as a </w:t>
      </w:r>
      <w:r w:rsidR="00B91C3B">
        <w:rPr>
          <w:lang w:val="en-GB"/>
        </w:rPr>
        <w:t>important</w:t>
      </w:r>
      <w:r w:rsidR="00B91C3B" w:rsidRPr="00AA2ACF">
        <w:rPr>
          <w:lang w:val="en-GB"/>
        </w:rPr>
        <w:t xml:space="preserve"> </w:t>
      </w:r>
      <w:r w:rsidRPr="00AA2ACF">
        <w:rPr>
          <w:lang w:val="en-GB"/>
        </w:rPr>
        <w:t>source of emissions of hydrogen sulfide (</w:t>
      </w:r>
      <w:r w:rsidRPr="008F021B">
        <w:rPr>
          <w:lang w:val="en-GB"/>
        </w:rPr>
        <w:t>H</w:t>
      </w:r>
      <w:r w:rsidRPr="00955002">
        <w:rPr>
          <w:vertAlign w:val="subscript"/>
          <w:lang w:val="en-GB"/>
        </w:rPr>
        <w:t>2</w:t>
      </w:r>
      <w:r w:rsidRPr="008F021B">
        <w:rPr>
          <w:lang w:val="en-GB"/>
        </w:rPr>
        <w:t>S</w:t>
      </w:r>
      <w:r w:rsidRPr="00AA2ACF">
        <w:rPr>
          <w:lang w:val="en-GB"/>
        </w:rPr>
        <w:t>) and other compounds</w:t>
      </w:r>
      <w:r w:rsidR="00B91C3B">
        <w:rPr>
          <w:lang w:val="en-GB"/>
        </w:rPr>
        <w:t>, while</w:t>
      </w:r>
      <w:r w:rsidRPr="00AA2ACF">
        <w:rPr>
          <w:lang w:val="en-GB"/>
        </w:rPr>
        <w:t xml:space="preserve"> volatilization is</w:t>
      </w:r>
      <w:r w:rsidR="00B91C3B">
        <w:rPr>
          <w:lang w:val="en-GB"/>
        </w:rPr>
        <w:t xml:space="preserve"> normally neglected as an emission pathway.</w:t>
      </w:r>
      <w:r w:rsidRPr="00AA2ACF">
        <w:rPr>
          <w:lang w:val="en-GB"/>
        </w:rPr>
        <w:t xml:space="preserve"> </w:t>
      </w:r>
      <w:r w:rsidR="0084661B">
        <w:rPr>
          <w:lang w:val="en-GB"/>
        </w:rPr>
        <w:t>However, this assumption has not been put to test and there is no a priori reason for volatilization not to be accounted</w:t>
      </w:r>
      <w:r w:rsidRPr="00AA2ACF">
        <w:rPr>
          <w:lang w:val="en-GB"/>
        </w:rPr>
        <w:t xml:space="preserve">. In this study, mathematical models were combined to simulate the emission of odorants via </w:t>
      </w:r>
      <w:r w:rsidR="0084661B">
        <w:rPr>
          <w:lang w:val="en-GB"/>
        </w:rPr>
        <w:t>both pathways,</w:t>
      </w:r>
      <w:r w:rsidR="0084661B" w:rsidRPr="00AA2ACF">
        <w:rPr>
          <w:lang w:val="en-GB"/>
        </w:rPr>
        <w:t xml:space="preserve"> </w:t>
      </w:r>
      <w:r w:rsidRPr="00AA2ACF">
        <w:rPr>
          <w:lang w:val="en-GB"/>
        </w:rPr>
        <w:t>ebullition of biogas bubbles and volatilization directly from the surface, integrating meteorological variables and temporal dynamics to support a more realistic assessment of the processes involved. A detailed comparison revealed that</w:t>
      </w:r>
      <w:r w:rsidR="0084661B">
        <w:rPr>
          <w:lang w:val="en-GB"/>
        </w:rPr>
        <w:t xml:space="preserve">, </w:t>
      </w:r>
      <w:r w:rsidRPr="00AA2ACF">
        <w:rPr>
          <w:lang w:val="en-GB"/>
        </w:rPr>
        <w:t xml:space="preserve">biogas bubbling is heavily dependent on internal biochemical dynamics, </w:t>
      </w:r>
      <w:r w:rsidR="0084661B">
        <w:rPr>
          <w:lang w:val="en-GB"/>
        </w:rPr>
        <w:t xml:space="preserve">whereas </w:t>
      </w:r>
      <w:r w:rsidRPr="00AA2ACF">
        <w:rPr>
          <w:lang w:val="en-GB"/>
        </w:rPr>
        <w:t>surface volatilization is more sensitive to atmospheric conditions such as wind speed. Furthermore, dispersion modeling indicated that emissions from surface volatilization often dominate the spatial extent of the odor impact</w:t>
      </w:r>
      <w:r w:rsidR="0084661B">
        <w:rPr>
          <w:lang w:val="en-GB"/>
        </w:rPr>
        <w:t xml:space="preserve"> plume</w:t>
      </w:r>
      <w:r w:rsidRPr="00AA2ACF">
        <w:rPr>
          <w:lang w:val="en-GB"/>
        </w:rPr>
        <w:t>. These findings emphasize the necessity of incorporating both pathways into environmental assessments to ensure a comprehensive understanding of stabilization ponds under varying environmental conditions.</w:t>
      </w:r>
    </w:p>
    <w:p w14:paraId="476B2F2E" w14:textId="77777777" w:rsidR="00600535" w:rsidRDefault="00600535" w:rsidP="00600535">
      <w:pPr>
        <w:pStyle w:val="CETHeading1"/>
        <w:rPr>
          <w:lang w:val="en-GB"/>
        </w:rPr>
      </w:pPr>
      <w:r w:rsidRPr="00B57B36">
        <w:rPr>
          <w:lang w:val="en-GB"/>
        </w:rPr>
        <w:t>Introduction</w:t>
      </w:r>
    </w:p>
    <w:p w14:paraId="2667C079" w14:textId="0169702E" w:rsidR="0063763C" w:rsidRPr="0063763C" w:rsidRDefault="0063763C" w:rsidP="0063763C">
      <w:pPr>
        <w:pStyle w:val="CETBodytext"/>
        <w:rPr>
          <w:lang w:val="en-GB"/>
        </w:rPr>
      </w:pPr>
      <w:r w:rsidRPr="0063763C">
        <w:rPr>
          <w:lang w:val="en-GB"/>
        </w:rPr>
        <w:t xml:space="preserve">WWTP emit complex gas mixtures that can affect nearby communities, particularly due to odorous compounds detectable at very low concentrations (Zarra et al., 2008). The composition of these emissions depends on wastewater characteristics, treatment processes, and operational conditions. Anaerobic ponds are widely used in small and medium-sized communities, especially in warm climates, due to their simplicity and high loading capacity, </w:t>
      </w:r>
      <w:r w:rsidR="00C65BFB">
        <w:rPr>
          <w:lang w:val="en-GB"/>
        </w:rPr>
        <w:t>but</w:t>
      </w:r>
      <w:r w:rsidR="00C65BFB" w:rsidRPr="0063763C">
        <w:rPr>
          <w:lang w:val="en-GB"/>
        </w:rPr>
        <w:t xml:space="preserve"> </w:t>
      </w:r>
      <w:r w:rsidRPr="0063763C">
        <w:rPr>
          <w:lang w:val="en-GB"/>
        </w:rPr>
        <w:t>odor emissions remain a significant concern (Coggins et al., 2019).</w:t>
      </w:r>
    </w:p>
    <w:p w14:paraId="0C12D33F" w14:textId="564AF2E7" w:rsidR="0063763C" w:rsidRPr="0063763C" w:rsidRDefault="0063763C" w:rsidP="0063763C">
      <w:pPr>
        <w:pStyle w:val="CETBodytext"/>
        <w:rPr>
          <w:lang w:val="en-GB"/>
        </w:rPr>
      </w:pPr>
      <w:r w:rsidRPr="0063763C">
        <w:rPr>
          <w:lang w:val="en-GB"/>
        </w:rPr>
        <w:t xml:space="preserve">These </w:t>
      </w:r>
      <w:r w:rsidR="00C65BFB">
        <w:rPr>
          <w:lang w:val="en-GB"/>
        </w:rPr>
        <w:t xml:space="preserve">pond </w:t>
      </w:r>
      <w:r w:rsidRPr="0063763C">
        <w:rPr>
          <w:lang w:val="en-GB"/>
        </w:rPr>
        <w:t xml:space="preserve">systems behave </w:t>
      </w:r>
      <w:r w:rsidR="00C65BFB">
        <w:rPr>
          <w:lang w:val="en-GB"/>
        </w:rPr>
        <w:t xml:space="preserve">mostly </w:t>
      </w:r>
      <w:r w:rsidRPr="0063763C">
        <w:rPr>
          <w:lang w:val="en-GB"/>
        </w:rPr>
        <w:t xml:space="preserve">as passive liquid surfaces, where odors mainly arise from anaerobic degradation of organic matter, producing compounds such as </w:t>
      </w:r>
      <w:r w:rsidR="00EA2816" w:rsidRPr="008F021B">
        <w:rPr>
          <w:lang w:val="en-GB"/>
        </w:rPr>
        <w:t>H</w:t>
      </w:r>
      <w:r w:rsidR="00EA2816" w:rsidRPr="00955002">
        <w:rPr>
          <w:vertAlign w:val="subscript"/>
          <w:lang w:val="en-GB"/>
        </w:rPr>
        <w:t>2</w:t>
      </w:r>
      <w:r w:rsidR="00EA2816" w:rsidRPr="008F021B">
        <w:rPr>
          <w:lang w:val="en-GB"/>
        </w:rPr>
        <w:t>S</w:t>
      </w:r>
      <w:r w:rsidRPr="0063763C">
        <w:rPr>
          <w:lang w:val="en-GB"/>
        </w:rPr>
        <w:t>, a toxic and highly odorous gas that plays a central role in odor pollution (Bazemo et al., 2021). Emission processes are typically described by volatilization</w:t>
      </w:r>
      <w:r w:rsidR="00C65BFB">
        <w:rPr>
          <w:lang w:val="en-GB"/>
        </w:rPr>
        <w:t xml:space="preserve"> (turbulent diffusion directly from the surface)</w:t>
      </w:r>
      <w:r w:rsidRPr="0063763C">
        <w:rPr>
          <w:lang w:val="en-GB"/>
        </w:rPr>
        <w:t xml:space="preserve"> and ebullition</w:t>
      </w:r>
      <w:r w:rsidR="00C65BFB">
        <w:rPr>
          <w:lang w:val="en-GB"/>
        </w:rPr>
        <w:t xml:space="preserve"> (through biogas bubbles)</w:t>
      </w:r>
      <w:r w:rsidRPr="0063763C">
        <w:rPr>
          <w:lang w:val="en-GB"/>
        </w:rPr>
        <w:t>, both influenced by environmental conditions such as wind speed and temperature.</w:t>
      </w:r>
    </w:p>
    <w:p w14:paraId="08C78391" w14:textId="3F78E204" w:rsidR="0063763C" w:rsidRPr="0063763C" w:rsidRDefault="0063763C" w:rsidP="0063763C">
      <w:pPr>
        <w:pStyle w:val="CETBodytext"/>
        <w:rPr>
          <w:lang w:val="en-GB"/>
        </w:rPr>
      </w:pPr>
      <w:r w:rsidRPr="0063763C">
        <w:rPr>
          <w:lang w:val="en-GB"/>
        </w:rPr>
        <w:t>Despite advances, few studies have explicitly linked emissions from anaerobic ponds to population exposure</w:t>
      </w:r>
      <w:r w:rsidR="00C65BFB" w:rsidRPr="0063763C">
        <w:rPr>
          <w:lang w:val="en-GB"/>
        </w:rPr>
        <w:t>, reinforcing the need to integrate emission and dispersion modeling (Brancher et al., 2020)</w:t>
      </w:r>
      <w:r w:rsidRPr="0063763C">
        <w:rPr>
          <w:lang w:val="en-GB"/>
        </w:rPr>
        <w:t xml:space="preserve">. Paing et al. (2003) proposed a model based on biogas ebullition and demonstrated a relationship between emissions and ambient </w:t>
      </w:r>
      <w:r w:rsidR="00373B12" w:rsidRPr="008F021B">
        <w:rPr>
          <w:lang w:val="en-GB"/>
        </w:rPr>
        <w:t>H</w:t>
      </w:r>
      <w:r w:rsidR="00373B12" w:rsidRPr="00955002">
        <w:rPr>
          <w:vertAlign w:val="subscript"/>
          <w:lang w:val="en-GB"/>
        </w:rPr>
        <w:t>2</w:t>
      </w:r>
      <w:r w:rsidR="00373B12" w:rsidRPr="008F021B">
        <w:rPr>
          <w:lang w:val="en-GB"/>
        </w:rPr>
        <w:t>S</w:t>
      </w:r>
      <w:r w:rsidR="00373B12" w:rsidRPr="0063763C" w:rsidDel="00373B12">
        <w:rPr>
          <w:lang w:val="en-GB"/>
        </w:rPr>
        <w:t xml:space="preserve"> </w:t>
      </w:r>
      <w:r w:rsidRPr="0063763C">
        <w:rPr>
          <w:lang w:val="en-GB"/>
        </w:rPr>
        <w:t>concentrations, highlighting the role of meteorological conditions and the usefulness of dispersion modeling for defining setback distances. However, the study assumed negligible surface volatilization, focusing solely on bubbling as the dominant emission pathway.</w:t>
      </w:r>
    </w:p>
    <w:p w14:paraId="688BDBC3" w14:textId="4526F0F1" w:rsidR="0063763C" w:rsidRPr="009C735F" w:rsidRDefault="0063763C" w:rsidP="0063763C">
      <w:pPr>
        <w:pStyle w:val="CETBodytext"/>
        <w:rPr>
          <w:lang w:val="en-GB"/>
        </w:rPr>
      </w:pPr>
      <w:r w:rsidRPr="0063763C">
        <w:rPr>
          <w:lang w:val="en-GB"/>
        </w:rPr>
        <w:t xml:space="preserve">Given the implications of this assumption for impact assessment and mitigation strategies, this study evaluates </w:t>
      </w:r>
      <w:r w:rsidR="00373B12" w:rsidRPr="008F021B">
        <w:rPr>
          <w:lang w:val="en-GB"/>
        </w:rPr>
        <w:t>H</w:t>
      </w:r>
      <w:r w:rsidR="00373B12" w:rsidRPr="00955002">
        <w:rPr>
          <w:vertAlign w:val="subscript"/>
          <w:lang w:val="en-GB"/>
        </w:rPr>
        <w:t>2</w:t>
      </w:r>
      <w:r w:rsidR="00373B12" w:rsidRPr="008F021B">
        <w:rPr>
          <w:lang w:val="en-GB"/>
        </w:rPr>
        <w:t>S</w:t>
      </w:r>
      <w:r w:rsidR="00373B12" w:rsidRPr="0063763C" w:rsidDel="00373B12">
        <w:rPr>
          <w:lang w:val="en-GB"/>
        </w:rPr>
        <w:t xml:space="preserve"> </w:t>
      </w:r>
      <w:r w:rsidRPr="0063763C">
        <w:rPr>
          <w:lang w:val="en-GB"/>
        </w:rPr>
        <w:t>emissions from an anaerobic pond, focusing on the relative contributions of volatilization and ebullition. The volatilization approach incorporates recent advances, including the effect of the internal boundary layer associated with surface roughness (Prata et al., 2021). Emission estimates are then integrated with dispersion modeling to assess their influence on impacted areas</w:t>
      </w:r>
      <w:r w:rsidR="009C735F" w:rsidRPr="009C735F">
        <w:rPr>
          <w:lang w:val="en-GB"/>
        </w:rPr>
        <w:t>.</w:t>
      </w:r>
    </w:p>
    <w:p w14:paraId="42A899D5" w14:textId="77777777" w:rsidR="00026665" w:rsidRDefault="00026665" w:rsidP="00DA6C5E">
      <w:pPr>
        <w:pStyle w:val="CETHeading1"/>
      </w:pPr>
      <w:r w:rsidRPr="00026665">
        <w:lastRenderedPageBreak/>
        <w:t>Material and methods</w:t>
      </w:r>
    </w:p>
    <w:p w14:paraId="7AABF2CA" w14:textId="3553286B" w:rsidR="00DA6C5E" w:rsidRPr="00B57B36" w:rsidRDefault="00DA6C5E" w:rsidP="00DA6C5E">
      <w:pPr>
        <w:pStyle w:val="CETheadingx"/>
      </w:pPr>
      <w:r>
        <w:t>Emission source</w:t>
      </w:r>
    </w:p>
    <w:p w14:paraId="52D27851" w14:textId="165C97B8" w:rsidR="00316B4A" w:rsidRDefault="00930A38" w:rsidP="008A4B5B">
      <w:pPr>
        <w:pStyle w:val="CETBodytext"/>
        <w:rPr>
          <w:lang w:val="en-GB"/>
        </w:rPr>
      </w:pPr>
      <w:r w:rsidRPr="00930A38">
        <w:rPr>
          <w:lang w:val="en-GB"/>
        </w:rPr>
        <w:t xml:space="preserve">The odor source was a hypothetical anaerobic pond, represented as a rectangular area source based on Paing et al. (2003). The liquid-phase </w:t>
      </w:r>
      <w:r w:rsidRPr="008A4B5B">
        <w:rPr>
          <w:lang w:val="en-GB"/>
        </w:rPr>
        <w:t>H</w:t>
      </w:r>
      <w:r w:rsidRPr="00E82EB3">
        <w:rPr>
          <w:rFonts w:cs="Arial"/>
          <w:vertAlign w:val="subscript"/>
          <w:lang w:val="en-GB"/>
        </w:rPr>
        <w:t>2</w:t>
      </w:r>
      <w:r w:rsidRPr="008A4B5B">
        <w:rPr>
          <w:lang w:val="en-GB"/>
        </w:rPr>
        <w:t>S</w:t>
      </w:r>
      <w:r w:rsidRPr="00930A38">
        <w:rPr>
          <w:lang w:val="en-GB"/>
        </w:rPr>
        <w:t xml:space="preserve"> concentration was assumed equal to that </w:t>
      </w:r>
      <w:r w:rsidR="00062281">
        <w:rPr>
          <w:lang w:val="en-GB"/>
        </w:rPr>
        <w:t>indicated</w:t>
      </w:r>
      <w:r w:rsidR="00062281" w:rsidRPr="00930A38">
        <w:rPr>
          <w:lang w:val="en-GB"/>
        </w:rPr>
        <w:t xml:space="preserve"> </w:t>
      </w:r>
      <w:r w:rsidRPr="00930A38">
        <w:rPr>
          <w:lang w:val="en-GB"/>
        </w:rPr>
        <w:t>by th</w:t>
      </w:r>
      <w:r w:rsidR="00062281">
        <w:rPr>
          <w:lang w:val="en-GB"/>
        </w:rPr>
        <w:t>ose</w:t>
      </w:r>
      <w:r w:rsidRPr="00930A38">
        <w:rPr>
          <w:lang w:val="en-GB"/>
        </w:rPr>
        <w:t xml:space="preserve"> authors </w:t>
      </w:r>
      <w:r w:rsidR="00062281">
        <w:rPr>
          <w:lang w:val="en-GB"/>
        </w:rPr>
        <w:t>based on</w:t>
      </w:r>
      <w:r w:rsidR="00062281" w:rsidRPr="00930A38">
        <w:rPr>
          <w:lang w:val="en-GB"/>
        </w:rPr>
        <w:t xml:space="preserve"> </w:t>
      </w:r>
      <w:r w:rsidRPr="00930A38">
        <w:rPr>
          <w:lang w:val="en-GB"/>
        </w:rPr>
        <w:t>temperature, pH, and sulfide data. The main source characteristics are given in Table 1.</w:t>
      </w:r>
    </w:p>
    <w:p w14:paraId="386A3596" w14:textId="4B302D4A" w:rsidR="00281795" w:rsidRPr="00B57B36" w:rsidRDefault="00281795" w:rsidP="00281795">
      <w:pPr>
        <w:pStyle w:val="CETTabletitle"/>
      </w:pPr>
      <w:r w:rsidRPr="00B57B36">
        <w:t xml:space="preserve">Table 1: </w:t>
      </w:r>
      <w:r w:rsidR="0086250F" w:rsidRPr="0086250F">
        <w:t>Characteristics of the anaerobic pond (emission source)</w:t>
      </w:r>
      <w:r w:rsidR="00B03A45">
        <w:t xml:space="preserve"> based on Paing et al. (2003)</w:t>
      </w:r>
    </w:p>
    <w:tbl>
      <w:tblPr>
        <w:tblW w:w="0" w:type="auto"/>
        <w:tblBorders>
          <w:top w:val="single" w:sz="12" w:space="0" w:color="008000"/>
          <w:bottom w:val="single" w:sz="12" w:space="0" w:color="008000"/>
        </w:tblBorders>
        <w:shd w:val="clear" w:color="auto" w:fill="FFFFFF"/>
        <w:tblCellMar>
          <w:left w:w="0" w:type="dxa"/>
          <w:right w:w="0" w:type="dxa"/>
        </w:tblCellMar>
        <w:tblLook w:val="00A0" w:firstRow="1" w:lastRow="0" w:firstColumn="1" w:lastColumn="0" w:noHBand="0" w:noVBand="0"/>
      </w:tblPr>
      <w:tblGrid>
        <w:gridCol w:w="3119"/>
        <w:gridCol w:w="1134"/>
        <w:gridCol w:w="709"/>
      </w:tblGrid>
      <w:tr w:rsidR="00535DD3" w:rsidRPr="00B57B36" w14:paraId="7DCE684A" w14:textId="77777777" w:rsidTr="00DC1403">
        <w:tc>
          <w:tcPr>
            <w:tcW w:w="3119" w:type="dxa"/>
            <w:tcBorders>
              <w:top w:val="single" w:sz="12" w:space="0" w:color="008000"/>
              <w:bottom w:val="single" w:sz="6" w:space="0" w:color="008000"/>
            </w:tcBorders>
            <w:shd w:val="clear" w:color="auto" w:fill="FFFFFF"/>
          </w:tcPr>
          <w:p w14:paraId="5D9683F2" w14:textId="0D0AD593" w:rsidR="00535DD3" w:rsidRPr="00B57B36" w:rsidRDefault="00535DD3" w:rsidP="00DC6DCB">
            <w:pPr>
              <w:pStyle w:val="CETBodytext"/>
              <w:rPr>
                <w:lang w:val="en-GB"/>
              </w:rPr>
            </w:pPr>
            <w:r>
              <w:rPr>
                <w:lang w:val="en-GB"/>
              </w:rPr>
              <w:t>Parameter</w:t>
            </w:r>
            <w:r w:rsidRPr="00B57B36">
              <w:rPr>
                <w:lang w:val="en-GB"/>
              </w:rPr>
              <w:t xml:space="preserve"> </w:t>
            </w:r>
          </w:p>
        </w:tc>
        <w:tc>
          <w:tcPr>
            <w:tcW w:w="1134" w:type="dxa"/>
            <w:tcBorders>
              <w:top w:val="single" w:sz="12" w:space="0" w:color="008000"/>
              <w:bottom w:val="single" w:sz="6" w:space="0" w:color="008000"/>
            </w:tcBorders>
            <w:shd w:val="clear" w:color="auto" w:fill="FFFFFF"/>
          </w:tcPr>
          <w:p w14:paraId="7250CD8D" w14:textId="067B61A4" w:rsidR="00535DD3" w:rsidRPr="00B57B36" w:rsidRDefault="00535DD3" w:rsidP="00DC6DCB">
            <w:pPr>
              <w:pStyle w:val="CETBodytext"/>
              <w:rPr>
                <w:lang w:val="en-GB"/>
              </w:rPr>
            </w:pPr>
            <w:r>
              <w:rPr>
                <w:lang w:val="en-GB"/>
              </w:rPr>
              <w:t>Description</w:t>
            </w:r>
          </w:p>
        </w:tc>
        <w:tc>
          <w:tcPr>
            <w:tcW w:w="709" w:type="dxa"/>
            <w:tcBorders>
              <w:top w:val="single" w:sz="12" w:space="0" w:color="008000"/>
              <w:bottom w:val="single" w:sz="6" w:space="0" w:color="008000"/>
            </w:tcBorders>
            <w:shd w:val="clear" w:color="auto" w:fill="FFFFFF"/>
          </w:tcPr>
          <w:p w14:paraId="20EA96FB" w14:textId="46E97C11" w:rsidR="00535DD3" w:rsidRPr="00B57B36" w:rsidRDefault="00535DD3" w:rsidP="00DC6DCB">
            <w:pPr>
              <w:pStyle w:val="CETBodytext"/>
              <w:rPr>
                <w:lang w:val="en-GB"/>
              </w:rPr>
            </w:pPr>
            <w:r>
              <w:rPr>
                <w:lang w:val="en-GB"/>
              </w:rPr>
              <w:t>Unit</w:t>
            </w:r>
          </w:p>
        </w:tc>
      </w:tr>
      <w:tr w:rsidR="00535DD3" w:rsidRPr="00B57B36" w14:paraId="7D379AD7" w14:textId="77777777" w:rsidTr="00DC1403">
        <w:tc>
          <w:tcPr>
            <w:tcW w:w="3119" w:type="dxa"/>
            <w:shd w:val="clear" w:color="auto" w:fill="FFFFFF"/>
          </w:tcPr>
          <w:p w14:paraId="5D637F4C" w14:textId="77777777" w:rsidR="00535DD3" w:rsidRPr="0079428C" w:rsidRDefault="00535DD3" w:rsidP="0079428C">
            <w:pPr>
              <w:pStyle w:val="CETBodytext"/>
              <w:rPr>
                <w:lang w:val="en-GB"/>
              </w:rPr>
            </w:pPr>
            <w:r w:rsidRPr="0079428C">
              <w:rPr>
                <w:lang w:val="en-GB"/>
              </w:rPr>
              <w:t>Length</w:t>
            </w:r>
          </w:p>
          <w:p w14:paraId="4D175D3A" w14:textId="77777777" w:rsidR="00535DD3" w:rsidRPr="0079428C" w:rsidRDefault="00535DD3" w:rsidP="0079428C">
            <w:pPr>
              <w:pStyle w:val="CETBodytext"/>
              <w:rPr>
                <w:lang w:val="en-GB"/>
              </w:rPr>
            </w:pPr>
            <w:r w:rsidRPr="0079428C">
              <w:rPr>
                <w:lang w:val="en-GB"/>
              </w:rPr>
              <w:t>Width</w:t>
            </w:r>
          </w:p>
          <w:p w14:paraId="6FF37D20" w14:textId="2E8DFE0B" w:rsidR="00535DD3" w:rsidRPr="0079428C" w:rsidRDefault="00535DD3" w:rsidP="0079428C">
            <w:pPr>
              <w:pStyle w:val="CETBodytext"/>
              <w:rPr>
                <w:lang w:val="en-GB"/>
              </w:rPr>
            </w:pPr>
            <w:r w:rsidRPr="0079428C">
              <w:rPr>
                <w:lang w:val="en-GB"/>
              </w:rPr>
              <w:t>Depth</w:t>
            </w:r>
          </w:p>
          <w:p w14:paraId="6B1424B7" w14:textId="77777777" w:rsidR="00535DD3" w:rsidRPr="0079428C" w:rsidRDefault="00535DD3" w:rsidP="0079428C">
            <w:pPr>
              <w:pStyle w:val="CETBodytext"/>
              <w:rPr>
                <w:lang w:val="en-GB"/>
              </w:rPr>
            </w:pPr>
            <w:r w:rsidRPr="0079428C">
              <w:rPr>
                <w:lang w:val="en-GB"/>
              </w:rPr>
              <w:t>Influent flow rate</w:t>
            </w:r>
          </w:p>
          <w:p w14:paraId="7ED1767D" w14:textId="77777777" w:rsidR="00535DD3" w:rsidRPr="0079428C" w:rsidRDefault="00535DD3" w:rsidP="0079428C">
            <w:pPr>
              <w:pStyle w:val="CETBodytext"/>
              <w:rPr>
                <w:lang w:val="en-GB"/>
              </w:rPr>
            </w:pPr>
            <w:r w:rsidRPr="0079428C">
              <w:rPr>
                <w:lang w:val="en-GB"/>
              </w:rPr>
              <w:t>Retention time</w:t>
            </w:r>
          </w:p>
          <w:p w14:paraId="7283D9EA" w14:textId="44BB9CE9" w:rsidR="00535DD3" w:rsidRPr="00B57B36" w:rsidRDefault="00535DD3" w:rsidP="0079428C">
            <w:pPr>
              <w:pStyle w:val="CETBodytext"/>
              <w:rPr>
                <w:lang w:val="en-GB"/>
              </w:rPr>
            </w:pPr>
            <w:r w:rsidRPr="0079428C">
              <w:rPr>
                <w:lang w:val="en-GB"/>
              </w:rPr>
              <w:t>Assumed liquid phase temperature</w:t>
            </w:r>
          </w:p>
        </w:tc>
        <w:tc>
          <w:tcPr>
            <w:tcW w:w="1134" w:type="dxa"/>
            <w:shd w:val="clear" w:color="auto" w:fill="FFFFFF"/>
          </w:tcPr>
          <w:p w14:paraId="3E0FCAAE" w14:textId="01835F02" w:rsidR="00535DD3" w:rsidRPr="000574F4" w:rsidRDefault="00535DD3" w:rsidP="000574F4">
            <w:pPr>
              <w:pStyle w:val="CETBodytext"/>
              <w:rPr>
                <w:lang w:val="en-GB"/>
              </w:rPr>
            </w:pPr>
            <w:r w:rsidRPr="000574F4">
              <w:rPr>
                <w:lang w:val="en-GB"/>
              </w:rPr>
              <w:t>61.0</w:t>
            </w:r>
          </w:p>
          <w:p w14:paraId="7EDF4A53" w14:textId="77777777" w:rsidR="00535DD3" w:rsidRPr="000574F4" w:rsidRDefault="00535DD3" w:rsidP="000574F4">
            <w:pPr>
              <w:pStyle w:val="CETBodytext"/>
              <w:rPr>
                <w:lang w:val="en-GB"/>
              </w:rPr>
            </w:pPr>
            <w:r w:rsidRPr="000574F4">
              <w:rPr>
                <w:lang w:val="en-GB"/>
              </w:rPr>
              <w:t>26.4</w:t>
            </w:r>
          </w:p>
          <w:p w14:paraId="3A3E11F3" w14:textId="353BCE38" w:rsidR="00535DD3" w:rsidRPr="000574F4" w:rsidRDefault="00535DD3" w:rsidP="000574F4">
            <w:pPr>
              <w:pStyle w:val="CETBodytext"/>
              <w:rPr>
                <w:lang w:val="en-GB"/>
              </w:rPr>
            </w:pPr>
            <w:r w:rsidRPr="000574F4">
              <w:rPr>
                <w:lang w:val="en-GB"/>
              </w:rPr>
              <w:t>3.1</w:t>
            </w:r>
          </w:p>
          <w:p w14:paraId="7A437CF4" w14:textId="6C472C82" w:rsidR="00535DD3" w:rsidRPr="000574F4" w:rsidRDefault="00535DD3" w:rsidP="000574F4">
            <w:pPr>
              <w:pStyle w:val="CETBodytext"/>
              <w:rPr>
                <w:lang w:val="en-GB"/>
              </w:rPr>
            </w:pPr>
            <w:r w:rsidRPr="000574F4">
              <w:rPr>
                <w:lang w:val="en-GB"/>
              </w:rPr>
              <w:t>1</w:t>
            </w:r>
            <w:r w:rsidR="00B74099">
              <w:rPr>
                <w:lang w:val="en-GB"/>
              </w:rPr>
              <w:t>,</w:t>
            </w:r>
            <w:r w:rsidRPr="000574F4">
              <w:rPr>
                <w:lang w:val="en-GB"/>
              </w:rPr>
              <w:t>087.0</w:t>
            </w:r>
          </w:p>
          <w:p w14:paraId="0A1D8924" w14:textId="77777777" w:rsidR="00535DD3" w:rsidRPr="000574F4" w:rsidRDefault="00535DD3" w:rsidP="000574F4">
            <w:pPr>
              <w:pStyle w:val="CETBodytext"/>
              <w:rPr>
                <w:lang w:val="en-GB"/>
              </w:rPr>
            </w:pPr>
            <w:r w:rsidRPr="000574F4">
              <w:rPr>
                <w:lang w:val="en-GB"/>
              </w:rPr>
              <w:t>4.6</w:t>
            </w:r>
          </w:p>
          <w:p w14:paraId="474BC9BD" w14:textId="2A22DE28" w:rsidR="00535DD3" w:rsidRPr="00B57B36" w:rsidRDefault="00535DD3" w:rsidP="000574F4">
            <w:pPr>
              <w:pStyle w:val="CETBodytext"/>
              <w:rPr>
                <w:lang w:val="en-GB"/>
              </w:rPr>
            </w:pPr>
            <w:r w:rsidRPr="000574F4">
              <w:rPr>
                <w:lang w:val="en-GB"/>
              </w:rPr>
              <w:t>17.3</w:t>
            </w:r>
          </w:p>
        </w:tc>
        <w:tc>
          <w:tcPr>
            <w:tcW w:w="709" w:type="dxa"/>
            <w:shd w:val="clear" w:color="auto" w:fill="FFFFFF"/>
          </w:tcPr>
          <w:p w14:paraId="45362E56" w14:textId="77777777" w:rsidR="00535DD3" w:rsidRPr="00535DD3" w:rsidRDefault="00535DD3" w:rsidP="00535DD3">
            <w:pPr>
              <w:pStyle w:val="CETBodytext"/>
              <w:rPr>
                <w:lang w:val="en-GB"/>
              </w:rPr>
            </w:pPr>
            <w:r w:rsidRPr="00535DD3">
              <w:rPr>
                <w:lang w:val="en-GB"/>
              </w:rPr>
              <w:t>m</w:t>
            </w:r>
          </w:p>
          <w:p w14:paraId="4A9C7661" w14:textId="77777777" w:rsidR="00535DD3" w:rsidRPr="00535DD3" w:rsidRDefault="00535DD3" w:rsidP="00535DD3">
            <w:pPr>
              <w:pStyle w:val="CETBodytext"/>
              <w:rPr>
                <w:lang w:val="en-GB"/>
              </w:rPr>
            </w:pPr>
            <w:r w:rsidRPr="00535DD3">
              <w:rPr>
                <w:lang w:val="en-GB"/>
              </w:rPr>
              <w:t>m</w:t>
            </w:r>
          </w:p>
          <w:p w14:paraId="6C90AC01" w14:textId="12E455D9" w:rsidR="00535DD3" w:rsidRPr="00535DD3" w:rsidRDefault="00535DD3" w:rsidP="00535DD3">
            <w:pPr>
              <w:pStyle w:val="CETBodytext"/>
              <w:rPr>
                <w:lang w:val="en-GB"/>
              </w:rPr>
            </w:pPr>
            <w:r w:rsidRPr="00535DD3">
              <w:rPr>
                <w:lang w:val="en-GB"/>
              </w:rPr>
              <w:t>m</w:t>
            </w:r>
          </w:p>
          <w:p w14:paraId="052399F4" w14:textId="107B866D" w:rsidR="00535DD3" w:rsidRPr="00535DD3" w:rsidRDefault="00535DD3" w:rsidP="00535DD3">
            <w:pPr>
              <w:pStyle w:val="CETBodytext"/>
              <w:rPr>
                <w:lang w:val="en-GB"/>
              </w:rPr>
            </w:pPr>
            <w:r w:rsidRPr="00535DD3">
              <w:rPr>
                <w:lang w:val="en-GB"/>
              </w:rPr>
              <w:t>m</w:t>
            </w:r>
            <w:r w:rsidRPr="00535DD3">
              <w:rPr>
                <w:vertAlign w:val="superscript"/>
                <w:lang w:val="en-GB"/>
              </w:rPr>
              <w:t>3</w:t>
            </w:r>
            <w:r w:rsidR="006D7904" w:rsidRPr="006D7904">
              <w:rPr>
                <w:lang w:val="en-GB"/>
              </w:rPr>
              <w:t>.</w:t>
            </w:r>
            <w:r w:rsidRPr="00535DD3">
              <w:rPr>
                <w:lang w:val="en-GB"/>
              </w:rPr>
              <w:t>d</w:t>
            </w:r>
            <w:r w:rsidRPr="00535DD3">
              <w:rPr>
                <w:vertAlign w:val="superscript"/>
                <w:lang w:val="en-GB"/>
              </w:rPr>
              <w:t>-1</w:t>
            </w:r>
          </w:p>
          <w:p w14:paraId="41D5D538" w14:textId="77777777" w:rsidR="00535DD3" w:rsidRPr="00535DD3" w:rsidRDefault="00535DD3" w:rsidP="00535DD3">
            <w:pPr>
              <w:pStyle w:val="CETBodytext"/>
              <w:rPr>
                <w:lang w:val="en-GB"/>
              </w:rPr>
            </w:pPr>
            <w:r w:rsidRPr="00535DD3">
              <w:rPr>
                <w:lang w:val="en-GB"/>
              </w:rPr>
              <w:t>d</w:t>
            </w:r>
          </w:p>
          <w:p w14:paraId="41872882" w14:textId="4361AC4C" w:rsidR="00535DD3" w:rsidRPr="00B57B36" w:rsidRDefault="00535DD3" w:rsidP="00535DD3">
            <w:pPr>
              <w:pStyle w:val="CETBodytext"/>
              <w:rPr>
                <w:lang w:val="en-GB"/>
              </w:rPr>
            </w:pPr>
            <w:r w:rsidRPr="00535DD3">
              <w:rPr>
                <w:lang w:val="en-GB"/>
              </w:rPr>
              <w:t>ºC</w:t>
            </w:r>
          </w:p>
        </w:tc>
      </w:tr>
      <w:tr w:rsidR="00B03A45" w:rsidRPr="00B57B36" w14:paraId="455499D2" w14:textId="77777777" w:rsidTr="00DC1403">
        <w:tc>
          <w:tcPr>
            <w:tcW w:w="3119" w:type="dxa"/>
            <w:shd w:val="clear" w:color="auto" w:fill="FFFFFF"/>
          </w:tcPr>
          <w:p w14:paraId="14294948" w14:textId="4A9C9985" w:rsidR="00B03A45" w:rsidRPr="0079428C" w:rsidRDefault="00B03A45" w:rsidP="00B03A45">
            <w:pPr>
              <w:pStyle w:val="CETBodytext"/>
              <w:rPr>
                <w:lang w:val="en-GB"/>
              </w:rPr>
            </w:pPr>
            <w:r w:rsidRPr="00CD6CB5">
              <w:rPr>
                <w:lang w:val="en-GB"/>
              </w:rPr>
              <w:t>H</w:t>
            </w:r>
            <w:r w:rsidRPr="00CD6CB5">
              <w:rPr>
                <w:vertAlign w:val="subscript"/>
                <w:lang w:val="en-GB"/>
              </w:rPr>
              <w:t>2</w:t>
            </w:r>
            <w:r w:rsidRPr="00CD6CB5">
              <w:rPr>
                <w:lang w:val="en-GB"/>
              </w:rPr>
              <w:t>S concentration in the liquid phase</w:t>
            </w:r>
          </w:p>
        </w:tc>
        <w:tc>
          <w:tcPr>
            <w:tcW w:w="1134" w:type="dxa"/>
            <w:shd w:val="clear" w:color="auto" w:fill="FFFFFF"/>
          </w:tcPr>
          <w:p w14:paraId="0EED0170" w14:textId="74BA65C5" w:rsidR="00B03A45" w:rsidRPr="000574F4" w:rsidRDefault="00B03A45" w:rsidP="00B03A45">
            <w:pPr>
              <w:pStyle w:val="CETBodytext"/>
              <w:rPr>
                <w:lang w:val="en-GB"/>
              </w:rPr>
            </w:pPr>
            <w:r w:rsidRPr="00E73F52">
              <w:rPr>
                <w:lang w:val="en-GB"/>
              </w:rPr>
              <w:t>9.5</w:t>
            </w:r>
          </w:p>
        </w:tc>
        <w:tc>
          <w:tcPr>
            <w:tcW w:w="709" w:type="dxa"/>
            <w:shd w:val="clear" w:color="auto" w:fill="FFFFFF"/>
          </w:tcPr>
          <w:p w14:paraId="355CD498" w14:textId="1720FBA5" w:rsidR="00B03A45" w:rsidRPr="00535DD3" w:rsidRDefault="00B03A45" w:rsidP="00B03A45">
            <w:pPr>
              <w:pStyle w:val="CETBodytext"/>
              <w:rPr>
                <w:lang w:val="en-GB"/>
              </w:rPr>
            </w:pPr>
            <w:r w:rsidRPr="001967CA">
              <w:rPr>
                <w:lang w:val="en-GB"/>
              </w:rPr>
              <w:t>mgS</w:t>
            </w:r>
            <w:r w:rsidR="006D7904">
              <w:rPr>
                <w:lang w:val="en-GB"/>
              </w:rPr>
              <w:t>.</w:t>
            </w:r>
            <w:r w:rsidRPr="001967CA">
              <w:rPr>
                <w:lang w:val="en-GB"/>
              </w:rPr>
              <w:t>L</w:t>
            </w:r>
            <w:r w:rsidRPr="00FB0E03">
              <w:rPr>
                <w:vertAlign w:val="superscript"/>
                <w:lang w:val="en-GB"/>
              </w:rPr>
              <w:t>-1</w:t>
            </w:r>
          </w:p>
        </w:tc>
      </w:tr>
    </w:tbl>
    <w:p w14:paraId="39053772" w14:textId="77777777" w:rsidR="00861760" w:rsidRDefault="00861760" w:rsidP="00FA5F5F">
      <w:pPr>
        <w:pStyle w:val="CETheadingx"/>
      </w:pPr>
      <w:r>
        <w:t>Meteorological data</w:t>
      </w:r>
    </w:p>
    <w:p w14:paraId="4668692D" w14:textId="62191449" w:rsidR="00FF3FE3" w:rsidRPr="00FF3FE3" w:rsidRDefault="00FF3FE3" w:rsidP="00FF3FE3">
      <w:pPr>
        <w:pStyle w:val="CETBodytext"/>
      </w:pPr>
      <w:r>
        <w:t>Meteorological data were incorporated into the volatilization and dispersion models using a</w:t>
      </w:r>
      <w:r w:rsidR="00062281">
        <w:t xml:space="preserve"> one-year data set of</w:t>
      </w:r>
      <w:r>
        <w:t xml:space="preserve"> hourly</w:t>
      </w:r>
      <w:r w:rsidR="00062281">
        <w:t xml:space="preserve"> records</w:t>
      </w:r>
      <w:r>
        <w:t xml:space="preserve">, suitable for estimating direction-dependent separation </w:t>
      </w:r>
      <w:r w:rsidRPr="00DC1403">
        <w:t xml:space="preserve">distances (Brancher et al., </w:t>
      </w:r>
      <w:r w:rsidR="00E9629E" w:rsidRPr="00DC1403">
        <w:t>2021</w:t>
      </w:r>
      <w:r w:rsidRPr="00DC1403">
        <w:t>).</w:t>
      </w:r>
      <w:r>
        <w:t xml:space="preserve"> Data from 2010 were obtained from Florianópolis International Airport (SBFL) (−27.6703, −48.5489; 26 m a.s.l.) and assumed representative of the hypothetical source. The region has a humid subtropical climate (Cfa), influenced by seasonal variability and frontal systems (Kottek et al., 2006).</w:t>
      </w:r>
      <w:r w:rsidR="00E9629E">
        <w:t xml:space="preserve"> </w:t>
      </w:r>
      <w:r>
        <w:t>In 2010, winds were predominantly from the NNE, with contributions from NNW, SE, and SW. The annual average wind speed was 3.3 m</w:t>
      </w:r>
      <w:r w:rsidR="006D7904">
        <w:t>.</w:t>
      </w:r>
      <w:r>
        <w:t>s</w:t>
      </w:r>
      <w:r w:rsidRPr="00B74099">
        <w:rPr>
          <w:rFonts w:cs="Arial"/>
          <w:vertAlign w:val="superscript"/>
        </w:rPr>
        <w:t>-1</w:t>
      </w:r>
      <w:r>
        <w:t>, with a maximum of 12.9 m</w:t>
      </w:r>
      <w:r w:rsidR="006D7904">
        <w:rPr>
          <w:rFonts w:cs="Arial"/>
        </w:rPr>
        <w:t>.</w:t>
      </w:r>
      <w:r>
        <w:t>s</w:t>
      </w:r>
      <w:r w:rsidRPr="00B74099">
        <w:rPr>
          <w:rFonts w:cs="Arial"/>
          <w:vertAlign w:val="superscript"/>
        </w:rPr>
        <w:t>-1</w:t>
      </w:r>
      <w:r>
        <w:rPr>
          <w:rFonts w:cs="Arial"/>
        </w:rPr>
        <w:t>.</w:t>
      </w:r>
    </w:p>
    <w:p w14:paraId="0ACA26FC" w14:textId="38898445" w:rsidR="00BC1DCD" w:rsidRDefault="00BC1DCD" w:rsidP="00BC1DCD">
      <w:pPr>
        <w:pStyle w:val="CETheadingx"/>
      </w:pPr>
      <w:r>
        <w:t>Odorant</w:t>
      </w:r>
    </w:p>
    <w:p w14:paraId="4A72CA98" w14:textId="29A6E8F7" w:rsidR="000A68B9" w:rsidRDefault="00B74099" w:rsidP="00861760">
      <w:pPr>
        <w:pStyle w:val="CETBodytext"/>
      </w:pPr>
      <w:r w:rsidRPr="00B74099">
        <w:t>Paing et al. (2003) focused on H</w:t>
      </w:r>
      <w:r w:rsidRPr="00B74099">
        <w:rPr>
          <w:rFonts w:cs="Arial"/>
          <w:vertAlign w:val="subscript"/>
        </w:rPr>
        <w:t>2</w:t>
      </w:r>
      <w:r w:rsidRPr="00B74099">
        <w:t xml:space="preserve">S, identified as </w:t>
      </w:r>
      <w:r w:rsidR="00E9629E">
        <w:t>a majour</w:t>
      </w:r>
      <w:r w:rsidRPr="00B74099">
        <w:t xml:space="preserve"> odorous compound in anaerobic ponds, with a concentration of 2,400 mg</w:t>
      </w:r>
      <w:r w:rsidR="000876E7">
        <w:t xml:space="preserve"> </w:t>
      </w:r>
      <w:r w:rsidRPr="00B74099">
        <w:t>m</w:t>
      </w:r>
      <w:r w:rsidRPr="00B74099">
        <w:rPr>
          <w:vertAlign w:val="superscript"/>
        </w:rPr>
        <w:t>-3</w:t>
      </w:r>
      <w:r w:rsidRPr="00B74099">
        <w:t xml:space="preserve"> in the biogas. For emission estimates, annual average pond parameters reported by the authors were used (Table </w:t>
      </w:r>
      <w:r w:rsidR="00B03A45">
        <w:t>1</w:t>
      </w:r>
      <w:r w:rsidRPr="00B74099">
        <w:t>).</w:t>
      </w:r>
    </w:p>
    <w:p w14:paraId="643E34FD" w14:textId="77777777" w:rsidR="00B74099" w:rsidRPr="00861760" w:rsidRDefault="00B74099" w:rsidP="00861760">
      <w:pPr>
        <w:pStyle w:val="CETBodytext"/>
      </w:pPr>
    </w:p>
    <w:p w14:paraId="09FDFEAD" w14:textId="0F4D8F3C" w:rsidR="00A275C3" w:rsidRDefault="00A275C3" w:rsidP="00FA5F5F">
      <w:pPr>
        <w:pStyle w:val="CETheadingx"/>
      </w:pPr>
      <w:r>
        <w:t>Estimation</w:t>
      </w:r>
      <w:r w:rsidR="00891647">
        <w:t xml:space="preserve"> of odor emission rates (OER)</w:t>
      </w:r>
    </w:p>
    <w:p w14:paraId="20DC6CEF" w14:textId="1771C1F1" w:rsidR="00891647" w:rsidRDefault="00891647" w:rsidP="00891647">
      <w:pPr>
        <w:pStyle w:val="CETheadingx"/>
        <w:numPr>
          <w:ilvl w:val="2"/>
          <w:numId w:val="23"/>
        </w:numPr>
      </w:pPr>
      <w:r>
        <w:t>Surface volatilization model</w:t>
      </w:r>
    </w:p>
    <w:p w14:paraId="3F6A025D" w14:textId="3B0745BE" w:rsidR="00477433" w:rsidRDefault="00DD534C" w:rsidP="00DD534C">
      <w:pPr>
        <w:pStyle w:val="CETBodytext"/>
      </w:pPr>
      <w:r>
        <w:t xml:space="preserve">Friction velocity and wind-induced wave development are the primary physical factors influencing mass transfer over passive liquid surfaces. Experimental results from wind-wave tunnel studies confirm the strong relationship between friction velocity </w:t>
      </w:r>
      <w:r w:rsidR="004D378B" w:rsidRPr="004D378B">
        <w:rPr>
          <w:lang w:val="en-GB"/>
        </w:rPr>
        <w:t>(</w:t>
      </w:r>
      <w:r w:rsidR="009F46C0" w:rsidRPr="009F46C0">
        <w:rPr>
          <w:i/>
          <w:iCs/>
          <w:lang w:val="en-GB"/>
        </w:rPr>
        <w:t>u</w:t>
      </w:r>
      <w:r w:rsidR="009F46C0" w:rsidRPr="009F46C0">
        <w:rPr>
          <w:i/>
          <w:iCs/>
          <w:vertAlign w:val="subscript"/>
          <w:lang w:val="en-GB"/>
        </w:rPr>
        <w:t>*</w:t>
      </w:r>
      <w:r w:rsidR="004D378B" w:rsidRPr="004D378B">
        <w:rPr>
          <w:lang w:val="en-GB"/>
        </w:rPr>
        <w:t>)</w:t>
      </w:r>
      <w:r>
        <w:t xml:space="preserve"> and the liquid-</w:t>
      </w:r>
      <w:r w:rsidR="00FD72CE">
        <w:t>side</w:t>
      </w:r>
      <w:r>
        <w:t xml:space="preserve"> and gas-side mass transfer coefficients (</w:t>
      </w:r>
      <w:r w:rsidR="009C6611" w:rsidRPr="009F46C0">
        <w:rPr>
          <w:rFonts w:cs="Arial"/>
          <w:i/>
          <w:iCs/>
          <w:szCs w:val="18"/>
        </w:rPr>
        <w:t>k</w:t>
      </w:r>
      <w:r w:rsidR="009C6611" w:rsidRPr="009F46C0">
        <w:rPr>
          <w:rFonts w:cs="Arial"/>
          <w:i/>
          <w:iCs/>
          <w:szCs w:val="18"/>
          <w:vertAlign w:val="subscript"/>
        </w:rPr>
        <w:t>L</w:t>
      </w:r>
      <w:r w:rsidR="009C6611" w:rsidRPr="009C6611">
        <w:rPr>
          <w:rFonts w:asciiTheme="majorHAnsi" w:hAnsiTheme="majorHAnsi"/>
          <w:szCs w:val="18"/>
        </w:rPr>
        <w:t xml:space="preserve"> </w:t>
      </w:r>
      <w:r w:rsidR="009C6611" w:rsidRPr="009C6611">
        <w:t>and</w:t>
      </w:r>
      <w:r w:rsidR="009C6611" w:rsidRPr="009C6611">
        <w:rPr>
          <w:rFonts w:asciiTheme="majorHAnsi" w:hAnsiTheme="majorHAnsi"/>
          <w:szCs w:val="18"/>
        </w:rPr>
        <w:t xml:space="preserve"> </w:t>
      </w:r>
      <w:r w:rsidR="009C6611" w:rsidRPr="009F46C0">
        <w:rPr>
          <w:rFonts w:cs="Arial"/>
          <w:i/>
          <w:iCs/>
          <w:szCs w:val="18"/>
        </w:rPr>
        <w:t>k</w:t>
      </w:r>
      <w:r w:rsidR="009C6611" w:rsidRPr="009F46C0">
        <w:rPr>
          <w:rFonts w:cs="Arial"/>
          <w:i/>
          <w:iCs/>
          <w:szCs w:val="18"/>
          <w:vertAlign w:val="subscript"/>
        </w:rPr>
        <w:t>G</w:t>
      </w:r>
      <w:r>
        <w:t xml:space="preserve">) (Prata et al., </w:t>
      </w:r>
      <w:r w:rsidR="00EA6908">
        <w:t>2018</w:t>
      </w:r>
      <w:r>
        <w:t>).</w:t>
      </w:r>
      <w:r w:rsidR="00E91BB8">
        <w:t xml:space="preserve"> </w:t>
      </w:r>
      <w:r>
        <w:t>The study by Prata et al. (2021) highlights the importance of considering the Internal Boundary Layer (IBL) over the water surface, which develops due to the transition in surface roughness from land to water. As wind measurements in WWTP are typically conducted over land, incorporating IBL development improves the physical representativeness of emission estimates. Neglecting these effects may lead to inaccuracies, particularly in analyses involving temporal variability and odor impact frequency</w:t>
      </w:r>
      <w:r w:rsidR="00FD72CE">
        <w:t xml:space="preserve"> (Prata et al., 2021).</w:t>
      </w:r>
    </w:p>
    <w:p w14:paraId="2C120AFE" w14:textId="25A07CF7" w:rsidR="00F52745" w:rsidRDefault="00F52745" w:rsidP="00F52745">
      <w:pPr>
        <w:pStyle w:val="CETBodytext"/>
        <w:rPr>
          <w:lang w:val="en-GB"/>
        </w:rPr>
      </w:pPr>
      <w:r w:rsidRPr="00477CD2">
        <w:rPr>
          <w:lang w:val="en-GB"/>
        </w:rPr>
        <w:t>To estimate emissions, a three-step approach was adopted</w:t>
      </w:r>
      <w:r>
        <w:rPr>
          <w:lang w:val="en-GB"/>
        </w:rPr>
        <w:t xml:space="preserve">, as shown in the schematic flowchart in </w:t>
      </w:r>
      <w:r w:rsidRPr="00477CD2">
        <w:rPr>
          <w:lang w:val="en-GB"/>
        </w:rPr>
        <w:t xml:space="preserve">Figure </w:t>
      </w:r>
      <w:r>
        <w:rPr>
          <w:lang w:val="en-GB"/>
        </w:rPr>
        <w:t>1</w:t>
      </w:r>
      <w:r w:rsidRPr="00477CD2">
        <w:rPr>
          <w:lang w:val="en-GB"/>
        </w:rPr>
        <w:t xml:space="preserve">. Figure </w:t>
      </w:r>
      <w:r>
        <w:rPr>
          <w:lang w:val="en-GB"/>
        </w:rPr>
        <w:t>1</w:t>
      </w:r>
      <w:r w:rsidRPr="00477CD2">
        <w:rPr>
          <w:lang w:val="en-GB"/>
        </w:rPr>
        <w:t>a presents the parameterisation for the fetch-averaged friction velocity</w:t>
      </w:r>
      <w:r>
        <w:rPr>
          <w:lang w:val="en-GB"/>
        </w:rPr>
        <w:t xml:space="preserve"> following Prata et al. (2021)</w:t>
      </w:r>
      <w:r w:rsidRPr="00477CD2">
        <w:rPr>
          <w:lang w:val="en-GB"/>
        </w:rPr>
        <w:t xml:space="preserve">. The surface volatilization model is shown in Figure </w:t>
      </w:r>
      <w:r>
        <w:rPr>
          <w:lang w:val="en-GB"/>
        </w:rPr>
        <w:t>1</w:t>
      </w:r>
      <w:r w:rsidRPr="00477CD2">
        <w:rPr>
          <w:lang w:val="en-GB"/>
        </w:rPr>
        <w:t xml:space="preserve">b, where the liquid-side mass transfer coefficient </w:t>
      </w:r>
      <w:r>
        <w:t>(</w:t>
      </w:r>
      <w:r w:rsidRPr="009F46C0">
        <w:rPr>
          <w:rFonts w:cs="Arial"/>
          <w:i/>
          <w:iCs/>
          <w:szCs w:val="18"/>
        </w:rPr>
        <w:t>k</w:t>
      </w:r>
      <w:r w:rsidRPr="009F46C0">
        <w:rPr>
          <w:rFonts w:cs="Arial"/>
          <w:i/>
          <w:iCs/>
          <w:szCs w:val="18"/>
          <w:vertAlign w:val="subscript"/>
        </w:rPr>
        <w:t>L</w:t>
      </w:r>
      <w:r>
        <w:t xml:space="preserve">) </w:t>
      </w:r>
      <w:r>
        <w:rPr>
          <w:lang w:val="en-GB"/>
        </w:rPr>
        <w:t>i</w:t>
      </w:r>
      <w:r w:rsidRPr="00477CD2">
        <w:rPr>
          <w:lang w:val="en-GB"/>
        </w:rPr>
        <w:t>s estimated from empirical correlations as a function of fetch</w:t>
      </w:r>
      <w:r>
        <w:rPr>
          <w:lang w:val="en-GB"/>
        </w:rPr>
        <w:t xml:space="preserve"> (Prata et al., </w:t>
      </w:r>
      <w:r w:rsidR="00EA6908">
        <w:rPr>
          <w:lang w:val="en-GB"/>
        </w:rPr>
        <w:t>2018</w:t>
      </w:r>
      <w:r>
        <w:rPr>
          <w:lang w:val="en-GB"/>
        </w:rPr>
        <w:t>)</w:t>
      </w:r>
      <w:r w:rsidRPr="00477CD2">
        <w:rPr>
          <w:lang w:val="en-GB"/>
        </w:rPr>
        <w:t xml:space="preserve">. Although the original gas-side coefficient </w:t>
      </w:r>
      <w:r>
        <w:t>(</w:t>
      </w:r>
      <w:r w:rsidRPr="009F46C0">
        <w:rPr>
          <w:rFonts w:cs="Arial"/>
          <w:i/>
          <w:lang w:val="en-GB"/>
        </w:rPr>
        <w:t>k</w:t>
      </w:r>
      <w:r w:rsidRPr="009F46C0">
        <w:rPr>
          <w:rFonts w:cs="Arial"/>
          <w:i/>
          <w:vertAlign w:val="subscript"/>
          <w:lang w:val="en-GB"/>
        </w:rPr>
        <w:t>G</w:t>
      </w:r>
      <w:r>
        <w:t xml:space="preserve">) </w:t>
      </w:r>
      <w:r w:rsidRPr="00477CD2">
        <w:rPr>
          <w:lang w:val="en-GB"/>
        </w:rPr>
        <w:t>formulation by Brutsaert (1975) assumes a fully developed internal boundary layer (IBL), adaptations by Prata et al. (</w:t>
      </w:r>
      <w:r w:rsidR="00EA6908">
        <w:rPr>
          <w:lang w:val="en-GB"/>
        </w:rPr>
        <w:t>2018</w:t>
      </w:r>
      <w:r w:rsidRPr="00477CD2">
        <w:rPr>
          <w:lang w:val="en-GB"/>
        </w:rPr>
        <w:t xml:space="preserve">) account for its growth over liquid surfaces. For highly volatile compounds such as </w:t>
      </w:r>
      <w:r>
        <w:t>H</w:t>
      </w:r>
      <w:r w:rsidRPr="00F10584">
        <w:rPr>
          <w:rFonts w:cs="Arial"/>
          <w:vertAlign w:val="subscript"/>
        </w:rPr>
        <w:t>2</w:t>
      </w:r>
      <w:r>
        <w:t>S</w:t>
      </w:r>
      <w:r w:rsidRPr="00477CD2">
        <w:rPr>
          <w:lang w:val="en-GB"/>
        </w:rPr>
        <w:t>, mass transfer is predominantly controlled by</w:t>
      </w:r>
      <w:r w:rsidRPr="00477CD2">
        <w:rPr>
          <w:rFonts w:cs="Arial"/>
          <w:i/>
          <w:iCs/>
          <w:szCs w:val="18"/>
        </w:rPr>
        <w:t xml:space="preserve"> </w:t>
      </w:r>
      <w:r w:rsidRPr="009F46C0">
        <w:rPr>
          <w:rFonts w:cs="Arial"/>
          <w:i/>
          <w:iCs/>
          <w:szCs w:val="18"/>
        </w:rPr>
        <w:t>k</w:t>
      </w:r>
      <w:r w:rsidRPr="009F46C0">
        <w:rPr>
          <w:rFonts w:cs="Arial"/>
          <w:i/>
          <w:iCs/>
          <w:szCs w:val="18"/>
          <w:vertAlign w:val="subscript"/>
        </w:rPr>
        <w:t>L</w:t>
      </w:r>
      <w:r w:rsidRPr="00477CD2">
        <w:rPr>
          <w:lang w:val="en-GB"/>
        </w:rPr>
        <w:t xml:space="preserve">, with minor contribution from </w:t>
      </w:r>
      <w:r w:rsidRPr="009F46C0">
        <w:rPr>
          <w:rFonts w:cs="Arial"/>
          <w:i/>
          <w:lang w:val="en-GB"/>
        </w:rPr>
        <w:t>k</w:t>
      </w:r>
      <w:r w:rsidRPr="009F46C0">
        <w:rPr>
          <w:rFonts w:cs="Arial"/>
          <w:i/>
          <w:vertAlign w:val="subscript"/>
          <w:lang w:val="en-GB"/>
        </w:rPr>
        <w:t>G</w:t>
      </w:r>
      <w:r w:rsidRPr="00477CD2">
        <w:rPr>
          <w:lang w:val="en-GB"/>
        </w:rPr>
        <w:t xml:space="preserve"> (</w:t>
      </w:r>
      <w:r w:rsidRPr="006B5AC6">
        <w:t xml:space="preserve">Prata et al., </w:t>
      </w:r>
      <w:r w:rsidR="00EA6908">
        <w:t>2018</w:t>
      </w:r>
      <w:r w:rsidRPr="006B5AC6">
        <w:t>)</w:t>
      </w:r>
      <w:r>
        <w:t xml:space="preserve">, so </w:t>
      </w:r>
      <w:r w:rsidRPr="00F52745">
        <w:rPr>
          <w:i/>
          <w:iCs/>
        </w:rPr>
        <w:t>K</w:t>
      </w:r>
      <w:r w:rsidRPr="00F52745">
        <w:rPr>
          <w:i/>
          <w:iCs/>
          <w:vertAlign w:val="subscript"/>
        </w:rPr>
        <w:t>L</w:t>
      </w:r>
      <w:r>
        <w:rPr>
          <w:rFonts w:ascii="Calibri" w:hAnsi="Calibri" w:cs="Calibri"/>
        </w:rPr>
        <w:t>≈</w:t>
      </w:r>
      <w:r w:rsidRPr="009F46C0">
        <w:rPr>
          <w:rFonts w:cs="Arial"/>
          <w:i/>
          <w:iCs/>
          <w:szCs w:val="18"/>
        </w:rPr>
        <w:t>k</w:t>
      </w:r>
      <w:r w:rsidRPr="009F46C0">
        <w:rPr>
          <w:rFonts w:cs="Arial"/>
          <w:i/>
          <w:iCs/>
          <w:szCs w:val="18"/>
          <w:vertAlign w:val="subscript"/>
        </w:rPr>
        <w:t>L</w:t>
      </w:r>
      <w:r w:rsidRPr="006B5AC6">
        <w:t xml:space="preserve">. </w:t>
      </w:r>
      <w:r w:rsidRPr="00477CD2">
        <w:rPr>
          <w:lang w:val="en-GB"/>
        </w:rPr>
        <w:t xml:space="preserve">The emission flux is calculated as shown in Figure </w:t>
      </w:r>
      <w:r>
        <w:rPr>
          <w:lang w:val="en-GB"/>
        </w:rPr>
        <w:t>1</w:t>
      </w:r>
      <w:r w:rsidRPr="00477CD2">
        <w:rPr>
          <w:lang w:val="en-GB"/>
        </w:rPr>
        <w:t>c.</w:t>
      </w:r>
      <w:r>
        <w:rPr>
          <w:lang w:val="en-GB"/>
        </w:rPr>
        <w:t xml:space="preserve"> The upwind roughness length was taken as 0.1 m, representing pasture land, which is a typical surroundings for </w:t>
      </w:r>
      <w:r w:rsidR="00641FD4">
        <w:rPr>
          <w:lang w:val="en-GB"/>
        </w:rPr>
        <w:t>pond systems.</w:t>
      </w:r>
    </w:p>
    <w:p w14:paraId="6E6040EC" w14:textId="77777777" w:rsidR="00FF3FE3" w:rsidRDefault="00FF3FE3" w:rsidP="00403A4A">
      <w:pPr>
        <w:pStyle w:val="CETBodytext"/>
        <w:rPr>
          <w:lang w:val="en-GB"/>
        </w:rPr>
      </w:pPr>
    </w:p>
    <w:p w14:paraId="2E38470A" w14:textId="2C7B1208" w:rsidR="009E5D8E" w:rsidRDefault="00863D6C" w:rsidP="00403A4A">
      <w:pPr>
        <w:pStyle w:val="CETBodytext"/>
      </w:pPr>
      <w:r w:rsidRPr="00863D6C">
        <w:rPr>
          <w:noProof/>
          <w:lang w:val="en-GB"/>
        </w:rPr>
        <w:lastRenderedPageBreak/>
        <w:drawing>
          <wp:inline distT="0" distB="0" distL="0" distR="0" wp14:anchorId="086F9327" wp14:editId="5418C327">
            <wp:extent cx="5537200" cy="1916940"/>
            <wp:effectExtent l="0" t="0" r="6350" b="0"/>
            <wp:docPr id="51" name="Picture 50">
              <a:extLst xmlns:a="http://schemas.openxmlformats.org/drawingml/2006/main">
                <a:ext uri="{FF2B5EF4-FFF2-40B4-BE49-F238E27FC236}">
                  <a16:creationId xmlns:a16="http://schemas.microsoft.com/office/drawing/2014/main" id="{021E7044-076B-5231-8EAE-DC6D2B0130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0">
                      <a:extLst>
                        <a:ext uri="{FF2B5EF4-FFF2-40B4-BE49-F238E27FC236}">
                          <a16:creationId xmlns:a16="http://schemas.microsoft.com/office/drawing/2014/main" id="{021E7044-076B-5231-8EAE-DC6D2B0130A1}"/>
                        </a:ext>
                      </a:extLst>
                    </pic:cNvPr>
                    <pic:cNvPicPr>
                      <a:picLocks noChangeAspect="1"/>
                    </pic:cNvPicPr>
                  </pic:nvPicPr>
                  <pic:blipFill>
                    <a:blip r:embed="rId10"/>
                    <a:stretch>
                      <a:fillRect/>
                    </a:stretch>
                  </pic:blipFill>
                  <pic:spPr>
                    <a:xfrm>
                      <a:off x="0" y="0"/>
                      <a:ext cx="5621141" cy="1946000"/>
                    </a:xfrm>
                    <a:prstGeom prst="rect">
                      <a:avLst/>
                    </a:prstGeom>
                  </pic:spPr>
                </pic:pic>
              </a:graphicData>
            </a:graphic>
          </wp:inline>
        </w:drawing>
      </w:r>
    </w:p>
    <w:p w14:paraId="20C39AC3" w14:textId="18E6C9CD" w:rsidR="00403A4A" w:rsidRDefault="00351C4F" w:rsidP="00F37154">
      <w:pPr>
        <w:pStyle w:val="CETCaption"/>
      </w:pPr>
      <w:r>
        <w:t xml:space="preserve">Figure </w:t>
      </w:r>
      <w:r w:rsidR="00F37154">
        <w:t>1</w:t>
      </w:r>
      <w:r>
        <w:t xml:space="preserve">: </w:t>
      </w:r>
      <w:r w:rsidR="00FC2115" w:rsidRPr="00FC2115">
        <w:t>Schematic representation of the Prata et al. (</w:t>
      </w:r>
      <w:r w:rsidR="00EA6908">
        <w:t>2018</w:t>
      </w:r>
      <w:r w:rsidR="00FC2115" w:rsidRPr="00FC2115">
        <w:t xml:space="preserve">, 2021) model for </w:t>
      </w:r>
      <w:r w:rsidR="00FC2115">
        <w:t>H</w:t>
      </w:r>
      <w:r w:rsidR="00FC2115" w:rsidRPr="00F10584">
        <w:rPr>
          <w:rFonts w:cs="Arial"/>
          <w:vertAlign w:val="subscript"/>
        </w:rPr>
        <w:t>2</w:t>
      </w:r>
      <w:r w:rsidR="00FC2115">
        <w:t>S</w:t>
      </w:r>
      <w:r w:rsidR="00FC2115" w:rsidRPr="00FC2115">
        <w:t xml:space="preserve"> emission. (a) Fetch-averaged friction velocity</w:t>
      </w:r>
      <w:r w:rsidR="00FC2115">
        <w:t xml:space="preserve"> </w:t>
      </w:r>
      <w:r w:rsidR="00FC2115" w:rsidRPr="004D378B">
        <w:t>(</w:t>
      </w:r>
      <w:r w:rsidR="00FC2115" w:rsidRPr="009F46C0">
        <w:rPr>
          <w:iCs/>
        </w:rPr>
        <w:t>u</w:t>
      </w:r>
      <w:r w:rsidR="00FC2115" w:rsidRPr="009F46C0">
        <w:rPr>
          <w:iCs/>
          <w:vertAlign w:val="subscript"/>
        </w:rPr>
        <w:t>*</w:t>
      </w:r>
      <w:r w:rsidR="00FC2115" w:rsidRPr="004D378B">
        <w:t>)</w:t>
      </w:r>
      <w:r w:rsidR="00F37154">
        <w:t>;</w:t>
      </w:r>
      <w:r w:rsidR="00FC2115" w:rsidRPr="00FC2115">
        <w:t xml:space="preserve"> (b) Mass transfer coefficients, with </w:t>
      </w:r>
      <w:r w:rsidR="00FC2115" w:rsidRPr="009F46C0">
        <w:rPr>
          <w:rFonts w:cs="Arial"/>
          <w:iCs/>
          <w:szCs w:val="18"/>
        </w:rPr>
        <w:t>k</w:t>
      </w:r>
      <w:r w:rsidR="00FC2115" w:rsidRPr="009F46C0">
        <w:rPr>
          <w:rFonts w:cs="Arial"/>
          <w:iCs/>
          <w:szCs w:val="18"/>
          <w:vertAlign w:val="subscript"/>
        </w:rPr>
        <w:t>L</w:t>
      </w:r>
      <w:r w:rsidR="00FC2115">
        <w:t xml:space="preserve"> </w:t>
      </w:r>
      <w:r w:rsidR="00FC2115" w:rsidRPr="00FC2115">
        <w:t xml:space="preserve">as a function of fetch </w:t>
      </w:r>
      <w:r w:rsidR="00FC2115">
        <w:t>(</w:t>
      </w:r>
      <w:r w:rsidR="00FC2115" w:rsidRPr="00FC2115">
        <w:rPr>
          <w:iCs/>
        </w:rPr>
        <w:t>X</w:t>
      </w:r>
      <w:r w:rsidR="00FC2115">
        <w:t xml:space="preserve">) </w:t>
      </w:r>
      <w:r w:rsidR="00FC2115" w:rsidRPr="00FC2115">
        <w:t xml:space="preserve">and </w:t>
      </w:r>
      <w:r w:rsidR="00FC2115" w:rsidRPr="009F46C0">
        <w:rPr>
          <w:rFonts w:cs="Arial"/>
        </w:rPr>
        <w:t>k</w:t>
      </w:r>
      <w:r w:rsidR="00FC2115" w:rsidRPr="009F46C0">
        <w:rPr>
          <w:rFonts w:cs="Arial"/>
          <w:vertAlign w:val="subscript"/>
        </w:rPr>
        <w:t>G</w:t>
      </w:r>
      <w:r w:rsidR="00FC2115">
        <w:t xml:space="preserve"> </w:t>
      </w:r>
      <w:r w:rsidR="00FC2115" w:rsidRPr="00FC2115">
        <w:t>accounting for boundary layer development</w:t>
      </w:r>
      <w:r w:rsidR="00F37154">
        <w:t xml:space="preserve">; </w:t>
      </w:r>
      <w:r w:rsidR="00FC2115" w:rsidRPr="00FC2115">
        <w:t>(c) Emission flux calculated using the two-resistance model, dominated by</w:t>
      </w:r>
      <w:r w:rsidR="00F37154" w:rsidRPr="00F37154">
        <w:rPr>
          <w:rFonts w:cs="Arial"/>
          <w:iCs/>
          <w:szCs w:val="18"/>
        </w:rPr>
        <w:t xml:space="preserve"> </w:t>
      </w:r>
      <w:r w:rsidR="00F37154" w:rsidRPr="009F46C0">
        <w:rPr>
          <w:rFonts w:cs="Arial"/>
          <w:iCs/>
          <w:szCs w:val="18"/>
        </w:rPr>
        <w:t>k</w:t>
      </w:r>
      <w:r w:rsidR="00F37154" w:rsidRPr="009F46C0">
        <w:rPr>
          <w:rFonts w:cs="Arial"/>
          <w:iCs/>
          <w:szCs w:val="18"/>
          <w:vertAlign w:val="subscript"/>
        </w:rPr>
        <w:t>L</w:t>
      </w:r>
      <w:r w:rsidR="00F37154" w:rsidRPr="00FC2115">
        <w:t xml:space="preserve"> </w:t>
      </w:r>
      <w:r w:rsidR="00FC2115" w:rsidRPr="00FC2115">
        <w:t xml:space="preserve">for </w:t>
      </w:r>
      <w:r w:rsidR="00F37154">
        <w:t>H</w:t>
      </w:r>
      <w:r w:rsidR="00F37154" w:rsidRPr="00F10584">
        <w:rPr>
          <w:rFonts w:cs="Arial"/>
          <w:vertAlign w:val="subscript"/>
        </w:rPr>
        <w:t>2</w:t>
      </w:r>
      <w:r w:rsidR="00F37154">
        <w:t>S</w:t>
      </w:r>
      <w:r w:rsidR="00FC2115" w:rsidRPr="00FC2115">
        <w:t>.</w:t>
      </w:r>
    </w:p>
    <w:p w14:paraId="6854B387" w14:textId="17E2A353" w:rsidR="00BC5CD4" w:rsidRDefault="00224830" w:rsidP="00224830">
      <w:pPr>
        <w:pStyle w:val="CETheadingx"/>
        <w:numPr>
          <w:ilvl w:val="2"/>
          <w:numId w:val="23"/>
        </w:numPr>
      </w:pPr>
      <w:r w:rsidRPr="00224830">
        <w:t>Biogas ebullition model</w:t>
      </w:r>
    </w:p>
    <w:p w14:paraId="22D6EE54" w14:textId="56E158DD" w:rsidR="00A45F3F" w:rsidRDefault="00E708EB" w:rsidP="00D042B2">
      <w:pPr>
        <w:pStyle w:val="CETBodytext"/>
      </w:pPr>
      <w:r w:rsidRPr="00E708EB">
        <w:rPr>
          <w:lang w:val="en-GB"/>
        </w:rPr>
        <w:t>The ebullition model of Paing et al. (2003) was adopted</w:t>
      </w:r>
      <w:r w:rsidR="00F52745">
        <w:rPr>
          <w:lang w:val="en-GB"/>
        </w:rPr>
        <w:t xml:space="preserve">, as shown in the schematics in </w:t>
      </w:r>
      <w:r w:rsidRPr="00E708EB">
        <w:rPr>
          <w:lang w:val="en-GB"/>
        </w:rPr>
        <w:t xml:space="preserve">Figure </w:t>
      </w:r>
      <w:r w:rsidR="00F37154">
        <w:rPr>
          <w:lang w:val="en-GB"/>
        </w:rPr>
        <w:t>2</w:t>
      </w:r>
      <w:r w:rsidRPr="00E708EB">
        <w:rPr>
          <w:lang w:val="en-GB"/>
        </w:rPr>
        <w:t xml:space="preserve">. In this approach, the </w:t>
      </w:r>
      <w:r w:rsidR="00920F53">
        <w:t>H</w:t>
      </w:r>
      <w:r w:rsidR="00920F53" w:rsidRPr="003A296E">
        <w:rPr>
          <w:rFonts w:cs="Arial"/>
          <w:vertAlign w:val="subscript"/>
        </w:rPr>
        <w:t>2</w:t>
      </w:r>
      <w:r w:rsidR="00920F53">
        <w:t>S</w:t>
      </w:r>
      <w:r w:rsidR="00920F53" w:rsidRPr="00E708EB">
        <w:rPr>
          <w:lang w:val="en-GB"/>
        </w:rPr>
        <w:t xml:space="preserve"> </w:t>
      </w:r>
      <w:r w:rsidRPr="00E708EB">
        <w:rPr>
          <w:lang w:val="en-GB"/>
        </w:rPr>
        <w:t xml:space="preserve">emission rate is estimated from the </w:t>
      </w:r>
      <w:r w:rsidR="00920F53">
        <w:t>H</w:t>
      </w:r>
      <w:r w:rsidR="00920F53" w:rsidRPr="003A296E">
        <w:rPr>
          <w:rFonts w:cs="Arial"/>
          <w:vertAlign w:val="subscript"/>
        </w:rPr>
        <w:t>2</w:t>
      </w:r>
      <w:r w:rsidR="00920F53">
        <w:t>S</w:t>
      </w:r>
      <w:r w:rsidR="00920F53" w:rsidRPr="00E708EB">
        <w:rPr>
          <w:lang w:val="en-GB"/>
        </w:rPr>
        <w:t xml:space="preserve"> </w:t>
      </w:r>
      <w:r w:rsidRPr="00E708EB">
        <w:rPr>
          <w:lang w:val="en-GB"/>
        </w:rPr>
        <w:t>concentration in biogas</w:t>
      </w:r>
      <w:r>
        <w:t xml:space="preserve"> [H</w:t>
      </w:r>
      <w:r w:rsidRPr="003A296E">
        <w:rPr>
          <w:rFonts w:cs="Arial"/>
          <w:vertAlign w:val="subscript"/>
        </w:rPr>
        <w:t>2</w:t>
      </w:r>
      <w:r>
        <w:t>S]</w:t>
      </w:r>
      <w:r w:rsidRPr="00D042B2">
        <w:rPr>
          <w:vertAlign w:val="subscript"/>
        </w:rPr>
        <w:t>biogas</w:t>
      </w:r>
      <w:r w:rsidR="00DA5E29">
        <w:t xml:space="preserve"> </w:t>
      </w:r>
      <w:r w:rsidR="00DA5E29" w:rsidRPr="00DA5E29">
        <w:rPr>
          <w:lang w:val="en-GB"/>
        </w:rPr>
        <w:t>and the biogas emission rate</w:t>
      </w:r>
      <w:r w:rsidR="00DA5E29">
        <w:rPr>
          <w:lang w:val="en-GB"/>
        </w:rPr>
        <w:t xml:space="preserve"> </w:t>
      </w:r>
      <w:r w:rsidR="00DA5E29">
        <w:t>E</w:t>
      </w:r>
      <w:r w:rsidR="00DA5E29" w:rsidRPr="00D042B2">
        <w:rPr>
          <w:vertAlign w:val="subscript"/>
        </w:rPr>
        <w:t>biogas</w:t>
      </w:r>
      <w:r w:rsidR="00DA5E29">
        <w:t>.</w:t>
      </w:r>
      <w:r w:rsidR="00DE61B7">
        <w:rPr>
          <w:lang w:val="en-GB"/>
        </w:rPr>
        <w:t xml:space="preserve"> </w:t>
      </w:r>
      <w:r w:rsidR="00DA5E29" w:rsidRPr="00DA5E29">
        <w:t>Further details are provided by Paing et al. (2003).</w:t>
      </w:r>
    </w:p>
    <w:p w14:paraId="255D5C62" w14:textId="77777777" w:rsidR="00F52745" w:rsidRPr="00DE61B7" w:rsidRDefault="00F52745" w:rsidP="00D042B2">
      <w:pPr>
        <w:pStyle w:val="CETBodytext"/>
        <w:rPr>
          <w:lang w:val="en-GB"/>
        </w:rPr>
      </w:pPr>
    </w:p>
    <w:p w14:paraId="5401C7A5" w14:textId="40F24F56" w:rsidR="00A45F3F" w:rsidRDefault="00A45F3F" w:rsidP="00D042B2">
      <w:pPr>
        <w:pStyle w:val="CETBodytext"/>
      </w:pPr>
      <w:r w:rsidRPr="00A45F3F">
        <w:rPr>
          <w:noProof/>
          <w:lang w:val="en-GB"/>
        </w:rPr>
        <w:drawing>
          <wp:inline distT="0" distB="0" distL="0" distR="0" wp14:anchorId="2ADA7D0C" wp14:editId="245F7830">
            <wp:extent cx="5701745" cy="1127760"/>
            <wp:effectExtent l="0" t="0" r="0" b="0"/>
            <wp:docPr id="54" name="Picture 53">
              <a:extLst xmlns:a="http://schemas.openxmlformats.org/drawingml/2006/main">
                <a:ext uri="{FF2B5EF4-FFF2-40B4-BE49-F238E27FC236}">
                  <a16:creationId xmlns:a16="http://schemas.microsoft.com/office/drawing/2014/main" id="{4A6B46F4-B722-40EE-A9C3-41769D0D6D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3">
                      <a:extLst>
                        <a:ext uri="{FF2B5EF4-FFF2-40B4-BE49-F238E27FC236}">
                          <a16:creationId xmlns:a16="http://schemas.microsoft.com/office/drawing/2014/main" id="{4A6B46F4-B722-40EE-A9C3-41769D0D6DFF}"/>
                        </a:ext>
                      </a:extLst>
                    </pic:cNvPr>
                    <pic:cNvPicPr>
                      <a:picLocks noChangeAspect="1"/>
                    </pic:cNvPicPr>
                  </pic:nvPicPr>
                  <pic:blipFill>
                    <a:blip r:embed="rId11"/>
                    <a:stretch>
                      <a:fillRect/>
                    </a:stretch>
                  </pic:blipFill>
                  <pic:spPr>
                    <a:xfrm>
                      <a:off x="0" y="0"/>
                      <a:ext cx="5858916" cy="1158847"/>
                    </a:xfrm>
                    <a:prstGeom prst="rect">
                      <a:avLst/>
                    </a:prstGeom>
                  </pic:spPr>
                </pic:pic>
              </a:graphicData>
            </a:graphic>
          </wp:inline>
        </w:drawing>
      </w:r>
    </w:p>
    <w:p w14:paraId="7D39771A" w14:textId="4910209D" w:rsidR="00E91BB8" w:rsidRPr="00C871F2" w:rsidRDefault="00C871F2" w:rsidP="00F37154">
      <w:pPr>
        <w:pStyle w:val="CETCaption"/>
      </w:pPr>
      <w:r>
        <w:t xml:space="preserve">Figure </w:t>
      </w:r>
      <w:r w:rsidR="00F37154">
        <w:t>2</w:t>
      </w:r>
      <w:r>
        <w:t>: Ebullition model of Paing et al. (2003), where [H</w:t>
      </w:r>
      <w:r w:rsidRPr="003A296E">
        <w:rPr>
          <w:rFonts w:cs="Arial"/>
          <w:vertAlign w:val="subscript"/>
        </w:rPr>
        <w:t>2</w:t>
      </w:r>
      <w:r>
        <w:t>S]</w:t>
      </w:r>
      <w:r w:rsidRPr="00BE66B0">
        <w:rPr>
          <w:vertAlign w:val="subscript"/>
        </w:rPr>
        <w:t>aq</w:t>
      </w:r>
      <w:r w:rsidR="0064534E" w:rsidRPr="0064534E">
        <w:t>,</w:t>
      </w:r>
      <w:r w:rsidR="0064534E">
        <w:rPr>
          <w:vertAlign w:val="subscript"/>
        </w:rPr>
        <w:t xml:space="preserve"> </w:t>
      </w:r>
      <w:r>
        <w:t>[S</w:t>
      </w:r>
      <w:r w:rsidRPr="003D101D">
        <w:rPr>
          <w:vertAlign w:val="subscript"/>
        </w:rPr>
        <w:t>-2</w:t>
      </w:r>
      <w:r>
        <w:t>]</w:t>
      </w:r>
      <w:r w:rsidR="005A6D95">
        <w:t xml:space="preserve"> and</w:t>
      </w:r>
      <w:r>
        <w:t xml:space="preserve"> [H</w:t>
      </w:r>
      <w:r w:rsidRPr="003A296E">
        <w:rPr>
          <w:rFonts w:cs="Arial"/>
          <w:vertAlign w:val="subscript"/>
        </w:rPr>
        <w:t>2</w:t>
      </w:r>
      <w:r>
        <w:t>S](</w:t>
      </w:r>
      <w:r w:rsidRPr="00D042B2">
        <w:rPr>
          <w:vertAlign w:val="subscript"/>
        </w:rPr>
        <w:t>biogas,eq</w:t>
      </w:r>
      <w:r>
        <w:t>) in mgS.L</w:t>
      </w:r>
      <w:r w:rsidRPr="00031F04">
        <w:rPr>
          <w:vertAlign w:val="superscript"/>
        </w:rPr>
        <w:t>-1</w:t>
      </w:r>
      <w:r>
        <w:t>; [H</w:t>
      </w:r>
      <w:r w:rsidRPr="003A296E">
        <w:rPr>
          <w:rFonts w:cs="Arial"/>
          <w:vertAlign w:val="subscript"/>
        </w:rPr>
        <w:t>2</w:t>
      </w:r>
      <w:r>
        <w:t>S]</w:t>
      </w:r>
      <w:r w:rsidRPr="00D042B2">
        <w:rPr>
          <w:vertAlign w:val="subscript"/>
        </w:rPr>
        <w:t>biogas</w:t>
      </w:r>
      <w:r>
        <w:t xml:space="preserve"> in mgS.m</w:t>
      </w:r>
      <w:r w:rsidRPr="00031F04">
        <w:rPr>
          <w:vertAlign w:val="superscript"/>
        </w:rPr>
        <w:t>-3</w:t>
      </w:r>
      <w:r>
        <w:t>; E</w:t>
      </w:r>
      <w:r w:rsidRPr="002A7C95">
        <w:rPr>
          <w:vertAlign w:val="subscript"/>
        </w:rPr>
        <w:t>biogas</w:t>
      </w:r>
      <w:r>
        <w:t xml:space="preserve"> in L.m</w:t>
      </w:r>
      <w:r w:rsidRPr="002A7C95">
        <w:rPr>
          <w:vertAlign w:val="superscript"/>
        </w:rPr>
        <w:t>-2</w:t>
      </w:r>
      <w:r>
        <w:t>.d</w:t>
      </w:r>
      <w:r w:rsidRPr="002A7C95">
        <w:rPr>
          <w:vertAlign w:val="superscript"/>
        </w:rPr>
        <w:t>-1</w:t>
      </w:r>
      <w:r>
        <w:t>;</w:t>
      </w:r>
      <w:r w:rsidR="005A6D95">
        <w:t xml:space="preserve"> and</w:t>
      </w:r>
      <w:r>
        <w:t xml:space="preserve"> E</w:t>
      </w:r>
      <w:r w:rsidRPr="003204AD">
        <w:rPr>
          <w:vertAlign w:val="subscript"/>
        </w:rPr>
        <w:t>H2S-ebullition</w:t>
      </w:r>
      <w:r w:rsidRPr="00E37C58">
        <w:t xml:space="preserve"> </w:t>
      </w:r>
      <w:r>
        <w:t>in mgS.m</w:t>
      </w:r>
      <w:r w:rsidRPr="006854AE">
        <w:rPr>
          <w:vertAlign w:val="superscript"/>
        </w:rPr>
        <w:t>-2</w:t>
      </w:r>
      <w:r>
        <w:t>.d</w:t>
      </w:r>
      <w:r w:rsidRPr="006854AE">
        <w:rPr>
          <w:vertAlign w:val="superscript"/>
        </w:rPr>
        <w:t>-1</w:t>
      </w:r>
      <w:r>
        <w:t>.</w:t>
      </w:r>
    </w:p>
    <w:p w14:paraId="29E27FE7" w14:textId="0E7BD46E" w:rsidR="00246169" w:rsidRDefault="00246169" w:rsidP="00FA5F5F">
      <w:pPr>
        <w:pStyle w:val="CETheadingx"/>
      </w:pPr>
      <w:r>
        <w:t>Dispersion modeling</w:t>
      </w:r>
    </w:p>
    <w:p w14:paraId="3EBA3504" w14:textId="0DAE0871" w:rsidR="00246169" w:rsidRDefault="00270C60" w:rsidP="00246169">
      <w:pPr>
        <w:pStyle w:val="CETBodytext"/>
      </w:pPr>
      <w:r w:rsidRPr="00270C60">
        <w:t xml:space="preserve">The AERMOD modeling system was employed for dispersion calculations in this study (US EPA, </w:t>
      </w:r>
      <w:r w:rsidR="00F52745" w:rsidRPr="00270C60">
        <w:t>20</w:t>
      </w:r>
      <w:r w:rsidR="00F52745">
        <w:t>24</w:t>
      </w:r>
      <w:r w:rsidRPr="00270C60">
        <w:t>).</w:t>
      </w:r>
      <w:r>
        <w:t xml:space="preserve"> </w:t>
      </w:r>
      <w:r w:rsidR="004711B2" w:rsidRPr="004711B2">
        <w:t xml:space="preserve">The model domain was defined as a 10 × 10 km area centered on the source, with a 100 m grid resolution (10,000 receptors) and receptors placed at 1.5 m height. </w:t>
      </w:r>
      <w:r w:rsidR="00F52745">
        <w:t>H</w:t>
      </w:r>
      <w:r w:rsidR="004711B2" w:rsidRPr="004711B2">
        <w:t>ourly odor concentrations were calculated over this grid</w:t>
      </w:r>
      <w:r w:rsidR="00F52745">
        <w:t xml:space="preserve"> for a total period of one year</w:t>
      </w:r>
      <w:r w:rsidR="004711B2" w:rsidRPr="004711B2">
        <w:t>. Sensitivity analyses confirmed the adequacy of the chosen resolution. Flat terrain with pasture land use and a uniform roughness length of 0.1 m was assumed. Downwash effects for area sources were not considered, and simulations were performed using AERMOD and AERMET (version 19191).</w:t>
      </w:r>
    </w:p>
    <w:p w14:paraId="75BD6C2C" w14:textId="7477963A" w:rsidR="00367B7A" w:rsidRDefault="004711B2" w:rsidP="002A7861">
      <w:pPr>
        <w:pStyle w:val="CETheadingx"/>
      </w:pPr>
      <w:r>
        <w:t>Simulation of odorant impact</w:t>
      </w:r>
      <w:r w:rsidR="00420723">
        <w:t xml:space="preserve"> </w:t>
      </w:r>
      <w:r w:rsidR="00420723" w:rsidRPr="00420723">
        <w:t>and emission scenarios</w:t>
      </w:r>
    </w:p>
    <w:p w14:paraId="0D3C6A70" w14:textId="0EA23604" w:rsidR="002D2E2A" w:rsidRPr="002D2E2A" w:rsidRDefault="002D2E2A" w:rsidP="002D2E2A">
      <w:pPr>
        <w:pStyle w:val="CETBodytext"/>
      </w:pPr>
      <w:r w:rsidRPr="002D2E2A">
        <w:t xml:space="preserve">The analysis adopted the German Odor Impact Criterion (OIC), with 90% compliance, a threshold of 0.25 </w:t>
      </w:r>
      <w:r w:rsidRPr="00447A81">
        <w:t>ou</w:t>
      </w:r>
      <w:r w:rsidRPr="00447A81">
        <w:rPr>
          <w:vertAlign w:val="subscript"/>
        </w:rPr>
        <w:t>E</w:t>
      </w:r>
      <w:r>
        <w:t>.</w:t>
      </w:r>
      <w:r w:rsidRPr="00447A81">
        <w:t>m</w:t>
      </w:r>
      <w:r w:rsidRPr="00447A81">
        <w:rPr>
          <w:rFonts w:cs="Arial"/>
          <w:vertAlign w:val="superscript"/>
        </w:rPr>
        <w:t>3</w:t>
      </w:r>
      <w:r w:rsidRPr="00447A81">
        <w:t xml:space="preserve"> </w:t>
      </w:r>
      <w:r w:rsidRPr="002D2E2A">
        <w:t xml:space="preserve">(peak), a peak-to-mean factor of 4, and 10% exceedance </w:t>
      </w:r>
      <w:r w:rsidR="00641FD4">
        <w:t>limit</w:t>
      </w:r>
      <w:r w:rsidRPr="002D2E2A">
        <w:t>. Exceedance was taken to indicate significant odor impact and the need for separation zones.</w:t>
      </w:r>
    </w:p>
    <w:p w14:paraId="61CC0701" w14:textId="46486777" w:rsidR="002D2E2A" w:rsidRPr="002D2E2A" w:rsidRDefault="002D2E2A" w:rsidP="002D2E2A">
      <w:pPr>
        <w:pStyle w:val="CETBodytext"/>
      </w:pPr>
      <w:r w:rsidRPr="002D2E2A">
        <w:t xml:space="preserve">Impact maps and separation areas were generated using iso-concentration contours (Kriging) and calculated via Green’s Theorem (Brancher et al., 2021), based on emission scenarios from the selected models (Table </w:t>
      </w:r>
      <w:r w:rsidR="00641FD4">
        <w:t>2</w:t>
      </w:r>
      <w:r w:rsidRPr="002D2E2A">
        <w:t>). The surface volatilization scenario was time-resolved (8,760 hourly emissions), while ebullition assumed constant emissions</w:t>
      </w:r>
      <w:r w:rsidR="00641FD4">
        <w:t xml:space="preserve"> based on Paing et al.’s (2003) model</w:t>
      </w:r>
      <w:r w:rsidRPr="002D2E2A">
        <w:t xml:space="preserve">. Emissions were normalized by the Odor Threshold Limit (OTL), using </w:t>
      </w:r>
      <w:r w:rsidRPr="00A87C3B">
        <w:t>5.71</w:t>
      </w:r>
      <w:r w:rsidRPr="00A87C3B">
        <w:rPr>
          <w:rFonts w:cs="Arial"/>
        </w:rPr>
        <w:t>×</w:t>
      </w:r>
      <w:r w:rsidRPr="00A87C3B">
        <w:t>10</w:t>
      </w:r>
      <w:r w:rsidRPr="002D2E2A">
        <w:rPr>
          <w:rFonts w:cs="Arial"/>
          <w:vertAlign w:val="superscript"/>
        </w:rPr>
        <w:t>-1</w:t>
      </w:r>
      <w:r w:rsidRPr="00A87C3B">
        <w:t xml:space="preserve"> </w:t>
      </w:r>
      <w:r w:rsidRPr="00A87C3B">
        <w:rPr>
          <w:rFonts w:cs="Arial"/>
        </w:rPr>
        <w:t>µ</w:t>
      </w:r>
      <w:r w:rsidRPr="00A87C3B">
        <w:t>g</w:t>
      </w:r>
      <w:r>
        <w:rPr>
          <w:rFonts w:cs="Arial"/>
        </w:rPr>
        <w:t>.</w:t>
      </w:r>
      <w:r w:rsidRPr="00A87C3B">
        <w:t>m</w:t>
      </w:r>
      <w:r w:rsidRPr="00A87C3B">
        <w:rPr>
          <w:rFonts w:cs="Arial"/>
          <w:vertAlign w:val="superscript"/>
        </w:rPr>
        <w:t>-3</w:t>
      </w:r>
      <w:r>
        <w:t xml:space="preserve"> </w:t>
      </w:r>
      <w:r w:rsidRPr="003A24B9">
        <w:rPr>
          <w:lang w:val="en-GB"/>
        </w:rPr>
        <w:t xml:space="preserve">for </w:t>
      </w:r>
      <w:r w:rsidRPr="00A87C3B">
        <w:t>H</w:t>
      </w:r>
      <w:r w:rsidRPr="00A87C3B">
        <w:rPr>
          <w:rFonts w:cs="Arial"/>
          <w:vertAlign w:val="subscript"/>
        </w:rPr>
        <w:t>2</w:t>
      </w:r>
      <w:r w:rsidRPr="00A87C3B">
        <w:t>S</w:t>
      </w:r>
      <w:r w:rsidR="00641FD4">
        <w:t xml:space="preserve"> </w:t>
      </w:r>
      <w:r w:rsidR="00641FD4" w:rsidRPr="002D2E2A">
        <w:t>(Nagata, 2003)</w:t>
      </w:r>
      <w:r w:rsidR="00641FD4">
        <w:t xml:space="preserve">, to obtain Odor Activity Values, which were adopted as proxy for the odor concentration due to the single effect of </w:t>
      </w:r>
      <w:r w:rsidR="00641FD4" w:rsidRPr="00A87C3B">
        <w:t>H</w:t>
      </w:r>
      <w:r w:rsidR="00641FD4" w:rsidRPr="00A87C3B">
        <w:rPr>
          <w:rFonts w:cs="Arial"/>
          <w:vertAlign w:val="subscript"/>
        </w:rPr>
        <w:t>2</w:t>
      </w:r>
      <w:r w:rsidR="00641FD4" w:rsidRPr="00A87C3B">
        <w:t>S</w:t>
      </w:r>
      <w:r w:rsidR="00641FD4">
        <w:t>.</w:t>
      </w:r>
    </w:p>
    <w:p w14:paraId="2DB13865" w14:textId="77777777" w:rsidR="002D2E2A" w:rsidRPr="00367B7A" w:rsidRDefault="002D2E2A" w:rsidP="00367B7A">
      <w:pPr>
        <w:pStyle w:val="CETBodytext"/>
      </w:pPr>
    </w:p>
    <w:p w14:paraId="012822F2" w14:textId="62B6230F" w:rsidR="00A87C3B" w:rsidRPr="00B57B36" w:rsidRDefault="00A87C3B" w:rsidP="00A87C3B">
      <w:pPr>
        <w:pStyle w:val="CETTabletitle"/>
      </w:pPr>
      <w:r w:rsidRPr="00B57B36">
        <w:lastRenderedPageBreak/>
        <w:t xml:space="preserve">Table </w:t>
      </w:r>
      <w:r w:rsidR="00641FD4">
        <w:t>2</w:t>
      </w:r>
      <w:r w:rsidRPr="00B57B36">
        <w:t xml:space="preserve">: </w:t>
      </w:r>
      <w:r w:rsidR="00E71195" w:rsidRPr="00E71195">
        <w:t>Characteristics of the model emissions evaluated.</w:t>
      </w:r>
    </w:p>
    <w:tbl>
      <w:tblPr>
        <w:tblW w:w="7371" w:type="dxa"/>
        <w:tblBorders>
          <w:top w:val="single" w:sz="12" w:space="0" w:color="008000"/>
          <w:bottom w:val="single" w:sz="12" w:space="0" w:color="008000"/>
        </w:tblBorders>
        <w:shd w:val="clear" w:color="auto" w:fill="FFFFFF"/>
        <w:tblCellMar>
          <w:left w:w="0" w:type="dxa"/>
          <w:right w:w="0" w:type="dxa"/>
        </w:tblCellMar>
        <w:tblLook w:val="00A0" w:firstRow="1" w:lastRow="0" w:firstColumn="1" w:lastColumn="0" w:noHBand="0" w:noVBand="0"/>
      </w:tblPr>
      <w:tblGrid>
        <w:gridCol w:w="993"/>
        <w:gridCol w:w="3260"/>
        <w:gridCol w:w="1559"/>
        <w:gridCol w:w="1559"/>
      </w:tblGrid>
      <w:tr w:rsidR="00E71195" w:rsidRPr="00B57B36" w14:paraId="2FBB50DA" w14:textId="1E95A5BC" w:rsidTr="00420723">
        <w:tc>
          <w:tcPr>
            <w:tcW w:w="993" w:type="dxa"/>
            <w:tcBorders>
              <w:top w:val="single" w:sz="12" w:space="0" w:color="008000"/>
              <w:bottom w:val="single" w:sz="6" w:space="0" w:color="008000"/>
            </w:tcBorders>
            <w:shd w:val="clear" w:color="auto" w:fill="FFFFFF"/>
          </w:tcPr>
          <w:p w14:paraId="7BD14C4B" w14:textId="32B7CB44" w:rsidR="00E71195" w:rsidRPr="00B57B36" w:rsidRDefault="00E71195" w:rsidP="00DC6DCB">
            <w:pPr>
              <w:pStyle w:val="CETBodytext"/>
              <w:rPr>
                <w:lang w:val="en-GB"/>
              </w:rPr>
            </w:pPr>
            <w:r>
              <w:rPr>
                <w:lang w:val="en-GB"/>
              </w:rPr>
              <w:t>Scenarios</w:t>
            </w:r>
          </w:p>
        </w:tc>
        <w:tc>
          <w:tcPr>
            <w:tcW w:w="3260" w:type="dxa"/>
            <w:tcBorders>
              <w:top w:val="single" w:sz="12" w:space="0" w:color="008000"/>
              <w:bottom w:val="single" w:sz="6" w:space="0" w:color="008000"/>
            </w:tcBorders>
            <w:shd w:val="clear" w:color="auto" w:fill="FFFFFF"/>
          </w:tcPr>
          <w:p w14:paraId="2768C3CC" w14:textId="6C5B0515" w:rsidR="00E71195" w:rsidRPr="00B57B36" w:rsidRDefault="00E71195" w:rsidP="00DC6DCB">
            <w:pPr>
              <w:pStyle w:val="CETBodytext"/>
              <w:rPr>
                <w:lang w:val="en-GB"/>
              </w:rPr>
            </w:pPr>
            <w:r>
              <w:rPr>
                <w:lang w:val="en-GB"/>
              </w:rPr>
              <w:t>Emission pathway</w:t>
            </w:r>
          </w:p>
        </w:tc>
        <w:tc>
          <w:tcPr>
            <w:tcW w:w="1559" w:type="dxa"/>
            <w:tcBorders>
              <w:top w:val="single" w:sz="12" w:space="0" w:color="008000"/>
              <w:bottom w:val="single" w:sz="6" w:space="0" w:color="008000"/>
            </w:tcBorders>
            <w:shd w:val="clear" w:color="auto" w:fill="FFFFFF"/>
          </w:tcPr>
          <w:p w14:paraId="792C335C" w14:textId="3EC8C42A" w:rsidR="00E71195" w:rsidRPr="00B57B36" w:rsidRDefault="00E71195" w:rsidP="00DC6DCB">
            <w:pPr>
              <w:pStyle w:val="CETBodytext"/>
              <w:rPr>
                <w:lang w:val="en-GB"/>
              </w:rPr>
            </w:pPr>
            <w:r>
              <w:rPr>
                <w:lang w:val="en-GB"/>
              </w:rPr>
              <w:t>Wind velocity</w:t>
            </w:r>
          </w:p>
        </w:tc>
        <w:tc>
          <w:tcPr>
            <w:tcW w:w="1559" w:type="dxa"/>
            <w:tcBorders>
              <w:top w:val="single" w:sz="12" w:space="0" w:color="008000"/>
              <w:bottom w:val="single" w:sz="6" w:space="0" w:color="008000"/>
            </w:tcBorders>
            <w:shd w:val="clear" w:color="auto" w:fill="FFFFFF"/>
          </w:tcPr>
          <w:p w14:paraId="6E03EBBF" w14:textId="7AF7FB42" w:rsidR="00E71195" w:rsidRDefault="00E71195" w:rsidP="00DC6DCB">
            <w:pPr>
              <w:pStyle w:val="CETBodytext"/>
              <w:rPr>
                <w:lang w:val="en-GB"/>
              </w:rPr>
            </w:pPr>
            <w:r>
              <w:rPr>
                <w:lang w:val="en-GB"/>
              </w:rPr>
              <w:t>Odor emission rate</w:t>
            </w:r>
          </w:p>
        </w:tc>
      </w:tr>
      <w:tr w:rsidR="00E71195" w:rsidRPr="00B57B36" w14:paraId="742CA7D5" w14:textId="75E38834" w:rsidTr="00420723">
        <w:tc>
          <w:tcPr>
            <w:tcW w:w="993" w:type="dxa"/>
            <w:shd w:val="clear" w:color="auto" w:fill="FFFFFF"/>
          </w:tcPr>
          <w:p w14:paraId="40197B8F" w14:textId="4EAB2A32" w:rsidR="00E71195" w:rsidRPr="00B57B36" w:rsidRDefault="00E71195" w:rsidP="00DC6DCB">
            <w:pPr>
              <w:pStyle w:val="CETBodytext"/>
              <w:rPr>
                <w:lang w:val="en-GB"/>
              </w:rPr>
            </w:pPr>
            <w:r>
              <w:rPr>
                <w:lang w:val="en-GB"/>
              </w:rPr>
              <w:t>BE</w:t>
            </w:r>
          </w:p>
        </w:tc>
        <w:tc>
          <w:tcPr>
            <w:tcW w:w="3260" w:type="dxa"/>
            <w:shd w:val="clear" w:color="auto" w:fill="FFFFFF"/>
          </w:tcPr>
          <w:p w14:paraId="2CA5F7EA" w14:textId="2FBCD7E9" w:rsidR="00E71195" w:rsidRPr="00B57B36" w:rsidRDefault="00496CC8" w:rsidP="00DC6DCB">
            <w:pPr>
              <w:pStyle w:val="CETBodytext"/>
              <w:rPr>
                <w:lang w:val="en-GB"/>
              </w:rPr>
            </w:pPr>
            <w:r w:rsidRPr="00496CC8">
              <w:rPr>
                <w:lang w:val="en-GB"/>
              </w:rPr>
              <w:t>Biogas ebullition only</w:t>
            </w:r>
          </w:p>
        </w:tc>
        <w:tc>
          <w:tcPr>
            <w:tcW w:w="1559" w:type="dxa"/>
            <w:shd w:val="clear" w:color="auto" w:fill="FFFFFF"/>
          </w:tcPr>
          <w:p w14:paraId="7624931D" w14:textId="79385C92" w:rsidR="00E71195" w:rsidRPr="00B57B36" w:rsidRDefault="004C0AA3" w:rsidP="00DC6DCB">
            <w:pPr>
              <w:pStyle w:val="CETBodytext"/>
              <w:rPr>
                <w:lang w:val="en-GB"/>
              </w:rPr>
            </w:pPr>
            <w:r w:rsidRPr="004C0AA3">
              <w:rPr>
                <w:lang w:val="en-GB"/>
              </w:rPr>
              <w:t>Non-applicable</w:t>
            </w:r>
          </w:p>
        </w:tc>
        <w:tc>
          <w:tcPr>
            <w:tcW w:w="1559" w:type="dxa"/>
            <w:shd w:val="clear" w:color="auto" w:fill="FFFFFF"/>
          </w:tcPr>
          <w:p w14:paraId="34ED1AF8" w14:textId="43D7006C" w:rsidR="00E71195" w:rsidRPr="001967CA" w:rsidRDefault="00E176F6" w:rsidP="00DC6DCB">
            <w:pPr>
              <w:pStyle w:val="CETBodytext"/>
              <w:rPr>
                <w:lang w:val="en-GB"/>
              </w:rPr>
            </w:pPr>
            <w:r>
              <w:rPr>
                <w:lang w:val="en-GB"/>
              </w:rPr>
              <w:t>Constant</w:t>
            </w:r>
          </w:p>
        </w:tc>
      </w:tr>
      <w:tr w:rsidR="00E71195" w:rsidRPr="00B57B36" w14:paraId="33FECE20" w14:textId="33CB83AB" w:rsidTr="00420723">
        <w:tc>
          <w:tcPr>
            <w:tcW w:w="993" w:type="dxa"/>
            <w:shd w:val="clear" w:color="auto" w:fill="FFFFFF"/>
          </w:tcPr>
          <w:p w14:paraId="702F9096" w14:textId="6488A202" w:rsidR="00E71195" w:rsidRPr="00B57B36" w:rsidRDefault="00E71195" w:rsidP="00DC6DCB">
            <w:pPr>
              <w:pStyle w:val="CETBodytext"/>
              <w:ind w:right="-1"/>
              <w:rPr>
                <w:rFonts w:cs="Arial"/>
                <w:szCs w:val="18"/>
                <w:lang w:val="en-GB"/>
              </w:rPr>
            </w:pPr>
            <w:r>
              <w:rPr>
                <w:rFonts w:cs="Arial"/>
                <w:szCs w:val="18"/>
                <w:lang w:val="en-GB"/>
              </w:rPr>
              <w:t>SV</w:t>
            </w:r>
          </w:p>
        </w:tc>
        <w:tc>
          <w:tcPr>
            <w:tcW w:w="3260" w:type="dxa"/>
            <w:shd w:val="clear" w:color="auto" w:fill="FFFFFF"/>
          </w:tcPr>
          <w:p w14:paraId="6BCAAE38" w14:textId="722AFC89" w:rsidR="00E71195" w:rsidRPr="00B57B36" w:rsidRDefault="00C02AD1" w:rsidP="00DC6DCB">
            <w:pPr>
              <w:pStyle w:val="CETBodytext"/>
              <w:ind w:right="-1"/>
              <w:rPr>
                <w:rFonts w:cs="Arial"/>
                <w:szCs w:val="18"/>
                <w:lang w:val="en-GB"/>
              </w:rPr>
            </w:pPr>
            <w:r w:rsidRPr="00C02AD1">
              <w:rPr>
                <w:rFonts w:cs="Arial"/>
                <w:szCs w:val="18"/>
                <w:lang w:val="en-GB"/>
              </w:rPr>
              <w:t>Surface volatilization only</w:t>
            </w:r>
          </w:p>
        </w:tc>
        <w:tc>
          <w:tcPr>
            <w:tcW w:w="1559" w:type="dxa"/>
            <w:shd w:val="clear" w:color="auto" w:fill="FFFFFF"/>
          </w:tcPr>
          <w:p w14:paraId="598A918E" w14:textId="1FD7C6D3" w:rsidR="00E71195" w:rsidRPr="00B57B36" w:rsidRDefault="00D851FA" w:rsidP="00DC6DCB">
            <w:pPr>
              <w:pStyle w:val="CETBodytext"/>
              <w:ind w:right="-1"/>
              <w:rPr>
                <w:rFonts w:cs="Arial"/>
                <w:szCs w:val="18"/>
                <w:lang w:val="en-GB"/>
              </w:rPr>
            </w:pPr>
            <w:r w:rsidRPr="00D851FA">
              <w:rPr>
                <w:rFonts w:cs="Arial"/>
                <w:szCs w:val="18"/>
                <w:lang w:val="en-GB"/>
              </w:rPr>
              <w:t>Hourly variation</w:t>
            </w:r>
          </w:p>
        </w:tc>
        <w:tc>
          <w:tcPr>
            <w:tcW w:w="1559" w:type="dxa"/>
            <w:shd w:val="clear" w:color="auto" w:fill="FFFFFF"/>
          </w:tcPr>
          <w:p w14:paraId="218718AE" w14:textId="64A003F3" w:rsidR="00E71195" w:rsidRPr="001E08E9" w:rsidRDefault="00E176F6" w:rsidP="00DC6DCB">
            <w:pPr>
              <w:pStyle w:val="CETBodytext"/>
              <w:ind w:right="-1"/>
            </w:pPr>
            <w:r w:rsidRPr="00D851FA">
              <w:rPr>
                <w:rFonts w:cs="Arial"/>
                <w:szCs w:val="18"/>
                <w:lang w:val="en-GB"/>
              </w:rPr>
              <w:t>Hourly variation</w:t>
            </w:r>
          </w:p>
        </w:tc>
      </w:tr>
      <w:tr w:rsidR="00E71195" w:rsidRPr="00B57B36" w14:paraId="03B3AB9B" w14:textId="77777777" w:rsidTr="00420723">
        <w:tc>
          <w:tcPr>
            <w:tcW w:w="993" w:type="dxa"/>
            <w:shd w:val="clear" w:color="auto" w:fill="FFFFFF"/>
          </w:tcPr>
          <w:p w14:paraId="0F88981C" w14:textId="0F7A0BD5" w:rsidR="00E71195" w:rsidRDefault="00E71195" w:rsidP="00DC6DCB">
            <w:pPr>
              <w:pStyle w:val="CETBodytext"/>
              <w:ind w:right="-1"/>
              <w:rPr>
                <w:rFonts w:cs="Arial"/>
                <w:szCs w:val="18"/>
                <w:lang w:val="en-GB"/>
              </w:rPr>
            </w:pPr>
            <w:r>
              <w:rPr>
                <w:rFonts w:cs="Arial"/>
                <w:szCs w:val="18"/>
                <w:lang w:val="en-GB"/>
              </w:rPr>
              <w:t>VE</w:t>
            </w:r>
          </w:p>
        </w:tc>
        <w:tc>
          <w:tcPr>
            <w:tcW w:w="3260" w:type="dxa"/>
            <w:shd w:val="clear" w:color="auto" w:fill="FFFFFF"/>
          </w:tcPr>
          <w:p w14:paraId="064021FF" w14:textId="34A0E378" w:rsidR="00E71195" w:rsidRDefault="00D851FA" w:rsidP="00420723">
            <w:pPr>
              <w:pStyle w:val="CETBodytext"/>
              <w:ind w:right="-1"/>
              <w:rPr>
                <w:rFonts w:cs="Arial"/>
                <w:szCs w:val="18"/>
                <w:lang w:val="en-GB"/>
              </w:rPr>
            </w:pPr>
            <w:r>
              <w:rPr>
                <w:rFonts w:cs="Arial"/>
                <w:szCs w:val="18"/>
                <w:lang w:val="en-GB"/>
              </w:rPr>
              <w:t xml:space="preserve">Both </w:t>
            </w:r>
            <w:r w:rsidR="00420723">
              <w:rPr>
                <w:rFonts w:cs="Arial"/>
                <w:szCs w:val="18"/>
                <w:lang w:val="en-GB"/>
              </w:rPr>
              <w:t>scenarios</w:t>
            </w:r>
            <w:r w:rsidR="00E176F6">
              <w:rPr>
                <w:rFonts w:cs="Arial"/>
                <w:szCs w:val="18"/>
                <w:lang w:val="en-GB"/>
              </w:rPr>
              <w:t xml:space="preserve"> combined</w:t>
            </w:r>
            <w:r w:rsidR="00420723">
              <w:rPr>
                <w:rFonts w:cs="Arial"/>
                <w:szCs w:val="18"/>
                <w:lang w:val="en-GB"/>
              </w:rPr>
              <w:t xml:space="preserve"> (BE and SV)</w:t>
            </w:r>
          </w:p>
        </w:tc>
        <w:tc>
          <w:tcPr>
            <w:tcW w:w="1559" w:type="dxa"/>
            <w:shd w:val="clear" w:color="auto" w:fill="FFFFFF"/>
          </w:tcPr>
          <w:p w14:paraId="6564F379" w14:textId="4F22F3C1" w:rsidR="00E71195" w:rsidRPr="001E08E9" w:rsidRDefault="00D851FA" w:rsidP="00DC6DCB">
            <w:pPr>
              <w:pStyle w:val="CETBodytext"/>
              <w:ind w:right="-1"/>
            </w:pPr>
            <w:r w:rsidRPr="00D851FA">
              <w:t>Hourly variation</w:t>
            </w:r>
          </w:p>
        </w:tc>
        <w:tc>
          <w:tcPr>
            <w:tcW w:w="1559" w:type="dxa"/>
            <w:shd w:val="clear" w:color="auto" w:fill="FFFFFF"/>
          </w:tcPr>
          <w:p w14:paraId="6CDD5FDE" w14:textId="69C4665A" w:rsidR="00E71195" w:rsidRPr="001E08E9" w:rsidRDefault="00E176F6" w:rsidP="00DC6DCB">
            <w:pPr>
              <w:pStyle w:val="CETBodytext"/>
              <w:ind w:right="-1"/>
            </w:pPr>
            <w:r w:rsidRPr="00D851FA">
              <w:rPr>
                <w:rFonts w:cs="Arial"/>
                <w:szCs w:val="18"/>
                <w:lang w:val="en-GB"/>
              </w:rPr>
              <w:t>Hourly variation</w:t>
            </w:r>
          </w:p>
        </w:tc>
      </w:tr>
    </w:tbl>
    <w:p w14:paraId="18DA15C4" w14:textId="77777777" w:rsidR="00A57D2C" w:rsidRDefault="00A57D2C" w:rsidP="00A57D2C">
      <w:pPr>
        <w:pStyle w:val="CETheadingx"/>
      </w:pPr>
      <w:r w:rsidRPr="00A57D2C">
        <w:t>Assessing different temperatures in the liquid phase</w:t>
      </w:r>
    </w:p>
    <w:p w14:paraId="49CF2E8C" w14:textId="4F72309E" w:rsidR="0055345E" w:rsidRDefault="0055345E" w:rsidP="00763F33">
      <w:pPr>
        <w:pStyle w:val="CETBodytext"/>
      </w:pPr>
      <w:r w:rsidRPr="0055345E">
        <w:rPr>
          <w:lang w:val="en-GB"/>
        </w:rPr>
        <w:t>As temperature strongly influences biogas ebullition, a Monte Carlo sensitivity analysis was performed to assess its effect on emission pathways. A total of 1,000 random combinations of temperature and aqueous H</w:t>
      </w:r>
      <w:r w:rsidRPr="0055345E">
        <w:rPr>
          <w:rFonts w:ascii="Cambria Math" w:hAnsi="Cambria Math" w:cs="Cambria Math"/>
          <w:lang w:val="en-GB"/>
        </w:rPr>
        <w:t>₂</w:t>
      </w:r>
      <w:r w:rsidRPr="0055345E">
        <w:rPr>
          <w:lang w:val="en-GB"/>
        </w:rPr>
        <w:t>S concentrations, within the ranges reported by Paing et al. (2003), were used to estimate emissions for both ebullition and surface volatilization under the same meteorological conditions (Section 2.2). This approach enabled evaluation of variability in emission estimates.</w:t>
      </w:r>
    </w:p>
    <w:p w14:paraId="69C27B72" w14:textId="1A90525F" w:rsidR="00763F33" w:rsidRDefault="00763F33" w:rsidP="00763F33">
      <w:pPr>
        <w:pStyle w:val="CETHeading1"/>
      </w:pPr>
      <w:r>
        <w:t>Results</w:t>
      </w:r>
      <w:r w:rsidR="00773CCE">
        <w:t xml:space="preserve"> and Discussion</w:t>
      </w:r>
      <w:r w:rsidR="00627EF4">
        <w:t>s</w:t>
      </w:r>
    </w:p>
    <w:p w14:paraId="13096F73" w14:textId="17277879" w:rsidR="00956FCB" w:rsidRDefault="00956FCB" w:rsidP="00FA5F5F">
      <w:pPr>
        <w:pStyle w:val="CETheadingx"/>
      </w:pPr>
      <w:r>
        <w:t>Odor emission rates</w:t>
      </w:r>
    </w:p>
    <w:p w14:paraId="4BC9C7CD" w14:textId="3E282F5F" w:rsidR="00C1749C" w:rsidRDefault="00C1749C" w:rsidP="00C1749C">
      <w:pPr>
        <w:pStyle w:val="CETBodytext"/>
      </w:pPr>
      <w:r>
        <w:t xml:space="preserve">Figure </w:t>
      </w:r>
      <w:r w:rsidR="00F37154">
        <w:t>3</w:t>
      </w:r>
      <w:r>
        <w:t xml:space="preserve"> presents the time series of OAV</w:t>
      </w:r>
      <w:r w:rsidR="00B263DD">
        <w:t>.s</w:t>
      </w:r>
      <w:r w:rsidR="00B263DD" w:rsidRPr="006E577D">
        <w:rPr>
          <w:rFonts w:cs="Arial"/>
          <w:vertAlign w:val="superscript"/>
        </w:rPr>
        <w:t>-1</w:t>
      </w:r>
      <w:r w:rsidR="00B263DD">
        <w:rPr>
          <w:rFonts w:cs="Arial"/>
        </w:rPr>
        <w:t>.</w:t>
      </w:r>
      <w:r w:rsidR="00B263DD">
        <w:t>m</w:t>
      </w:r>
      <w:r w:rsidR="00B263DD" w:rsidRPr="006E577D">
        <w:rPr>
          <w:rFonts w:cs="Arial"/>
          <w:vertAlign w:val="superscript"/>
        </w:rPr>
        <w:t>-2</w:t>
      </w:r>
      <w:r>
        <w:t>, used as a proxy for odor emission rates (ou</w:t>
      </w:r>
      <w:r w:rsidR="006E577D" w:rsidRPr="006E577D">
        <w:rPr>
          <w:vertAlign w:val="subscript"/>
        </w:rPr>
        <w:t>e</w:t>
      </w:r>
      <w:r w:rsidR="006E577D">
        <w:t>.</w:t>
      </w:r>
      <w:r>
        <w:t>s</w:t>
      </w:r>
      <w:r w:rsidR="006E577D" w:rsidRPr="006E577D">
        <w:rPr>
          <w:rFonts w:cs="Arial"/>
          <w:vertAlign w:val="superscript"/>
        </w:rPr>
        <w:t>-1</w:t>
      </w:r>
      <w:r w:rsidR="006E577D">
        <w:rPr>
          <w:rFonts w:cs="Arial"/>
        </w:rPr>
        <w:t>.</w:t>
      </w:r>
      <w:r>
        <w:t>m</w:t>
      </w:r>
      <w:r w:rsidR="006E577D" w:rsidRPr="006E577D">
        <w:rPr>
          <w:rFonts w:cs="Arial"/>
          <w:vertAlign w:val="superscript"/>
        </w:rPr>
        <w:t>-2</w:t>
      </w:r>
      <w:r>
        <w:t>), for the BE, SV, and VE scenarios. Due to differences in magnitude, the vertical axis is shown on a logarithmic scale.</w:t>
      </w:r>
    </w:p>
    <w:p w14:paraId="6497D03B" w14:textId="325923F7" w:rsidR="00C1749C" w:rsidRDefault="00C1749C" w:rsidP="00C1749C">
      <w:pPr>
        <w:pStyle w:val="CETBodytext"/>
      </w:pPr>
      <w:r>
        <w:t>A clear difference in emission magnitude was observed between pathways. Emission rates estimated by SV were consistently higher than those associated with biogas ebullition (BE) throughout the entire period. Consequently, the VE</w:t>
      </w:r>
      <w:r w:rsidR="009C084A">
        <w:t xml:space="preserve"> scenario</w:t>
      </w:r>
      <w:r>
        <w:t xml:space="preserve"> closely follows the SV results, indicating that surface volatilization is the dominant pathway controlling </w:t>
      </w:r>
      <w:r w:rsidR="006E577D" w:rsidRPr="00763F33">
        <w:t>H</w:t>
      </w:r>
      <w:r w:rsidR="006E577D" w:rsidRPr="00763F33">
        <w:rPr>
          <w:rFonts w:cs="Arial"/>
          <w:vertAlign w:val="subscript"/>
        </w:rPr>
        <w:t>2</w:t>
      </w:r>
      <w:r w:rsidR="006E577D" w:rsidRPr="00763F33">
        <w:t>S</w:t>
      </w:r>
      <w:r w:rsidR="006E577D">
        <w:t xml:space="preserve"> </w:t>
      </w:r>
      <w:r>
        <w:t>emissions</w:t>
      </w:r>
      <w:r w:rsidR="006B0AFF">
        <w:t xml:space="preserve"> in the hypothetical anaerobic pond analysed</w:t>
      </w:r>
      <w:r>
        <w:t>. This demonstrates that volatilization cannot be neglected in odor impact assessments or sulfur mass balances in anaerobic ponds.</w:t>
      </w:r>
    </w:p>
    <w:p w14:paraId="3EAB111E" w14:textId="77777777" w:rsidR="00D465FB" w:rsidRDefault="00C1749C" w:rsidP="00D465FB">
      <w:pPr>
        <w:pStyle w:val="CETBodytext"/>
      </w:pPr>
      <w:r>
        <w:t xml:space="preserve">These findings are consistent with previous studies indicating that volatilization and stripping are key mechanisms governing atmospheric emissions of </w:t>
      </w:r>
      <w:r w:rsidR="006E577D" w:rsidRPr="00763F33">
        <w:t>H</w:t>
      </w:r>
      <w:r w:rsidR="006E577D" w:rsidRPr="00763F33">
        <w:rPr>
          <w:rFonts w:cs="Arial"/>
          <w:vertAlign w:val="subscript"/>
        </w:rPr>
        <w:t>2</w:t>
      </w:r>
      <w:r w:rsidR="006E577D" w:rsidRPr="00763F33">
        <w:t>S</w:t>
      </w:r>
      <w:r w:rsidR="006E577D">
        <w:t xml:space="preserve"> </w:t>
      </w:r>
      <w:r>
        <w:t>(Beghi et al., 2012). While biogas bubbling contributes to emissions, the dominance of surface volatilization suggests that models considering only ebullition may substantially underestimate total emissions.</w:t>
      </w:r>
      <w:r w:rsidR="00D465FB">
        <w:t xml:space="preserve"> </w:t>
      </w:r>
      <w:r w:rsidR="00D465FB">
        <w:t xml:space="preserve">Furthermore, the magnitude of volatilization emissions provides a plausible explanation for the sulfur mass balance discrepancy reported by Paing et al. (2003), where a significant fraction of sulfur could not be accounted for by measured pathways. The results suggest that neglecting surface volatilization may lead to underestimation of atmospheric </w:t>
      </w:r>
      <w:r w:rsidR="00D465FB" w:rsidRPr="00763F33">
        <w:t>H</w:t>
      </w:r>
      <w:r w:rsidR="00D465FB" w:rsidRPr="00763F33">
        <w:rPr>
          <w:rFonts w:cs="Arial"/>
          <w:vertAlign w:val="subscript"/>
        </w:rPr>
        <w:t>2</w:t>
      </w:r>
      <w:r w:rsidR="00D465FB" w:rsidRPr="00763F33">
        <w:t>S</w:t>
      </w:r>
      <w:r w:rsidR="00D465FB">
        <w:t xml:space="preserve"> emissions and misrepresentation of sulfur fluxes in anaerobic ponds.</w:t>
      </w:r>
    </w:p>
    <w:p w14:paraId="638B3520" w14:textId="43BC8450" w:rsidR="00C1749C" w:rsidRDefault="00C1749C" w:rsidP="00956FCB">
      <w:pPr>
        <w:pStyle w:val="CETBodytext"/>
        <w:rPr>
          <w:noProof/>
        </w:rPr>
      </w:pPr>
    </w:p>
    <w:p w14:paraId="6B60BD19" w14:textId="10C07017" w:rsidR="00C1749C" w:rsidRDefault="006E577D" w:rsidP="00213105">
      <w:pPr>
        <w:pStyle w:val="CETBodytext"/>
      </w:pPr>
      <w:r w:rsidRPr="001E08E9">
        <w:rPr>
          <w:noProof/>
        </w:rPr>
        <w:drawing>
          <wp:inline distT="0" distB="0" distL="0" distR="0" wp14:anchorId="4198E27F" wp14:editId="630FA379">
            <wp:extent cx="4462942" cy="1559169"/>
            <wp:effectExtent l="0" t="0" r="0" b="3175"/>
            <wp:docPr id="1025081381" name="Picture 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081381" name="Picture 2" descr="A screenshot of a graph&#10;&#10;Description automatically generated"/>
                    <pic:cNvPicPr/>
                  </pic:nvPicPr>
                  <pic:blipFill rotWithShape="1">
                    <a:blip r:embed="rId12" cstate="hqprint">
                      <a:extLst>
                        <a:ext uri="{28A0092B-C50C-407E-A947-70E740481C1C}">
                          <a14:useLocalDpi xmlns:a14="http://schemas.microsoft.com/office/drawing/2010/main" val="0"/>
                        </a:ext>
                      </a:extLst>
                    </a:blip>
                    <a:srcRect t="2504" r="833" b="916"/>
                    <a:stretch/>
                  </pic:blipFill>
                  <pic:spPr bwMode="auto">
                    <a:xfrm>
                      <a:off x="0" y="0"/>
                      <a:ext cx="4594529" cy="1605140"/>
                    </a:xfrm>
                    <a:prstGeom prst="rect">
                      <a:avLst/>
                    </a:prstGeom>
                    <a:ln>
                      <a:noFill/>
                    </a:ln>
                    <a:extLst>
                      <a:ext uri="{53640926-AAD7-44D8-BBD7-CCE9431645EC}">
                        <a14:shadowObscured xmlns:a14="http://schemas.microsoft.com/office/drawing/2010/main"/>
                      </a:ext>
                    </a:extLst>
                  </pic:spPr>
                </pic:pic>
              </a:graphicData>
            </a:graphic>
          </wp:inline>
        </w:drawing>
      </w:r>
    </w:p>
    <w:p w14:paraId="11B069D9" w14:textId="5BD16ABC" w:rsidR="00956FCB" w:rsidRDefault="00EF7586" w:rsidP="00F37154">
      <w:pPr>
        <w:pStyle w:val="CETCaption"/>
      </w:pPr>
      <w:r>
        <w:t xml:space="preserve">Figure </w:t>
      </w:r>
      <w:r w:rsidR="00F37154">
        <w:t>3</w:t>
      </w:r>
      <w:r>
        <w:t xml:space="preserve">: </w:t>
      </w:r>
      <w:r w:rsidR="00EB7D6A" w:rsidRPr="00EB7D6A">
        <w:t>Temporal dynamics of simulated odor emissions. Odor emission rates, expressed in ou</w:t>
      </w:r>
      <w:r w:rsidR="002C132C" w:rsidRPr="002C132C">
        <w:rPr>
          <w:vertAlign w:val="subscript"/>
        </w:rPr>
        <w:t>e</w:t>
      </w:r>
      <w:r w:rsidR="00EB7D6A" w:rsidRPr="00EB7D6A">
        <w:t>.s</w:t>
      </w:r>
      <w:r w:rsidR="00EB7D6A" w:rsidRPr="002C132C">
        <w:rPr>
          <w:rFonts w:ascii="Cambria Math" w:hAnsi="Cambria Math" w:cs="Cambria Math"/>
        </w:rPr>
        <w:t>⁻</w:t>
      </w:r>
      <w:r w:rsidR="00EB7D6A" w:rsidRPr="002C132C">
        <w:rPr>
          <w:rFonts w:cs="Arial"/>
        </w:rPr>
        <w:t>¹</w:t>
      </w:r>
      <w:r w:rsidR="00EB7D6A" w:rsidRPr="00EB7D6A">
        <w:t>.m</w:t>
      </w:r>
      <w:r w:rsidR="00EB7D6A" w:rsidRPr="002C132C">
        <w:rPr>
          <w:rFonts w:ascii="Cambria Math" w:hAnsi="Cambria Math" w:cs="Cambria Math"/>
          <w:vertAlign w:val="superscript"/>
        </w:rPr>
        <w:t>⁻</w:t>
      </w:r>
      <w:r w:rsidR="00EB7D6A" w:rsidRPr="002C132C">
        <w:rPr>
          <w:rFonts w:cs="Arial"/>
          <w:vertAlign w:val="superscript"/>
        </w:rPr>
        <w:t>2</w:t>
      </w:r>
      <w:r w:rsidR="00EB7D6A" w:rsidRPr="00EB7D6A">
        <w:t>, calculated hourly for the scenarios BE, SV and VE. To highlight general patterns, 30-days rolling means for SV and VE scenarios are also plotted.</w:t>
      </w:r>
    </w:p>
    <w:p w14:paraId="471EE6EB" w14:textId="0A72C9A9" w:rsidR="00EB7D6A" w:rsidRDefault="00EB7D6A" w:rsidP="00FA5F5F">
      <w:pPr>
        <w:pStyle w:val="CETheadingx"/>
      </w:pPr>
      <w:r>
        <w:t>Separation distances</w:t>
      </w:r>
    </w:p>
    <w:p w14:paraId="42336EE3" w14:textId="5D47D528" w:rsidR="00E34587" w:rsidRDefault="00E34587" w:rsidP="00E34587">
      <w:pPr>
        <w:pStyle w:val="CETBodytext"/>
      </w:pPr>
      <w:r>
        <w:t>Emission rates from the BE, SV, and VE scenarios were used in AERMOD to estimate separation distances, with impact areas defined by contour lines exceeding the adopted OIC threshold (Figure 4).</w:t>
      </w:r>
    </w:p>
    <w:p w14:paraId="72AADD06" w14:textId="77C621C9" w:rsidR="00E34587" w:rsidRDefault="00E34587" w:rsidP="00E34587">
      <w:pPr>
        <w:pStyle w:val="CETBodytext"/>
      </w:pPr>
      <w:r>
        <w:t>Substantial differences were observed between scenarios. The BE scenario produced much smaller impact areas, while SV closely matched VE, indicating that surface volatilization dominates H</w:t>
      </w:r>
      <w:r>
        <w:rPr>
          <w:rFonts w:ascii="Cambria Math" w:hAnsi="Cambria Math" w:cs="Cambria Math"/>
        </w:rPr>
        <w:t>₂</w:t>
      </w:r>
      <w:r>
        <w:t>S emissions in terms of odor impact. This highlights the importance of including volatilization in dispersion-based assessments.</w:t>
      </w:r>
    </w:p>
    <w:p w14:paraId="31B1E1FC" w14:textId="1FEE3395" w:rsidR="00E34587" w:rsidRDefault="00E34587" w:rsidP="00E34587">
      <w:pPr>
        <w:pStyle w:val="CETBodytext"/>
      </w:pPr>
      <w:r>
        <w:t>Despite adopting the relatively permissive German OIC, the SV and VE scenarios resulted in extensive impact areas. This reflects the high emission rates and suggests that nearby populations may experience significant odor nuisance, reinforcing the need for appropriate land-use planning.</w:t>
      </w:r>
    </w:p>
    <w:p w14:paraId="78874E42" w14:textId="77777777" w:rsidR="007504FF" w:rsidRDefault="007504FF" w:rsidP="00213105">
      <w:pPr>
        <w:pStyle w:val="CETBodytext"/>
        <w:rPr>
          <w:lang w:val="en-GB"/>
        </w:rPr>
      </w:pPr>
      <w:r w:rsidRPr="001E08E9">
        <w:rPr>
          <w:noProof/>
        </w:rPr>
        <w:lastRenderedPageBreak/>
        <w:drawing>
          <wp:inline distT="0" distB="0" distL="0" distR="0" wp14:anchorId="0E2C09C6" wp14:editId="42B5FCEB">
            <wp:extent cx="1880580" cy="2039815"/>
            <wp:effectExtent l="0" t="0" r="5715" b="0"/>
            <wp:docPr id="286987008" name="Picture 3" descr="A diagram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987008" name="Picture 3" descr="A diagram of a map&#10;&#10;Description automatically generated"/>
                    <pic:cNvPicPr/>
                  </pic:nvPicPr>
                  <pic:blipFill rotWithShape="1">
                    <a:blip r:embed="rId13" cstate="hqprint">
                      <a:extLst>
                        <a:ext uri="{28A0092B-C50C-407E-A947-70E740481C1C}">
                          <a14:useLocalDpi xmlns:a14="http://schemas.microsoft.com/office/drawing/2010/main" val="0"/>
                        </a:ext>
                      </a:extLst>
                    </a:blip>
                    <a:srcRect l="7806"/>
                    <a:stretch>
                      <a:fillRect/>
                    </a:stretch>
                  </pic:blipFill>
                  <pic:spPr bwMode="auto">
                    <a:xfrm>
                      <a:off x="0" y="0"/>
                      <a:ext cx="1941079" cy="2105437"/>
                    </a:xfrm>
                    <a:prstGeom prst="rect">
                      <a:avLst/>
                    </a:prstGeom>
                    <a:ln>
                      <a:noFill/>
                    </a:ln>
                    <a:extLst>
                      <a:ext uri="{53640926-AAD7-44D8-BBD7-CCE9431645EC}">
                        <a14:shadowObscured xmlns:a14="http://schemas.microsoft.com/office/drawing/2010/main"/>
                      </a:ext>
                    </a:extLst>
                  </pic:spPr>
                </pic:pic>
              </a:graphicData>
            </a:graphic>
          </wp:inline>
        </w:drawing>
      </w:r>
    </w:p>
    <w:p w14:paraId="0688E09E" w14:textId="68B56648" w:rsidR="002D2E2A" w:rsidRPr="007504FF" w:rsidRDefault="007504FF" w:rsidP="007504FF">
      <w:pPr>
        <w:pStyle w:val="CETCaption"/>
      </w:pPr>
      <w:r>
        <w:t xml:space="preserve">Figure 4: </w:t>
      </w:r>
      <w:r w:rsidRPr="003B1B3F">
        <w:t xml:space="preserve">Separation distances estimated for each scenario as contour lines, enclosing the area of exceedance of the OIC </w:t>
      </w:r>
      <w:r w:rsidR="008B25D2">
        <w:t>(section 2.6)</w:t>
      </w:r>
      <w:r w:rsidRPr="003B1B3F">
        <w:t>.</w:t>
      </w:r>
    </w:p>
    <w:p w14:paraId="092B7ECB" w14:textId="77777777" w:rsidR="00357609" w:rsidRDefault="00357609" w:rsidP="00357609">
      <w:pPr>
        <w:pStyle w:val="CETheadingx"/>
      </w:pPr>
      <w:r>
        <w:t>Monte Carlo simulation</w:t>
      </w:r>
    </w:p>
    <w:p w14:paraId="64ABF93A" w14:textId="77777777" w:rsidR="00357609" w:rsidRDefault="00357609" w:rsidP="00357609">
      <w:pPr>
        <w:pStyle w:val="CETBodytext"/>
      </w:pPr>
      <w:r>
        <w:t xml:space="preserve">The Monte Carlo analysis (Figure 5) showed that </w:t>
      </w:r>
      <w:r w:rsidRPr="00763F33">
        <w:t>H</w:t>
      </w:r>
      <w:r w:rsidRPr="00763F33">
        <w:rPr>
          <w:rFonts w:cs="Arial"/>
          <w:vertAlign w:val="subscript"/>
        </w:rPr>
        <w:t>2</w:t>
      </w:r>
      <w:r w:rsidRPr="00763F33">
        <w:t>S</w:t>
      </w:r>
      <w:r>
        <w:t xml:space="preserve"> emissions via surface volatilization are significantly higher than those from biogas ebullition. While ebullition results exhibited lower variability, with values concentrated around the mean, surface volatilization presented higher mean emissions and greater dispersion, reflecting its dependence on meteorological conditions, particularly wind speed.</w:t>
      </w:r>
    </w:p>
    <w:p w14:paraId="34850ADA" w14:textId="77777777" w:rsidR="00357609" w:rsidRDefault="00357609" w:rsidP="00357609">
      <w:pPr>
        <w:pStyle w:val="CETBodytext"/>
      </w:pPr>
      <w:r>
        <w:t>Quartile analysis confirmed that volatilization yields higher emissions across most of the distribution, whereas ebullition displayed greater skewness and heavier tails. Statistical tests indicated a highly significant difference between pathways, demonstrating that the observed differences are systematic rather than due to random variation.</w:t>
      </w:r>
    </w:p>
    <w:p w14:paraId="6EFE0C6F" w14:textId="77777777" w:rsidR="00357609" w:rsidRDefault="00357609" w:rsidP="00357609">
      <w:pPr>
        <w:pStyle w:val="CETBodytext"/>
      </w:pPr>
      <w:r>
        <w:t>These results highlight the distinct sensitivities of the two mechanisms. While biogas ebullition is primarily controlled by physicochemical conditions such as temperature and pH, surface volatilization is strongly influenced by atmospheric dynamics, including wind speed and surface roughness, which affect turbulence at the air–water interface. Additional simulations under higher temperature conditions indicated that, although ebullition emissions increase, they remain substantially lower than those associated with surface volatilization.</w:t>
      </w:r>
    </w:p>
    <w:p w14:paraId="3FE6828F" w14:textId="77777777" w:rsidR="00357609" w:rsidRDefault="00357609" w:rsidP="000D3C0B">
      <w:pPr>
        <w:pStyle w:val="CETBodytext"/>
      </w:pPr>
    </w:p>
    <w:p w14:paraId="61B026C1" w14:textId="635B1C95" w:rsidR="00DE61B7" w:rsidRDefault="00675A15" w:rsidP="00213105">
      <w:pPr>
        <w:pStyle w:val="CETBodytext"/>
      </w:pPr>
      <w:r w:rsidRPr="00E25B86">
        <w:rPr>
          <w:noProof/>
        </w:rPr>
        <w:drawing>
          <wp:inline distT="0" distB="0" distL="0" distR="0" wp14:anchorId="651EABBB" wp14:editId="18A41C61">
            <wp:extent cx="4073769" cy="1091257"/>
            <wp:effectExtent l="0" t="0" r="3175" b="0"/>
            <wp:docPr id="2121875517" name="Picture 1" descr="A diagram of a triangle and a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875517" name="Picture 1" descr="A diagram of a triangle and a triangle&#10;&#10;Description automatically generated"/>
                    <pic:cNvPicPr/>
                  </pic:nvPicPr>
                  <pic:blipFill>
                    <a:blip r:embed="rId14" cstate="hqprint">
                      <a:extLst>
                        <a:ext uri="{28A0092B-C50C-407E-A947-70E740481C1C}">
                          <a14:useLocalDpi xmlns:a14="http://schemas.microsoft.com/office/drawing/2010/main" val="0"/>
                        </a:ext>
                      </a:extLst>
                    </a:blip>
                    <a:stretch>
                      <a:fillRect/>
                    </a:stretch>
                  </pic:blipFill>
                  <pic:spPr>
                    <a:xfrm>
                      <a:off x="0" y="0"/>
                      <a:ext cx="4221924" cy="1130944"/>
                    </a:xfrm>
                    <a:prstGeom prst="rect">
                      <a:avLst/>
                    </a:prstGeom>
                  </pic:spPr>
                </pic:pic>
              </a:graphicData>
            </a:graphic>
          </wp:inline>
        </w:drawing>
      </w:r>
    </w:p>
    <w:p w14:paraId="3A2B4E5C" w14:textId="1221D524" w:rsidR="00675A15" w:rsidRPr="003B1B3F" w:rsidRDefault="007833E6" w:rsidP="00E91BB8">
      <w:pPr>
        <w:pStyle w:val="CETCaption"/>
      </w:pPr>
      <w:r>
        <w:t xml:space="preserve">Figure </w:t>
      </w:r>
      <w:r w:rsidR="00E91BB8">
        <w:t>5</w:t>
      </w:r>
      <w:r>
        <w:t xml:space="preserve">: </w:t>
      </w:r>
      <w:r w:rsidRPr="007833E6">
        <w:t>Odor emission rates (g</w:t>
      </w:r>
      <w:r>
        <w:t xml:space="preserve"> </w:t>
      </w:r>
      <w:r w:rsidRPr="007833E6">
        <w:t>H</w:t>
      </w:r>
      <w:r w:rsidRPr="007833E6">
        <w:rPr>
          <w:vertAlign w:val="subscript"/>
        </w:rPr>
        <w:t>2</w:t>
      </w:r>
      <w:r w:rsidRPr="007833E6">
        <w:t>S</w:t>
      </w:r>
      <w:r>
        <w:rPr>
          <w:rFonts w:cs="Arial"/>
        </w:rPr>
        <w:t>.</w:t>
      </w:r>
      <w:r w:rsidRPr="007833E6">
        <w:t>s</w:t>
      </w:r>
      <w:r w:rsidRPr="007833E6">
        <w:rPr>
          <w:rFonts w:cs="Arial"/>
          <w:vertAlign w:val="superscript"/>
        </w:rPr>
        <w:t>-1</w:t>
      </w:r>
      <w:r>
        <w:rPr>
          <w:rFonts w:cs="Arial"/>
        </w:rPr>
        <w:t>.</w:t>
      </w:r>
      <w:r w:rsidRPr="007833E6">
        <w:t>m</w:t>
      </w:r>
      <w:r w:rsidRPr="007833E6">
        <w:rPr>
          <w:rFonts w:cs="Arial"/>
          <w:vertAlign w:val="superscript"/>
        </w:rPr>
        <w:t>-2</w:t>
      </w:r>
      <w:r w:rsidRPr="007833E6">
        <w:t xml:space="preserve">) for biogas ebullition, based on Monte Carlo simulations, and for surface volatilization. The violin plots illustrate the variability in emission rates </w:t>
      </w:r>
      <w:r w:rsidR="0018613A">
        <w:t>for</w:t>
      </w:r>
      <w:r w:rsidR="0018613A" w:rsidRPr="007833E6">
        <w:t xml:space="preserve"> </w:t>
      </w:r>
      <w:r w:rsidRPr="007833E6">
        <w:t>the models evaluated.</w:t>
      </w:r>
      <w:r w:rsidR="0018613A">
        <w:t xml:space="preserve"> Note the use of different scales in the emission rate</w:t>
      </w:r>
      <w:r w:rsidR="00AD1BCE">
        <w:t xml:space="preserve"> axis</w:t>
      </w:r>
      <w:r w:rsidR="0018613A">
        <w:t>.</w:t>
      </w:r>
    </w:p>
    <w:p w14:paraId="4097D21A" w14:textId="6AE40957" w:rsidR="00491148" w:rsidRDefault="00491148" w:rsidP="00453E24">
      <w:pPr>
        <w:pStyle w:val="CETHeading1"/>
      </w:pPr>
      <w:r>
        <w:t>Conclusions</w:t>
      </w:r>
    </w:p>
    <w:p w14:paraId="49F55C45" w14:textId="36FA78A8" w:rsidR="00491148" w:rsidRDefault="00491148" w:rsidP="00491148">
      <w:pPr>
        <w:pStyle w:val="CETBodytext"/>
      </w:pPr>
      <w:r>
        <w:t xml:space="preserve">This study demonstrates the critical importance of accounting for surface volatilization when assessing odor emissions from anaerobic ponds in wastewater treatment plants. Surface volatilization was identified as the dominant pathway controlling </w:t>
      </w:r>
      <w:r w:rsidRPr="00763F33">
        <w:t>H</w:t>
      </w:r>
      <w:r w:rsidRPr="00763F33">
        <w:rPr>
          <w:rFonts w:cs="Arial"/>
          <w:vertAlign w:val="subscript"/>
        </w:rPr>
        <w:t>2</w:t>
      </w:r>
      <w:r w:rsidRPr="00763F33">
        <w:t>S</w:t>
      </w:r>
      <w:r>
        <w:t xml:space="preserve"> emissions and associated odor impacts, consistently exceeding emissions from biogas ebullition across all </w:t>
      </w:r>
      <w:r w:rsidR="00520E15">
        <w:t xml:space="preserve">scenarios </w:t>
      </w:r>
      <w:r>
        <w:t>analyse</w:t>
      </w:r>
      <w:r w:rsidR="00520E15">
        <w:t>d</w:t>
      </w:r>
      <w:r>
        <w:t>.</w:t>
      </w:r>
    </w:p>
    <w:p w14:paraId="40866859" w14:textId="0B627D31" w:rsidR="00491148" w:rsidRDefault="00491148" w:rsidP="00491148">
      <w:pPr>
        <w:pStyle w:val="CETBodytext"/>
      </w:pPr>
      <w:r>
        <w:t>The results also highlight the distinct controlling mechanisms of each pathway, with volatilization strongly influenced by meteorological conditions and ebullition governed by physicochemical processes. These differences reinforce the need to integrate multiple emission pathways in modeling approaches.</w:t>
      </w:r>
    </w:p>
    <w:p w14:paraId="51689447" w14:textId="61C999C5" w:rsidR="00491148" w:rsidRDefault="00491148" w:rsidP="00491148">
      <w:pPr>
        <w:pStyle w:val="CETBodytext"/>
      </w:pPr>
      <w:r>
        <w:t>An emission modeling framework combining both volatilization and biogas ebullition is therefore recommended to provide more realistic inputs for dispersion modeling and odor impact assessment. Such an approach is essential for improving environmental management, supporting land-use planning, and minimizing odor nuisance in communities surrounding wastewater treatment facilities.</w:t>
      </w:r>
    </w:p>
    <w:p w14:paraId="1BB921EE" w14:textId="494AD5AC" w:rsidR="00D465FB" w:rsidRDefault="00491148" w:rsidP="00491148">
      <w:pPr>
        <w:pStyle w:val="CETBodytext"/>
      </w:pPr>
      <w:r>
        <w:lastRenderedPageBreak/>
        <w:t>Future research should focus on refining emission models and evaluating their applicability under different operational and climatic conditions.</w:t>
      </w:r>
    </w:p>
    <w:p w14:paraId="57DC1F87" w14:textId="5CD2FD3C" w:rsidR="00822424" w:rsidRDefault="00E05614" w:rsidP="0099608B">
      <w:pPr>
        <w:pStyle w:val="CETAcknowledgementstitle"/>
      </w:pPr>
      <w:r w:rsidRPr="00E05614">
        <w:t>Funding and Acknowledgements</w:t>
      </w:r>
    </w:p>
    <w:p w14:paraId="5C3A2E6E" w14:textId="17F3D7FF" w:rsidR="00C85E95" w:rsidRDefault="00C85E95" w:rsidP="00C85E95">
      <w:pPr>
        <w:pStyle w:val="CETBodytext"/>
        <w:tabs>
          <w:tab w:val="clear" w:pos="7100"/>
          <w:tab w:val="left" w:pos="1020"/>
        </w:tabs>
      </w:pPr>
      <w:r>
        <w:t>This study was supported by the Environmental Institute of Santa Catarina (IMA-SC), the state agency responsible for environmental licensing, monitoring, and regulation in Santa Catarina, Brazil, in line with its mission to promote environmental protection and sustainable resource management.</w:t>
      </w:r>
    </w:p>
    <w:p w14:paraId="7FBC41A4" w14:textId="115E958F" w:rsidR="00C85E95" w:rsidRDefault="00C85E95" w:rsidP="00C85E95">
      <w:pPr>
        <w:pStyle w:val="CETBodytext"/>
        <w:tabs>
          <w:tab w:val="clear" w:pos="7100"/>
          <w:tab w:val="left" w:pos="1020"/>
        </w:tabs>
      </w:pPr>
      <w:r>
        <w:t>The authors acknowledge IMA-SC for supporting the integration of scientific research and environmental regulation. Given the widespread use of anaerobic stabilization ponds in the region and the relevance of associated odour emissions, this study contributes to improving regulatory approaches for wastewater treatment systems and odour impact assessment.</w:t>
      </w:r>
    </w:p>
    <w:p w14:paraId="6DA7275E" w14:textId="4C5F0EE4" w:rsidR="00897CEE" w:rsidRPr="00DC1403" w:rsidRDefault="00C85E95" w:rsidP="007C73D2">
      <w:pPr>
        <w:pStyle w:val="CETBodytext"/>
        <w:tabs>
          <w:tab w:val="clear" w:pos="7100"/>
          <w:tab w:val="left" w:pos="1020"/>
        </w:tabs>
      </w:pPr>
      <w:r>
        <w:t xml:space="preserve">A. Prata </w:t>
      </w:r>
      <w:r w:rsidR="00520E15">
        <w:t xml:space="preserve">was </w:t>
      </w:r>
      <w:r>
        <w:t>a Visiting Fellow at the UNSW School of Civil and Environmental Engineering, UNSW Sydney, and the ARC Training Centre for the Transformation of Australia’s Biosolids Resources.</w:t>
      </w:r>
    </w:p>
    <w:p w14:paraId="774D209F" w14:textId="2AE35100" w:rsidR="0099608B" w:rsidRDefault="0099608B" w:rsidP="0099608B">
      <w:pPr>
        <w:pStyle w:val="CETReference"/>
        <w:rPr>
          <w:lang w:val="pt-BR"/>
        </w:rPr>
      </w:pPr>
      <w:r w:rsidRPr="00EE1A81">
        <w:rPr>
          <w:lang w:val="pt-BR"/>
        </w:rPr>
        <w:t>References</w:t>
      </w:r>
    </w:p>
    <w:p w14:paraId="17AD0C33" w14:textId="77777777" w:rsidR="006B5AC6" w:rsidRPr="00F65A3C" w:rsidRDefault="006B5AC6" w:rsidP="00F65A3C">
      <w:pPr>
        <w:pStyle w:val="CETReferencetext"/>
      </w:pPr>
      <w:r w:rsidRPr="00F65A3C">
        <w:t xml:space="preserve">Bazemo, U., Gardner, E., Romero, A., Hauduc, H., Al-Omari, A., Takacs, I., Murthy, S., Torrents, A., De Clippeleir, H., 2021. </w:t>
      </w:r>
      <w:r>
        <w:t xml:space="preserve">Investigating the dynamics of volatile sulfur compound emission from primary systems at a water resource recovery facility. </w:t>
      </w:r>
      <w:r w:rsidRPr="00F65A3C">
        <w:t>Water Environment Research, 93, 316–327. https://doi.org/10.1002/wer.1417</w:t>
      </w:r>
    </w:p>
    <w:p w14:paraId="64B9CC94" w14:textId="77777777" w:rsidR="006B5AC6" w:rsidRDefault="006B5AC6" w:rsidP="00F65A3C">
      <w:pPr>
        <w:pStyle w:val="CETReferencetext"/>
      </w:pPr>
      <w:r w:rsidRPr="00F65A3C">
        <w:t xml:space="preserve">Beghi, S.P., Santos, J.M., Reis, N.C., De Sá, L.M., Goulart, E.V., De Abreu Costa, E., 2012. </w:t>
      </w:r>
      <w:r>
        <w:t>Impact assessment of odours emitted by a wastewater treatment plant. Water Science Technology, 66, 2223–2228. https://doi.org/10.2166/wst.2012.409</w:t>
      </w:r>
    </w:p>
    <w:p w14:paraId="217E4ACC" w14:textId="77777777" w:rsidR="006B5AC6" w:rsidRDefault="006B5AC6" w:rsidP="00F65A3C">
      <w:pPr>
        <w:pStyle w:val="CETReferencetext"/>
      </w:pPr>
      <w:r>
        <w:t>Brancher, M., Hoinaski, L., Piringer, M., Prata, A.A., Schauberger, G. 2021. Dispersion modelling of environmental odours using hourly-resolved emission scenarios: Implications for impact assessments. Atmospheric Environment: X, 12, 100124.  https://doi.org/10.1016/j.aeaoa.2021.100124</w:t>
      </w:r>
    </w:p>
    <w:p w14:paraId="05084A22" w14:textId="77777777" w:rsidR="006B5AC6" w:rsidRDefault="006B5AC6" w:rsidP="00F65A3C">
      <w:pPr>
        <w:pStyle w:val="CETReferencetext"/>
      </w:pPr>
      <w:r>
        <w:t>Brancher, M., Knauder, W., Piringer, M., Schauberger, G. 2020. Temporal variability in odour emissions: To what extent this matters for the assessment of annoyance using dispersion modelling. Atmospheric Environment: X, 5, 100054. https://doi.org/10.1016/j.aeaoa.2019.100054</w:t>
      </w:r>
    </w:p>
    <w:p w14:paraId="67519F01" w14:textId="77777777" w:rsidR="006B5AC6" w:rsidRDefault="006B5AC6" w:rsidP="00F65A3C">
      <w:pPr>
        <w:pStyle w:val="CETReferencetext"/>
      </w:pPr>
      <w:r>
        <w:t>Brutsaert, W. 1975. A theory for local evaporation (or heat transfer) from rough and smooth surfaces at ground level. Water Resources Research, 11, 543–550. https://doi.org/10.1029/WR011i004p00543</w:t>
      </w:r>
    </w:p>
    <w:p w14:paraId="61153EBD" w14:textId="77777777" w:rsidR="006B5AC6" w:rsidRDefault="006B5AC6" w:rsidP="00F65A3C">
      <w:pPr>
        <w:pStyle w:val="CETReferencetext"/>
      </w:pPr>
      <w:r>
        <w:t>Coggins, L.X., Crosbie, N.D., Ghadouani, A. 2019. The small, the big, and the beautiful: Emerging challenges and opportunities for waste stabilization ponds in Australia. WIREs Water 6, 1–18. https://doi.org/10.1002/wat2.1383</w:t>
      </w:r>
    </w:p>
    <w:p w14:paraId="46020A8F" w14:textId="77777777" w:rsidR="006B5AC6" w:rsidRDefault="006B5AC6" w:rsidP="00F65A3C">
      <w:pPr>
        <w:pStyle w:val="CETReferencetext"/>
      </w:pPr>
      <w:r>
        <w:t>Kottek, M., Grieser, J., Beck, C., Rudolf, B., Rubel, F. 2006. World map of the Köppen-Geiger climate classification updated. Meteorologische Zeitschrift 15, 259–263.  https://doi.org/10.1127/0941-2948/2006/0130</w:t>
      </w:r>
    </w:p>
    <w:p w14:paraId="575BF015" w14:textId="77777777" w:rsidR="006B5AC6" w:rsidRDefault="006B5AC6" w:rsidP="00F65A3C">
      <w:pPr>
        <w:pStyle w:val="CETReferencetext"/>
      </w:pPr>
      <w:r>
        <w:t>Lewis, W.K., Whitman, W.G. 1924. Principles of Gas Absorption. Industrial &amp; Engineering Chemistry, 16, 1215–1220.  https://doi.org/10.1021/ie50180a002</w:t>
      </w:r>
    </w:p>
    <w:p w14:paraId="7D163130" w14:textId="77777777" w:rsidR="006B5AC6" w:rsidRDefault="006B5AC6" w:rsidP="00F65A3C">
      <w:pPr>
        <w:pStyle w:val="CETReferencetext"/>
      </w:pPr>
      <w:r>
        <w:t>Nagata, Y. 2003. Measurement of Odor Threshold by Triangle Odor Bag Method. Odor measurement review. Japan Environmental Sanitation Center, Tokyo, Japan.</w:t>
      </w:r>
    </w:p>
    <w:p w14:paraId="5769FD4A" w14:textId="77777777" w:rsidR="006B5AC6" w:rsidRDefault="006B5AC6" w:rsidP="00F65A3C">
      <w:pPr>
        <w:pStyle w:val="CETReferencetext"/>
      </w:pPr>
      <w:r>
        <w:t>Paing, J., Picot, B., Sambuco, J.P. 2003. Emission of H2S and mass balance of sulfur in anaerobic ponds. Water Science Technology, 48, 227–234. https://doi.org/10.2166/wst.2003.0125</w:t>
      </w:r>
    </w:p>
    <w:p w14:paraId="1826EDA8" w14:textId="77777777" w:rsidR="006B5AC6" w:rsidRDefault="006B5AC6" w:rsidP="00F65A3C">
      <w:pPr>
        <w:pStyle w:val="CETReferencetext"/>
      </w:pPr>
      <w:r>
        <w:t>Picot, B., Paing, J., Toffoletto, L., Sambuco, J.P., Costa, R.H.R. 2001. Odor control of an anaerobic lagoon with a biological cover: Floating peat beds. Water Science Technology, 44, 309–316. https://doi.org/10.2166/wst.2001.0562</w:t>
      </w:r>
    </w:p>
    <w:p w14:paraId="35CE5A26" w14:textId="77777777" w:rsidR="006B5AC6" w:rsidRDefault="006B5AC6" w:rsidP="00F65A3C">
      <w:pPr>
        <w:pStyle w:val="CETReferencetext"/>
      </w:pPr>
      <w:r w:rsidRPr="00F65A3C">
        <w:t xml:space="preserve">Prata, A.A., Santos, J.M., Timchenko, V., Stuetz, R.M. 2021. </w:t>
      </w:r>
      <w:r>
        <w:t>Modelling atmospheric emissions from wastewater treatment plants: Implications of land-to-water roughness change. Science of Total Environment, 792, 148–330.  https://doi.org/10.1016/j.scitotenv.2021.148330</w:t>
      </w:r>
    </w:p>
    <w:p w14:paraId="486545E3" w14:textId="123B5B45" w:rsidR="006B5AC6" w:rsidRDefault="006B5AC6" w:rsidP="00F65A3C">
      <w:pPr>
        <w:pStyle w:val="CETReferencetext"/>
      </w:pPr>
      <w:r w:rsidRPr="00F65A3C">
        <w:t xml:space="preserve">Prata, A.A., Santos, J.M., Timchenko, V., Stuetz, R.M. 2018. </w:t>
      </w:r>
      <w:r>
        <w:t>A critical review on liquid-gas mass transfer models for estimating gaseous emissions from passive liquid surfaces in wastewater treatment plants. Water Research, 130, 388–406. https://doi.org/10.1016/j.watres.2017.12.001</w:t>
      </w:r>
    </w:p>
    <w:p w14:paraId="11B85C5C" w14:textId="0A292E9A" w:rsidR="006B5AC6" w:rsidRDefault="006B5AC6" w:rsidP="00F65A3C">
      <w:pPr>
        <w:pStyle w:val="CETReferencetext"/>
      </w:pPr>
      <w:r>
        <w:t xml:space="preserve">US EPA, </w:t>
      </w:r>
      <w:r w:rsidR="00106CFC">
        <w:t>20</w:t>
      </w:r>
      <w:r w:rsidR="00106CFC">
        <w:t>24</w:t>
      </w:r>
      <w:r>
        <w:t>. User’s Guide for the AMS/EPA Regulatory Model (AERMOD). Environmental Protection Agency, Research Triangle Park, North Carolina, US.</w:t>
      </w:r>
    </w:p>
    <w:p w14:paraId="0F214BDB" w14:textId="3A957CF1" w:rsidR="006B5AC6" w:rsidRDefault="006B5AC6" w:rsidP="00F65A3C">
      <w:pPr>
        <w:pStyle w:val="CETReferencetext"/>
      </w:pPr>
      <w:r w:rsidRPr="006B5AC6">
        <w:t xml:space="preserve">Zarra, T., Naddeo, V., Belgiorno, V., Reiser, M., Kranert, M. 2008. </w:t>
      </w:r>
      <w:r>
        <w:t>Odour monitoring of small wastewater treatment plant located in sensitive environment. Water Science Technology, 58, 89–94. https://doi.org/10.2166/wst.2008.330</w:t>
      </w:r>
    </w:p>
    <w:sectPr w:rsidR="006B5AC6" w:rsidSect="008314D7">
      <w:type w:val="continuous"/>
      <w:pgSz w:w="11906" w:h="16838" w:code="9"/>
      <w:pgMar w:top="1701" w:right="1418" w:bottom="1701" w:left="1701" w:header="1701"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49395" w14:textId="77777777" w:rsidR="00D34834" w:rsidRDefault="00D34834" w:rsidP="004F5E36">
      <w:r>
        <w:separator/>
      </w:r>
    </w:p>
  </w:endnote>
  <w:endnote w:type="continuationSeparator" w:id="0">
    <w:p w14:paraId="2E288902" w14:textId="77777777" w:rsidR="00D34834" w:rsidRDefault="00D34834" w:rsidP="004F5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dvP6960">
    <w:altName w:val="Cambria"/>
    <w:panose1 w:val="00000000000000000000"/>
    <w:charset w:val="4D"/>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32355" w14:textId="77777777" w:rsidR="00D34834" w:rsidRDefault="00D34834" w:rsidP="004F5E36">
      <w:r>
        <w:separator/>
      </w:r>
    </w:p>
  </w:footnote>
  <w:footnote w:type="continuationSeparator" w:id="0">
    <w:p w14:paraId="680CF9F7" w14:textId="77777777" w:rsidR="00D34834" w:rsidRDefault="00D34834" w:rsidP="004F5E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58AF15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5EC884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08CBE9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FC0B3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A34EB4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5C6BD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7A996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D2793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F420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06ACE1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438217E"/>
    <w:multiLevelType w:val="multilevel"/>
    <w:tmpl w:val="F17228D6"/>
    <w:lvl w:ilvl="0">
      <w:start w:val="1"/>
      <w:numFmt w:val="decimal"/>
      <w:suff w:val="space"/>
      <w:lvlText w:val="Chapter %1"/>
      <w:lvlJc w:val="left"/>
      <w:pPr>
        <w:ind w:left="0" w:firstLine="0"/>
      </w:pPr>
      <w:rPr>
        <w:rFonts w:hint="default"/>
      </w:rPr>
    </w:lvl>
    <w:lvl w:ilvl="1">
      <w:start w:val="1"/>
      <w:numFmt w:val="decimal"/>
      <w:pStyle w:val="CETHeading1"/>
      <w:suff w:val="space"/>
      <w:lvlText w:val="%2."/>
      <w:lvlJc w:val="left"/>
      <w:pPr>
        <w:ind w:left="0" w:firstLine="0"/>
      </w:pPr>
      <w:rPr>
        <w:rFonts w:hint="default"/>
      </w:rPr>
    </w:lvl>
    <w:lvl w:ilvl="2">
      <w:start w:val="1"/>
      <w:numFmt w:val="decimal"/>
      <w:pStyle w:val="CETheadingx"/>
      <w:suff w:val="space"/>
      <w:lvlText w:val="%2.%3"/>
      <w:lvlJc w:val="left"/>
      <w:pPr>
        <w:ind w:left="0" w:firstLine="0"/>
      </w:pPr>
      <w:rPr>
        <w:rFonts w:hint="default"/>
      </w:rPr>
    </w:lvl>
    <w:lvl w:ilvl="3">
      <w:start w:val="1"/>
      <w:numFmt w:val="decimal"/>
      <w:pStyle w:val="TableSimple1"/>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1" w15:restartNumberingAfterBreak="0">
    <w:nsid w:val="330B7370"/>
    <w:multiLevelType w:val="hybridMultilevel"/>
    <w:tmpl w:val="12E2AD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51E0394"/>
    <w:multiLevelType w:val="hybridMultilevel"/>
    <w:tmpl w:val="806658E2"/>
    <w:lvl w:ilvl="0" w:tplc="14B0F7A8">
      <w:start w:val="1"/>
      <w:numFmt w:val="bullet"/>
      <w:pStyle w:val="CETnumberingbullets"/>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9C329B9"/>
    <w:multiLevelType w:val="hybridMultilevel"/>
    <w:tmpl w:val="A2E6C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B100E8"/>
    <w:multiLevelType w:val="hybridMultilevel"/>
    <w:tmpl w:val="6F34C070"/>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4B6775D9"/>
    <w:multiLevelType w:val="hybridMultilevel"/>
    <w:tmpl w:val="096855C2"/>
    <w:lvl w:ilvl="0" w:tplc="04160015">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50A87BA7"/>
    <w:multiLevelType w:val="hybridMultilevel"/>
    <w:tmpl w:val="1F6A8AD4"/>
    <w:lvl w:ilvl="0" w:tplc="14B0F7A8">
      <w:start w:val="1"/>
      <w:numFmt w:val="bullet"/>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1A154BA"/>
    <w:multiLevelType w:val="multilevel"/>
    <w:tmpl w:val="391EB17C"/>
    <w:lvl w:ilvl="0">
      <w:start w:val="2"/>
      <w:numFmt w:val="decimal"/>
      <w:lvlText w:val="%1"/>
      <w:lvlJc w:val="left"/>
      <w:pPr>
        <w:ind w:left="384" w:hanging="384"/>
      </w:pPr>
      <w:rPr>
        <w:rFonts w:hint="default"/>
      </w:rPr>
    </w:lvl>
    <w:lvl w:ilvl="1">
      <w:start w:val="4"/>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2217387"/>
    <w:multiLevelType w:val="hybridMultilevel"/>
    <w:tmpl w:val="C2AE185A"/>
    <w:lvl w:ilvl="0" w:tplc="14090011">
      <w:start w:val="1"/>
      <w:numFmt w:val="decimal"/>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6205803"/>
    <w:multiLevelType w:val="multilevel"/>
    <w:tmpl w:val="444C89D0"/>
    <w:lvl w:ilvl="0">
      <w:start w:val="1"/>
      <w:numFmt w:val="decimal"/>
      <w:suff w:val="space"/>
      <w:lvlText w:val="Chapter %1"/>
      <w:lvlJc w:val="left"/>
      <w:pPr>
        <w:ind w:left="0" w:firstLine="0"/>
      </w:pPr>
      <w:rPr>
        <w:rFonts w:hint="default"/>
      </w:rPr>
    </w:lvl>
    <w:lvl w:ilvl="1">
      <w:start w:val="1"/>
      <w:numFmt w:val="decimal"/>
      <w:suff w:val="space"/>
      <w:lvlText w:val="%2."/>
      <w:lvlJc w:val="left"/>
      <w:pPr>
        <w:ind w:left="0" w:firstLine="0"/>
      </w:pPr>
      <w:rPr>
        <w:rFonts w:hint="default"/>
      </w:rPr>
    </w:lvl>
    <w:lvl w:ilvl="2">
      <w:start w:val="1"/>
      <w:numFmt w:val="decimal"/>
      <w:suff w:val="space"/>
      <w:lvlText w:val="%2.%3."/>
      <w:lvlJc w:val="left"/>
      <w:pPr>
        <w:ind w:left="0" w:firstLine="0"/>
      </w:pPr>
      <w:rPr>
        <w:rFonts w:hint="default"/>
      </w:rPr>
    </w:lvl>
    <w:lvl w:ilvl="3">
      <w:start w:val="1"/>
      <w:numFmt w:val="decimal"/>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20" w15:restartNumberingAfterBreak="0">
    <w:nsid w:val="5AD311D0"/>
    <w:multiLevelType w:val="hybridMultilevel"/>
    <w:tmpl w:val="F198FF08"/>
    <w:lvl w:ilvl="0" w:tplc="62EA088C">
      <w:start w:val="1"/>
      <w:numFmt w:val="decimal"/>
      <w:pStyle w:val="CETnumbering1"/>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62015B5"/>
    <w:multiLevelType w:val="hybridMultilevel"/>
    <w:tmpl w:val="CCDE09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6865266D"/>
    <w:multiLevelType w:val="hybridMultilevel"/>
    <w:tmpl w:val="F5BE3C4A"/>
    <w:lvl w:ilvl="0" w:tplc="9FC4D28C">
      <w:start w:val="1"/>
      <w:numFmt w:val="lowerLetter"/>
      <w:pStyle w:val="CETnumberinga"/>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16882765">
    <w:abstractNumId w:val="10"/>
  </w:num>
  <w:num w:numId="2" w16cid:durableId="1954094313">
    <w:abstractNumId w:val="8"/>
  </w:num>
  <w:num w:numId="3" w16cid:durableId="2001083081">
    <w:abstractNumId w:val="3"/>
  </w:num>
  <w:num w:numId="4" w16cid:durableId="665287687">
    <w:abstractNumId w:val="2"/>
  </w:num>
  <w:num w:numId="5" w16cid:durableId="1763211618">
    <w:abstractNumId w:val="1"/>
  </w:num>
  <w:num w:numId="6" w16cid:durableId="733351894">
    <w:abstractNumId w:val="0"/>
  </w:num>
  <w:num w:numId="7" w16cid:durableId="1265187038">
    <w:abstractNumId w:val="9"/>
  </w:num>
  <w:num w:numId="8" w16cid:durableId="458382672">
    <w:abstractNumId w:val="7"/>
  </w:num>
  <w:num w:numId="9" w16cid:durableId="652636510">
    <w:abstractNumId w:val="6"/>
  </w:num>
  <w:num w:numId="10" w16cid:durableId="1972591888">
    <w:abstractNumId w:val="5"/>
  </w:num>
  <w:num w:numId="11" w16cid:durableId="1179278139">
    <w:abstractNumId w:val="4"/>
  </w:num>
  <w:num w:numId="12" w16cid:durableId="1575509198">
    <w:abstractNumId w:val="19"/>
  </w:num>
  <w:num w:numId="13" w16cid:durableId="695733619">
    <w:abstractNumId w:val="12"/>
  </w:num>
  <w:num w:numId="14" w16cid:durableId="145903400">
    <w:abstractNumId w:val="20"/>
  </w:num>
  <w:num w:numId="15" w16cid:durableId="19162326">
    <w:abstractNumId w:val="22"/>
  </w:num>
  <w:num w:numId="16" w16cid:durableId="1977102699">
    <w:abstractNumId w:val="21"/>
  </w:num>
  <w:num w:numId="17" w16cid:durableId="860774865">
    <w:abstractNumId w:val="11"/>
  </w:num>
  <w:num w:numId="18" w16cid:durableId="313221457">
    <w:abstractNumId w:val="12"/>
    <w:lvlOverride w:ilvl="0">
      <w:startOverride w:val="1"/>
    </w:lvlOverride>
  </w:num>
  <w:num w:numId="19" w16cid:durableId="534971577">
    <w:abstractNumId w:val="18"/>
  </w:num>
  <w:num w:numId="20" w16cid:durableId="1150947773">
    <w:abstractNumId w:val="16"/>
  </w:num>
  <w:num w:numId="21" w16cid:durableId="124660497">
    <w:abstractNumId w:val="14"/>
  </w:num>
  <w:num w:numId="22" w16cid:durableId="2099861471">
    <w:abstractNumId w:val="13"/>
  </w:num>
  <w:num w:numId="23" w16cid:durableId="991979874">
    <w:abstractNumId w:val="17"/>
  </w:num>
  <w:num w:numId="24" w16cid:durableId="94858159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autoFormatOverride/>
  <w:styleLockTheme/>
  <w:styleLockQFSet/>
  <w:defaultTabStop w:val="708"/>
  <w:hyphenationZone w:val="283"/>
  <w:clickAndTypeStyle w:val="CETBodytext"/>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I0NzezsDA3M7MwMTJW0lEKTi0uzszPAymwrAUAugS3IywAAAA="/>
  </w:docVars>
  <w:rsids>
    <w:rsidRoot w:val="000E414A"/>
    <w:rsid w:val="000027C0"/>
    <w:rsid w:val="000052FB"/>
    <w:rsid w:val="00005884"/>
    <w:rsid w:val="00005A19"/>
    <w:rsid w:val="000117CB"/>
    <w:rsid w:val="00026665"/>
    <w:rsid w:val="0003148D"/>
    <w:rsid w:val="00031EEC"/>
    <w:rsid w:val="00031F04"/>
    <w:rsid w:val="00051566"/>
    <w:rsid w:val="000562A9"/>
    <w:rsid w:val="000574F4"/>
    <w:rsid w:val="00061B6E"/>
    <w:rsid w:val="00062281"/>
    <w:rsid w:val="00062A9A"/>
    <w:rsid w:val="00065058"/>
    <w:rsid w:val="00084E4C"/>
    <w:rsid w:val="00086C39"/>
    <w:rsid w:val="000876E7"/>
    <w:rsid w:val="000A03B2"/>
    <w:rsid w:val="000A68B9"/>
    <w:rsid w:val="000C2647"/>
    <w:rsid w:val="000D0268"/>
    <w:rsid w:val="000D09B0"/>
    <w:rsid w:val="000D34BE"/>
    <w:rsid w:val="000D3C0B"/>
    <w:rsid w:val="000E102F"/>
    <w:rsid w:val="000E36F1"/>
    <w:rsid w:val="000E3A73"/>
    <w:rsid w:val="000E414A"/>
    <w:rsid w:val="000E75FD"/>
    <w:rsid w:val="000F093C"/>
    <w:rsid w:val="000F24FE"/>
    <w:rsid w:val="000F787B"/>
    <w:rsid w:val="00104E58"/>
    <w:rsid w:val="00106CFC"/>
    <w:rsid w:val="0012091F"/>
    <w:rsid w:val="001247A5"/>
    <w:rsid w:val="00124AAD"/>
    <w:rsid w:val="00126BC2"/>
    <w:rsid w:val="001308B6"/>
    <w:rsid w:val="0013121F"/>
    <w:rsid w:val="00131FE6"/>
    <w:rsid w:val="0013263F"/>
    <w:rsid w:val="001331DF"/>
    <w:rsid w:val="00134DE4"/>
    <w:rsid w:val="0014034D"/>
    <w:rsid w:val="00140E50"/>
    <w:rsid w:val="00140FE3"/>
    <w:rsid w:val="00144D16"/>
    <w:rsid w:val="00150E59"/>
    <w:rsid w:val="0015154F"/>
    <w:rsid w:val="00152DE3"/>
    <w:rsid w:val="00154ACC"/>
    <w:rsid w:val="00164CF9"/>
    <w:rsid w:val="001667A6"/>
    <w:rsid w:val="001733B9"/>
    <w:rsid w:val="001834B4"/>
    <w:rsid w:val="00184AD6"/>
    <w:rsid w:val="00185E5D"/>
    <w:rsid w:val="0018613A"/>
    <w:rsid w:val="001967CA"/>
    <w:rsid w:val="001A0154"/>
    <w:rsid w:val="001A4AF7"/>
    <w:rsid w:val="001B0349"/>
    <w:rsid w:val="001B1E93"/>
    <w:rsid w:val="001B65C1"/>
    <w:rsid w:val="001C037C"/>
    <w:rsid w:val="001C260F"/>
    <w:rsid w:val="001C33F1"/>
    <w:rsid w:val="001C684B"/>
    <w:rsid w:val="001D0CFB"/>
    <w:rsid w:val="001D21AF"/>
    <w:rsid w:val="001D53FC"/>
    <w:rsid w:val="001F42A5"/>
    <w:rsid w:val="001F7B9D"/>
    <w:rsid w:val="0020107D"/>
    <w:rsid w:val="00201C93"/>
    <w:rsid w:val="00213105"/>
    <w:rsid w:val="00214B94"/>
    <w:rsid w:val="0021613E"/>
    <w:rsid w:val="002173CD"/>
    <w:rsid w:val="002224B4"/>
    <w:rsid w:val="00224830"/>
    <w:rsid w:val="002447EF"/>
    <w:rsid w:val="00246169"/>
    <w:rsid w:val="0024722F"/>
    <w:rsid w:val="00250F5E"/>
    <w:rsid w:val="00251550"/>
    <w:rsid w:val="00263B05"/>
    <w:rsid w:val="00270C60"/>
    <w:rsid w:val="0027221A"/>
    <w:rsid w:val="00275B61"/>
    <w:rsid w:val="00280FAF"/>
    <w:rsid w:val="00281795"/>
    <w:rsid w:val="00282656"/>
    <w:rsid w:val="00296B83"/>
    <w:rsid w:val="002A7C95"/>
    <w:rsid w:val="002B4015"/>
    <w:rsid w:val="002B78CE"/>
    <w:rsid w:val="002C132C"/>
    <w:rsid w:val="002C2FB6"/>
    <w:rsid w:val="002C43F7"/>
    <w:rsid w:val="002D2E2A"/>
    <w:rsid w:val="002E4248"/>
    <w:rsid w:val="002E5FA7"/>
    <w:rsid w:val="002F3309"/>
    <w:rsid w:val="003008CE"/>
    <w:rsid w:val="003009B7"/>
    <w:rsid w:val="00300E56"/>
    <w:rsid w:val="0030152C"/>
    <w:rsid w:val="0030469C"/>
    <w:rsid w:val="0031116B"/>
    <w:rsid w:val="0031292D"/>
    <w:rsid w:val="00315AAF"/>
    <w:rsid w:val="00316B4A"/>
    <w:rsid w:val="003204AD"/>
    <w:rsid w:val="0032059F"/>
    <w:rsid w:val="00321CA6"/>
    <w:rsid w:val="00323763"/>
    <w:rsid w:val="00323C5F"/>
    <w:rsid w:val="00334C09"/>
    <w:rsid w:val="00351C4F"/>
    <w:rsid w:val="00357609"/>
    <w:rsid w:val="00367B7A"/>
    <w:rsid w:val="003723D4"/>
    <w:rsid w:val="00373B12"/>
    <w:rsid w:val="00381905"/>
    <w:rsid w:val="00384CC8"/>
    <w:rsid w:val="003871FD"/>
    <w:rsid w:val="003A1E30"/>
    <w:rsid w:val="003A24B9"/>
    <w:rsid w:val="003A2829"/>
    <w:rsid w:val="003A296E"/>
    <w:rsid w:val="003A7D1C"/>
    <w:rsid w:val="003B1B3F"/>
    <w:rsid w:val="003B304B"/>
    <w:rsid w:val="003B3146"/>
    <w:rsid w:val="003D101D"/>
    <w:rsid w:val="003D1E02"/>
    <w:rsid w:val="003D210B"/>
    <w:rsid w:val="003E1135"/>
    <w:rsid w:val="003E25A4"/>
    <w:rsid w:val="003F015E"/>
    <w:rsid w:val="00400414"/>
    <w:rsid w:val="00401FE2"/>
    <w:rsid w:val="00403A4A"/>
    <w:rsid w:val="0041446B"/>
    <w:rsid w:val="00420723"/>
    <w:rsid w:val="00431BF5"/>
    <w:rsid w:val="0044071E"/>
    <w:rsid w:val="0044329C"/>
    <w:rsid w:val="00447A81"/>
    <w:rsid w:val="00451F65"/>
    <w:rsid w:val="00453E24"/>
    <w:rsid w:val="00457456"/>
    <w:rsid w:val="004577FE"/>
    <w:rsid w:val="00457B9C"/>
    <w:rsid w:val="0046164A"/>
    <w:rsid w:val="00461BC6"/>
    <w:rsid w:val="004628D2"/>
    <w:rsid w:val="00462DCD"/>
    <w:rsid w:val="004648AD"/>
    <w:rsid w:val="004703A9"/>
    <w:rsid w:val="004711B2"/>
    <w:rsid w:val="004760DE"/>
    <w:rsid w:val="004763D7"/>
    <w:rsid w:val="00477433"/>
    <w:rsid w:val="00477AFD"/>
    <w:rsid w:val="00477CD2"/>
    <w:rsid w:val="00483D89"/>
    <w:rsid w:val="00491148"/>
    <w:rsid w:val="00496CC8"/>
    <w:rsid w:val="004A004E"/>
    <w:rsid w:val="004A24CF"/>
    <w:rsid w:val="004A5E57"/>
    <w:rsid w:val="004B19C1"/>
    <w:rsid w:val="004B2E25"/>
    <w:rsid w:val="004C0AA3"/>
    <w:rsid w:val="004C194F"/>
    <w:rsid w:val="004C3D1D"/>
    <w:rsid w:val="004C3D84"/>
    <w:rsid w:val="004C7913"/>
    <w:rsid w:val="004D378B"/>
    <w:rsid w:val="004E4DD6"/>
    <w:rsid w:val="004F5E36"/>
    <w:rsid w:val="00507B47"/>
    <w:rsid w:val="00507BEF"/>
    <w:rsid w:val="00507CC9"/>
    <w:rsid w:val="005119A5"/>
    <w:rsid w:val="00515029"/>
    <w:rsid w:val="00520E15"/>
    <w:rsid w:val="005216CC"/>
    <w:rsid w:val="005278B7"/>
    <w:rsid w:val="00532016"/>
    <w:rsid w:val="005346C8"/>
    <w:rsid w:val="00534A68"/>
    <w:rsid w:val="00535DD3"/>
    <w:rsid w:val="00543E7D"/>
    <w:rsid w:val="00547A68"/>
    <w:rsid w:val="00550D01"/>
    <w:rsid w:val="00551907"/>
    <w:rsid w:val="005531C9"/>
    <w:rsid w:val="0055345E"/>
    <w:rsid w:val="00570C43"/>
    <w:rsid w:val="00592274"/>
    <w:rsid w:val="00595009"/>
    <w:rsid w:val="005A5232"/>
    <w:rsid w:val="005A6D95"/>
    <w:rsid w:val="005B2110"/>
    <w:rsid w:val="005B61E6"/>
    <w:rsid w:val="005C77E1"/>
    <w:rsid w:val="005D668A"/>
    <w:rsid w:val="005D6A2F"/>
    <w:rsid w:val="005E0592"/>
    <w:rsid w:val="005E1A82"/>
    <w:rsid w:val="005E794C"/>
    <w:rsid w:val="005F0A28"/>
    <w:rsid w:val="005F0E5E"/>
    <w:rsid w:val="005F2B2F"/>
    <w:rsid w:val="00600535"/>
    <w:rsid w:val="0060167B"/>
    <w:rsid w:val="0060241C"/>
    <w:rsid w:val="00605FCB"/>
    <w:rsid w:val="0061052E"/>
    <w:rsid w:val="00610CD6"/>
    <w:rsid w:val="00620DEE"/>
    <w:rsid w:val="00621F92"/>
    <w:rsid w:val="0062280A"/>
    <w:rsid w:val="006231E1"/>
    <w:rsid w:val="00625639"/>
    <w:rsid w:val="00627EF4"/>
    <w:rsid w:val="00631B33"/>
    <w:rsid w:val="0063763C"/>
    <w:rsid w:val="0064184D"/>
    <w:rsid w:val="00641FD4"/>
    <w:rsid w:val="006422CC"/>
    <w:rsid w:val="0064534E"/>
    <w:rsid w:val="00650CD1"/>
    <w:rsid w:val="00651D18"/>
    <w:rsid w:val="00660E3E"/>
    <w:rsid w:val="00662E74"/>
    <w:rsid w:val="00662FE1"/>
    <w:rsid w:val="00666EB2"/>
    <w:rsid w:val="00675A15"/>
    <w:rsid w:val="00680C23"/>
    <w:rsid w:val="00683E23"/>
    <w:rsid w:val="006854AE"/>
    <w:rsid w:val="00693766"/>
    <w:rsid w:val="006A1D54"/>
    <w:rsid w:val="006A3281"/>
    <w:rsid w:val="006B0AFF"/>
    <w:rsid w:val="006B4888"/>
    <w:rsid w:val="006B5AC6"/>
    <w:rsid w:val="006C0CD5"/>
    <w:rsid w:val="006C2E45"/>
    <w:rsid w:val="006C359C"/>
    <w:rsid w:val="006C5579"/>
    <w:rsid w:val="006D6E8B"/>
    <w:rsid w:val="006D7209"/>
    <w:rsid w:val="006D7904"/>
    <w:rsid w:val="006E577D"/>
    <w:rsid w:val="006E737D"/>
    <w:rsid w:val="00707DD1"/>
    <w:rsid w:val="00713973"/>
    <w:rsid w:val="00720A24"/>
    <w:rsid w:val="00725AD8"/>
    <w:rsid w:val="00727580"/>
    <w:rsid w:val="00732386"/>
    <w:rsid w:val="0073514D"/>
    <w:rsid w:val="007447F3"/>
    <w:rsid w:val="007504FF"/>
    <w:rsid w:val="00752D6F"/>
    <w:rsid w:val="0075499F"/>
    <w:rsid w:val="007617CC"/>
    <w:rsid w:val="00763F33"/>
    <w:rsid w:val="007661C8"/>
    <w:rsid w:val="0077098D"/>
    <w:rsid w:val="00773CCE"/>
    <w:rsid w:val="007833E6"/>
    <w:rsid w:val="00785BF9"/>
    <w:rsid w:val="007931FA"/>
    <w:rsid w:val="0079428C"/>
    <w:rsid w:val="007A07A4"/>
    <w:rsid w:val="007A4861"/>
    <w:rsid w:val="007A6C19"/>
    <w:rsid w:val="007A7BBA"/>
    <w:rsid w:val="007B0C50"/>
    <w:rsid w:val="007B48F9"/>
    <w:rsid w:val="007C1823"/>
    <w:rsid w:val="007C1A43"/>
    <w:rsid w:val="007C2638"/>
    <w:rsid w:val="007C73D2"/>
    <w:rsid w:val="007D0951"/>
    <w:rsid w:val="007F27C8"/>
    <w:rsid w:val="0080006E"/>
    <w:rsid w:val="0080013E"/>
    <w:rsid w:val="0080184B"/>
    <w:rsid w:val="00807AE2"/>
    <w:rsid w:val="00812014"/>
    <w:rsid w:val="00813288"/>
    <w:rsid w:val="008168FC"/>
    <w:rsid w:val="00822424"/>
    <w:rsid w:val="00830996"/>
    <w:rsid w:val="008314D7"/>
    <w:rsid w:val="008345F1"/>
    <w:rsid w:val="008359C7"/>
    <w:rsid w:val="00843DB7"/>
    <w:rsid w:val="0084661B"/>
    <w:rsid w:val="00861760"/>
    <w:rsid w:val="0086250F"/>
    <w:rsid w:val="00863D6C"/>
    <w:rsid w:val="0086566F"/>
    <w:rsid w:val="00865B07"/>
    <w:rsid w:val="008667EA"/>
    <w:rsid w:val="0087637F"/>
    <w:rsid w:val="00880AA4"/>
    <w:rsid w:val="00891647"/>
    <w:rsid w:val="00892AD5"/>
    <w:rsid w:val="00897CEE"/>
    <w:rsid w:val="008A1271"/>
    <w:rsid w:val="008A1512"/>
    <w:rsid w:val="008A4B5B"/>
    <w:rsid w:val="008B25D2"/>
    <w:rsid w:val="008D32B9"/>
    <w:rsid w:val="008D433B"/>
    <w:rsid w:val="008D4A16"/>
    <w:rsid w:val="008E0AB4"/>
    <w:rsid w:val="008E209A"/>
    <w:rsid w:val="008E45BC"/>
    <w:rsid w:val="008E566E"/>
    <w:rsid w:val="008F021B"/>
    <w:rsid w:val="008F3A53"/>
    <w:rsid w:val="0090161A"/>
    <w:rsid w:val="00901EB6"/>
    <w:rsid w:val="009041F8"/>
    <w:rsid w:val="00904C62"/>
    <w:rsid w:val="00905862"/>
    <w:rsid w:val="00920F53"/>
    <w:rsid w:val="00922BA8"/>
    <w:rsid w:val="00924DAC"/>
    <w:rsid w:val="00927058"/>
    <w:rsid w:val="00930090"/>
    <w:rsid w:val="00930A38"/>
    <w:rsid w:val="009340AE"/>
    <w:rsid w:val="0093449D"/>
    <w:rsid w:val="009345D4"/>
    <w:rsid w:val="00942750"/>
    <w:rsid w:val="009450CE"/>
    <w:rsid w:val="009459BB"/>
    <w:rsid w:val="00947179"/>
    <w:rsid w:val="0095164B"/>
    <w:rsid w:val="00954090"/>
    <w:rsid w:val="00955002"/>
    <w:rsid w:val="00956FCB"/>
    <w:rsid w:val="009573E7"/>
    <w:rsid w:val="00957A7F"/>
    <w:rsid w:val="00963E05"/>
    <w:rsid w:val="00964A45"/>
    <w:rsid w:val="00967843"/>
    <w:rsid w:val="00967D54"/>
    <w:rsid w:val="00971028"/>
    <w:rsid w:val="00990A89"/>
    <w:rsid w:val="00993B84"/>
    <w:rsid w:val="00994F04"/>
    <w:rsid w:val="0099608B"/>
    <w:rsid w:val="00996483"/>
    <w:rsid w:val="00996F5A"/>
    <w:rsid w:val="009A6B91"/>
    <w:rsid w:val="009B041A"/>
    <w:rsid w:val="009C084A"/>
    <w:rsid w:val="009C37C3"/>
    <w:rsid w:val="009C4EA3"/>
    <w:rsid w:val="009C58CD"/>
    <w:rsid w:val="009C6611"/>
    <w:rsid w:val="009C735F"/>
    <w:rsid w:val="009C7C86"/>
    <w:rsid w:val="009D2FF7"/>
    <w:rsid w:val="009E5D8E"/>
    <w:rsid w:val="009E7884"/>
    <w:rsid w:val="009E788A"/>
    <w:rsid w:val="009E7BEE"/>
    <w:rsid w:val="009F0E08"/>
    <w:rsid w:val="009F46C0"/>
    <w:rsid w:val="00A079AE"/>
    <w:rsid w:val="00A1462A"/>
    <w:rsid w:val="00A1763D"/>
    <w:rsid w:val="00A17CEC"/>
    <w:rsid w:val="00A26CBB"/>
    <w:rsid w:val="00A275C3"/>
    <w:rsid w:val="00A27EF0"/>
    <w:rsid w:val="00A42361"/>
    <w:rsid w:val="00A45F3F"/>
    <w:rsid w:val="00A50B20"/>
    <w:rsid w:val="00A51390"/>
    <w:rsid w:val="00A538CE"/>
    <w:rsid w:val="00A57D2C"/>
    <w:rsid w:val="00A60D13"/>
    <w:rsid w:val="00A62CDC"/>
    <w:rsid w:val="00A7223D"/>
    <w:rsid w:val="00A72745"/>
    <w:rsid w:val="00A76EFC"/>
    <w:rsid w:val="00A82B13"/>
    <w:rsid w:val="00A85C71"/>
    <w:rsid w:val="00A87C3B"/>
    <w:rsid w:val="00A87D50"/>
    <w:rsid w:val="00A91010"/>
    <w:rsid w:val="00A912B1"/>
    <w:rsid w:val="00A95726"/>
    <w:rsid w:val="00A97F29"/>
    <w:rsid w:val="00AA2ACF"/>
    <w:rsid w:val="00AA702E"/>
    <w:rsid w:val="00AA7D26"/>
    <w:rsid w:val="00AB0964"/>
    <w:rsid w:val="00AB5011"/>
    <w:rsid w:val="00AB66FF"/>
    <w:rsid w:val="00AC7368"/>
    <w:rsid w:val="00AD0278"/>
    <w:rsid w:val="00AD16B9"/>
    <w:rsid w:val="00AD1BCE"/>
    <w:rsid w:val="00AD2FC2"/>
    <w:rsid w:val="00AE377D"/>
    <w:rsid w:val="00AF0EBA"/>
    <w:rsid w:val="00B00710"/>
    <w:rsid w:val="00B02C8A"/>
    <w:rsid w:val="00B03A45"/>
    <w:rsid w:val="00B12C7B"/>
    <w:rsid w:val="00B17FBD"/>
    <w:rsid w:val="00B263DD"/>
    <w:rsid w:val="00B315A6"/>
    <w:rsid w:val="00B317E0"/>
    <w:rsid w:val="00B31813"/>
    <w:rsid w:val="00B33365"/>
    <w:rsid w:val="00B54499"/>
    <w:rsid w:val="00B550F7"/>
    <w:rsid w:val="00B57B36"/>
    <w:rsid w:val="00B57E6F"/>
    <w:rsid w:val="00B74099"/>
    <w:rsid w:val="00B8686D"/>
    <w:rsid w:val="00B91C3B"/>
    <w:rsid w:val="00B93F69"/>
    <w:rsid w:val="00BA6D31"/>
    <w:rsid w:val="00BB1DDC"/>
    <w:rsid w:val="00BB638D"/>
    <w:rsid w:val="00BC1DCD"/>
    <w:rsid w:val="00BC30C9"/>
    <w:rsid w:val="00BC5CD4"/>
    <w:rsid w:val="00BD077D"/>
    <w:rsid w:val="00BD317B"/>
    <w:rsid w:val="00BD790E"/>
    <w:rsid w:val="00BE3E58"/>
    <w:rsid w:val="00BE66B0"/>
    <w:rsid w:val="00BE76AD"/>
    <w:rsid w:val="00C01616"/>
    <w:rsid w:val="00C0162B"/>
    <w:rsid w:val="00C022B7"/>
    <w:rsid w:val="00C02AD1"/>
    <w:rsid w:val="00C068ED"/>
    <w:rsid w:val="00C10843"/>
    <w:rsid w:val="00C1749C"/>
    <w:rsid w:val="00C179C5"/>
    <w:rsid w:val="00C208E9"/>
    <w:rsid w:val="00C22E0C"/>
    <w:rsid w:val="00C31CE4"/>
    <w:rsid w:val="00C338B7"/>
    <w:rsid w:val="00C345B1"/>
    <w:rsid w:val="00C40142"/>
    <w:rsid w:val="00C40D30"/>
    <w:rsid w:val="00C45C63"/>
    <w:rsid w:val="00C52C3C"/>
    <w:rsid w:val="00C57182"/>
    <w:rsid w:val="00C57863"/>
    <w:rsid w:val="00C640AF"/>
    <w:rsid w:val="00C64525"/>
    <w:rsid w:val="00C655FD"/>
    <w:rsid w:val="00C657D3"/>
    <w:rsid w:val="00C65BFB"/>
    <w:rsid w:val="00C67483"/>
    <w:rsid w:val="00C75407"/>
    <w:rsid w:val="00C841C6"/>
    <w:rsid w:val="00C85E95"/>
    <w:rsid w:val="00C870A8"/>
    <w:rsid w:val="00C871F2"/>
    <w:rsid w:val="00C94434"/>
    <w:rsid w:val="00CA0D75"/>
    <w:rsid w:val="00CA1C95"/>
    <w:rsid w:val="00CA313C"/>
    <w:rsid w:val="00CA5A9C"/>
    <w:rsid w:val="00CB3B79"/>
    <w:rsid w:val="00CC4C20"/>
    <w:rsid w:val="00CD3517"/>
    <w:rsid w:val="00CD5C46"/>
    <w:rsid w:val="00CD5FE2"/>
    <w:rsid w:val="00CD6CB5"/>
    <w:rsid w:val="00CE7C68"/>
    <w:rsid w:val="00D02B4C"/>
    <w:rsid w:val="00D040C4"/>
    <w:rsid w:val="00D042B2"/>
    <w:rsid w:val="00D20AD1"/>
    <w:rsid w:val="00D2582C"/>
    <w:rsid w:val="00D34834"/>
    <w:rsid w:val="00D36BD3"/>
    <w:rsid w:val="00D465FB"/>
    <w:rsid w:val="00D46B7E"/>
    <w:rsid w:val="00D55434"/>
    <w:rsid w:val="00D57C84"/>
    <w:rsid w:val="00D6057D"/>
    <w:rsid w:val="00D71640"/>
    <w:rsid w:val="00D7232C"/>
    <w:rsid w:val="00D74CFD"/>
    <w:rsid w:val="00D82D3C"/>
    <w:rsid w:val="00D83210"/>
    <w:rsid w:val="00D836C5"/>
    <w:rsid w:val="00D84576"/>
    <w:rsid w:val="00D851FA"/>
    <w:rsid w:val="00D92E37"/>
    <w:rsid w:val="00DA1399"/>
    <w:rsid w:val="00DA24C6"/>
    <w:rsid w:val="00DA4D7B"/>
    <w:rsid w:val="00DA5E29"/>
    <w:rsid w:val="00DA6C5E"/>
    <w:rsid w:val="00DB0FC7"/>
    <w:rsid w:val="00DB434D"/>
    <w:rsid w:val="00DC1403"/>
    <w:rsid w:val="00DC5439"/>
    <w:rsid w:val="00DD271C"/>
    <w:rsid w:val="00DD534C"/>
    <w:rsid w:val="00DE264A"/>
    <w:rsid w:val="00DE61B7"/>
    <w:rsid w:val="00DF5072"/>
    <w:rsid w:val="00DF6E10"/>
    <w:rsid w:val="00E02D18"/>
    <w:rsid w:val="00E041E7"/>
    <w:rsid w:val="00E05614"/>
    <w:rsid w:val="00E176F6"/>
    <w:rsid w:val="00E22253"/>
    <w:rsid w:val="00E23CA1"/>
    <w:rsid w:val="00E34587"/>
    <w:rsid w:val="00E37C58"/>
    <w:rsid w:val="00E409A8"/>
    <w:rsid w:val="00E47D61"/>
    <w:rsid w:val="00E50C12"/>
    <w:rsid w:val="00E61656"/>
    <w:rsid w:val="00E62C48"/>
    <w:rsid w:val="00E651CE"/>
    <w:rsid w:val="00E65B91"/>
    <w:rsid w:val="00E708EB"/>
    <w:rsid w:val="00E71195"/>
    <w:rsid w:val="00E7209D"/>
    <w:rsid w:val="00E72EAD"/>
    <w:rsid w:val="00E73F52"/>
    <w:rsid w:val="00E76C70"/>
    <w:rsid w:val="00E77223"/>
    <w:rsid w:val="00E8266D"/>
    <w:rsid w:val="00E82EB3"/>
    <w:rsid w:val="00E8528B"/>
    <w:rsid w:val="00E85B94"/>
    <w:rsid w:val="00E86D66"/>
    <w:rsid w:val="00E91BB8"/>
    <w:rsid w:val="00E9229F"/>
    <w:rsid w:val="00E9629E"/>
    <w:rsid w:val="00E978D0"/>
    <w:rsid w:val="00EA2816"/>
    <w:rsid w:val="00EA4613"/>
    <w:rsid w:val="00EA6908"/>
    <w:rsid w:val="00EA7F91"/>
    <w:rsid w:val="00EB1523"/>
    <w:rsid w:val="00EB7D6A"/>
    <w:rsid w:val="00EC0E49"/>
    <w:rsid w:val="00EC101F"/>
    <w:rsid w:val="00EC1D9F"/>
    <w:rsid w:val="00EE0131"/>
    <w:rsid w:val="00EE17B0"/>
    <w:rsid w:val="00EE1A81"/>
    <w:rsid w:val="00EF06D9"/>
    <w:rsid w:val="00EF0982"/>
    <w:rsid w:val="00EF7586"/>
    <w:rsid w:val="00F02164"/>
    <w:rsid w:val="00F10584"/>
    <w:rsid w:val="00F1523A"/>
    <w:rsid w:val="00F3049E"/>
    <w:rsid w:val="00F30C64"/>
    <w:rsid w:val="00F32BA2"/>
    <w:rsid w:val="00F32CDB"/>
    <w:rsid w:val="00F3348F"/>
    <w:rsid w:val="00F35CB7"/>
    <w:rsid w:val="00F36E2B"/>
    <w:rsid w:val="00F37154"/>
    <w:rsid w:val="00F37280"/>
    <w:rsid w:val="00F41EE4"/>
    <w:rsid w:val="00F52745"/>
    <w:rsid w:val="00F565FE"/>
    <w:rsid w:val="00F63A70"/>
    <w:rsid w:val="00F63D8C"/>
    <w:rsid w:val="00F65A3C"/>
    <w:rsid w:val="00F73BC3"/>
    <w:rsid w:val="00F7534E"/>
    <w:rsid w:val="00F84EA5"/>
    <w:rsid w:val="00F8769D"/>
    <w:rsid w:val="00F93EDF"/>
    <w:rsid w:val="00FA1802"/>
    <w:rsid w:val="00FA21D0"/>
    <w:rsid w:val="00FA5F5F"/>
    <w:rsid w:val="00FB0E03"/>
    <w:rsid w:val="00FB7263"/>
    <w:rsid w:val="00FB730C"/>
    <w:rsid w:val="00FC2115"/>
    <w:rsid w:val="00FC2695"/>
    <w:rsid w:val="00FC27A3"/>
    <w:rsid w:val="00FC3E03"/>
    <w:rsid w:val="00FC3FC1"/>
    <w:rsid w:val="00FD1E62"/>
    <w:rsid w:val="00FD72CE"/>
    <w:rsid w:val="00FF3FE3"/>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E0CC22"/>
  <w14:defaultImageDpi w14:val="330"/>
  <w15:docId w15:val="{0B95FB59-9D38-42B5-B090-D2348EE1E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ET Top_page"/>
    <w:rsid w:val="00281795"/>
    <w:pPr>
      <w:tabs>
        <w:tab w:val="right" w:pos="7100"/>
      </w:tabs>
      <w:spacing w:after="0" w:line="264" w:lineRule="auto"/>
      <w:jc w:val="both"/>
    </w:pPr>
    <w:rPr>
      <w:rFonts w:ascii="Arial" w:eastAsia="Times New Roman" w:hAnsi="Arial" w:cs="Times New Roman"/>
      <w:sz w:val="18"/>
      <w:szCs w:val="20"/>
      <w:lang w:val="en-GB"/>
    </w:rPr>
  </w:style>
  <w:style w:type="paragraph" w:styleId="Heading1">
    <w:name w:val="heading 1"/>
    <w:basedOn w:val="CETHeading1"/>
    <w:next w:val="Normal"/>
    <w:link w:val="Heading1Char"/>
    <w:uiPriority w:val="9"/>
    <w:rsid w:val="004F5E36"/>
    <w:pPr>
      <w:tabs>
        <w:tab w:val="clear" w:pos="360"/>
        <w:tab w:val="right" w:pos="7100"/>
      </w:tabs>
      <w:jc w:val="both"/>
      <w:outlineLvl w:val="0"/>
    </w:pPr>
    <w:rPr>
      <w:lang w:val="en-GB"/>
    </w:rPr>
  </w:style>
  <w:style w:type="paragraph" w:styleId="Heading2">
    <w:name w:val="heading 2"/>
    <w:basedOn w:val="Normal"/>
    <w:next w:val="Normal"/>
    <w:link w:val="Heading2Char"/>
    <w:uiPriority w:val="9"/>
    <w:semiHidden/>
    <w:unhideWhenUsed/>
    <w:qFormat/>
    <w:rsid w:val="0003148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03148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3148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3148D"/>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3148D"/>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3148D"/>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3148D"/>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03148D"/>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TAuthors">
    <w:name w:val="CET Authors"/>
    <w:basedOn w:val="CETBodytext"/>
    <w:link w:val="CETAuthorsCarattere"/>
    <w:qFormat/>
    <w:rsid w:val="000E414A"/>
    <w:pPr>
      <w:keepNext/>
      <w:suppressAutoHyphens/>
      <w:spacing w:after="120"/>
    </w:pPr>
    <w:rPr>
      <w:noProof/>
      <w:sz w:val="24"/>
      <w:lang w:val="en-GB"/>
    </w:rPr>
  </w:style>
  <w:style w:type="paragraph" w:customStyle="1" w:styleId="CETTitle">
    <w:name w:val="CET Title"/>
    <w:next w:val="CETAuthors"/>
    <w:link w:val="CETTitleCarattere"/>
    <w:rsid w:val="00FB730C"/>
    <w:pPr>
      <w:suppressAutoHyphens/>
      <w:spacing w:before="480" w:after="120" w:line="264" w:lineRule="auto"/>
      <w:jc w:val="center"/>
      <w:outlineLvl w:val="0"/>
    </w:pPr>
    <w:rPr>
      <w:rFonts w:ascii="Arial" w:eastAsia="Times New Roman" w:hAnsi="Arial" w:cs="Times New Roman"/>
      <w:sz w:val="32"/>
      <w:szCs w:val="20"/>
      <w:lang w:val="en-GB"/>
    </w:rPr>
  </w:style>
  <w:style w:type="character" w:customStyle="1" w:styleId="CETAuthorsCarattere">
    <w:name w:val="CET Authors Carattere"/>
    <w:link w:val="CETAuthors"/>
    <w:rsid w:val="009E788A"/>
    <w:rPr>
      <w:rFonts w:ascii="Arial" w:eastAsia="Times New Roman" w:hAnsi="Arial" w:cs="Times New Roman"/>
      <w:noProof/>
      <w:sz w:val="24"/>
      <w:szCs w:val="20"/>
      <w:lang w:val="en-GB"/>
    </w:rPr>
  </w:style>
  <w:style w:type="character" w:customStyle="1" w:styleId="CETTitleCarattere">
    <w:name w:val="CET Title Carattere"/>
    <w:link w:val="CETTitle"/>
    <w:rsid w:val="00FB730C"/>
    <w:rPr>
      <w:rFonts w:ascii="Arial" w:eastAsia="Times New Roman" w:hAnsi="Arial" w:cs="Times New Roman"/>
      <w:sz w:val="32"/>
      <w:szCs w:val="20"/>
      <w:lang w:val="en-GB"/>
    </w:rPr>
  </w:style>
  <w:style w:type="paragraph" w:customStyle="1" w:styleId="CETHeading1">
    <w:name w:val="CET Heading1"/>
    <w:next w:val="CETBodytext"/>
    <w:qFormat/>
    <w:rsid w:val="009E788A"/>
    <w:pPr>
      <w:keepNext/>
      <w:numPr>
        <w:ilvl w:val="1"/>
        <w:numId w:val="1"/>
      </w:numPr>
      <w:tabs>
        <w:tab w:val="num" w:pos="360"/>
      </w:tabs>
      <w:suppressAutoHyphens/>
      <w:spacing w:before="240" w:after="120" w:line="240" w:lineRule="auto"/>
    </w:pPr>
    <w:rPr>
      <w:rFonts w:ascii="Arial" w:eastAsia="Times New Roman" w:hAnsi="Arial" w:cs="Times New Roman"/>
      <w:b/>
      <w:sz w:val="20"/>
      <w:szCs w:val="20"/>
      <w:lang w:val="en-US"/>
    </w:rPr>
  </w:style>
  <w:style w:type="paragraph" w:customStyle="1" w:styleId="CETBodytext">
    <w:name w:val="CET Body text"/>
    <w:link w:val="CETBodytextCarattere"/>
    <w:qFormat/>
    <w:rsid w:val="000E414A"/>
    <w:pPr>
      <w:tabs>
        <w:tab w:val="right" w:pos="7100"/>
      </w:tabs>
      <w:spacing w:after="0" w:line="264" w:lineRule="auto"/>
      <w:jc w:val="both"/>
    </w:pPr>
    <w:rPr>
      <w:rFonts w:ascii="Arial" w:eastAsia="Times New Roman" w:hAnsi="Arial" w:cs="Times New Roman"/>
      <w:sz w:val="18"/>
      <w:szCs w:val="20"/>
      <w:lang w:val="en-US"/>
    </w:rPr>
  </w:style>
  <w:style w:type="paragraph" w:customStyle="1" w:styleId="CETheadingx">
    <w:name w:val="CET headingx"/>
    <w:next w:val="CETBodytext"/>
    <w:link w:val="CETheadingxCarattere"/>
    <w:autoRedefine/>
    <w:qFormat/>
    <w:rsid w:val="00FA5F5F"/>
    <w:pPr>
      <w:keepNext/>
      <w:numPr>
        <w:ilvl w:val="2"/>
        <w:numId w:val="1"/>
      </w:numPr>
      <w:suppressAutoHyphens/>
      <w:spacing w:before="120" w:after="120" w:line="240" w:lineRule="auto"/>
    </w:pPr>
    <w:rPr>
      <w:rFonts w:ascii="Arial" w:eastAsia="Times New Roman" w:hAnsi="Arial" w:cs="Times New Roman"/>
      <w:b/>
      <w:sz w:val="18"/>
      <w:szCs w:val="20"/>
      <w:lang w:val="en-US"/>
    </w:rPr>
  </w:style>
  <w:style w:type="paragraph" w:customStyle="1" w:styleId="CETAddress">
    <w:name w:val="CET Address"/>
    <w:link w:val="CETAddressCarattere"/>
    <w:qFormat/>
    <w:rsid w:val="009E788A"/>
    <w:pPr>
      <w:keepNext/>
      <w:suppressAutoHyphens/>
      <w:spacing w:after="0"/>
      <w:contextualSpacing/>
    </w:pPr>
    <w:rPr>
      <w:rFonts w:ascii="Arial" w:eastAsia="Times New Roman" w:hAnsi="Arial" w:cs="Times New Roman"/>
      <w:noProof/>
      <w:sz w:val="16"/>
      <w:szCs w:val="20"/>
      <w:lang w:val="en-GB"/>
    </w:rPr>
  </w:style>
  <w:style w:type="table" w:styleId="TableSimple1">
    <w:name w:val="Table Simple 1"/>
    <w:basedOn w:val="TableNormal"/>
    <w:semiHidden/>
    <w:rsid w:val="000E414A"/>
    <w:pPr>
      <w:numPr>
        <w:ilvl w:val="3"/>
        <w:numId w:val="1"/>
      </w:numPr>
      <w:spacing w:after="0" w:line="264" w:lineRule="auto"/>
      <w:jc w:val="both"/>
    </w:pPr>
    <w:rPr>
      <w:rFonts w:ascii="Times New Roman" w:eastAsia="Times New Roman" w:hAnsi="Times New Roman" w:cs="Times New Roman"/>
      <w:sz w:val="20"/>
      <w:szCs w:val="20"/>
      <w:lang w:eastAsia="it-IT"/>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CETBodytextCarattere">
    <w:name w:val="CET Body text Carattere"/>
    <w:link w:val="CETBodytext"/>
    <w:rsid w:val="000E414A"/>
    <w:rPr>
      <w:rFonts w:ascii="Arial" w:eastAsia="Times New Roman" w:hAnsi="Arial" w:cs="Times New Roman"/>
      <w:sz w:val="18"/>
      <w:szCs w:val="20"/>
      <w:lang w:val="en-US"/>
    </w:rPr>
  </w:style>
  <w:style w:type="paragraph" w:customStyle="1" w:styleId="CETReference">
    <w:name w:val="CET Reference"/>
    <w:qFormat/>
    <w:rsid w:val="00FC2695"/>
    <w:pPr>
      <w:spacing w:before="200" w:after="120" w:line="240" w:lineRule="auto"/>
    </w:pPr>
    <w:rPr>
      <w:rFonts w:ascii="Arial" w:eastAsia="Times New Roman" w:hAnsi="Arial" w:cs="Times New Roman"/>
      <w:b/>
      <w:sz w:val="18"/>
      <w:szCs w:val="20"/>
      <w:lang w:val="en-GB"/>
    </w:rPr>
  </w:style>
  <w:style w:type="paragraph" w:customStyle="1" w:styleId="CETCaption">
    <w:name w:val="CET Caption"/>
    <w:link w:val="CETCaptionCarattere"/>
    <w:qFormat/>
    <w:rsid w:val="00F7534E"/>
    <w:pPr>
      <w:spacing w:before="240" w:after="240" w:line="264" w:lineRule="auto"/>
      <w:jc w:val="both"/>
    </w:pPr>
    <w:rPr>
      <w:rFonts w:ascii="Arial" w:eastAsia="Times New Roman" w:hAnsi="Arial" w:cs="Times New Roman"/>
      <w:i/>
      <w:sz w:val="18"/>
      <w:szCs w:val="20"/>
      <w:lang w:val="en-GB"/>
    </w:rPr>
  </w:style>
  <w:style w:type="character" w:customStyle="1" w:styleId="CETheadingxCarattere">
    <w:name w:val="CET headingx Carattere"/>
    <w:link w:val="CETheadingx"/>
    <w:rsid w:val="00FA5F5F"/>
    <w:rPr>
      <w:rFonts w:ascii="Arial" w:eastAsia="Times New Roman" w:hAnsi="Arial" w:cs="Times New Roman"/>
      <w:b/>
      <w:sz w:val="18"/>
      <w:szCs w:val="20"/>
      <w:lang w:val="en-US"/>
    </w:rPr>
  </w:style>
  <w:style w:type="character" w:customStyle="1" w:styleId="CETCaptionCarattere">
    <w:name w:val="CET Caption Carattere"/>
    <w:link w:val="CETCaption"/>
    <w:rsid w:val="00F7534E"/>
    <w:rPr>
      <w:rFonts w:ascii="Arial" w:eastAsia="Times New Roman" w:hAnsi="Arial" w:cs="Times New Roman"/>
      <w:i/>
      <w:sz w:val="18"/>
      <w:szCs w:val="20"/>
      <w:lang w:val="en-GB"/>
    </w:rPr>
  </w:style>
  <w:style w:type="paragraph" w:customStyle="1" w:styleId="CETBodytextItalic">
    <w:name w:val="CET Body text (Italic)"/>
    <w:basedOn w:val="CETBodytext"/>
    <w:qFormat/>
    <w:rsid w:val="004F5E36"/>
    <w:rPr>
      <w:i/>
      <w:lang w:val="en-GB"/>
    </w:rPr>
  </w:style>
  <w:style w:type="character" w:styleId="CommentReference">
    <w:name w:val="annotation reference"/>
    <w:basedOn w:val="DefaultParagraphFont"/>
    <w:uiPriority w:val="99"/>
    <w:semiHidden/>
    <w:unhideWhenUsed/>
    <w:rsid w:val="004577FE"/>
    <w:rPr>
      <w:sz w:val="16"/>
      <w:szCs w:val="16"/>
    </w:rPr>
  </w:style>
  <w:style w:type="paragraph" w:styleId="BalloonText">
    <w:name w:val="Balloon Text"/>
    <w:basedOn w:val="Normal"/>
    <w:link w:val="BalloonTextChar"/>
    <w:uiPriority w:val="99"/>
    <w:semiHidden/>
    <w:unhideWhenUsed/>
    <w:rsid w:val="000D34B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34BE"/>
    <w:rPr>
      <w:rFonts w:ascii="Tahoma" w:hAnsi="Tahoma" w:cs="Tahoma"/>
      <w:sz w:val="16"/>
      <w:szCs w:val="16"/>
    </w:rPr>
  </w:style>
  <w:style w:type="paragraph" w:styleId="Bibliography">
    <w:name w:val="Bibliography"/>
    <w:basedOn w:val="CETReferencetext"/>
    <w:uiPriority w:val="37"/>
    <w:unhideWhenUsed/>
    <w:rsid w:val="00631B33"/>
    <w:pPr>
      <w:spacing w:line="240" w:lineRule="auto"/>
      <w:ind w:left="720" w:hanging="720"/>
    </w:pPr>
  </w:style>
  <w:style w:type="paragraph" w:styleId="BodyText2">
    <w:name w:val="Body Text 2"/>
    <w:basedOn w:val="Normal"/>
    <w:link w:val="BodyText2Char"/>
    <w:uiPriority w:val="99"/>
    <w:semiHidden/>
    <w:unhideWhenUsed/>
    <w:rsid w:val="0003148D"/>
    <w:pPr>
      <w:spacing w:after="120" w:line="480" w:lineRule="auto"/>
    </w:pPr>
  </w:style>
  <w:style w:type="character" w:customStyle="1" w:styleId="BodyText2Char">
    <w:name w:val="Body Text 2 Char"/>
    <w:basedOn w:val="DefaultParagraphFont"/>
    <w:link w:val="BodyText2"/>
    <w:uiPriority w:val="99"/>
    <w:semiHidden/>
    <w:rsid w:val="0003148D"/>
  </w:style>
  <w:style w:type="paragraph" w:styleId="BodyText3">
    <w:name w:val="Body Text 3"/>
    <w:basedOn w:val="Normal"/>
    <w:link w:val="BodyText3Char"/>
    <w:uiPriority w:val="99"/>
    <w:semiHidden/>
    <w:unhideWhenUsed/>
    <w:rsid w:val="0003148D"/>
    <w:pPr>
      <w:spacing w:after="120"/>
    </w:pPr>
    <w:rPr>
      <w:sz w:val="16"/>
      <w:szCs w:val="16"/>
    </w:rPr>
  </w:style>
  <w:style w:type="character" w:customStyle="1" w:styleId="BodyText3Char">
    <w:name w:val="Body Text 3 Char"/>
    <w:basedOn w:val="DefaultParagraphFont"/>
    <w:link w:val="BodyText3"/>
    <w:uiPriority w:val="99"/>
    <w:semiHidden/>
    <w:rsid w:val="0003148D"/>
    <w:rPr>
      <w:sz w:val="16"/>
      <w:szCs w:val="16"/>
    </w:rPr>
  </w:style>
  <w:style w:type="paragraph" w:styleId="BodyText">
    <w:name w:val="Body Text"/>
    <w:basedOn w:val="Normal"/>
    <w:link w:val="BodyTextChar"/>
    <w:uiPriority w:val="99"/>
    <w:semiHidden/>
    <w:unhideWhenUsed/>
    <w:rsid w:val="0003148D"/>
    <w:pPr>
      <w:spacing w:after="120"/>
    </w:pPr>
  </w:style>
  <w:style w:type="character" w:customStyle="1" w:styleId="BodyTextChar">
    <w:name w:val="Body Text Char"/>
    <w:basedOn w:val="DefaultParagraphFont"/>
    <w:link w:val="BodyText"/>
    <w:uiPriority w:val="99"/>
    <w:semiHidden/>
    <w:rsid w:val="0003148D"/>
  </w:style>
  <w:style w:type="paragraph" w:styleId="Date">
    <w:name w:val="Date"/>
    <w:basedOn w:val="Normal"/>
    <w:next w:val="Normal"/>
    <w:link w:val="DateChar"/>
    <w:uiPriority w:val="99"/>
    <w:semiHidden/>
    <w:unhideWhenUsed/>
    <w:rsid w:val="0003148D"/>
  </w:style>
  <w:style w:type="character" w:customStyle="1" w:styleId="DateChar">
    <w:name w:val="Date Char"/>
    <w:basedOn w:val="DefaultParagraphFont"/>
    <w:link w:val="Date"/>
    <w:uiPriority w:val="99"/>
    <w:semiHidden/>
    <w:rsid w:val="0003148D"/>
  </w:style>
  <w:style w:type="paragraph" w:styleId="Caption">
    <w:name w:val="caption"/>
    <w:basedOn w:val="Normal"/>
    <w:next w:val="Normal"/>
    <w:uiPriority w:val="35"/>
    <w:semiHidden/>
    <w:unhideWhenUsed/>
    <w:qFormat/>
    <w:rsid w:val="0003148D"/>
    <w:pPr>
      <w:spacing w:line="240" w:lineRule="auto"/>
    </w:pPr>
    <w:rPr>
      <w:b/>
      <w:bCs/>
      <w:color w:val="4F81BD" w:themeColor="accent1"/>
      <w:szCs w:val="18"/>
    </w:rPr>
  </w:style>
  <w:style w:type="paragraph" w:styleId="List">
    <w:name w:val="List"/>
    <w:basedOn w:val="Normal"/>
    <w:uiPriority w:val="99"/>
    <w:semiHidden/>
    <w:unhideWhenUsed/>
    <w:rsid w:val="0003148D"/>
    <w:pPr>
      <w:ind w:left="283" w:hanging="283"/>
      <w:contextualSpacing/>
    </w:pPr>
  </w:style>
  <w:style w:type="paragraph" w:styleId="List2">
    <w:name w:val="List 2"/>
    <w:basedOn w:val="Normal"/>
    <w:uiPriority w:val="99"/>
    <w:semiHidden/>
    <w:unhideWhenUsed/>
    <w:rsid w:val="0003148D"/>
    <w:pPr>
      <w:ind w:left="566" w:hanging="283"/>
      <w:contextualSpacing/>
    </w:pPr>
  </w:style>
  <w:style w:type="paragraph" w:styleId="List3">
    <w:name w:val="List 3"/>
    <w:basedOn w:val="Normal"/>
    <w:uiPriority w:val="99"/>
    <w:semiHidden/>
    <w:unhideWhenUsed/>
    <w:rsid w:val="0003148D"/>
    <w:pPr>
      <w:ind w:left="849" w:hanging="283"/>
      <w:contextualSpacing/>
    </w:pPr>
  </w:style>
  <w:style w:type="paragraph" w:styleId="List4">
    <w:name w:val="List 4"/>
    <w:basedOn w:val="Normal"/>
    <w:uiPriority w:val="99"/>
    <w:semiHidden/>
    <w:unhideWhenUsed/>
    <w:rsid w:val="0003148D"/>
    <w:pPr>
      <w:ind w:left="1132" w:hanging="283"/>
      <w:contextualSpacing/>
    </w:pPr>
  </w:style>
  <w:style w:type="paragraph" w:styleId="List5">
    <w:name w:val="List 5"/>
    <w:basedOn w:val="Normal"/>
    <w:uiPriority w:val="99"/>
    <w:semiHidden/>
    <w:unhideWhenUsed/>
    <w:rsid w:val="0003148D"/>
    <w:pPr>
      <w:ind w:left="1415" w:hanging="283"/>
      <w:contextualSpacing/>
    </w:pPr>
  </w:style>
  <w:style w:type="paragraph" w:styleId="ListContinue">
    <w:name w:val="List Continue"/>
    <w:basedOn w:val="Normal"/>
    <w:uiPriority w:val="99"/>
    <w:semiHidden/>
    <w:unhideWhenUsed/>
    <w:rsid w:val="0003148D"/>
    <w:pPr>
      <w:spacing w:after="120"/>
      <w:ind w:left="283"/>
      <w:contextualSpacing/>
    </w:pPr>
  </w:style>
  <w:style w:type="paragraph" w:styleId="ListContinue2">
    <w:name w:val="List Continue 2"/>
    <w:basedOn w:val="Normal"/>
    <w:uiPriority w:val="99"/>
    <w:semiHidden/>
    <w:unhideWhenUsed/>
    <w:rsid w:val="0003148D"/>
    <w:pPr>
      <w:spacing w:after="120"/>
      <w:ind w:left="566"/>
      <w:contextualSpacing/>
    </w:pPr>
  </w:style>
  <w:style w:type="paragraph" w:styleId="ListContinue3">
    <w:name w:val="List Continue 3"/>
    <w:basedOn w:val="Normal"/>
    <w:uiPriority w:val="99"/>
    <w:semiHidden/>
    <w:unhideWhenUsed/>
    <w:rsid w:val="0003148D"/>
    <w:pPr>
      <w:spacing w:after="120"/>
      <w:ind w:left="849"/>
      <w:contextualSpacing/>
    </w:pPr>
  </w:style>
  <w:style w:type="paragraph" w:styleId="ListContinue4">
    <w:name w:val="List Continue 4"/>
    <w:basedOn w:val="Normal"/>
    <w:uiPriority w:val="99"/>
    <w:semiHidden/>
    <w:unhideWhenUsed/>
    <w:rsid w:val="0003148D"/>
    <w:pPr>
      <w:spacing w:after="120"/>
      <w:ind w:left="1132"/>
      <w:contextualSpacing/>
    </w:pPr>
  </w:style>
  <w:style w:type="paragraph" w:styleId="ListContinue5">
    <w:name w:val="List Continue 5"/>
    <w:basedOn w:val="Normal"/>
    <w:uiPriority w:val="99"/>
    <w:semiHidden/>
    <w:unhideWhenUsed/>
    <w:rsid w:val="0003148D"/>
    <w:pPr>
      <w:spacing w:after="120"/>
      <w:ind w:left="1415"/>
      <w:contextualSpacing/>
    </w:pPr>
  </w:style>
  <w:style w:type="paragraph" w:styleId="Signature">
    <w:name w:val="Signature"/>
    <w:basedOn w:val="Normal"/>
    <w:link w:val="SignatureChar"/>
    <w:uiPriority w:val="99"/>
    <w:semiHidden/>
    <w:unhideWhenUsed/>
    <w:rsid w:val="0003148D"/>
    <w:pPr>
      <w:spacing w:line="240" w:lineRule="auto"/>
      <w:ind w:left="4252"/>
    </w:pPr>
  </w:style>
  <w:style w:type="character" w:customStyle="1" w:styleId="SignatureChar">
    <w:name w:val="Signature Char"/>
    <w:basedOn w:val="DefaultParagraphFont"/>
    <w:link w:val="Signature"/>
    <w:uiPriority w:val="99"/>
    <w:semiHidden/>
    <w:rsid w:val="0003148D"/>
  </w:style>
  <w:style w:type="paragraph" w:styleId="E-mailSignature">
    <w:name w:val="E-mail Signature"/>
    <w:basedOn w:val="Normal"/>
    <w:link w:val="E-mailSignatureChar"/>
    <w:uiPriority w:val="99"/>
    <w:semiHidden/>
    <w:unhideWhenUsed/>
    <w:rsid w:val="0003148D"/>
    <w:pPr>
      <w:spacing w:line="240" w:lineRule="auto"/>
    </w:pPr>
  </w:style>
  <w:style w:type="character" w:customStyle="1" w:styleId="E-mailSignatureChar">
    <w:name w:val="E-mail Signature Char"/>
    <w:basedOn w:val="DefaultParagraphFont"/>
    <w:link w:val="E-mailSignature"/>
    <w:uiPriority w:val="99"/>
    <w:semiHidden/>
    <w:rsid w:val="0003148D"/>
  </w:style>
  <w:style w:type="paragraph" w:styleId="Salutation">
    <w:name w:val="Salutation"/>
    <w:basedOn w:val="Normal"/>
    <w:next w:val="Normal"/>
    <w:link w:val="SalutationChar"/>
    <w:uiPriority w:val="99"/>
    <w:semiHidden/>
    <w:unhideWhenUsed/>
    <w:rsid w:val="0003148D"/>
  </w:style>
  <w:style w:type="character" w:customStyle="1" w:styleId="SalutationChar">
    <w:name w:val="Salutation Char"/>
    <w:basedOn w:val="DefaultParagraphFont"/>
    <w:link w:val="Salutation"/>
    <w:uiPriority w:val="99"/>
    <w:semiHidden/>
    <w:rsid w:val="0003148D"/>
  </w:style>
  <w:style w:type="paragraph" w:styleId="Closing">
    <w:name w:val="Closing"/>
    <w:basedOn w:val="Normal"/>
    <w:link w:val="ClosingChar"/>
    <w:uiPriority w:val="99"/>
    <w:semiHidden/>
    <w:unhideWhenUsed/>
    <w:rsid w:val="0003148D"/>
    <w:pPr>
      <w:spacing w:line="240" w:lineRule="auto"/>
      <w:ind w:left="4252"/>
    </w:pPr>
  </w:style>
  <w:style w:type="character" w:customStyle="1" w:styleId="ClosingChar">
    <w:name w:val="Closing Char"/>
    <w:basedOn w:val="DefaultParagraphFont"/>
    <w:link w:val="Closing"/>
    <w:uiPriority w:val="99"/>
    <w:semiHidden/>
    <w:rsid w:val="0003148D"/>
  </w:style>
  <w:style w:type="paragraph" w:styleId="Index1">
    <w:name w:val="index 1"/>
    <w:basedOn w:val="Normal"/>
    <w:next w:val="Normal"/>
    <w:autoRedefine/>
    <w:uiPriority w:val="99"/>
    <w:semiHidden/>
    <w:unhideWhenUsed/>
    <w:rsid w:val="0003148D"/>
    <w:pPr>
      <w:spacing w:line="240" w:lineRule="auto"/>
      <w:ind w:left="220" w:hanging="220"/>
    </w:pPr>
  </w:style>
  <w:style w:type="paragraph" w:styleId="Index2">
    <w:name w:val="index 2"/>
    <w:basedOn w:val="Normal"/>
    <w:next w:val="Normal"/>
    <w:autoRedefine/>
    <w:uiPriority w:val="99"/>
    <w:semiHidden/>
    <w:unhideWhenUsed/>
    <w:rsid w:val="0003148D"/>
    <w:pPr>
      <w:spacing w:line="240" w:lineRule="auto"/>
      <w:ind w:left="440" w:hanging="220"/>
    </w:pPr>
  </w:style>
  <w:style w:type="paragraph" w:styleId="Index3">
    <w:name w:val="index 3"/>
    <w:basedOn w:val="Normal"/>
    <w:next w:val="Normal"/>
    <w:autoRedefine/>
    <w:uiPriority w:val="99"/>
    <w:semiHidden/>
    <w:unhideWhenUsed/>
    <w:rsid w:val="0003148D"/>
    <w:pPr>
      <w:spacing w:line="240" w:lineRule="auto"/>
      <w:ind w:left="660" w:hanging="220"/>
    </w:pPr>
  </w:style>
  <w:style w:type="paragraph" w:styleId="Index4">
    <w:name w:val="index 4"/>
    <w:basedOn w:val="Normal"/>
    <w:next w:val="Normal"/>
    <w:autoRedefine/>
    <w:uiPriority w:val="99"/>
    <w:semiHidden/>
    <w:unhideWhenUsed/>
    <w:rsid w:val="0003148D"/>
    <w:pPr>
      <w:spacing w:line="240" w:lineRule="auto"/>
      <w:ind w:left="880" w:hanging="220"/>
    </w:pPr>
  </w:style>
  <w:style w:type="paragraph" w:styleId="Index5">
    <w:name w:val="index 5"/>
    <w:basedOn w:val="Normal"/>
    <w:next w:val="Normal"/>
    <w:autoRedefine/>
    <w:uiPriority w:val="99"/>
    <w:semiHidden/>
    <w:unhideWhenUsed/>
    <w:rsid w:val="0003148D"/>
    <w:pPr>
      <w:spacing w:line="240" w:lineRule="auto"/>
      <w:ind w:left="1100" w:hanging="220"/>
    </w:pPr>
  </w:style>
  <w:style w:type="paragraph" w:styleId="Index6">
    <w:name w:val="index 6"/>
    <w:basedOn w:val="Normal"/>
    <w:next w:val="Normal"/>
    <w:autoRedefine/>
    <w:uiPriority w:val="99"/>
    <w:semiHidden/>
    <w:unhideWhenUsed/>
    <w:rsid w:val="0003148D"/>
    <w:pPr>
      <w:spacing w:line="240" w:lineRule="auto"/>
      <w:ind w:left="1320" w:hanging="220"/>
    </w:pPr>
  </w:style>
  <w:style w:type="paragraph" w:styleId="Index7">
    <w:name w:val="index 7"/>
    <w:basedOn w:val="Normal"/>
    <w:next w:val="Normal"/>
    <w:autoRedefine/>
    <w:uiPriority w:val="99"/>
    <w:semiHidden/>
    <w:unhideWhenUsed/>
    <w:rsid w:val="0003148D"/>
    <w:pPr>
      <w:spacing w:line="240" w:lineRule="auto"/>
      <w:ind w:left="1540" w:hanging="220"/>
    </w:pPr>
  </w:style>
  <w:style w:type="paragraph" w:styleId="Index8">
    <w:name w:val="index 8"/>
    <w:basedOn w:val="Normal"/>
    <w:next w:val="Normal"/>
    <w:autoRedefine/>
    <w:uiPriority w:val="99"/>
    <w:semiHidden/>
    <w:unhideWhenUsed/>
    <w:rsid w:val="0003148D"/>
    <w:pPr>
      <w:spacing w:line="240" w:lineRule="auto"/>
      <w:ind w:left="1760" w:hanging="220"/>
    </w:pPr>
  </w:style>
  <w:style w:type="paragraph" w:styleId="Index9">
    <w:name w:val="index 9"/>
    <w:basedOn w:val="Normal"/>
    <w:next w:val="Normal"/>
    <w:autoRedefine/>
    <w:uiPriority w:val="99"/>
    <w:semiHidden/>
    <w:unhideWhenUsed/>
    <w:rsid w:val="0003148D"/>
    <w:pPr>
      <w:spacing w:line="240" w:lineRule="auto"/>
      <w:ind w:left="1980" w:hanging="220"/>
    </w:pPr>
  </w:style>
  <w:style w:type="paragraph" w:styleId="TableofFigures">
    <w:name w:val="table of figures"/>
    <w:basedOn w:val="Normal"/>
    <w:next w:val="Normal"/>
    <w:uiPriority w:val="99"/>
    <w:semiHidden/>
    <w:unhideWhenUsed/>
    <w:rsid w:val="0003148D"/>
  </w:style>
  <w:style w:type="paragraph" w:styleId="TableofAuthorities">
    <w:name w:val="table of authorities"/>
    <w:basedOn w:val="Normal"/>
    <w:next w:val="Normal"/>
    <w:uiPriority w:val="99"/>
    <w:semiHidden/>
    <w:unhideWhenUsed/>
    <w:rsid w:val="0003148D"/>
    <w:pPr>
      <w:ind w:left="220" w:hanging="220"/>
    </w:pPr>
  </w:style>
  <w:style w:type="paragraph" w:styleId="EnvelopeAddress">
    <w:name w:val="envelope address"/>
    <w:basedOn w:val="Normal"/>
    <w:uiPriority w:val="99"/>
    <w:semiHidden/>
    <w:unhideWhenUsed/>
    <w:rsid w:val="0003148D"/>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HTMLAddress">
    <w:name w:val="HTML Address"/>
    <w:basedOn w:val="Normal"/>
    <w:link w:val="HTMLAddressChar"/>
    <w:uiPriority w:val="99"/>
    <w:semiHidden/>
    <w:unhideWhenUsed/>
    <w:rsid w:val="0003148D"/>
    <w:pPr>
      <w:spacing w:line="240" w:lineRule="auto"/>
    </w:pPr>
    <w:rPr>
      <w:i/>
      <w:iCs/>
    </w:rPr>
  </w:style>
  <w:style w:type="character" w:customStyle="1" w:styleId="HTMLAddressChar">
    <w:name w:val="HTML Address Char"/>
    <w:basedOn w:val="DefaultParagraphFont"/>
    <w:link w:val="HTMLAddress"/>
    <w:uiPriority w:val="99"/>
    <w:semiHidden/>
    <w:rsid w:val="0003148D"/>
    <w:rPr>
      <w:i/>
      <w:iCs/>
    </w:rPr>
  </w:style>
  <w:style w:type="paragraph" w:styleId="EnvelopeReturn">
    <w:name w:val="envelope return"/>
    <w:basedOn w:val="Normal"/>
    <w:uiPriority w:val="99"/>
    <w:semiHidden/>
    <w:unhideWhenUsed/>
    <w:rsid w:val="0003148D"/>
    <w:pPr>
      <w:spacing w:line="240" w:lineRule="auto"/>
    </w:pPr>
    <w:rPr>
      <w:rFonts w:asciiTheme="majorHAnsi" w:eastAsiaTheme="majorEastAsia" w:hAnsiTheme="majorHAnsi" w:cstheme="majorBidi"/>
    </w:rPr>
  </w:style>
  <w:style w:type="paragraph" w:styleId="MessageHeader">
    <w:name w:val="Message Header"/>
    <w:basedOn w:val="Normal"/>
    <w:link w:val="MessageHeaderChar"/>
    <w:uiPriority w:val="99"/>
    <w:semiHidden/>
    <w:unhideWhenUsed/>
    <w:rsid w:val="0003148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03148D"/>
    <w:rPr>
      <w:rFonts w:asciiTheme="majorHAnsi" w:eastAsiaTheme="majorEastAsia" w:hAnsiTheme="majorHAnsi" w:cstheme="majorBidi"/>
      <w:sz w:val="24"/>
      <w:szCs w:val="24"/>
      <w:shd w:val="pct20" w:color="auto" w:fill="auto"/>
    </w:rPr>
  </w:style>
  <w:style w:type="paragraph" w:styleId="NoteHeading">
    <w:name w:val="Note Heading"/>
    <w:basedOn w:val="Normal"/>
    <w:next w:val="Normal"/>
    <w:link w:val="NoteHeadingChar"/>
    <w:uiPriority w:val="99"/>
    <w:semiHidden/>
    <w:unhideWhenUsed/>
    <w:rsid w:val="0003148D"/>
    <w:pPr>
      <w:spacing w:line="240" w:lineRule="auto"/>
    </w:pPr>
  </w:style>
  <w:style w:type="character" w:customStyle="1" w:styleId="NoteHeadingChar">
    <w:name w:val="Note Heading Char"/>
    <w:basedOn w:val="DefaultParagraphFont"/>
    <w:link w:val="NoteHeading"/>
    <w:uiPriority w:val="99"/>
    <w:semiHidden/>
    <w:rsid w:val="0003148D"/>
  </w:style>
  <w:style w:type="paragraph" w:styleId="DocumentMap">
    <w:name w:val="Document Map"/>
    <w:basedOn w:val="Normal"/>
    <w:link w:val="DocumentMapChar"/>
    <w:uiPriority w:val="99"/>
    <w:semiHidden/>
    <w:unhideWhenUsed/>
    <w:rsid w:val="0003148D"/>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03148D"/>
    <w:rPr>
      <w:rFonts w:ascii="Tahoma" w:hAnsi="Tahoma" w:cs="Tahoma"/>
      <w:sz w:val="16"/>
      <w:szCs w:val="16"/>
    </w:rPr>
  </w:style>
  <w:style w:type="paragraph" w:styleId="NormalWeb">
    <w:name w:val="Normal (Web)"/>
    <w:basedOn w:val="Normal"/>
    <w:uiPriority w:val="99"/>
    <w:semiHidden/>
    <w:unhideWhenUsed/>
    <w:rsid w:val="0003148D"/>
    <w:rPr>
      <w:sz w:val="24"/>
      <w:szCs w:val="24"/>
    </w:rPr>
  </w:style>
  <w:style w:type="paragraph" w:styleId="ListNumber">
    <w:name w:val="List Number"/>
    <w:basedOn w:val="Normal"/>
    <w:uiPriority w:val="99"/>
    <w:semiHidden/>
    <w:unhideWhenUsed/>
    <w:rsid w:val="0003148D"/>
    <w:pPr>
      <w:numPr>
        <w:numId w:val="2"/>
      </w:numPr>
      <w:contextualSpacing/>
    </w:pPr>
  </w:style>
  <w:style w:type="paragraph" w:styleId="ListNumber2">
    <w:name w:val="List Number 2"/>
    <w:basedOn w:val="Normal"/>
    <w:uiPriority w:val="99"/>
    <w:semiHidden/>
    <w:unhideWhenUsed/>
    <w:rsid w:val="0003148D"/>
    <w:pPr>
      <w:numPr>
        <w:numId w:val="3"/>
      </w:numPr>
      <w:contextualSpacing/>
    </w:pPr>
  </w:style>
  <w:style w:type="paragraph" w:styleId="ListNumber3">
    <w:name w:val="List Number 3"/>
    <w:basedOn w:val="Normal"/>
    <w:uiPriority w:val="99"/>
    <w:semiHidden/>
    <w:unhideWhenUsed/>
    <w:rsid w:val="0003148D"/>
    <w:pPr>
      <w:numPr>
        <w:numId w:val="4"/>
      </w:numPr>
      <w:contextualSpacing/>
    </w:pPr>
  </w:style>
  <w:style w:type="paragraph" w:styleId="ListNumber4">
    <w:name w:val="List Number 4"/>
    <w:basedOn w:val="Normal"/>
    <w:uiPriority w:val="99"/>
    <w:semiHidden/>
    <w:unhideWhenUsed/>
    <w:rsid w:val="0003148D"/>
    <w:pPr>
      <w:numPr>
        <w:numId w:val="5"/>
      </w:numPr>
      <w:contextualSpacing/>
    </w:pPr>
  </w:style>
  <w:style w:type="paragraph" w:styleId="ListNumber5">
    <w:name w:val="List Number 5"/>
    <w:basedOn w:val="Normal"/>
    <w:uiPriority w:val="99"/>
    <w:semiHidden/>
    <w:unhideWhenUsed/>
    <w:rsid w:val="0003148D"/>
    <w:pPr>
      <w:numPr>
        <w:numId w:val="6"/>
      </w:numPr>
      <w:contextualSpacing/>
    </w:pPr>
  </w:style>
  <w:style w:type="paragraph" w:styleId="HTMLPreformatted">
    <w:name w:val="HTML Preformatted"/>
    <w:basedOn w:val="Normal"/>
    <w:link w:val="HTMLPreformattedChar"/>
    <w:uiPriority w:val="99"/>
    <w:semiHidden/>
    <w:unhideWhenUsed/>
    <w:rsid w:val="0003148D"/>
    <w:pPr>
      <w:spacing w:line="240" w:lineRule="auto"/>
    </w:pPr>
    <w:rPr>
      <w:rFonts w:ascii="Consolas" w:hAnsi="Consolas" w:cs="Consolas"/>
    </w:rPr>
  </w:style>
  <w:style w:type="character" w:customStyle="1" w:styleId="HTMLPreformattedChar">
    <w:name w:val="HTML Preformatted Char"/>
    <w:basedOn w:val="DefaultParagraphFont"/>
    <w:link w:val="HTMLPreformatted"/>
    <w:uiPriority w:val="99"/>
    <w:semiHidden/>
    <w:rsid w:val="0003148D"/>
    <w:rPr>
      <w:rFonts w:ascii="Consolas" w:hAnsi="Consolas" w:cs="Consolas"/>
      <w:sz w:val="20"/>
      <w:szCs w:val="20"/>
    </w:rPr>
  </w:style>
  <w:style w:type="paragraph" w:styleId="BodyTextFirstIndent">
    <w:name w:val="Body Text First Indent"/>
    <w:basedOn w:val="BodyText"/>
    <w:link w:val="BodyTextFirstIndentChar"/>
    <w:uiPriority w:val="99"/>
    <w:semiHidden/>
    <w:unhideWhenUsed/>
    <w:rsid w:val="0003148D"/>
    <w:pPr>
      <w:spacing w:after="200"/>
      <w:ind w:firstLine="360"/>
    </w:pPr>
  </w:style>
  <w:style w:type="character" w:customStyle="1" w:styleId="BodyTextFirstIndentChar">
    <w:name w:val="Body Text First Indent Char"/>
    <w:basedOn w:val="BodyTextChar"/>
    <w:link w:val="BodyTextFirstIndent"/>
    <w:uiPriority w:val="99"/>
    <w:semiHidden/>
    <w:rsid w:val="0003148D"/>
  </w:style>
  <w:style w:type="paragraph" w:styleId="BodyTextIndent">
    <w:name w:val="Body Text Indent"/>
    <w:basedOn w:val="Normal"/>
    <w:link w:val="BodyTextIndentChar"/>
    <w:uiPriority w:val="99"/>
    <w:semiHidden/>
    <w:unhideWhenUsed/>
    <w:rsid w:val="0003148D"/>
    <w:pPr>
      <w:spacing w:after="120"/>
      <w:ind w:left="283"/>
    </w:pPr>
  </w:style>
  <w:style w:type="character" w:customStyle="1" w:styleId="BodyTextIndentChar">
    <w:name w:val="Body Text Indent Char"/>
    <w:basedOn w:val="DefaultParagraphFont"/>
    <w:link w:val="BodyTextIndent"/>
    <w:uiPriority w:val="99"/>
    <w:semiHidden/>
    <w:rsid w:val="0003148D"/>
  </w:style>
  <w:style w:type="paragraph" w:styleId="BodyTextFirstIndent2">
    <w:name w:val="Body Text First Indent 2"/>
    <w:basedOn w:val="BodyTextIndent"/>
    <w:link w:val="BodyTextFirstIndent2Char"/>
    <w:uiPriority w:val="99"/>
    <w:semiHidden/>
    <w:unhideWhenUsed/>
    <w:rsid w:val="0003148D"/>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03148D"/>
  </w:style>
  <w:style w:type="paragraph" w:styleId="ListBullet">
    <w:name w:val="List Bullet"/>
    <w:basedOn w:val="Normal"/>
    <w:uiPriority w:val="99"/>
    <w:semiHidden/>
    <w:unhideWhenUsed/>
    <w:rsid w:val="0003148D"/>
    <w:pPr>
      <w:numPr>
        <w:numId w:val="7"/>
      </w:numPr>
      <w:contextualSpacing/>
    </w:pPr>
  </w:style>
  <w:style w:type="paragraph" w:styleId="ListBullet2">
    <w:name w:val="List Bullet 2"/>
    <w:basedOn w:val="Normal"/>
    <w:uiPriority w:val="99"/>
    <w:semiHidden/>
    <w:unhideWhenUsed/>
    <w:rsid w:val="0003148D"/>
    <w:pPr>
      <w:numPr>
        <w:numId w:val="8"/>
      </w:numPr>
      <w:contextualSpacing/>
    </w:pPr>
  </w:style>
  <w:style w:type="paragraph" w:styleId="ListBullet3">
    <w:name w:val="List Bullet 3"/>
    <w:basedOn w:val="Normal"/>
    <w:uiPriority w:val="99"/>
    <w:semiHidden/>
    <w:unhideWhenUsed/>
    <w:rsid w:val="0003148D"/>
    <w:pPr>
      <w:numPr>
        <w:numId w:val="9"/>
      </w:numPr>
      <w:contextualSpacing/>
    </w:pPr>
  </w:style>
  <w:style w:type="paragraph" w:styleId="ListBullet4">
    <w:name w:val="List Bullet 4"/>
    <w:basedOn w:val="Normal"/>
    <w:uiPriority w:val="99"/>
    <w:semiHidden/>
    <w:unhideWhenUsed/>
    <w:rsid w:val="0003148D"/>
    <w:pPr>
      <w:numPr>
        <w:numId w:val="10"/>
      </w:numPr>
      <w:contextualSpacing/>
    </w:pPr>
  </w:style>
  <w:style w:type="paragraph" w:styleId="ListBullet5">
    <w:name w:val="List Bullet 5"/>
    <w:basedOn w:val="Normal"/>
    <w:uiPriority w:val="99"/>
    <w:semiHidden/>
    <w:unhideWhenUsed/>
    <w:rsid w:val="0003148D"/>
    <w:pPr>
      <w:numPr>
        <w:numId w:val="11"/>
      </w:numPr>
      <w:contextualSpacing/>
    </w:pPr>
  </w:style>
  <w:style w:type="paragraph" w:styleId="BodyTextIndent2">
    <w:name w:val="Body Text Indent 2"/>
    <w:basedOn w:val="Normal"/>
    <w:link w:val="BodyTextIndent2Char"/>
    <w:uiPriority w:val="99"/>
    <w:semiHidden/>
    <w:unhideWhenUsed/>
    <w:rsid w:val="0003148D"/>
    <w:pPr>
      <w:spacing w:after="120" w:line="480" w:lineRule="auto"/>
      <w:ind w:left="283"/>
    </w:pPr>
  </w:style>
  <w:style w:type="character" w:customStyle="1" w:styleId="BodyTextIndent2Char">
    <w:name w:val="Body Text Indent 2 Char"/>
    <w:basedOn w:val="DefaultParagraphFont"/>
    <w:link w:val="BodyTextIndent2"/>
    <w:uiPriority w:val="99"/>
    <w:semiHidden/>
    <w:rsid w:val="0003148D"/>
  </w:style>
  <w:style w:type="paragraph" w:styleId="BodyTextIndent3">
    <w:name w:val="Body Text Indent 3"/>
    <w:basedOn w:val="Normal"/>
    <w:link w:val="BodyTextIndent3Char"/>
    <w:uiPriority w:val="99"/>
    <w:semiHidden/>
    <w:unhideWhenUsed/>
    <w:rsid w:val="0003148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3148D"/>
    <w:rPr>
      <w:sz w:val="16"/>
      <w:szCs w:val="16"/>
    </w:rPr>
  </w:style>
  <w:style w:type="paragraph" w:styleId="NormalIndent">
    <w:name w:val="Normal Indent"/>
    <w:basedOn w:val="Normal"/>
    <w:uiPriority w:val="99"/>
    <w:semiHidden/>
    <w:unhideWhenUsed/>
    <w:rsid w:val="0003148D"/>
    <w:pPr>
      <w:ind w:left="720"/>
    </w:pPr>
  </w:style>
  <w:style w:type="paragraph" w:styleId="CommentText">
    <w:name w:val="annotation text"/>
    <w:basedOn w:val="Normal"/>
    <w:link w:val="CommentTextChar"/>
    <w:uiPriority w:val="99"/>
    <w:unhideWhenUsed/>
    <w:rsid w:val="0003148D"/>
    <w:pPr>
      <w:spacing w:line="240" w:lineRule="auto"/>
    </w:pPr>
  </w:style>
  <w:style w:type="character" w:customStyle="1" w:styleId="CommentTextChar">
    <w:name w:val="Comment Text Char"/>
    <w:basedOn w:val="DefaultParagraphFont"/>
    <w:link w:val="CommentText"/>
    <w:uiPriority w:val="99"/>
    <w:rsid w:val="0003148D"/>
    <w:rPr>
      <w:sz w:val="20"/>
      <w:szCs w:val="20"/>
    </w:rPr>
  </w:style>
  <w:style w:type="paragraph" w:styleId="CommentSubject">
    <w:name w:val="annotation subject"/>
    <w:basedOn w:val="CommentText"/>
    <w:next w:val="CommentText"/>
    <w:link w:val="CommentSubjectChar"/>
    <w:uiPriority w:val="99"/>
    <w:semiHidden/>
    <w:unhideWhenUsed/>
    <w:rsid w:val="0003148D"/>
    <w:rPr>
      <w:b/>
      <w:bCs/>
    </w:rPr>
  </w:style>
  <w:style w:type="character" w:customStyle="1" w:styleId="CommentSubjectChar">
    <w:name w:val="Comment Subject Char"/>
    <w:basedOn w:val="CommentTextChar"/>
    <w:link w:val="CommentSubject"/>
    <w:uiPriority w:val="99"/>
    <w:semiHidden/>
    <w:rsid w:val="0003148D"/>
    <w:rPr>
      <w:b/>
      <w:bCs/>
      <w:sz w:val="20"/>
      <w:szCs w:val="20"/>
    </w:rPr>
  </w:style>
  <w:style w:type="paragraph" w:styleId="TOC1">
    <w:name w:val="toc 1"/>
    <w:basedOn w:val="Normal"/>
    <w:next w:val="Normal"/>
    <w:autoRedefine/>
    <w:uiPriority w:val="39"/>
    <w:semiHidden/>
    <w:unhideWhenUsed/>
    <w:rsid w:val="0003148D"/>
    <w:pPr>
      <w:spacing w:after="100"/>
    </w:pPr>
  </w:style>
  <w:style w:type="paragraph" w:styleId="TOC2">
    <w:name w:val="toc 2"/>
    <w:basedOn w:val="Normal"/>
    <w:next w:val="Normal"/>
    <w:autoRedefine/>
    <w:uiPriority w:val="39"/>
    <w:semiHidden/>
    <w:unhideWhenUsed/>
    <w:rsid w:val="0003148D"/>
    <w:pPr>
      <w:spacing w:after="100"/>
      <w:ind w:left="220"/>
    </w:pPr>
  </w:style>
  <w:style w:type="paragraph" w:styleId="TOC3">
    <w:name w:val="toc 3"/>
    <w:basedOn w:val="Normal"/>
    <w:next w:val="Normal"/>
    <w:autoRedefine/>
    <w:uiPriority w:val="39"/>
    <w:semiHidden/>
    <w:unhideWhenUsed/>
    <w:rsid w:val="0003148D"/>
    <w:pPr>
      <w:spacing w:after="100"/>
      <w:ind w:left="440"/>
    </w:pPr>
  </w:style>
  <w:style w:type="paragraph" w:styleId="TOC4">
    <w:name w:val="toc 4"/>
    <w:basedOn w:val="Normal"/>
    <w:next w:val="Normal"/>
    <w:autoRedefine/>
    <w:uiPriority w:val="39"/>
    <w:semiHidden/>
    <w:unhideWhenUsed/>
    <w:rsid w:val="0003148D"/>
    <w:pPr>
      <w:spacing w:after="100"/>
      <w:ind w:left="660"/>
    </w:pPr>
  </w:style>
  <w:style w:type="paragraph" w:styleId="TOC5">
    <w:name w:val="toc 5"/>
    <w:basedOn w:val="Normal"/>
    <w:next w:val="Normal"/>
    <w:autoRedefine/>
    <w:uiPriority w:val="39"/>
    <w:semiHidden/>
    <w:unhideWhenUsed/>
    <w:rsid w:val="0003148D"/>
    <w:pPr>
      <w:spacing w:after="100"/>
      <w:ind w:left="880"/>
    </w:pPr>
  </w:style>
  <w:style w:type="paragraph" w:styleId="TOC6">
    <w:name w:val="toc 6"/>
    <w:basedOn w:val="Normal"/>
    <w:next w:val="Normal"/>
    <w:autoRedefine/>
    <w:uiPriority w:val="39"/>
    <w:semiHidden/>
    <w:unhideWhenUsed/>
    <w:rsid w:val="0003148D"/>
    <w:pPr>
      <w:spacing w:after="100"/>
      <w:ind w:left="1100"/>
    </w:pPr>
  </w:style>
  <w:style w:type="paragraph" w:styleId="TOC7">
    <w:name w:val="toc 7"/>
    <w:basedOn w:val="Normal"/>
    <w:next w:val="Normal"/>
    <w:autoRedefine/>
    <w:uiPriority w:val="39"/>
    <w:semiHidden/>
    <w:unhideWhenUsed/>
    <w:rsid w:val="0003148D"/>
    <w:pPr>
      <w:spacing w:after="100"/>
      <w:ind w:left="1320"/>
    </w:pPr>
  </w:style>
  <w:style w:type="paragraph" w:styleId="TOC8">
    <w:name w:val="toc 8"/>
    <w:basedOn w:val="Normal"/>
    <w:next w:val="Normal"/>
    <w:autoRedefine/>
    <w:uiPriority w:val="39"/>
    <w:semiHidden/>
    <w:unhideWhenUsed/>
    <w:rsid w:val="0003148D"/>
    <w:pPr>
      <w:spacing w:after="100"/>
      <w:ind w:left="1540"/>
    </w:pPr>
  </w:style>
  <w:style w:type="paragraph" w:styleId="TOC9">
    <w:name w:val="toc 9"/>
    <w:basedOn w:val="Normal"/>
    <w:next w:val="Normal"/>
    <w:autoRedefine/>
    <w:uiPriority w:val="39"/>
    <w:semiHidden/>
    <w:unhideWhenUsed/>
    <w:rsid w:val="0003148D"/>
    <w:pPr>
      <w:spacing w:after="100"/>
      <w:ind w:left="1760"/>
    </w:pPr>
  </w:style>
  <w:style w:type="paragraph" w:styleId="BlockText">
    <w:name w:val="Block Text"/>
    <w:basedOn w:val="Normal"/>
    <w:uiPriority w:val="99"/>
    <w:semiHidden/>
    <w:unhideWhenUsed/>
    <w:rsid w:val="0003148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MacroText">
    <w:name w:val="macro"/>
    <w:link w:val="MacroTextChar"/>
    <w:uiPriority w:val="99"/>
    <w:semiHidden/>
    <w:unhideWhenUsed/>
    <w:rsid w:val="0003148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03148D"/>
    <w:rPr>
      <w:rFonts w:ascii="Consolas" w:hAnsi="Consolas" w:cs="Consolas"/>
      <w:sz w:val="20"/>
      <w:szCs w:val="20"/>
    </w:rPr>
  </w:style>
  <w:style w:type="paragraph" w:styleId="PlainText">
    <w:name w:val="Plain Text"/>
    <w:basedOn w:val="Normal"/>
    <w:link w:val="PlainTextChar"/>
    <w:uiPriority w:val="99"/>
    <w:semiHidden/>
    <w:unhideWhenUsed/>
    <w:rsid w:val="0003148D"/>
    <w:pPr>
      <w:spacing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03148D"/>
    <w:rPr>
      <w:rFonts w:ascii="Consolas" w:hAnsi="Consolas" w:cs="Consolas"/>
      <w:sz w:val="21"/>
      <w:szCs w:val="21"/>
    </w:rPr>
  </w:style>
  <w:style w:type="paragraph" w:styleId="FootnoteText">
    <w:name w:val="footnote text"/>
    <w:basedOn w:val="Normal"/>
    <w:link w:val="FootnoteTextChar"/>
    <w:uiPriority w:val="99"/>
    <w:semiHidden/>
    <w:unhideWhenUsed/>
    <w:rsid w:val="0003148D"/>
    <w:pPr>
      <w:spacing w:line="240" w:lineRule="auto"/>
    </w:pPr>
  </w:style>
  <w:style w:type="character" w:customStyle="1" w:styleId="FootnoteTextChar">
    <w:name w:val="Footnote Text Char"/>
    <w:basedOn w:val="DefaultParagraphFont"/>
    <w:link w:val="FootnoteText"/>
    <w:uiPriority w:val="99"/>
    <w:semiHidden/>
    <w:rsid w:val="0003148D"/>
    <w:rPr>
      <w:sz w:val="20"/>
      <w:szCs w:val="20"/>
    </w:rPr>
  </w:style>
  <w:style w:type="paragraph" w:styleId="EndnoteText">
    <w:name w:val="endnote text"/>
    <w:basedOn w:val="Normal"/>
    <w:link w:val="EndnoteTextChar"/>
    <w:uiPriority w:val="99"/>
    <w:semiHidden/>
    <w:unhideWhenUsed/>
    <w:rsid w:val="0003148D"/>
    <w:pPr>
      <w:spacing w:line="240" w:lineRule="auto"/>
    </w:pPr>
  </w:style>
  <w:style w:type="character" w:customStyle="1" w:styleId="EndnoteTextChar">
    <w:name w:val="Endnote Text Char"/>
    <w:basedOn w:val="DefaultParagraphFont"/>
    <w:link w:val="EndnoteText"/>
    <w:uiPriority w:val="99"/>
    <w:semiHidden/>
    <w:rsid w:val="0003148D"/>
    <w:rPr>
      <w:sz w:val="20"/>
      <w:szCs w:val="20"/>
    </w:rPr>
  </w:style>
  <w:style w:type="character" w:customStyle="1" w:styleId="Heading1Char">
    <w:name w:val="Heading 1 Char"/>
    <w:basedOn w:val="DefaultParagraphFont"/>
    <w:link w:val="Heading1"/>
    <w:uiPriority w:val="9"/>
    <w:rsid w:val="004F5E36"/>
    <w:rPr>
      <w:rFonts w:ascii="Arial" w:eastAsia="Times New Roman" w:hAnsi="Arial" w:cs="Times New Roman"/>
      <w:b/>
      <w:sz w:val="20"/>
      <w:szCs w:val="20"/>
      <w:lang w:val="en-GB"/>
    </w:rPr>
  </w:style>
  <w:style w:type="character" w:customStyle="1" w:styleId="Heading2Char">
    <w:name w:val="Heading 2 Char"/>
    <w:basedOn w:val="DefaultParagraphFont"/>
    <w:link w:val="Heading2"/>
    <w:uiPriority w:val="9"/>
    <w:semiHidden/>
    <w:rsid w:val="0003148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03148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03148D"/>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03148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3148D"/>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3148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3148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3148D"/>
    <w:rPr>
      <w:rFonts w:asciiTheme="majorHAnsi" w:eastAsiaTheme="majorEastAsia" w:hAnsiTheme="majorHAnsi" w:cstheme="majorBidi"/>
      <w:i/>
      <w:iCs/>
      <w:color w:val="404040" w:themeColor="text1" w:themeTint="BF"/>
      <w:sz w:val="20"/>
      <w:szCs w:val="20"/>
    </w:rPr>
  </w:style>
  <w:style w:type="paragraph" w:styleId="IndexHeading">
    <w:name w:val="index heading"/>
    <w:basedOn w:val="Normal"/>
    <w:next w:val="Index1"/>
    <w:uiPriority w:val="99"/>
    <w:semiHidden/>
    <w:unhideWhenUsed/>
    <w:rsid w:val="0003148D"/>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03148D"/>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03148D"/>
    <w:pPr>
      <w:outlineLvl w:val="9"/>
    </w:pPr>
  </w:style>
  <w:style w:type="paragraph" w:customStyle="1" w:styleId="CETemail">
    <w:name w:val="CET email"/>
    <w:next w:val="CETBodytext"/>
    <w:rsid w:val="009E788A"/>
    <w:pPr>
      <w:spacing w:after="240"/>
    </w:pPr>
    <w:rPr>
      <w:rFonts w:ascii="Arial" w:eastAsia="Times New Roman" w:hAnsi="Arial" w:cs="Times New Roman"/>
      <w:noProof/>
      <w:sz w:val="16"/>
      <w:szCs w:val="20"/>
      <w:lang w:val="en-GB"/>
    </w:rPr>
  </w:style>
  <w:style w:type="character" w:customStyle="1" w:styleId="CETAddressCarattere">
    <w:name w:val="CET Address Carattere"/>
    <w:basedOn w:val="DefaultParagraphFont"/>
    <w:link w:val="CETAddress"/>
    <w:rsid w:val="009E788A"/>
    <w:rPr>
      <w:rFonts w:ascii="Arial" w:eastAsia="Times New Roman" w:hAnsi="Arial" w:cs="Times New Roman"/>
      <w:noProof/>
      <w:sz w:val="16"/>
      <w:szCs w:val="20"/>
      <w:lang w:val="en-GB"/>
    </w:rPr>
  </w:style>
  <w:style w:type="paragraph" w:customStyle="1" w:styleId="CETBodytextBold">
    <w:name w:val="CET Body text (Bold)"/>
    <w:basedOn w:val="CETBodytext"/>
    <w:rsid w:val="00901EB6"/>
    <w:rPr>
      <w:b/>
    </w:rPr>
  </w:style>
  <w:style w:type="paragraph" w:customStyle="1" w:styleId="CETnumberingbullets">
    <w:name w:val="CET numbering (bullets)"/>
    <w:rsid w:val="008D433B"/>
    <w:pPr>
      <w:numPr>
        <w:numId w:val="13"/>
      </w:numPr>
      <w:spacing w:after="0" w:line="264" w:lineRule="auto"/>
    </w:pPr>
    <w:rPr>
      <w:rFonts w:ascii="Arial" w:eastAsia="Times New Roman" w:hAnsi="Arial" w:cs="Times New Roman"/>
      <w:sz w:val="18"/>
      <w:szCs w:val="20"/>
      <w:lang w:val="en-GB"/>
    </w:rPr>
  </w:style>
  <w:style w:type="paragraph" w:customStyle="1" w:styleId="CETnumbering1">
    <w:name w:val="CET numbering (1"/>
    <w:aliases w:val="2..)"/>
    <w:rsid w:val="00B57B36"/>
    <w:pPr>
      <w:numPr>
        <w:numId w:val="14"/>
      </w:numPr>
      <w:spacing w:after="0" w:line="264" w:lineRule="auto"/>
      <w:ind w:left="340" w:hanging="227"/>
    </w:pPr>
    <w:rPr>
      <w:rFonts w:ascii="Arial" w:eastAsia="Times New Roman" w:hAnsi="Arial" w:cs="Times New Roman"/>
      <w:sz w:val="18"/>
      <w:szCs w:val="20"/>
      <w:lang w:val="en-US"/>
    </w:rPr>
  </w:style>
  <w:style w:type="paragraph" w:customStyle="1" w:styleId="CETnumberinga">
    <w:name w:val="CET numbering (a"/>
    <w:aliases w:val="b,..)"/>
    <w:rsid w:val="00B57B36"/>
    <w:pPr>
      <w:numPr>
        <w:numId w:val="15"/>
      </w:numPr>
      <w:spacing w:after="0" w:line="264" w:lineRule="auto"/>
    </w:pPr>
    <w:rPr>
      <w:rFonts w:ascii="Arial" w:eastAsia="Times New Roman" w:hAnsi="Arial" w:cs="Times New Roman"/>
      <w:sz w:val="18"/>
      <w:szCs w:val="20"/>
      <w:lang w:val="en-GB"/>
    </w:rPr>
  </w:style>
  <w:style w:type="paragraph" w:styleId="Header">
    <w:name w:val="header"/>
    <w:basedOn w:val="Normal"/>
    <w:link w:val="HeaderChar"/>
    <w:uiPriority w:val="99"/>
    <w:unhideWhenUsed/>
    <w:rsid w:val="005278B7"/>
    <w:pPr>
      <w:tabs>
        <w:tab w:val="clear" w:pos="7100"/>
        <w:tab w:val="center" w:pos="4819"/>
        <w:tab w:val="right" w:pos="9638"/>
      </w:tabs>
      <w:spacing w:line="240" w:lineRule="auto"/>
    </w:pPr>
  </w:style>
  <w:style w:type="character" w:customStyle="1" w:styleId="HeaderChar">
    <w:name w:val="Header Char"/>
    <w:basedOn w:val="DefaultParagraphFont"/>
    <w:link w:val="Header"/>
    <w:uiPriority w:val="99"/>
    <w:rsid w:val="005278B7"/>
    <w:rPr>
      <w:rFonts w:ascii="Arial" w:eastAsia="Times New Roman" w:hAnsi="Arial" w:cs="Times New Roman"/>
      <w:sz w:val="18"/>
      <w:szCs w:val="20"/>
      <w:lang w:val="en-GB"/>
    </w:rPr>
  </w:style>
  <w:style w:type="paragraph" w:styleId="Footer">
    <w:name w:val="footer"/>
    <w:basedOn w:val="Normal"/>
    <w:link w:val="FooterChar"/>
    <w:uiPriority w:val="99"/>
    <w:unhideWhenUsed/>
    <w:rsid w:val="005278B7"/>
    <w:pPr>
      <w:tabs>
        <w:tab w:val="clear" w:pos="7100"/>
        <w:tab w:val="center" w:pos="4819"/>
        <w:tab w:val="right" w:pos="9638"/>
      </w:tabs>
      <w:spacing w:line="240" w:lineRule="auto"/>
    </w:pPr>
  </w:style>
  <w:style w:type="character" w:customStyle="1" w:styleId="FooterChar">
    <w:name w:val="Footer Char"/>
    <w:basedOn w:val="DefaultParagraphFont"/>
    <w:link w:val="Footer"/>
    <w:uiPriority w:val="99"/>
    <w:rsid w:val="005278B7"/>
    <w:rPr>
      <w:rFonts w:ascii="Arial" w:eastAsia="Times New Roman" w:hAnsi="Arial" w:cs="Times New Roman"/>
      <w:sz w:val="18"/>
      <w:szCs w:val="20"/>
      <w:lang w:val="en-GB"/>
    </w:rPr>
  </w:style>
  <w:style w:type="table" w:styleId="TableGrid">
    <w:name w:val="Table Grid"/>
    <w:basedOn w:val="TableNormal"/>
    <w:uiPriority w:val="59"/>
    <w:rsid w:val="00660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04C62"/>
    <w:rPr>
      <w:color w:val="0000FF" w:themeColor="hyperlink"/>
      <w:u w:val="single"/>
    </w:rPr>
  </w:style>
  <w:style w:type="character" w:customStyle="1" w:styleId="eudoraheader">
    <w:name w:val="eudoraheader"/>
    <w:basedOn w:val="DefaultParagraphFont"/>
    <w:rsid w:val="00904C62"/>
  </w:style>
  <w:style w:type="paragraph" w:customStyle="1" w:styleId="CETListbullets">
    <w:name w:val="CET List bullets"/>
    <w:qFormat/>
    <w:rsid w:val="004577FE"/>
    <w:pPr>
      <w:spacing w:after="0" w:line="264" w:lineRule="auto"/>
      <w:ind w:left="340" w:hanging="227"/>
      <w:jc w:val="both"/>
    </w:pPr>
    <w:rPr>
      <w:rFonts w:ascii="Arial" w:eastAsia="Times New Roman" w:hAnsi="Arial" w:cs="Times New Roman"/>
      <w:sz w:val="18"/>
      <w:szCs w:val="20"/>
      <w:lang w:val="en-GB"/>
    </w:rPr>
  </w:style>
  <w:style w:type="paragraph" w:customStyle="1" w:styleId="CETReferencetext">
    <w:name w:val="CET Reference text"/>
    <w:qFormat/>
    <w:rsid w:val="00600535"/>
    <w:pPr>
      <w:spacing w:after="0" w:line="264" w:lineRule="auto"/>
      <w:ind w:left="284" w:hanging="284"/>
      <w:jc w:val="both"/>
    </w:pPr>
    <w:rPr>
      <w:rFonts w:ascii="Arial" w:eastAsia="Times New Roman" w:hAnsi="Arial" w:cs="Times New Roman"/>
      <w:sz w:val="18"/>
      <w:szCs w:val="20"/>
      <w:lang w:val="en-GB"/>
    </w:rPr>
  </w:style>
  <w:style w:type="paragraph" w:customStyle="1" w:styleId="CETTabletitle">
    <w:name w:val="CET Table title"/>
    <w:qFormat/>
    <w:rsid w:val="00600535"/>
    <w:pPr>
      <w:keepNext/>
      <w:spacing w:before="240" w:after="80" w:line="240" w:lineRule="exact"/>
    </w:pPr>
    <w:rPr>
      <w:rFonts w:ascii="Arial" w:eastAsia="Times New Roman" w:hAnsi="Arial" w:cs="Times New Roman"/>
      <w:i/>
      <w:sz w:val="18"/>
      <w:szCs w:val="20"/>
      <w:lang w:val="en-GB"/>
    </w:rPr>
  </w:style>
  <w:style w:type="paragraph" w:customStyle="1" w:styleId="CETAcknowledgementstitle">
    <w:name w:val="CET Acknowledgements title"/>
    <w:next w:val="CETBodytext"/>
    <w:qFormat/>
    <w:rsid w:val="00600535"/>
    <w:pPr>
      <w:spacing w:before="200" w:after="120"/>
    </w:pPr>
    <w:rPr>
      <w:rFonts w:ascii="Arial" w:eastAsia="Times New Roman" w:hAnsi="Arial" w:cs="Times New Roman"/>
      <w:b/>
      <w:sz w:val="18"/>
      <w:szCs w:val="20"/>
      <w:lang w:val="en-GB"/>
    </w:rPr>
  </w:style>
  <w:style w:type="paragraph" w:customStyle="1" w:styleId="CETEquation">
    <w:name w:val="CET Equation"/>
    <w:basedOn w:val="CETBodytext"/>
    <w:next w:val="CETBodytext"/>
    <w:qFormat/>
    <w:rsid w:val="00600535"/>
    <w:pPr>
      <w:spacing w:before="120" w:after="120"/>
      <w:jc w:val="left"/>
    </w:pPr>
    <w:rPr>
      <w:lang w:val="en-GB"/>
    </w:rPr>
  </w:style>
  <w:style w:type="paragraph" w:customStyle="1" w:styleId="CETHeadingxx">
    <w:name w:val="CET Headingxx"/>
    <w:basedOn w:val="CETheadingx"/>
    <w:link w:val="CETHeadingxxChar"/>
    <w:qFormat/>
    <w:rsid w:val="000F787B"/>
    <w:pPr>
      <w:numPr>
        <w:ilvl w:val="0"/>
        <w:numId w:val="0"/>
      </w:numPr>
    </w:pPr>
  </w:style>
  <w:style w:type="character" w:customStyle="1" w:styleId="CETHeadingxxChar">
    <w:name w:val="CET Headingxx Char"/>
    <w:basedOn w:val="CETheadingxCarattere"/>
    <w:link w:val="CETHeadingxx"/>
    <w:rsid w:val="000F787B"/>
    <w:rPr>
      <w:rFonts w:ascii="Arial" w:eastAsia="Times New Roman" w:hAnsi="Arial" w:cs="Times New Roman"/>
      <w:b/>
      <w:sz w:val="18"/>
      <w:szCs w:val="20"/>
      <w:lang w:val="en-US"/>
    </w:rPr>
  </w:style>
  <w:style w:type="paragraph" w:styleId="ListParagraph">
    <w:name w:val="List Paragraph"/>
    <w:basedOn w:val="Normal"/>
    <w:uiPriority w:val="34"/>
    <w:rsid w:val="00280FAF"/>
    <w:pPr>
      <w:ind w:left="720"/>
      <w:contextualSpacing/>
    </w:pPr>
  </w:style>
  <w:style w:type="character" w:customStyle="1" w:styleId="gmail-apple-converted-space">
    <w:name w:val="gmail-apple-converted-space"/>
    <w:basedOn w:val="DefaultParagraphFont"/>
    <w:rsid w:val="00005A19"/>
  </w:style>
  <w:style w:type="character" w:styleId="UnresolvedMention">
    <w:name w:val="Unresolved Mention"/>
    <w:basedOn w:val="DefaultParagraphFont"/>
    <w:uiPriority w:val="99"/>
    <w:semiHidden/>
    <w:unhideWhenUsed/>
    <w:rsid w:val="002D2E2A"/>
    <w:rPr>
      <w:color w:val="605E5C"/>
      <w:shd w:val="clear" w:color="auto" w:fill="E1DFDD"/>
    </w:rPr>
  </w:style>
  <w:style w:type="paragraph" w:styleId="Revision">
    <w:name w:val="Revision"/>
    <w:hidden/>
    <w:uiPriority w:val="99"/>
    <w:semiHidden/>
    <w:rsid w:val="00B91C3B"/>
    <w:pPr>
      <w:spacing w:after="0" w:line="240" w:lineRule="auto"/>
    </w:pPr>
    <w:rPr>
      <w:rFonts w:ascii="Arial" w:eastAsia="Times New Roman" w:hAnsi="Arial" w:cs="Times New Roman"/>
      <w:sz w:val="18"/>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609195">
      <w:bodyDiv w:val="1"/>
      <w:marLeft w:val="0"/>
      <w:marRight w:val="0"/>
      <w:marTop w:val="0"/>
      <w:marBottom w:val="0"/>
      <w:divBdr>
        <w:top w:val="none" w:sz="0" w:space="0" w:color="auto"/>
        <w:left w:val="none" w:sz="0" w:space="0" w:color="auto"/>
        <w:bottom w:val="none" w:sz="0" w:space="0" w:color="auto"/>
        <w:right w:val="none" w:sz="0" w:space="0" w:color="auto"/>
      </w:divBdr>
      <w:divsChild>
        <w:div w:id="1810825834">
          <w:marLeft w:val="0"/>
          <w:marRight w:val="0"/>
          <w:marTop w:val="0"/>
          <w:marBottom w:val="0"/>
          <w:divBdr>
            <w:top w:val="none" w:sz="0" w:space="0" w:color="auto"/>
            <w:left w:val="none" w:sz="0" w:space="0" w:color="auto"/>
            <w:bottom w:val="none" w:sz="0" w:space="0" w:color="auto"/>
            <w:right w:val="none" w:sz="0" w:space="0" w:color="auto"/>
          </w:divBdr>
          <w:divsChild>
            <w:div w:id="57883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321189">
      <w:bodyDiv w:val="1"/>
      <w:marLeft w:val="0"/>
      <w:marRight w:val="0"/>
      <w:marTop w:val="0"/>
      <w:marBottom w:val="0"/>
      <w:divBdr>
        <w:top w:val="none" w:sz="0" w:space="0" w:color="auto"/>
        <w:left w:val="none" w:sz="0" w:space="0" w:color="auto"/>
        <w:bottom w:val="none" w:sz="0" w:space="0" w:color="auto"/>
        <w:right w:val="none" w:sz="0" w:space="0" w:color="auto"/>
      </w:divBdr>
      <w:divsChild>
        <w:div w:id="19673504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3056226">
      <w:bodyDiv w:val="1"/>
      <w:marLeft w:val="0"/>
      <w:marRight w:val="0"/>
      <w:marTop w:val="0"/>
      <w:marBottom w:val="0"/>
      <w:divBdr>
        <w:top w:val="none" w:sz="0" w:space="0" w:color="auto"/>
        <w:left w:val="none" w:sz="0" w:space="0" w:color="auto"/>
        <w:bottom w:val="none" w:sz="0" w:space="0" w:color="auto"/>
        <w:right w:val="none" w:sz="0" w:space="0" w:color="auto"/>
      </w:divBdr>
      <w:divsChild>
        <w:div w:id="790123951">
          <w:marLeft w:val="0"/>
          <w:marRight w:val="0"/>
          <w:marTop w:val="0"/>
          <w:marBottom w:val="0"/>
          <w:divBdr>
            <w:top w:val="none" w:sz="0" w:space="0" w:color="auto"/>
            <w:left w:val="none" w:sz="0" w:space="0" w:color="auto"/>
            <w:bottom w:val="none" w:sz="0" w:space="0" w:color="auto"/>
            <w:right w:val="none" w:sz="0" w:space="0" w:color="auto"/>
          </w:divBdr>
          <w:divsChild>
            <w:div w:id="182146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681295">
      <w:bodyDiv w:val="1"/>
      <w:marLeft w:val="0"/>
      <w:marRight w:val="0"/>
      <w:marTop w:val="0"/>
      <w:marBottom w:val="0"/>
      <w:divBdr>
        <w:top w:val="none" w:sz="0" w:space="0" w:color="auto"/>
        <w:left w:val="none" w:sz="0" w:space="0" w:color="auto"/>
        <w:bottom w:val="none" w:sz="0" w:space="0" w:color="auto"/>
        <w:right w:val="none" w:sz="0" w:space="0" w:color="auto"/>
      </w:divBdr>
    </w:div>
    <w:div w:id="1429156813">
      <w:bodyDiv w:val="1"/>
      <w:marLeft w:val="0"/>
      <w:marRight w:val="0"/>
      <w:marTop w:val="0"/>
      <w:marBottom w:val="0"/>
      <w:divBdr>
        <w:top w:val="none" w:sz="0" w:space="0" w:color="auto"/>
        <w:left w:val="none" w:sz="0" w:space="0" w:color="auto"/>
        <w:bottom w:val="none" w:sz="0" w:space="0" w:color="auto"/>
        <w:right w:val="none" w:sz="0" w:space="0" w:color="auto"/>
      </w:divBdr>
    </w:div>
    <w:div w:id="1489904563">
      <w:bodyDiv w:val="1"/>
      <w:marLeft w:val="0"/>
      <w:marRight w:val="0"/>
      <w:marTop w:val="0"/>
      <w:marBottom w:val="0"/>
      <w:divBdr>
        <w:top w:val="none" w:sz="0" w:space="0" w:color="auto"/>
        <w:left w:val="none" w:sz="0" w:space="0" w:color="auto"/>
        <w:bottom w:val="none" w:sz="0" w:space="0" w:color="auto"/>
        <w:right w:val="none" w:sz="0" w:space="0" w:color="auto"/>
      </w:divBdr>
    </w:div>
    <w:div w:id="1682856157">
      <w:bodyDiv w:val="1"/>
      <w:marLeft w:val="0"/>
      <w:marRight w:val="0"/>
      <w:marTop w:val="0"/>
      <w:marBottom w:val="0"/>
      <w:divBdr>
        <w:top w:val="none" w:sz="0" w:space="0" w:color="auto"/>
        <w:left w:val="none" w:sz="0" w:space="0" w:color="auto"/>
        <w:bottom w:val="none" w:sz="0" w:space="0" w:color="auto"/>
        <w:right w:val="none" w:sz="0" w:space="0" w:color="auto"/>
      </w:divBdr>
      <w:divsChild>
        <w:div w:id="2102991222">
          <w:marLeft w:val="0"/>
          <w:marRight w:val="0"/>
          <w:marTop w:val="0"/>
          <w:marBottom w:val="0"/>
          <w:divBdr>
            <w:top w:val="none" w:sz="0" w:space="0" w:color="auto"/>
            <w:left w:val="none" w:sz="0" w:space="0" w:color="auto"/>
            <w:bottom w:val="none" w:sz="0" w:space="0" w:color="auto"/>
            <w:right w:val="none" w:sz="0" w:space="0" w:color="auto"/>
          </w:divBdr>
          <w:divsChild>
            <w:div w:id="108908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7599">
      <w:bodyDiv w:val="1"/>
      <w:marLeft w:val="0"/>
      <w:marRight w:val="0"/>
      <w:marTop w:val="0"/>
      <w:marBottom w:val="0"/>
      <w:divBdr>
        <w:top w:val="none" w:sz="0" w:space="0" w:color="auto"/>
        <w:left w:val="none" w:sz="0" w:space="0" w:color="auto"/>
        <w:bottom w:val="none" w:sz="0" w:space="0" w:color="auto"/>
        <w:right w:val="none" w:sz="0" w:space="0" w:color="auto"/>
      </w:divBdr>
      <w:divsChild>
        <w:div w:id="1500659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983C9-6D0A-480C-BF79-A63BD3D99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869</TotalTime>
  <Pages>6</Pages>
  <Words>3269</Words>
  <Characters>17653</Characters>
  <Application>Microsoft Office Word</Application>
  <DocSecurity>0</DocSecurity>
  <Lines>147</Lines>
  <Paragraphs>41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Dipartimento CMIC - Politecnico di Milano</Company>
  <LinksUpToDate>false</LinksUpToDate>
  <CharactersWithSpaces>20881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raffaella</dc:creator>
  <cp:lastModifiedBy>Maria Joana Allievi</cp:lastModifiedBy>
  <cp:revision>248</cp:revision>
  <cp:lastPrinted>2015-05-12T18:31:00Z</cp:lastPrinted>
  <dcterms:created xsi:type="dcterms:W3CDTF">2026-03-26T09:59:00Z</dcterms:created>
  <dcterms:modified xsi:type="dcterms:W3CDTF">2026-04-24T10:27:00Z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zotero-version="4.0.29.17"&gt;&lt;session id="s8VwuD2U"/&gt;&lt;style id="http://www.zotero.org/styles/chemical-engineering-transactions" hasBibliography="1" bibliographyStyleHasBeenSet="1"/&gt;&lt;prefs&gt;&lt;pref name="fieldType" value="Field"/&gt;&lt;pref na</vt:lpwstr>
  </property>
  <property fmtid="{D5CDD505-2E9C-101B-9397-08002B2CF9AE}" pid="3" name="ZOTERO_PREF_2">
    <vt:lpwstr>me="storeReferences" value="true"/&gt;&lt;pref name="automaticJournalAbbreviations" value=""/&gt;&lt;pref name="noteType" value=""/&gt;&lt;/prefs&gt;&lt;/data&gt;</vt:lpwstr>
  </property>
</Properties>
</file>