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ook w:val="01E0" w:firstRow="1" w:lastRow="1" w:firstColumn="1" w:lastColumn="1" w:noHBand="0" w:noVBand="0"/>
      </w:tblPr>
      <w:tblGrid>
        <w:gridCol w:w="6944"/>
        <w:gridCol w:w="1843"/>
      </w:tblGrid>
      <w:tr w:rsidR="000A03B2" w:rsidRPr="00B57B36" w14:paraId="2A131A54" w14:textId="77777777" w:rsidTr="00CB051B">
        <w:trPr>
          <w:trHeight w:val="852"/>
          <w:jc w:val="center"/>
        </w:trPr>
        <w:tc>
          <w:tcPr>
            <w:tcW w:w="6946" w:type="dxa"/>
            <w:vMerge w:val="restart"/>
          </w:tcPr>
          <w:p w14:paraId="38C3D2BA" w14:textId="77777777" w:rsidR="000A03B2" w:rsidRPr="00B57B36" w:rsidRDefault="000A03B2" w:rsidP="00547478">
            <w:pPr>
              <w:tabs>
                <w:tab w:val="left" w:pos="-108"/>
              </w:tabs>
              <w:ind w:left="-108"/>
              <w:rPr>
                <w:rFonts w:cs="Arial"/>
                <w:b/>
                <w:bCs/>
                <w:i/>
                <w:iCs/>
                <w:color w:val="000066"/>
                <w:sz w:val="12"/>
                <w:szCs w:val="12"/>
                <w:lang w:eastAsia="it-IT"/>
              </w:rPr>
            </w:pPr>
            <w:r w:rsidRPr="00B57B36">
              <w:rPr>
                <w:rFonts w:ascii="AdvP6960" w:hAnsi="AdvP6960" w:cs="AdvP6960"/>
                <w:noProof/>
                <w:color w:val="241F20"/>
                <w:szCs w:val="18"/>
                <w:lang w:val="it-IT" w:eastAsia="it-IT"/>
              </w:rPr>
              <w:drawing>
                <wp:inline distT="0" distB="0" distL="0" distR="0" wp14:anchorId="02B7C3D3" wp14:editId="5EE03112">
                  <wp:extent cx="640080" cy="373380"/>
                  <wp:effectExtent l="0" t="0" r="7620" b="7620"/>
                  <wp:docPr id="5" name="Immagine 5" descr="ce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373380"/>
                          </a:xfrm>
                          <a:prstGeom prst="rect">
                            <a:avLst/>
                          </a:prstGeom>
                          <a:noFill/>
                          <a:ln>
                            <a:noFill/>
                          </a:ln>
                        </pic:spPr>
                      </pic:pic>
                    </a:graphicData>
                  </a:graphic>
                </wp:inline>
              </w:drawing>
            </w:r>
            <w:r w:rsidRPr="00B57B36">
              <w:rPr>
                <w:rFonts w:ascii="AdvP6960" w:hAnsi="AdvP6960" w:cs="AdvP6960"/>
                <w:color w:val="241F20"/>
                <w:szCs w:val="18"/>
                <w:lang w:eastAsia="it-IT"/>
              </w:rPr>
              <w:t xml:space="preserve"> </w:t>
            </w:r>
            <w:r w:rsidRPr="00B57B36">
              <w:rPr>
                <w:rFonts w:cs="Arial"/>
                <w:b/>
                <w:bCs/>
                <w:i/>
                <w:iCs/>
                <w:color w:val="000066"/>
                <w:sz w:val="24"/>
                <w:szCs w:val="24"/>
                <w:lang w:eastAsia="it-IT"/>
              </w:rPr>
              <w:t>CHEMICAL ENGINEERING</w:t>
            </w:r>
            <w:r w:rsidRPr="00B57B36">
              <w:rPr>
                <w:rFonts w:cs="Arial"/>
                <w:b/>
                <w:bCs/>
                <w:i/>
                <w:iCs/>
                <w:color w:val="0033FF"/>
                <w:sz w:val="24"/>
                <w:szCs w:val="24"/>
                <w:lang w:eastAsia="it-IT"/>
              </w:rPr>
              <w:t xml:space="preserve"> </w:t>
            </w:r>
            <w:r w:rsidRPr="00B57B36">
              <w:rPr>
                <w:rFonts w:cs="Arial"/>
                <w:b/>
                <w:bCs/>
                <w:i/>
                <w:iCs/>
                <w:color w:val="666666"/>
                <w:sz w:val="24"/>
                <w:szCs w:val="24"/>
                <w:lang w:eastAsia="it-IT"/>
              </w:rPr>
              <w:t>TRANSACTIONS</w:t>
            </w:r>
            <w:r w:rsidRPr="00B57B36">
              <w:rPr>
                <w:color w:val="333333"/>
                <w:sz w:val="24"/>
                <w:szCs w:val="24"/>
                <w:lang w:eastAsia="it-IT"/>
              </w:rPr>
              <w:t xml:space="preserve"> </w:t>
            </w:r>
            <w:r w:rsidRPr="00B57B36">
              <w:rPr>
                <w:rFonts w:cs="Arial"/>
                <w:b/>
                <w:bCs/>
                <w:i/>
                <w:iCs/>
                <w:color w:val="000066"/>
                <w:sz w:val="27"/>
                <w:szCs w:val="27"/>
                <w:lang w:eastAsia="it-IT"/>
              </w:rPr>
              <w:br/>
            </w:r>
          </w:p>
          <w:p w14:paraId="4B780582" w14:textId="20225A27" w:rsidR="000A03B2" w:rsidRPr="00B57B36" w:rsidRDefault="00A76EFC" w:rsidP="001D21AF">
            <w:pPr>
              <w:tabs>
                <w:tab w:val="left" w:pos="-108"/>
              </w:tabs>
              <w:ind w:left="-108"/>
              <w:rPr>
                <w:rFonts w:cs="Arial"/>
                <w:b/>
                <w:bCs/>
                <w:i/>
                <w:iCs/>
                <w:color w:val="000066"/>
                <w:sz w:val="22"/>
                <w:szCs w:val="22"/>
                <w:lang w:eastAsia="it-IT"/>
              </w:rPr>
            </w:pPr>
            <w:r w:rsidRPr="00B57B36">
              <w:rPr>
                <w:rFonts w:cs="Arial"/>
                <w:b/>
                <w:bCs/>
                <w:i/>
                <w:iCs/>
                <w:color w:val="000066"/>
                <w:sz w:val="22"/>
                <w:szCs w:val="22"/>
                <w:lang w:eastAsia="it-IT"/>
              </w:rPr>
              <w:t xml:space="preserve">VOL. </w:t>
            </w:r>
            <w:r w:rsidR="00F05546">
              <w:rPr>
                <w:rFonts w:cs="Arial"/>
                <w:b/>
                <w:bCs/>
                <w:i/>
                <w:iCs/>
                <w:color w:val="000066"/>
                <w:sz w:val="22"/>
                <w:szCs w:val="22"/>
                <w:lang w:eastAsia="it-IT"/>
              </w:rPr>
              <w:t>xx</w:t>
            </w:r>
            <w:r w:rsidR="007B48F9">
              <w:rPr>
                <w:rFonts w:cs="Arial"/>
                <w:b/>
                <w:bCs/>
                <w:i/>
                <w:iCs/>
                <w:color w:val="000066"/>
                <w:sz w:val="22"/>
                <w:szCs w:val="22"/>
                <w:lang w:eastAsia="it-IT"/>
              </w:rPr>
              <w:t>,</w:t>
            </w:r>
            <w:r w:rsidR="00FA5F5F">
              <w:rPr>
                <w:rFonts w:cs="Arial"/>
                <w:b/>
                <w:bCs/>
                <w:i/>
                <w:iCs/>
                <w:color w:val="000066"/>
                <w:sz w:val="22"/>
                <w:szCs w:val="22"/>
                <w:lang w:eastAsia="it-IT"/>
              </w:rPr>
              <w:t xml:space="preserve"> 20</w:t>
            </w:r>
            <w:r w:rsidR="00DF5072">
              <w:rPr>
                <w:rFonts w:cs="Arial"/>
                <w:b/>
                <w:bCs/>
                <w:i/>
                <w:iCs/>
                <w:color w:val="000066"/>
                <w:sz w:val="22"/>
                <w:szCs w:val="22"/>
                <w:lang w:eastAsia="it-IT"/>
              </w:rPr>
              <w:t>2</w:t>
            </w:r>
            <w:r w:rsidR="00F05546">
              <w:rPr>
                <w:rFonts w:cs="Arial"/>
                <w:b/>
                <w:bCs/>
                <w:i/>
                <w:iCs/>
                <w:color w:val="000066"/>
                <w:sz w:val="22"/>
                <w:szCs w:val="22"/>
                <w:lang w:eastAsia="it-IT"/>
              </w:rPr>
              <w:t>6</w:t>
            </w:r>
          </w:p>
        </w:tc>
        <w:tc>
          <w:tcPr>
            <w:tcW w:w="1843" w:type="dxa"/>
          </w:tcPr>
          <w:p w14:paraId="56782132" w14:textId="77777777" w:rsidR="000A03B2" w:rsidRPr="00B57B36" w:rsidRDefault="000A03B2" w:rsidP="00CD5FE2">
            <w:pPr>
              <w:spacing w:line="140" w:lineRule="atLeast"/>
              <w:jc w:val="right"/>
              <w:rPr>
                <w:rFonts w:cs="Arial"/>
                <w:sz w:val="14"/>
                <w:szCs w:val="14"/>
              </w:rPr>
            </w:pPr>
            <w:r w:rsidRPr="00B57B36">
              <w:rPr>
                <w:rFonts w:cs="Arial"/>
                <w:sz w:val="14"/>
                <w:szCs w:val="14"/>
              </w:rPr>
              <w:t>A publication of</w:t>
            </w:r>
          </w:p>
          <w:p w14:paraId="599E5441" w14:textId="77777777" w:rsidR="000A03B2" w:rsidRPr="00B57B36" w:rsidRDefault="000A03B2" w:rsidP="00CD5FE2">
            <w:pPr>
              <w:jc w:val="right"/>
            </w:pPr>
            <w:r w:rsidRPr="00B57B36">
              <w:rPr>
                <w:noProof/>
                <w:lang w:val="it-IT" w:eastAsia="it-IT"/>
              </w:rPr>
              <w:drawing>
                <wp:inline distT="0" distB="0" distL="0" distR="0" wp14:anchorId="59C75AF4" wp14:editId="4FF92432">
                  <wp:extent cx="670560" cy="358140"/>
                  <wp:effectExtent l="0" t="0" r="0" b="3810"/>
                  <wp:docPr id="6" name="Immagine 6" descr="aidiclogo_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diclogo_gran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358140"/>
                          </a:xfrm>
                          <a:prstGeom prst="rect">
                            <a:avLst/>
                          </a:prstGeom>
                          <a:noFill/>
                          <a:ln>
                            <a:noFill/>
                          </a:ln>
                        </pic:spPr>
                      </pic:pic>
                    </a:graphicData>
                  </a:graphic>
                </wp:inline>
              </w:drawing>
            </w:r>
          </w:p>
        </w:tc>
      </w:tr>
      <w:tr w:rsidR="000A03B2" w:rsidRPr="00B57B36" w14:paraId="380FA3CD" w14:textId="77777777" w:rsidTr="00CB051B">
        <w:trPr>
          <w:trHeight w:val="567"/>
          <w:jc w:val="center"/>
        </w:trPr>
        <w:tc>
          <w:tcPr>
            <w:tcW w:w="6946" w:type="dxa"/>
            <w:vMerge/>
          </w:tcPr>
          <w:p w14:paraId="39E5E4C1" w14:textId="77777777" w:rsidR="000A03B2" w:rsidRPr="00B57B36" w:rsidRDefault="000A03B2" w:rsidP="00CD5FE2">
            <w:pPr>
              <w:tabs>
                <w:tab w:val="left" w:pos="-108"/>
              </w:tabs>
            </w:pPr>
          </w:p>
        </w:tc>
        <w:tc>
          <w:tcPr>
            <w:tcW w:w="1843" w:type="dxa"/>
          </w:tcPr>
          <w:p w14:paraId="43858A98" w14:textId="77777777" w:rsidR="000A03B2" w:rsidRPr="00B57B36" w:rsidRDefault="000A03B2" w:rsidP="00CD5FE2">
            <w:pPr>
              <w:spacing w:line="140" w:lineRule="atLeast"/>
              <w:jc w:val="right"/>
              <w:rPr>
                <w:rFonts w:cs="Arial"/>
                <w:sz w:val="14"/>
                <w:szCs w:val="14"/>
              </w:rPr>
            </w:pPr>
            <w:r w:rsidRPr="00B57B36">
              <w:rPr>
                <w:rFonts w:cs="Arial"/>
                <w:sz w:val="14"/>
                <w:szCs w:val="14"/>
              </w:rPr>
              <w:t>The Italian Association</w:t>
            </w:r>
          </w:p>
          <w:p w14:paraId="7522B1D2" w14:textId="77777777" w:rsidR="000A03B2" w:rsidRPr="00B57B36" w:rsidRDefault="000A03B2" w:rsidP="00CD5FE2">
            <w:pPr>
              <w:spacing w:line="140" w:lineRule="atLeast"/>
              <w:jc w:val="right"/>
              <w:rPr>
                <w:rFonts w:cs="Arial"/>
                <w:sz w:val="14"/>
                <w:szCs w:val="14"/>
              </w:rPr>
            </w:pPr>
            <w:r w:rsidRPr="00B57B36">
              <w:rPr>
                <w:rFonts w:cs="Arial"/>
                <w:sz w:val="14"/>
                <w:szCs w:val="14"/>
              </w:rPr>
              <w:t>of Chemical Engineering</w:t>
            </w:r>
          </w:p>
          <w:p w14:paraId="4F0CC5DE" w14:textId="47FDB2FC" w:rsidR="000A03B2" w:rsidRPr="000D0268" w:rsidRDefault="000D0268" w:rsidP="00CD5FE2">
            <w:pPr>
              <w:spacing w:line="140" w:lineRule="atLeast"/>
              <w:jc w:val="right"/>
              <w:rPr>
                <w:rFonts w:cs="Arial"/>
                <w:sz w:val="13"/>
                <w:szCs w:val="13"/>
              </w:rPr>
            </w:pPr>
            <w:r w:rsidRPr="000D0268">
              <w:rPr>
                <w:rFonts w:cs="Arial"/>
                <w:sz w:val="13"/>
                <w:szCs w:val="13"/>
              </w:rPr>
              <w:t>Online at www.cetjournal.it</w:t>
            </w:r>
          </w:p>
        </w:tc>
      </w:tr>
      <w:tr w:rsidR="000A03B2" w:rsidRPr="00B57B36" w14:paraId="2D1B7169" w14:textId="77777777" w:rsidTr="00CB051B">
        <w:trPr>
          <w:trHeight w:val="68"/>
          <w:jc w:val="center"/>
        </w:trPr>
        <w:tc>
          <w:tcPr>
            <w:tcW w:w="8789" w:type="dxa"/>
            <w:gridSpan w:val="2"/>
          </w:tcPr>
          <w:p w14:paraId="4B0BB442" w14:textId="60E9582B" w:rsidR="00300E56" w:rsidRPr="0044071E" w:rsidRDefault="00300E56" w:rsidP="00B57E6F">
            <w:pPr>
              <w:ind w:left="-107"/>
              <w:outlineLvl w:val="2"/>
              <w:rPr>
                <w:rFonts w:ascii="Tahoma" w:hAnsi="Tahoma" w:cs="Tahoma"/>
                <w:bCs/>
                <w:color w:val="000000"/>
                <w:sz w:val="14"/>
                <w:szCs w:val="14"/>
                <w:lang w:val="it-IT" w:eastAsia="it-IT"/>
              </w:rPr>
            </w:pPr>
            <w:r w:rsidRPr="0044071E">
              <w:rPr>
                <w:rFonts w:ascii="Tahoma" w:hAnsi="Tahoma" w:cs="Tahoma"/>
                <w:iCs/>
                <w:color w:val="333333"/>
                <w:sz w:val="14"/>
                <w:szCs w:val="14"/>
                <w:lang w:val="it-IT" w:eastAsia="it-IT"/>
              </w:rPr>
              <w:t>Guest Editors:</w:t>
            </w:r>
            <w:r w:rsidR="001D21AF" w:rsidRPr="0044071E">
              <w:rPr>
                <w:rFonts w:ascii="Tahoma" w:hAnsi="Tahoma" w:cs="Tahoma"/>
                <w:color w:val="000000"/>
                <w:sz w:val="14"/>
                <w:szCs w:val="14"/>
                <w:shd w:val="clear" w:color="auto" w:fill="FFFFFF"/>
                <w:lang w:val="it-IT"/>
              </w:rPr>
              <w:t xml:space="preserve"> </w:t>
            </w:r>
            <w:r w:rsidR="00F05546">
              <w:rPr>
                <w:sz w:val="14"/>
                <w:szCs w:val="14"/>
                <w:lang w:val="it-IT"/>
              </w:rPr>
              <w:t>Laura Capelli, Marzio Invernizzi, Selena Sironi</w:t>
            </w:r>
          </w:p>
          <w:p w14:paraId="1B0F1814" w14:textId="58E61D16" w:rsidR="000A03B2" w:rsidRPr="00B57B36" w:rsidRDefault="00FA5F5F" w:rsidP="001D21AF">
            <w:pPr>
              <w:tabs>
                <w:tab w:val="left" w:pos="-108"/>
              </w:tabs>
              <w:spacing w:line="140" w:lineRule="atLeast"/>
              <w:ind w:left="-107"/>
              <w:jc w:val="left"/>
            </w:pPr>
            <w:r>
              <w:rPr>
                <w:rFonts w:ascii="Tahoma" w:hAnsi="Tahoma" w:cs="Tahoma"/>
                <w:iCs/>
                <w:color w:val="333333"/>
                <w:sz w:val="14"/>
                <w:szCs w:val="14"/>
                <w:lang w:eastAsia="it-IT"/>
              </w:rPr>
              <w:t>Copyright © 20</w:t>
            </w:r>
            <w:r w:rsidR="00DF5072">
              <w:rPr>
                <w:rFonts w:ascii="Tahoma" w:hAnsi="Tahoma" w:cs="Tahoma"/>
                <w:iCs/>
                <w:color w:val="333333"/>
                <w:sz w:val="14"/>
                <w:szCs w:val="14"/>
                <w:lang w:eastAsia="it-IT"/>
              </w:rPr>
              <w:t>2</w:t>
            </w:r>
            <w:r w:rsidR="00F05546">
              <w:rPr>
                <w:rFonts w:ascii="Tahoma" w:hAnsi="Tahoma" w:cs="Tahoma"/>
                <w:iCs/>
                <w:color w:val="333333"/>
                <w:sz w:val="14"/>
                <w:szCs w:val="14"/>
                <w:lang w:eastAsia="it-IT"/>
              </w:rPr>
              <w:t>6</w:t>
            </w:r>
            <w:r w:rsidR="00904C62" w:rsidRPr="00B57B36">
              <w:rPr>
                <w:rFonts w:ascii="Tahoma" w:hAnsi="Tahoma" w:cs="Tahoma"/>
                <w:iCs/>
                <w:color w:val="333333"/>
                <w:sz w:val="14"/>
                <w:szCs w:val="14"/>
                <w:lang w:eastAsia="it-IT"/>
              </w:rPr>
              <w:t xml:space="preserve">, AIDIC </w:t>
            </w:r>
            <w:proofErr w:type="spellStart"/>
            <w:r w:rsidR="00904C62" w:rsidRPr="00B57B36">
              <w:rPr>
                <w:rFonts w:ascii="Tahoma" w:hAnsi="Tahoma" w:cs="Tahoma"/>
                <w:iCs/>
                <w:color w:val="333333"/>
                <w:sz w:val="14"/>
                <w:szCs w:val="14"/>
                <w:lang w:eastAsia="it-IT"/>
              </w:rPr>
              <w:t>Servizi</w:t>
            </w:r>
            <w:proofErr w:type="spellEnd"/>
            <w:r w:rsidR="00904C62" w:rsidRPr="00B57B36">
              <w:rPr>
                <w:rFonts w:ascii="Tahoma" w:hAnsi="Tahoma" w:cs="Tahoma"/>
                <w:iCs/>
                <w:color w:val="333333"/>
                <w:sz w:val="14"/>
                <w:szCs w:val="14"/>
                <w:lang w:eastAsia="it-IT"/>
              </w:rPr>
              <w:t xml:space="preserve"> </w:t>
            </w:r>
            <w:proofErr w:type="spellStart"/>
            <w:r w:rsidR="00904C62" w:rsidRPr="00B57B36">
              <w:rPr>
                <w:rFonts w:ascii="Tahoma" w:hAnsi="Tahoma" w:cs="Tahoma"/>
                <w:iCs/>
                <w:color w:val="333333"/>
                <w:sz w:val="14"/>
                <w:szCs w:val="14"/>
                <w:lang w:eastAsia="it-IT"/>
              </w:rPr>
              <w:t>S.r.l</w:t>
            </w:r>
            <w:proofErr w:type="spellEnd"/>
            <w:r w:rsidR="00904C62" w:rsidRPr="00B57B36">
              <w:rPr>
                <w:rFonts w:ascii="Tahoma" w:hAnsi="Tahoma" w:cs="Tahoma"/>
                <w:iCs/>
                <w:color w:val="333333"/>
                <w:sz w:val="14"/>
                <w:szCs w:val="14"/>
                <w:lang w:eastAsia="it-IT"/>
              </w:rPr>
              <w:t>.</w:t>
            </w:r>
            <w:r w:rsidR="00300E56" w:rsidRPr="00B57B36">
              <w:rPr>
                <w:rFonts w:ascii="Tahoma" w:hAnsi="Tahoma" w:cs="Tahoma"/>
                <w:iCs/>
                <w:color w:val="333333"/>
                <w:sz w:val="14"/>
                <w:szCs w:val="14"/>
                <w:lang w:eastAsia="it-IT"/>
              </w:rPr>
              <w:br/>
            </w:r>
            <w:r w:rsidR="00300E56" w:rsidRPr="00B57B36">
              <w:rPr>
                <w:rFonts w:ascii="Tahoma" w:hAnsi="Tahoma" w:cs="Tahoma"/>
                <w:b/>
                <w:iCs/>
                <w:color w:val="000000"/>
                <w:sz w:val="14"/>
                <w:szCs w:val="14"/>
                <w:lang w:eastAsia="it-IT"/>
              </w:rPr>
              <w:t>ISBN</w:t>
            </w:r>
            <w:r w:rsidR="00300E56" w:rsidRPr="00B57B36">
              <w:rPr>
                <w:rFonts w:ascii="Tahoma" w:hAnsi="Tahoma" w:cs="Tahoma"/>
                <w:iCs/>
                <w:color w:val="000000"/>
                <w:sz w:val="14"/>
                <w:szCs w:val="14"/>
                <w:lang w:eastAsia="it-IT"/>
              </w:rPr>
              <w:t xml:space="preserve"> </w:t>
            </w:r>
            <w:r w:rsidR="008D32B9">
              <w:rPr>
                <w:rFonts w:ascii="Tahoma" w:hAnsi="Tahoma" w:cs="Tahoma"/>
                <w:sz w:val="14"/>
                <w:szCs w:val="14"/>
              </w:rPr>
              <w:t>97</w:t>
            </w:r>
            <w:r w:rsidR="00F05546">
              <w:rPr>
                <w:rFonts w:ascii="Tahoma" w:hAnsi="Tahoma" w:cs="Tahoma"/>
                <w:sz w:val="14"/>
                <w:szCs w:val="14"/>
              </w:rPr>
              <w:t>9</w:t>
            </w:r>
            <w:r w:rsidR="008D32B9">
              <w:rPr>
                <w:rFonts w:ascii="Tahoma" w:hAnsi="Tahoma" w:cs="Tahoma"/>
                <w:sz w:val="14"/>
                <w:szCs w:val="14"/>
              </w:rPr>
              <w:t>-</w:t>
            </w:r>
            <w:r w:rsidR="00F05546">
              <w:rPr>
                <w:rFonts w:ascii="Tahoma" w:hAnsi="Tahoma" w:cs="Tahoma"/>
                <w:sz w:val="14"/>
                <w:szCs w:val="14"/>
              </w:rPr>
              <w:t>12</w:t>
            </w:r>
            <w:r w:rsidR="008D32B9">
              <w:rPr>
                <w:rFonts w:ascii="Tahoma" w:hAnsi="Tahoma" w:cs="Tahoma"/>
                <w:sz w:val="14"/>
                <w:szCs w:val="14"/>
              </w:rPr>
              <w:t>-</w:t>
            </w:r>
            <w:r w:rsidR="00F05546">
              <w:rPr>
                <w:rFonts w:ascii="Tahoma" w:hAnsi="Tahoma" w:cs="Tahoma"/>
                <w:sz w:val="14"/>
                <w:szCs w:val="14"/>
              </w:rPr>
              <w:t>81206</w:t>
            </w:r>
            <w:r w:rsidR="00D46B7E">
              <w:rPr>
                <w:rFonts w:ascii="Tahoma" w:hAnsi="Tahoma" w:cs="Tahoma"/>
                <w:sz w:val="14"/>
                <w:szCs w:val="14"/>
              </w:rPr>
              <w:t>-</w:t>
            </w:r>
            <w:r w:rsidR="00F05546">
              <w:rPr>
                <w:rFonts w:ascii="Tahoma" w:hAnsi="Tahoma" w:cs="Tahoma"/>
                <w:sz w:val="14"/>
                <w:szCs w:val="14"/>
              </w:rPr>
              <w:t>xx</w:t>
            </w:r>
            <w:r w:rsidR="00D46B7E">
              <w:rPr>
                <w:rFonts w:ascii="Tahoma" w:hAnsi="Tahoma" w:cs="Tahoma"/>
                <w:sz w:val="14"/>
                <w:szCs w:val="14"/>
              </w:rPr>
              <w:t>-</w:t>
            </w:r>
            <w:r w:rsidR="00F05546">
              <w:rPr>
                <w:rFonts w:ascii="Tahoma" w:hAnsi="Tahoma" w:cs="Tahoma"/>
                <w:sz w:val="14"/>
                <w:szCs w:val="14"/>
              </w:rPr>
              <w:t>x</w:t>
            </w:r>
            <w:r w:rsidR="007B48F9" w:rsidRPr="00EF06D9">
              <w:rPr>
                <w:rFonts w:ascii="Tahoma" w:hAnsi="Tahoma" w:cs="Tahoma"/>
                <w:iCs/>
                <w:color w:val="333333"/>
                <w:sz w:val="14"/>
                <w:szCs w:val="14"/>
                <w:lang w:eastAsia="it-IT"/>
              </w:rPr>
              <w:t>;</w:t>
            </w:r>
            <w:r w:rsidR="00300E56" w:rsidRPr="00B57B36">
              <w:rPr>
                <w:rFonts w:ascii="Tahoma" w:hAnsi="Tahoma" w:cs="Tahoma"/>
                <w:iCs/>
                <w:color w:val="333333"/>
                <w:sz w:val="14"/>
                <w:szCs w:val="14"/>
                <w:lang w:eastAsia="it-IT"/>
              </w:rPr>
              <w:t xml:space="preserve"> </w:t>
            </w:r>
            <w:r w:rsidR="00300E56" w:rsidRPr="00B57B36">
              <w:rPr>
                <w:rFonts w:ascii="Tahoma" w:hAnsi="Tahoma" w:cs="Tahoma"/>
                <w:b/>
                <w:iCs/>
                <w:color w:val="333333"/>
                <w:sz w:val="14"/>
                <w:szCs w:val="14"/>
                <w:lang w:eastAsia="it-IT"/>
              </w:rPr>
              <w:t>ISSN</w:t>
            </w:r>
            <w:r w:rsidR="00300E56" w:rsidRPr="00B57B36">
              <w:rPr>
                <w:rFonts w:ascii="Tahoma" w:hAnsi="Tahoma" w:cs="Tahoma"/>
                <w:iCs/>
                <w:color w:val="333333"/>
                <w:sz w:val="14"/>
                <w:szCs w:val="14"/>
                <w:lang w:eastAsia="it-IT"/>
              </w:rPr>
              <w:t xml:space="preserve"> 2283-9216</w:t>
            </w:r>
          </w:p>
        </w:tc>
      </w:tr>
    </w:tbl>
    <w:p w14:paraId="2E667253" w14:textId="7409BC3C" w:rsidR="00E978D0" w:rsidRPr="00E0137A" w:rsidRDefault="00600535" w:rsidP="00E978D0">
      <w:pPr>
        <w:pStyle w:val="CETTitle"/>
      </w:pPr>
      <w:r w:rsidRPr="00E0137A">
        <w:t>I</w:t>
      </w:r>
      <w:r w:rsidR="00E0137A" w:rsidRPr="00E0137A">
        <w:t>ntroduction of the Odour F</w:t>
      </w:r>
      <w:r w:rsidR="00E0137A">
        <w:t>ugitive Emission Potential (OFEP) for the characterization of fugitive odorous emissions</w:t>
      </w:r>
    </w:p>
    <w:p w14:paraId="0488FED2" w14:textId="29D50603" w:rsidR="00B57E6F" w:rsidRPr="00E0137A" w:rsidRDefault="00E0137A" w:rsidP="00D340DE">
      <w:pPr>
        <w:pStyle w:val="CETAuthors"/>
        <w:tabs>
          <w:tab w:val="clear" w:pos="7100"/>
          <w:tab w:val="right" w:pos="8787"/>
        </w:tabs>
        <w:rPr>
          <w:lang w:val="it-IT"/>
        </w:rPr>
      </w:pPr>
      <w:r w:rsidRPr="00E0137A">
        <w:rPr>
          <w:lang w:val="it-IT"/>
        </w:rPr>
        <w:t>Luca Carrera, Marzio Inv</w:t>
      </w:r>
      <w:r>
        <w:rPr>
          <w:lang w:val="it-IT"/>
        </w:rPr>
        <w:t>ernizzi*, Selena Sironi</w:t>
      </w:r>
      <w:r w:rsidR="00D340DE">
        <w:rPr>
          <w:lang w:val="it-IT"/>
        </w:rPr>
        <w:tab/>
      </w:r>
    </w:p>
    <w:p w14:paraId="6B2D21B3" w14:textId="7DD73FC8" w:rsidR="00B57E6F" w:rsidRPr="00E0137A" w:rsidRDefault="00E0137A" w:rsidP="00B57E6F">
      <w:pPr>
        <w:pStyle w:val="CETAddress"/>
        <w:rPr>
          <w:lang w:val="it-IT"/>
        </w:rPr>
      </w:pPr>
      <w:r w:rsidRPr="00E0137A">
        <w:rPr>
          <w:lang w:val="it-IT"/>
        </w:rPr>
        <w:t>Politecnico di Milano, Department of Chemistry, Materials and Chemical Engineering “Giulio Natta”, Piazza Leonardo da Vi</w:t>
      </w:r>
      <w:r>
        <w:rPr>
          <w:lang w:val="it-IT"/>
        </w:rPr>
        <w:t>nci 32, 20133 Milano, Italy</w:t>
      </w:r>
      <w:r w:rsidR="00B57E6F" w:rsidRPr="00E0137A">
        <w:rPr>
          <w:lang w:val="it-IT"/>
        </w:rPr>
        <w:t xml:space="preserve"> </w:t>
      </w:r>
    </w:p>
    <w:p w14:paraId="73F1267A" w14:textId="7C8D23ED" w:rsidR="00B57E6F" w:rsidRPr="00E378A4" w:rsidRDefault="00E0137A" w:rsidP="00B57E6F">
      <w:pPr>
        <w:pStyle w:val="CETemail"/>
      </w:pPr>
      <w:r w:rsidRPr="00E378A4">
        <w:t>marzio.invernizzi@polimi.it</w:t>
      </w:r>
    </w:p>
    <w:p w14:paraId="37A61FCE" w14:textId="67DA1AD8" w:rsidR="00DA24C6" w:rsidRDefault="001A5053" w:rsidP="00E0137A">
      <w:pPr>
        <w:pStyle w:val="CETListbullets"/>
        <w:ind w:left="0" w:firstLine="0"/>
      </w:pPr>
      <w:r>
        <w:t xml:space="preserve">The evaluation of fugitive odorous emissions represents a key challenge in the assessment of odour impacts from industrial plants and installations. These emissions are characterized by diffuse release mechanisms, marked spatial and temporal variability, and considerable uncertainties in the estimation of emitted flows. Although fugitive sources are increasingly considered within regulatory and </w:t>
      </w:r>
      <w:r w:rsidR="00927CC2">
        <w:t>authori</w:t>
      </w:r>
      <w:r w:rsidR="0098109E">
        <w:t>z</w:t>
      </w:r>
      <w:r w:rsidR="00927CC2">
        <w:t>ation frameworks, their characterization remains a topic of ongoing technical and scientific debate, due to the inherent complexity of these emission sources.</w:t>
      </w:r>
    </w:p>
    <w:p w14:paraId="3E7B0DFE" w14:textId="4B4E8E85" w:rsidR="00927CC2" w:rsidRDefault="00927CC2" w:rsidP="00E0137A">
      <w:pPr>
        <w:pStyle w:val="CETListbullets"/>
        <w:ind w:left="0" w:firstLine="0"/>
      </w:pPr>
      <w:r>
        <w:t xml:space="preserve">Several approaches are currently adopted to estimate fugitive emissions, mainly based on mass flow calculations derived from emission factors, Leak Detection and Repair (LDAR) programs or direct measurements, such as Quantitative Optical Gas Imaging (QOGI). However, such methodologies generally provide results only in terms </w:t>
      </w:r>
      <w:r w:rsidR="00B30DE2">
        <w:t>of mass emissions and do not allow a direct evaluation of Odour Emission Rates (OER), which are required for odour dispersion modelling and impact assessment.</w:t>
      </w:r>
    </w:p>
    <w:p w14:paraId="1FBE6D85" w14:textId="2899A29B" w:rsidR="00B30DE2" w:rsidRDefault="00B30DE2" w:rsidP="00E0137A">
      <w:pPr>
        <w:pStyle w:val="CETListbullets"/>
        <w:ind w:left="0" w:firstLine="0"/>
      </w:pPr>
      <w:r>
        <w:t>In this context, the present paper introduces the Odour Fugitive Emission Potential (OFEP) as a parameter intended to link estimated fugitive mass losses to the associated odour emissions, by coupling odour and Total Volatile Organic Carbon (TVOC) concentrations measured at the interface of the fugitive source.</w:t>
      </w:r>
    </w:p>
    <w:p w14:paraId="28FFD499" w14:textId="71D52CD3" w:rsidR="00B30DE2" w:rsidRDefault="00B30DE2" w:rsidP="00E0137A">
      <w:pPr>
        <w:pStyle w:val="CETListbullets"/>
        <w:ind w:left="0" w:firstLine="0"/>
      </w:pPr>
      <w:r>
        <w:t>The proposed approach enables the inclusion of fugitive emission sources within the overall odour emission scenario, contributing to a more comprehensive and consistent assessment of industrial odour emissions.</w:t>
      </w:r>
    </w:p>
    <w:p w14:paraId="476B2F2E" w14:textId="36174612" w:rsidR="00600535" w:rsidRDefault="00600535" w:rsidP="00600535">
      <w:pPr>
        <w:pStyle w:val="CETHeading1"/>
        <w:rPr>
          <w:lang w:val="en-GB"/>
        </w:rPr>
      </w:pPr>
      <w:r w:rsidRPr="00B57B36">
        <w:rPr>
          <w:lang w:val="en-GB"/>
        </w:rPr>
        <w:t>Introduction</w:t>
      </w:r>
    </w:p>
    <w:p w14:paraId="2EA3B687" w14:textId="05B0A9B6" w:rsidR="00FE1A44" w:rsidRDefault="00945089" w:rsidP="00E0137A">
      <w:pPr>
        <w:pStyle w:val="CETBodytext"/>
        <w:rPr>
          <w:lang w:val="en-GB"/>
        </w:rPr>
      </w:pPr>
      <w:r>
        <w:rPr>
          <w:lang w:val="en-GB"/>
        </w:rPr>
        <w:t>Fugitive emissions are unintended releases of gaseous substances from industrial facilities, typically originating from equipment leaks such as valves, flanges, connectors, pumps, and compressors</w:t>
      </w:r>
      <w:r w:rsidR="00B9553D">
        <w:rPr>
          <w:lang w:val="en-GB"/>
        </w:rPr>
        <w:t xml:space="preserve"> </w:t>
      </w:r>
      <w:sdt>
        <w:sdtPr>
          <w:rPr>
            <w:rFonts w:cs="Arial"/>
            <w:color w:val="000000"/>
            <w:lang w:val="en-GB"/>
          </w:rPr>
          <w:tag w:val="MENDELEY_CITATION_v3_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"/>
          <w:id w:val="-1433118468"/>
          <w:placeholder>
            <w:docPart w:val="DefaultPlaceholder_-1854013440"/>
          </w:placeholder>
        </w:sdtPr>
        <w:sdtEndPr/>
        <w:sdtContent>
          <w:r w:rsidR="00BC500A" w:rsidRPr="00BC500A">
            <w:rPr>
              <w:rFonts w:cs="Arial"/>
              <w:color w:val="000000"/>
              <w:lang w:val="en-GB"/>
            </w:rPr>
            <w:t>(Szweda, 2000)</w:t>
          </w:r>
        </w:sdtContent>
      </w:sdt>
      <w:r>
        <w:rPr>
          <w:lang w:val="en-GB"/>
        </w:rPr>
        <w:t>. Unlike point sources, fugitive emissions are characterized by their diffuse nature, lack of defined release points, and spatial dispersion across plant units</w:t>
      </w:r>
      <w:r w:rsidR="0098109E">
        <w:rPr>
          <w:lang w:val="en-GB"/>
        </w:rPr>
        <w:t xml:space="preserve"> </w:t>
      </w:r>
      <w:sdt>
        <w:sdtPr>
          <w:rPr>
            <w:rFonts w:cs="Arial"/>
            <w:color w:val="000000"/>
            <w:lang w:val="en-GB"/>
          </w:rPr>
          <w:tag w:val="MENDELEY_CITATION_v3_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"/>
          <w:id w:val="1410425035"/>
          <w:placeholder>
            <w:docPart w:val="511260FA61E444839DFA4459C42E3964"/>
          </w:placeholder>
        </w:sdtPr>
        <w:sdtEndPr/>
        <w:sdtContent>
          <w:r w:rsidR="00BC500A" w:rsidRPr="00BC500A">
            <w:rPr>
              <w:rFonts w:cs="Arial"/>
              <w:color w:val="000000"/>
              <w:lang w:val="en-GB"/>
            </w:rPr>
            <w:t>(Yang et al., 2016)</w:t>
          </w:r>
        </w:sdtContent>
      </w:sdt>
      <w:r>
        <w:rPr>
          <w:lang w:val="en-GB"/>
        </w:rPr>
        <w:t>. These emissions are commonly associated with the handling, processing, and storage of volatile compounds</w:t>
      </w:r>
      <w:r w:rsidR="00250370">
        <w:rPr>
          <w:lang w:val="en-GB"/>
        </w:rPr>
        <w:t xml:space="preserve"> </w:t>
      </w:r>
      <w:r w:rsidR="00FE1A44">
        <w:rPr>
          <w:lang w:val="en-GB"/>
        </w:rPr>
        <w:t>in sectors such as oil and gas, petrochemical, and chemical industries</w:t>
      </w:r>
      <w:r w:rsidR="00250370">
        <w:rPr>
          <w:lang w:val="en-GB"/>
        </w:rPr>
        <w:t>, but are also relevant in other contexts including landfills, waste treatment facilities, and anaerobic digestion plants</w:t>
      </w:r>
      <w:r w:rsidR="00FE1A44">
        <w:rPr>
          <w:lang w:val="en-GB"/>
        </w:rPr>
        <w:t>. Due to their intrinsic characteristics, fugitive emissions are difficult to detect, quantify, and control, representing a persistent challenge in industrial emission management</w:t>
      </w:r>
      <w:r w:rsidR="00B9553D">
        <w:rPr>
          <w:lang w:val="en-GB"/>
        </w:rPr>
        <w:t xml:space="preserve"> </w:t>
      </w:r>
      <w:sdt>
        <w:sdtPr>
          <w:rPr>
            <w:rFonts w:cs="Arial"/>
            <w:color w:val="000000"/>
            <w:lang w:val="en-GB"/>
          </w:rPr>
          <w:tag w:val="MENDELEY_CITATION_v3_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"/>
          <w:id w:val="-558563753"/>
          <w:placeholder>
            <w:docPart w:val="DefaultPlaceholder_-1854013440"/>
          </w:placeholder>
        </w:sdtPr>
        <w:sdtEndPr/>
        <w:sdtContent>
          <w:r w:rsidR="00BC500A" w:rsidRPr="00BC500A">
            <w:rPr>
              <w:rFonts w:cs="Arial"/>
              <w:color w:val="000000"/>
              <w:lang w:val="en-GB"/>
            </w:rPr>
            <w:t>(Carrera et al., 2025)</w:t>
          </w:r>
        </w:sdtContent>
      </w:sdt>
      <w:r w:rsidR="00FE1A44">
        <w:rPr>
          <w:lang w:val="en-GB"/>
        </w:rPr>
        <w:t>.</w:t>
      </w:r>
    </w:p>
    <w:p w14:paraId="0AF03652" w14:textId="4C430EF9" w:rsidR="00FE1A44" w:rsidRDefault="00FE1A44" w:rsidP="00E0137A">
      <w:pPr>
        <w:pStyle w:val="CETBodytext"/>
        <w:rPr>
          <w:lang w:val="en-GB"/>
        </w:rPr>
      </w:pPr>
      <w:r>
        <w:rPr>
          <w:lang w:val="en-GB"/>
        </w:rPr>
        <w:t>The relevance of fugitive emissions extends across multiple dimensions, including environmental impact, safety, and economic performance</w:t>
      </w:r>
      <w:r w:rsidR="00B9553D">
        <w:rPr>
          <w:lang w:val="en-GB"/>
        </w:rPr>
        <w:t xml:space="preserve"> </w:t>
      </w:r>
      <w:sdt>
        <w:sdtPr>
          <w:rPr>
            <w:rFonts w:cs="Arial"/>
            <w:color w:val="000000"/>
            <w:lang w:val="en-GB"/>
          </w:rPr>
          <w:tag w:val="MENDELEY_CITATION_v3_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"/>
          <w:id w:val="2119552018"/>
          <w:placeholder>
            <w:docPart w:val="DefaultPlaceholder_-1854013440"/>
          </w:placeholder>
        </w:sdtPr>
        <w:sdtEndPr/>
        <w:sdtContent>
          <w:r w:rsidR="00BC500A" w:rsidRPr="00BC500A">
            <w:rPr>
              <w:rFonts w:cs="Arial"/>
              <w:color w:val="000000"/>
              <w:lang w:val="en-GB"/>
            </w:rPr>
            <w:t>(Al-Hamdani et al., 2017)</w:t>
          </w:r>
        </w:sdtContent>
      </w:sdt>
      <w:r>
        <w:rPr>
          <w:lang w:val="en-GB"/>
        </w:rPr>
        <w:t xml:space="preserve">. </w:t>
      </w:r>
      <w:r w:rsidR="00F7485F">
        <w:rPr>
          <w:lang w:val="en-GB"/>
        </w:rPr>
        <w:t>In detail, f</w:t>
      </w:r>
      <w:r>
        <w:rPr>
          <w:lang w:val="en-GB"/>
        </w:rPr>
        <w:t xml:space="preserve">rom an environmental perspective, fugitive releases contribute significantly to atmospheric pollution, particularly through the emission of Volatile Organic Compounds (VOCs), </w:t>
      </w:r>
      <w:r w:rsidR="00250370">
        <w:rPr>
          <w:lang w:val="en-GB"/>
        </w:rPr>
        <w:t>which at the global scale are key precursor of photochemical smog and secondary pollutants, while at the local scale they may be responsible for odour nuisance on nearby community.</w:t>
      </w:r>
    </w:p>
    <w:p w14:paraId="55930854" w14:textId="1050391E" w:rsidR="00C74CF5" w:rsidRPr="00830EDF" w:rsidRDefault="00830EDF" w:rsidP="00E0137A">
      <w:pPr>
        <w:pStyle w:val="CETBodytext"/>
        <w:rPr>
          <w:lang w:val="en-GB"/>
        </w:rPr>
      </w:pPr>
      <w:r>
        <w:rPr>
          <w:lang w:val="en-GB"/>
        </w:rPr>
        <w:t xml:space="preserve">Fugitive emissions can represent a substantial fraction of total plant emissions, particularly under poor maintenance conditions. </w:t>
      </w:r>
      <w:r w:rsidR="00C07D11">
        <w:rPr>
          <w:lang w:val="en-GB"/>
        </w:rPr>
        <w:t>As instance</w:t>
      </w:r>
      <w:r>
        <w:rPr>
          <w:lang w:val="en-GB"/>
        </w:rPr>
        <w:t xml:space="preserve">, CONCAWE reports an emission factor of 0.2 </w:t>
      </w:r>
      <w:proofErr w:type="spellStart"/>
      <w:r>
        <w:rPr>
          <w:lang w:val="en-GB"/>
        </w:rPr>
        <w:t>kg</w:t>
      </w:r>
      <w:r w:rsidRPr="00830EDF">
        <w:rPr>
          <w:vertAlign w:val="subscript"/>
          <w:lang w:val="en-GB"/>
        </w:rPr>
        <w:t>VOC</w:t>
      </w:r>
      <w:proofErr w:type="spellEnd"/>
      <w:r>
        <w:rPr>
          <w:lang w:val="en-GB"/>
        </w:rPr>
        <w:t xml:space="preserve"> per tonne of refinery feed, confirming their relevance in emission inventories</w:t>
      </w:r>
      <w:r w:rsidR="00431B17">
        <w:rPr>
          <w:lang w:val="en-GB"/>
        </w:rPr>
        <w:t xml:space="preserve"> </w:t>
      </w:r>
      <w:sdt>
        <w:sdtPr>
          <w:rPr>
            <w:rFonts w:cs="Arial"/>
            <w:color w:val="000000"/>
            <w:lang w:val="en-GB"/>
          </w:rPr>
          <w:tag w:val="MENDELEY_CITATION_v3_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"/>
          <w:id w:val="-1854178801"/>
          <w:placeholder>
            <w:docPart w:val="DefaultPlaceholder_-1854013440"/>
          </w:placeholder>
        </w:sdtPr>
        <w:sdtEndPr/>
        <w:sdtContent>
          <w:r w:rsidR="00BC500A" w:rsidRPr="00BC500A">
            <w:rPr>
              <w:rFonts w:cs="Arial"/>
              <w:color w:val="000000"/>
            </w:rPr>
            <w:t>(Hoven</w:t>
          </w:r>
          <w:r w:rsidR="00424CCF">
            <w:rPr>
              <w:rFonts w:cs="Arial"/>
              <w:color w:val="000000"/>
            </w:rPr>
            <w:t xml:space="preserve"> </w:t>
          </w:r>
          <w:r w:rsidR="00264416">
            <w:rPr>
              <w:rFonts w:cs="Arial"/>
              <w:color w:val="000000"/>
            </w:rPr>
            <w:t xml:space="preserve">and </w:t>
          </w:r>
          <w:proofErr w:type="spellStart"/>
          <w:r w:rsidR="00264416">
            <w:rPr>
              <w:rFonts w:cs="Arial"/>
              <w:color w:val="000000"/>
            </w:rPr>
            <w:t>Megaritis</w:t>
          </w:r>
          <w:proofErr w:type="spellEnd"/>
          <w:r w:rsidR="00BC500A" w:rsidRPr="00BC500A">
            <w:rPr>
              <w:rFonts w:cs="Arial"/>
              <w:color w:val="000000"/>
            </w:rPr>
            <w:t>, 2019)</w:t>
          </w:r>
        </w:sdtContent>
      </w:sdt>
      <w:r>
        <w:rPr>
          <w:lang w:val="en-GB"/>
        </w:rPr>
        <w:t>.</w:t>
      </w:r>
    </w:p>
    <w:p w14:paraId="6FDB8DF2" w14:textId="52E6A05C" w:rsidR="00D0422C" w:rsidRDefault="00F8012E" w:rsidP="00E0137A">
      <w:pPr>
        <w:pStyle w:val="CETBodytext"/>
        <w:rPr>
          <w:lang w:val="en-GB"/>
        </w:rPr>
      </w:pPr>
      <w:r>
        <w:rPr>
          <w:lang w:val="en-GB"/>
        </w:rPr>
        <w:t xml:space="preserve">In recent years, regulatory frameworks have increasingly recognised the </w:t>
      </w:r>
      <w:r w:rsidR="00D0422C">
        <w:rPr>
          <w:lang w:val="en-GB"/>
        </w:rPr>
        <w:t xml:space="preserve">relevance of fugitive emissions </w:t>
      </w:r>
      <w:r w:rsidR="000C6783">
        <w:rPr>
          <w:lang w:val="en-GB"/>
        </w:rPr>
        <w:t>in odour impac</w:t>
      </w:r>
      <w:r w:rsidR="00D0422C">
        <w:rPr>
          <w:lang w:val="en-GB"/>
        </w:rPr>
        <w:t>t</w:t>
      </w:r>
      <w:r w:rsidR="000C6783">
        <w:rPr>
          <w:lang w:val="en-GB"/>
        </w:rPr>
        <w:t xml:space="preserve"> assessment</w:t>
      </w:r>
      <w:r w:rsidR="00D0422C">
        <w:rPr>
          <w:lang w:val="en-GB"/>
        </w:rPr>
        <w:t xml:space="preserve">. For </w:t>
      </w:r>
      <w:r w:rsidR="000C6783">
        <w:rPr>
          <w:lang w:val="en-GB"/>
        </w:rPr>
        <w:t>instance, the Italian</w:t>
      </w:r>
      <w:r w:rsidR="00D0422C">
        <w:rPr>
          <w:lang w:val="en-GB"/>
        </w:rPr>
        <w:t xml:space="preserve"> Directorial Decree n. 309 </w:t>
      </w:r>
      <w:sdt>
        <w:sdtPr>
          <w:rPr>
            <w:rFonts w:cs="Arial"/>
            <w:color w:val="000000"/>
            <w:lang w:val="en-GB"/>
          </w:rPr>
          <w:tag w:val="MENDELEY_CITATION_v3_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"/>
          <w:id w:val="-2121129160"/>
          <w:placeholder>
            <w:docPart w:val="DefaultPlaceholder_-1854013440"/>
          </w:placeholder>
        </w:sdtPr>
        <w:sdtEndPr/>
        <w:sdtContent>
          <w:r w:rsidR="00BC500A" w:rsidRPr="00BC500A">
            <w:rPr>
              <w:rFonts w:cs="Arial"/>
              <w:color w:val="000000"/>
            </w:rPr>
            <w:t xml:space="preserve">(MASE, 2023; </w:t>
          </w:r>
          <w:proofErr w:type="spellStart"/>
          <w:r w:rsidR="00BC500A" w:rsidRPr="00BC500A">
            <w:rPr>
              <w:rFonts w:cs="Arial"/>
              <w:color w:val="000000"/>
            </w:rPr>
            <w:t>Zalin</w:t>
          </w:r>
          <w:proofErr w:type="spellEnd"/>
          <w:r w:rsidR="00BC500A" w:rsidRPr="00BC500A">
            <w:rPr>
              <w:rFonts w:cs="Arial"/>
              <w:color w:val="000000"/>
            </w:rPr>
            <w:t xml:space="preserve"> </w:t>
          </w:r>
          <w:r w:rsidR="00264416">
            <w:rPr>
              <w:rFonts w:cs="Arial"/>
              <w:color w:val="000000"/>
            </w:rPr>
            <w:t>and Sironi</w:t>
          </w:r>
          <w:r w:rsidR="00BC500A" w:rsidRPr="00BC500A">
            <w:rPr>
              <w:rFonts w:cs="Arial"/>
              <w:color w:val="000000"/>
            </w:rPr>
            <w:t>, 2024)</w:t>
          </w:r>
        </w:sdtContent>
      </w:sdt>
      <w:r w:rsidR="00B9553D">
        <w:rPr>
          <w:szCs w:val="22"/>
        </w:rPr>
        <w:t xml:space="preserve"> </w:t>
      </w:r>
      <w:r w:rsidR="00D0422C">
        <w:rPr>
          <w:lang w:val="en-GB"/>
        </w:rPr>
        <w:t>explicitly requires the</w:t>
      </w:r>
      <w:r w:rsidR="000C6783">
        <w:rPr>
          <w:lang w:val="en-GB"/>
        </w:rPr>
        <w:t xml:space="preserve">ir inclusion, while acknowledging the technical difficulties associated with their </w:t>
      </w:r>
      <w:r w:rsidR="000C6783">
        <w:rPr>
          <w:lang w:val="en-GB"/>
        </w:rPr>
        <w:lastRenderedPageBreak/>
        <w:t>characterization. Despite the lack of fully standardized methodologies, fugitive emissions cannot be excluded a priori and must be identified and, where possible, quantified.</w:t>
      </w:r>
    </w:p>
    <w:p w14:paraId="4E5950EA" w14:textId="4028F692" w:rsidR="00F8012E" w:rsidRPr="00F8012E" w:rsidRDefault="00F8012E" w:rsidP="00F8012E">
      <w:pPr>
        <w:pStyle w:val="CETBodytext"/>
        <w:rPr>
          <w:lang w:val="en-GB"/>
        </w:rPr>
      </w:pPr>
      <w:r w:rsidRPr="00F8012E">
        <w:rPr>
          <w:lang w:val="en-GB"/>
        </w:rPr>
        <w:t>A key challenge in this context lies in the mismatch between the outputs of existing estimation methodologies and the requirements of odour impact assessment. Most current techniques for fugitive emission quantification, including Leak Detection and Repair (LDAR) programs and optical or micrometeorological methods, provide results in terms of mass emission rates (e.g., kg</w:t>
      </w:r>
      <w:r w:rsidR="00D0422C">
        <w:rPr>
          <w:lang w:val="en-GB"/>
        </w:rPr>
        <w:t>/</w:t>
      </w:r>
      <w:r w:rsidRPr="00F8012E">
        <w:rPr>
          <w:lang w:val="en-GB"/>
        </w:rPr>
        <w:t xml:space="preserve">h). However, odour impact assessments rely on the estimation of </w:t>
      </w:r>
      <w:r w:rsidR="00D0422C">
        <w:rPr>
          <w:lang w:val="en-GB"/>
        </w:rPr>
        <w:t>O</w:t>
      </w:r>
      <w:r w:rsidRPr="00F8012E">
        <w:rPr>
          <w:lang w:val="en-GB"/>
        </w:rPr>
        <w:t xml:space="preserve">dour </w:t>
      </w:r>
      <w:r w:rsidR="00D0422C">
        <w:rPr>
          <w:lang w:val="en-GB"/>
        </w:rPr>
        <w:t>E</w:t>
      </w:r>
      <w:r w:rsidRPr="00F8012E">
        <w:rPr>
          <w:lang w:val="en-GB"/>
        </w:rPr>
        <w:t xml:space="preserve">mission </w:t>
      </w:r>
      <w:r w:rsidR="00D0422C">
        <w:rPr>
          <w:lang w:val="en-GB"/>
        </w:rPr>
        <w:t>R</w:t>
      </w:r>
      <w:r w:rsidRPr="00F8012E">
        <w:rPr>
          <w:lang w:val="en-GB"/>
        </w:rPr>
        <w:t>ates (OER), typically expressed in odour units per unit time (</w:t>
      </w:r>
      <w:proofErr w:type="spellStart"/>
      <w:r w:rsidRPr="00F8012E">
        <w:rPr>
          <w:lang w:val="en-GB"/>
        </w:rPr>
        <w:t>ou</w:t>
      </w:r>
      <w:r w:rsidRPr="00D0422C">
        <w:rPr>
          <w:vertAlign w:val="subscript"/>
          <w:lang w:val="en-GB"/>
        </w:rPr>
        <w:t>E</w:t>
      </w:r>
      <w:proofErr w:type="spellEnd"/>
      <w:r w:rsidR="00D0422C">
        <w:rPr>
          <w:lang w:val="en-GB"/>
        </w:rPr>
        <w:t>/</w:t>
      </w:r>
      <w:r w:rsidRPr="00F8012E">
        <w:rPr>
          <w:lang w:val="en-GB"/>
        </w:rPr>
        <w:t>s), which are required as input for atmospheric dispersion models. The lack of a direct relationship between mass emissions and odour emissions represent a critical limitation in the integration of fugitive sources into odour assessments.</w:t>
      </w:r>
    </w:p>
    <w:p w14:paraId="50131D3C" w14:textId="5BE6F046" w:rsidR="001B22FF" w:rsidRDefault="00F8012E" w:rsidP="00E0137A">
      <w:pPr>
        <w:pStyle w:val="CETBodytext"/>
        <w:rPr>
          <w:lang w:val="en-GB"/>
        </w:rPr>
      </w:pPr>
      <w:r w:rsidRPr="00F8012E">
        <w:rPr>
          <w:lang w:val="en-GB"/>
        </w:rPr>
        <w:t>This highlights the need for methodologies capable of linking fugitive mass emissions to their associated odour impact, enabling a more consistent and comprehensive evaluation of industrial emissions.</w:t>
      </w:r>
    </w:p>
    <w:p w14:paraId="062ED26A" w14:textId="0B26F730" w:rsidR="00402AEF" w:rsidRDefault="007530AF" w:rsidP="00DF5AEF">
      <w:pPr>
        <w:pStyle w:val="CETHeading1"/>
        <w:rPr>
          <w:lang w:val="en-GB"/>
        </w:rPr>
      </w:pPr>
      <w:r>
        <w:rPr>
          <w:lang w:val="en-GB"/>
        </w:rPr>
        <w:t xml:space="preserve">State of the </w:t>
      </w:r>
      <w:r w:rsidR="001B22FF">
        <w:rPr>
          <w:lang w:val="en-GB"/>
        </w:rPr>
        <w:t>a</w:t>
      </w:r>
      <w:r>
        <w:rPr>
          <w:lang w:val="en-GB"/>
        </w:rPr>
        <w:t>rt on fugitive emission quantification</w:t>
      </w:r>
    </w:p>
    <w:p w14:paraId="70E59618" w14:textId="43098951" w:rsidR="00DF5AEF" w:rsidRDefault="00DF5AEF" w:rsidP="00DF5AEF">
      <w:pPr>
        <w:pStyle w:val="CETBodytext"/>
        <w:rPr>
          <w:lang w:val="en-GB"/>
        </w:rPr>
      </w:pPr>
      <w:r>
        <w:rPr>
          <w:lang w:val="en-GB"/>
        </w:rPr>
        <w:t>The quantification of fugitive emissions has been the subject of extensive research and regulatory development over the past decades, leading to the establishment of several methodologies based on different measurement principles and levels of complexity. These approaches can be broadly classified into indirect estimation methods, such as emission factors</w:t>
      </w:r>
      <w:r w:rsidR="00BC500A">
        <w:rPr>
          <w:lang w:val="en-GB"/>
        </w:rPr>
        <w:t xml:space="preserve"> </w:t>
      </w:r>
      <w:sdt>
        <w:sdtPr>
          <w:rPr>
            <w:rFonts w:cs="Arial"/>
            <w:color w:val="000000"/>
            <w:lang w:val="en-GB"/>
          </w:rPr>
          <w:tag w:val="MENDELEY_CITATION_v3_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"/>
          <w:id w:val="167678849"/>
          <w:placeholder>
            <w:docPart w:val="323FC1C544FE4262B92C4BDB2CA5CD14"/>
          </w:placeholder>
        </w:sdtPr>
        <w:sdtEndPr/>
        <w:sdtContent>
          <w:r w:rsidR="00BC500A" w:rsidRPr="00BC500A">
            <w:rPr>
              <w:rFonts w:cs="Arial"/>
              <w:color w:val="000000"/>
              <w:lang w:val="en-GB"/>
            </w:rPr>
            <w:t xml:space="preserve">(Hoven </w:t>
          </w:r>
          <w:r w:rsidR="00264416">
            <w:rPr>
              <w:rFonts w:cs="Arial"/>
              <w:color w:val="000000"/>
              <w:lang w:val="en-GB"/>
            </w:rPr>
            <w:t xml:space="preserve">and </w:t>
          </w:r>
          <w:proofErr w:type="spellStart"/>
          <w:r w:rsidR="00264416">
            <w:rPr>
              <w:rFonts w:cs="Arial"/>
              <w:color w:val="000000"/>
              <w:lang w:val="en-GB"/>
            </w:rPr>
            <w:t>Megaritis</w:t>
          </w:r>
          <w:proofErr w:type="spellEnd"/>
          <w:r w:rsidR="00BC500A" w:rsidRPr="00BC500A">
            <w:rPr>
              <w:rFonts w:cs="Arial"/>
              <w:color w:val="000000"/>
              <w:lang w:val="en-GB"/>
            </w:rPr>
            <w:t>, 2019; U.S. EPA, 1997)</w:t>
          </w:r>
        </w:sdtContent>
      </w:sdt>
      <w:r>
        <w:rPr>
          <w:lang w:val="en-GB"/>
        </w:rPr>
        <w:t>, and direct or semi-direct measurement techniques, including Leak Detection and Repair (LDAR) programmes</w:t>
      </w:r>
      <w:r w:rsidR="00BC500A">
        <w:rPr>
          <w:lang w:val="en-GB"/>
        </w:rPr>
        <w:t xml:space="preserve"> </w:t>
      </w:r>
      <w:sdt>
        <w:sdtPr>
          <w:rPr>
            <w:rFonts w:cs="Arial"/>
            <w:color w:val="000000"/>
            <w:lang w:val="en-GB"/>
          </w:rPr>
          <w:tag w:val="MENDELEY_CITATION_v3_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"/>
          <w:id w:val="574174447"/>
          <w:placeholder>
            <w:docPart w:val="83D88E0C9E41489F8CFD7E42F24B28C4"/>
          </w:placeholder>
        </w:sdtPr>
        <w:sdtEndPr/>
        <w:sdtContent>
          <w:r w:rsidR="00BC500A" w:rsidRPr="00BC500A">
            <w:rPr>
              <w:rFonts w:cs="Arial"/>
              <w:color w:val="000000"/>
              <w:lang w:val="en-GB"/>
            </w:rPr>
            <w:t>(</w:t>
          </w:r>
          <w:proofErr w:type="spellStart"/>
          <w:r w:rsidR="00BC500A" w:rsidRPr="00BC500A">
            <w:rPr>
              <w:rFonts w:cs="Arial"/>
              <w:color w:val="000000"/>
              <w:lang w:val="en-GB"/>
            </w:rPr>
            <w:t>Sotoodeh</w:t>
          </w:r>
          <w:proofErr w:type="spellEnd"/>
          <w:r w:rsidR="00BC500A" w:rsidRPr="00BC500A">
            <w:rPr>
              <w:rFonts w:cs="Arial"/>
              <w:color w:val="000000"/>
              <w:lang w:val="en-GB"/>
            </w:rPr>
            <w:t>, 2021)</w:t>
          </w:r>
        </w:sdtContent>
      </w:sdt>
      <w:r>
        <w:rPr>
          <w:lang w:val="en-GB"/>
        </w:rPr>
        <w:t>, optical methods</w:t>
      </w:r>
      <w:r w:rsidR="00BC500A">
        <w:rPr>
          <w:lang w:val="en-GB"/>
        </w:rPr>
        <w:t xml:space="preserve"> </w:t>
      </w:r>
      <w:sdt>
        <w:sdtPr>
          <w:rPr>
            <w:rFonts w:cs="Arial"/>
            <w:color w:val="000000"/>
            <w:lang w:val="en-GB"/>
          </w:rPr>
          <w:tag w:val="MENDELEY_CITATION_v3_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"/>
          <w:id w:val="1412345698"/>
          <w:placeholder>
            <w:docPart w:val="8C95D91917A1443C89EE672AB7846441"/>
          </w:placeholder>
        </w:sdtPr>
        <w:sdtEndPr/>
        <w:sdtContent>
          <w:r w:rsidR="00BC500A" w:rsidRPr="00BC500A">
            <w:rPr>
              <w:rFonts w:cs="Arial"/>
              <w:color w:val="000000"/>
              <w:lang w:val="en-GB"/>
            </w:rPr>
            <w:t>(</w:t>
          </w:r>
          <w:proofErr w:type="spellStart"/>
          <w:r w:rsidR="00BC500A" w:rsidRPr="00BC500A">
            <w:rPr>
              <w:rFonts w:cs="Arial"/>
              <w:color w:val="000000"/>
              <w:lang w:val="en-GB"/>
            </w:rPr>
            <w:t>Ilonze</w:t>
          </w:r>
          <w:proofErr w:type="spellEnd"/>
          <w:r w:rsidR="00BC500A" w:rsidRPr="00BC500A">
            <w:rPr>
              <w:rFonts w:cs="Arial"/>
              <w:color w:val="000000"/>
              <w:lang w:val="en-GB"/>
            </w:rPr>
            <w:t xml:space="preserve"> et al., 2024; Ravikumar et al., 2017)</w:t>
          </w:r>
        </w:sdtContent>
      </w:sdt>
      <w:r>
        <w:rPr>
          <w:lang w:val="en-GB"/>
        </w:rPr>
        <w:t>, and micrometeorological techniques</w:t>
      </w:r>
      <w:r w:rsidR="00BC500A">
        <w:rPr>
          <w:lang w:val="en-GB"/>
        </w:rPr>
        <w:t xml:space="preserve"> </w:t>
      </w:r>
      <w:sdt>
        <w:sdtPr>
          <w:rPr>
            <w:rFonts w:cs="Arial"/>
            <w:color w:val="000000"/>
            <w:lang w:val="en-GB"/>
          </w:rPr>
          <w:tag w:val="MENDELEY_CITATION_v3_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"/>
          <w:id w:val="22597814"/>
          <w:placeholder>
            <w:docPart w:val="14557D65BF2F495AA4601546146C0420"/>
          </w:placeholder>
        </w:sdtPr>
        <w:sdtEndPr/>
        <w:sdtContent>
          <w:r w:rsidR="00BC500A" w:rsidRPr="00BC500A">
            <w:rPr>
              <w:rFonts w:cs="Arial"/>
              <w:color w:val="000000"/>
              <w:lang w:val="en-GB"/>
            </w:rPr>
            <w:t>(Lotesoriere et al., 2023)</w:t>
          </w:r>
        </w:sdtContent>
      </w:sdt>
      <w:r>
        <w:rPr>
          <w:lang w:val="en-GB"/>
        </w:rPr>
        <w:t>.</w:t>
      </w:r>
    </w:p>
    <w:p w14:paraId="58FE6FC5" w14:textId="1F22E45B" w:rsidR="00D62C60" w:rsidRDefault="00D62C60" w:rsidP="00D62C60">
      <w:pPr>
        <w:pStyle w:val="CETheadingx"/>
      </w:pPr>
      <w:r>
        <w:t>LDAR methodology: principles and applications</w:t>
      </w:r>
    </w:p>
    <w:p w14:paraId="7EC40FCA" w14:textId="42BA44F8" w:rsidR="003D107D" w:rsidRDefault="00D62C60" w:rsidP="00C863AF">
      <w:pPr>
        <w:pStyle w:val="CETBodytext"/>
      </w:pPr>
      <w:r>
        <w:t xml:space="preserve">LDAR </w:t>
      </w:r>
      <w:r w:rsidR="00810864">
        <w:t>program</w:t>
      </w:r>
      <w:r>
        <w:t xml:space="preserve"> represent</w:t>
      </w:r>
      <w:r w:rsidR="00F7485F">
        <w:t>s</w:t>
      </w:r>
      <w:r w:rsidR="00022957">
        <w:t xml:space="preserve"> the reference methodology for the quantification and management of fugitive emission</w:t>
      </w:r>
      <w:r w:rsidR="00F7485F">
        <w:t>s</w:t>
      </w:r>
      <w:r w:rsidR="00B9553D">
        <w:t xml:space="preserve"> </w:t>
      </w:r>
      <w:sdt>
        <w:sdtPr>
          <w:rPr>
            <w:rFonts w:cs="Arial"/>
            <w:color w:val="000000"/>
          </w:rPr>
          <w:tag w:val="MENDELEY_CITATION_v3_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"/>
          <w:id w:val="-866454630"/>
          <w:placeholder>
            <w:docPart w:val="DefaultPlaceholder_-1854013440"/>
          </w:placeholder>
        </w:sdtPr>
        <w:sdtEndPr/>
        <w:sdtContent>
          <w:r w:rsidR="00BC500A" w:rsidRPr="00BC500A">
            <w:rPr>
              <w:rFonts w:cs="Arial"/>
              <w:color w:val="000000"/>
            </w:rPr>
            <w:t>(</w:t>
          </w:r>
          <w:proofErr w:type="spellStart"/>
          <w:r w:rsidR="00BC500A" w:rsidRPr="00BC500A">
            <w:rPr>
              <w:rFonts w:cs="Arial"/>
              <w:color w:val="000000"/>
            </w:rPr>
            <w:t>Lotrecchiano</w:t>
          </w:r>
          <w:proofErr w:type="spellEnd"/>
          <w:r w:rsidR="00BC500A" w:rsidRPr="00BC500A">
            <w:rPr>
              <w:rFonts w:cs="Arial"/>
              <w:color w:val="000000"/>
            </w:rPr>
            <w:t xml:space="preserve"> et al., 2025)</w:t>
          </w:r>
        </w:sdtContent>
      </w:sdt>
      <w:r w:rsidR="00F7485F">
        <w:rPr>
          <w:rFonts w:cs="Arial"/>
          <w:color w:val="000000"/>
        </w:rPr>
        <w:t>, enabling both emission estimation and reduction through systematic field inspection, and are therefore widely adopted across major industrial sectors</w:t>
      </w:r>
      <w:r w:rsidR="00022957">
        <w:t xml:space="preserve">. </w:t>
      </w:r>
      <w:r w:rsidR="00C863AF">
        <w:t>LDAR program was</w:t>
      </w:r>
      <w:r w:rsidR="00942E63">
        <w:t xml:space="preserve"> initially</w:t>
      </w:r>
      <w:r w:rsidR="00C863AF">
        <w:t xml:space="preserve"> developed in the United States in the 1970s within the framework of the EPA and the Clean Air Act, in response to the need to address VOC emissions from industrial sources. This method was designed to identify, monitor, and repair leaks from pressurized components through standardized procedures and portable detection instruments. The methodology has been progressively formalized through technical reference documents</w:t>
      </w:r>
      <w:r w:rsidR="00810864">
        <w:t>, including</w:t>
      </w:r>
      <w:r w:rsidR="00C863AF">
        <w:t xml:space="preserve"> the</w:t>
      </w:r>
      <w:r w:rsidR="00810864">
        <w:t xml:space="preserve"> EPA Protocol for Equipment Leak Emission Estimates </w:t>
      </w:r>
      <w:sdt>
        <w:sdtPr>
          <w:rPr>
            <w:rFonts w:cs="Arial"/>
            <w:color w:val="000000"/>
          </w:rPr>
          <w:tag w:val="MENDELEY_CITATION_v3_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"/>
          <w:id w:val="1394079632"/>
          <w:placeholder>
            <w:docPart w:val="DefaultPlaceholder_-1854013440"/>
          </w:placeholder>
        </w:sdtPr>
        <w:sdtEndPr/>
        <w:sdtContent>
          <w:r w:rsidR="00BC500A" w:rsidRPr="00BC500A">
            <w:rPr>
              <w:rFonts w:cs="Arial"/>
              <w:color w:val="000000"/>
            </w:rPr>
            <w:t>(U.S. EPA, 1997)</w:t>
          </w:r>
        </w:sdtContent>
      </w:sdt>
      <w:r w:rsidR="00B9553D">
        <w:rPr>
          <w:szCs w:val="22"/>
        </w:rPr>
        <w:t xml:space="preserve"> </w:t>
      </w:r>
      <w:r w:rsidR="00810864">
        <w:t>and Method</w:t>
      </w:r>
      <w:r w:rsidR="00942E63">
        <w:t xml:space="preserve"> </w:t>
      </w:r>
      <w:r w:rsidR="00810864">
        <w:t>21</w:t>
      </w:r>
      <w:r w:rsidR="00B9553D">
        <w:t xml:space="preserve"> </w:t>
      </w:r>
      <w:sdt>
        <w:sdtPr>
          <w:rPr>
            <w:rFonts w:cs="Arial"/>
            <w:color w:val="000000"/>
          </w:rPr>
          <w:tag w:val="MENDELEY_CITATION_v3_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"/>
          <w:id w:val="-537585655"/>
          <w:placeholder>
            <w:docPart w:val="DefaultPlaceholder_-1854013440"/>
          </w:placeholder>
        </w:sdtPr>
        <w:sdtEndPr/>
        <w:sdtContent>
          <w:r w:rsidR="00BC500A" w:rsidRPr="00BC500A">
            <w:rPr>
              <w:rFonts w:cs="Arial"/>
              <w:color w:val="000000"/>
            </w:rPr>
            <w:t>(U.S. EPA, 2017)</w:t>
          </w:r>
        </w:sdtContent>
      </w:sdt>
      <w:r w:rsidR="00C863AF">
        <w:t>.</w:t>
      </w:r>
    </w:p>
    <w:p w14:paraId="5A6EF373" w14:textId="01C238B2" w:rsidR="00810864" w:rsidRDefault="00810864" w:rsidP="00D62C60">
      <w:pPr>
        <w:pStyle w:val="CETBodytext"/>
      </w:pPr>
      <w:r>
        <w:t xml:space="preserve">From an operational perspective, LDAR programs are based on the periodic screening of plant components such as valves, flanges, pumps, compressors, and connectors. Measurements are typically carried out using Flame Ionization Detectors (FID) or </w:t>
      </w:r>
      <w:proofErr w:type="spellStart"/>
      <w:r>
        <w:t>PhotoIonization</w:t>
      </w:r>
      <w:proofErr w:type="spellEnd"/>
      <w:r>
        <w:t xml:space="preserve"> Detectors (PID), capable of detecting VOC concentrations in the proximity of potential leak points. The monitoring procedure follows standardized protocols to ensure consistency in probe positioning, measurement conditions, and data recording. Each component is uniquely identified and tracked over time, allowing for systematic inspection and maintenance planning.</w:t>
      </w:r>
    </w:p>
    <w:p w14:paraId="1305AAE1" w14:textId="7852ECD5" w:rsidR="00810864" w:rsidRDefault="00006BEA" w:rsidP="00D62C60">
      <w:pPr>
        <w:pStyle w:val="CETBodytext"/>
      </w:pPr>
      <w:r>
        <w:t>The measured concentration values, commonly referred ad “screening values”, are subsequently converted into mass emission rates through the application of empirical correlation equations. These correlations, developed by the EPA base</w:t>
      </w:r>
      <w:r w:rsidR="00B9553D">
        <w:t>d</w:t>
      </w:r>
      <w:r>
        <w:t xml:space="preserve"> on extensive experimental datasets, establish relationships between measured concentrations and emission rates, </w:t>
      </w:r>
      <w:r w:rsidR="00C863AF">
        <w:t>given</w:t>
      </w:r>
      <w:r>
        <w:t xml:space="preserve"> the type of component and the magnitude of the detected signal</w:t>
      </w:r>
      <w:r w:rsidR="009E53CC">
        <w:t xml:space="preserve"> </w:t>
      </w:r>
      <w:sdt>
        <w:sdtPr>
          <w:rPr>
            <w:rFonts w:cs="Arial"/>
            <w:color w:val="000000"/>
          </w:rPr>
          <w:tag w:val="MENDELEY_CITATION_v3_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"/>
          <w:id w:val="455763346"/>
          <w:placeholder>
            <w:docPart w:val="DefaultPlaceholder_-1854013440"/>
          </w:placeholder>
        </w:sdtPr>
        <w:sdtEndPr/>
        <w:sdtContent>
          <w:r w:rsidR="00BC500A" w:rsidRPr="00BC500A">
            <w:rPr>
              <w:rFonts w:cs="Arial"/>
              <w:color w:val="000000"/>
            </w:rPr>
            <w:t>(Invernizzi et al., 2021)</w:t>
          </w:r>
        </w:sdtContent>
      </w:sdt>
      <w:r>
        <w:t>.</w:t>
      </w:r>
    </w:p>
    <w:p w14:paraId="04BB52F6" w14:textId="39396F60" w:rsidR="00006BEA" w:rsidRDefault="00006BEA" w:rsidP="00D62C60">
      <w:pPr>
        <w:pStyle w:val="CETBodytext"/>
      </w:pPr>
      <w:r>
        <w:t>In the European context, the importance of LDAR ha</w:t>
      </w:r>
      <w:r w:rsidR="003A5228">
        <w:t>s</w:t>
      </w:r>
      <w:r>
        <w:t xml:space="preserve"> been progressively recognized within the framework of integrated pollution prevention and control. The introduction of the IPCC Directive and its subsequent evolution into the Industrial Emission Directive (IED)</w:t>
      </w:r>
      <w:r w:rsidR="00B9553D">
        <w:t xml:space="preserve"> </w:t>
      </w:r>
      <w:sdt>
        <w:sdtPr>
          <w:rPr>
            <w:rFonts w:cs="Arial"/>
            <w:color w:val="000000"/>
          </w:rPr>
          <w:tag w:val="MENDELEY_CITATION_v3_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"/>
          <w:id w:val="789018319"/>
          <w:placeholder>
            <w:docPart w:val="DefaultPlaceholder_-1854013440"/>
          </w:placeholder>
        </w:sdtPr>
        <w:sdtEndPr/>
        <w:sdtContent>
          <w:r w:rsidR="00BC500A" w:rsidRPr="00BC500A">
            <w:rPr>
              <w:rFonts w:cs="Arial"/>
              <w:color w:val="000000"/>
            </w:rPr>
            <w:t>(European Commis</w:t>
          </w:r>
          <w:r w:rsidR="00264416">
            <w:rPr>
              <w:rFonts w:cs="Arial"/>
              <w:color w:val="000000"/>
            </w:rPr>
            <w:t>s</w:t>
          </w:r>
          <w:r w:rsidR="00BC500A" w:rsidRPr="00BC500A">
            <w:rPr>
              <w:rFonts w:cs="Arial"/>
              <w:color w:val="000000"/>
            </w:rPr>
            <w:t>ion, 2010)</w:t>
          </w:r>
        </w:sdtContent>
      </w:sdt>
      <w:r>
        <w:t xml:space="preserve"> has led to the inclusion of LDAR programs among the Best Available Techniques (BAT) for sectors such as oil and gas refining</w:t>
      </w:r>
      <w:r w:rsidR="00B9553D">
        <w:t xml:space="preserve"> </w:t>
      </w:r>
      <w:sdt>
        <w:sdtPr>
          <w:rPr>
            <w:rFonts w:cs="Arial"/>
            <w:color w:val="000000"/>
          </w:rPr>
          <w:tag w:val="MENDELEY_CITATION_v3_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"/>
          <w:id w:val="1871191052"/>
          <w:placeholder>
            <w:docPart w:val="DefaultPlaceholder_-1854013440"/>
          </w:placeholder>
        </w:sdtPr>
        <w:sdtEndPr/>
        <w:sdtContent>
          <w:r w:rsidR="00BC500A" w:rsidRPr="00BC500A">
            <w:rPr>
              <w:rFonts w:cs="Arial"/>
              <w:color w:val="000000"/>
            </w:rPr>
            <w:t>(European Commission, 2015)</w:t>
          </w:r>
        </w:sdtContent>
      </w:sdt>
      <w:r>
        <w:t>, making its implementation a regulatory requirement for many industrial installations.</w:t>
      </w:r>
    </w:p>
    <w:p w14:paraId="13AD98EA" w14:textId="63BC6C2B" w:rsidR="00006BEA" w:rsidRDefault="00006BEA" w:rsidP="00D62C60">
      <w:pPr>
        <w:pStyle w:val="CETBodytext"/>
      </w:pPr>
      <w:r>
        <w:t>In parallel, technical standardization efforts have led to the development of harmonized European methodologies, such as</w:t>
      </w:r>
      <w:r w:rsidR="00B9553D">
        <w:t xml:space="preserve"> </w:t>
      </w:r>
      <w:sdt>
        <w:sdtPr>
          <w:rPr>
            <w:rFonts w:cs="Arial"/>
            <w:color w:val="000000"/>
          </w:rPr>
          <w:tag w:val="MENDELEY_CITATION_v3_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"/>
          <w:id w:val="392861090"/>
          <w:placeholder>
            <w:docPart w:val="DefaultPlaceholder_-1854013440"/>
          </w:placeholder>
        </w:sdtPr>
        <w:sdtEndPr/>
        <w:sdtContent>
          <w:r w:rsidR="00BC500A" w:rsidRPr="00BC500A">
            <w:rPr>
              <w:rFonts w:cs="Arial"/>
              <w:color w:val="000000"/>
            </w:rPr>
            <w:t>EN 15446:2008</w:t>
          </w:r>
        </w:sdtContent>
      </w:sdt>
      <w:r>
        <w:t>, which provide guidelines for the measurement of fugitive VOC emissions from equipment leaks, in agreement with the EPA guidelines.</w:t>
      </w:r>
    </w:p>
    <w:p w14:paraId="5B4B1D93" w14:textId="1C718055" w:rsidR="00006BEA" w:rsidRDefault="00874EC5" w:rsidP="00D62C60">
      <w:pPr>
        <w:pStyle w:val="CETBodytext"/>
      </w:pPr>
      <w:r>
        <w:t>Despite its widespread adoption and proven effectiveness, several limitations are associated with the LDAR methodology. The accuracy of emission estimates depends strongly on the validity of the correlation equations, which may not fully capture site-specific conditions or variability in fluid composition. Moreover, LDAR measurements are typically performed at discrete time intervals, providing only a snapshot of emission conditions and potentially overlooking temporal variability. Finally, accessibility constraints may further limit the inspection of certain components in complex or hazardous environments.</w:t>
      </w:r>
    </w:p>
    <w:p w14:paraId="626DC2A6" w14:textId="150E031F" w:rsidR="00D62C60" w:rsidRDefault="00D62C60" w:rsidP="00D62C60">
      <w:pPr>
        <w:pStyle w:val="CETheadingx"/>
      </w:pPr>
      <w:r>
        <w:lastRenderedPageBreak/>
        <w:t>Recent developments: Smart LDAR and QOGI</w:t>
      </w:r>
    </w:p>
    <w:p w14:paraId="0BF8CA18" w14:textId="120C1529" w:rsidR="00D62C60" w:rsidRDefault="00874EC5" w:rsidP="00D62C60">
      <w:pPr>
        <w:pStyle w:val="CETBodytext"/>
      </w:pPr>
      <w:r>
        <w:t>In recent years, significant efforts have been devoted to enhancing traditional LDAR programs through the integration of advanced detection technologies and more flexible monitoring strategies, leading to the development of so-called “Smart LDAR” method.</w:t>
      </w:r>
    </w:p>
    <w:p w14:paraId="445A3D30" w14:textId="0854BE92" w:rsidR="008C7E1A" w:rsidRDefault="00874EC5" w:rsidP="00D62C60">
      <w:pPr>
        <w:pStyle w:val="CETBodytext"/>
      </w:pPr>
      <w:r>
        <w:t>One of the most relevant technological advancements in this field is the increasing adoption of Optical Gas Imaging (OGI) systems. OGI is based on infrared cameras capable of visualizing gas plumes by exploiting the absorption of infrared radiation at specific wavelengths characteristic of target compounds, such as hydrocarbons and methane. Compared to conventional LDAR technique</w:t>
      </w:r>
      <w:r w:rsidR="003A5228">
        <w:t>,</w:t>
      </w:r>
      <w:r>
        <w:t xml:space="preserve"> based on </w:t>
      </w:r>
      <w:r w:rsidR="008C7E1A">
        <w:t>sniffing techniques, OGI allows for rapid screening of large plant areas, enabling operators to identify leaks in a non-intrusive manner and significantly reducing inspection times.</w:t>
      </w:r>
      <w:r w:rsidR="00C863AF">
        <w:t xml:space="preserve"> </w:t>
      </w:r>
      <w:r w:rsidR="008C7E1A">
        <w:t>The growing relevance of OGI has been recognized in both regulatory and technical frameworks. In the United States, the EPA has introduced an Alternative Working Practice (AWP)</w:t>
      </w:r>
      <w:r w:rsidR="00B9553D">
        <w:t xml:space="preserve"> </w:t>
      </w:r>
      <w:sdt>
        <w:sdtPr>
          <w:rPr>
            <w:rFonts w:cs="Arial"/>
            <w:color w:val="000000"/>
          </w:rPr>
          <w:tag w:val="MENDELEY_CITATION_v3_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"/>
          <w:id w:val="526301072"/>
          <w:placeholder>
            <w:docPart w:val="DefaultPlaceholder_-1854013440"/>
          </w:placeholder>
        </w:sdtPr>
        <w:sdtEndPr/>
        <w:sdtContent>
          <w:r w:rsidR="00BC500A" w:rsidRPr="00BC500A">
            <w:rPr>
              <w:rFonts w:cs="Arial"/>
              <w:color w:val="000000"/>
            </w:rPr>
            <w:t>(U.S. EPA, 2006)</w:t>
          </w:r>
        </w:sdtContent>
      </w:sdt>
      <w:r w:rsidR="008C7E1A">
        <w:t xml:space="preserve"> allowing the use of OGI in addition to the traditional methods described in Method 21. Similarly, in the European context, OGI has been increasingly acknowledged in technical guidelines </w:t>
      </w:r>
      <w:sdt>
        <w:sdtPr>
          <w:rPr>
            <w:rFonts w:cs="Arial"/>
            <w:color w:val="000000"/>
          </w:rPr>
          <w:tag w:val="MENDELEY_CITATION_v3_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"/>
          <w:id w:val="1750382967"/>
          <w:placeholder>
            <w:docPart w:val="DefaultPlaceholder_-1854013440"/>
          </w:placeholder>
        </w:sdtPr>
        <w:sdtEndPr/>
        <w:sdtContent>
          <w:r w:rsidR="00BC500A" w:rsidRPr="00BC500A">
            <w:rPr>
              <w:rFonts w:cs="Arial"/>
              <w:color w:val="000000"/>
            </w:rPr>
            <w:t>EN 17628:2022</w:t>
          </w:r>
        </w:sdtContent>
      </w:sdt>
      <w:r w:rsidR="008C7E1A">
        <w:t xml:space="preserve"> and BREFs documents</w:t>
      </w:r>
      <w:r w:rsidR="00B9553D">
        <w:t xml:space="preserve"> </w:t>
      </w:r>
      <w:sdt>
        <w:sdtPr>
          <w:rPr>
            <w:rFonts w:cs="Arial"/>
            <w:color w:val="000000"/>
          </w:rPr>
          <w:tag w:val="MENDELEY_CITATION_v3_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"/>
          <w:id w:val="71936789"/>
          <w:placeholder>
            <w:docPart w:val="DefaultPlaceholder_-1854013440"/>
          </w:placeholder>
        </w:sdtPr>
        <w:sdtEndPr/>
        <w:sdtContent>
          <w:r w:rsidR="00BC500A" w:rsidRPr="00BC500A">
            <w:rPr>
              <w:rFonts w:cs="Arial"/>
              <w:color w:val="000000"/>
            </w:rPr>
            <w:t>(European Commission, 2015)</w:t>
          </w:r>
        </w:sdtContent>
      </w:sdt>
      <w:r w:rsidR="008C7E1A">
        <w:t>.</w:t>
      </w:r>
    </w:p>
    <w:p w14:paraId="25C2612D" w14:textId="0238A863" w:rsidR="008C7E1A" w:rsidRDefault="008C7E1A" w:rsidP="00D62C60">
      <w:pPr>
        <w:pStyle w:val="CETBodytext"/>
      </w:pPr>
      <w:r>
        <w:t>Building upon OGI principles, Quantitative Optical Gas Imaging (QOGI) technique has been developed to estimate emission rates from visualized gas plumes</w:t>
      </w:r>
      <w:r w:rsidR="00B9553D">
        <w:t xml:space="preserve"> </w:t>
      </w:r>
      <w:sdt>
        <w:sdtPr>
          <w:rPr>
            <w:rFonts w:cs="Arial"/>
            <w:color w:val="000000"/>
          </w:rPr>
          <w:tag w:val="MENDELEY_CITATION_v3_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"/>
          <w:id w:val="1097983510"/>
          <w:placeholder>
            <w:docPart w:val="DefaultPlaceholder_-1854013440"/>
          </w:placeholder>
        </w:sdtPr>
        <w:sdtEndPr/>
        <w:sdtContent>
          <w:r w:rsidR="00BC500A" w:rsidRPr="00BC500A">
            <w:rPr>
              <w:rFonts w:cs="Arial"/>
              <w:color w:val="000000"/>
            </w:rPr>
            <w:t>(Wilson, 2016)</w:t>
          </w:r>
        </w:sdtContent>
      </w:sdt>
      <w:r>
        <w:t xml:space="preserve">. This method relies on image processing algorithms, based on camera configuration and environmental parameters (i.e., wind speed, temperature, gas properties) to infer mass flow rates. Although further studies on the reliability of the technique and measurement uncertainty are needed, the QOGI technique represents a promising step toward the direct quantification of fugitive emissions using optical techniques. </w:t>
      </w:r>
      <w:r w:rsidR="000C6783">
        <w:t>This is particularly relevant as it enables the quantification of fugitive emissions also in non-traditional sectors such as landfills and anaerobic digestion plants</w:t>
      </w:r>
      <w:r w:rsidR="00B9553D">
        <w:t xml:space="preserve"> </w:t>
      </w:r>
      <w:sdt>
        <w:sdtPr>
          <w:rPr>
            <w:rFonts w:cs="Arial"/>
            <w:color w:val="000000"/>
          </w:rPr>
          <w:tag w:val="MENDELEY_CITATION_v3_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"/>
          <w:id w:val="-883323575"/>
          <w:placeholder>
            <w:docPart w:val="DefaultPlaceholder_-1854013440"/>
          </w:placeholder>
        </w:sdtPr>
        <w:sdtEndPr/>
        <w:sdtContent>
          <w:r w:rsidR="00BC500A" w:rsidRPr="00BC500A">
            <w:rPr>
              <w:rFonts w:cs="Arial"/>
              <w:color w:val="000000"/>
            </w:rPr>
            <w:t>(Cangialosi et al., 2024)</w:t>
          </w:r>
        </w:sdtContent>
      </w:sdt>
      <w:r w:rsidR="007D081F">
        <w:t>.</w:t>
      </w:r>
    </w:p>
    <w:p w14:paraId="16E86823" w14:textId="32B6E368" w:rsidR="007530AF" w:rsidRDefault="007530AF" w:rsidP="007530AF">
      <w:pPr>
        <w:pStyle w:val="CETHeading1"/>
        <w:rPr>
          <w:lang w:val="en-GB"/>
        </w:rPr>
      </w:pPr>
      <w:r>
        <w:rPr>
          <w:lang w:val="en-GB"/>
        </w:rPr>
        <w:t xml:space="preserve">From </w:t>
      </w:r>
      <w:r w:rsidR="001B22FF">
        <w:rPr>
          <w:lang w:val="en-GB"/>
        </w:rPr>
        <w:t>mass emissions to odour emissions</w:t>
      </w:r>
    </w:p>
    <w:p w14:paraId="312FC138" w14:textId="3A57E025" w:rsidR="00402AEF" w:rsidRDefault="00C96F8E" w:rsidP="00E0137A">
      <w:pPr>
        <w:pStyle w:val="CETBodytext"/>
        <w:rPr>
          <w:lang w:val="en-GB"/>
        </w:rPr>
      </w:pPr>
      <w:r>
        <w:rPr>
          <w:lang w:val="en-GB"/>
        </w:rPr>
        <w:t>The integration of fugitive emissions into odour impact assessment is hindered by a fundamental methodological gap between the quantities typically provided by emission estimation techniques and those required for odour modelling. Existing methods, including LDAR and advanced optical techniques, quantify emissions in terms of mass flow rates (e.g., kg/h), whereas odour impact assessment relies on the estimation of OER, expressed in odour units per unit time (</w:t>
      </w:r>
      <w:proofErr w:type="spellStart"/>
      <w:r>
        <w:rPr>
          <w:lang w:val="en-GB"/>
        </w:rPr>
        <w:t>ou</w:t>
      </w:r>
      <w:r w:rsidRPr="00C96F8E">
        <w:rPr>
          <w:vertAlign w:val="subscript"/>
          <w:lang w:val="en-GB"/>
        </w:rPr>
        <w:t>E</w:t>
      </w:r>
      <w:proofErr w:type="spellEnd"/>
      <w:r>
        <w:rPr>
          <w:lang w:val="en-GB"/>
        </w:rPr>
        <w:t>/s). This mismatch prevents the direct inclusion of fugitive emissions in atmospheric dispersion models and limits the completeness of odour impact studies.</w:t>
      </w:r>
    </w:p>
    <w:p w14:paraId="3061EBE5" w14:textId="5ED65C69" w:rsidR="00730B66" w:rsidRPr="00730B66" w:rsidRDefault="00730B66" w:rsidP="00E0137A">
      <w:pPr>
        <w:pStyle w:val="CETheadingx"/>
      </w:pPr>
      <w:r>
        <w:t>OTV-based approach: conversion through chemical speciation</w:t>
      </w:r>
    </w:p>
    <w:p w14:paraId="0D64F6D5" w14:textId="44F8E336" w:rsidR="00730B66" w:rsidRPr="00F7485F" w:rsidRDefault="00D340DE" w:rsidP="00E0137A">
      <w:pPr>
        <w:pStyle w:val="CETBodytext"/>
        <w:rPr>
          <w:szCs w:val="22"/>
        </w:rPr>
      </w:pPr>
      <w:r>
        <w:rPr>
          <w:lang w:val="en-GB"/>
        </w:rPr>
        <w:t xml:space="preserve">In principle, if the chemical composition of the emitted fluid is known, </w:t>
      </w:r>
      <w:r w:rsidR="00730B66">
        <w:rPr>
          <w:lang w:val="en-GB"/>
        </w:rPr>
        <w:t xml:space="preserve">a theoretical conversion from mass emissions to odour emissions can be performed by exploiting Odour Threshold Values (OTVs) available in literature </w:t>
      </w:r>
      <w:sdt>
        <w:sdtPr>
          <w:rPr>
            <w:rFonts w:cs="Arial"/>
            <w:color w:val="000000"/>
            <w:lang w:val="en-GB"/>
          </w:rPr>
          <w:tag w:val="MENDELEY_CITATION_v3_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"/>
          <w:id w:val="372204197"/>
          <w:placeholder>
            <w:docPart w:val="DefaultPlaceholder_-1854013440"/>
          </w:placeholder>
        </w:sdtPr>
        <w:sdtEndPr/>
        <w:sdtContent>
          <w:r w:rsidR="00BC500A" w:rsidRPr="00BC500A">
            <w:rPr>
              <w:rFonts w:cs="Arial"/>
              <w:color w:val="000000"/>
              <w:lang w:val="en-GB"/>
            </w:rPr>
            <w:t>(Nagata, 2003; Polvara et al., 2025)</w:t>
          </w:r>
        </w:sdtContent>
      </w:sdt>
      <w:r w:rsidR="00730B66">
        <w:rPr>
          <w:szCs w:val="22"/>
        </w:rPr>
        <w:t xml:space="preserve">. </w:t>
      </w:r>
      <w:r w:rsidR="00F7485F">
        <w:rPr>
          <w:szCs w:val="22"/>
        </w:rPr>
        <w:t>T</w:t>
      </w:r>
      <w:r w:rsidR="00730B66">
        <w:rPr>
          <w:szCs w:val="22"/>
        </w:rPr>
        <w:t>he contribution of each flow to the overall odour emission can be estimated individually.</w:t>
      </w:r>
      <w:r w:rsidR="00F7485F">
        <w:rPr>
          <w:szCs w:val="22"/>
        </w:rPr>
        <w:t xml:space="preserve"> </w:t>
      </w:r>
      <w:r w:rsidR="00730B66">
        <w:t>Under these assumptions, the OER associated with a given compound</w:t>
      </w:r>
      <w:r w:rsidR="004000C8">
        <w:t>,</w:t>
      </w:r>
      <w:r w:rsidR="00730B66">
        <w:t xml:space="preserve"> </w:t>
      </w:r>
      <w:proofErr w:type="spellStart"/>
      <w:r w:rsidR="00730B66">
        <w:t>i</w:t>
      </w:r>
      <w:proofErr w:type="spellEnd"/>
      <w:r w:rsidR="004000C8">
        <w:t>,</w:t>
      </w:r>
      <w:r w:rsidR="00730B66">
        <w:t xml:space="preserve"> can be expressed as:</w:t>
      </w:r>
    </w:p>
    <w:tbl>
      <w:tblPr>
        <w:tblW w:w="5000" w:type="pct"/>
        <w:tblLook w:val="04A0" w:firstRow="1" w:lastRow="0" w:firstColumn="1" w:lastColumn="0" w:noHBand="0" w:noVBand="1"/>
      </w:tblPr>
      <w:tblGrid>
        <w:gridCol w:w="7983"/>
        <w:gridCol w:w="804"/>
      </w:tblGrid>
      <w:tr w:rsidR="00D340DE" w:rsidRPr="002642E4" w14:paraId="317715E1" w14:textId="77777777" w:rsidTr="0071782B">
        <w:tc>
          <w:tcPr>
            <w:tcW w:w="8188" w:type="dxa"/>
            <w:vAlign w:val="center"/>
          </w:tcPr>
          <w:p w14:paraId="74ABD76D" w14:textId="74673751" w:rsidR="00D340DE" w:rsidRPr="003718CF" w:rsidRDefault="00400BE8" w:rsidP="0071782B">
            <w:pPr>
              <w:pStyle w:val="CETEquation"/>
              <w:rPr>
                <w:rFonts w:cs="Arial"/>
                <w:lang w:val="en-US"/>
              </w:rPr>
            </w:pPr>
            <m:oMathPara>
              <m:oMathParaPr>
                <m:jc m:val="left"/>
              </m:oMathParaPr>
              <m:oMath>
                <m:sSub>
                  <m:sSubPr>
                    <m:ctrlPr>
                      <w:rPr>
                        <w:rFonts w:ascii="Cambria Math" w:hAnsi="Cambria Math" w:cs="Arial"/>
                        <w:szCs w:val="18"/>
                        <w:lang w:val="en-US"/>
                      </w:rPr>
                    </m:ctrlPr>
                  </m:sSubPr>
                  <m:e>
                    <m:r>
                      <m:rPr>
                        <m:sty m:val="p"/>
                      </m:rPr>
                      <w:rPr>
                        <w:rFonts w:ascii="Cambria Math" w:hAnsi="Cambria Math" w:cs="Arial"/>
                        <w:szCs w:val="18"/>
                        <w:lang w:val="en-US"/>
                      </w:rPr>
                      <m:t>OER</m:t>
                    </m:r>
                  </m:e>
                  <m:sub>
                    <m:r>
                      <m:rPr>
                        <m:sty m:val="p"/>
                      </m:rPr>
                      <w:rPr>
                        <w:rFonts w:ascii="Cambria Math" w:hAnsi="Cambria Math" w:cs="Arial"/>
                        <w:szCs w:val="18"/>
                        <w:lang w:val="en-US"/>
                      </w:rPr>
                      <m:t>i</m:t>
                    </m:r>
                  </m:sub>
                </m:sSub>
                <m:r>
                  <m:rPr>
                    <m:sty m:val="p"/>
                  </m:rPr>
                  <w:rPr>
                    <w:rFonts w:ascii="Cambria Math" w:hAnsi="Cambria Math" w:cs="Arial"/>
                    <w:szCs w:val="18"/>
                    <w:lang w:val="en-US"/>
                  </w:rPr>
                  <m:t>=</m:t>
                </m:r>
                <m:sSub>
                  <m:sSubPr>
                    <m:ctrlPr>
                      <w:rPr>
                        <w:rFonts w:ascii="Cambria Math" w:hAnsi="Cambria Math" w:cs="Arial"/>
                        <w:szCs w:val="18"/>
                        <w:lang w:val="en-US"/>
                      </w:rPr>
                    </m:ctrlPr>
                  </m:sSubPr>
                  <m:e>
                    <m:r>
                      <m:rPr>
                        <m:sty m:val="p"/>
                      </m:rPr>
                      <w:rPr>
                        <w:rFonts w:ascii="Cambria Math" w:hAnsi="Cambria Math" w:cs="Arial"/>
                        <w:szCs w:val="18"/>
                        <w:lang w:val="en-US"/>
                      </w:rPr>
                      <m:t>L</m:t>
                    </m:r>
                  </m:e>
                  <m:sub>
                    <m:r>
                      <m:rPr>
                        <m:sty m:val="p"/>
                      </m:rPr>
                      <w:rPr>
                        <w:rFonts w:ascii="Cambria Math" w:hAnsi="Cambria Math" w:cs="Arial"/>
                        <w:szCs w:val="18"/>
                        <w:lang w:val="en-US"/>
                      </w:rPr>
                      <m:t>FE,i</m:t>
                    </m:r>
                  </m:sub>
                </m:sSub>
                <m:r>
                  <m:rPr>
                    <m:sty m:val="p"/>
                  </m:rPr>
                  <w:rPr>
                    <w:rFonts w:ascii="Cambria Math" w:hAnsi="Cambria Math" w:cs="Arial"/>
                    <w:szCs w:val="18"/>
                    <w:lang w:val="en-US"/>
                  </w:rPr>
                  <m:t>∙</m:t>
                </m:r>
                <m:f>
                  <m:fPr>
                    <m:ctrlPr>
                      <w:rPr>
                        <w:rFonts w:ascii="Cambria Math" w:hAnsi="Cambria Math" w:cs="Arial"/>
                        <w:szCs w:val="18"/>
                        <w:lang w:val="en-US"/>
                      </w:rPr>
                    </m:ctrlPr>
                  </m:fPr>
                  <m:num>
                    <m:r>
                      <m:rPr>
                        <m:sty m:val="p"/>
                      </m:rPr>
                      <w:rPr>
                        <w:rFonts w:ascii="Cambria Math" w:hAnsi="Cambria Math" w:cs="Arial"/>
                        <w:szCs w:val="18"/>
                        <w:lang w:val="en-US"/>
                      </w:rPr>
                      <m:t xml:space="preserve">1 </m:t>
                    </m:r>
                    <m:sSub>
                      <m:sSubPr>
                        <m:ctrlPr>
                          <w:rPr>
                            <w:rFonts w:ascii="Cambria Math" w:hAnsi="Cambria Math" w:cs="Arial"/>
                            <w:szCs w:val="18"/>
                            <w:lang w:val="en-US"/>
                          </w:rPr>
                        </m:ctrlPr>
                      </m:sSubPr>
                      <m:e>
                        <m:r>
                          <m:rPr>
                            <m:sty m:val="p"/>
                          </m:rPr>
                          <w:rPr>
                            <w:rFonts w:ascii="Cambria Math" w:hAnsi="Cambria Math" w:cs="Arial"/>
                            <w:szCs w:val="18"/>
                            <w:lang w:val="en-US"/>
                          </w:rPr>
                          <m:t>ou</m:t>
                        </m:r>
                      </m:e>
                      <m:sub>
                        <m:r>
                          <m:rPr>
                            <m:sty m:val="p"/>
                          </m:rPr>
                          <w:rPr>
                            <w:rFonts w:ascii="Cambria Math" w:hAnsi="Cambria Math" w:cs="Arial"/>
                            <w:szCs w:val="18"/>
                            <w:lang w:val="en-US"/>
                          </w:rPr>
                          <m:t>E</m:t>
                        </m:r>
                      </m:sub>
                    </m:sSub>
                    <m:r>
                      <m:rPr>
                        <m:sty m:val="p"/>
                      </m:rPr>
                      <w:rPr>
                        <w:rFonts w:ascii="Cambria Math" w:hAnsi="Cambria Math" w:cs="Arial"/>
                        <w:szCs w:val="18"/>
                        <w:lang w:val="en-US"/>
                      </w:rPr>
                      <m:t>/</m:t>
                    </m:r>
                    <m:sSup>
                      <m:sSupPr>
                        <m:ctrlPr>
                          <w:rPr>
                            <w:rFonts w:ascii="Cambria Math" w:hAnsi="Cambria Math" w:cs="Arial"/>
                            <w:szCs w:val="18"/>
                            <w:lang w:val="en-US"/>
                          </w:rPr>
                        </m:ctrlPr>
                      </m:sSupPr>
                      <m:e>
                        <m:r>
                          <m:rPr>
                            <m:sty m:val="p"/>
                          </m:rPr>
                          <w:rPr>
                            <w:rFonts w:ascii="Cambria Math" w:hAnsi="Cambria Math" w:cs="Arial"/>
                            <w:szCs w:val="18"/>
                            <w:lang w:val="en-US"/>
                          </w:rPr>
                          <m:t>m</m:t>
                        </m:r>
                      </m:e>
                      <m:sup>
                        <m:r>
                          <m:rPr>
                            <m:sty m:val="p"/>
                          </m:rPr>
                          <w:rPr>
                            <w:rFonts w:ascii="Cambria Math" w:hAnsi="Cambria Math" w:cs="Arial"/>
                            <w:szCs w:val="18"/>
                            <w:lang w:val="en-US"/>
                          </w:rPr>
                          <m:t>3</m:t>
                        </m:r>
                      </m:sup>
                    </m:sSup>
                  </m:num>
                  <m:den>
                    <m:r>
                      <m:rPr>
                        <m:sty m:val="p"/>
                      </m:rPr>
                      <w:rPr>
                        <w:rFonts w:ascii="Cambria Math" w:hAnsi="Cambria Math" w:cs="Arial"/>
                        <w:szCs w:val="18"/>
                        <w:lang w:val="en-US"/>
                      </w:rPr>
                      <m:t>OT</m:t>
                    </m:r>
                    <m:sSub>
                      <m:sSubPr>
                        <m:ctrlPr>
                          <w:rPr>
                            <w:rFonts w:ascii="Cambria Math" w:hAnsi="Cambria Math" w:cs="Arial"/>
                            <w:szCs w:val="18"/>
                            <w:lang w:val="en-US"/>
                          </w:rPr>
                        </m:ctrlPr>
                      </m:sSubPr>
                      <m:e>
                        <m:r>
                          <m:rPr>
                            <m:sty m:val="p"/>
                          </m:rPr>
                          <w:rPr>
                            <w:rFonts w:ascii="Cambria Math" w:hAnsi="Cambria Math" w:cs="Arial"/>
                            <w:szCs w:val="18"/>
                            <w:lang w:val="en-US"/>
                          </w:rPr>
                          <m:t>V</m:t>
                        </m:r>
                      </m:e>
                      <m:sub>
                        <m:r>
                          <m:rPr>
                            <m:sty m:val="p"/>
                          </m:rPr>
                          <w:rPr>
                            <w:rFonts w:ascii="Cambria Math" w:hAnsi="Cambria Math" w:cs="Arial"/>
                            <w:szCs w:val="18"/>
                            <w:lang w:val="en-US"/>
                          </w:rPr>
                          <m:t>i</m:t>
                        </m:r>
                      </m:sub>
                    </m:sSub>
                  </m:den>
                </m:f>
                <m:r>
                  <m:rPr>
                    <m:sty m:val="p"/>
                  </m:rPr>
                  <w:rPr>
                    <w:rFonts w:ascii="Cambria Math" w:hAnsi="Cambria Math" w:cs="Arial"/>
                    <w:szCs w:val="18"/>
                    <w:lang w:val="en-US"/>
                  </w:rPr>
                  <m:t xml:space="preserve"> ∙</m:t>
                </m:r>
                <m:f>
                  <m:fPr>
                    <m:ctrlPr>
                      <w:rPr>
                        <w:rFonts w:ascii="Cambria Math" w:hAnsi="Cambria Math" w:cs="Arial"/>
                        <w:szCs w:val="18"/>
                        <w:lang w:val="en-US"/>
                      </w:rPr>
                    </m:ctrlPr>
                  </m:fPr>
                  <m:num>
                    <m:r>
                      <m:rPr>
                        <m:sty m:val="p"/>
                      </m:rPr>
                      <w:rPr>
                        <w:rFonts w:ascii="Cambria Math" w:hAnsi="Cambria Math" w:cs="Arial"/>
                        <w:szCs w:val="18"/>
                        <w:lang w:val="en-US"/>
                      </w:rPr>
                      <m:t>R∙T</m:t>
                    </m:r>
                  </m:num>
                  <m:den>
                    <m:r>
                      <m:rPr>
                        <m:sty m:val="p"/>
                      </m:rPr>
                      <w:rPr>
                        <w:rFonts w:ascii="Cambria Math" w:hAnsi="Cambria Math" w:cs="Arial"/>
                        <w:szCs w:val="18"/>
                        <w:lang w:val="en-US"/>
                      </w:rPr>
                      <m:t>M</m:t>
                    </m:r>
                    <m:sSub>
                      <m:sSubPr>
                        <m:ctrlPr>
                          <w:rPr>
                            <w:rFonts w:ascii="Cambria Math" w:hAnsi="Cambria Math" w:cs="Arial"/>
                            <w:szCs w:val="18"/>
                            <w:lang w:val="en-US"/>
                          </w:rPr>
                        </m:ctrlPr>
                      </m:sSubPr>
                      <m:e>
                        <m:r>
                          <m:rPr>
                            <m:sty m:val="p"/>
                          </m:rPr>
                          <w:rPr>
                            <w:rFonts w:ascii="Cambria Math" w:hAnsi="Cambria Math" w:cs="Arial"/>
                            <w:szCs w:val="18"/>
                            <w:lang w:val="en-US"/>
                          </w:rPr>
                          <m:t>W</m:t>
                        </m:r>
                      </m:e>
                      <m:sub>
                        <m:r>
                          <m:rPr>
                            <m:sty m:val="p"/>
                          </m:rPr>
                          <w:rPr>
                            <w:rFonts w:ascii="Cambria Math" w:hAnsi="Cambria Math" w:cs="Arial"/>
                            <w:szCs w:val="18"/>
                            <w:lang w:val="en-US"/>
                          </w:rPr>
                          <m:t>i</m:t>
                        </m:r>
                      </m:sub>
                    </m:sSub>
                    <m:r>
                      <m:rPr>
                        <m:sty m:val="p"/>
                      </m:rPr>
                      <w:rPr>
                        <w:rFonts w:ascii="Cambria Math" w:hAnsi="Cambria Math" w:cs="Arial"/>
                        <w:szCs w:val="18"/>
                        <w:lang w:val="en-US"/>
                      </w:rPr>
                      <m:t>∙P</m:t>
                    </m:r>
                  </m:den>
                </m:f>
                <m:r>
                  <m:rPr>
                    <m:sty m:val="p"/>
                  </m:rPr>
                  <w:rPr>
                    <w:rFonts w:ascii="Cambria Math" w:hAnsi="Cambria Math" w:cs="Arial"/>
                    <w:szCs w:val="18"/>
                    <w:lang w:val="en-US"/>
                  </w:rPr>
                  <m:t xml:space="preserve"> </m:t>
                </m:r>
              </m:oMath>
            </m:oMathPara>
          </w:p>
        </w:tc>
        <w:tc>
          <w:tcPr>
            <w:tcW w:w="815" w:type="dxa"/>
            <w:vAlign w:val="center"/>
          </w:tcPr>
          <w:p w14:paraId="7F747345" w14:textId="77777777" w:rsidR="00D340DE" w:rsidRPr="002642E4" w:rsidRDefault="00D340DE" w:rsidP="0071782B">
            <w:pPr>
              <w:pStyle w:val="CETEquation"/>
              <w:jc w:val="right"/>
              <w:rPr>
                <w:lang w:val="en-US"/>
              </w:rPr>
            </w:pPr>
            <w:r w:rsidRPr="002642E4">
              <w:rPr>
                <w:lang w:val="en-US"/>
              </w:rPr>
              <w:t>(1)</w:t>
            </w:r>
          </w:p>
        </w:tc>
      </w:tr>
    </w:tbl>
    <w:p w14:paraId="28012192" w14:textId="373D80AC" w:rsidR="00D340DE" w:rsidRDefault="00D340DE" w:rsidP="00E0137A">
      <w:pPr>
        <w:pStyle w:val="CETBodytext"/>
        <w:rPr>
          <w:lang w:val="en-GB"/>
        </w:rPr>
      </w:pPr>
      <w:r>
        <w:rPr>
          <w:lang w:val="en-GB"/>
        </w:rPr>
        <w:t>where:</w:t>
      </w:r>
    </w:p>
    <w:p w14:paraId="4D7E136F" w14:textId="53F61C78" w:rsidR="00D340DE" w:rsidRDefault="00D340DE" w:rsidP="00D340DE">
      <w:pPr>
        <w:pStyle w:val="CETBodytext"/>
        <w:numPr>
          <w:ilvl w:val="0"/>
          <w:numId w:val="28"/>
        </w:numPr>
        <w:rPr>
          <w:lang w:val="en-GB"/>
        </w:rPr>
      </w:pPr>
      <w:proofErr w:type="spellStart"/>
      <w:r>
        <w:rPr>
          <w:lang w:val="en-GB"/>
        </w:rPr>
        <w:t>OER</w:t>
      </w:r>
      <w:r w:rsidRPr="00D340DE">
        <w:rPr>
          <w:vertAlign w:val="subscript"/>
          <w:lang w:val="en-GB"/>
        </w:rPr>
        <w:t>i</w:t>
      </w:r>
      <w:proofErr w:type="spellEnd"/>
      <w:r>
        <w:rPr>
          <w:lang w:val="en-GB"/>
        </w:rPr>
        <w:t xml:space="preserve"> [</w:t>
      </w:r>
      <w:proofErr w:type="spellStart"/>
      <w:r>
        <w:rPr>
          <w:lang w:val="en-GB"/>
        </w:rPr>
        <w:t>ou</w:t>
      </w:r>
      <w:r w:rsidRPr="00D340DE">
        <w:rPr>
          <w:vertAlign w:val="subscript"/>
          <w:lang w:val="en-GB"/>
        </w:rPr>
        <w:t>E</w:t>
      </w:r>
      <w:proofErr w:type="spellEnd"/>
      <w:r>
        <w:rPr>
          <w:lang w:val="en-GB"/>
        </w:rPr>
        <w:t xml:space="preserve">/s] is the odour emission rate </w:t>
      </w:r>
      <w:r w:rsidR="00730B66">
        <w:rPr>
          <w:lang w:val="en-GB"/>
        </w:rPr>
        <w:t xml:space="preserve">of compound </w:t>
      </w:r>
      <w:proofErr w:type="spellStart"/>
      <w:r w:rsidR="00730B66">
        <w:rPr>
          <w:lang w:val="en-GB"/>
        </w:rPr>
        <w:t>i</w:t>
      </w:r>
      <w:proofErr w:type="spellEnd"/>
      <w:r w:rsidR="00730B66">
        <w:rPr>
          <w:lang w:val="en-GB"/>
        </w:rPr>
        <w:t>;</w:t>
      </w:r>
    </w:p>
    <w:p w14:paraId="7519F2F8" w14:textId="70214E52" w:rsidR="00D340DE" w:rsidRDefault="00D340DE" w:rsidP="00D340DE">
      <w:pPr>
        <w:pStyle w:val="CETBodytext"/>
        <w:numPr>
          <w:ilvl w:val="0"/>
          <w:numId w:val="28"/>
        </w:numPr>
        <w:rPr>
          <w:lang w:val="en-GB"/>
        </w:rPr>
      </w:pPr>
      <w:proofErr w:type="spellStart"/>
      <w:r>
        <w:rPr>
          <w:lang w:val="en-GB"/>
        </w:rPr>
        <w:t>L</w:t>
      </w:r>
      <w:r w:rsidRPr="00D340DE">
        <w:rPr>
          <w:vertAlign w:val="subscript"/>
          <w:lang w:val="en-GB"/>
        </w:rPr>
        <w:t>FE,</w:t>
      </w:r>
      <w:r w:rsidR="00CA243C">
        <w:rPr>
          <w:vertAlign w:val="subscript"/>
          <w:lang w:val="en-GB"/>
        </w:rPr>
        <w:t>i</w:t>
      </w:r>
      <w:proofErr w:type="spellEnd"/>
      <w:r>
        <w:rPr>
          <w:lang w:val="en-GB"/>
        </w:rPr>
        <w:t xml:space="preserve"> [</w:t>
      </w:r>
      <w:r w:rsidR="00730B66">
        <w:rPr>
          <w:lang w:val="en-GB"/>
        </w:rPr>
        <w:t>m</w:t>
      </w:r>
      <w:r>
        <w:rPr>
          <w:lang w:val="en-GB"/>
        </w:rPr>
        <w:t>g/</w:t>
      </w:r>
      <w:r w:rsidR="00730B66">
        <w:rPr>
          <w:lang w:val="en-GB"/>
        </w:rPr>
        <w:t>s</w:t>
      </w:r>
      <w:r>
        <w:rPr>
          <w:lang w:val="en-GB"/>
        </w:rPr>
        <w:t xml:space="preserve">] is the </w:t>
      </w:r>
      <w:r w:rsidR="00730B66">
        <w:rPr>
          <w:lang w:val="en-GB"/>
        </w:rPr>
        <w:t xml:space="preserve">fugitive mass emission rate of compound </w:t>
      </w:r>
      <w:proofErr w:type="spellStart"/>
      <w:r w:rsidR="00730B66">
        <w:rPr>
          <w:lang w:val="en-GB"/>
        </w:rPr>
        <w:t>i</w:t>
      </w:r>
      <w:proofErr w:type="spellEnd"/>
      <w:r w:rsidR="00730B66">
        <w:rPr>
          <w:lang w:val="en-GB"/>
        </w:rPr>
        <w:t>;</w:t>
      </w:r>
    </w:p>
    <w:p w14:paraId="05F57D09" w14:textId="672D40AB" w:rsidR="00D340DE" w:rsidRDefault="00D340DE" w:rsidP="00D340DE">
      <w:pPr>
        <w:pStyle w:val="CETBodytext"/>
        <w:numPr>
          <w:ilvl w:val="0"/>
          <w:numId w:val="28"/>
        </w:numPr>
        <w:rPr>
          <w:lang w:val="en-GB"/>
        </w:rPr>
      </w:pPr>
      <w:proofErr w:type="spellStart"/>
      <w:r>
        <w:rPr>
          <w:lang w:val="en-GB"/>
        </w:rPr>
        <w:t>OTV</w:t>
      </w:r>
      <w:r w:rsidRPr="003718CF">
        <w:rPr>
          <w:vertAlign w:val="subscript"/>
          <w:lang w:val="en-GB"/>
        </w:rPr>
        <w:t>i</w:t>
      </w:r>
      <w:proofErr w:type="spellEnd"/>
      <w:r>
        <w:rPr>
          <w:lang w:val="en-GB"/>
        </w:rPr>
        <w:t xml:space="preserve"> [</w:t>
      </w:r>
      <w:r w:rsidR="003718CF">
        <w:rPr>
          <w:lang w:val="en-GB"/>
        </w:rPr>
        <w:t>ppm</w:t>
      </w:r>
      <w:r>
        <w:rPr>
          <w:lang w:val="en-GB"/>
        </w:rPr>
        <w:t xml:space="preserve">] is the Odour Threshold Value of </w:t>
      </w:r>
      <w:r w:rsidR="00730B66">
        <w:rPr>
          <w:lang w:val="en-GB"/>
        </w:rPr>
        <w:t xml:space="preserve">compound </w:t>
      </w:r>
      <w:proofErr w:type="spellStart"/>
      <w:r w:rsidR="003718CF">
        <w:rPr>
          <w:lang w:val="en-GB"/>
        </w:rPr>
        <w:t>i</w:t>
      </w:r>
      <w:proofErr w:type="spellEnd"/>
      <w:r w:rsidR="003718CF">
        <w:rPr>
          <w:lang w:val="en-GB"/>
        </w:rPr>
        <w:t xml:space="preserve">, corresponding to and odour concentration of 1 </w:t>
      </w:r>
      <w:proofErr w:type="spellStart"/>
      <w:r w:rsidR="003718CF">
        <w:rPr>
          <w:lang w:val="en-GB"/>
        </w:rPr>
        <w:t>ou</w:t>
      </w:r>
      <w:r w:rsidR="003718CF" w:rsidRPr="003718CF">
        <w:rPr>
          <w:vertAlign w:val="subscript"/>
          <w:lang w:val="en-GB"/>
        </w:rPr>
        <w:t>E</w:t>
      </w:r>
      <w:proofErr w:type="spellEnd"/>
      <w:r w:rsidR="003718CF">
        <w:rPr>
          <w:lang w:val="en-GB"/>
        </w:rPr>
        <w:t>/m</w:t>
      </w:r>
      <w:r w:rsidR="003718CF" w:rsidRPr="003718CF">
        <w:rPr>
          <w:vertAlign w:val="superscript"/>
          <w:lang w:val="en-GB"/>
        </w:rPr>
        <w:t>3</w:t>
      </w:r>
      <w:r w:rsidR="003718CF">
        <w:rPr>
          <w:lang w:val="en-GB"/>
        </w:rPr>
        <w:t>;</w:t>
      </w:r>
    </w:p>
    <w:p w14:paraId="18D097C9" w14:textId="4D2B1B22" w:rsidR="003718CF" w:rsidRDefault="003718CF" w:rsidP="00D340DE">
      <w:pPr>
        <w:pStyle w:val="CETBodytext"/>
        <w:numPr>
          <w:ilvl w:val="0"/>
          <w:numId w:val="28"/>
        </w:numPr>
        <w:rPr>
          <w:lang w:val="en-GB"/>
        </w:rPr>
      </w:pPr>
      <w:proofErr w:type="spellStart"/>
      <w:r>
        <w:rPr>
          <w:lang w:val="en-GB"/>
        </w:rPr>
        <w:t>MW</w:t>
      </w:r>
      <w:r w:rsidRPr="003718CF">
        <w:rPr>
          <w:vertAlign w:val="subscript"/>
          <w:lang w:val="en-GB"/>
        </w:rPr>
        <w:t>i</w:t>
      </w:r>
      <w:proofErr w:type="spellEnd"/>
      <w:r>
        <w:rPr>
          <w:lang w:val="en-GB"/>
        </w:rPr>
        <w:t xml:space="preserve"> [g/mol] is the molecular weight of compound </w:t>
      </w:r>
      <w:proofErr w:type="spellStart"/>
      <w:r>
        <w:rPr>
          <w:lang w:val="en-GB"/>
        </w:rPr>
        <w:t>i</w:t>
      </w:r>
      <w:proofErr w:type="spellEnd"/>
      <w:r>
        <w:rPr>
          <w:lang w:val="en-GB"/>
        </w:rPr>
        <w:t>;</w:t>
      </w:r>
    </w:p>
    <w:p w14:paraId="09BCBBF3" w14:textId="7CD95A84" w:rsidR="003718CF" w:rsidRDefault="003718CF" w:rsidP="00D340DE">
      <w:pPr>
        <w:pStyle w:val="CETBodytext"/>
        <w:numPr>
          <w:ilvl w:val="0"/>
          <w:numId w:val="28"/>
        </w:numPr>
        <w:rPr>
          <w:lang w:val="en-GB"/>
        </w:rPr>
      </w:pPr>
      <w:r>
        <w:rPr>
          <w:lang w:val="en-GB"/>
        </w:rPr>
        <w:t>R [J/mol/K], T [K], and P [Pa] are the gas constant, temperature (i.e., 293 K) and pressure (i.e., 101325 Pa), respectively</w:t>
      </w:r>
    </w:p>
    <w:p w14:paraId="24BACAED" w14:textId="7F31D3E8" w:rsidR="00730B66" w:rsidRDefault="00730B66" w:rsidP="00730B66">
      <w:pPr>
        <w:pStyle w:val="CETBodytext"/>
        <w:rPr>
          <w:lang w:val="en-GB"/>
        </w:rPr>
      </w:pPr>
      <w:r>
        <w:rPr>
          <w:lang w:val="en-GB"/>
        </w:rPr>
        <w:t>The total OER can then be estimated by summing the contributions of each individual species.</w:t>
      </w:r>
    </w:p>
    <w:p w14:paraId="0A8E4A06" w14:textId="7A76B496" w:rsidR="00D340DE" w:rsidRDefault="00D340DE" w:rsidP="00D340DE">
      <w:pPr>
        <w:pStyle w:val="CETBodytext"/>
        <w:rPr>
          <w:lang w:val="en-GB"/>
        </w:rPr>
      </w:pPr>
      <w:r>
        <w:rPr>
          <w:lang w:val="en-GB"/>
        </w:rPr>
        <w:t>However, this approach is often impracticable in real industrial contexts. Fugitive emission</w:t>
      </w:r>
      <w:r w:rsidR="0072485A">
        <w:rPr>
          <w:lang w:val="en-GB"/>
        </w:rPr>
        <w:t>s typically consist of complex and variable mixture</w:t>
      </w:r>
      <w:r w:rsidR="003D41B8">
        <w:rPr>
          <w:lang w:val="en-GB"/>
        </w:rPr>
        <w:t>s</w:t>
      </w:r>
      <w:r w:rsidR="0072485A">
        <w:rPr>
          <w:lang w:val="en-GB"/>
        </w:rPr>
        <w:t>, whose composition is not known or easily measurable. Moreover, odour perception does not follow simple additive rules, and interactions between compounds can lead to synergistic or masking effects</w:t>
      </w:r>
      <w:r w:rsidR="003D41B8">
        <w:rPr>
          <w:lang w:val="en-GB"/>
        </w:rPr>
        <w:t>. These limitations significantly reduce the applicability of OTV-based method for fugitive emission assessment</w:t>
      </w:r>
      <w:r w:rsidR="0072485A">
        <w:rPr>
          <w:lang w:val="en-GB"/>
        </w:rPr>
        <w:t>.</w:t>
      </w:r>
    </w:p>
    <w:p w14:paraId="575913D1" w14:textId="5A3BFDEF" w:rsidR="00730B66" w:rsidRDefault="00730B66" w:rsidP="00730B66">
      <w:pPr>
        <w:pStyle w:val="CETheadingx"/>
      </w:pPr>
      <w:r>
        <w:lastRenderedPageBreak/>
        <w:t>OFEP approach: field measurement of the leakage</w:t>
      </w:r>
    </w:p>
    <w:p w14:paraId="528ADE8A" w14:textId="77777777" w:rsidR="003D41B8" w:rsidRDefault="0072485A" w:rsidP="00D340DE">
      <w:pPr>
        <w:pStyle w:val="CETBodytext"/>
        <w:rPr>
          <w:lang w:val="en-GB"/>
        </w:rPr>
      </w:pPr>
      <w:r>
        <w:rPr>
          <w:lang w:val="en-GB"/>
        </w:rPr>
        <w:t xml:space="preserve">In the absence of reliable compositional information, a direct experimental characterization of fugitive emissions becomes necessary. This requires the measurement of both odour concentration and a representative chemical parameter at the emission interface. </w:t>
      </w:r>
    </w:p>
    <w:p w14:paraId="7A4312F8" w14:textId="3330453E" w:rsidR="0072485A" w:rsidRDefault="0072485A" w:rsidP="00D340DE">
      <w:pPr>
        <w:pStyle w:val="CETBodytext"/>
        <w:rPr>
          <w:lang w:val="en-GB"/>
        </w:rPr>
      </w:pPr>
      <w:r>
        <w:rPr>
          <w:lang w:val="en-GB"/>
        </w:rPr>
        <w:t>In this context, the present work introduces the Odour Fugitive Emission Potential (OFEP) as a novel parameter aimed at bridging the gap between mass emissions and odour emissions.</w:t>
      </w:r>
      <w:r w:rsidR="00F7485F">
        <w:rPr>
          <w:lang w:val="en-GB"/>
        </w:rPr>
        <w:t xml:space="preserve"> </w:t>
      </w:r>
      <w:r>
        <w:rPr>
          <w:lang w:val="en-GB"/>
        </w:rPr>
        <w:t>OFEP</w:t>
      </w:r>
      <w:r w:rsidR="00F7485F">
        <w:rPr>
          <w:lang w:val="en-GB"/>
        </w:rPr>
        <w:t xml:space="preserve"> parameter</w:t>
      </w:r>
      <w:r>
        <w:rPr>
          <w:lang w:val="en-GB"/>
        </w:rPr>
        <w:t xml:space="preserve"> is based on the relationship between odour concentration and Total Volatile Organic Carbon (TVOC) concentration, both measured at the interface of a fugitive emission source. </w:t>
      </w:r>
      <w:r w:rsidR="008573B4">
        <w:rPr>
          <w:lang w:val="en-GB"/>
        </w:rPr>
        <w:t xml:space="preserve">By coupling these parameters, it is possible to define a parameter that expresses the odour potential per unit of emitted VOC mass (i.e., </w:t>
      </w:r>
      <w:proofErr w:type="spellStart"/>
      <w:r w:rsidR="008573B4">
        <w:rPr>
          <w:lang w:val="en-GB"/>
        </w:rPr>
        <w:t>ou</w:t>
      </w:r>
      <w:r w:rsidR="008573B4" w:rsidRPr="008573B4">
        <w:rPr>
          <w:vertAlign w:val="subscript"/>
          <w:lang w:val="en-GB"/>
        </w:rPr>
        <w:t>E</w:t>
      </w:r>
      <w:proofErr w:type="spellEnd"/>
      <w:r w:rsidR="008573B4">
        <w:rPr>
          <w:lang w:val="en-GB"/>
        </w:rPr>
        <w:t>/</w:t>
      </w:r>
      <w:proofErr w:type="spellStart"/>
      <w:r w:rsidR="008573B4">
        <w:rPr>
          <w:lang w:val="en-GB"/>
        </w:rPr>
        <w:t>mg</w:t>
      </w:r>
      <w:r w:rsidR="008573B4" w:rsidRPr="008573B4">
        <w:rPr>
          <w:vertAlign w:val="subscript"/>
          <w:lang w:val="en-GB"/>
        </w:rPr>
        <w:t>C</w:t>
      </w:r>
      <w:proofErr w:type="spellEnd"/>
      <w:r w:rsidR="008573B4">
        <w:rPr>
          <w:lang w:val="en-GB"/>
        </w:rPr>
        <w:t>).</w:t>
      </w:r>
    </w:p>
    <w:p w14:paraId="261302CF" w14:textId="159AEED1" w:rsidR="008573B4" w:rsidRDefault="008573B4" w:rsidP="00D340DE">
      <w:pPr>
        <w:pStyle w:val="CETBodytext"/>
        <w:rPr>
          <w:lang w:val="en-GB"/>
        </w:rPr>
      </w:pPr>
      <w:r>
        <w:rPr>
          <w:lang w:val="en-GB"/>
        </w:rPr>
        <w:t xml:space="preserve">The proposed methodology is schematically illustrated in </w:t>
      </w:r>
      <w:r>
        <w:rPr>
          <w:lang w:val="en-GB"/>
        </w:rPr>
        <w:fldChar w:fldCharType="begin"/>
      </w:r>
      <w:r>
        <w:rPr>
          <w:lang w:val="en-GB"/>
        </w:rPr>
        <w:instrText xml:space="preserve"> REF _Ref225840960 \h </w:instrText>
      </w:r>
      <w:r>
        <w:rPr>
          <w:lang w:val="en-GB"/>
        </w:rPr>
      </w:r>
      <w:r>
        <w:rPr>
          <w:lang w:val="en-GB"/>
        </w:rPr>
        <w:fldChar w:fldCharType="separate"/>
      </w:r>
      <w:r>
        <w:t xml:space="preserve">Figure </w:t>
      </w:r>
      <w:r>
        <w:rPr>
          <w:noProof/>
        </w:rPr>
        <w:t>1</w:t>
      </w:r>
      <w:r>
        <w:rPr>
          <w:lang w:val="en-GB"/>
        </w:rPr>
        <w:fldChar w:fldCharType="end"/>
      </w:r>
      <w:r>
        <w:rPr>
          <w:lang w:val="en-GB"/>
        </w:rPr>
        <w:t>.</w:t>
      </w:r>
    </w:p>
    <w:p w14:paraId="0D88577C" w14:textId="2D62BEDD" w:rsidR="008573B4" w:rsidRPr="00B57B36" w:rsidRDefault="00DC2EBC" w:rsidP="008573B4">
      <w:pPr>
        <w:pStyle w:val="CETCaption"/>
      </w:pPr>
      <w:r>
        <w:rPr>
          <w:noProof/>
        </w:rPr>
        <w:drawing>
          <wp:inline distT="0" distB="0" distL="0" distR="0" wp14:anchorId="4040F5A8" wp14:editId="18C86AFC">
            <wp:extent cx="5760000" cy="2457521"/>
            <wp:effectExtent l="0" t="0" r="0" b="0"/>
            <wp:docPr id="13" name="Immagine 12">
              <a:extLst xmlns:a="http://schemas.openxmlformats.org/drawingml/2006/main">
                <a:ext uri="{FF2B5EF4-FFF2-40B4-BE49-F238E27FC236}">
                  <a16:creationId xmlns:a16="http://schemas.microsoft.com/office/drawing/2014/main" id="{18BDC573-5C39-4636-A74C-B36899D98B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 12">
                      <a:extLst>
                        <a:ext uri="{FF2B5EF4-FFF2-40B4-BE49-F238E27FC236}">
                          <a16:creationId xmlns:a16="http://schemas.microsoft.com/office/drawing/2014/main" id="{18BDC573-5C39-4636-A74C-B36899D98BCE}"/>
                        </a:ext>
                      </a:extLst>
                    </pic:cNvPr>
                    <pic:cNvPicPr>
                      <a:picLocks noChangeAspect="1"/>
                    </pic:cNvPicPr>
                  </pic:nvPicPr>
                  <pic:blipFill>
                    <a:blip r:embed="rId10"/>
                    <a:stretch>
                      <a:fillRect/>
                    </a:stretch>
                  </pic:blipFill>
                  <pic:spPr>
                    <a:xfrm>
                      <a:off x="0" y="0"/>
                      <a:ext cx="5760000" cy="2457521"/>
                    </a:xfrm>
                    <a:prstGeom prst="rect">
                      <a:avLst/>
                    </a:prstGeom>
                  </pic:spPr>
                </pic:pic>
              </a:graphicData>
            </a:graphic>
          </wp:inline>
        </w:drawing>
      </w:r>
    </w:p>
    <w:p w14:paraId="3C330D0C" w14:textId="73C88477" w:rsidR="008573B4" w:rsidRDefault="008573B4" w:rsidP="008573B4">
      <w:pPr>
        <w:pStyle w:val="CETBodytextItalic"/>
      </w:pPr>
      <w:bookmarkStart w:id="0" w:name="_Ref225840960"/>
      <w:r>
        <w:t xml:space="preserve">Figure </w:t>
      </w:r>
      <w:r>
        <w:fldChar w:fldCharType="begin"/>
      </w:r>
      <w:r>
        <w:instrText xml:space="preserve"> SEQ Figure \* ARABIC </w:instrText>
      </w:r>
      <w:r>
        <w:fldChar w:fldCharType="separate"/>
      </w:r>
      <w:r>
        <w:rPr>
          <w:noProof/>
        </w:rPr>
        <w:t>1</w:t>
      </w:r>
      <w:r>
        <w:fldChar w:fldCharType="end"/>
      </w:r>
      <w:bookmarkEnd w:id="0"/>
      <w:r>
        <w:t>. Proposed methodology for OFEP estimation</w:t>
      </w:r>
    </w:p>
    <w:p w14:paraId="6E8EC070" w14:textId="41B46D9D" w:rsidR="008573B4" w:rsidRDefault="008573B4" w:rsidP="008573B4">
      <w:pPr>
        <w:pStyle w:val="CETAddress"/>
        <w:jc w:val="both"/>
        <w:rPr>
          <w:sz w:val="18"/>
          <w:szCs w:val="22"/>
        </w:rPr>
      </w:pPr>
      <w:r w:rsidRPr="008573B4">
        <w:rPr>
          <w:sz w:val="18"/>
          <w:szCs w:val="22"/>
        </w:rPr>
        <w:t xml:space="preserve">The </w:t>
      </w:r>
      <w:r>
        <w:rPr>
          <w:sz w:val="18"/>
          <w:szCs w:val="22"/>
        </w:rPr>
        <w:t>approach consists of sampling the fugitive emission directly at the interface, following a procedure analogous to LDAR measurements. The sampling is performed by collecting the emitted gas into suitable sampling bags</w:t>
      </w:r>
      <w:r w:rsidR="004000C8">
        <w:rPr>
          <w:sz w:val="18"/>
          <w:szCs w:val="22"/>
        </w:rPr>
        <w:t xml:space="preserve">, in compliance with </w:t>
      </w:r>
      <w:r w:rsidR="004000C8" w:rsidRPr="004000C8">
        <w:rPr>
          <w:sz w:val="18"/>
          <w:szCs w:val="22"/>
        </w:rPr>
        <w:t>EN 13725:2022</w:t>
      </w:r>
      <w:r>
        <w:rPr>
          <w:sz w:val="18"/>
          <w:szCs w:val="22"/>
        </w:rPr>
        <w:t>. The collected saples are then analyzed in the laboratory to determine:</w:t>
      </w:r>
    </w:p>
    <w:p w14:paraId="79F41EC3" w14:textId="74DDDC75" w:rsidR="008573B4" w:rsidRDefault="008573B4" w:rsidP="008573B4">
      <w:pPr>
        <w:pStyle w:val="CETAddress"/>
        <w:numPr>
          <w:ilvl w:val="0"/>
          <w:numId w:val="29"/>
        </w:numPr>
        <w:jc w:val="both"/>
        <w:rPr>
          <w:sz w:val="18"/>
          <w:szCs w:val="22"/>
        </w:rPr>
      </w:pPr>
      <w:r>
        <w:rPr>
          <w:sz w:val="18"/>
          <w:szCs w:val="22"/>
        </w:rPr>
        <w:t>the odour concentration (C</w:t>
      </w:r>
      <w:r w:rsidRPr="008573B4">
        <w:rPr>
          <w:sz w:val="18"/>
          <w:szCs w:val="22"/>
          <w:vertAlign w:val="subscript"/>
        </w:rPr>
        <w:t>od</w:t>
      </w:r>
      <w:r>
        <w:rPr>
          <w:sz w:val="18"/>
          <w:szCs w:val="22"/>
        </w:rPr>
        <w:t xml:space="preserve">), using dynamic olfactometry in accordance with </w:t>
      </w:r>
      <w:sdt>
        <w:sdtPr>
          <w:rPr>
            <w:rFonts w:cs="Arial"/>
            <w:color w:val="000000"/>
            <w:sz w:val="18"/>
            <w:szCs w:val="22"/>
          </w:rPr>
          <w:tag w:val="MENDELEY_CITATION_v3_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"/>
          <w:id w:val="-1044901086"/>
          <w:placeholder>
            <w:docPart w:val="DefaultPlaceholder_-1854013440"/>
          </w:placeholder>
        </w:sdtPr>
        <w:sdtEndPr/>
        <w:sdtContent>
          <w:r w:rsidR="00BC500A" w:rsidRPr="00BC500A">
            <w:rPr>
              <w:rFonts w:cs="Arial"/>
              <w:color w:val="000000"/>
              <w:sz w:val="18"/>
              <w:szCs w:val="22"/>
            </w:rPr>
            <w:t>EN 13725:2022</w:t>
          </w:r>
        </w:sdtContent>
      </w:sdt>
      <w:r>
        <w:rPr>
          <w:sz w:val="18"/>
          <w:szCs w:val="22"/>
        </w:rPr>
        <w:t>;</w:t>
      </w:r>
    </w:p>
    <w:p w14:paraId="30C14687" w14:textId="070B5257" w:rsidR="008573B4" w:rsidRDefault="008573B4" w:rsidP="008573B4">
      <w:pPr>
        <w:pStyle w:val="CETAddress"/>
        <w:numPr>
          <w:ilvl w:val="0"/>
          <w:numId w:val="29"/>
        </w:numPr>
        <w:jc w:val="both"/>
        <w:rPr>
          <w:sz w:val="18"/>
          <w:szCs w:val="22"/>
        </w:rPr>
      </w:pPr>
      <w:r>
        <w:rPr>
          <w:sz w:val="18"/>
          <w:szCs w:val="22"/>
        </w:rPr>
        <w:t>the TVOC concentration (C</w:t>
      </w:r>
      <w:r w:rsidRPr="008573B4">
        <w:rPr>
          <w:sz w:val="18"/>
          <w:szCs w:val="22"/>
          <w:vertAlign w:val="subscript"/>
        </w:rPr>
        <w:t>TVOC</w:t>
      </w:r>
      <w:r>
        <w:rPr>
          <w:sz w:val="18"/>
          <w:szCs w:val="22"/>
        </w:rPr>
        <w:t>), measured by FID, according to</w:t>
      </w:r>
      <w:r w:rsidR="00B9553D">
        <w:rPr>
          <w:sz w:val="18"/>
          <w:szCs w:val="22"/>
        </w:rPr>
        <w:t xml:space="preserve"> </w:t>
      </w:r>
      <w:sdt>
        <w:sdtPr>
          <w:rPr>
            <w:rFonts w:cs="Arial"/>
            <w:color w:val="000000"/>
            <w:sz w:val="18"/>
            <w:szCs w:val="22"/>
          </w:rPr>
          <w:tag w:val="MENDELEY_CITATION_v3_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"/>
          <w:id w:val="-2122067789"/>
          <w:placeholder>
            <w:docPart w:val="DefaultPlaceholder_-1854013440"/>
          </w:placeholder>
        </w:sdtPr>
        <w:sdtEndPr/>
        <w:sdtContent>
          <w:r w:rsidR="00BC500A" w:rsidRPr="00BC500A">
            <w:rPr>
              <w:rFonts w:cs="Arial"/>
              <w:color w:val="000000"/>
              <w:sz w:val="18"/>
              <w:szCs w:val="22"/>
            </w:rPr>
            <w:t>EN 12619:2013</w:t>
          </w:r>
        </w:sdtContent>
      </w:sdt>
      <w:r w:rsidR="00B9553D">
        <w:rPr>
          <w:sz w:val="18"/>
          <w:szCs w:val="22"/>
        </w:rPr>
        <w:t>.</w:t>
      </w:r>
    </w:p>
    <w:p w14:paraId="15F509C7" w14:textId="7965C70B" w:rsidR="008573B4" w:rsidRDefault="00346604" w:rsidP="008573B4">
      <w:pPr>
        <w:pStyle w:val="CETAddress"/>
        <w:jc w:val="both"/>
        <w:rPr>
          <w:sz w:val="18"/>
          <w:szCs w:val="22"/>
        </w:rPr>
      </w:pPr>
      <w:r>
        <w:rPr>
          <w:sz w:val="18"/>
          <w:szCs w:val="22"/>
        </w:rPr>
        <w:t>Given these measurements, and the corresponding normalization temperatures of the analytical techniques involved (i.e., 293.15 K for dynamic olfactometry and 273.15 K for TVOC analysis), it is possible to estimate the OFEP parameter (ou</w:t>
      </w:r>
      <w:r w:rsidRPr="00346604">
        <w:rPr>
          <w:sz w:val="18"/>
          <w:szCs w:val="22"/>
          <w:vertAlign w:val="subscript"/>
        </w:rPr>
        <w:t>E</w:t>
      </w:r>
      <w:r>
        <w:rPr>
          <w:sz w:val="18"/>
          <w:szCs w:val="22"/>
        </w:rPr>
        <w:t>/mg</w:t>
      </w:r>
      <w:r w:rsidRPr="00346604">
        <w:rPr>
          <w:sz w:val="18"/>
          <w:szCs w:val="22"/>
          <w:vertAlign w:val="subscript"/>
        </w:rPr>
        <w:t>C</w:t>
      </w:r>
      <w:r>
        <w:rPr>
          <w:sz w:val="18"/>
          <w:szCs w:val="22"/>
        </w:rPr>
        <w:t>), as:</w:t>
      </w:r>
    </w:p>
    <w:tbl>
      <w:tblPr>
        <w:tblW w:w="5000" w:type="pct"/>
        <w:tblLook w:val="04A0" w:firstRow="1" w:lastRow="0" w:firstColumn="1" w:lastColumn="0" w:noHBand="0" w:noVBand="1"/>
      </w:tblPr>
      <w:tblGrid>
        <w:gridCol w:w="7983"/>
        <w:gridCol w:w="804"/>
      </w:tblGrid>
      <w:tr w:rsidR="00346604" w:rsidRPr="002642E4" w14:paraId="1E75B42E" w14:textId="77777777" w:rsidTr="0071782B">
        <w:tc>
          <w:tcPr>
            <w:tcW w:w="8188" w:type="dxa"/>
            <w:vAlign w:val="center"/>
          </w:tcPr>
          <w:p w14:paraId="14D426F3" w14:textId="1A6CD4EF" w:rsidR="00346604" w:rsidRPr="00346604" w:rsidRDefault="00346604" w:rsidP="0071782B">
            <w:pPr>
              <w:pStyle w:val="CETEquation"/>
              <w:rPr>
                <w:rFonts w:cs="Arial"/>
                <w:lang w:val="en-US"/>
              </w:rPr>
            </w:pPr>
            <m:oMathPara>
              <m:oMathParaPr>
                <m:jc m:val="left"/>
              </m:oMathParaPr>
              <m:oMath>
                <m:r>
                  <m:rPr>
                    <m:sty m:val="p"/>
                  </m:rPr>
                  <w:rPr>
                    <w:rFonts w:ascii="Cambria Math" w:hAnsi="Cambria Math" w:cs="Arial"/>
                    <w:szCs w:val="18"/>
                    <w:lang w:val="en-US"/>
                  </w:rPr>
                  <m:t>OFEP=</m:t>
                </m:r>
                <m:f>
                  <m:fPr>
                    <m:ctrlPr>
                      <w:rPr>
                        <w:rFonts w:ascii="Cambria Math" w:hAnsi="Cambria Math" w:cs="Arial"/>
                        <w:szCs w:val="18"/>
                        <w:lang w:val="en-US"/>
                      </w:rPr>
                    </m:ctrlPr>
                  </m:fPr>
                  <m:num>
                    <m:sSub>
                      <m:sSubPr>
                        <m:ctrlPr>
                          <w:rPr>
                            <w:rFonts w:ascii="Cambria Math" w:hAnsi="Cambria Math" w:cs="Arial"/>
                            <w:szCs w:val="18"/>
                            <w:lang w:val="en-US"/>
                          </w:rPr>
                        </m:ctrlPr>
                      </m:sSubPr>
                      <m:e>
                        <m:r>
                          <m:rPr>
                            <m:sty m:val="p"/>
                          </m:rPr>
                          <w:rPr>
                            <w:rFonts w:ascii="Cambria Math" w:hAnsi="Cambria Math" w:cs="Arial"/>
                            <w:szCs w:val="18"/>
                            <w:lang w:val="en-US"/>
                          </w:rPr>
                          <m:t>C</m:t>
                        </m:r>
                      </m:e>
                      <m:sub>
                        <m:r>
                          <m:rPr>
                            <m:sty m:val="p"/>
                          </m:rPr>
                          <w:rPr>
                            <w:rFonts w:ascii="Cambria Math" w:hAnsi="Cambria Math" w:cs="Arial"/>
                            <w:szCs w:val="18"/>
                            <w:lang w:val="en-US"/>
                          </w:rPr>
                          <m:t>od</m:t>
                        </m:r>
                      </m:sub>
                    </m:sSub>
                  </m:num>
                  <m:den>
                    <m:sSub>
                      <m:sSubPr>
                        <m:ctrlPr>
                          <w:rPr>
                            <w:rFonts w:ascii="Cambria Math" w:hAnsi="Cambria Math" w:cs="Arial"/>
                            <w:szCs w:val="18"/>
                            <w:lang w:val="en-US"/>
                          </w:rPr>
                        </m:ctrlPr>
                      </m:sSubPr>
                      <m:e>
                        <m:r>
                          <m:rPr>
                            <m:sty m:val="p"/>
                          </m:rPr>
                          <w:rPr>
                            <w:rFonts w:ascii="Cambria Math" w:hAnsi="Cambria Math" w:cs="Arial"/>
                            <w:szCs w:val="18"/>
                            <w:lang w:val="en-US"/>
                          </w:rPr>
                          <m:t>C</m:t>
                        </m:r>
                      </m:e>
                      <m:sub>
                        <m:r>
                          <m:rPr>
                            <m:sty m:val="p"/>
                          </m:rPr>
                          <w:rPr>
                            <w:rFonts w:ascii="Cambria Math" w:hAnsi="Cambria Math" w:cs="Arial"/>
                            <w:szCs w:val="18"/>
                            <w:lang w:val="en-US"/>
                          </w:rPr>
                          <m:t>TVOC</m:t>
                        </m:r>
                      </m:sub>
                    </m:sSub>
                  </m:den>
                </m:f>
                <m:r>
                  <m:rPr>
                    <m:sty m:val="p"/>
                  </m:rPr>
                  <w:rPr>
                    <w:rFonts w:ascii="Cambria Math" w:hAnsi="Cambria Math" w:cs="Arial"/>
                    <w:szCs w:val="18"/>
                    <w:lang w:val="en-US"/>
                  </w:rPr>
                  <m:t>∙</m:t>
                </m:r>
                <m:f>
                  <m:fPr>
                    <m:ctrlPr>
                      <w:rPr>
                        <w:rFonts w:ascii="Cambria Math" w:hAnsi="Cambria Math" w:cs="Arial"/>
                        <w:szCs w:val="18"/>
                        <w:lang w:val="en-US"/>
                      </w:rPr>
                    </m:ctrlPr>
                  </m:fPr>
                  <m:num>
                    <m:r>
                      <m:rPr>
                        <m:sty m:val="p"/>
                      </m:rPr>
                      <w:rPr>
                        <w:rFonts w:ascii="Cambria Math" w:hAnsi="Cambria Math" w:cs="Arial"/>
                        <w:szCs w:val="18"/>
                        <w:lang w:val="en-US"/>
                      </w:rPr>
                      <m:t>293.15 K</m:t>
                    </m:r>
                  </m:num>
                  <m:den>
                    <m:r>
                      <m:rPr>
                        <m:sty m:val="p"/>
                      </m:rPr>
                      <w:rPr>
                        <w:rFonts w:ascii="Cambria Math" w:hAnsi="Cambria Math" w:cs="Arial"/>
                        <w:szCs w:val="18"/>
                        <w:lang w:val="en-US"/>
                      </w:rPr>
                      <m:t>273.15 K</m:t>
                    </m:r>
                  </m:den>
                </m:f>
                <m:r>
                  <m:rPr>
                    <m:sty m:val="p"/>
                  </m:rPr>
                  <w:rPr>
                    <w:rFonts w:ascii="Cambria Math" w:hAnsi="Cambria Math" w:cs="Arial"/>
                    <w:szCs w:val="18"/>
                    <w:lang w:val="en-US"/>
                  </w:rPr>
                  <m:t xml:space="preserve">  </m:t>
                </m:r>
              </m:oMath>
            </m:oMathPara>
          </w:p>
        </w:tc>
        <w:tc>
          <w:tcPr>
            <w:tcW w:w="815" w:type="dxa"/>
            <w:vAlign w:val="center"/>
          </w:tcPr>
          <w:p w14:paraId="29E70348" w14:textId="778BFE09" w:rsidR="00346604" w:rsidRPr="002642E4" w:rsidRDefault="00346604" w:rsidP="0071782B">
            <w:pPr>
              <w:pStyle w:val="CETEquation"/>
              <w:jc w:val="right"/>
              <w:rPr>
                <w:lang w:val="en-US"/>
              </w:rPr>
            </w:pPr>
            <w:r w:rsidRPr="002642E4">
              <w:rPr>
                <w:lang w:val="en-US"/>
              </w:rPr>
              <w:t>(</w:t>
            </w:r>
            <w:r>
              <w:rPr>
                <w:lang w:val="en-US"/>
              </w:rPr>
              <w:t>2</w:t>
            </w:r>
            <w:r w:rsidRPr="002642E4">
              <w:rPr>
                <w:lang w:val="en-US"/>
              </w:rPr>
              <w:t>)</w:t>
            </w:r>
          </w:p>
        </w:tc>
      </w:tr>
    </w:tbl>
    <w:p w14:paraId="79D72589" w14:textId="27F624C0" w:rsidR="003D41B8" w:rsidRDefault="003D41B8" w:rsidP="008573B4">
      <w:pPr>
        <w:pStyle w:val="CETAddress"/>
        <w:jc w:val="both"/>
        <w:rPr>
          <w:sz w:val="18"/>
          <w:szCs w:val="22"/>
        </w:rPr>
      </w:pPr>
      <w:r>
        <w:rPr>
          <w:sz w:val="18"/>
          <w:szCs w:val="22"/>
        </w:rPr>
        <w:t>where the temperature correction term ensures consistency between measurement conditions.</w:t>
      </w:r>
    </w:p>
    <w:p w14:paraId="5091E668" w14:textId="3892BFA6" w:rsidR="00346604" w:rsidRDefault="00346604" w:rsidP="008573B4">
      <w:pPr>
        <w:pStyle w:val="CETAddress"/>
        <w:jc w:val="both"/>
        <w:rPr>
          <w:sz w:val="18"/>
          <w:szCs w:val="22"/>
        </w:rPr>
      </w:pPr>
      <w:r>
        <w:rPr>
          <w:sz w:val="18"/>
          <w:szCs w:val="22"/>
        </w:rPr>
        <w:t>Once the OFEP has been determined, it can be combined</w:t>
      </w:r>
      <w:r w:rsidR="004000C8">
        <w:rPr>
          <w:sz w:val="18"/>
          <w:szCs w:val="22"/>
        </w:rPr>
        <w:t xml:space="preserve"> </w:t>
      </w:r>
      <w:r>
        <w:rPr>
          <w:sz w:val="18"/>
          <w:szCs w:val="22"/>
        </w:rPr>
        <w:t>with mass emission estimates obtained from LDAR or equivalent methodologies to derive the corresponding OER.</w:t>
      </w:r>
    </w:p>
    <w:tbl>
      <w:tblPr>
        <w:tblW w:w="5000" w:type="pct"/>
        <w:tblLook w:val="04A0" w:firstRow="1" w:lastRow="0" w:firstColumn="1" w:lastColumn="0" w:noHBand="0" w:noVBand="1"/>
      </w:tblPr>
      <w:tblGrid>
        <w:gridCol w:w="7982"/>
        <w:gridCol w:w="805"/>
      </w:tblGrid>
      <w:tr w:rsidR="00346604" w:rsidRPr="002642E4" w14:paraId="4BF88298" w14:textId="77777777" w:rsidTr="00312B34">
        <w:tc>
          <w:tcPr>
            <w:tcW w:w="7973" w:type="dxa"/>
            <w:vAlign w:val="center"/>
          </w:tcPr>
          <w:p w14:paraId="2009A068" w14:textId="237B69CA" w:rsidR="00346604" w:rsidRPr="003D41B8" w:rsidRDefault="003D41B8" w:rsidP="0071782B">
            <w:pPr>
              <w:pStyle w:val="CETEquation"/>
              <w:rPr>
                <w:rFonts w:cs="Arial"/>
                <w:lang w:val="en-US"/>
              </w:rPr>
            </w:pPr>
            <m:oMathPara>
              <m:oMathParaPr>
                <m:jc m:val="left"/>
              </m:oMathParaPr>
              <m:oMath>
                <m:r>
                  <m:rPr>
                    <m:sty m:val="p"/>
                  </m:rPr>
                  <w:rPr>
                    <w:rFonts w:ascii="Cambria Math" w:hAnsi="Cambria Math" w:cs="Arial"/>
                    <w:szCs w:val="18"/>
                    <w:lang w:val="en-US"/>
                  </w:rPr>
                  <m:t>OER=</m:t>
                </m:r>
                <m:sSub>
                  <m:sSubPr>
                    <m:ctrlPr>
                      <w:rPr>
                        <w:rFonts w:ascii="Cambria Math" w:hAnsi="Cambria Math" w:cs="Arial"/>
                        <w:szCs w:val="18"/>
                        <w:lang w:val="en-US"/>
                      </w:rPr>
                    </m:ctrlPr>
                  </m:sSubPr>
                  <m:e>
                    <m:r>
                      <m:rPr>
                        <m:sty m:val="p"/>
                      </m:rPr>
                      <w:rPr>
                        <w:rFonts w:ascii="Cambria Math" w:hAnsi="Cambria Math" w:cs="Arial"/>
                        <w:szCs w:val="18"/>
                        <w:lang w:val="en-US"/>
                      </w:rPr>
                      <m:t>L</m:t>
                    </m:r>
                  </m:e>
                  <m:sub>
                    <m:r>
                      <m:rPr>
                        <m:sty m:val="p"/>
                      </m:rPr>
                      <w:rPr>
                        <w:rFonts w:ascii="Cambria Math" w:hAnsi="Cambria Math" w:cs="Arial"/>
                        <w:szCs w:val="18"/>
                        <w:lang w:val="en-US"/>
                      </w:rPr>
                      <m:t>FE</m:t>
                    </m:r>
                  </m:sub>
                </m:sSub>
                <m:r>
                  <m:rPr>
                    <m:sty m:val="p"/>
                  </m:rPr>
                  <w:rPr>
                    <w:rFonts w:ascii="Cambria Math" w:hAnsi="Cambria Math" w:cs="Arial"/>
                    <w:szCs w:val="18"/>
                    <w:lang w:val="en-US"/>
                  </w:rPr>
                  <m:t xml:space="preserve">∙OFEP  </m:t>
                </m:r>
              </m:oMath>
            </m:oMathPara>
          </w:p>
        </w:tc>
        <w:tc>
          <w:tcPr>
            <w:tcW w:w="804" w:type="dxa"/>
            <w:vAlign w:val="center"/>
          </w:tcPr>
          <w:p w14:paraId="2C5B7732" w14:textId="307277FD" w:rsidR="00346604" w:rsidRPr="002642E4" w:rsidRDefault="00346604" w:rsidP="0071782B">
            <w:pPr>
              <w:pStyle w:val="CETEquation"/>
              <w:jc w:val="right"/>
              <w:rPr>
                <w:lang w:val="en-US"/>
              </w:rPr>
            </w:pPr>
            <w:r w:rsidRPr="002642E4">
              <w:rPr>
                <w:lang w:val="en-US"/>
              </w:rPr>
              <w:t>(</w:t>
            </w:r>
            <w:r w:rsidR="00DC29F1">
              <w:rPr>
                <w:lang w:val="en-US"/>
              </w:rPr>
              <w:t>3</w:t>
            </w:r>
            <w:r w:rsidRPr="002642E4">
              <w:rPr>
                <w:lang w:val="en-US"/>
              </w:rPr>
              <w:t>)</w:t>
            </w:r>
          </w:p>
        </w:tc>
      </w:tr>
    </w:tbl>
    <w:p w14:paraId="12422F02" w14:textId="5138A72D" w:rsidR="006502D5" w:rsidRDefault="00312B34" w:rsidP="00312B34">
      <w:pPr>
        <w:pStyle w:val="CETBodytext"/>
      </w:pPr>
      <w:r>
        <w:t xml:space="preserve">A point worth noting is that OFEP is expressed </w:t>
      </w:r>
      <w:r w:rsidR="006502D5">
        <w:t>on a carbon basis (</w:t>
      </w:r>
      <w:proofErr w:type="spellStart"/>
      <w:r w:rsidR="006502D5">
        <w:t>ou</w:t>
      </w:r>
      <w:r w:rsidR="006502D5" w:rsidRPr="00424CCF">
        <w:rPr>
          <w:vertAlign w:val="subscript"/>
        </w:rPr>
        <w:t>E</w:t>
      </w:r>
      <w:proofErr w:type="spellEnd"/>
      <w:r w:rsidR="006502D5">
        <w:t>/</w:t>
      </w:r>
      <w:proofErr w:type="spellStart"/>
      <w:r w:rsidR="006502D5">
        <w:t>mg</w:t>
      </w:r>
      <w:r w:rsidR="006502D5" w:rsidRPr="00424CCF">
        <w:rPr>
          <w:vertAlign w:val="subscript"/>
        </w:rPr>
        <w:t>C</w:t>
      </w:r>
      <w:proofErr w:type="spellEnd"/>
      <w:r w:rsidR="006502D5">
        <w:t>), whereas fugitive emission rates derived from LDAR or equivalent methodologies are typically reported as total VOC mass fluxes (e.g., kg/h). However, this apparent mismatch is mitigated by the fact that LDAR measurements are commonly performed using FID, which respond to carbon content rather than specific molecular species, thus ensuring consistency between the parameters</w:t>
      </w:r>
      <w:r>
        <w:t>.</w:t>
      </w:r>
      <w:r w:rsidR="006502D5">
        <w:t xml:space="preserve"> Moreover, it should be noted that EPA correlation equations used in LADR inherently rely on empirical relationships derived from heterogenous datasets, encompassing different monitoring instrumentation and operating conditions. In this context, the level of approximation introduced by the carbon-based formulation of OFEP is </w:t>
      </w:r>
      <w:r w:rsidR="00BA1246">
        <w:t xml:space="preserve">largely </w:t>
      </w:r>
      <w:r w:rsidR="006502D5">
        <w:t>consistent with the assumptions already embedded in current fugitive emission estimation methodologies.</w:t>
      </w:r>
    </w:p>
    <w:p w14:paraId="21A38E3A" w14:textId="2054B119" w:rsidR="008A242C" w:rsidRDefault="008A242C" w:rsidP="00312B34">
      <w:pPr>
        <w:pStyle w:val="CETBodytext"/>
      </w:pPr>
      <w:r>
        <w:lastRenderedPageBreak/>
        <w:t xml:space="preserve">However, some limitations must be acknowledged. The large number of fluids potentially involved in fugitive emissions may require the development of plant-specific inventories, making the full characterization process time- and resource-consuming. In practice, the level of detail achievable depends on how fugitive emissions are managed within the plant inventory: while a single representative OFEP value at plant scale may be insufficient to capture </w:t>
      </w:r>
      <w:r w:rsidR="00BA1246">
        <w:t>heterogeneity</w:t>
      </w:r>
      <w:r>
        <w:t xml:space="preserve">, a more refined characterization can be achieved by grouping emissions according to fluid type or process units, depending on data availability. </w:t>
      </w:r>
    </w:p>
    <w:p w14:paraId="19FC0EC2" w14:textId="3D86F6F2" w:rsidR="0085476A" w:rsidRDefault="0085476A" w:rsidP="0085476A">
      <w:pPr>
        <w:pStyle w:val="CETheadingx"/>
      </w:pPr>
      <w:r>
        <w:t>Preliminary results</w:t>
      </w:r>
    </w:p>
    <w:p w14:paraId="7DBC80B2" w14:textId="43AE3C20" w:rsidR="0085476A" w:rsidRDefault="00B456BF" w:rsidP="0085476A">
      <w:pPr>
        <w:pStyle w:val="CETBodytext"/>
      </w:pPr>
      <w:r>
        <w:t>Preliminary field tests were carried out to assess the repeatability and reproducibility of proposed OFEP methodology. These tests were conducted across different industrial contexts, including refineries, petrochemical plants, and landfills, to account for a range of fugitive emission scenarios. Repeatability was evaluated by collecting three samples at defined time intervals (approximately 2 minutes) by the same operator. Reproducibility was assessed by collecting three samples at the same time intervals by different operators.</w:t>
      </w:r>
    </w:p>
    <w:p w14:paraId="3A9BF877" w14:textId="322B295A" w:rsidR="0058790E" w:rsidRDefault="00B456BF" w:rsidP="0085476A">
      <w:pPr>
        <w:pStyle w:val="CETBodytext"/>
      </w:pPr>
      <w:r>
        <w:t xml:space="preserve">Although these results are preliminary, they provide initial insight into the robustness of the method. Measurement performed </w:t>
      </w:r>
      <w:r w:rsidR="001147D0">
        <w:t xml:space="preserve">by the same operator showed a good agreement, with an average standard deviation of around 20%. Conversely, when different operators were involved, a larger variability was observed, with OFEP values varying by up to a factor of approximately 3. </w:t>
      </w:r>
      <w:r w:rsidR="00BA1246" w:rsidRPr="00BA1246">
        <w:t>This variability, in terms of the extreme limits of the measurements, is nevertheless comparable to the inherent uncertainty of the olfactometric method</w:t>
      </w:r>
      <w:r w:rsidR="00424CCF">
        <w:t xml:space="preserve"> - </w:t>
      </w:r>
      <w:r w:rsidR="00BA1246" w:rsidRPr="00BA1246">
        <w:t>on the order of a factor of 2</w:t>
      </w:r>
      <w:r w:rsidR="00424CCF">
        <w:t xml:space="preserve"> - </w:t>
      </w:r>
      <w:r w:rsidR="00BA1246" w:rsidRPr="00BA1246">
        <w:t>which is linked to its own resolution.</w:t>
      </w:r>
    </w:p>
    <w:p w14:paraId="68D26B83" w14:textId="2BEDAF8D" w:rsidR="00600535" w:rsidRPr="00B57B36" w:rsidRDefault="00600535" w:rsidP="00600535">
      <w:pPr>
        <w:pStyle w:val="CETHeading1"/>
        <w:rPr>
          <w:lang w:val="en-GB"/>
        </w:rPr>
      </w:pPr>
      <w:r w:rsidRPr="00B57B36">
        <w:rPr>
          <w:lang w:val="en-GB"/>
        </w:rPr>
        <w:t>Conclusions</w:t>
      </w:r>
    </w:p>
    <w:p w14:paraId="7D3D0D70" w14:textId="23CDB1AA" w:rsidR="00EB14CC" w:rsidRPr="00346604" w:rsidRDefault="00346604" w:rsidP="00346604">
      <w:pPr>
        <w:pStyle w:val="CETBodytext"/>
        <w:rPr>
          <w:lang w:val="en-GB"/>
        </w:rPr>
        <w:sectPr w:rsidR="00EB14CC" w:rsidRPr="00346604" w:rsidSect="005F3274">
          <w:type w:val="continuous"/>
          <w:pgSz w:w="11906" w:h="16838" w:code="9"/>
          <w:pgMar w:top="1701" w:right="1418" w:bottom="1701" w:left="1701" w:header="1701" w:footer="0" w:gutter="0"/>
          <w:cols w:space="708"/>
          <w:formProt w:val="0"/>
          <w:titlePg/>
          <w:docGrid w:linePitch="360"/>
        </w:sectPr>
      </w:pPr>
      <w:r>
        <w:rPr>
          <w:lang w:val="en-GB"/>
        </w:rPr>
        <w:t>The introduction of the Odour Fugitive Emission Potential (OFEP) provides a practical and consistent approach to address the current methodological gap between mass-based fugitive emission estimates and odour impact assessment requirements. In particular, the proposed method responds to the need, highlighted by recent regulatory frameworks such as the Italian Directorial Decree n. 309 of MASE</w:t>
      </w:r>
      <w:r w:rsidR="00707F23">
        <w:rPr>
          <w:lang w:val="en-GB"/>
        </w:rPr>
        <w:t>, but also indirectly by IED 2.0</w:t>
      </w:r>
      <w:r>
        <w:rPr>
          <w:lang w:val="en-GB"/>
        </w:rPr>
        <w:t xml:space="preserve">, to include fugitive emissions within odour impact studies, despite the intrinsic difficulties associated with their characterization. By </w:t>
      </w:r>
      <w:r w:rsidR="00C84F03">
        <w:rPr>
          <w:lang w:val="en-GB"/>
        </w:rPr>
        <w:t>linking mass emissions to OER, OFEP enables the systematic inclusion of fugitive emissions in the overall odour emission scenario.</w:t>
      </w:r>
    </w:p>
    <w:p w14:paraId="265F77BF" w14:textId="05374CA0" w:rsidR="00EB14CC" w:rsidRDefault="00EB14CC" w:rsidP="00EB14CC">
      <w:pPr>
        <w:pStyle w:val="CETBodytext"/>
        <w:rPr>
          <w:lang w:val="en-GB"/>
        </w:rPr>
      </w:pPr>
      <w:r>
        <w:rPr>
          <w:lang w:val="en-GB"/>
        </w:rPr>
        <w:t>The proposed approach is not limited to the oil and gas sector, where LDAR programs are most commonly applied, but can be extended to a wide range of industrial contexts. Its applicability relies on the availability of two key elements: the localization of fugitive emission sources and the estimation of their mass flow rates, which can be obtained through established techniques such as LDAR</w:t>
      </w:r>
      <w:r w:rsidR="00707F23">
        <w:rPr>
          <w:lang w:val="en-GB"/>
        </w:rPr>
        <w:t>, bagging</w:t>
      </w:r>
      <w:r>
        <w:rPr>
          <w:lang w:val="en-GB"/>
        </w:rPr>
        <w:t xml:space="preserve"> or optical methods. This flexibility makes OFEP a valuable tool for integrating fugitive emissions into odour assessments across different industrial sectors.</w:t>
      </w:r>
    </w:p>
    <w:p w14:paraId="3781A9D0" w14:textId="6C43BC35" w:rsidR="00CF7C7F" w:rsidRPr="00EB14CC" w:rsidRDefault="00CF7C7F" w:rsidP="00EB14CC">
      <w:pPr>
        <w:pStyle w:val="CETBodytext"/>
        <w:rPr>
          <w:lang w:val="en-GB"/>
        </w:rPr>
        <w:sectPr w:rsidR="00CF7C7F" w:rsidRPr="00EB14CC" w:rsidSect="00EF06D9">
          <w:type w:val="continuous"/>
          <w:pgSz w:w="11906" w:h="16838" w:code="9"/>
          <w:pgMar w:top="1701" w:right="1418" w:bottom="1701" w:left="1701" w:header="1701" w:footer="0" w:gutter="0"/>
          <w:cols w:space="708"/>
          <w:formProt w:val="0"/>
          <w:titlePg/>
          <w:docGrid w:linePitch="360"/>
        </w:sectPr>
      </w:pPr>
      <w:r>
        <w:rPr>
          <w:lang w:val="en-GB"/>
        </w:rPr>
        <w:t xml:space="preserve">Future developments of this work will focus </w:t>
      </w:r>
      <w:r w:rsidR="00730CBF">
        <w:rPr>
          <w:lang w:val="en-GB"/>
        </w:rPr>
        <w:t>on</w:t>
      </w:r>
      <w:r>
        <w:rPr>
          <w:lang w:val="en-GB"/>
        </w:rPr>
        <w:t xml:space="preserve"> the experimental validation of the proposed methodology through controlled released tests under known conditions of composition. Such studies will allow the assessment of repeatability and reproducibility of the OFEP parameter, as well as the refinement of the methodology for its broader application</w:t>
      </w:r>
      <w:r w:rsidR="003D41B8">
        <w:rPr>
          <w:lang w:val="en-GB"/>
        </w:rPr>
        <w:t>.</w:t>
      </w:r>
    </w:p>
    <w:p w14:paraId="385C55AC" w14:textId="0A602B08" w:rsidR="00EB14CC" w:rsidRPr="00EB14CC" w:rsidRDefault="00EB14CC" w:rsidP="00EB14CC">
      <w:pPr>
        <w:pStyle w:val="CETBodytext"/>
        <w:rPr>
          <w:lang w:val="en-GB"/>
        </w:rPr>
        <w:sectPr w:rsidR="00EB14CC" w:rsidRPr="00EB14CC" w:rsidSect="00EF06D9">
          <w:type w:val="continuous"/>
          <w:pgSz w:w="11906" w:h="16838" w:code="9"/>
          <w:pgMar w:top="1701" w:right="1418" w:bottom="1701" w:left="1701" w:header="1701" w:footer="0" w:gutter="0"/>
          <w:cols w:space="708"/>
          <w:formProt w:val="0"/>
          <w:titlePg/>
          <w:docGrid w:linePitch="360"/>
        </w:sectPr>
      </w:pPr>
    </w:p>
    <w:p w14:paraId="4B394CDD" w14:textId="268390D7" w:rsidR="00E0137A" w:rsidRPr="00DC2EBC" w:rsidRDefault="00E0137A" w:rsidP="00E0137A">
      <w:pPr>
        <w:pStyle w:val="CETReference"/>
      </w:pPr>
      <w:r w:rsidRPr="00DC2EBC">
        <w:t>References</w:t>
      </w:r>
    </w:p>
    <w:sdt>
      <w:sdtPr>
        <w:rPr>
          <w:rFonts w:cs="Arial"/>
          <w:b/>
          <w:bCs/>
          <w:color w:val="000000"/>
        </w:rPr>
        <w:tag w:val="MENDELEY_BIBLIOGRAPHY"/>
        <w:id w:val="-526797357"/>
        <w:placeholder>
          <w:docPart w:val="DefaultPlaceholder_-1854013440"/>
        </w:placeholder>
      </w:sdtPr>
      <w:sdtEndPr>
        <w:rPr>
          <w:bCs w:val="0"/>
        </w:rPr>
      </w:sdtEndPr>
      <w:sdtContent>
        <w:p w14:paraId="18364A9A" w14:textId="77777777" w:rsidR="00BC500A" w:rsidRPr="00BC500A" w:rsidRDefault="00BC500A">
          <w:pPr>
            <w:autoSpaceDE w:val="0"/>
            <w:autoSpaceDN w:val="0"/>
            <w:ind w:hanging="480"/>
            <w:divId w:val="2122794353"/>
            <w:rPr>
              <w:rFonts w:cs="Arial"/>
              <w:color w:val="000000"/>
              <w:szCs w:val="24"/>
            </w:rPr>
          </w:pPr>
          <w:r w:rsidRPr="00C07D11">
            <w:rPr>
              <w:rFonts w:cs="Arial"/>
              <w:color w:val="000000"/>
              <w:lang w:val="en-US"/>
            </w:rPr>
            <w:t xml:space="preserve">Al-Hamdani, Y., Hassim, M. H., &amp; Salin, S. M. (2017). </w:t>
          </w:r>
          <w:r w:rsidRPr="00BC500A">
            <w:rPr>
              <w:rFonts w:cs="Arial"/>
              <w:color w:val="000000"/>
            </w:rPr>
            <w:t xml:space="preserve">Occupational Health Risk Assessment and Control of Fugitive Emissions in Chemical Processes. </w:t>
          </w:r>
          <w:r w:rsidRPr="00BC500A">
            <w:rPr>
              <w:rFonts w:cs="Arial"/>
              <w:i/>
              <w:iCs/>
              <w:color w:val="000000"/>
            </w:rPr>
            <w:t>Chemical Engineering Transactions</w:t>
          </w:r>
          <w:r w:rsidRPr="00BC500A">
            <w:rPr>
              <w:rFonts w:cs="Arial"/>
              <w:color w:val="000000"/>
            </w:rPr>
            <w:t xml:space="preserve">, </w:t>
          </w:r>
          <w:r w:rsidRPr="00BC500A">
            <w:rPr>
              <w:rFonts w:cs="Arial"/>
              <w:i/>
              <w:iCs/>
              <w:color w:val="000000"/>
            </w:rPr>
            <w:t>56</w:t>
          </w:r>
          <w:r w:rsidRPr="00BC500A">
            <w:rPr>
              <w:rFonts w:cs="Arial"/>
              <w:color w:val="000000"/>
            </w:rPr>
            <w:t>, 817–822. https://doi.org/10.3303/CET1756137</w:t>
          </w:r>
        </w:p>
        <w:p w14:paraId="75D8B0B0" w14:textId="77777777" w:rsidR="00BC500A" w:rsidRPr="00BC500A" w:rsidRDefault="00BC500A">
          <w:pPr>
            <w:autoSpaceDE w:val="0"/>
            <w:autoSpaceDN w:val="0"/>
            <w:ind w:hanging="480"/>
            <w:divId w:val="801461772"/>
            <w:rPr>
              <w:rFonts w:cs="Arial"/>
              <w:color w:val="000000"/>
            </w:rPr>
          </w:pPr>
          <w:r w:rsidRPr="00BC500A">
            <w:rPr>
              <w:rFonts w:cs="Arial"/>
              <w:color w:val="000000"/>
            </w:rPr>
            <w:t xml:space="preserve">Cangialosi, F., </w:t>
          </w:r>
          <w:proofErr w:type="spellStart"/>
          <w:r w:rsidRPr="00BC500A">
            <w:rPr>
              <w:rFonts w:cs="Arial"/>
              <w:color w:val="000000"/>
            </w:rPr>
            <w:t>Milella</w:t>
          </w:r>
          <w:proofErr w:type="spellEnd"/>
          <w:r w:rsidRPr="00BC500A">
            <w:rPr>
              <w:rFonts w:cs="Arial"/>
              <w:color w:val="000000"/>
            </w:rPr>
            <w:t xml:space="preserve">, L., &amp; Fornaro, A. (2024). Assessing the Significance of Fugitive Emissions from a Landfill Biogas Collecting System using a Quantitative Optical Gas Imaging (QOGI) Method: a Case Study. </w:t>
          </w:r>
          <w:r w:rsidRPr="00BC500A">
            <w:rPr>
              <w:rFonts w:cs="Arial"/>
              <w:i/>
              <w:iCs/>
              <w:color w:val="000000"/>
            </w:rPr>
            <w:t>Chemical Engineering Transactions</w:t>
          </w:r>
          <w:r w:rsidRPr="00BC500A">
            <w:rPr>
              <w:rFonts w:cs="Arial"/>
              <w:color w:val="000000"/>
            </w:rPr>
            <w:t xml:space="preserve">, </w:t>
          </w:r>
          <w:r w:rsidRPr="00BC500A">
            <w:rPr>
              <w:rFonts w:cs="Arial"/>
              <w:i/>
              <w:iCs/>
              <w:color w:val="000000"/>
            </w:rPr>
            <w:t>112</w:t>
          </w:r>
          <w:r w:rsidRPr="00BC500A">
            <w:rPr>
              <w:rFonts w:cs="Arial"/>
              <w:color w:val="000000"/>
            </w:rPr>
            <w:t>, 19–24. https://doi.org/10.3303/CET24112004</w:t>
          </w:r>
        </w:p>
        <w:p w14:paraId="14FF395D" w14:textId="77777777" w:rsidR="00BC500A" w:rsidRPr="00BC500A" w:rsidRDefault="00BC500A">
          <w:pPr>
            <w:autoSpaceDE w:val="0"/>
            <w:autoSpaceDN w:val="0"/>
            <w:ind w:hanging="480"/>
            <w:divId w:val="513495857"/>
            <w:rPr>
              <w:rFonts w:cs="Arial"/>
              <w:color w:val="000000"/>
            </w:rPr>
          </w:pPr>
          <w:r w:rsidRPr="00BC500A">
            <w:rPr>
              <w:rFonts w:cs="Arial"/>
              <w:color w:val="000000"/>
            </w:rPr>
            <w:t xml:space="preserve">Carrera, L., Sironi, S., &amp; Invernizzi, M. (2025). Toward Effective Monitoring of Diffuse VOC Emissions: A Critical Discussion and Review of the Applications of EN 17628:2022. </w:t>
          </w:r>
          <w:r w:rsidRPr="00BC500A">
            <w:rPr>
              <w:rFonts w:cs="Arial"/>
              <w:i/>
              <w:iCs/>
              <w:color w:val="000000"/>
            </w:rPr>
            <w:t>Sensors</w:t>
          </w:r>
          <w:r w:rsidRPr="00BC500A">
            <w:rPr>
              <w:rFonts w:cs="Arial"/>
              <w:color w:val="000000"/>
            </w:rPr>
            <w:t xml:space="preserve">, </w:t>
          </w:r>
          <w:r w:rsidRPr="00BC500A">
            <w:rPr>
              <w:rFonts w:cs="Arial"/>
              <w:i/>
              <w:iCs/>
              <w:color w:val="000000"/>
            </w:rPr>
            <w:t>25</w:t>
          </w:r>
          <w:r w:rsidRPr="00BC500A">
            <w:rPr>
              <w:rFonts w:cs="Arial"/>
              <w:color w:val="000000"/>
            </w:rPr>
            <w:t>(5), 1561. https://doi.org/10.3390/s25051561</w:t>
          </w:r>
        </w:p>
        <w:p w14:paraId="1E486E24" w14:textId="77777777" w:rsidR="00BC500A" w:rsidRPr="00BC500A" w:rsidRDefault="00BC500A">
          <w:pPr>
            <w:autoSpaceDE w:val="0"/>
            <w:autoSpaceDN w:val="0"/>
            <w:ind w:hanging="480"/>
            <w:divId w:val="417290813"/>
            <w:rPr>
              <w:rFonts w:cs="Arial"/>
              <w:color w:val="000000"/>
              <w:lang w:val="it-IT"/>
            </w:rPr>
          </w:pPr>
          <w:r w:rsidRPr="00BC500A">
            <w:rPr>
              <w:rFonts w:cs="Arial"/>
              <w:color w:val="000000"/>
            </w:rPr>
            <w:t xml:space="preserve">EN 12619:2013. (2013). Stationary source emissions - Determination of the mass concentration of total gaseous organic carbon - Continuous flame ionisation detector method. </w:t>
          </w:r>
          <w:r w:rsidRPr="00BC500A">
            <w:rPr>
              <w:rFonts w:cs="Arial"/>
              <w:color w:val="000000"/>
              <w:lang w:val="it-IT"/>
            </w:rPr>
            <w:t xml:space="preserve">In </w:t>
          </w:r>
          <w:r w:rsidRPr="00BC500A">
            <w:rPr>
              <w:rFonts w:cs="Arial"/>
              <w:i/>
              <w:iCs/>
              <w:color w:val="000000"/>
              <w:lang w:val="it-IT"/>
            </w:rPr>
            <w:t>CEN (</w:t>
          </w:r>
          <w:proofErr w:type="spellStart"/>
          <w:r w:rsidRPr="00BC500A">
            <w:rPr>
              <w:rFonts w:cs="Arial"/>
              <w:i/>
              <w:iCs/>
              <w:color w:val="000000"/>
              <w:lang w:val="it-IT"/>
            </w:rPr>
            <w:t>Comité</w:t>
          </w:r>
          <w:proofErr w:type="spellEnd"/>
          <w:r w:rsidRPr="00BC500A">
            <w:rPr>
              <w:rFonts w:cs="Arial"/>
              <w:i/>
              <w:iCs/>
              <w:color w:val="000000"/>
              <w:lang w:val="it-IT"/>
            </w:rPr>
            <w:t xml:space="preserve"> Européen de </w:t>
          </w:r>
          <w:proofErr w:type="spellStart"/>
          <w:r w:rsidRPr="00BC500A">
            <w:rPr>
              <w:rFonts w:cs="Arial"/>
              <w:i/>
              <w:iCs/>
              <w:color w:val="000000"/>
              <w:lang w:val="it-IT"/>
            </w:rPr>
            <w:t>Normalisation</w:t>
          </w:r>
          <w:proofErr w:type="spellEnd"/>
          <w:r w:rsidRPr="00BC500A">
            <w:rPr>
              <w:rFonts w:cs="Arial"/>
              <w:i/>
              <w:iCs/>
              <w:color w:val="000000"/>
              <w:lang w:val="it-IT"/>
            </w:rPr>
            <w:t>)</w:t>
          </w:r>
          <w:r w:rsidRPr="00BC500A">
            <w:rPr>
              <w:rFonts w:cs="Arial"/>
              <w:color w:val="000000"/>
              <w:lang w:val="it-IT"/>
            </w:rPr>
            <w:t>. https://doi.org/https://dx.doi.org/10.31030/1907768</w:t>
          </w:r>
        </w:p>
        <w:p w14:paraId="5BB62E3F" w14:textId="77777777" w:rsidR="00BC500A" w:rsidRPr="00BC500A" w:rsidRDefault="00BC500A">
          <w:pPr>
            <w:autoSpaceDE w:val="0"/>
            <w:autoSpaceDN w:val="0"/>
            <w:ind w:hanging="480"/>
            <w:divId w:val="1944410648"/>
            <w:rPr>
              <w:rFonts w:cs="Arial"/>
              <w:color w:val="000000"/>
              <w:lang w:val="it-IT"/>
            </w:rPr>
          </w:pPr>
          <w:r w:rsidRPr="00BC500A">
            <w:rPr>
              <w:rFonts w:cs="Arial"/>
              <w:color w:val="000000"/>
            </w:rPr>
            <w:t xml:space="preserve">EN 13725:2022. (2022). Stationary source emissions - Determination of odour concentration by dynamic olfactometry and odour emission rate. </w:t>
          </w:r>
          <w:r w:rsidRPr="00BC500A">
            <w:rPr>
              <w:rFonts w:cs="Arial"/>
              <w:color w:val="000000"/>
              <w:lang w:val="it-IT"/>
            </w:rPr>
            <w:t xml:space="preserve">In </w:t>
          </w:r>
          <w:r w:rsidRPr="00BC500A">
            <w:rPr>
              <w:rFonts w:cs="Arial"/>
              <w:i/>
              <w:iCs/>
              <w:color w:val="000000"/>
              <w:lang w:val="it-IT"/>
            </w:rPr>
            <w:t>CEN (</w:t>
          </w:r>
          <w:proofErr w:type="spellStart"/>
          <w:r w:rsidRPr="00BC500A">
            <w:rPr>
              <w:rFonts w:cs="Arial"/>
              <w:i/>
              <w:iCs/>
              <w:color w:val="000000"/>
              <w:lang w:val="it-IT"/>
            </w:rPr>
            <w:t>Comité</w:t>
          </w:r>
          <w:proofErr w:type="spellEnd"/>
          <w:r w:rsidRPr="00BC500A">
            <w:rPr>
              <w:rFonts w:cs="Arial"/>
              <w:i/>
              <w:iCs/>
              <w:color w:val="000000"/>
              <w:lang w:val="it-IT"/>
            </w:rPr>
            <w:t xml:space="preserve"> Européen de </w:t>
          </w:r>
          <w:proofErr w:type="spellStart"/>
          <w:r w:rsidRPr="00BC500A">
            <w:rPr>
              <w:rFonts w:cs="Arial"/>
              <w:i/>
              <w:iCs/>
              <w:color w:val="000000"/>
              <w:lang w:val="it-IT"/>
            </w:rPr>
            <w:t>Normalisation</w:t>
          </w:r>
          <w:proofErr w:type="spellEnd"/>
          <w:r w:rsidRPr="00BC500A">
            <w:rPr>
              <w:rFonts w:cs="Arial"/>
              <w:i/>
              <w:iCs/>
              <w:color w:val="000000"/>
              <w:lang w:val="it-IT"/>
            </w:rPr>
            <w:t>)</w:t>
          </w:r>
          <w:r w:rsidRPr="00BC500A">
            <w:rPr>
              <w:rFonts w:cs="Arial"/>
              <w:color w:val="000000"/>
              <w:lang w:val="it-IT"/>
            </w:rPr>
            <w:t>. https://doi.org/https://dx.doi.org/10.31030/3290685</w:t>
          </w:r>
        </w:p>
        <w:p w14:paraId="7719188D" w14:textId="77777777" w:rsidR="00BC500A" w:rsidRPr="00BC500A" w:rsidRDefault="00BC500A">
          <w:pPr>
            <w:autoSpaceDE w:val="0"/>
            <w:autoSpaceDN w:val="0"/>
            <w:ind w:hanging="480"/>
            <w:divId w:val="1936548547"/>
            <w:rPr>
              <w:rFonts w:cs="Arial"/>
              <w:color w:val="000000"/>
              <w:lang w:val="it-IT"/>
            </w:rPr>
          </w:pPr>
          <w:r w:rsidRPr="00BC500A">
            <w:rPr>
              <w:rFonts w:cs="Arial"/>
              <w:color w:val="000000"/>
            </w:rPr>
            <w:lastRenderedPageBreak/>
            <w:t xml:space="preserve">EN 15446:2008. (2008). Fugitive and diffuse emissions of common concern to industry sectors - Measurement of fugitive emission of vapours generating from equipment and piping leaks. </w:t>
          </w:r>
          <w:r w:rsidRPr="00BC500A">
            <w:rPr>
              <w:rFonts w:cs="Arial"/>
              <w:color w:val="000000"/>
              <w:lang w:val="it-IT"/>
            </w:rPr>
            <w:t xml:space="preserve">In </w:t>
          </w:r>
          <w:r w:rsidRPr="00BC500A">
            <w:rPr>
              <w:rFonts w:cs="Arial"/>
              <w:i/>
              <w:iCs/>
              <w:color w:val="000000"/>
              <w:lang w:val="it-IT"/>
            </w:rPr>
            <w:t>CEN (</w:t>
          </w:r>
          <w:proofErr w:type="spellStart"/>
          <w:r w:rsidRPr="00BC500A">
            <w:rPr>
              <w:rFonts w:cs="Arial"/>
              <w:i/>
              <w:iCs/>
              <w:color w:val="000000"/>
              <w:lang w:val="it-IT"/>
            </w:rPr>
            <w:t>Comité</w:t>
          </w:r>
          <w:proofErr w:type="spellEnd"/>
          <w:r w:rsidRPr="00BC500A">
            <w:rPr>
              <w:rFonts w:cs="Arial"/>
              <w:i/>
              <w:iCs/>
              <w:color w:val="000000"/>
              <w:lang w:val="it-IT"/>
            </w:rPr>
            <w:t xml:space="preserve"> Européen de </w:t>
          </w:r>
          <w:proofErr w:type="spellStart"/>
          <w:r w:rsidRPr="00BC500A">
            <w:rPr>
              <w:rFonts w:cs="Arial"/>
              <w:i/>
              <w:iCs/>
              <w:color w:val="000000"/>
              <w:lang w:val="it-IT"/>
            </w:rPr>
            <w:t>Normalisation</w:t>
          </w:r>
          <w:proofErr w:type="spellEnd"/>
          <w:r w:rsidRPr="00BC500A">
            <w:rPr>
              <w:rFonts w:cs="Arial"/>
              <w:i/>
              <w:iCs/>
              <w:color w:val="000000"/>
              <w:lang w:val="it-IT"/>
            </w:rPr>
            <w:t>)</w:t>
          </w:r>
          <w:r w:rsidRPr="00BC500A">
            <w:rPr>
              <w:rFonts w:cs="Arial"/>
              <w:color w:val="000000"/>
              <w:lang w:val="it-IT"/>
            </w:rPr>
            <w:t>. https://doi.org/10.31030/9877839</w:t>
          </w:r>
        </w:p>
        <w:p w14:paraId="18CFC81F" w14:textId="77777777" w:rsidR="00BC500A" w:rsidRPr="00BC500A" w:rsidRDefault="00BC500A">
          <w:pPr>
            <w:autoSpaceDE w:val="0"/>
            <w:autoSpaceDN w:val="0"/>
            <w:ind w:hanging="480"/>
            <w:divId w:val="78138259"/>
            <w:rPr>
              <w:rFonts w:cs="Arial"/>
              <w:color w:val="000000"/>
              <w:lang w:val="it-IT"/>
            </w:rPr>
          </w:pPr>
          <w:r w:rsidRPr="00BC500A">
            <w:rPr>
              <w:rFonts w:cs="Arial"/>
              <w:color w:val="000000"/>
              <w:lang w:val="it-IT"/>
            </w:rPr>
            <w:t xml:space="preserve">EN 17628:2022. </w:t>
          </w:r>
          <w:r w:rsidRPr="00BC500A">
            <w:rPr>
              <w:rFonts w:cs="Arial"/>
              <w:color w:val="000000"/>
            </w:rPr>
            <w:t xml:space="preserve">(2022). Fugitive and diffuse emissions of common concern to industry sectors - Standard method to determine diffuse emissions of volatile organic compounds into the atmosphere. </w:t>
          </w:r>
          <w:r w:rsidRPr="00BC500A">
            <w:rPr>
              <w:rFonts w:cs="Arial"/>
              <w:color w:val="000000"/>
              <w:lang w:val="it-IT"/>
            </w:rPr>
            <w:t xml:space="preserve">In </w:t>
          </w:r>
          <w:r w:rsidRPr="00BC500A">
            <w:rPr>
              <w:rFonts w:cs="Arial"/>
              <w:i/>
              <w:iCs/>
              <w:color w:val="000000"/>
              <w:lang w:val="it-IT"/>
            </w:rPr>
            <w:t>CEN (</w:t>
          </w:r>
          <w:proofErr w:type="spellStart"/>
          <w:r w:rsidRPr="00BC500A">
            <w:rPr>
              <w:rFonts w:cs="Arial"/>
              <w:i/>
              <w:iCs/>
              <w:color w:val="000000"/>
              <w:lang w:val="it-IT"/>
            </w:rPr>
            <w:t>Comité</w:t>
          </w:r>
          <w:proofErr w:type="spellEnd"/>
          <w:r w:rsidRPr="00BC500A">
            <w:rPr>
              <w:rFonts w:cs="Arial"/>
              <w:i/>
              <w:iCs/>
              <w:color w:val="000000"/>
              <w:lang w:val="it-IT"/>
            </w:rPr>
            <w:t xml:space="preserve"> Européen de </w:t>
          </w:r>
          <w:proofErr w:type="spellStart"/>
          <w:r w:rsidRPr="00BC500A">
            <w:rPr>
              <w:rFonts w:cs="Arial"/>
              <w:i/>
              <w:iCs/>
              <w:color w:val="000000"/>
              <w:lang w:val="it-IT"/>
            </w:rPr>
            <w:t>Normalisation</w:t>
          </w:r>
          <w:proofErr w:type="spellEnd"/>
          <w:r w:rsidRPr="00BC500A">
            <w:rPr>
              <w:rFonts w:cs="Arial"/>
              <w:i/>
              <w:iCs/>
              <w:color w:val="000000"/>
              <w:lang w:val="it-IT"/>
            </w:rPr>
            <w:t>)</w:t>
          </w:r>
          <w:r w:rsidRPr="00BC500A">
            <w:rPr>
              <w:rFonts w:cs="Arial"/>
              <w:color w:val="000000"/>
              <w:lang w:val="it-IT"/>
            </w:rPr>
            <w:t>. https://doi.org/10.31030/3311361</w:t>
          </w:r>
        </w:p>
        <w:p w14:paraId="763CFA24" w14:textId="77777777" w:rsidR="00BC500A" w:rsidRPr="00BC500A" w:rsidRDefault="00BC500A">
          <w:pPr>
            <w:autoSpaceDE w:val="0"/>
            <w:autoSpaceDN w:val="0"/>
            <w:ind w:hanging="480"/>
            <w:divId w:val="1837761685"/>
            <w:rPr>
              <w:rFonts w:cs="Arial"/>
              <w:color w:val="000000"/>
            </w:rPr>
          </w:pPr>
          <w:proofErr w:type="spellStart"/>
          <w:r w:rsidRPr="00BC500A">
            <w:rPr>
              <w:rFonts w:cs="Arial"/>
              <w:color w:val="000000"/>
              <w:lang w:val="it-IT"/>
            </w:rPr>
            <w:t>European</w:t>
          </w:r>
          <w:proofErr w:type="spellEnd"/>
          <w:r w:rsidRPr="00BC500A">
            <w:rPr>
              <w:rFonts w:cs="Arial"/>
              <w:color w:val="000000"/>
              <w:lang w:val="it-IT"/>
            </w:rPr>
            <w:t xml:space="preserve"> </w:t>
          </w:r>
          <w:proofErr w:type="spellStart"/>
          <w:r w:rsidRPr="00BC500A">
            <w:rPr>
              <w:rFonts w:cs="Arial"/>
              <w:color w:val="000000"/>
              <w:lang w:val="it-IT"/>
            </w:rPr>
            <w:t>Commision</w:t>
          </w:r>
          <w:proofErr w:type="spellEnd"/>
          <w:r w:rsidRPr="00BC500A">
            <w:rPr>
              <w:rFonts w:cs="Arial"/>
              <w:color w:val="000000"/>
              <w:lang w:val="it-IT"/>
            </w:rPr>
            <w:t xml:space="preserve">. </w:t>
          </w:r>
          <w:r w:rsidRPr="00BC500A">
            <w:rPr>
              <w:rFonts w:cs="Arial"/>
              <w:color w:val="000000"/>
            </w:rPr>
            <w:t xml:space="preserve">(2010). </w:t>
          </w:r>
          <w:r w:rsidRPr="00BC500A">
            <w:rPr>
              <w:rFonts w:cs="Arial"/>
              <w:i/>
              <w:iCs/>
              <w:color w:val="000000"/>
            </w:rPr>
            <w:t>Directive 2010/75/EU of the European Parliament and of the Council of 24 November 2010 on industrial emissions (integrated pollution prevention and control) (IED)</w:t>
          </w:r>
          <w:r w:rsidRPr="00BC500A">
            <w:rPr>
              <w:rFonts w:cs="Arial"/>
              <w:color w:val="000000"/>
            </w:rPr>
            <w:t>.</w:t>
          </w:r>
        </w:p>
        <w:p w14:paraId="1C552FB7" w14:textId="77777777" w:rsidR="00BC500A" w:rsidRPr="00BC500A" w:rsidRDefault="00BC500A">
          <w:pPr>
            <w:autoSpaceDE w:val="0"/>
            <w:autoSpaceDN w:val="0"/>
            <w:ind w:hanging="480"/>
            <w:divId w:val="1075589555"/>
            <w:rPr>
              <w:rFonts w:cs="Arial"/>
              <w:color w:val="000000"/>
            </w:rPr>
          </w:pPr>
          <w:r w:rsidRPr="00BC500A">
            <w:rPr>
              <w:rFonts w:cs="Arial"/>
              <w:color w:val="000000"/>
            </w:rPr>
            <w:t xml:space="preserve">European Commission. (2015). </w:t>
          </w:r>
          <w:r w:rsidRPr="00BC500A">
            <w:rPr>
              <w:rFonts w:cs="Arial"/>
              <w:i/>
              <w:iCs/>
              <w:color w:val="000000"/>
            </w:rPr>
            <w:t xml:space="preserve">Best Available Techniques (BAT) Reference Document </w:t>
          </w:r>
          <w:proofErr w:type="spellStart"/>
          <w:r w:rsidRPr="00BC500A">
            <w:rPr>
              <w:rFonts w:cs="Arial"/>
              <w:i/>
              <w:iCs/>
              <w:color w:val="000000"/>
            </w:rPr>
            <w:t>fro</w:t>
          </w:r>
          <w:proofErr w:type="spellEnd"/>
          <w:r w:rsidRPr="00BC500A">
            <w:rPr>
              <w:rFonts w:cs="Arial"/>
              <w:i/>
              <w:iCs/>
              <w:color w:val="000000"/>
            </w:rPr>
            <w:t xml:space="preserve"> the Refining of Mineral Oil and Gas</w:t>
          </w:r>
          <w:r w:rsidRPr="00BC500A">
            <w:rPr>
              <w:rFonts w:cs="Arial"/>
              <w:color w:val="000000"/>
            </w:rPr>
            <w:t>.</w:t>
          </w:r>
        </w:p>
        <w:p w14:paraId="0B14440B" w14:textId="6E822A1C" w:rsidR="00BC500A" w:rsidRPr="00BC500A" w:rsidRDefault="00BC500A">
          <w:pPr>
            <w:autoSpaceDE w:val="0"/>
            <w:autoSpaceDN w:val="0"/>
            <w:ind w:hanging="480"/>
            <w:divId w:val="963925830"/>
            <w:rPr>
              <w:rFonts w:cs="Arial"/>
              <w:color w:val="000000"/>
            </w:rPr>
          </w:pPr>
          <w:r w:rsidRPr="00BC500A">
            <w:rPr>
              <w:rFonts w:cs="Arial"/>
              <w:color w:val="000000"/>
            </w:rPr>
            <w:t xml:space="preserve">Hoven L., </w:t>
          </w:r>
          <w:proofErr w:type="spellStart"/>
          <w:r w:rsidRPr="00BC500A">
            <w:rPr>
              <w:rFonts w:cs="Arial"/>
              <w:color w:val="000000"/>
            </w:rPr>
            <w:t>M</w:t>
          </w:r>
          <w:r w:rsidR="00264416">
            <w:rPr>
              <w:rFonts w:cs="Arial"/>
              <w:color w:val="000000"/>
            </w:rPr>
            <w:t>egaritis</w:t>
          </w:r>
          <w:proofErr w:type="spellEnd"/>
          <w:r w:rsidRPr="00BC500A">
            <w:rPr>
              <w:rFonts w:cs="Arial"/>
              <w:color w:val="000000"/>
            </w:rPr>
            <w:t xml:space="preserve"> T. (2019). Air pollutant emission estimation methods for E-PRTR reporting by refineries. In </w:t>
          </w:r>
          <w:r w:rsidRPr="00BC500A">
            <w:rPr>
              <w:rFonts w:cs="Arial"/>
              <w:i/>
              <w:iCs/>
              <w:color w:val="000000"/>
            </w:rPr>
            <w:t>CONCAWE Reports: 4/19</w:t>
          </w:r>
          <w:r w:rsidRPr="00BC500A">
            <w:rPr>
              <w:rFonts w:cs="Arial"/>
              <w:color w:val="000000"/>
            </w:rPr>
            <w:t>.</w:t>
          </w:r>
        </w:p>
        <w:p w14:paraId="23831531" w14:textId="77777777" w:rsidR="00BC500A" w:rsidRPr="00BC500A" w:rsidRDefault="00BC500A">
          <w:pPr>
            <w:autoSpaceDE w:val="0"/>
            <w:autoSpaceDN w:val="0"/>
            <w:ind w:hanging="480"/>
            <w:divId w:val="676152500"/>
            <w:rPr>
              <w:rFonts w:cs="Arial"/>
              <w:color w:val="000000"/>
              <w:lang w:val="it-IT"/>
            </w:rPr>
          </w:pPr>
          <w:proofErr w:type="spellStart"/>
          <w:r w:rsidRPr="00BC500A">
            <w:rPr>
              <w:rFonts w:cs="Arial"/>
              <w:color w:val="000000"/>
            </w:rPr>
            <w:t>Ilonze</w:t>
          </w:r>
          <w:proofErr w:type="spellEnd"/>
          <w:r w:rsidRPr="00BC500A">
            <w:rPr>
              <w:rFonts w:cs="Arial"/>
              <w:color w:val="000000"/>
            </w:rPr>
            <w:t xml:space="preserve">, C., Wang, J. (Lyra), Ravikumar, A. P., &amp; Zimmerle, D. (2024). Methane Quantification Performance of the Quantitative Optical Gas Imaging (QOGI) System Using Single-Blind Controlled Release Assessment. </w:t>
          </w:r>
          <w:proofErr w:type="spellStart"/>
          <w:r w:rsidRPr="00BC500A">
            <w:rPr>
              <w:rFonts w:cs="Arial"/>
              <w:i/>
              <w:iCs/>
              <w:color w:val="000000"/>
              <w:lang w:val="it-IT"/>
            </w:rPr>
            <w:t>Sensors</w:t>
          </w:r>
          <w:proofErr w:type="spellEnd"/>
          <w:r w:rsidRPr="00BC500A">
            <w:rPr>
              <w:rFonts w:cs="Arial"/>
              <w:color w:val="000000"/>
              <w:lang w:val="it-IT"/>
            </w:rPr>
            <w:t xml:space="preserve">, </w:t>
          </w:r>
          <w:r w:rsidRPr="00BC500A">
            <w:rPr>
              <w:rFonts w:cs="Arial"/>
              <w:i/>
              <w:iCs/>
              <w:color w:val="000000"/>
              <w:lang w:val="it-IT"/>
            </w:rPr>
            <w:t>24</w:t>
          </w:r>
          <w:r w:rsidRPr="00BC500A">
            <w:rPr>
              <w:rFonts w:cs="Arial"/>
              <w:color w:val="000000"/>
              <w:lang w:val="it-IT"/>
            </w:rPr>
            <w:t>(13), 4044. https://doi.org/10.3390/s24134044</w:t>
          </w:r>
        </w:p>
        <w:p w14:paraId="76D0BF4E" w14:textId="77777777" w:rsidR="00BC500A" w:rsidRPr="00BC500A" w:rsidRDefault="00BC500A">
          <w:pPr>
            <w:autoSpaceDE w:val="0"/>
            <w:autoSpaceDN w:val="0"/>
            <w:ind w:hanging="480"/>
            <w:divId w:val="1116292082"/>
            <w:rPr>
              <w:rFonts w:cs="Arial"/>
              <w:color w:val="000000"/>
              <w:lang w:val="it-IT"/>
            </w:rPr>
          </w:pPr>
          <w:r w:rsidRPr="00BC500A">
            <w:rPr>
              <w:rFonts w:cs="Arial"/>
              <w:color w:val="000000"/>
              <w:lang w:val="it-IT"/>
            </w:rPr>
            <w:t xml:space="preserve">Invernizzi M., Roveda L., Polvara E., &amp; Sironi S. (2021). </w:t>
          </w:r>
          <w:r w:rsidRPr="00BC500A">
            <w:rPr>
              <w:rFonts w:cs="Arial"/>
              <w:color w:val="000000"/>
            </w:rPr>
            <w:t xml:space="preserve">Lights and Shadows of the Voc Emission Quantification. </w:t>
          </w:r>
          <w:r w:rsidRPr="00BC500A">
            <w:rPr>
              <w:rFonts w:cs="Arial"/>
              <w:i/>
              <w:iCs/>
              <w:color w:val="000000"/>
              <w:lang w:val="it-IT"/>
            </w:rPr>
            <w:t xml:space="preserve">Chemical Engineering </w:t>
          </w:r>
          <w:proofErr w:type="spellStart"/>
          <w:r w:rsidRPr="00BC500A">
            <w:rPr>
              <w:rFonts w:cs="Arial"/>
              <w:i/>
              <w:iCs/>
              <w:color w:val="000000"/>
              <w:lang w:val="it-IT"/>
            </w:rPr>
            <w:t>Transactions</w:t>
          </w:r>
          <w:proofErr w:type="spellEnd"/>
          <w:r w:rsidRPr="00BC500A">
            <w:rPr>
              <w:rFonts w:cs="Arial"/>
              <w:color w:val="000000"/>
              <w:lang w:val="it-IT"/>
            </w:rPr>
            <w:t xml:space="preserve">, </w:t>
          </w:r>
          <w:r w:rsidRPr="00BC500A">
            <w:rPr>
              <w:rFonts w:cs="Arial"/>
              <w:i/>
              <w:iCs/>
              <w:color w:val="000000"/>
              <w:lang w:val="it-IT"/>
            </w:rPr>
            <w:t>85</w:t>
          </w:r>
          <w:r w:rsidRPr="00BC500A">
            <w:rPr>
              <w:rFonts w:cs="Arial"/>
              <w:color w:val="000000"/>
              <w:lang w:val="it-IT"/>
            </w:rPr>
            <w:t>, 109–114. https://doi.org/10.3303/CET2185019</w:t>
          </w:r>
        </w:p>
        <w:p w14:paraId="4148109E" w14:textId="77777777" w:rsidR="00BC500A" w:rsidRPr="00BC500A" w:rsidRDefault="00BC500A">
          <w:pPr>
            <w:autoSpaceDE w:val="0"/>
            <w:autoSpaceDN w:val="0"/>
            <w:ind w:hanging="480"/>
            <w:divId w:val="781463246"/>
            <w:rPr>
              <w:rFonts w:cs="Arial"/>
              <w:color w:val="000000"/>
            </w:rPr>
          </w:pPr>
          <w:r w:rsidRPr="00BC500A">
            <w:rPr>
              <w:rFonts w:cs="Arial"/>
              <w:color w:val="000000"/>
              <w:lang w:val="it-IT"/>
            </w:rPr>
            <w:t xml:space="preserve">Lotesoriere, B. J., Invernizzi, M., Panzitta, A., Uvezzi, G., Sozzi, R., Sironi, S., &amp; Capelli, L. (2023). </w:t>
          </w:r>
          <w:r w:rsidRPr="00BC500A">
            <w:rPr>
              <w:rFonts w:cs="Arial"/>
              <w:color w:val="000000"/>
            </w:rPr>
            <w:t xml:space="preserve">Micrometeorological Methods for the Indirect Estimation of Odorous Emissions. </w:t>
          </w:r>
          <w:r w:rsidRPr="00BC500A">
            <w:rPr>
              <w:rFonts w:cs="Arial"/>
              <w:i/>
              <w:iCs/>
              <w:color w:val="000000"/>
            </w:rPr>
            <w:t>Critical Reviews in Analytical Chemistry</w:t>
          </w:r>
          <w:r w:rsidRPr="00BC500A">
            <w:rPr>
              <w:rFonts w:cs="Arial"/>
              <w:color w:val="000000"/>
            </w:rPr>
            <w:t xml:space="preserve">, </w:t>
          </w:r>
          <w:r w:rsidRPr="00BC500A">
            <w:rPr>
              <w:rFonts w:cs="Arial"/>
              <w:i/>
              <w:iCs/>
              <w:color w:val="000000"/>
            </w:rPr>
            <w:t>53</w:t>
          </w:r>
          <w:r w:rsidRPr="00BC500A">
            <w:rPr>
              <w:rFonts w:cs="Arial"/>
              <w:color w:val="000000"/>
            </w:rPr>
            <w:t>(7), 1531–1560. https://doi.org/10.1080/10408347.2022.2036092</w:t>
          </w:r>
        </w:p>
        <w:p w14:paraId="04B24BDA" w14:textId="77777777" w:rsidR="00BC500A" w:rsidRPr="00BC500A" w:rsidRDefault="00BC500A">
          <w:pPr>
            <w:autoSpaceDE w:val="0"/>
            <w:autoSpaceDN w:val="0"/>
            <w:ind w:hanging="480"/>
            <w:divId w:val="1003509292"/>
            <w:rPr>
              <w:rFonts w:cs="Arial"/>
              <w:color w:val="000000"/>
              <w:lang w:val="it-IT"/>
            </w:rPr>
          </w:pPr>
          <w:proofErr w:type="spellStart"/>
          <w:r w:rsidRPr="00BC500A">
            <w:rPr>
              <w:rFonts w:cs="Arial"/>
              <w:color w:val="000000"/>
              <w:lang w:val="it-IT"/>
            </w:rPr>
            <w:t>Lotrecchiano</w:t>
          </w:r>
          <w:proofErr w:type="spellEnd"/>
          <w:r w:rsidRPr="00BC500A">
            <w:rPr>
              <w:rFonts w:cs="Arial"/>
              <w:color w:val="000000"/>
              <w:lang w:val="it-IT"/>
            </w:rPr>
            <w:t xml:space="preserve">, N., Pecci, A., </w:t>
          </w:r>
          <w:proofErr w:type="spellStart"/>
          <w:r w:rsidRPr="00BC500A">
            <w:rPr>
              <w:rFonts w:cs="Arial"/>
              <w:color w:val="000000"/>
              <w:lang w:val="it-IT"/>
            </w:rPr>
            <w:t>Zappimbulso</w:t>
          </w:r>
          <w:proofErr w:type="spellEnd"/>
          <w:r w:rsidRPr="00BC500A">
            <w:rPr>
              <w:rFonts w:cs="Arial"/>
              <w:color w:val="000000"/>
              <w:lang w:val="it-IT"/>
            </w:rPr>
            <w:t xml:space="preserve">, N., Ilacqua, M. A., &amp; Ferranti, F. (2025). </w:t>
          </w:r>
          <w:r w:rsidRPr="00BC500A">
            <w:rPr>
              <w:rFonts w:cs="Arial"/>
              <w:color w:val="000000"/>
            </w:rPr>
            <w:t xml:space="preserve">Efficacy of the Leak Detection and Repair Program in the Italian Industrial Plants. </w:t>
          </w:r>
          <w:proofErr w:type="spellStart"/>
          <w:r w:rsidRPr="00BC500A">
            <w:rPr>
              <w:rFonts w:cs="Arial"/>
              <w:i/>
              <w:iCs/>
              <w:color w:val="000000"/>
              <w:lang w:val="it-IT"/>
            </w:rPr>
            <w:t>Chemcal</w:t>
          </w:r>
          <w:proofErr w:type="spellEnd"/>
          <w:r w:rsidRPr="00BC500A">
            <w:rPr>
              <w:rFonts w:cs="Arial"/>
              <w:i/>
              <w:iCs/>
              <w:color w:val="000000"/>
              <w:lang w:val="it-IT"/>
            </w:rPr>
            <w:t xml:space="preserve"> Engineering </w:t>
          </w:r>
          <w:proofErr w:type="spellStart"/>
          <w:r w:rsidRPr="00BC500A">
            <w:rPr>
              <w:rFonts w:cs="Arial"/>
              <w:i/>
              <w:iCs/>
              <w:color w:val="000000"/>
              <w:lang w:val="it-IT"/>
            </w:rPr>
            <w:t>Transactions</w:t>
          </w:r>
          <w:proofErr w:type="spellEnd"/>
          <w:r w:rsidRPr="00BC500A">
            <w:rPr>
              <w:rFonts w:cs="Arial"/>
              <w:color w:val="000000"/>
              <w:lang w:val="it-IT"/>
            </w:rPr>
            <w:t xml:space="preserve">, </w:t>
          </w:r>
          <w:r w:rsidRPr="00BC500A">
            <w:rPr>
              <w:rFonts w:cs="Arial"/>
              <w:i/>
              <w:iCs/>
              <w:color w:val="000000"/>
              <w:lang w:val="it-IT"/>
            </w:rPr>
            <w:t>116</w:t>
          </w:r>
          <w:r w:rsidRPr="00BC500A">
            <w:rPr>
              <w:rFonts w:cs="Arial"/>
              <w:color w:val="000000"/>
              <w:lang w:val="it-IT"/>
            </w:rPr>
            <w:t>, 823–828. https://doi.org/10.3303/CET25116138</w:t>
          </w:r>
        </w:p>
        <w:p w14:paraId="4714A47D" w14:textId="77777777" w:rsidR="00BC500A" w:rsidRPr="00BC500A" w:rsidRDefault="00BC500A">
          <w:pPr>
            <w:autoSpaceDE w:val="0"/>
            <w:autoSpaceDN w:val="0"/>
            <w:ind w:hanging="480"/>
            <w:divId w:val="28452685"/>
            <w:rPr>
              <w:rFonts w:cs="Arial"/>
              <w:color w:val="000000"/>
              <w:lang w:val="it-IT"/>
            </w:rPr>
          </w:pPr>
          <w:r w:rsidRPr="00BC500A">
            <w:rPr>
              <w:rFonts w:cs="Arial"/>
              <w:color w:val="000000"/>
              <w:lang w:val="it-IT"/>
            </w:rPr>
            <w:t xml:space="preserve">MASE. (2023). Decreto Direttoriale n.309 “Indirizzi per l’applicazione dell’articolo 272-Bis del Dlgs 152/2006 in materia di emissioni odorigene di impianti e attività.” In </w:t>
          </w:r>
          <w:r w:rsidRPr="00BC500A">
            <w:rPr>
              <w:rFonts w:cs="Arial"/>
              <w:i/>
              <w:iCs/>
              <w:color w:val="000000"/>
              <w:lang w:val="it-IT"/>
            </w:rPr>
            <w:t>Ministero dell’Ambiente e della Sicurezza Energetica</w:t>
          </w:r>
          <w:r w:rsidRPr="00BC500A">
            <w:rPr>
              <w:rFonts w:cs="Arial"/>
              <w:color w:val="000000"/>
              <w:lang w:val="it-IT"/>
            </w:rPr>
            <w:t>.</w:t>
          </w:r>
        </w:p>
        <w:p w14:paraId="7DF73562" w14:textId="77777777" w:rsidR="00BC500A" w:rsidRPr="00BC500A" w:rsidRDefault="00BC500A">
          <w:pPr>
            <w:autoSpaceDE w:val="0"/>
            <w:autoSpaceDN w:val="0"/>
            <w:ind w:hanging="480"/>
            <w:divId w:val="1102185060"/>
            <w:rPr>
              <w:rFonts w:cs="Arial"/>
              <w:color w:val="000000"/>
              <w:lang w:val="it-IT"/>
            </w:rPr>
          </w:pPr>
          <w:r w:rsidRPr="00BC500A">
            <w:rPr>
              <w:rFonts w:cs="Arial"/>
              <w:color w:val="000000"/>
              <w:lang w:val="it-IT"/>
            </w:rPr>
            <w:t xml:space="preserve">Nagata, Y. (2003). </w:t>
          </w:r>
          <w:r w:rsidRPr="00BC500A">
            <w:rPr>
              <w:rFonts w:cs="Arial"/>
              <w:i/>
              <w:iCs/>
              <w:color w:val="000000"/>
              <w:lang w:val="it-IT"/>
            </w:rPr>
            <w:t xml:space="preserve">Measurement of </w:t>
          </w:r>
          <w:proofErr w:type="spellStart"/>
          <w:r w:rsidRPr="00BC500A">
            <w:rPr>
              <w:rFonts w:cs="Arial"/>
              <w:i/>
              <w:iCs/>
              <w:color w:val="000000"/>
              <w:lang w:val="it-IT"/>
            </w:rPr>
            <w:t>Odor</w:t>
          </w:r>
          <w:proofErr w:type="spellEnd"/>
          <w:r w:rsidRPr="00BC500A">
            <w:rPr>
              <w:rFonts w:cs="Arial"/>
              <w:i/>
              <w:iCs/>
              <w:color w:val="000000"/>
              <w:lang w:val="it-IT"/>
            </w:rPr>
            <w:t xml:space="preserve"> </w:t>
          </w:r>
          <w:proofErr w:type="spellStart"/>
          <w:r w:rsidRPr="00BC500A">
            <w:rPr>
              <w:rFonts w:cs="Arial"/>
              <w:i/>
              <w:iCs/>
              <w:color w:val="000000"/>
              <w:lang w:val="it-IT"/>
            </w:rPr>
            <w:t>Threshold</w:t>
          </w:r>
          <w:proofErr w:type="spellEnd"/>
          <w:r w:rsidRPr="00BC500A">
            <w:rPr>
              <w:rFonts w:cs="Arial"/>
              <w:i/>
              <w:iCs/>
              <w:color w:val="000000"/>
              <w:lang w:val="it-IT"/>
            </w:rPr>
            <w:t xml:space="preserve"> by </w:t>
          </w:r>
          <w:proofErr w:type="spellStart"/>
          <w:r w:rsidRPr="00BC500A">
            <w:rPr>
              <w:rFonts w:cs="Arial"/>
              <w:i/>
              <w:iCs/>
              <w:color w:val="000000"/>
              <w:lang w:val="it-IT"/>
            </w:rPr>
            <w:t>Triangle</w:t>
          </w:r>
          <w:proofErr w:type="spellEnd"/>
          <w:r w:rsidRPr="00BC500A">
            <w:rPr>
              <w:rFonts w:cs="Arial"/>
              <w:i/>
              <w:iCs/>
              <w:color w:val="000000"/>
              <w:lang w:val="it-IT"/>
            </w:rPr>
            <w:t xml:space="preserve"> </w:t>
          </w:r>
          <w:proofErr w:type="spellStart"/>
          <w:r w:rsidRPr="00BC500A">
            <w:rPr>
              <w:rFonts w:cs="Arial"/>
              <w:i/>
              <w:iCs/>
              <w:color w:val="000000"/>
              <w:lang w:val="it-IT"/>
            </w:rPr>
            <w:t>Odor</w:t>
          </w:r>
          <w:proofErr w:type="spellEnd"/>
          <w:r w:rsidRPr="00BC500A">
            <w:rPr>
              <w:rFonts w:cs="Arial"/>
              <w:i/>
              <w:iCs/>
              <w:color w:val="000000"/>
              <w:lang w:val="it-IT"/>
            </w:rPr>
            <w:t xml:space="preserve"> </w:t>
          </w:r>
          <w:proofErr w:type="spellStart"/>
          <w:r w:rsidRPr="00BC500A">
            <w:rPr>
              <w:rFonts w:cs="Arial"/>
              <w:i/>
              <w:iCs/>
              <w:color w:val="000000"/>
              <w:lang w:val="it-IT"/>
            </w:rPr>
            <w:t>Bag</w:t>
          </w:r>
          <w:proofErr w:type="spellEnd"/>
          <w:r w:rsidRPr="00BC500A">
            <w:rPr>
              <w:rFonts w:cs="Arial"/>
              <w:i/>
              <w:iCs/>
              <w:color w:val="000000"/>
              <w:lang w:val="it-IT"/>
            </w:rPr>
            <w:t xml:space="preserve"> Method</w:t>
          </w:r>
          <w:r w:rsidRPr="00BC500A">
            <w:rPr>
              <w:rFonts w:cs="Arial"/>
              <w:color w:val="000000"/>
              <w:lang w:val="it-IT"/>
            </w:rPr>
            <w:t>. 118–127.</w:t>
          </w:r>
        </w:p>
        <w:p w14:paraId="0FC7F8F9" w14:textId="77777777" w:rsidR="00BC500A" w:rsidRPr="00BC500A" w:rsidRDefault="00BC500A">
          <w:pPr>
            <w:autoSpaceDE w:val="0"/>
            <w:autoSpaceDN w:val="0"/>
            <w:ind w:hanging="480"/>
            <w:divId w:val="1087507400"/>
            <w:rPr>
              <w:rFonts w:cs="Arial"/>
              <w:color w:val="000000"/>
            </w:rPr>
          </w:pPr>
          <w:r w:rsidRPr="00BC500A">
            <w:rPr>
              <w:rFonts w:cs="Arial"/>
              <w:color w:val="000000"/>
              <w:lang w:val="it-IT"/>
            </w:rPr>
            <w:t xml:space="preserve">Polvara, E., Scolieri, G. D., Invernizzi, M., &amp; Sironi, S. (2025). </w:t>
          </w:r>
          <w:r w:rsidRPr="00BC500A">
            <w:rPr>
              <w:rFonts w:cs="Arial"/>
              <w:color w:val="000000"/>
            </w:rPr>
            <w:t xml:space="preserve">Experimental secondary reference odour mass (SROM) measurement for selected four odorants. </w:t>
          </w:r>
          <w:r w:rsidRPr="00BC500A">
            <w:rPr>
              <w:rFonts w:cs="Arial"/>
              <w:i/>
              <w:iCs/>
              <w:color w:val="000000"/>
            </w:rPr>
            <w:t>Environmental Sciences Europe</w:t>
          </w:r>
          <w:r w:rsidRPr="00BC500A">
            <w:rPr>
              <w:rFonts w:cs="Arial"/>
              <w:color w:val="000000"/>
            </w:rPr>
            <w:t xml:space="preserve">, </w:t>
          </w:r>
          <w:r w:rsidRPr="00BC500A">
            <w:rPr>
              <w:rFonts w:cs="Arial"/>
              <w:i/>
              <w:iCs/>
              <w:color w:val="000000"/>
            </w:rPr>
            <w:t>37</w:t>
          </w:r>
          <w:r w:rsidRPr="00BC500A">
            <w:rPr>
              <w:rFonts w:cs="Arial"/>
              <w:color w:val="000000"/>
            </w:rPr>
            <w:t>(1), 129. https://doi.org/10.1186/s12302-025-01179-6</w:t>
          </w:r>
        </w:p>
        <w:p w14:paraId="05A7326A" w14:textId="77777777" w:rsidR="00BC500A" w:rsidRPr="00BC500A" w:rsidRDefault="00BC500A">
          <w:pPr>
            <w:autoSpaceDE w:val="0"/>
            <w:autoSpaceDN w:val="0"/>
            <w:ind w:hanging="480"/>
            <w:divId w:val="116070028"/>
            <w:rPr>
              <w:rFonts w:cs="Arial"/>
              <w:color w:val="000000"/>
            </w:rPr>
          </w:pPr>
          <w:r w:rsidRPr="00BC500A">
            <w:rPr>
              <w:rFonts w:cs="Arial"/>
              <w:color w:val="000000"/>
            </w:rPr>
            <w:t xml:space="preserve">Ravikumar, A. P., Wang, J., &amp; Brandt, A. R. (2017). Are Optical Gas Imaging Technologies Effective </w:t>
          </w:r>
          <w:proofErr w:type="gramStart"/>
          <w:r w:rsidRPr="00BC500A">
            <w:rPr>
              <w:rFonts w:cs="Arial"/>
              <w:color w:val="000000"/>
            </w:rPr>
            <w:t>For</w:t>
          </w:r>
          <w:proofErr w:type="gramEnd"/>
          <w:r w:rsidRPr="00BC500A">
            <w:rPr>
              <w:rFonts w:cs="Arial"/>
              <w:color w:val="000000"/>
            </w:rPr>
            <w:t xml:space="preserve"> Methane Leak Detection? </w:t>
          </w:r>
          <w:r w:rsidRPr="00BC500A">
            <w:rPr>
              <w:rFonts w:cs="Arial"/>
              <w:i/>
              <w:iCs/>
              <w:color w:val="000000"/>
            </w:rPr>
            <w:t>Environmental Science &amp; Technology</w:t>
          </w:r>
          <w:r w:rsidRPr="00BC500A">
            <w:rPr>
              <w:rFonts w:cs="Arial"/>
              <w:color w:val="000000"/>
            </w:rPr>
            <w:t xml:space="preserve">, </w:t>
          </w:r>
          <w:r w:rsidRPr="00BC500A">
            <w:rPr>
              <w:rFonts w:cs="Arial"/>
              <w:i/>
              <w:iCs/>
              <w:color w:val="000000"/>
            </w:rPr>
            <w:t>51</w:t>
          </w:r>
          <w:r w:rsidRPr="00BC500A">
            <w:rPr>
              <w:rFonts w:cs="Arial"/>
              <w:color w:val="000000"/>
            </w:rPr>
            <w:t>(1), 718–724. https://doi.org/10.1021/acs.est.6b03906</w:t>
          </w:r>
        </w:p>
        <w:p w14:paraId="7A45CAB2" w14:textId="77777777" w:rsidR="00BC500A" w:rsidRPr="00BC500A" w:rsidRDefault="00BC500A">
          <w:pPr>
            <w:autoSpaceDE w:val="0"/>
            <w:autoSpaceDN w:val="0"/>
            <w:ind w:hanging="480"/>
            <w:divId w:val="444271427"/>
            <w:rPr>
              <w:rFonts w:cs="Arial"/>
              <w:color w:val="000000"/>
            </w:rPr>
          </w:pPr>
          <w:proofErr w:type="spellStart"/>
          <w:r w:rsidRPr="00BC500A">
            <w:rPr>
              <w:rFonts w:cs="Arial"/>
              <w:color w:val="000000"/>
            </w:rPr>
            <w:t>Sotoodeh</w:t>
          </w:r>
          <w:proofErr w:type="spellEnd"/>
          <w:r w:rsidRPr="00BC500A">
            <w:rPr>
              <w:rFonts w:cs="Arial"/>
              <w:color w:val="000000"/>
            </w:rPr>
            <w:t xml:space="preserve">, K. (2021). Fugitive emissions from piping and valves. In </w:t>
          </w:r>
          <w:r w:rsidRPr="00BC500A">
            <w:rPr>
              <w:rFonts w:cs="Arial"/>
              <w:i/>
              <w:iCs/>
              <w:color w:val="000000"/>
            </w:rPr>
            <w:t>Prevention of Valve Fugitive Emissions in the Oil and Gas Industry</w:t>
          </w:r>
          <w:r w:rsidRPr="00BC500A">
            <w:rPr>
              <w:rFonts w:cs="Arial"/>
              <w:color w:val="000000"/>
            </w:rPr>
            <w:t xml:space="preserve"> (pp. 37–65). Elsevier. https://doi.org/10.1016/B978-0-323-91862-6.00002-2</w:t>
          </w:r>
        </w:p>
        <w:p w14:paraId="627E05B9" w14:textId="77777777" w:rsidR="00BC500A" w:rsidRPr="00BC500A" w:rsidRDefault="00BC500A">
          <w:pPr>
            <w:autoSpaceDE w:val="0"/>
            <w:autoSpaceDN w:val="0"/>
            <w:ind w:hanging="480"/>
            <w:divId w:val="636374281"/>
            <w:rPr>
              <w:rFonts w:cs="Arial"/>
              <w:color w:val="000000"/>
            </w:rPr>
          </w:pPr>
          <w:r w:rsidRPr="00BC500A">
            <w:rPr>
              <w:rFonts w:cs="Arial"/>
              <w:color w:val="000000"/>
            </w:rPr>
            <w:t xml:space="preserve">Szweda, R. (2000). Fugitive emissions: The matter of imperfect seals. </w:t>
          </w:r>
          <w:r w:rsidRPr="00BC500A">
            <w:rPr>
              <w:rFonts w:cs="Arial"/>
              <w:i/>
              <w:iCs/>
              <w:color w:val="000000"/>
            </w:rPr>
            <w:t>Sealing Technology</w:t>
          </w:r>
          <w:r w:rsidRPr="00BC500A">
            <w:rPr>
              <w:rFonts w:cs="Arial"/>
              <w:color w:val="000000"/>
            </w:rPr>
            <w:t xml:space="preserve">, </w:t>
          </w:r>
          <w:r w:rsidRPr="00BC500A">
            <w:rPr>
              <w:rFonts w:cs="Arial"/>
              <w:i/>
              <w:iCs/>
              <w:color w:val="000000"/>
            </w:rPr>
            <w:t>2000</w:t>
          </w:r>
          <w:r w:rsidRPr="00BC500A">
            <w:rPr>
              <w:rFonts w:cs="Arial"/>
              <w:color w:val="000000"/>
            </w:rPr>
            <w:t>(83), 9–11. https://doi.org/10.1016/S1350-4789(00)80052-5</w:t>
          </w:r>
        </w:p>
        <w:p w14:paraId="17AE7C2D" w14:textId="77777777" w:rsidR="00BC500A" w:rsidRPr="00BC500A" w:rsidRDefault="00BC500A">
          <w:pPr>
            <w:autoSpaceDE w:val="0"/>
            <w:autoSpaceDN w:val="0"/>
            <w:ind w:hanging="480"/>
            <w:divId w:val="45297473"/>
            <w:rPr>
              <w:rFonts w:cs="Arial"/>
              <w:color w:val="000000"/>
            </w:rPr>
          </w:pPr>
          <w:r w:rsidRPr="00BC500A">
            <w:rPr>
              <w:rFonts w:cs="Arial"/>
              <w:color w:val="000000"/>
            </w:rPr>
            <w:t xml:space="preserve">U.S. EPA. (1997). </w:t>
          </w:r>
          <w:r w:rsidRPr="00BC500A">
            <w:rPr>
              <w:rFonts w:cs="Arial"/>
              <w:i/>
              <w:iCs/>
              <w:color w:val="000000"/>
            </w:rPr>
            <w:t>Protocol for Equipment Leak Emission Estimates</w:t>
          </w:r>
          <w:r w:rsidRPr="00BC500A">
            <w:rPr>
              <w:rFonts w:cs="Arial"/>
              <w:color w:val="000000"/>
            </w:rPr>
            <w:t>.</w:t>
          </w:r>
        </w:p>
        <w:p w14:paraId="1BDE8864" w14:textId="4BF9A197" w:rsidR="00BC500A" w:rsidRPr="00BC500A" w:rsidRDefault="00BC500A">
          <w:pPr>
            <w:autoSpaceDE w:val="0"/>
            <w:autoSpaceDN w:val="0"/>
            <w:ind w:hanging="480"/>
            <w:divId w:val="1592423652"/>
            <w:rPr>
              <w:rFonts w:cs="Arial"/>
              <w:color w:val="000000"/>
            </w:rPr>
          </w:pPr>
          <w:r w:rsidRPr="00BC500A">
            <w:rPr>
              <w:rFonts w:cs="Arial"/>
              <w:color w:val="000000"/>
            </w:rPr>
            <w:t xml:space="preserve">U.S. EPA. (2006). </w:t>
          </w:r>
          <w:r w:rsidRPr="00BC500A">
            <w:rPr>
              <w:rFonts w:cs="Arial"/>
              <w:i/>
              <w:iCs/>
              <w:color w:val="000000"/>
            </w:rPr>
            <w:t xml:space="preserve">Alternative Work Practice to Detect Leaks </w:t>
          </w:r>
          <w:r w:rsidR="001D383B" w:rsidRPr="00BC500A">
            <w:rPr>
              <w:rFonts w:cs="Arial"/>
              <w:i/>
              <w:iCs/>
              <w:color w:val="000000"/>
            </w:rPr>
            <w:t>from</w:t>
          </w:r>
          <w:r w:rsidRPr="00BC500A">
            <w:rPr>
              <w:rFonts w:cs="Arial"/>
              <w:i/>
              <w:iCs/>
              <w:color w:val="000000"/>
            </w:rPr>
            <w:t xml:space="preserve"> Equipment</w:t>
          </w:r>
          <w:r w:rsidRPr="00BC500A">
            <w:rPr>
              <w:rFonts w:cs="Arial"/>
              <w:color w:val="000000"/>
            </w:rPr>
            <w:t>.</w:t>
          </w:r>
        </w:p>
        <w:p w14:paraId="43232717" w14:textId="77777777" w:rsidR="00BC500A" w:rsidRPr="00BC500A" w:rsidRDefault="00BC500A">
          <w:pPr>
            <w:autoSpaceDE w:val="0"/>
            <w:autoSpaceDN w:val="0"/>
            <w:ind w:hanging="480"/>
            <w:divId w:val="1959290026"/>
            <w:rPr>
              <w:rFonts w:cs="Arial"/>
              <w:color w:val="000000"/>
            </w:rPr>
          </w:pPr>
          <w:r w:rsidRPr="00BC500A">
            <w:rPr>
              <w:rFonts w:cs="Arial"/>
              <w:color w:val="000000"/>
            </w:rPr>
            <w:t xml:space="preserve">U.S. EPA. (2017). </w:t>
          </w:r>
          <w:r w:rsidRPr="00BC500A">
            <w:rPr>
              <w:rFonts w:cs="Arial"/>
              <w:i/>
              <w:iCs/>
              <w:color w:val="000000"/>
            </w:rPr>
            <w:t>Method 21: Determination of volatile organic compound leaks</w:t>
          </w:r>
          <w:r w:rsidRPr="00BC500A">
            <w:rPr>
              <w:rFonts w:cs="Arial"/>
              <w:color w:val="000000"/>
            </w:rPr>
            <w:t>. https://www.epa.gov/emc/method-21-volatile-organic-compound-leaks</w:t>
          </w:r>
        </w:p>
        <w:p w14:paraId="369F7120" w14:textId="77777777" w:rsidR="00BC500A" w:rsidRPr="00BC500A" w:rsidRDefault="00BC500A">
          <w:pPr>
            <w:autoSpaceDE w:val="0"/>
            <w:autoSpaceDN w:val="0"/>
            <w:ind w:hanging="480"/>
            <w:divId w:val="69275785"/>
            <w:rPr>
              <w:rFonts w:cs="Arial"/>
              <w:color w:val="000000"/>
            </w:rPr>
          </w:pPr>
          <w:r w:rsidRPr="00BC500A">
            <w:rPr>
              <w:rFonts w:cs="Arial"/>
              <w:color w:val="000000"/>
            </w:rPr>
            <w:t xml:space="preserve">Wilson, A. (2016). New Optical Gas-Imaging Technology for Quantifying Fugitive-Emission Rates. </w:t>
          </w:r>
          <w:r w:rsidRPr="00BC500A">
            <w:rPr>
              <w:rFonts w:cs="Arial"/>
              <w:i/>
              <w:iCs/>
              <w:color w:val="000000"/>
            </w:rPr>
            <w:t>Journal of Petroleum Technology</w:t>
          </w:r>
          <w:r w:rsidRPr="00BC500A">
            <w:rPr>
              <w:rFonts w:cs="Arial"/>
              <w:color w:val="000000"/>
            </w:rPr>
            <w:t xml:space="preserve">, </w:t>
          </w:r>
          <w:r w:rsidRPr="00BC500A">
            <w:rPr>
              <w:rFonts w:cs="Arial"/>
              <w:i/>
              <w:iCs/>
              <w:color w:val="000000"/>
            </w:rPr>
            <w:t>68</w:t>
          </w:r>
          <w:r w:rsidRPr="00BC500A">
            <w:rPr>
              <w:rFonts w:cs="Arial"/>
              <w:color w:val="000000"/>
            </w:rPr>
            <w:t>(08), 78–79. https://doi.org/10.2118/0816-0078-JPT</w:t>
          </w:r>
        </w:p>
        <w:p w14:paraId="1DC3B550" w14:textId="77777777" w:rsidR="00BC500A" w:rsidRPr="00BC500A" w:rsidRDefault="00BC500A">
          <w:pPr>
            <w:autoSpaceDE w:val="0"/>
            <w:autoSpaceDN w:val="0"/>
            <w:ind w:hanging="480"/>
            <w:divId w:val="1478690827"/>
            <w:rPr>
              <w:rFonts w:cs="Arial"/>
              <w:color w:val="000000"/>
            </w:rPr>
          </w:pPr>
          <w:r w:rsidRPr="00BC500A">
            <w:rPr>
              <w:rFonts w:cs="Arial"/>
              <w:color w:val="000000"/>
            </w:rPr>
            <w:t xml:space="preserve">Yang, J.-C., Chang, P.-E., Chie, W.-C., Liu, J.-P., &amp; Wu, C.-F. (2016). Large-scale search method for locating and identifying fugitive emission sources in petrochemical processing areas. </w:t>
          </w:r>
          <w:r w:rsidRPr="00BC500A">
            <w:rPr>
              <w:rFonts w:cs="Arial"/>
              <w:i/>
              <w:iCs/>
              <w:color w:val="000000"/>
            </w:rPr>
            <w:t>Process Safety and Environmental Protection</w:t>
          </w:r>
          <w:r w:rsidRPr="00BC500A">
            <w:rPr>
              <w:rFonts w:cs="Arial"/>
              <w:color w:val="000000"/>
            </w:rPr>
            <w:t xml:space="preserve">, </w:t>
          </w:r>
          <w:r w:rsidRPr="00BC500A">
            <w:rPr>
              <w:rFonts w:cs="Arial"/>
              <w:i/>
              <w:iCs/>
              <w:color w:val="000000"/>
            </w:rPr>
            <w:t>104</w:t>
          </w:r>
          <w:r w:rsidRPr="00BC500A">
            <w:rPr>
              <w:rFonts w:cs="Arial"/>
              <w:color w:val="000000"/>
            </w:rPr>
            <w:t>, 382–394. https://doi.org/10.1016/j.psep.2016.09.015</w:t>
          </w:r>
        </w:p>
        <w:p w14:paraId="780F8BFC" w14:textId="4AE9E11B" w:rsidR="00BC500A" w:rsidRPr="00BC500A" w:rsidRDefault="00BC500A">
          <w:pPr>
            <w:autoSpaceDE w:val="0"/>
            <w:autoSpaceDN w:val="0"/>
            <w:ind w:hanging="480"/>
            <w:divId w:val="170533402"/>
            <w:rPr>
              <w:rFonts w:cs="Arial"/>
              <w:color w:val="000000"/>
            </w:rPr>
          </w:pPr>
          <w:r w:rsidRPr="00BC500A">
            <w:rPr>
              <w:rFonts w:cs="Arial"/>
              <w:color w:val="000000"/>
            </w:rPr>
            <w:t>Zalin M., S</w:t>
          </w:r>
          <w:r w:rsidR="00F05546">
            <w:rPr>
              <w:rFonts w:cs="Arial"/>
              <w:color w:val="000000"/>
            </w:rPr>
            <w:t>ironi</w:t>
          </w:r>
          <w:r w:rsidRPr="00BC500A">
            <w:rPr>
              <w:rFonts w:cs="Arial"/>
              <w:color w:val="000000"/>
            </w:rPr>
            <w:t xml:space="preserve"> S. (2024). New Guidelines in Italy for the Regulation of Odour Emissions. </w:t>
          </w:r>
          <w:r w:rsidRPr="00BC500A">
            <w:rPr>
              <w:rFonts w:cs="Arial"/>
              <w:i/>
              <w:iCs/>
              <w:color w:val="000000"/>
            </w:rPr>
            <w:t>Chemical Engineering Transactions</w:t>
          </w:r>
          <w:r w:rsidRPr="00BC500A">
            <w:rPr>
              <w:rFonts w:cs="Arial"/>
              <w:color w:val="000000"/>
            </w:rPr>
            <w:t xml:space="preserve">, </w:t>
          </w:r>
          <w:r w:rsidRPr="00BC500A">
            <w:rPr>
              <w:rFonts w:cs="Arial"/>
              <w:i/>
              <w:iCs/>
              <w:color w:val="000000"/>
            </w:rPr>
            <w:t>112</w:t>
          </w:r>
          <w:r w:rsidRPr="00BC500A">
            <w:rPr>
              <w:rFonts w:cs="Arial"/>
              <w:color w:val="000000"/>
            </w:rPr>
            <w:t>, 13–18. https://doi.org/10.3303/CET24112003</w:t>
          </w:r>
        </w:p>
        <w:p w14:paraId="2058439A" w14:textId="46F6E9BE" w:rsidR="002637D4" w:rsidRPr="00B57B36" w:rsidRDefault="00400BE8" w:rsidP="00E0137A">
          <w:pPr>
            <w:pStyle w:val="CETReference"/>
          </w:pPr>
        </w:p>
      </w:sdtContent>
    </w:sdt>
    <w:sectPr w:rsidR="002637D4" w:rsidRPr="00B57B36" w:rsidSect="00EF06D9">
      <w:type w:val="continuous"/>
      <w:pgSz w:w="11906" w:h="16838" w:code="9"/>
      <w:pgMar w:top="1701" w:right="1418" w:bottom="1701" w:left="1701" w:header="1701"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9638B" w14:textId="77777777" w:rsidR="00400BE8" w:rsidRDefault="00400BE8" w:rsidP="004F5E36">
      <w:r>
        <w:separator/>
      </w:r>
    </w:p>
  </w:endnote>
  <w:endnote w:type="continuationSeparator" w:id="0">
    <w:p w14:paraId="036285CA" w14:textId="77777777" w:rsidR="00400BE8" w:rsidRDefault="00400BE8" w:rsidP="004F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dvP6960">
    <w:altName w:val="Cambria"/>
    <w:panose1 w:val="00000000000000000000"/>
    <w:charset w:val="4D"/>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7F973" w14:textId="77777777" w:rsidR="00400BE8" w:rsidRDefault="00400BE8" w:rsidP="004F5E36">
      <w:r>
        <w:separator/>
      </w:r>
    </w:p>
  </w:footnote>
  <w:footnote w:type="continuationSeparator" w:id="0">
    <w:p w14:paraId="70316F5A" w14:textId="77777777" w:rsidR="00400BE8" w:rsidRDefault="00400BE8" w:rsidP="004F5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58AF15E"/>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65EC884E"/>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408CBE96"/>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CFC0B38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CA34EB48"/>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5C6BD6"/>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7A9968"/>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D27934"/>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F4206A"/>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206ACE1A"/>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1710D2F"/>
    <w:multiLevelType w:val="hybridMultilevel"/>
    <w:tmpl w:val="1CE8643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029D69F5"/>
    <w:multiLevelType w:val="hybridMultilevel"/>
    <w:tmpl w:val="A15AA0DC"/>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02D3E44"/>
    <w:multiLevelType w:val="hybridMultilevel"/>
    <w:tmpl w:val="4CFCD31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438217E"/>
    <w:multiLevelType w:val="multilevel"/>
    <w:tmpl w:val="F17228D6"/>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pStyle w:val="Tabellasemplice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4" w15:restartNumberingAfterBreak="0">
    <w:nsid w:val="254C171A"/>
    <w:multiLevelType w:val="hybridMultilevel"/>
    <w:tmpl w:val="E81880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30B7370"/>
    <w:multiLevelType w:val="hybridMultilevel"/>
    <w:tmpl w:val="12E2A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351E0394"/>
    <w:multiLevelType w:val="hybridMultilevel"/>
    <w:tmpl w:val="806658E2"/>
    <w:lvl w:ilvl="0" w:tplc="14B0F7A8">
      <w:start w:val="1"/>
      <w:numFmt w:val="bullet"/>
      <w:pStyle w:val="CETnumberingbullets"/>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C329B9"/>
    <w:multiLevelType w:val="hybridMultilevel"/>
    <w:tmpl w:val="A2E6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B100E8"/>
    <w:multiLevelType w:val="hybridMultilevel"/>
    <w:tmpl w:val="6F34C07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50A87BA7"/>
    <w:multiLevelType w:val="hybridMultilevel"/>
    <w:tmpl w:val="1F6A8AD4"/>
    <w:lvl w:ilvl="0" w:tplc="14B0F7A8">
      <w:start w:val="1"/>
      <w:numFmt w:val="bullet"/>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2217387"/>
    <w:multiLevelType w:val="hybridMultilevel"/>
    <w:tmpl w:val="C2AE185A"/>
    <w:lvl w:ilvl="0" w:tplc="14090011">
      <w:start w:val="1"/>
      <w:numFmt w:val="decimal"/>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6205803"/>
    <w:multiLevelType w:val="multilevel"/>
    <w:tmpl w:val="444C89D0"/>
    <w:lvl w:ilvl="0">
      <w:start w:val="1"/>
      <w:numFmt w:val="decimal"/>
      <w:suff w:val="space"/>
      <w:lvlText w:val="Chapter %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22" w15:restartNumberingAfterBreak="0">
    <w:nsid w:val="5AD311D0"/>
    <w:multiLevelType w:val="hybridMultilevel"/>
    <w:tmpl w:val="F198FF08"/>
    <w:lvl w:ilvl="0" w:tplc="62EA088C">
      <w:start w:val="1"/>
      <w:numFmt w:val="decimal"/>
      <w:pStyle w:val="CETnumbering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62015B5"/>
    <w:multiLevelType w:val="hybridMultilevel"/>
    <w:tmpl w:val="CCDE09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6865266D"/>
    <w:multiLevelType w:val="hybridMultilevel"/>
    <w:tmpl w:val="F5BE3C4A"/>
    <w:lvl w:ilvl="0" w:tplc="9FC4D28C">
      <w:start w:val="1"/>
      <w:numFmt w:val="lowerLetter"/>
      <w:pStyle w:val="CETnumberinga"/>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35E3C8C"/>
    <w:multiLevelType w:val="hybridMultilevel"/>
    <w:tmpl w:val="C77A42C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3846E64"/>
    <w:multiLevelType w:val="hybridMultilevel"/>
    <w:tmpl w:val="6388F2A6"/>
    <w:lvl w:ilvl="0" w:tplc="4C08290E">
      <w:start w:val="1"/>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8BB7156"/>
    <w:multiLevelType w:val="hybridMultilevel"/>
    <w:tmpl w:val="680E56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21"/>
  </w:num>
  <w:num w:numId="13">
    <w:abstractNumId w:val="16"/>
  </w:num>
  <w:num w:numId="14">
    <w:abstractNumId w:val="22"/>
  </w:num>
  <w:num w:numId="15">
    <w:abstractNumId w:val="24"/>
  </w:num>
  <w:num w:numId="16">
    <w:abstractNumId w:val="23"/>
  </w:num>
  <w:num w:numId="17">
    <w:abstractNumId w:val="15"/>
  </w:num>
  <w:num w:numId="18">
    <w:abstractNumId w:val="16"/>
    <w:lvlOverride w:ilvl="0">
      <w:startOverride w:val="1"/>
    </w:lvlOverride>
  </w:num>
  <w:num w:numId="19">
    <w:abstractNumId w:val="20"/>
  </w:num>
  <w:num w:numId="20">
    <w:abstractNumId w:val="19"/>
  </w:num>
  <w:num w:numId="21">
    <w:abstractNumId w:val="18"/>
  </w:num>
  <w:num w:numId="22">
    <w:abstractNumId w:val="17"/>
  </w:num>
  <w:num w:numId="23">
    <w:abstractNumId w:val="25"/>
  </w:num>
  <w:num w:numId="24">
    <w:abstractNumId w:val="26"/>
  </w:num>
  <w:num w:numId="25">
    <w:abstractNumId w:val="12"/>
  </w:num>
  <w:num w:numId="26">
    <w:abstractNumId w:val="11"/>
  </w:num>
  <w:num w:numId="27">
    <w:abstractNumId w:val="10"/>
  </w:num>
  <w:num w:numId="28">
    <w:abstractNumId w:val="27"/>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autoFormatOverride/>
  <w:styleLockTheme/>
  <w:styleLockQFSet/>
  <w:defaultTabStop w:val="708"/>
  <w:hyphenationZone w:val="283"/>
  <w:clickAndTypeStyle w:val="CETBodytext"/>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0NzezsDA3M7MwMTJW0lEKTi0uzszPAymwrAUAugS3IywAAAA="/>
  </w:docVars>
  <w:rsids>
    <w:rsidRoot w:val="000E414A"/>
    <w:rsid w:val="000027C0"/>
    <w:rsid w:val="000052FB"/>
    <w:rsid w:val="00006BEA"/>
    <w:rsid w:val="000117CB"/>
    <w:rsid w:val="00022957"/>
    <w:rsid w:val="0003148D"/>
    <w:rsid w:val="00031EEC"/>
    <w:rsid w:val="00051566"/>
    <w:rsid w:val="00062A9A"/>
    <w:rsid w:val="0006365B"/>
    <w:rsid w:val="00065058"/>
    <w:rsid w:val="00086C39"/>
    <w:rsid w:val="000A03B2"/>
    <w:rsid w:val="000C6783"/>
    <w:rsid w:val="000D0268"/>
    <w:rsid w:val="000D34BE"/>
    <w:rsid w:val="000E102F"/>
    <w:rsid w:val="000E36F1"/>
    <w:rsid w:val="000E3A73"/>
    <w:rsid w:val="000E414A"/>
    <w:rsid w:val="000F093C"/>
    <w:rsid w:val="000F787B"/>
    <w:rsid w:val="00100515"/>
    <w:rsid w:val="001147D0"/>
    <w:rsid w:val="0012091F"/>
    <w:rsid w:val="00126BC2"/>
    <w:rsid w:val="001302A9"/>
    <w:rsid w:val="001308B6"/>
    <w:rsid w:val="0013121F"/>
    <w:rsid w:val="00131FE6"/>
    <w:rsid w:val="0013263F"/>
    <w:rsid w:val="001331DF"/>
    <w:rsid w:val="00134DE4"/>
    <w:rsid w:val="0014034D"/>
    <w:rsid w:val="00144D16"/>
    <w:rsid w:val="00150E59"/>
    <w:rsid w:val="00152DE3"/>
    <w:rsid w:val="001554C7"/>
    <w:rsid w:val="00164CF9"/>
    <w:rsid w:val="001667A6"/>
    <w:rsid w:val="00167E4A"/>
    <w:rsid w:val="00184AD6"/>
    <w:rsid w:val="001872B4"/>
    <w:rsid w:val="001A4AF7"/>
    <w:rsid w:val="001A5053"/>
    <w:rsid w:val="001B0349"/>
    <w:rsid w:val="001B1E93"/>
    <w:rsid w:val="001B22FF"/>
    <w:rsid w:val="001B65C1"/>
    <w:rsid w:val="001C684B"/>
    <w:rsid w:val="001D0CFB"/>
    <w:rsid w:val="001D21AF"/>
    <w:rsid w:val="001D21D8"/>
    <w:rsid w:val="001D383B"/>
    <w:rsid w:val="001D53FC"/>
    <w:rsid w:val="001F42A5"/>
    <w:rsid w:val="001F7B9D"/>
    <w:rsid w:val="001F7C7E"/>
    <w:rsid w:val="00201C93"/>
    <w:rsid w:val="002224B4"/>
    <w:rsid w:val="00226358"/>
    <w:rsid w:val="002447EF"/>
    <w:rsid w:val="00250370"/>
    <w:rsid w:val="00251550"/>
    <w:rsid w:val="002637D4"/>
    <w:rsid w:val="00263B05"/>
    <w:rsid w:val="00264416"/>
    <w:rsid w:val="0027221A"/>
    <w:rsid w:val="00275B61"/>
    <w:rsid w:val="00280FAF"/>
    <w:rsid w:val="00282656"/>
    <w:rsid w:val="00296B83"/>
    <w:rsid w:val="002A510F"/>
    <w:rsid w:val="002B4015"/>
    <w:rsid w:val="002B78CE"/>
    <w:rsid w:val="002C2FB6"/>
    <w:rsid w:val="002E22D8"/>
    <w:rsid w:val="002E5FA7"/>
    <w:rsid w:val="002F30FF"/>
    <w:rsid w:val="002F3309"/>
    <w:rsid w:val="003008CE"/>
    <w:rsid w:val="003009B7"/>
    <w:rsid w:val="00300E56"/>
    <w:rsid w:val="0030469C"/>
    <w:rsid w:val="00312B34"/>
    <w:rsid w:val="00321CA6"/>
    <w:rsid w:val="00322BD4"/>
    <w:rsid w:val="00323763"/>
    <w:rsid w:val="00323C5F"/>
    <w:rsid w:val="00334C09"/>
    <w:rsid w:val="00346604"/>
    <w:rsid w:val="00347A6D"/>
    <w:rsid w:val="0037070A"/>
    <w:rsid w:val="003718CF"/>
    <w:rsid w:val="003723D4"/>
    <w:rsid w:val="00381905"/>
    <w:rsid w:val="00384CC8"/>
    <w:rsid w:val="00385DF8"/>
    <w:rsid w:val="003871FD"/>
    <w:rsid w:val="003A1E30"/>
    <w:rsid w:val="003A2829"/>
    <w:rsid w:val="003A5228"/>
    <w:rsid w:val="003A7D1C"/>
    <w:rsid w:val="003B304B"/>
    <w:rsid w:val="003B3146"/>
    <w:rsid w:val="003D107D"/>
    <w:rsid w:val="003D41B8"/>
    <w:rsid w:val="003F015E"/>
    <w:rsid w:val="004000C8"/>
    <w:rsid w:val="00400414"/>
    <w:rsid w:val="00400BE8"/>
    <w:rsid w:val="00402AEF"/>
    <w:rsid w:val="0041446B"/>
    <w:rsid w:val="00424CCF"/>
    <w:rsid w:val="00431B17"/>
    <w:rsid w:val="00433C3A"/>
    <w:rsid w:val="0044071E"/>
    <w:rsid w:val="0044329C"/>
    <w:rsid w:val="00445AF1"/>
    <w:rsid w:val="00453E24"/>
    <w:rsid w:val="00457456"/>
    <w:rsid w:val="004577FE"/>
    <w:rsid w:val="00457B9C"/>
    <w:rsid w:val="0046164A"/>
    <w:rsid w:val="004628D2"/>
    <w:rsid w:val="00462DCD"/>
    <w:rsid w:val="004648AD"/>
    <w:rsid w:val="004703A9"/>
    <w:rsid w:val="004760DE"/>
    <w:rsid w:val="004763D7"/>
    <w:rsid w:val="004A004E"/>
    <w:rsid w:val="004A24CF"/>
    <w:rsid w:val="004C3D1D"/>
    <w:rsid w:val="004C3D84"/>
    <w:rsid w:val="004C7913"/>
    <w:rsid w:val="004E4DD6"/>
    <w:rsid w:val="004F5E36"/>
    <w:rsid w:val="00507B47"/>
    <w:rsid w:val="00507BEF"/>
    <w:rsid w:val="00507CC9"/>
    <w:rsid w:val="005119A5"/>
    <w:rsid w:val="005278B7"/>
    <w:rsid w:val="00532016"/>
    <w:rsid w:val="005346C8"/>
    <w:rsid w:val="00543E7D"/>
    <w:rsid w:val="00547478"/>
    <w:rsid w:val="00547A68"/>
    <w:rsid w:val="005531C9"/>
    <w:rsid w:val="00570C43"/>
    <w:rsid w:val="0058790E"/>
    <w:rsid w:val="0059251F"/>
    <w:rsid w:val="005B2110"/>
    <w:rsid w:val="005B61E6"/>
    <w:rsid w:val="005C77E1"/>
    <w:rsid w:val="005D668A"/>
    <w:rsid w:val="005D6A2F"/>
    <w:rsid w:val="005E1A82"/>
    <w:rsid w:val="005E794C"/>
    <w:rsid w:val="005F0A28"/>
    <w:rsid w:val="005F0E5E"/>
    <w:rsid w:val="005F3274"/>
    <w:rsid w:val="00600535"/>
    <w:rsid w:val="00610CD6"/>
    <w:rsid w:val="00620DEE"/>
    <w:rsid w:val="00621F92"/>
    <w:rsid w:val="0062280A"/>
    <w:rsid w:val="00625639"/>
    <w:rsid w:val="00631B33"/>
    <w:rsid w:val="0064184D"/>
    <w:rsid w:val="006422CC"/>
    <w:rsid w:val="006502D5"/>
    <w:rsid w:val="00660E3E"/>
    <w:rsid w:val="00662E74"/>
    <w:rsid w:val="00680B95"/>
    <w:rsid w:val="00680C23"/>
    <w:rsid w:val="00693766"/>
    <w:rsid w:val="006A3281"/>
    <w:rsid w:val="006B4888"/>
    <w:rsid w:val="006C2E45"/>
    <w:rsid w:val="006C359C"/>
    <w:rsid w:val="006C5579"/>
    <w:rsid w:val="006D6E8B"/>
    <w:rsid w:val="006E737D"/>
    <w:rsid w:val="00707F23"/>
    <w:rsid w:val="00713973"/>
    <w:rsid w:val="00720A24"/>
    <w:rsid w:val="007242CC"/>
    <w:rsid w:val="0072485A"/>
    <w:rsid w:val="00730B66"/>
    <w:rsid w:val="00730CBF"/>
    <w:rsid w:val="00732386"/>
    <w:rsid w:val="0073514D"/>
    <w:rsid w:val="007447F3"/>
    <w:rsid w:val="007530AF"/>
    <w:rsid w:val="0075499F"/>
    <w:rsid w:val="007661C8"/>
    <w:rsid w:val="0077098D"/>
    <w:rsid w:val="00791B34"/>
    <w:rsid w:val="007931FA"/>
    <w:rsid w:val="007A4861"/>
    <w:rsid w:val="007A7BBA"/>
    <w:rsid w:val="007B0C50"/>
    <w:rsid w:val="007B48F9"/>
    <w:rsid w:val="007C1A43"/>
    <w:rsid w:val="007D081F"/>
    <w:rsid w:val="0080013E"/>
    <w:rsid w:val="00810864"/>
    <w:rsid w:val="00813288"/>
    <w:rsid w:val="008168FC"/>
    <w:rsid w:val="00830996"/>
    <w:rsid w:val="00830EDF"/>
    <w:rsid w:val="008345F1"/>
    <w:rsid w:val="0085476A"/>
    <w:rsid w:val="008573B4"/>
    <w:rsid w:val="00865B07"/>
    <w:rsid w:val="008667EA"/>
    <w:rsid w:val="00874EC5"/>
    <w:rsid w:val="0087637F"/>
    <w:rsid w:val="00877E5D"/>
    <w:rsid w:val="00892AD5"/>
    <w:rsid w:val="008A1512"/>
    <w:rsid w:val="008A242C"/>
    <w:rsid w:val="008B4B8C"/>
    <w:rsid w:val="008C7E1A"/>
    <w:rsid w:val="008D32B9"/>
    <w:rsid w:val="008D433B"/>
    <w:rsid w:val="008D4A16"/>
    <w:rsid w:val="008D68EA"/>
    <w:rsid w:val="008E204C"/>
    <w:rsid w:val="008E566E"/>
    <w:rsid w:val="0090161A"/>
    <w:rsid w:val="00901EB6"/>
    <w:rsid w:val="00904C62"/>
    <w:rsid w:val="00922BA8"/>
    <w:rsid w:val="00924DAC"/>
    <w:rsid w:val="00927058"/>
    <w:rsid w:val="00927CC2"/>
    <w:rsid w:val="00942750"/>
    <w:rsid w:val="00942E63"/>
    <w:rsid w:val="00945089"/>
    <w:rsid w:val="009450CE"/>
    <w:rsid w:val="00947179"/>
    <w:rsid w:val="0095164B"/>
    <w:rsid w:val="00954090"/>
    <w:rsid w:val="009573E7"/>
    <w:rsid w:val="00963E05"/>
    <w:rsid w:val="00964A45"/>
    <w:rsid w:val="00967843"/>
    <w:rsid w:val="00967D54"/>
    <w:rsid w:val="00971028"/>
    <w:rsid w:val="0098109E"/>
    <w:rsid w:val="00993B84"/>
    <w:rsid w:val="00996483"/>
    <w:rsid w:val="00996F5A"/>
    <w:rsid w:val="009B041A"/>
    <w:rsid w:val="009C37C3"/>
    <w:rsid w:val="009C7C86"/>
    <w:rsid w:val="009D2FF7"/>
    <w:rsid w:val="009D4789"/>
    <w:rsid w:val="009D7192"/>
    <w:rsid w:val="009E53CC"/>
    <w:rsid w:val="009E7884"/>
    <w:rsid w:val="009E788A"/>
    <w:rsid w:val="009F0E08"/>
    <w:rsid w:val="009F0F97"/>
    <w:rsid w:val="00A1763D"/>
    <w:rsid w:val="00A17CEC"/>
    <w:rsid w:val="00A25926"/>
    <w:rsid w:val="00A27EF0"/>
    <w:rsid w:val="00A42361"/>
    <w:rsid w:val="00A50B20"/>
    <w:rsid w:val="00A51390"/>
    <w:rsid w:val="00A60D13"/>
    <w:rsid w:val="00A7223D"/>
    <w:rsid w:val="00A72745"/>
    <w:rsid w:val="00A76EFC"/>
    <w:rsid w:val="00A86308"/>
    <w:rsid w:val="00A91010"/>
    <w:rsid w:val="00A97F29"/>
    <w:rsid w:val="00AA1900"/>
    <w:rsid w:val="00AA702E"/>
    <w:rsid w:val="00AB0964"/>
    <w:rsid w:val="00AB5011"/>
    <w:rsid w:val="00AB52B0"/>
    <w:rsid w:val="00AC6479"/>
    <w:rsid w:val="00AC7368"/>
    <w:rsid w:val="00AD16B9"/>
    <w:rsid w:val="00AE377D"/>
    <w:rsid w:val="00AF0EBA"/>
    <w:rsid w:val="00AF2F46"/>
    <w:rsid w:val="00B02C8A"/>
    <w:rsid w:val="00B113C8"/>
    <w:rsid w:val="00B17FBD"/>
    <w:rsid w:val="00B30DE2"/>
    <w:rsid w:val="00B315A6"/>
    <w:rsid w:val="00B31813"/>
    <w:rsid w:val="00B33365"/>
    <w:rsid w:val="00B456BF"/>
    <w:rsid w:val="00B57B36"/>
    <w:rsid w:val="00B57E6F"/>
    <w:rsid w:val="00B8686D"/>
    <w:rsid w:val="00B93F69"/>
    <w:rsid w:val="00B9553D"/>
    <w:rsid w:val="00BA1246"/>
    <w:rsid w:val="00BB0C7C"/>
    <w:rsid w:val="00BB1DDC"/>
    <w:rsid w:val="00BC30C9"/>
    <w:rsid w:val="00BC500A"/>
    <w:rsid w:val="00BD077D"/>
    <w:rsid w:val="00BD0B84"/>
    <w:rsid w:val="00BD6728"/>
    <w:rsid w:val="00BE3E58"/>
    <w:rsid w:val="00C01616"/>
    <w:rsid w:val="00C0162B"/>
    <w:rsid w:val="00C068ED"/>
    <w:rsid w:val="00C07D11"/>
    <w:rsid w:val="00C22E0C"/>
    <w:rsid w:val="00C345B1"/>
    <w:rsid w:val="00C40142"/>
    <w:rsid w:val="00C52C3C"/>
    <w:rsid w:val="00C57182"/>
    <w:rsid w:val="00C57863"/>
    <w:rsid w:val="00C640AF"/>
    <w:rsid w:val="00C655FD"/>
    <w:rsid w:val="00C74CF5"/>
    <w:rsid w:val="00C75407"/>
    <w:rsid w:val="00C84F03"/>
    <w:rsid w:val="00C863AF"/>
    <w:rsid w:val="00C870A8"/>
    <w:rsid w:val="00C94434"/>
    <w:rsid w:val="00C96F8E"/>
    <w:rsid w:val="00CA0D75"/>
    <w:rsid w:val="00CA1C95"/>
    <w:rsid w:val="00CA243C"/>
    <w:rsid w:val="00CA5A9C"/>
    <w:rsid w:val="00CB051B"/>
    <w:rsid w:val="00CC4C20"/>
    <w:rsid w:val="00CD3517"/>
    <w:rsid w:val="00CD5FE2"/>
    <w:rsid w:val="00CE7C68"/>
    <w:rsid w:val="00CF7C7F"/>
    <w:rsid w:val="00D02B4C"/>
    <w:rsid w:val="00D040C4"/>
    <w:rsid w:val="00D0422C"/>
    <w:rsid w:val="00D20AD1"/>
    <w:rsid w:val="00D340DE"/>
    <w:rsid w:val="00D46B7E"/>
    <w:rsid w:val="00D554DA"/>
    <w:rsid w:val="00D57C84"/>
    <w:rsid w:val="00D6057D"/>
    <w:rsid w:val="00D62C60"/>
    <w:rsid w:val="00D71640"/>
    <w:rsid w:val="00D836C5"/>
    <w:rsid w:val="00D84576"/>
    <w:rsid w:val="00DA1399"/>
    <w:rsid w:val="00DA24C6"/>
    <w:rsid w:val="00DA4D7B"/>
    <w:rsid w:val="00DC29F1"/>
    <w:rsid w:val="00DC2EBC"/>
    <w:rsid w:val="00DD271C"/>
    <w:rsid w:val="00DE264A"/>
    <w:rsid w:val="00DF5072"/>
    <w:rsid w:val="00DF5AEF"/>
    <w:rsid w:val="00E0137A"/>
    <w:rsid w:val="00E02D18"/>
    <w:rsid w:val="00E041E7"/>
    <w:rsid w:val="00E23CA1"/>
    <w:rsid w:val="00E378A4"/>
    <w:rsid w:val="00E409A8"/>
    <w:rsid w:val="00E50C12"/>
    <w:rsid w:val="00E65B91"/>
    <w:rsid w:val="00E7209D"/>
    <w:rsid w:val="00E72EAD"/>
    <w:rsid w:val="00E77223"/>
    <w:rsid w:val="00E8528B"/>
    <w:rsid w:val="00E85B94"/>
    <w:rsid w:val="00E978D0"/>
    <w:rsid w:val="00EA4613"/>
    <w:rsid w:val="00EA7F91"/>
    <w:rsid w:val="00EB14CC"/>
    <w:rsid w:val="00EB1523"/>
    <w:rsid w:val="00EC0E49"/>
    <w:rsid w:val="00EC101F"/>
    <w:rsid w:val="00EC1D9F"/>
    <w:rsid w:val="00ED37D5"/>
    <w:rsid w:val="00EE0131"/>
    <w:rsid w:val="00EE17B0"/>
    <w:rsid w:val="00EF06D9"/>
    <w:rsid w:val="00EF38FE"/>
    <w:rsid w:val="00F0256B"/>
    <w:rsid w:val="00F05546"/>
    <w:rsid w:val="00F30C64"/>
    <w:rsid w:val="00F32BA2"/>
    <w:rsid w:val="00F32CDB"/>
    <w:rsid w:val="00F544E0"/>
    <w:rsid w:val="00F565FE"/>
    <w:rsid w:val="00F63A70"/>
    <w:rsid w:val="00F63D8C"/>
    <w:rsid w:val="00F640F9"/>
    <w:rsid w:val="00F7485F"/>
    <w:rsid w:val="00F7534E"/>
    <w:rsid w:val="00F8012E"/>
    <w:rsid w:val="00FA08E5"/>
    <w:rsid w:val="00FA1802"/>
    <w:rsid w:val="00FA21D0"/>
    <w:rsid w:val="00FA5F5F"/>
    <w:rsid w:val="00FB730C"/>
    <w:rsid w:val="00FC2695"/>
    <w:rsid w:val="00FC3E03"/>
    <w:rsid w:val="00FC3FC1"/>
    <w:rsid w:val="00FE1A44"/>
    <w:rsid w:val="00FF3B61"/>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AE0CC22"/>
  <w14:defaultImageDpi w14:val="330"/>
  <w15:docId w15:val="{0B95FB59-9D38-42B5-B090-D2348EE1E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aliases w:val="CET Top_page"/>
    <w:rsid w:val="00620DEE"/>
    <w:pPr>
      <w:tabs>
        <w:tab w:val="right" w:pos="7100"/>
      </w:tabs>
      <w:spacing w:after="0" w:line="264" w:lineRule="auto"/>
      <w:jc w:val="both"/>
    </w:pPr>
    <w:rPr>
      <w:rFonts w:ascii="Arial" w:eastAsia="Times New Roman" w:hAnsi="Arial" w:cs="Times New Roman"/>
      <w:sz w:val="18"/>
      <w:szCs w:val="20"/>
      <w:lang w:val="en-GB"/>
    </w:rPr>
  </w:style>
  <w:style w:type="paragraph" w:styleId="Titolo1">
    <w:name w:val="heading 1"/>
    <w:basedOn w:val="CETHeading1"/>
    <w:next w:val="Normale"/>
    <w:link w:val="Titolo1Carattere"/>
    <w:uiPriority w:val="9"/>
    <w:rsid w:val="004F5E36"/>
    <w:pPr>
      <w:tabs>
        <w:tab w:val="clear" w:pos="360"/>
        <w:tab w:val="right" w:pos="7100"/>
      </w:tabs>
      <w:jc w:val="both"/>
      <w:outlineLvl w:val="0"/>
    </w:pPr>
    <w:rPr>
      <w:lang w:val="en-GB"/>
    </w:rPr>
  </w:style>
  <w:style w:type="paragraph" w:styleId="Titolo2">
    <w:name w:val="heading 2"/>
    <w:basedOn w:val="Normale"/>
    <w:next w:val="Normale"/>
    <w:link w:val="Titolo2Carattere"/>
    <w:uiPriority w:val="9"/>
    <w:semiHidden/>
    <w:unhideWhenUsed/>
    <w:qFormat/>
    <w:rsid w:val="000314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03148D"/>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03148D"/>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03148D"/>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03148D"/>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03148D"/>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03148D"/>
    <w:pPr>
      <w:keepNext/>
      <w:keepLines/>
      <w:spacing w:before="200"/>
      <w:outlineLvl w:val="7"/>
    </w:pPr>
    <w:rPr>
      <w:rFonts w:asciiTheme="majorHAnsi" w:eastAsiaTheme="majorEastAsia" w:hAnsiTheme="majorHAnsi" w:cstheme="majorBidi"/>
      <w:color w:val="404040" w:themeColor="text1" w:themeTint="BF"/>
    </w:rPr>
  </w:style>
  <w:style w:type="paragraph" w:styleId="Titolo9">
    <w:name w:val="heading 9"/>
    <w:basedOn w:val="Normale"/>
    <w:next w:val="Normale"/>
    <w:link w:val="Titolo9Carattere"/>
    <w:uiPriority w:val="9"/>
    <w:semiHidden/>
    <w:unhideWhenUsed/>
    <w:qFormat/>
    <w:rsid w:val="0003148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ETAuthors">
    <w:name w:val="CET Authors"/>
    <w:basedOn w:val="CETBodytext"/>
    <w:link w:val="CETAuthorsCarattere"/>
    <w:qFormat/>
    <w:rsid w:val="000E414A"/>
    <w:pPr>
      <w:keepNext/>
      <w:suppressAutoHyphens/>
      <w:spacing w:after="120"/>
    </w:pPr>
    <w:rPr>
      <w:noProof/>
      <w:sz w:val="24"/>
      <w:lang w:val="en-GB"/>
    </w:rPr>
  </w:style>
  <w:style w:type="paragraph" w:customStyle="1" w:styleId="CETTitle">
    <w:name w:val="CET Title"/>
    <w:next w:val="CETAuthors"/>
    <w:link w:val="CETTitleCarattere"/>
    <w:rsid w:val="00FB730C"/>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9E788A"/>
    <w:rPr>
      <w:rFonts w:ascii="Arial" w:eastAsia="Times New Roman" w:hAnsi="Arial" w:cs="Times New Roman"/>
      <w:noProof/>
      <w:sz w:val="24"/>
      <w:szCs w:val="20"/>
      <w:lang w:val="en-GB"/>
    </w:rPr>
  </w:style>
  <w:style w:type="character" w:customStyle="1" w:styleId="CETTitleCarattere">
    <w:name w:val="CET Title Carattere"/>
    <w:link w:val="CETTitle"/>
    <w:rsid w:val="00FB730C"/>
    <w:rPr>
      <w:rFonts w:ascii="Arial" w:eastAsia="Times New Roman" w:hAnsi="Arial" w:cs="Times New Roman"/>
      <w:sz w:val="32"/>
      <w:szCs w:val="20"/>
      <w:lang w:val="en-GB"/>
    </w:rPr>
  </w:style>
  <w:style w:type="paragraph" w:customStyle="1" w:styleId="CETHeading1">
    <w:name w:val="CET Heading1"/>
    <w:next w:val="CETBodytext"/>
    <w:qFormat/>
    <w:rsid w:val="009E788A"/>
    <w:pPr>
      <w:keepNext/>
      <w:numPr>
        <w:ilvl w:val="1"/>
        <w:numId w:val="1"/>
      </w:numPr>
      <w:tabs>
        <w:tab w:val="num" w:pos="360"/>
      </w:tabs>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qFormat/>
    <w:rsid w:val="000E414A"/>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autoRedefine/>
    <w:qFormat/>
    <w:rsid w:val="00FA5F5F"/>
    <w:pPr>
      <w:keepNext/>
      <w:numPr>
        <w:ilvl w:val="2"/>
        <w:numId w:val="1"/>
      </w:numPr>
      <w:suppressAutoHyphens/>
      <w:spacing w:before="120" w:after="120" w:line="240" w:lineRule="auto"/>
    </w:pPr>
    <w:rPr>
      <w:rFonts w:ascii="Arial" w:eastAsia="Times New Roman" w:hAnsi="Arial" w:cs="Times New Roman"/>
      <w:b/>
      <w:sz w:val="18"/>
      <w:szCs w:val="20"/>
      <w:lang w:val="en-US"/>
    </w:rPr>
  </w:style>
  <w:style w:type="paragraph" w:customStyle="1" w:styleId="CETAddress">
    <w:name w:val="CET Address"/>
    <w:link w:val="CETAddressCarattere"/>
    <w:qFormat/>
    <w:rsid w:val="009E788A"/>
    <w:pPr>
      <w:keepNext/>
      <w:suppressAutoHyphens/>
      <w:spacing w:after="0"/>
      <w:contextualSpacing/>
    </w:pPr>
    <w:rPr>
      <w:rFonts w:ascii="Arial" w:eastAsia="Times New Roman" w:hAnsi="Arial" w:cs="Times New Roman"/>
      <w:noProof/>
      <w:sz w:val="16"/>
      <w:szCs w:val="20"/>
      <w:lang w:val="en-GB"/>
    </w:rPr>
  </w:style>
  <w:style w:type="table" w:styleId="Tabellasemplice1">
    <w:name w:val="Table Simple 1"/>
    <w:basedOn w:val="Tabellanormale"/>
    <w:semiHidden/>
    <w:rsid w:val="000E414A"/>
    <w:pPr>
      <w:numPr>
        <w:ilvl w:val="3"/>
        <w:numId w:val="1"/>
      </w:numPr>
      <w:spacing w:after="0" w:line="264" w:lineRule="auto"/>
      <w:jc w:val="both"/>
    </w:pPr>
    <w:rPr>
      <w:rFonts w:ascii="Times New Roman" w:eastAsia="Times New Roman" w:hAnsi="Times New Roman" w:cs="Times New Roman"/>
      <w:sz w:val="20"/>
      <w:szCs w:val="20"/>
      <w:lang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0E414A"/>
    <w:rPr>
      <w:rFonts w:ascii="Arial" w:eastAsia="Times New Roman" w:hAnsi="Arial" w:cs="Times New Roman"/>
      <w:sz w:val="18"/>
      <w:szCs w:val="20"/>
      <w:lang w:val="en-US"/>
    </w:rPr>
  </w:style>
  <w:style w:type="paragraph" w:customStyle="1" w:styleId="CETReference">
    <w:name w:val="CET Reference"/>
    <w:qFormat/>
    <w:rsid w:val="00FC2695"/>
    <w:pPr>
      <w:spacing w:before="200" w:after="120" w:line="240" w:lineRule="auto"/>
    </w:pPr>
    <w:rPr>
      <w:rFonts w:ascii="Arial" w:eastAsia="Times New Roman" w:hAnsi="Arial" w:cs="Times New Roman"/>
      <w:b/>
      <w:sz w:val="18"/>
      <w:szCs w:val="20"/>
      <w:lang w:val="en-GB"/>
    </w:rPr>
  </w:style>
  <w:style w:type="paragraph" w:customStyle="1" w:styleId="CETCaption">
    <w:name w:val="CET Caption"/>
    <w:link w:val="CETCaptionCarattere"/>
    <w:qFormat/>
    <w:rsid w:val="00F7534E"/>
    <w:pPr>
      <w:spacing w:before="240" w:after="240" w:line="264" w:lineRule="auto"/>
      <w:jc w:val="both"/>
    </w:pPr>
    <w:rPr>
      <w:rFonts w:ascii="Arial" w:eastAsia="Times New Roman" w:hAnsi="Arial" w:cs="Times New Roman"/>
      <w:i/>
      <w:sz w:val="18"/>
      <w:szCs w:val="20"/>
      <w:lang w:val="en-GB"/>
    </w:rPr>
  </w:style>
  <w:style w:type="character" w:customStyle="1" w:styleId="CETheadingxCarattere">
    <w:name w:val="CET headingx Carattere"/>
    <w:link w:val="CETheadingx"/>
    <w:rsid w:val="00FA5F5F"/>
    <w:rPr>
      <w:rFonts w:ascii="Arial" w:eastAsia="Times New Roman" w:hAnsi="Arial" w:cs="Times New Roman"/>
      <w:b/>
      <w:sz w:val="18"/>
      <w:szCs w:val="20"/>
      <w:lang w:val="en-US"/>
    </w:rPr>
  </w:style>
  <w:style w:type="character" w:customStyle="1" w:styleId="CETCaptionCarattere">
    <w:name w:val="CET Caption Carattere"/>
    <w:link w:val="CETCaption"/>
    <w:rsid w:val="00F7534E"/>
    <w:rPr>
      <w:rFonts w:ascii="Arial" w:eastAsia="Times New Roman" w:hAnsi="Arial" w:cs="Times New Roman"/>
      <w:i/>
      <w:sz w:val="18"/>
      <w:szCs w:val="20"/>
      <w:lang w:val="en-GB"/>
    </w:rPr>
  </w:style>
  <w:style w:type="paragraph" w:customStyle="1" w:styleId="CETBodytextItalic">
    <w:name w:val="CET Body text (Italic)"/>
    <w:basedOn w:val="CETBodytext"/>
    <w:qFormat/>
    <w:rsid w:val="004F5E36"/>
    <w:rPr>
      <w:i/>
      <w:lang w:val="en-GB"/>
    </w:rPr>
  </w:style>
  <w:style w:type="character" w:styleId="Rimandocommento">
    <w:name w:val="annotation reference"/>
    <w:basedOn w:val="Carpredefinitoparagrafo"/>
    <w:uiPriority w:val="99"/>
    <w:semiHidden/>
    <w:unhideWhenUsed/>
    <w:rsid w:val="004577FE"/>
    <w:rPr>
      <w:sz w:val="16"/>
      <w:szCs w:val="16"/>
    </w:rPr>
  </w:style>
  <w:style w:type="paragraph" w:styleId="Testofumetto">
    <w:name w:val="Balloon Text"/>
    <w:basedOn w:val="Normale"/>
    <w:link w:val="TestofumettoCarattere"/>
    <w:uiPriority w:val="99"/>
    <w:semiHidden/>
    <w:unhideWhenUsed/>
    <w:rsid w:val="000D34BE"/>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34BE"/>
    <w:rPr>
      <w:rFonts w:ascii="Tahoma" w:hAnsi="Tahoma" w:cs="Tahoma"/>
      <w:sz w:val="16"/>
      <w:szCs w:val="16"/>
    </w:rPr>
  </w:style>
  <w:style w:type="paragraph" w:styleId="Bibliografia">
    <w:name w:val="Bibliography"/>
    <w:basedOn w:val="CETReferencetext"/>
    <w:uiPriority w:val="37"/>
    <w:unhideWhenUsed/>
    <w:rsid w:val="00631B33"/>
    <w:pPr>
      <w:spacing w:line="240" w:lineRule="auto"/>
      <w:ind w:left="720" w:hanging="720"/>
    </w:pPr>
  </w:style>
  <w:style w:type="paragraph" w:styleId="Corpodeltesto2">
    <w:name w:val="Body Text 2"/>
    <w:basedOn w:val="Normale"/>
    <w:link w:val="Corpodeltesto2Carattere"/>
    <w:uiPriority w:val="99"/>
    <w:semiHidden/>
    <w:unhideWhenUsed/>
    <w:rsid w:val="0003148D"/>
    <w:pPr>
      <w:spacing w:after="120" w:line="480" w:lineRule="auto"/>
    </w:pPr>
  </w:style>
  <w:style w:type="character" w:customStyle="1" w:styleId="Corpodeltesto2Carattere">
    <w:name w:val="Corpo del testo 2 Carattere"/>
    <w:basedOn w:val="Carpredefinitoparagrafo"/>
    <w:link w:val="Corpodeltesto2"/>
    <w:uiPriority w:val="99"/>
    <w:semiHidden/>
    <w:rsid w:val="0003148D"/>
  </w:style>
  <w:style w:type="paragraph" w:styleId="Corpodeltesto3">
    <w:name w:val="Body Text 3"/>
    <w:basedOn w:val="Normale"/>
    <w:link w:val="Corpodeltesto3Carattere"/>
    <w:uiPriority w:val="99"/>
    <w:semiHidden/>
    <w:unhideWhenUsed/>
    <w:rsid w:val="0003148D"/>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03148D"/>
    <w:rPr>
      <w:sz w:val="16"/>
      <w:szCs w:val="16"/>
    </w:rPr>
  </w:style>
  <w:style w:type="paragraph" w:styleId="Corpotesto">
    <w:name w:val="Body Text"/>
    <w:basedOn w:val="Normale"/>
    <w:link w:val="CorpotestoCarattere"/>
    <w:uiPriority w:val="99"/>
    <w:semiHidden/>
    <w:unhideWhenUsed/>
    <w:rsid w:val="0003148D"/>
    <w:pPr>
      <w:spacing w:after="120"/>
    </w:pPr>
  </w:style>
  <w:style w:type="character" w:customStyle="1" w:styleId="CorpotestoCarattere">
    <w:name w:val="Corpo testo Carattere"/>
    <w:basedOn w:val="Carpredefinitoparagrafo"/>
    <w:link w:val="Corpotesto"/>
    <w:uiPriority w:val="99"/>
    <w:semiHidden/>
    <w:rsid w:val="0003148D"/>
  </w:style>
  <w:style w:type="paragraph" w:styleId="Data">
    <w:name w:val="Date"/>
    <w:basedOn w:val="Normale"/>
    <w:next w:val="Normale"/>
    <w:link w:val="DataCarattere"/>
    <w:uiPriority w:val="99"/>
    <w:semiHidden/>
    <w:unhideWhenUsed/>
    <w:rsid w:val="0003148D"/>
  </w:style>
  <w:style w:type="character" w:customStyle="1" w:styleId="DataCarattere">
    <w:name w:val="Data Carattere"/>
    <w:basedOn w:val="Carpredefinitoparagrafo"/>
    <w:link w:val="Data"/>
    <w:uiPriority w:val="99"/>
    <w:semiHidden/>
    <w:rsid w:val="0003148D"/>
  </w:style>
  <w:style w:type="paragraph" w:styleId="Didascalia">
    <w:name w:val="caption"/>
    <w:basedOn w:val="Normale"/>
    <w:next w:val="Normale"/>
    <w:uiPriority w:val="35"/>
    <w:unhideWhenUsed/>
    <w:qFormat/>
    <w:rsid w:val="0003148D"/>
    <w:pPr>
      <w:spacing w:line="240" w:lineRule="auto"/>
    </w:pPr>
    <w:rPr>
      <w:b/>
      <w:bCs/>
      <w:color w:val="4F81BD" w:themeColor="accent1"/>
      <w:szCs w:val="18"/>
    </w:rPr>
  </w:style>
  <w:style w:type="paragraph" w:styleId="Elenco">
    <w:name w:val="List"/>
    <w:basedOn w:val="Normale"/>
    <w:uiPriority w:val="99"/>
    <w:semiHidden/>
    <w:unhideWhenUsed/>
    <w:rsid w:val="0003148D"/>
    <w:pPr>
      <w:ind w:left="283" w:hanging="283"/>
      <w:contextualSpacing/>
    </w:pPr>
  </w:style>
  <w:style w:type="paragraph" w:styleId="Elenco2">
    <w:name w:val="List 2"/>
    <w:basedOn w:val="Normale"/>
    <w:uiPriority w:val="99"/>
    <w:semiHidden/>
    <w:unhideWhenUsed/>
    <w:rsid w:val="0003148D"/>
    <w:pPr>
      <w:ind w:left="566" w:hanging="283"/>
      <w:contextualSpacing/>
    </w:pPr>
  </w:style>
  <w:style w:type="paragraph" w:styleId="Elenco3">
    <w:name w:val="List 3"/>
    <w:basedOn w:val="Normale"/>
    <w:uiPriority w:val="99"/>
    <w:semiHidden/>
    <w:unhideWhenUsed/>
    <w:rsid w:val="0003148D"/>
    <w:pPr>
      <w:ind w:left="849" w:hanging="283"/>
      <w:contextualSpacing/>
    </w:pPr>
  </w:style>
  <w:style w:type="paragraph" w:styleId="Elenco4">
    <w:name w:val="List 4"/>
    <w:basedOn w:val="Normale"/>
    <w:uiPriority w:val="99"/>
    <w:semiHidden/>
    <w:unhideWhenUsed/>
    <w:rsid w:val="0003148D"/>
    <w:pPr>
      <w:ind w:left="1132" w:hanging="283"/>
      <w:contextualSpacing/>
    </w:pPr>
  </w:style>
  <w:style w:type="paragraph" w:styleId="Elenco5">
    <w:name w:val="List 5"/>
    <w:basedOn w:val="Normale"/>
    <w:uiPriority w:val="99"/>
    <w:semiHidden/>
    <w:unhideWhenUsed/>
    <w:rsid w:val="0003148D"/>
    <w:pPr>
      <w:ind w:left="1415" w:hanging="283"/>
      <w:contextualSpacing/>
    </w:pPr>
  </w:style>
  <w:style w:type="paragraph" w:styleId="Elencocontinua">
    <w:name w:val="List Continue"/>
    <w:basedOn w:val="Normale"/>
    <w:uiPriority w:val="99"/>
    <w:semiHidden/>
    <w:unhideWhenUsed/>
    <w:rsid w:val="0003148D"/>
    <w:pPr>
      <w:spacing w:after="120"/>
      <w:ind w:left="283"/>
      <w:contextualSpacing/>
    </w:pPr>
  </w:style>
  <w:style w:type="paragraph" w:styleId="Elencocontinua2">
    <w:name w:val="List Continue 2"/>
    <w:basedOn w:val="Normale"/>
    <w:uiPriority w:val="99"/>
    <w:semiHidden/>
    <w:unhideWhenUsed/>
    <w:rsid w:val="0003148D"/>
    <w:pPr>
      <w:spacing w:after="120"/>
      <w:ind w:left="566"/>
      <w:contextualSpacing/>
    </w:pPr>
  </w:style>
  <w:style w:type="paragraph" w:styleId="Elencocontinua3">
    <w:name w:val="List Continue 3"/>
    <w:basedOn w:val="Normale"/>
    <w:uiPriority w:val="99"/>
    <w:semiHidden/>
    <w:unhideWhenUsed/>
    <w:rsid w:val="0003148D"/>
    <w:pPr>
      <w:spacing w:after="120"/>
      <w:ind w:left="849"/>
      <w:contextualSpacing/>
    </w:pPr>
  </w:style>
  <w:style w:type="paragraph" w:styleId="Elencocontinua4">
    <w:name w:val="List Continue 4"/>
    <w:basedOn w:val="Normale"/>
    <w:uiPriority w:val="99"/>
    <w:semiHidden/>
    <w:unhideWhenUsed/>
    <w:rsid w:val="0003148D"/>
    <w:pPr>
      <w:spacing w:after="120"/>
      <w:ind w:left="1132"/>
      <w:contextualSpacing/>
    </w:pPr>
  </w:style>
  <w:style w:type="paragraph" w:styleId="Elencocontinua5">
    <w:name w:val="List Continue 5"/>
    <w:basedOn w:val="Normale"/>
    <w:uiPriority w:val="99"/>
    <w:semiHidden/>
    <w:unhideWhenUsed/>
    <w:rsid w:val="0003148D"/>
    <w:pPr>
      <w:spacing w:after="120"/>
      <w:ind w:left="1415"/>
      <w:contextualSpacing/>
    </w:pPr>
  </w:style>
  <w:style w:type="paragraph" w:styleId="Firma">
    <w:name w:val="Signature"/>
    <w:basedOn w:val="Normale"/>
    <w:link w:val="FirmaCarattere"/>
    <w:uiPriority w:val="99"/>
    <w:semiHidden/>
    <w:unhideWhenUsed/>
    <w:rsid w:val="0003148D"/>
    <w:pPr>
      <w:spacing w:line="240" w:lineRule="auto"/>
      <w:ind w:left="4252"/>
    </w:pPr>
  </w:style>
  <w:style w:type="character" w:customStyle="1" w:styleId="FirmaCarattere">
    <w:name w:val="Firma Carattere"/>
    <w:basedOn w:val="Carpredefinitoparagrafo"/>
    <w:link w:val="Firma"/>
    <w:uiPriority w:val="99"/>
    <w:semiHidden/>
    <w:rsid w:val="0003148D"/>
  </w:style>
  <w:style w:type="paragraph" w:styleId="Firmadipostaelettronica">
    <w:name w:val="E-mail Signature"/>
    <w:basedOn w:val="Normale"/>
    <w:link w:val="FirmadipostaelettronicaCarattere"/>
    <w:uiPriority w:val="99"/>
    <w:semiHidden/>
    <w:unhideWhenUsed/>
    <w:rsid w:val="0003148D"/>
    <w:pPr>
      <w:spacing w:line="240" w:lineRule="auto"/>
    </w:pPr>
  </w:style>
  <w:style w:type="character" w:customStyle="1" w:styleId="FirmadipostaelettronicaCarattere">
    <w:name w:val="Firma di posta elettronica Carattere"/>
    <w:basedOn w:val="Carpredefinitoparagrafo"/>
    <w:link w:val="Firmadipostaelettronica"/>
    <w:uiPriority w:val="99"/>
    <w:semiHidden/>
    <w:rsid w:val="0003148D"/>
  </w:style>
  <w:style w:type="paragraph" w:styleId="Formuladiapertura">
    <w:name w:val="Salutation"/>
    <w:basedOn w:val="Normale"/>
    <w:next w:val="Normale"/>
    <w:link w:val="FormuladiaperturaCarattere"/>
    <w:uiPriority w:val="99"/>
    <w:semiHidden/>
    <w:unhideWhenUsed/>
    <w:rsid w:val="0003148D"/>
  </w:style>
  <w:style w:type="character" w:customStyle="1" w:styleId="FormuladiaperturaCarattere">
    <w:name w:val="Formula di apertura Carattere"/>
    <w:basedOn w:val="Carpredefinitoparagrafo"/>
    <w:link w:val="Formuladiapertura"/>
    <w:uiPriority w:val="99"/>
    <w:semiHidden/>
    <w:rsid w:val="0003148D"/>
  </w:style>
  <w:style w:type="paragraph" w:styleId="Formuladichiusura">
    <w:name w:val="Closing"/>
    <w:basedOn w:val="Normale"/>
    <w:link w:val="FormuladichiusuraCarattere"/>
    <w:uiPriority w:val="99"/>
    <w:semiHidden/>
    <w:unhideWhenUsed/>
    <w:rsid w:val="0003148D"/>
    <w:pPr>
      <w:spacing w:line="240" w:lineRule="auto"/>
      <w:ind w:left="4252"/>
    </w:pPr>
  </w:style>
  <w:style w:type="character" w:customStyle="1" w:styleId="FormuladichiusuraCarattere">
    <w:name w:val="Formula di chiusura Carattere"/>
    <w:basedOn w:val="Carpredefinitoparagrafo"/>
    <w:link w:val="Formuladichiusura"/>
    <w:uiPriority w:val="99"/>
    <w:semiHidden/>
    <w:rsid w:val="0003148D"/>
  </w:style>
  <w:style w:type="paragraph" w:styleId="Indice1">
    <w:name w:val="index 1"/>
    <w:basedOn w:val="Normale"/>
    <w:next w:val="Normale"/>
    <w:autoRedefine/>
    <w:uiPriority w:val="99"/>
    <w:semiHidden/>
    <w:unhideWhenUsed/>
    <w:rsid w:val="0003148D"/>
    <w:pPr>
      <w:spacing w:line="240" w:lineRule="auto"/>
      <w:ind w:left="220" w:hanging="220"/>
    </w:pPr>
  </w:style>
  <w:style w:type="paragraph" w:styleId="Indice2">
    <w:name w:val="index 2"/>
    <w:basedOn w:val="Normale"/>
    <w:next w:val="Normale"/>
    <w:autoRedefine/>
    <w:uiPriority w:val="99"/>
    <w:semiHidden/>
    <w:unhideWhenUsed/>
    <w:rsid w:val="0003148D"/>
    <w:pPr>
      <w:spacing w:line="240" w:lineRule="auto"/>
      <w:ind w:left="440" w:hanging="220"/>
    </w:pPr>
  </w:style>
  <w:style w:type="paragraph" w:styleId="Indice3">
    <w:name w:val="index 3"/>
    <w:basedOn w:val="Normale"/>
    <w:next w:val="Normale"/>
    <w:autoRedefine/>
    <w:uiPriority w:val="99"/>
    <w:semiHidden/>
    <w:unhideWhenUsed/>
    <w:rsid w:val="0003148D"/>
    <w:pPr>
      <w:spacing w:line="240" w:lineRule="auto"/>
      <w:ind w:left="660" w:hanging="220"/>
    </w:pPr>
  </w:style>
  <w:style w:type="paragraph" w:styleId="Indice4">
    <w:name w:val="index 4"/>
    <w:basedOn w:val="Normale"/>
    <w:next w:val="Normale"/>
    <w:autoRedefine/>
    <w:uiPriority w:val="99"/>
    <w:semiHidden/>
    <w:unhideWhenUsed/>
    <w:rsid w:val="0003148D"/>
    <w:pPr>
      <w:spacing w:line="240" w:lineRule="auto"/>
      <w:ind w:left="880" w:hanging="220"/>
    </w:pPr>
  </w:style>
  <w:style w:type="paragraph" w:styleId="Indice5">
    <w:name w:val="index 5"/>
    <w:basedOn w:val="Normale"/>
    <w:next w:val="Normale"/>
    <w:autoRedefine/>
    <w:uiPriority w:val="99"/>
    <w:semiHidden/>
    <w:unhideWhenUsed/>
    <w:rsid w:val="0003148D"/>
    <w:pPr>
      <w:spacing w:line="240" w:lineRule="auto"/>
      <w:ind w:left="1100" w:hanging="220"/>
    </w:pPr>
  </w:style>
  <w:style w:type="paragraph" w:styleId="Indice6">
    <w:name w:val="index 6"/>
    <w:basedOn w:val="Normale"/>
    <w:next w:val="Normale"/>
    <w:autoRedefine/>
    <w:uiPriority w:val="99"/>
    <w:semiHidden/>
    <w:unhideWhenUsed/>
    <w:rsid w:val="0003148D"/>
    <w:pPr>
      <w:spacing w:line="240" w:lineRule="auto"/>
      <w:ind w:left="1320" w:hanging="220"/>
    </w:pPr>
  </w:style>
  <w:style w:type="paragraph" w:styleId="Indice7">
    <w:name w:val="index 7"/>
    <w:basedOn w:val="Normale"/>
    <w:next w:val="Normale"/>
    <w:autoRedefine/>
    <w:uiPriority w:val="99"/>
    <w:semiHidden/>
    <w:unhideWhenUsed/>
    <w:rsid w:val="0003148D"/>
    <w:pPr>
      <w:spacing w:line="240" w:lineRule="auto"/>
      <w:ind w:left="1540" w:hanging="220"/>
    </w:pPr>
  </w:style>
  <w:style w:type="paragraph" w:styleId="Indice8">
    <w:name w:val="index 8"/>
    <w:basedOn w:val="Normale"/>
    <w:next w:val="Normale"/>
    <w:autoRedefine/>
    <w:uiPriority w:val="99"/>
    <w:semiHidden/>
    <w:unhideWhenUsed/>
    <w:rsid w:val="0003148D"/>
    <w:pPr>
      <w:spacing w:line="240" w:lineRule="auto"/>
      <w:ind w:left="1760" w:hanging="220"/>
    </w:pPr>
  </w:style>
  <w:style w:type="paragraph" w:styleId="Indice9">
    <w:name w:val="index 9"/>
    <w:basedOn w:val="Normale"/>
    <w:next w:val="Normale"/>
    <w:autoRedefine/>
    <w:uiPriority w:val="99"/>
    <w:semiHidden/>
    <w:unhideWhenUsed/>
    <w:rsid w:val="0003148D"/>
    <w:pPr>
      <w:spacing w:line="240" w:lineRule="auto"/>
      <w:ind w:left="1980" w:hanging="220"/>
    </w:pPr>
  </w:style>
  <w:style w:type="paragraph" w:styleId="Indicedellefigure">
    <w:name w:val="table of figures"/>
    <w:basedOn w:val="Normale"/>
    <w:next w:val="Normale"/>
    <w:uiPriority w:val="99"/>
    <w:semiHidden/>
    <w:unhideWhenUsed/>
    <w:rsid w:val="0003148D"/>
  </w:style>
  <w:style w:type="paragraph" w:styleId="Indicefonti">
    <w:name w:val="table of authorities"/>
    <w:basedOn w:val="Normale"/>
    <w:next w:val="Normale"/>
    <w:uiPriority w:val="99"/>
    <w:semiHidden/>
    <w:unhideWhenUsed/>
    <w:rsid w:val="0003148D"/>
    <w:pPr>
      <w:ind w:left="220" w:hanging="220"/>
    </w:pPr>
  </w:style>
  <w:style w:type="paragraph" w:styleId="Indirizzodestinatario">
    <w:name w:val="envelope address"/>
    <w:basedOn w:val="Normale"/>
    <w:uiPriority w:val="99"/>
    <w:semiHidden/>
    <w:unhideWhenUsed/>
    <w:rsid w:val="0003148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IndirizzoHTML">
    <w:name w:val="HTML Address"/>
    <w:basedOn w:val="Normale"/>
    <w:link w:val="IndirizzoHTMLCarattere"/>
    <w:uiPriority w:val="99"/>
    <w:semiHidden/>
    <w:unhideWhenUsed/>
    <w:rsid w:val="0003148D"/>
    <w:pPr>
      <w:spacing w:line="240" w:lineRule="auto"/>
    </w:pPr>
    <w:rPr>
      <w:i/>
      <w:iCs/>
    </w:rPr>
  </w:style>
  <w:style w:type="character" w:customStyle="1" w:styleId="IndirizzoHTMLCarattere">
    <w:name w:val="Indirizzo HTML Carattere"/>
    <w:basedOn w:val="Carpredefinitoparagrafo"/>
    <w:link w:val="IndirizzoHTML"/>
    <w:uiPriority w:val="99"/>
    <w:semiHidden/>
    <w:rsid w:val="0003148D"/>
    <w:rPr>
      <w:i/>
      <w:iCs/>
    </w:rPr>
  </w:style>
  <w:style w:type="paragraph" w:styleId="Indirizzomittente">
    <w:name w:val="envelope return"/>
    <w:basedOn w:val="Normale"/>
    <w:uiPriority w:val="99"/>
    <w:semiHidden/>
    <w:unhideWhenUsed/>
    <w:rsid w:val="0003148D"/>
    <w:pPr>
      <w:spacing w:line="240" w:lineRule="auto"/>
    </w:pPr>
    <w:rPr>
      <w:rFonts w:asciiTheme="majorHAnsi" w:eastAsiaTheme="majorEastAsia" w:hAnsiTheme="majorHAnsi" w:cstheme="majorBidi"/>
    </w:rPr>
  </w:style>
  <w:style w:type="paragraph" w:styleId="Intestazionemessaggio">
    <w:name w:val="Message Header"/>
    <w:basedOn w:val="Normale"/>
    <w:link w:val="IntestazionemessaggioCarattere"/>
    <w:uiPriority w:val="99"/>
    <w:semiHidden/>
    <w:unhideWhenUsed/>
    <w:rsid w:val="000314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IntestazionemessaggioCarattere">
    <w:name w:val="Intestazione messaggio Carattere"/>
    <w:basedOn w:val="Carpredefinitoparagrafo"/>
    <w:link w:val="Intestazionemessaggio"/>
    <w:uiPriority w:val="99"/>
    <w:semiHidden/>
    <w:rsid w:val="0003148D"/>
    <w:rPr>
      <w:rFonts w:asciiTheme="majorHAnsi" w:eastAsiaTheme="majorEastAsia" w:hAnsiTheme="majorHAnsi" w:cstheme="majorBidi"/>
      <w:sz w:val="24"/>
      <w:szCs w:val="24"/>
      <w:shd w:val="pct20" w:color="auto" w:fill="auto"/>
    </w:rPr>
  </w:style>
  <w:style w:type="paragraph" w:styleId="Intestazionenota">
    <w:name w:val="Note Heading"/>
    <w:basedOn w:val="Normale"/>
    <w:next w:val="Normale"/>
    <w:link w:val="IntestazionenotaCarattere"/>
    <w:uiPriority w:val="99"/>
    <w:semiHidden/>
    <w:unhideWhenUsed/>
    <w:rsid w:val="0003148D"/>
    <w:pPr>
      <w:spacing w:line="240" w:lineRule="auto"/>
    </w:pPr>
  </w:style>
  <w:style w:type="character" w:customStyle="1" w:styleId="IntestazionenotaCarattere">
    <w:name w:val="Intestazione nota Carattere"/>
    <w:basedOn w:val="Carpredefinitoparagrafo"/>
    <w:link w:val="Intestazionenota"/>
    <w:uiPriority w:val="99"/>
    <w:semiHidden/>
    <w:rsid w:val="0003148D"/>
  </w:style>
  <w:style w:type="paragraph" w:styleId="Mappadocumento">
    <w:name w:val="Document Map"/>
    <w:basedOn w:val="Normale"/>
    <w:link w:val="MappadocumentoCarattere"/>
    <w:uiPriority w:val="99"/>
    <w:semiHidden/>
    <w:unhideWhenUsed/>
    <w:rsid w:val="0003148D"/>
    <w:pPr>
      <w:spacing w:line="240" w:lineRule="auto"/>
    </w:pPr>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03148D"/>
    <w:rPr>
      <w:rFonts w:ascii="Tahoma" w:hAnsi="Tahoma" w:cs="Tahoma"/>
      <w:sz w:val="16"/>
      <w:szCs w:val="16"/>
    </w:rPr>
  </w:style>
  <w:style w:type="paragraph" w:styleId="NormaleWeb">
    <w:name w:val="Normal (Web)"/>
    <w:basedOn w:val="Normale"/>
    <w:uiPriority w:val="99"/>
    <w:semiHidden/>
    <w:unhideWhenUsed/>
    <w:rsid w:val="0003148D"/>
    <w:rPr>
      <w:sz w:val="24"/>
      <w:szCs w:val="24"/>
    </w:rPr>
  </w:style>
  <w:style w:type="paragraph" w:styleId="Numeroelenco">
    <w:name w:val="List Number"/>
    <w:basedOn w:val="Normale"/>
    <w:uiPriority w:val="99"/>
    <w:semiHidden/>
    <w:unhideWhenUsed/>
    <w:rsid w:val="0003148D"/>
    <w:pPr>
      <w:numPr>
        <w:numId w:val="2"/>
      </w:numPr>
      <w:contextualSpacing/>
    </w:pPr>
  </w:style>
  <w:style w:type="paragraph" w:styleId="Numeroelenco2">
    <w:name w:val="List Number 2"/>
    <w:basedOn w:val="Normale"/>
    <w:uiPriority w:val="99"/>
    <w:semiHidden/>
    <w:unhideWhenUsed/>
    <w:rsid w:val="0003148D"/>
    <w:pPr>
      <w:numPr>
        <w:numId w:val="3"/>
      </w:numPr>
      <w:contextualSpacing/>
    </w:pPr>
  </w:style>
  <w:style w:type="paragraph" w:styleId="Numeroelenco3">
    <w:name w:val="List Number 3"/>
    <w:basedOn w:val="Normale"/>
    <w:uiPriority w:val="99"/>
    <w:semiHidden/>
    <w:unhideWhenUsed/>
    <w:rsid w:val="0003148D"/>
    <w:pPr>
      <w:numPr>
        <w:numId w:val="4"/>
      </w:numPr>
      <w:contextualSpacing/>
    </w:pPr>
  </w:style>
  <w:style w:type="paragraph" w:styleId="Numeroelenco4">
    <w:name w:val="List Number 4"/>
    <w:basedOn w:val="Normale"/>
    <w:uiPriority w:val="99"/>
    <w:semiHidden/>
    <w:unhideWhenUsed/>
    <w:rsid w:val="0003148D"/>
    <w:pPr>
      <w:numPr>
        <w:numId w:val="5"/>
      </w:numPr>
      <w:contextualSpacing/>
    </w:pPr>
  </w:style>
  <w:style w:type="paragraph" w:styleId="Numeroelenco5">
    <w:name w:val="List Number 5"/>
    <w:basedOn w:val="Normale"/>
    <w:uiPriority w:val="99"/>
    <w:semiHidden/>
    <w:unhideWhenUsed/>
    <w:rsid w:val="0003148D"/>
    <w:pPr>
      <w:numPr>
        <w:numId w:val="6"/>
      </w:numPr>
      <w:contextualSpacing/>
    </w:pPr>
  </w:style>
  <w:style w:type="paragraph" w:styleId="PreformattatoHTML">
    <w:name w:val="HTML Preformatted"/>
    <w:basedOn w:val="Normale"/>
    <w:link w:val="PreformattatoHTMLCarattere"/>
    <w:uiPriority w:val="99"/>
    <w:semiHidden/>
    <w:unhideWhenUsed/>
    <w:rsid w:val="0003148D"/>
    <w:pPr>
      <w:spacing w:line="240" w:lineRule="auto"/>
    </w:pPr>
    <w:rPr>
      <w:rFonts w:ascii="Consolas" w:hAnsi="Consolas" w:cs="Consolas"/>
    </w:rPr>
  </w:style>
  <w:style w:type="character" w:customStyle="1" w:styleId="PreformattatoHTMLCarattere">
    <w:name w:val="Preformattato HTML Carattere"/>
    <w:basedOn w:val="Carpredefinitoparagrafo"/>
    <w:link w:val="PreformattatoHTML"/>
    <w:uiPriority w:val="99"/>
    <w:semiHidden/>
    <w:rsid w:val="0003148D"/>
    <w:rPr>
      <w:rFonts w:ascii="Consolas" w:hAnsi="Consolas" w:cs="Consolas"/>
      <w:sz w:val="20"/>
      <w:szCs w:val="20"/>
    </w:rPr>
  </w:style>
  <w:style w:type="paragraph" w:styleId="Primorientrocorpodeltesto">
    <w:name w:val="Body Text First Indent"/>
    <w:basedOn w:val="Corpotesto"/>
    <w:link w:val="PrimorientrocorpodeltestoCarattere"/>
    <w:uiPriority w:val="99"/>
    <w:semiHidden/>
    <w:unhideWhenUsed/>
    <w:rsid w:val="0003148D"/>
    <w:pPr>
      <w:spacing w:after="200"/>
      <w:ind w:firstLine="360"/>
    </w:pPr>
  </w:style>
  <w:style w:type="character" w:customStyle="1" w:styleId="PrimorientrocorpodeltestoCarattere">
    <w:name w:val="Primo rientro corpo del testo Carattere"/>
    <w:basedOn w:val="CorpotestoCarattere"/>
    <w:link w:val="Primorientrocorpodeltesto"/>
    <w:uiPriority w:val="99"/>
    <w:semiHidden/>
    <w:rsid w:val="0003148D"/>
  </w:style>
  <w:style w:type="paragraph" w:styleId="Rientrocorpodeltesto">
    <w:name w:val="Body Text Indent"/>
    <w:basedOn w:val="Normale"/>
    <w:link w:val="RientrocorpodeltestoCarattere"/>
    <w:uiPriority w:val="99"/>
    <w:semiHidden/>
    <w:unhideWhenUsed/>
    <w:rsid w:val="0003148D"/>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03148D"/>
  </w:style>
  <w:style w:type="paragraph" w:styleId="Primorientrocorpodeltesto2">
    <w:name w:val="Body Text First Indent 2"/>
    <w:basedOn w:val="Rientrocorpodeltesto"/>
    <w:link w:val="Primorientrocorpodeltesto2Carattere"/>
    <w:uiPriority w:val="99"/>
    <w:semiHidden/>
    <w:unhideWhenUsed/>
    <w:rsid w:val="0003148D"/>
    <w:pPr>
      <w:spacing w:after="200"/>
      <w:ind w:left="360"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03148D"/>
  </w:style>
  <w:style w:type="paragraph" w:styleId="Puntoelenco">
    <w:name w:val="List Bullet"/>
    <w:basedOn w:val="Normale"/>
    <w:uiPriority w:val="99"/>
    <w:semiHidden/>
    <w:unhideWhenUsed/>
    <w:rsid w:val="0003148D"/>
    <w:pPr>
      <w:numPr>
        <w:numId w:val="7"/>
      </w:numPr>
      <w:contextualSpacing/>
    </w:pPr>
  </w:style>
  <w:style w:type="paragraph" w:styleId="Puntoelenco2">
    <w:name w:val="List Bullet 2"/>
    <w:basedOn w:val="Normale"/>
    <w:uiPriority w:val="99"/>
    <w:semiHidden/>
    <w:unhideWhenUsed/>
    <w:rsid w:val="0003148D"/>
    <w:pPr>
      <w:numPr>
        <w:numId w:val="8"/>
      </w:numPr>
      <w:contextualSpacing/>
    </w:pPr>
  </w:style>
  <w:style w:type="paragraph" w:styleId="Puntoelenco3">
    <w:name w:val="List Bullet 3"/>
    <w:basedOn w:val="Normale"/>
    <w:uiPriority w:val="99"/>
    <w:semiHidden/>
    <w:unhideWhenUsed/>
    <w:rsid w:val="0003148D"/>
    <w:pPr>
      <w:numPr>
        <w:numId w:val="9"/>
      </w:numPr>
      <w:contextualSpacing/>
    </w:pPr>
  </w:style>
  <w:style w:type="paragraph" w:styleId="Puntoelenco4">
    <w:name w:val="List Bullet 4"/>
    <w:basedOn w:val="Normale"/>
    <w:uiPriority w:val="99"/>
    <w:semiHidden/>
    <w:unhideWhenUsed/>
    <w:rsid w:val="0003148D"/>
    <w:pPr>
      <w:numPr>
        <w:numId w:val="10"/>
      </w:numPr>
      <w:contextualSpacing/>
    </w:pPr>
  </w:style>
  <w:style w:type="paragraph" w:styleId="Puntoelenco5">
    <w:name w:val="List Bullet 5"/>
    <w:basedOn w:val="Normale"/>
    <w:uiPriority w:val="99"/>
    <w:semiHidden/>
    <w:unhideWhenUsed/>
    <w:rsid w:val="0003148D"/>
    <w:pPr>
      <w:numPr>
        <w:numId w:val="11"/>
      </w:numPr>
      <w:contextualSpacing/>
    </w:pPr>
  </w:style>
  <w:style w:type="paragraph" w:styleId="Rientrocorpodeltesto2">
    <w:name w:val="Body Text Indent 2"/>
    <w:basedOn w:val="Normale"/>
    <w:link w:val="Rientrocorpodeltesto2Carattere"/>
    <w:uiPriority w:val="99"/>
    <w:semiHidden/>
    <w:unhideWhenUsed/>
    <w:rsid w:val="0003148D"/>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03148D"/>
  </w:style>
  <w:style w:type="paragraph" w:styleId="Rientrocorpodeltesto3">
    <w:name w:val="Body Text Indent 3"/>
    <w:basedOn w:val="Normale"/>
    <w:link w:val="Rientrocorpodeltesto3Carattere"/>
    <w:uiPriority w:val="99"/>
    <w:semiHidden/>
    <w:unhideWhenUsed/>
    <w:rsid w:val="0003148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03148D"/>
    <w:rPr>
      <w:sz w:val="16"/>
      <w:szCs w:val="16"/>
    </w:rPr>
  </w:style>
  <w:style w:type="paragraph" w:styleId="Rientronormale">
    <w:name w:val="Normal Indent"/>
    <w:basedOn w:val="Normale"/>
    <w:uiPriority w:val="99"/>
    <w:semiHidden/>
    <w:unhideWhenUsed/>
    <w:rsid w:val="0003148D"/>
    <w:pPr>
      <w:ind w:left="720"/>
    </w:pPr>
  </w:style>
  <w:style w:type="paragraph" w:styleId="Testocommento">
    <w:name w:val="annotation text"/>
    <w:basedOn w:val="Normale"/>
    <w:link w:val="TestocommentoCarattere"/>
    <w:uiPriority w:val="99"/>
    <w:unhideWhenUsed/>
    <w:rsid w:val="0003148D"/>
    <w:pPr>
      <w:spacing w:line="240" w:lineRule="auto"/>
    </w:pPr>
  </w:style>
  <w:style w:type="character" w:customStyle="1" w:styleId="TestocommentoCarattere">
    <w:name w:val="Testo commento Carattere"/>
    <w:basedOn w:val="Carpredefinitoparagrafo"/>
    <w:link w:val="Testocommento"/>
    <w:uiPriority w:val="99"/>
    <w:rsid w:val="0003148D"/>
    <w:rPr>
      <w:sz w:val="20"/>
      <w:szCs w:val="20"/>
    </w:rPr>
  </w:style>
  <w:style w:type="paragraph" w:styleId="Soggettocommento">
    <w:name w:val="annotation subject"/>
    <w:basedOn w:val="Testocommento"/>
    <w:next w:val="Testocommento"/>
    <w:link w:val="SoggettocommentoCarattere"/>
    <w:uiPriority w:val="99"/>
    <w:semiHidden/>
    <w:unhideWhenUsed/>
    <w:rsid w:val="0003148D"/>
    <w:rPr>
      <w:b/>
      <w:bCs/>
    </w:rPr>
  </w:style>
  <w:style w:type="character" w:customStyle="1" w:styleId="SoggettocommentoCarattere">
    <w:name w:val="Soggetto commento Carattere"/>
    <w:basedOn w:val="TestocommentoCarattere"/>
    <w:link w:val="Soggettocommento"/>
    <w:uiPriority w:val="99"/>
    <w:semiHidden/>
    <w:rsid w:val="0003148D"/>
    <w:rPr>
      <w:b/>
      <w:bCs/>
      <w:sz w:val="20"/>
      <w:szCs w:val="20"/>
    </w:rPr>
  </w:style>
  <w:style w:type="paragraph" w:styleId="Sommario1">
    <w:name w:val="toc 1"/>
    <w:basedOn w:val="Normale"/>
    <w:next w:val="Normale"/>
    <w:autoRedefine/>
    <w:uiPriority w:val="39"/>
    <w:semiHidden/>
    <w:unhideWhenUsed/>
    <w:rsid w:val="0003148D"/>
    <w:pPr>
      <w:spacing w:after="100"/>
    </w:pPr>
  </w:style>
  <w:style w:type="paragraph" w:styleId="Sommario2">
    <w:name w:val="toc 2"/>
    <w:basedOn w:val="Normale"/>
    <w:next w:val="Normale"/>
    <w:autoRedefine/>
    <w:uiPriority w:val="39"/>
    <w:semiHidden/>
    <w:unhideWhenUsed/>
    <w:rsid w:val="0003148D"/>
    <w:pPr>
      <w:spacing w:after="100"/>
      <w:ind w:left="220"/>
    </w:pPr>
  </w:style>
  <w:style w:type="paragraph" w:styleId="Sommario3">
    <w:name w:val="toc 3"/>
    <w:basedOn w:val="Normale"/>
    <w:next w:val="Normale"/>
    <w:autoRedefine/>
    <w:uiPriority w:val="39"/>
    <w:semiHidden/>
    <w:unhideWhenUsed/>
    <w:rsid w:val="0003148D"/>
    <w:pPr>
      <w:spacing w:after="100"/>
      <w:ind w:left="440"/>
    </w:pPr>
  </w:style>
  <w:style w:type="paragraph" w:styleId="Sommario4">
    <w:name w:val="toc 4"/>
    <w:basedOn w:val="Normale"/>
    <w:next w:val="Normale"/>
    <w:autoRedefine/>
    <w:uiPriority w:val="39"/>
    <w:semiHidden/>
    <w:unhideWhenUsed/>
    <w:rsid w:val="0003148D"/>
    <w:pPr>
      <w:spacing w:after="100"/>
      <w:ind w:left="660"/>
    </w:pPr>
  </w:style>
  <w:style w:type="paragraph" w:styleId="Sommario5">
    <w:name w:val="toc 5"/>
    <w:basedOn w:val="Normale"/>
    <w:next w:val="Normale"/>
    <w:autoRedefine/>
    <w:uiPriority w:val="39"/>
    <w:semiHidden/>
    <w:unhideWhenUsed/>
    <w:rsid w:val="0003148D"/>
    <w:pPr>
      <w:spacing w:after="100"/>
      <w:ind w:left="880"/>
    </w:pPr>
  </w:style>
  <w:style w:type="paragraph" w:styleId="Sommario6">
    <w:name w:val="toc 6"/>
    <w:basedOn w:val="Normale"/>
    <w:next w:val="Normale"/>
    <w:autoRedefine/>
    <w:uiPriority w:val="39"/>
    <w:semiHidden/>
    <w:unhideWhenUsed/>
    <w:rsid w:val="0003148D"/>
    <w:pPr>
      <w:spacing w:after="100"/>
      <w:ind w:left="1100"/>
    </w:pPr>
  </w:style>
  <w:style w:type="paragraph" w:styleId="Sommario7">
    <w:name w:val="toc 7"/>
    <w:basedOn w:val="Normale"/>
    <w:next w:val="Normale"/>
    <w:autoRedefine/>
    <w:uiPriority w:val="39"/>
    <w:semiHidden/>
    <w:unhideWhenUsed/>
    <w:rsid w:val="0003148D"/>
    <w:pPr>
      <w:spacing w:after="100"/>
      <w:ind w:left="1320"/>
    </w:pPr>
  </w:style>
  <w:style w:type="paragraph" w:styleId="Sommario8">
    <w:name w:val="toc 8"/>
    <w:basedOn w:val="Normale"/>
    <w:next w:val="Normale"/>
    <w:autoRedefine/>
    <w:uiPriority w:val="39"/>
    <w:semiHidden/>
    <w:unhideWhenUsed/>
    <w:rsid w:val="0003148D"/>
    <w:pPr>
      <w:spacing w:after="100"/>
      <w:ind w:left="1540"/>
    </w:pPr>
  </w:style>
  <w:style w:type="paragraph" w:styleId="Sommario9">
    <w:name w:val="toc 9"/>
    <w:basedOn w:val="Normale"/>
    <w:next w:val="Normale"/>
    <w:autoRedefine/>
    <w:uiPriority w:val="39"/>
    <w:semiHidden/>
    <w:unhideWhenUsed/>
    <w:rsid w:val="0003148D"/>
    <w:pPr>
      <w:spacing w:after="100"/>
      <w:ind w:left="1760"/>
    </w:pPr>
  </w:style>
  <w:style w:type="paragraph" w:styleId="Testodelblocco">
    <w:name w:val="Block Text"/>
    <w:basedOn w:val="Normale"/>
    <w:uiPriority w:val="99"/>
    <w:semiHidden/>
    <w:unhideWhenUsed/>
    <w:rsid w:val="0003148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Testomacro">
    <w:name w:val="macro"/>
    <w:link w:val="TestomacroCarattere"/>
    <w:uiPriority w:val="99"/>
    <w:semiHidden/>
    <w:unhideWhenUsed/>
    <w:rsid w:val="0003148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TestomacroCarattere">
    <w:name w:val="Testo macro Carattere"/>
    <w:basedOn w:val="Carpredefinitoparagrafo"/>
    <w:link w:val="Testomacro"/>
    <w:uiPriority w:val="99"/>
    <w:semiHidden/>
    <w:rsid w:val="0003148D"/>
    <w:rPr>
      <w:rFonts w:ascii="Consolas" w:hAnsi="Consolas" w:cs="Consolas"/>
      <w:sz w:val="20"/>
      <w:szCs w:val="20"/>
    </w:rPr>
  </w:style>
  <w:style w:type="paragraph" w:styleId="Testonormale">
    <w:name w:val="Plain Text"/>
    <w:basedOn w:val="Normale"/>
    <w:link w:val="TestonormaleCarattere"/>
    <w:uiPriority w:val="99"/>
    <w:semiHidden/>
    <w:unhideWhenUsed/>
    <w:rsid w:val="0003148D"/>
    <w:pPr>
      <w:spacing w:line="240" w:lineRule="auto"/>
    </w:pPr>
    <w:rPr>
      <w:rFonts w:ascii="Consolas" w:hAnsi="Consolas" w:cs="Consolas"/>
      <w:sz w:val="21"/>
      <w:szCs w:val="21"/>
    </w:rPr>
  </w:style>
  <w:style w:type="character" w:customStyle="1" w:styleId="TestonormaleCarattere">
    <w:name w:val="Testo normale Carattere"/>
    <w:basedOn w:val="Carpredefinitoparagrafo"/>
    <w:link w:val="Testonormale"/>
    <w:uiPriority w:val="99"/>
    <w:semiHidden/>
    <w:rsid w:val="0003148D"/>
    <w:rPr>
      <w:rFonts w:ascii="Consolas" w:hAnsi="Consolas" w:cs="Consolas"/>
      <w:sz w:val="21"/>
      <w:szCs w:val="21"/>
    </w:rPr>
  </w:style>
  <w:style w:type="paragraph" w:styleId="Testonotaapidipagina">
    <w:name w:val="footnote text"/>
    <w:basedOn w:val="Normale"/>
    <w:link w:val="TestonotaapidipaginaCarattere"/>
    <w:uiPriority w:val="99"/>
    <w:semiHidden/>
    <w:unhideWhenUsed/>
    <w:rsid w:val="0003148D"/>
    <w:pPr>
      <w:spacing w:line="240" w:lineRule="auto"/>
    </w:pPr>
  </w:style>
  <w:style w:type="character" w:customStyle="1" w:styleId="TestonotaapidipaginaCarattere">
    <w:name w:val="Testo nota a piè di pagina Carattere"/>
    <w:basedOn w:val="Carpredefinitoparagrafo"/>
    <w:link w:val="Testonotaapidipagina"/>
    <w:uiPriority w:val="99"/>
    <w:semiHidden/>
    <w:rsid w:val="0003148D"/>
    <w:rPr>
      <w:sz w:val="20"/>
      <w:szCs w:val="20"/>
    </w:rPr>
  </w:style>
  <w:style w:type="paragraph" w:styleId="Testonotadichiusura">
    <w:name w:val="endnote text"/>
    <w:basedOn w:val="Normale"/>
    <w:link w:val="TestonotadichiusuraCarattere"/>
    <w:uiPriority w:val="99"/>
    <w:semiHidden/>
    <w:unhideWhenUsed/>
    <w:rsid w:val="0003148D"/>
    <w:pPr>
      <w:spacing w:line="240" w:lineRule="auto"/>
    </w:pPr>
  </w:style>
  <w:style w:type="character" w:customStyle="1" w:styleId="TestonotadichiusuraCarattere">
    <w:name w:val="Testo nota di chiusura Carattere"/>
    <w:basedOn w:val="Carpredefinitoparagrafo"/>
    <w:link w:val="Testonotadichiusura"/>
    <w:uiPriority w:val="99"/>
    <w:semiHidden/>
    <w:rsid w:val="0003148D"/>
    <w:rPr>
      <w:sz w:val="20"/>
      <w:szCs w:val="20"/>
    </w:rPr>
  </w:style>
  <w:style w:type="character" w:customStyle="1" w:styleId="Titolo1Carattere">
    <w:name w:val="Titolo 1 Carattere"/>
    <w:basedOn w:val="Carpredefinitoparagrafo"/>
    <w:link w:val="Titolo1"/>
    <w:uiPriority w:val="9"/>
    <w:rsid w:val="004F5E36"/>
    <w:rPr>
      <w:rFonts w:ascii="Arial" w:eastAsia="Times New Roman" w:hAnsi="Arial" w:cs="Times New Roman"/>
      <w:b/>
      <w:sz w:val="20"/>
      <w:szCs w:val="20"/>
      <w:lang w:val="en-GB"/>
    </w:rPr>
  </w:style>
  <w:style w:type="character" w:customStyle="1" w:styleId="Titolo2Carattere">
    <w:name w:val="Titolo 2 Carattere"/>
    <w:basedOn w:val="Carpredefinitoparagrafo"/>
    <w:link w:val="Titolo2"/>
    <w:uiPriority w:val="9"/>
    <w:semiHidden/>
    <w:rsid w:val="0003148D"/>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semiHidden/>
    <w:rsid w:val="0003148D"/>
    <w:rPr>
      <w:rFonts w:asciiTheme="majorHAnsi" w:eastAsiaTheme="majorEastAsia" w:hAnsiTheme="majorHAnsi" w:cstheme="majorBidi"/>
      <w:b/>
      <w:bCs/>
      <w:color w:val="4F81BD" w:themeColor="accent1"/>
    </w:rPr>
  </w:style>
  <w:style w:type="character" w:customStyle="1" w:styleId="Titolo4Carattere">
    <w:name w:val="Titolo 4 Carattere"/>
    <w:basedOn w:val="Carpredefinitoparagrafo"/>
    <w:link w:val="Titolo4"/>
    <w:uiPriority w:val="9"/>
    <w:semiHidden/>
    <w:rsid w:val="0003148D"/>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03148D"/>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03148D"/>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03148D"/>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3148D"/>
    <w:rPr>
      <w:rFonts w:asciiTheme="majorHAnsi" w:eastAsiaTheme="majorEastAsia" w:hAnsiTheme="majorHAnsi" w:cstheme="majorBidi"/>
      <w:color w:val="404040" w:themeColor="text1" w:themeTint="BF"/>
      <w:sz w:val="20"/>
      <w:szCs w:val="20"/>
    </w:rPr>
  </w:style>
  <w:style w:type="character" w:customStyle="1" w:styleId="Titolo9Carattere">
    <w:name w:val="Titolo 9 Carattere"/>
    <w:basedOn w:val="Carpredefinitoparagrafo"/>
    <w:link w:val="Titolo9"/>
    <w:uiPriority w:val="9"/>
    <w:semiHidden/>
    <w:rsid w:val="0003148D"/>
    <w:rPr>
      <w:rFonts w:asciiTheme="majorHAnsi" w:eastAsiaTheme="majorEastAsia" w:hAnsiTheme="majorHAnsi" w:cstheme="majorBidi"/>
      <w:i/>
      <w:iCs/>
      <w:color w:val="404040" w:themeColor="text1" w:themeTint="BF"/>
      <w:sz w:val="20"/>
      <w:szCs w:val="20"/>
    </w:rPr>
  </w:style>
  <w:style w:type="paragraph" w:styleId="Titoloindice">
    <w:name w:val="index heading"/>
    <w:basedOn w:val="Normale"/>
    <w:next w:val="Indice1"/>
    <w:uiPriority w:val="99"/>
    <w:semiHidden/>
    <w:unhideWhenUsed/>
    <w:rsid w:val="0003148D"/>
    <w:rPr>
      <w:rFonts w:asciiTheme="majorHAnsi" w:eastAsiaTheme="majorEastAsia" w:hAnsiTheme="majorHAnsi" w:cstheme="majorBidi"/>
      <w:b/>
      <w:bCs/>
    </w:rPr>
  </w:style>
  <w:style w:type="paragraph" w:styleId="Titoloindicefonti">
    <w:name w:val="toa heading"/>
    <w:basedOn w:val="Normale"/>
    <w:next w:val="Normale"/>
    <w:uiPriority w:val="99"/>
    <w:semiHidden/>
    <w:unhideWhenUsed/>
    <w:rsid w:val="0003148D"/>
    <w:pPr>
      <w:spacing w:before="120"/>
    </w:pPr>
    <w:rPr>
      <w:rFonts w:asciiTheme="majorHAnsi" w:eastAsiaTheme="majorEastAsia" w:hAnsiTheme="majorHAnsi" w:cstheme="majorBidi"/>
      <w:b/>
      <w:bCs/>
      <w:sz w:val="24"/>
      <w:szCs w:val="24"/>
    </w:rPr>
  </w:style>
  <w:style w:type="paragraph" w:styleId="Titolosommario">
    <w:name w:val="TOC Heading"/>
    <w:basedOn w:val="Titolo1"/>
    <w:next w:val="Normale"/>
    <w:uiPriority w:val="39"/>
    <w:semiHidden/>
    <w:unhideWhenUsed/>
    <w:qFormat/>
    <w:rsid w:val="0003148D"/>
    <w:pPr>
      <w:outlineLvl w:val="9"/>
    </w:pPr>
  </w:style>
  <w:style w:type="paragraph" w:customStyle="1" w:styleId="CETemail">
    <w:name w:val="CET email"/>
    <w:next w:val="CETBodytext"/>
    <w:rsid w:val="009E788A"/>
    <w:pPr>
      <w:spacing w:after="240"/>
    </w:pPr>
    <w:rPr>
      <w:rFonts w:ascii="Arial" w:eastAsia="Times New Roman" w:hAnsi="Arial" w:cs="Times New Roman"/>
      <w:noProof/>
      <w:sz w:val="16"/>
      <w:szCs w:val="20"/>
      <w:lang w:val="en-GB"/>
    </w:rPr>
  </w:style>
  <w:style w:type="character" w:customStyle="1" w:styleId="CETAddressCarattere">
    <w:name w:val="CET Address Carattere"/>
    <w:basedOn w:val="Carpredefinitoparagrafo"/>
    <w:link w:val="CETAddress"/>
    <w:rsid w:val="009E788A"/>
    <w:rPr>
      <w:rFonts w:ascii="Arial" w:eastAsia="Times New Roman" w:hAnsi="Arial" w:cs="Times New Roman"/>
      <w:noProof/>
      <w:sz w:val="16"/>
      <w:szCs w:val="20"/>
      <w:lang w:val="en-GB"/>
    </w:rPr>
  </w:style>
  <w:style w:type="paragraph" w:customStyle="1" w:styleId="CETBodytextBold">
    <w:name w:val="CET Body text (Bold)"/>
    <w:basedOn w:val="CETBodytext"/>
    <w:rsid w:val="00901EB6"/>
    <w:rPr>
      <w:b/>
    </w:rPr>
  </w:style>
  <w:style w:type="paragraph" w:customStyle="1" w:styleId="CETnumberingbullets">
    <w:name w:val="CET numbering (bullets)"/>
    <w:rsid w:val="008D433B"/>
    <w:pPr>
      <w:numPr>
        <w:numId w:val="13"/>
      </w:numPr>
      <w:spacing w:after="0" w:line="264" w:lineRule="auto"/>
    </w:pPr>
    <w:rPr>
      <w:rFonts w:ascii="Arial" w:eastAsia="Times New Roman" w:hAnsi="Arial" w:cs="Times New Roman"/>
      <w:sz w:val="18"/>
      <w:szCs w:val="20"/>
      <w:lang w:val="en-GB"/>
    </w:rPr>
  </w:style>
  <w:style w:type="paragraph" w:customStyle="1" w:styleId="CETnumbering1">
    <w:name w:val="CET numbering (1"/>
    <w:aliases w:val="2..)"/>
    <w:rsid w:val="00B57B36"/>
    <w:pPr>
      <w:numPr>
        <w:numId w:val="14"/>
      </w:numPr>
      <w:spacing w:after="0" w:line="264" w:lineRule="auto"/>
      <w:ind w:left="340" w:hanging="227"/>
    </w:pPr>
    <w:rPr>
      <w:rFonts w:ascii="Arial" w:eastAsia="Times New Roman" w:hAnsi="Arial" w:cs="Times New Roman"/>
      <w:sz w:val="18"/>
      <w:szCs w:val="20"/>
      <w:lang w:val="en-US"/>
    </w:rPr>
  </w:style>
  <w:style w:type="paragraph" w:customStyle="1" w:styleId="CETnumberinga">
    <w:name w:val="CET numbering (a"/>
    <w:aliases w:val="b,..)"/>
    <w:rsid w:val="00B57B36"/>
    <w:pPr>
      <w:numPr>
        <w:numId w:val="15"/>
      </w:numPr>
      <w:spacing w:after="0" w:line="264" w:lineRule="auto"/>
    </w:pPr>
    <w:rPr>
      <w:rFonts w:ascii="Arial" w:eastAsia="Times New Roman" w:hAnsi="Arial" w:cs="Times New Roman"/>
      <w:sz w:val="18"/>
      <w:szCs w:val="20"/>
      <w:lang w:val="en-GB"/>
    </w:rPr>
  </w:style>
  <w:style w:type="paragraph" w:styleId="Intestazione">
    <w:name w:val="header"/>
    <w:basedOn w:val="Normale"/>
    <w:link w:val="IntestazioneCarattere"/>
    <w:uiPriority w:val="99"/>
    <w:unhideWhenUsed/>
    <w:rsid w:val="005278B7"/>
    <w:pPr>
      <w:tabs>
        <w:tab w:val="clear" w:pos="7100"/>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278B7"/>
    <w:rPr>
      <w:rFonts w:ascii="Arial" w:eastAsia="Times New Roman" w:hAnsi="Arial" w:cs="Times New Roman"/>
      <w:sz w:val="18"/>
      <w:szCs w:val="20"/>
      <w:lang w:val="en-GB"/>
    </w:rPr>
  </w:style>
  <w:style w:type="paragraph" w:styleId="Pidipagina">
    <w:name w:val="footer"/>
    <w:basedOn w:val="Normale"/>
    <w:link w:val="PidipaginaCarattere"/>
    <w:uiPriority w:val="99"/>
    <w:unhideWhenUsed/>
    <w:rsid w:val="005278B7"/>
    <w:pPr>
      <w:tabs>
        <w:tab w:val="clear" w:pos="7100"/>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278B7"/>
    <w:rPr>
      <w:rFonts w:ascii="Arial" w:eastAsia="Times New Roman" w:hAnsi="Arial" w:cs="Times New Roman"/>
      <w:sz w:val="18"/>
      <w:szCs w:val="20"/>
      <w:lang w:val="en-GB"/>
    </w:rPr>
  </w:style>
  <w:style w:type="table" w:styleId="Grigliatabella">
    <w:name w:val="Table Grid"/>
    <w:basedOn w:val="Tabellanormale"/>
    <w:uiPriority w:val="59"/>
    <w:rsid w:val="0066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04C62"/>
    <w:rPr>
      <w:color w:val="0000FF" w:themeColor="hyperlink"/>
      <w:u w:val="single"/>
    </w:rPr>
  </w:style>
  <w:style w:type="character" w:customStyle="1" w:styleId="eudoraheader">
    <w:name w:val="eudoraheader"/>
    <w:basedOn w:val="Carpredefinitoparagrafo"/>
    <w:rsid w:val="00904C62"/>
  </w:style>
  <w:style w:type="paragraph" w:customStyle="1" w:styleId="CETListbullets">
    <w:name w:val="CET List bullets"/>
    <w:qFormat/>
    <w:rsid w:val="004577FE"/>
    <w:pPr>
      <w:spacing w:after="0" w:line="264" w:lineRule="auto"/>
      <w:ind w:left="340" w:hanging="227"/>
      <w:jc w:val="both"/>
    </w:pPr>
    <w:rPr>
      <w:rFonts w:ascii="Arial" w:eastAsia="Times New Roman" w:hAnsi="Arial" w:cs="Times New Roman"/>
      <w:sz w:val="18"/>
      <w:szCs w:val="20"/>
      <w:lang w:val="en-GB"/>
    </w:rPr>
  </w:style>
  <w:style w:type="paragraph" w:customStyle="1" w:styleId="CETReferencetext">
    <w:name w:val="CET Reference text"/>
    <w:qFormat/>
    <w:rsid w:val="00600535"/>
    <w:pPr>
      <w:spacing w:after="0" w:line="264" w:lineRule="auto"/>
      <w:ind w:left="284" w:hanging="284"/>
      <w:jc w:val="both"/>
    </w:pPr>
    <w:rPr>
      <w:rFonts w:ascii="Arial" w:eastAsia="Times New Roman" w:hAnsi="Arial" w:cs="Times New Roman"/>
      <w:sz w:val="18"/>
      <w:szCs w:val="20"/>
      <w:lang w:val="en-GB"/>
    </w:rPr>
  </w:style>
  <w:style w:type="paragraph" w:customStyle="1" w:styleId="CETTabletitle">
    <w:name w:val="CET Table title"/>
    <w:qFormat/>
    <w:rsid w:val="00600535"/>
    <w:pPr>
      <w:keepNext/>
      <w:spacing w:before="240" w:after="80" w:line="240" w:lineRule="exact"/>
    </w:pPr>
    <w:rPr>
      <w:rFonts w:ascii="Arial" w:eastAsia="Times New Roman" w:hAnsi="Arial" w:cs="Times New Roman"/>
      <w:i/>
      <w:sz w:val="18"/>
      <w:szCs w:val="20"/>
      <w:lang w:val="en-GB"/>
    </w:rPr>
  </w:style>
  <w:style w:type="paragraph" w:customStyle="1" w:styleId="CETAcknowledgementstitle">
    <w:name w:val="CET Acknowledgements title"/>
    <w:next w:val="CETBodytext"/>
    <w:qFormat/>
    <w:rsid w:val="00600535"/>
    <w:pPr>
      <w:spacing w:before="200" w:after="120"/>
    </w:pPr>
    <w:rPr>
      <w:rFonts w:ascii="Arial" w:eastAsia="Times New Roman" w:hAnsi="Arial" w:cs="Times New Roman"/>
      <w:b/>
      <w:sz w:val="18"/>
      <w:szCs w:val="20"/>
      <w:lang w:val="en-GB"/>
    </w:rPr>
  </w:style>
  <w:style w:type="paragraph" w:customStyle="1" w:styleId="CETEquation">
    <w:name w:val="CET Equation"/>
    <w:basedOn w:val="CETBodytext"/>
    <w:next w:val="CETBodytext"/>
    <w:qFormat/>
    <w:rsid w:val="00600535"/>
    <w:pPr>
      <w:spacing w:before="120" w:after="120"/>
      <w:jc w:val="left"/>
    </w:pPr>
    <w:rPr>
      <w:lang w:val="en-GB"/>
    </w:rPr>
  </w:style>
  <w:style w:type="paragraph" w:customStyle="1" w:styleId="CETHeadingxx">
    <w:name w:val="CET Headingxx"/>
    <w:basedOn w:val="CETheadingx"/>
    <w:link w:val="CETHeadingxxChar"/>
    <w:qFormat/>
    <w:rsid w:val="000F787B"/>
    <w:pPr>
      <w:numPr>
        <w:ilvl w:val="0"/>
        <w:numId w:val="0"/>
      </w:numPr>
    </w:pPr>
  </w:style>
  <w:style w:type="character" w:customStyle="1" w:styleId="CETHeadingxxChar">
    <w:name w:val="CET Headingxx Char"/>
    <w:basedOn w:val="CETheadingxCarattere"/>
    <w:link w:val="CETHeadingxx"/>
    <w:rsid w:val="000F787B"/>
    <w:rPr>
      <w:rFonts w:ascii="Arial" w:eastAsia="Times New Roman" w:hAnsi="Arial" w:cs="Times New Roman"/>
      <w:b/>
      <w:sz w:val="18"/>
      <w:szCs w:val="20"/>
      <w:lang w:val="en-US"/>
    </w:rPr>
  </w:style>
  <w:style w:type="paragraph" w:styleId="Paragrafoelenco">
    <w:name w:val="List Paragraph"/>
    <w:basedOn w:val="Normale"/>
    <w:uiPriority w:val="34"/>
    <w:rsid w:val="00280FAF"/>
    <w:pPr>
      <w:ind w:left="720"/>
      <w:contextualSpacing/>
    </w:pPr>
  </w:style>
  <w:style w:type="character" w:styleId="Testosegnaposto">
    <w:name w:val="Placeholder Text"/>
    <w:basedOn w:val="Carpredefinitoparagrafo"/>
    <w:uiPriority w:val="99"/>
    <w:semiHidden/>
    <w:rsid w:val="003D41B8"/>
    <w:rPr>
      <w:color w:val="808080"/>
    </w:rPr>
  </w:style>
  <w:style w:type="character" w:styleId="Menzionenonrisolta">
    <w:name w:val="Unresolved Mention"/>
    <w:basedOn w:val="Carpredefinitoparagrafo"/>
    <w:uiPriority w:val="99"/>
    <w:semiHidden/>
    <w:unhideWhenUsed/>
    <w:rsid w:val="009F0F97"/>
    <w:rPr>
      <w:color w:val="605E5C"/>
      <w:shd w:val="clear" w:color="auto" w:fill="E1DFDD"/>
    </w:rPr>
  </w:style>
  <w:style w:type="paragraph" w:styleId="Revisione">
    <w:name w:val="Revision"/>
    <w:hidden/>
    <w:uiPriority w:val="99"/>
    <w:semiHidden/>
    <w:rsid w:val="00942E63"/>
    <w:pPr>
      <w:spacing w:after="0" w:line="240" w:lineRule="auto"/>
    </w:pPr>
    <w:rPr>
      <w:rFonts w:ascii="Arial" w:eastAsia="Times New Roman" w:hAnsi="Arial" w:cs="Times New Roman"/>
      <w:sz w:val="1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48183">
      <w:bodyDiv w:val="1"/>
      <w:marLeft w:val="0"/>
      <w:marRight w:val="0"/>
      <w:marTop w:val="0"/>
      <w:marBottom w:val="0"/>
      <w:divBdr>
        <w:top w:val="none" w:sz="0" w:space="0" w:color="auto"/>
        <w:left w:val="none" w:sz="0" w:space="0" w:color="auto"/>
        <w:bottom w:val="none" w:sz="0" w:space="0" w:color="auto"/>
        <w:right w:val="none" w:sz="0" w:space="0" w:color="auto"/>
      </w:divBdr>
      <w:divsChild>
        <w:div w:id="1963724104">
          <w:marLeft w:val="480"/>
          <w:marRight w:val="0"/>
          <w:marTop w:val="0"/>
          <w:marBottom w:val="0"/>
          <w:divBdr>
            <w:top w:val="none" w:sz="0" w:space="0" w:color="auto"/>
            <w:left w:val="none" w:sz="0" w:space="0" w:color="auto"/>
            <w:bottom w:val="none" w:sz="0" w:space="0" w:color="auto"/>
            <w:right w:val="none" w:sz="0" w:space="0" w:color="auto"/>
          </w:divBdr>
        </w:div>
        <w:div w:id="51080388">
          <w:marLeft w:val="480"/>
          <w:marRight w:val="0"/>
          <w:marTop w:val="0"/>
          <w:marBottom w:val="0"/>
          <w:divBdr>
            <w:top w:val="none" w:sz="0" w:space="0" w:color="auto"/>
            <w:left w:val="none" w:sz="0" w:space="0" w:color="auto"/>
            <w:bottom w:val="none" w:sz="0" w:space="0" w:color="auto"/>
            <w:right w:val="none" w:sz="0" w:space="0" w:color="auto"/>
          </w:divBdr>
        </w:div>
        <w:div w:id="1394230446">
          <w:marLeft w:val="480"/>
          <w:marRight w:val="0"/>
          <w:marTop w:val="0"/>
          <w:marBottom w:val="0"/>
          <w:divBdr>
            <w:top w:val="none" w:sz="0" w:space="0" w:color="auto"/>
            <w:left w:val="none" w:sz="0" w:space="0" w:color="auto"/>
            <w:bottom w:val="none" w:sz="0" w:space="0" w:color="auto"/>
            <w:right w:val="none" w:sz="0" w:space="0" w:color="auto"/>
          </w:divBdr>
        </w:div>
        <w:div w:id="1754274455">
          <w:marLeft w:val="480"/>
          <w:marRight w:val="0"/>
          <w:marTop w:val="0"/>
          <w:marBottom w:val="0"/>
          <w:divBdr>
            <w:top w:val="none" w:sz="0" w:space="0" w:color="auto"/>
            <w:left w:val="none" w:sz="0" w:space="0" w:color="auto"/>
            <w:bottom w:val="none" w:sz="0" w:space="0" w:color="auto"/>
            <w:right w:val="none" w:sz="0" w:space="0" w:color="auto"/>
          </w:divBdr>
        </w:div>
        <w:div w:id="849024860">
          <w:marLeft w:val="480"/>
          <w:marRight w:val="0"/>
          <w:marTop w:val="0"/>
          <w:marBottom w:val="0"/>
          <w:divBdr>
            <w:top w:val="none" w:sz="0" w:space="0" w:color="auto"/>
            <w:left w:val="none" w:sz="0" w:space="0" w:color="auto"/>
            <w:bottom w:val="none" w:sz="0" w:space="0" w:color="auto"/>
            <w:right w:val="none" w:sz="0" w:space="0" w:color="auto"/>
          </w:divBdr>
        </w:div>
        <w:div w:id="1087847142">
          <w:marLeft w:val="480"/>
          <w:marRight w:val="0"/>
          <w:marTop w:val="0"/>
          <w:marBottom w:val="0"/>
          <w:divBdr>
            <w:top w:val="none" w:sz="0" w:space="0" w:color="auto"/>
            <w:left w:val="none" w:sz="0" w:space="0" w:color="auto"/>
            <w:bottom w:val="none" w:sz="0" w:space="0" w:color="auto"/>
            <w:right w:val="none" w:sz="0" w:space="0" w:color="auto"/>
          </w:divBdr>
        </w:div>
        <w:div w:id="840311669">
          <w:marLeft w:val="480"/>
          <w:marRight w:val="0"/>
          <w:marTop w:val="0"/>
          <w:marBottom w:val="0"/>
          <w:divBdr>
            <w:top w:val="none" w:sz="0" w:space="0" w:color="auto"/>
            <w:left w:val="none" w:sz="0" w:space="0" w:color="auto"/>
            <w:bottom w:val="none" w:sz="0" w:space="0" w:color="auto"/>
            <w:right w:val="none" w:sz="0" w:space="0" w:color="auto"/>
          </w:divBdr>
        </w:div>
        <w:div w:id="1358044447">
          <w:marLeft w:val="480"/>
          <w:marRight w:val="0"/>
          <w:marTop w:val="0"/>
          <w:marBottom w:val="0"/>
          <w:divBdr>
            <w:top w:val="none" w:sz="0" w:space="0" w:color="auto"/>
            <w:left w:val="none" w:sz="0" w:space="0" w:color="auto"/>
            <w:bottom w:val="none" w:sz="0" w:space="0" w:color="auto"/>
            <w:right w:val="none" w:sz="0" w:space="0" w:color="auto"/>
          </w:divBdr>
        </w:div>
        <w:div w:id="978805698">
          <w:marLeft w:val="480"/>
          <w:marRight w:val="0"/>
          <w:marTop w:val="0"/>
          <w:marBottom w:val="0"/>
          <w:divBdr>
            <w:top w:val="none" w:sz="0" w:space="0" w:color="auto"/>
            <w:left w:val="none" w:sz="0" w:space="0" w:color="auto"/>
            <w:bottom w:val="none" w:sz="0" w:space="0" w:color="auto"/>
            <w:right w:val="none" w:sz="0" w:space="0" w:color="auto"/>
          </w:divBdr>
        </w:div>
        <w:div w:id="740715636">
          <w:marLeft w:val="480"/>
          <w:marRight w:val="0"/>
          <w:marTop w:val="0"/>
          <w:marBottom w:val="0"/>
          <w:divBdr>
            <w:top w:val="none" w:sz="0" w:space="0" w:color="auto"/>
            <w:left w:val="none" w:sz="0" w:space="0" w:color="auto"/>
            <w:bottom w:val="none" w:sz="0" w:space="0" w:color="auto"/>
            <w:right w:val="none" w:sz="0" w:space="0" w:color="auto"/>
          </w:divBdr>
        </w:div>
        <w:div w:id="1100683340">
          <w:marLeft w:val="480"/>
          <w:marRight w:val="0"/>
          <w:marTop w:val="0"/>
          <w:marBottom w:val="0"/>
          <w:divBdr>
            <w:top w:val="none" w:sz="0" w:space="0" w:color="auto"/>
            <w:left w:val="none" w:sz="0" w:space="0" w:color="auto"/>
            <w:bottom w:val="none" w:sz="0" w:space="0" w:color="auto"/>
            <w:right w:val="none" w:sz="0" w:space="0" w:color="auto"/>
          </w:divBdr>
        </w:div>
        <w:div w:id="586966016">
          <w:marLeft w:val="480"/>
          <w:marRight w:val="0"/>
          <w:marTop w:val="0"/>
          <w:marBottom w:val="0"/>
          <w:divBdr>
            <w:top w:val="none" w:sz="0" w:space="0" w:color="auto"/>
            <w:left w:val="none" w:sz="0" w:space="0" w:color="auto"/>
            <w:bottom w:val="none" w:sz="0" w:space="0" w:color="auto"/>
            <w:right w:val="none" w:sz="0" w:space="0" w:color="auto"/>
          </w:divBdr>
        </w:div>
      </w:divsChild>
    </w:div>
    <w:div w:id="176160828">
      <w:bodyDiv w:val="1"/>
      <w:marLeft w:val="0"/>
      <w:marRight w:val="0"/>
      <w:marTop w:val="0"/>
      <w:marBottom w:val="0"/>
      <w:divBdr>
        <w:top w:val="none" w:sz="0" w:space="0" w:color="auto"/>
        <w:left w:val="none" w:sz="0" w:space="0" w:color="auto"/>
        <w:bottom w:val="none" w:sz="0" w:space="0" w:color="auto"/>
        <w:right w:val="none" w:sz="0" w:space="0" w:color="auto"/>
      </w:divBdr>
      <w:divsChild>
        <w:div w:id="1078988876">
          <w:marLeft w:val="480"/>
          <w:marRight w:val="0"/>
          <w:marTop w:val="0"/>
          <w:marBottom w:val="0"/>
          <w:divBdr>
            <w:top w:val="none" w:sz="0" w:space="0" w:color="auto"/>
            <w:left w:val="none" w:sz="0" w:space="0" w:color="auto"/>
            <w:bottom w:val="none" w:sz="0" w:space="0" w:color="auto"/>
            <w:right w:val="none" w:sz="0" w:space="0" w:color="auto"/>
          </w:divBdr>
        </w:div>
        <w:div w:id="897858589">
          <w:marLeft w:val="480"/>
          <w:marRight w:val="0"/>
          <w:marTop w:val="0"/>
          <w:marBottom w:val="0"/>
          <w:divBdr>
            <w:top w:val="none" w:sz="0" w:space="0" w:color="auto"/>
            <w:left w:val="none" w:sz="0" w:space="0" w:color="auto"/>
            <w:bottom w:val="none" w:sz="0" w:space="0" w:color="auto"/>
            <w:right w:val="none" w:sz="0" w:space="0" w:color="auto"/>
          </w:divBdr>
        </w:div>
        <w:div w:id="912351570">
          <w:marLeft w:val="480"/>
          <w:marRight w:val="0"/>
          <w:marTop w:val="0"/>
          <w:marBottom w:val="0"/>
          <w:divBdr>
            <w:top w:val="none" w:sz="0" w:space="0" w:color="auto"/>
            <w:left w:val="none" w:sz="0" w:space="0" w:color="auto"/>
            <w:bottom w:val="none" w:sz="0" w:space="0" w:color="auto"/>
            <w:right w:val="none" w:sz="0" w:space="0" w:color="auto"/>
          </w:divBdr>
        </w:div>
        <w:div w:id="656374866">
          <w:marLeft w:val="480"/>
          <w:marRight w:val="0"/>
          <w:marTop w:val="0"/>
          <w:marBottom w:val="0"/>
          <w:divBdr>
            <w:top w:val="none" w:sz="0" w:space="0" w:color="auto"/>
            <w:left w:val="none" w:sz="0" w:space="0" w:color="auto"/>
            <w:bottom w:val="none" w:sz="0" w:space="0" w:color="auto"/>
            <w:right w:val="none" w:sz="0" w:space="0" w:color="auto"/>
          </w:divBdr>
        </w:div>
        <w:div w:id="261763123">
          <w:marLeft w:val="480"/>
          <w:marRight w:val="0"/>
          <w:marTop w:val="0"/>
          <w:marBottom w:val="0"/>
          <w:divBdr>
            <w:top w:val="none" w:sz="0" w:space="0" w:color="auto"/>
            <w:left w:val="none" w:sz="0" w:space="0" w:color="auto"/>
            <w:bottom w:val="none" w:sz="0" w:space="0" w:color="auto"/>
            <w:right w:val="none" w:sz="0" w:space="0" w:color="auto"/>
          </w:divBdr>
        </w:div>
        <w:div w:id="805315334">
          <w:marLeft w:val="480"/>
          <w:marRight w:val="0"/>
          <w:marTop w:val="0"/>
          <w:marBottom w:val="0"/>
          <w:divBdr>
            <w:top w:val="none" w:sz="0" w:space="0" w:color="auto"/>
            <w:left w:val="none" w:sz="0" w:space="0" w:color="auto"/>
            <w:bottom w:val="none" w:sz="0" w:space="0" w:color="auto"/>
            <w:right w:val="none" w:sz="0" w:space="0" w:color="auto"/>
          </w:divBdr>
        </w:div>
        <w:div w:id="622806528">
          <w:marLeft w:val="480"/>
          <w:marRight w:val="0"/>
          <w:marTop w:val="0"/>
          <w:marBottom w:val="0"/>
          <w:divBdr>
            <w:top w:val="none" w:sz="0" w:space="0" w:color="auto"/>
            <w:left w:val="none" w:sz="0" w:space="0" w:color="auto"/>
            <w:bottom w:val="none" w:sz="0" w:space="0" w:color="auto"/>
            <w:right w:val="none" w:sz="0" w:space="0" w:color="auto"/>
          </w:divBdr>
        </w:div>
        <w:div w:id="393966047">
          <w:marLeft w:val="480"/>
          <w:marRight w:val="0"/>
          <w:marTop w:val="0"/>
          <w:marBottom w:val="0"/>
          <w:divBdr>
            <w:top w:val="none" w:sz="0" w:space="0" w:color="auto"/>
            <w:left w:val="none" w:sz="0" w:space="0" w:color="auto"/>
            <w:bottom w:val="none" w:sz="0" w:space="0" w:color="auto"/>
            <w:right w:val="none" w:sz="0" w:space="0" w:color="auto"/>
          </w:divBdr>
        </w:div>
        <w:div w:id="364914431">
          <w:marLeft w:val="480"/>
          <w:marRight w:val="0"/>
          <w:marTop w:val="0"/>
          <w:marBottom w:val="0"/>
          <w:divBdr>
            <w:top w:val="none" w:sz="0" w:space="0" w:color="auto"/>
            <w:left w:val="none" w:sz="0" w:space="0" w:color="auto"/>
            <w:bottom w:val="none" w:sz="0" w:space="0" w:color="auto"/>
            <w:right w:val="none" w:sz="0" w:space="0" w:color="auto"/>
          </w:divBdr>
        </w:div>
        <w:div w:id="583226894">
          <w:marLeft w:val="480"/>
          <w:marRight w:val="0"/>
          <w:marTop w:val="0"/>
          <w:marBottom w:val="0"/>
          <w:divBdr>
            <w:top w:val="none" w:sz="0" w:space="0" w:color="auto"/>
            <w:left w:val="none" w:sz="0" w:space="0" w:color="auto"/>
            <w:bottom w:val="none" w:sz="0" w:space="0" w:color="auto"/>
            <w:right w:val="none" w:sz="0" w:space="0" w:color="auto"/>
          </w:divBdr>
        </w:div>
        <w:div w:id="135874934">
          <w:marLeft w:val="480"/>
          <w:marRight w:val="0"/>
          <w:marTop w:val="0"/>
          <w:marBottom w:val="0"/>
          <w:divBdr>
            <w:top w:val="none" w:sz="0" w:space="0" w:color="auto"/>
            <w:left w:val="none" w:sz="0" w:space="0" w:color="auto"/>
            <w:bottom w:val="none" w:sz="0" w:space="0" w:color="auto"/>
            <w:right w:val="none" w:sz="0" w:space="0" w:color="auto"/>
          </w:divBdr>
        </w:div>
        <w:div w:id="1074593843">
          <w:marLeft w:val="480"/>
          <w:marRight w:val="0"/>
          <w:marTop w:val="0"/>
          <w:marBottom w:val="0"/>
          <w:divBdr>
            <w:top w:val="none" w:sz="0" w:space="0" w:color="auto"/>
            <w:left w:val="none" w:sz="0" w:space="0" w:color="auto"/>
            <w:bottom w:val="none" w:sz="0" w:space="0" w:color="auto"/>
            <w:right w:val="none" w:sz="0" w:space="0" w:color="auto"/>
          </w:divBdr>
        </w:div>
        <w:div w:id="492187340">
          <w:marLeft w:val="480"/>
          <w:marRight w:val="0"/>
          <w:marTop w:val="0"/>
          <w:marBottom w:val="0"/>
          <w:divBdr>
            <w:top w:val="none" w:sz="0" w:space="0" w:color="auto"/>
            <w:left w:val="none" w:sz="0" w:space="0" w:color="auto"/>
            <w:bottom w:val="none" w:sz="0" w:space="0" w:color="auto"/>
            <w:right w:val="none" w:sz="0" w:space="0" w:color="auto"/>
          </w:divBdr>
        </w:div>
        <w:div w:id="1847287175">
          <w:marLeft w:val="480"/>
          <w:marRight w:val="0"/>
          <w:marTop w:val="0"/>
          <w:marBottom w:val="0"/>
          <w:divBdr>
            <w:top w:val="none" w:sz="0" w:space="0" w:color="auto"/>
            <w:left w:val="none" w:sz="0" w:space="0" w:color="auto"/>
            <w:bottom w:val="none" w:sz="0" w:space="0" w:color="auto"/>
            <w:right w:val="none" w:sz="0" w:space="0" w:color="auto"/>
          </w:divBdr>
        </w:div>
        <w:div w:id="901020556">
          <w:marLeft w:val="480"/>
          <w:marRight w:val="0"/>
          <w:marTop w:val="0"/>
          <w:marBottom w:val="0"/>
          <w:divBdr>
            <w:top w:val="none" w:sz="0" w:space="0" w:color="auto"/>
            <w:left w:val="none" w:sz="0" w:space="0" w:color="auto"/>
            <w:bottom w:val="none" w:sz="0" w:space="0" w:color="auto"/>
            <w:right w:val="none" w:sz="0" w:space="0" w:color="auto"/>
          </w:divBdr>
        </w:div>
        <w:div w:id="1534222743">
          <w:marLeft w:val="480"/>
          <w:marRight w:val="0"/>
          <w:marTop w:val="0"/>
          <w:marBottom w:val="0"/>
          <w:divBdr>
            <w:top w:val="none" w:sz="0" w:space="0" w:color="auto"/>
            <w:left w:val="none" w:sz="0" w:space="0" w:color="auto"/>
            <w:bottom w:val="none" w:sz="0" w:space="0" w:color="auto"/>
            <w:right w:val="none" w:sz="0" w:space="0" w:color="auto"/>
          </w:divBdr>
        </w:div>
        <w:div w:id="81031690">
          <w:marLeft w:val="480"/>
          <w:marRight w:val="0"/>
          <w:marTop w:val="0"/>
          <w:marBottom w:val="0"/>
          <w:divBdr>
            <w:top w:val="none" w:sz="0" w:space="0" w:color="auto"/>
            <w:left w:val="none" w:sz="0" w:space="0" w:color="auto"/>
            <w:bottom w:val="none" w:sz="0" w:space="0" w:color="auto"/>
            <w:right w:val="none" w:sz="0" w:space="0" w:color="auto"/>
          </w:divBdr>
        </w:div>
      </w:divsChild>
    </w:div>
    <w:div w:id="198009192">
      <w:bodyDiv w:val="1"/>
      <w:marLeft w:val="0"/>
      <w:marRight w:val="0"/>
      <w:marTop w:val="0"/>
      <w:marBottom w:val="0"/>
      <w:divBdr>
        <w:top w:val="none" w:sz="0" w:space="0" w:color="auto"/>
        <w:left w:val="none" w:sz="0" w:space="0" w:color="auto"/>
        <w:bottom w:val="none" w:sz="0" w:space="0" w:color="auto"/>
        <w:right w:val="none" w:sz="0" w:space="0" w:color="auto"/>
      </w:divBdr>
    </w:div>
    <w:div w:id="243996675">
      <w:bodyDiv w:val="1"/>
      <w:marLeft w:val="0"/>
      <w:marRight w:val="0"/>
      <w:marTop w:val="0"/>
      <w:marBottom w:val="0"/>
      <w:divBdr>
        <w:top w:val="none" w:sz="0" w:space="0" w:color="auto"/>
        <w:left w:val="none" w:sz="0" w:space="0" w:color="auto"/>
        <w:bottom w:val="none" w:sz="0" w:space="0" w:color="auto"/>
        <w:right w:val="none" w:sz="0" w:space="0" w:color="auto"/>
      </w:divBdr>
      <w:divsChild>
        <w:div w:id="736166923">
          <w:marLeft w:val="480"/>
          <w:marRight w:val="0"/>
          <w:marTop w:val="0"/>
          <w:marBottom w:val="0"/>
          <w:divBdr>
            <w:top w:val="none" w:sz="0" w:space="0" w:color="auto"/>
            <w:left w:val="none" w:sz="0" w:space="0" w:color="auto"/>
            <w:bottom w:val="none" w:sz="0" w:space="0" w:color="auto"/>
            <w:right w:val="none" w:sz="0" w:space="0" w:color="auto"/>
          </w:divBdr>
        </w:div>
        <w:div w:id="466895878">
          <w:marLeft w:val="480"/>
          <w:marRight w:val="0"/>
          <w:marTop w:val="0"/>
          <w:marBottom w:val="0"/>
          <w:divBdr>
            <w:top w:val="none" w:sz="0" w:space="0" w:color="auto"/>
            <w:left w:val="none" w:sz="0" w:space="0" w:color="auto"/>
            <w:bottom w:val="none" w:sz="0" w:space="0" w:color="auto"/>
            <w:right w:val="none" w:sz="0" w:space="0" w:color="auto"/>
          </w:divBdr>
        </w:div>
        <w:div w:id="1018972776">
          <w:marLeft w:val="480"/>
          <w:marRight w:val="0"/>
          <w:marTop w:val="0"/>
          <w:marBottom w:val="0"/>
          <w:divBdr>
            <w:top w:val="none" w:sz="0" w:space="0" w:color="auto"/>
            <w:left w:val="none" w:sz="0" w:space="0" w:color="auto"/>
            <w:bottom w:val="none" w:sz="0" w:space="0" w:color="auto"/>
            <w:right w:val="none" w:sz="0" w:space="0" w:color="auto"/>
          </w:divBdr>
        </w:div>
        <w:div w:id="154230498">
          <w:marLeft w:val="480"/>
          <w:marRight w:val="0"/>
          <w:marTop w:val="0"/>
          <w:marBottom w:val="0"/>
          <w:divBdr>
            <w:top w:val="none" w:sz="0" w:space="0" w:color="auto"/>
            <w:left w:val="none" w:sz="0" w:space="0" w:color="auto"/>
            <w:bottom w:val="none" w:sz="0" w:space="0" w:color="auto"/>
            <w:right w:val="none" w:sz="0" w:space="0" w:color="auto"/>
          </w:divBdr>
        </w:div>
        <w:div w:id="917251896">
          <w:marLeft w:val="480"/>
          <w:marRight w:val="0"/>
          <w:marTop w:val="0"/>
          <w:marBottom w:val="0"/>
          <w:divBdr>
            <w:top w:val="none" w:sz="0" w:space="0" w:color="auto"/>
            <w:left w:val="none" w:sz="0" w:space="0" w:color="auto"/>
            <w:bottom w:val="none" w:sz="0" w:space="0" w:color="auto"/>
            <w:right w:val="none" w:sz="0" w:space="0" w:color="auto"/>
          </w:divBdr>
        </w:div>
        <w:div w:id="299191944">
          <w:marLeft w:val="480"/>
          <w:marRight w:val="0"/>
          <w:marTop w:val="0"/>
          <w:marBottom w:val="0"/>
          <w:divBdr>
            <w:top w:val="none" w:sz="0" w:space="0" w:color="auto"/>
            <w:left w:val="none" w:sz="0" w:space="0" w:color="auto"/>
            <w:bottom w:val="none" w:sz="0" w:space="0" w:color="auto"/>
            <w:right w:val="none" w:sz="0" w:space="0" w:color="auto"/>
          </w:divBdr>
        </w:div>
        <w:div w:id="1352563106">
          <w:marLeft w:val="480"/>
          <w:marRight w:val="0"/>
          <w:marTop w:val="0"/>
          <w:marBottom w:val="0"/>
          <w:divBdr>
            <w:top w:val="none" w:sz="0" w:space="0" w:color="auto"/>
            <w:left w:val="none" w:sz="0" w:space="0" w:color="auto"/>
            <w:bottom w:val="none" w:sz="0" w:space="0" w:color="auto"/>
            <w:right w:val="none" w:sz="0" w:space="0" w:color="auto"/>
          </w:divBdr>
        </w:div>
        <w:div w:id="1659772293">
          <w:marLeft w:val="480"/>
          <w:marRight w:val="0"/>
          <w:marTop w:val="0"/>
          <w:marBottom w:val="0"/>
          <w:divBdr>
            <w:top w:val="none" w:sz="0" w:space="0" w:color="auto"/>
            <w:left w:val="none" w:sz="0" w:space="0" w:color="auto"/>
            <w:bottom w:val="none" w:sz="0" w:space="0" w:color="auto"/>
            <w:right w:val="none" w:sz="0" w:space="0" w:color="auto"/>
          </w:divBdr>
        </w:div>
        <w:div w:id="2123378939">
          <w:marLeft w:val="480"/>
          <w:marRight w:val="0"/>
          <w:marTop w:val="0"/>
          <w:marBottom w:val="0"/>
          <w:divBdr>
            <w:top w:val="none" w:sz="0" w:space="0" w:color="auto"/>
            <w:left w:val="none" w:sz="0" w:space="0" w:color="auto"/>
            <w:bottom w:val="none" w:sz="0" w:space="0" w:color="auto"/>
            <w:right w:val="none" w:sz="0" w:space="0" w:color="auto"/>
          </w:divBdr>
        </w:div>
        <w:div w:id="579681229">
          <w:marLeft w:val="480"/>
          <w:marRight w:val="0"/>
          <w:marTop w:val="0"/>
          <w:marBottom w:val="0"/>
          <w:divBdr>
            <w:top w:val="none" w:sz="0" w:space="0" w:color="auto"/>
            <w:left w:val="none" w:sz="0" w:space="0" w:color="auto"/>
            <w:bottom w:val="none" w:sz="0" w:space="0" w:color="auto"/>
            <w:right w:val="none" w:sz="0" w:space="0" w:color="auto"/>
          </w:divBdr>
        </w:div>
        <w:div w:id="1114522877">
          <w:marLeft w:val="480"/>
          <w:marRight w:val="0"/>
          <w:marTop w:val="0"/>
          <w:marBottom w:val="0"/>
          <w:divBdr>
            <w:top w:val="none" w:sz="0" w:space="0" w:color="auto"/>
            <w:left w:val="none" w:sz="0" w:space="0" w:color="auto"/>
            <w:bottom w:val="none" w:sz="0" w:space="0" w:color="auto"/>
            <w:right w:val="none" w:sz="0" w:space="0" w:color="auto"/>
          </w:divBdr>
        </w:div>
        <w:div w:id="1083187536">
          <w:marLeft w:val="480"/>
          <w:marRight w:val="0"/>
          <w:marTop w:val="0"/>
          <w:marBottom w:val="0"/>
          <w:divBdr>
            <w:top w:val="none" w:sz="0" w:space="0" w:color="auto"/>
            <w:left w:val="none" w:sz="0" w:space="0" w:color="auto"/>
            <w:bottom w:val="none" w:sz="0" w:space="0" w:color="auto"/>
            <w:right w:val="none" w:sz="0" w:space="0" w:color="auto"/>
          </w:divBdr>
        </w:div>
      </w:divsChild>
    </w:div>
    <w:div w:id="251856857">
      <w:bodyDiv w:val="1"/>
      <w:marLeft w:val="0"/>
      <w:marRight w:val="0"/>
      <w:marTop w:val="0"/>
      <w:marBottom w:val="0"/>
      <w:divBdr>
        <w:top w:val="none" w:sz="0" w:space="0" w:color="auto"/>
        <w:left w:val="none" w:sz="0" w:space="0" w:color="auto"/>
        <w:bottom w:val="none" w:sz="0" w:space="0" w:color="auto"/>
        <w:right w:val="none" w:sz="0" w:space="0" w:color="auto"/>
      </w:divBdr>
    </w:div>
    <w:div w:id="267470361">
      <w:bodyDiv w:val="1"/>
      <w:marLeft w:val="0"/>
      <w:marRight w:val="0"/>
      <w:marTop w:val="0"/>
      <w:marBottom w:val="0"/>
      <w:divBdr>
        <w:top w:val="none" w:sz="0" w:space="0" w:color="auto"/>
        <w:left w:val="none" w:sz="0" w:space="0" w:color="auto"/>
        <w:bottom w:val="none" w:sz="0" w:space="0" w:color="auto"/>
        <w:right w:val="none" w:sz="0" w:space="0" w:color="auto"/>
      </w:divBdr>
    </w:div>
    <w:div w:id="282077147">
      <w:bodyDiv w:val="1"/>
      <w:marLeft w:val="0"/>
      <w:marRight w:val="0"/>
      <w:marTop w:val="0"/>
      <w:marBottom w:val="0"/>
      <w:divBdr>
        <w:top w:val="none" w:sz="0" w:space="0" w:color="auto"/>
        <w:left w:val="none" w:sz="0" w:space="0" w:color="auto"/>
        <w:bottom w:val="none" w:sz="0" w:space="0" w:color="auto"/>
        <w:right w:val="none" w:sz="0" w:space="0" w:color="auto"/>
      </w:divBdr>
    </w:div>
    <w:div w:id="310716257">
      <w:bodyDiv w:val="1"/>
      <w:marLeft w:val="0"/>
      <w:marRight w:val="0"/>
      <w:marTop w:val="0"/>
      <w:marBottom w:val="0"/>
      <w:divBdr>
        <w:top w:val="none" w:sz="0" w:space="0" w:color="auto"/>
        <w:left w:val="none" w:sz="0" w:space="0" w:color="auto"/>
        <w:bottom w:val="none" w:sz="0" w:space="0" w:color="auto"/>
        <w:right w:val="none" w:sz="0" w:space="0" w:color="auto"/>
      </w:divBdr>
      <w:divsChild>
        <w:div w:id="2079093358">
          <w:marLeft w:val="480"/>
          <w:marRight w:val="0"/>
          <w:marTop w:val="0"/>
          <w:marBottom w:val="0"/>
          <w:divBdr>
            <w:top w:val="none" w:sz="0" w:space="0" w:color="auto"/>
            <w:left w:val="none" w:sz="0" w:space="0" w:color="auto"/>
            <w:bottom w:val="none" w:sz="0" w:space="0" w:color="auto"/>
            <w:right w:val="none" w:sz="0" w:space="0" w:color="auto"/>
          </w:divBdr>
        </w:div>
        <w:div w:id="543374694">
          <w:marLeft w:val="480"/>
          <w:marRight w:val="0"/>
          <w:marTop w:val="0"/>
          <w:marBottom w:val="0"/>
          <w:divBdr>
            <w:top w:val="none" w:sz="0" w:space="0" w:color="auto"/>
            <w:left w:val="none" w:sz="0" w:space="0" w:color="auto"/>
            <w:bottom w:val="none" w:sz="0" w:space="0" w:color="auto"/>
            <w:right w:val="none" w:sz="0" w:space="0" w:color="auto"/>
          </w:divBdr>
        </w:div>
        <w:div w:id="169612584">
          <w:marLeft w:val="480"/>
          <w:marRight w:val="0"/>
          <w:marTop w:val="0"/>
          <w:marBottom w:val="0"/>
          <w:divBdr>
            <w:top w:val="none" w:sz="0" w:space="0" w:color="auto"/>
            <w:left w:val="none" w:sz="0" w:space="0" w:color="auto"/>
            <w:bottom w:val="none" w:sz="0" w:space="0" w:color="auto"/>
            <w:right w:val="none" w:sz="0" w:space="0" w:color="auto"/>
          </w:divBdr>
        </w:div>
        <w:div w:id="577204318">
          <w:marLeft w:val="480"/>
          <w:marRight w:val="0"/>
          <w:marTop w:val="0"/>
          <w:marBottom w:val="0"/>
          <w:divBdr>
            <w:top w:val="none" w:sz="0" w:space="0" w:color="auto"/>
            <w:left w:val="none" w:sz="0" w:space="0" w:color="auto"/>
            <w:bottom w:val="none" w:sz="0" w:space="0" w:color="auto"/>
            <w:right w:val="none" w:sz="0" w:space="0" w:color="auto"/>
          </w:divBdr>
        </w:div>
        <w:div w:id="1864662392">
          <w:marLeft w:val="480"/>
          <w:marRight w:val="0"/>
          <w:marTop w:val="0"/>
          <w:marBottom w:val="0"/>
          <w:divBdr>
            <w:top w:val="none" w:sz="0" w:space="0" w:color="auto"/>
            <w:left w:val="none" w:sz="0" w:space="0" w:color="auto"/>
            <w:bottom w:val="none" w:sz="0" w:space="0" w:color="auto"/>
            <w:right w:val="none" w:sz="0" w:space="0" w:color="auto"/>
          </w:divBdr>
        </w:div>
        <w:div w:id="480728860">
          <w:marLeft w:val="480"/>
          <w:marRight w:val="0"/>
          <w:marTop w:val="0"/>
          <w:marBottom w:val="0"/>
          <w:divBdr>
            <w:top w:val="none" w:sz="0" w:space="0" w:color="auto"/>
            <w:left w:val="none" w:sz="0" w:space="0" w:color="auto"/>
            <w:bottom w:val="none" w:sz="0" w:space="0" w:color="auto"/>
            <w:right w:val="none" w:sz="0" w:space="0" w:color="auto"/>
          </w:divBdr>
        </w:div>
        <w:div w:id="2037732302">
          <w:marLeft w:val="480"/>
          <w:marRight w:val="0"/>
          <w:marTop w:val="0"/>
          <w:marBottom w:val="0"/>
          <w:divBdr>
            <w:top w:val="none" w:sz="0" w:space="0" w:color="auto"/>
            <w:left w:val="none" w:sz="0" w:space="0" w:color="auto"/>
            <w:bottom w:val="none" w:sz="0" w:space="0" w:color="auto"/>
            <w:right w:val="none" w:sz="0" w:space="0" w:color="auto"/>
          </w:divBdr>
        </w:div>
        <w:div w:id="861163771">
          <w:marLeft w:val="480"/>
          <w:marRight w:val="0"/>
          <w:marTop w:val="0"/>
          <w:marBottom w:val="0"/>
          <w:divBdr>
            <w:top w:val="none" w:sz="0" w:space="0" w:color="auto"/>
            <w:left w:val="none" w:sz="0" w:space="0" w:color="auto"/>
            <w:bottom w:val="none" w:sz="0" w:space="0" w:color="auto"/>
            <w:right w:val="none" w:sz="0" w:space="0" w:color="auto"/>
          </w:divBdr>
        </w:div>
        <w:div w:id="1431007266">
          <w:marLeft w:val="480"/>
          <w:marRight w:val="0"/>
          <w:marTop w:val="0"/>
          <w:marBottom w:val="0"/>
          <w:divBdr>
            <w:top w:val="none" w:sz="0" w:space="0" w:color="auto"/>
            <w:left w:val="none" w:sz="0" w:space="0" w:color="auto"/>
            <w:bottom w:val="none" w:sz="0" w:space="0" w:color="auto"/>
            <w:right w:val="none" w:sz="0" w:space="0" w:color="auto"/>
          </w:divBdr>
        </w:div>
        <w:div w:id="1759908590">
          <w:marLeft w:val="480"/>
          <w:marRight w:val="0"/>
          <w:marTop w:val="0"/>
          <w:marBottom w:val="0"/>
          <w:divBdr>
            <w:top w:val="none" w:sz="0" w:space="0" w:color="auto"/>
            <w:left w:val="none" w:sz="0" w:space="0" w:color="auto"/>
            <w:bottom w:val="none" w:sz="0" w:space="0" w:color="auto"/>
            <w:right w:val="none" w:sz="0" w:space="0" w:color="auto"/>
          </w:divBdr>
        </w:div>
        <w:div w:id="918056082">
          <w:marLeft w:val="480"/>
          <w:marRight w:val="0"/>
          <w:marTop w:val="0"/>
          <w:marBottom w:val="0"/>
          <w:divBdr>
            <w:top w:val="none" w:sz="0" w:space="0" w:color="auto"/>
            <w:left w:val="none" w:sz="0" w:space="0" w:color="auto"/>
            <w:bottom w:val="none" w:sz="0" w:space="0" w:color="auto"/>
            <w:right w:val="none" w:sz="0" w:space="0" w:color="auto"/>
          </w:divBdr>
        </w:div>
        <w:div w:id="883100575">
          <w:marLeft w:val="480"/>
          <w:marRight w:val="0"/>
          <w:marTop w:val="0"/>
          <w:marBottom w:val="0"/>
          <w:divBdr>
            <w:top w:val="none" w:sz="0" w:space="0" w:color="auto"/>
            <w:left w:val="none" w:sz="0" w:space="0" w:color="auto"/>
            <w:bottom w:val="none" w:sz="0" w:space="0" w:color="auto"/>
            <w:right w:val="none" w:sz="0" w:space="0" w:color="auto"/>
          </w:divBdr>
        </w:div>
        <w:div w:id="1589772940">
          <w:marLeft w:val="480"/>
          <w:marRight w:val="0"/>
          <w:marTop w:val="0"/>
          <w:marBottom w:val="0"/>
          <w:divBdr>
            <w:top w:val="none" w:sz="0" w:space="0" w:color="auto"/>
            <w:left w:val="none" w:sz="0" w:space="0" w:color="auto"/>
            <w:bottom w:val="none" w:sz="0" w:space="0" w:color="auto"/>
            <w:right w:val="none" w:sz="0" w:space="0" w:color="auto"/>
          </w:divBdr>
        </w:div>
        <w:div w:id="1088650147">
          <w:marLeft w:val="480"/>
          <w:marRight w:val="0"/>
          <w:marTop w:val="0"/>
          <w:marBottom w:val="0"/>
          <w:divBdr>
            <w:top w:val="none" w:sz="0" w:space="0" w:color="auto"/>
            <w:left w:val="none" w:sz="0" w:space="0" w:color="auto"/>
            <w:bottom w:val="none" w:sz="0" w:space="0" w:color="auto"/>
            <w:right w:val="none" w:sz="0" w:space="0" w:color="auto"/>
          </w:divBdr>
        </w:div>
        <w:div w:id="1185048015">
          <w:marLeft w:val="480"/>
          <w:marRight w:val="0"/>
          <w:marTop w:val="0"/>
          <w:marBottom w:val="0"/>
          <w:divBdr>
            <w:top w:val="none" w:sz="0" w:space="0" w:color="auto"/>
            <w:left w:val="none" w:sz="0" w:space="0" w:color="auto"/>
            <w:bottom w:val="none" w:sz="0" w:space="0" w:color="auto"/>
            <w:right w:val="none" w:sz="0" w:space="0" w:color="auto"/>
          </w:divBdr>
        </w:div>
        <w:div w:id="1242105960">
          <w:marLeft w:val="480"/>
          <w:marRight w:val="0"/>
          <w:marTop w:val="0"/>
          <w:marBottom w:val="0"/>
          <w:divBdr>
            <w:top w:val="none" w:sz="0" w:space="0" w:color="auto"/>
            <w:left w:val="none" w:sz="0" w:space="0" w:color="auto"/>
            <w:bottom w:val="none" w:sz="0" w:space="0" w:color="auto"/>
            <w:right w:val="none" w:sz="0" w:space="0" w:color="auto"/>
          </w:divBdr>
        </w:div>
        <w:div w:id="189926026">
          <w:marLeft w:val="480"/>
          <w:marRight w:val="0"/>
          <w:marTop w:val="0"/>
          <w:marBottom w:val="0"/>
          <w:divBdr>
            <w:top w:val="none" w:sz="0" w:space="0" w:color="auto"/>
            <w:left w:val="none" w:sz="0" w:space="0" w:color="auto"/>
            <w:bottom w:val="none" w:sz="0" w:space="0" w:color="auto"/>
            <w:right w:val="none" w:sz="0" w:space="0" w:color="auto"/>
          </w:divBdr>
        </w:div>
        <w:div w:id="1292782378">
          <w:marLeft w:val="480"/>
          <w:marRight w:val="0"/>
          <w:marTop w:val="0"/>
          <w:marBottom w:val="0"/>
          <w:divBdr>
            <w:top w:val="none" w:sz="0" w:space="0" w:color="auto"/>
            <w:left w:val="none" w:sz="0" w:space="0" w:color="auto"/>
            <w:bottom w:val="none" w:sz="0" w:space="0" w:color="auto"/>
            <w:right w:val="none" w:sz="0" w:space="0" w:color="auto"/>
          </w:divBdr>
        </w:div>
        <w:div w:id="457838051">
          <w:marLeft w:val="480"/>
          <w:marRight w:val="0"/>
          <w:marTop w:val="0"/>
          <w:marBottom w:val="0"/>
          <w:divBdr>
            <w:top w:val="none" w:sz="0" w:space="0" w:color="auto"/>
            <w:left w:val="none" w:sz="0" w:space="0" w:color="auto"/>
            <w:bottom w:val="none" w:sz="0" w:space="0" w:color="auto"/>
            <w:right w:val="none" w:sz="0" w:space="0" w:color="auto"/>
          </w:divBdr>
        </w:div>
        <w:div w:id="1377584945">
          <w:marLeft w:val="480"/>
          <w:marRight w:val="0"/>
          <w:marTop w:val="0"/>
          <w:marBottom w:val="0"/>
          <w:divBdr>
            <w:top w:val="none" w:sz="0" w:space="0" w:color="auto"/>
            <w:left w:val="none" w:sz="0" w:space="0" w:color="auto"/>
            <w:bottom w:val="none" w:sz="0" w:space="0" w:color="auto"/>
            <w:right w:val="none" w:sz="0" w:space="0" w:color="auto"/>
          </w:divBdr>
        </w:div>
        <w:div w:id="1334991110">
          <w:marLeft w:val="480"/>
          <w:marRight w:val="0"/>
          <w:marTop w:val="0"/>
          <w:marBottom w:val="0"/>
          <w:divBdr>
            <w:top w:val="none" w:sz="0" w:space="0" w:color="auto"/>
            <w:left w:val="none" w:sz="0" w:space="0" w:color="auto"/>
            <w:bottom w:val="none" w:sz="0" w:space="0" w:color="auto"/>
            <w:right w:val="none" w:sz="0" w:space="0" w:color="auto"/>
          </w:divBdr>
        </w:div>
        <w:div w:id="1277131107">
          <w:marLeft w:val="480"/>
          <w:marRight w:val="0"/>
          <w:marTop w:val="0"/>
          <w:marBottom w:val="0"/>
          <w:divBdr>
            <w:top w:val="none" w:sz="0" w:space="0" w:color="auto"/>
            <w:left w:val="none" w:sz="0" w:space="0" w:color="auto"/>
            <w:bottom w:val="none" w:sz="0" w:space="0" w:color="auto"/>
            <w:right w:val="none" w:sz="0" w:space="0" w:color="auto"/>
          </w:divBdr>
        </w:div>
        <w:div w:id="1747335340">
          <w:marLeft w:val="480"/>
          <w:marRight w:val="0"/>
          <w:marTop w:val="0"/>
          <w:marBottom w:val="0"/>
          <w:divBdr>
            <w:top w:val="none" w:sz="0" w:space="0" w:color="auto"/>
            <w:left w:val="none" w:sz="0" w:space="0" w:color="auto"/>
            <w:bottom w:val="none" w:sz="0" w:space="0" w:color="auto"/>
            <w:right w:val="none" w:sz="0" w:space="0" w:color="auto"/>
          </w:divBdr>
        </w:div>
        <w:div w:id="1115561840">
          <w:marLeft w:val="480"/>
          <w:marRight w:val="0"/>
          <w:marTop w:val="0"/>
          <w:marBottom w:val="0"/>
          <w:divBdr>
            <w:top w:val="none" w:sz="0" w:space="0" w:color="auto"/>
            <w:left w:val="none" w:sz="0" w:space="0" w:color="auto"/>
            <w:bottom w:val="none" w:sz="0" w:space="0" w:color="auto"/>
            <w:right w:val="none" w:sz="0" w:space="0" w:color="auto"/>
          </w:divBdr>
        </w:div>
        <w:div w:id="780733484">
          <w:marLeft w:val="480"/>
          <w:marRight w:val="0"/>
          <w:marTop w:val="0"/>
          <w:marBottom w:val="0"/>
          <w:divBdr>
            <w:top w:val="none" w:sz="0" w:space="0" w:color="auto"/>
            <w:left w:val="none" w:sz="0" w:space="0" w:color="auto"/>
            <w:bottom w:val="none" w:sz="0" w:space="0" w:color="auto"/>
            <w:right w:val="none" w:sz="0" w:space="0" w:color="auto"/>
          </w:divBdr>
        </w:div>
      </w:divsChild>
    </w:div>
    <w:div w:id="341861128">
      <w:bodyDiv w:val="1"/>
      <w:marLeft w:val="0"/>
      <w:marRight w:val="0"/>
      <w:marTop w:val="0"/>
      <w:marBottom w:val="0"/>
      <w:divBdr>
        <w:top w:val="none" w:sz="0" w:space="0" w:color="auto"/>
        <w:left w:val="none" w:sz="0" w:space="0" w:color="auto"/>
        <w:bottom w:val="none" w:sz="0" w:space="0" w:color="auto"/>
        <w:right w:val="none" w:sz="0" w:space="0" w:color="auto"/>
      </w:divBdr>
      <w:divsChild>
        <w:div w:id="1283610224">
          <w:marLeft w:val="480"/>
          <w:marRight w:val="0"/>
          <w:marTop w:val="0"/>
          <w:marBottom w:val="0"/>
          <w:divBdr>
            <w:top w:val="none" w:sz="0" w:space="0" w:color="auto"/>
            <w:left w:val="none" w:sz="0" w:space="0" w:color="auto"/>
            <w:bottom w:val="none" w:sz="0" w:space="0" w:color="auto"/>
            <w:right w:val="none" w:sz="0" w:space="0" w:color="auto"/>
          </w:divBdr>
        </w:div>
        <w:div w:id="440415250">
          <w:marLeft w:val="480"/>
          <w:marRight w:val="0"/>
          <w:marTop w:val="0"/>
          <w:marBottom w:val="0"/>
          <w:divBdr>
            <w:top w:val="none" w:sz="0" w:space="0" w:color="auto"/>
            <w:left w:val="none" w:sz="0" w:space="0" w:color="auto"/>
            <w:bottom w:val="none" w:sz="0" w:space="0" w:color="auto"/>
            <w:right w:val="none" w:sz="0" w:space="0" w:color="auto"/>
          </w:divBdr>
        </w:div>
        <w:div w:id="1000159765">
          <w:marLeft w:val="480"/>
          <w:marRight w:val="0"/>
          <w:marTop w:val="0"/>
          <w:marBottom w:val="0"/>
          <w:divBdr>
            <w:top w:val="none" w:sz="0" w:space="0" w:color="auto"/>
            <w:left w:val="none" w:sz="0" w:space="0" w:color="auto"/>
            <w:bottom w:val="none" w:sz="0" w:space="0" w:color="auto"/>
            <w:right w:val="none" w:sz="0" w:space="0" w:color="auto"/>
          </w:divBdr>
        </w:div>
        <w:div w:id="1541166814">
          <w:marLeft w:val="480"/>
          <w:marRight w:val="0"/>
          <w:marTop w:val="0"/>
          <w:marBottom w:val="0"/>
          <w:divBdr>
            <w:top w:val="none" w:sz="0" w:space="0" w:color="auto"/>
            <w:left w:val="none" w:sz="0" w:space="0" w:color="auto"/>
            <w:bottom w:val="none" w:sz="0" w:space="0" w:color="auto"/>
            <w:right w:val="none" w:sz="0" w:space="0" w:color="auto"/>
          </w:divBdr>
        </w:div>
        <w:div w:id="671448464">
          <w:marLeft w:val="480"/>
          <w:marRight w:val="0"/>
          <w:marTop w:val="0"/>
          <w:marBottom w:val="0"/>
          <w:divBdr>
            <w:top w:val="none" w:sz="0" w:space="0" w:color="auto"/>
            <w:left w:val="none" w:sz="0" w:space="0" w:color="auto"/>
            <w:bottom w:val="none" w:sz="0" w:space="0" w:color="auto"/>
            <w:right w:val="none" w:sz="0" w:space="0" w:color="auto"/>
          </w:divBdr>
        </w:div>
        <w:div w:id="542060689">
          <w:marLeft w:val="480"/>
          <w:marRight w:val="0"/>
          <w:marTop w:val="0"/>
          <w:marBottom w:val="0"/>
          <w:divBdr>
            <w:top w:val="none" w:sz="0" w:space="0" w:color="auto"/>
            <w:left w:val="none" w:sz="0" w:space="0" w:color="auto"/>
            <w:bottom w:val="none" w:sz="0" w:space="0" w:color="auto"/>
            <w:right w:val="none" w:sz="0" w:space="0" w:color="auto"/>
          </w:divBdr>
        </w:div>
        <w:div w:id="1284001611">
          <w:marLeft w:val="480"/>
          <w:marRight w:val="0"/>
          <w:marTop w:val="0"/>
          <w:marBottom w:val="0"/>
          <w:divBdr>
            <w:top w:val="none" w:sz="0" w:space="0" w:color="auto"/>
            <w:left w:val="none" w:sz="0" w:space="0" w:color="auto"/>
            <w:bottom w:val="none" w:sz="0" w:space="0" w:color="auto"/>
            <w:right w:val="none" w:sz="0" w:space="0" w:color="auto"/>
          </w:divBdr>
        </w:div>
        <w:div w:id="567224787">
          <w:marLeft w:val="480"/>
          <w:marRight w:val="0"/>
          <w:marTop w:val="0"/>
          <w:marBottom w:val="0"/>
          <w:divBdr>
            <w:top w:val="none" w:sz="0" w:space="0" w:color="auto"/>
            <w:left w:val="none" w:sz="0" w:space="0" w:color="auto"/>
            <w:bottom w:val="none" w:sz="0" w:space="0" w:color="auto"/>
            <w:right w:val="none" w:sz="0" w:space="0" w:color="auto"/>
          </w:divBdr>
        </w:div>
        <w:div w:id="522282911">
          <w:marLeft w:val="480"/>
          <w:marRight w:val="0"/>
          <w:marTop w:val="0"/>
          <w:marBottom w:val="0"/>
          <w:divBdr>
            <w:top w:val="none" w:sz="0" w:space="0" w:color="auto"/>
            <w:left w:val="none" w:sz="0" w:space="0" w:color="auto"/>
            <w:bottom w:val="none" w:sz="0" w:space="0" w:color="auto"/>
            <w:right w:val="none" w:sz="0" w:space="0" w:color="auto"/>
          </w:divBdr>
        </w:div>
        <w:div w:id="1534657484">
          <w:marLeft w:val="480"/>
          <w:marRight w:val="0"/>
          <w:marTop w:val="0"/>
          <w:marBottom w:val="0"/>
          <w:divBdr>
            <w:top w:val="none" w:sz="0" w:space="0" w:color="auto"/>
            <w:left w:val="none" w:sz="0" w:space="0" w:color="auto"/>
            <w:bottom w:val="none" w:sz="0" w:space="0" w:color="auto"/>
            <w:right w:val="none" w:sz="0" w:space="0" w:color="auto"/>
          </w:divBdr>
        </w:div>
        <w:div w:id="1098402167">
          <w:marLeft w:val="480"/>
          <w:marRight w:val="0"/>
          <w:marTop w:val="0"/>
          <w:marBottom w:val="0"/>
          <w:divBdr>
            <w:top w:val="none" w:sz="0" w:space="0" w:color="auto"/>
            <w:left w:val="none" w:sz="0" w:space="0" w:color="auto"/>
            <w:bottom w:val="none" w:sz="0" w:space="0" w:color="auto"/>
            <w:right w:val="none" w:sz="0" w:space="0" w:color="auto"/>
          </w:divBdr>
        </w:div>
        <w:div w:id="1946305974">
          <w:marLeft w:val="480"/>
          <w:marRight w:val="0"/>
          <w:marTop w:val="0"/>
          <w:marBottom w:val="0"/>
          <w:divBdr>
            <w:top w:val="none" w:sz="0" w:space="0" w:color="auto"/>
            <w:left w:val="none" w:sz="0" w:space="0" w:color="auto"/>
            <w:bottom w:val="none" w:sz="0" w:space="0" w:color="auto"/>
            <w:right w:val="none" w:sz="0" w:space="0" w:color="auto"/>
          </w:divBdr>
        </w:div>
        <w:div w:id="1629582820">
          <w:marLeft w:val="480"/>
          <w:marRight w:val="0"/>
          <w:marTop w:val="0"/>
          <w:marBottom w:val="0"/>
          <w:divBdr>
            <w:top w:val="none" w:sz="0" w:space="0" w:color="auto"/>
            <w:left w:val="none" w:sz="0" w:space="0" w:color="auto"/>
            <w:bottom w:val="none" w:sz="0" w:space="0" w:color="auto"/>
            <w:right w:val="none" w:sz="0" w:space="0" w:color="auto"/>
          </w:divBdr>
        </w:div>
        <w:div w:id="1145046590">
          <w:marLeft w:val="480"/>
          <w:marRight w:val="0"/>
          <w:marTop w:val="0"/>
          <w:marBottom w:val="0"/>
          <w:divBdr>
            <w:top w:val="none" w:sz="0" w:space="0" w:color="auto"/>
            <w:left w:val="none" w:sz="0" w:space="0" w:color="auto"/>
            <w:bottom w:val="none" w:sz="0" w:space="0" w:color="auto"/>
            <w:right w:val="none" w:sz="0" w:space="0" w:color="auto"/>
          </w:divBdr>
        </w:div>
      </w:divsChild>
    </w:div>
    <w:div w:id="386608380">
      <w:bodyDiv w:val="1"/>
      <w:marLeft w:val="0"/>
      <w:marRight w:val="0"/>
      <w:marTop w:val="0"/>
      <w:marBottom w:val="0"/>
      <w:divBdr>
        <w:top w:val="none" w:sz="0" w:space="0" w:color="auto"/>
        <w:left w:val="none" w:sz="0" w:space="0" w:color="auto"/>
        <w:bottom w:val="none" w:sz="0" w:space="0" w:color="auto"/>
        <w:right w:val="none" w:sz="0" w:space="0" w:color="auto"/>
      </w:divBdr>
    </w:div>
    <w:div w:id="420375436">
      <w:bodyDiv w:val="1"/>
      <w:marLeft w:val="0"/>
      <w:marRight w:val="0"/>
      <w:marTop w:val="0"/>
      <w:marBottom w:val="0"/>
      <w:divBdr>
        <w:top w:val="none" w:sz="0" w:space="0" w:color="auto"/>
        <w:left w:val="none" w:sz="0" w:space="0" w:color="auto"/>
        <w:bottom w:val="none" w:sz="0" w:space="0" w:color="auto"/>
        <w:right w:val="none" w:sz="0" w:space="0" w:color="auto"/>
      </w:divBdr>
      <w:divsChild>
        <w:div w:id="1872721895">
          <w:marLeft w:val="480"/>
          <w:marRight w:val="0"/>
          <w:marTop w:val="0"/>
          <w:marBottom w:val="0"/>
          <w:divBdr>
            <w:top w:val="none" w:sz="0" w:space="0" w:color="auto"/>
            <w:left w:val="none" w:sz="0" w:space="0" w:color="auto"/>
            <w:bottom w:val="none" w:sz="0" w:space="0" w:color="auto"/>
            <w:right w:val="none" w:sz="0" w:space="0" w:color="auto"/>
          </w:divBdr>
        </w:div>
        <w:div w:id="277875858">
          <w:marLeft w:val="480"/>
          <w:marRight w:val="0"/>
          <w:marTop w:val="0"/>
          <w:marBottom w:val="0"/>
          <w:divBdr>
            <w:top w:val="none" w:sz="0" w:space="0" w:color="auto"/>
            <w:left w:val="none" w:sz="0" w:space="0" w:color="auto"/>
            <w:bottom w:val="none" w:sz="0" w:space="0" w:color="auto"/>
            <w:right w:val="none" w:sz="0" w:space="0" w:color="auto"/>
          </w:divBdr>
        </w:div>
        <w:div w:id="1306200915">
          <w:marLeft w:val="480"/>
          <w:marRight w:val="0"/>
          <w:marTop w:val="0"/>
          <w:marBottom w:val="0"/>
          <w:divBdr>
            <w:top w:val="none" w:sz="0" w:space="0" w:color="auto"/>
            <w:left w:val="none" w:sz="0" w:space="0" w:color="auto"/>
            <w:bottom w:val="none" w:sz="0" w:space="0" w:color="auto"/>
            <w:right w:val="none" w:sz="0" w:space="0" w:color="auto"/>
          </w:divBdr>
        </w:div>
        <w:div w:id="1770848709">
          <w:marLeft w:val="480"/>
          <w:marRight w:val="0"/>
          <w:marTop w:val="0"/>
          <w:marBottom w:val="0"/>
          <w:divBdr>
            <w:top w:val="none" w:sz="0" w:space="0" w:color="auto"/>
            <w:left w:val="none" w:sz="0" w:space="0" w:color="auto"/>
            <w:bottom w:val="none" w:sz="0" w:space="0" w:color="auto"/>
            <w:right w:val="none" w:sz="0" w:space="0" w:color="auto"/>
          </w:divBdr>
        </w:div>
        <w:div w:id="1863325071">
          <w:marLeft w:val="480"/>
          <w:marRight w:val="0"/>
          <w:marTop w:val="0"/>
          <w:marBottom w:val="0"/>
          <w:divBdr>
            <w:top w:val="none" w:sz="0" w:space="0" w:color="auto"/>
            <w:left w:val="none" w:sz="0" w:space="0" w:color="auto"/>
            <w:bottom w:val="none" w:sz="0" w:space="0" w:color="auto"/>
            <w:right w:val="none" w:sz="0" w:space="0" w:color="auto"/>
          </w:divBdr>
        </w:div>
        <w:div w:id="280383463">
          <w:marLeft w:val="480"/>
          <w:marRight w:val="0"/>
          <w:marTop w:val="0"/>
          <w:marBottom w:val="0"/>
          <w:divBdr>
            <w:top w:val="none" w:sz="0" w:space="0" w:color="auto"/>
            <w:left w:val="none" w:sz="0" w:space="0" w:color="auto"/>
            <w:bottom w:val="none" w:sz="0" w:space="0" w:color="auto"/>
            <w:right w:val="none" w:sz="0" w:space="0" w:color="auto"/>
          </w:divBdr>
        </w:div>
        <w:div w:id="2019696138">
          <w:marLeft w:val="480"/>
          <w:marRight w:val="0"/>
          <w:marTop w:val="0"/>
          <w:marBottom w:val="0"/>
          <w:divBdr>
            <w:top w:val="none" w:sz="0" w:space="0" w:color="auto"/>
            <w:left w:val="none" w:sz="0" w:space="0" w:color="auto"/>
            <w:bottom w:val="none" w:sz="0" w:space="0" w:color="auto"/>
            <w:right w:val="none" w:sz="0" w:space="0" w:color="auto"/>
          </w:divBdr>
        </w:div>
        <w:div w:id="1822890602">
          <w:marLeft w:val="480"/>
          <w:marRight w:val="0"/>
          <w:marTop w:val="0"/>
          <w:marBottom w:val="0"/>
          <w:divBdr>
            <w:top w:val="none" w:sz="0" w:space="0" w:color="auto"/>
            <w:left w:val="none" w:sz="0" w:space="0" w:color="auto"/>
            <w:bottom w:val="none" w:sz="0" w:space="0" w:color="auto"/>
            <w:right w:val="none" w:sz="0" w:space="0" w:color="auto"/>
          </w:divBdr>
        </w:div>
        <w:div w:id="1412198108">
          <w:marLeft w:val="480"/>
          <w:marRight w:val="0"/>
          <w:marTop w:val="0"/>
          <w:marBottom w:val="0"/>
          <w:divBdr>
            <w:top w:val="none" w:sz="0" w:space="0" w:color="auto"/>
            <w:left w:val="none" w:sz="0" w:space="0" w:color="auto"/>
            <w:bottom w:val="none" w:sz="0" w:space="0" w:color="auto"/>
            <w:right w:val="none" w:sz="0" w:space="0" w:color="auto"/>
          </w:divBdr>
        </w:div>
        <w:div w:id="185564607">
          <w:marLeft w:val="480"/>
          <w:marRight w:val="0"/>
          <w:marTop w:val="0"/>
          <w:marBottom w:val="0"/>
          <w:divBdr>
            <w:top w:val="none" w:sz="0" w:space="0" w:color="auto"/>
            <w:left w:val="none" w:sz="0" w:space="0" w:color="auto"/>
            <w:bottom w:val="none" w:sz="0" w:space="0" w:color="auto"/>
            <w:right w:val="none" w:sz="0" w:space="0" w:color="auto"/>
          </w:divBdr>
        </w:div>
        <w:div w:id="627249798">
          <w:marLeft w:val="480"/>
          <w:marRight w:val="0"/>
          <w:marTop w:val="0"/>
          <w:marBottom w:val="0"/>
          <w:divBdr>
            <w:top w:val="none" w:sz="0" w:space="0" w:color="auto"/>
            <w:left w:val="none" w:sz="0" w:space="0" w:color="auto"/>
            <w:bottom w:val="none" w:sz="0" w:space="0" w:color="auto"/>
            <w:right w:val="none" w:sz="0" w:space="0" w:color="auto"/>
          </w:divBdr>
        </w:div>
        <w:div w:id="990256165">
          <w:marLeft w:val="480"/>
          <w:marRight w:val="0"/>
          <w:marTop w:val="0"/>
          <w:marBottom w:val="0"/>
          <w:divBdr>
            <w:top w:val="none" w:sz="0" w:space="0" w:color="auto"/>
            <w:left w:val="none" w:sz="0" w:space="0" w:color="auto"/>
            <w:bottom w:val="none" w:sz="0" w:space="0" w:color="auto"/>
            <w:right w:val="none" w:sz="0" w:space="0" w:color="auto"/>
          </w:divBdr>
        </w:div>
        <w:div w:id="1356729922">
          <w:marLeft w:val="480"/>
          <w:marRight w:val="0"/>
          <w:marTop w:val="0"/>
          <w:marBottom w:val="0"/>
          <w:divBdr>
            <w:top w:val="none" w:sz="0" w:space="0" w:color="auto"/>
            <w:left w:val="none" w:sz="0" w:space="0" w:color="auto"/>
            <w:bottom w:val="none" w:sz="0" w:space="0" w:color="auto"/>
            <w:right w:val="none" w:sz="0" w:space="0" w:color="auto"/>
          </w:divBdr>
        </w:div>
        <w:div w:id="112790932">
          <w:marLeft w:val="480"/>
          <w:marRight w:val="0"/>
          <w:marTop w:val="0"/>
          <w:marBottom w:val="0"/>
          <w:divBdr>
            <w:top w:val="none" w:sz="0" w:space="0" w:color="auto"/>
            <w:left w:val="none" w:sz="0" w:space="0" w:color="auto"/>
            <w:bottom w:val="none" w:sz="0" w:space="0" w:color="auto"/>
            <w:right w:val="none" w:sz="0" w:space="0" w:color="auto"/>
          </w:divBdr>
        </w:div>
        <w:div w:id="2064283902">
          <w:marLeft w:val="480"/>
          <w:marRight w:val="0"/>
          <w:marTop w:val="0"/>
          <w:marBottom w:val="0"/>
          <w:divBdr>
            <w:top w:val="none" w:sz="0" w:space="0" w:color="auto"/>
            <w:left w:val="none" w:sz="0" w:space="0" w:color="auto"/>
            <w:bottom w:val="none" w:sz="0" w:space="0" w:color="auto"/>
            <w:right w:val="none" w:sz="0" w:space="0" w:color="auto"/>
          </w:divBdr>
        </w:div>
        <w:div w:id="1104573935">
          <w:marLeft w:val="480"/>
          <w:marRight w:val="0"/>
          <w:marTop w:val="0"/>
          <w:marBottom w:val="0"/>
          <w:divBdr>
            <w:top w:val="none" w:sz="0" w:space="0" w:color="auto"/>
            <w:left w:val="none" w:sz="0" w:space="0" w:color="auto"/>
            <w:bottom w:val="none" w:sz="0" w:space="0" w:color="auto"/>
            <w:right w:val="none" w:sz="0" w:space="0" w:color="auto"/>
          </w:divBdr>
        </w:div>
        <w:div w:id="149832874">
          <w:marLeft w:val="480"/>
          <w:marRight w:val="0"/>
          <w:marTop w:val="0"/>
          <w:marBottom w:val="0"/>
          <w:divBdr>
            <w:top w:val="none" w:sz="0" w:space="0" w:color="auto"/>
            <w:left w:val="none" w:sz="0" w:space="0" w:color="auto"/>
            <w:bottom w:val="none" w:sz="0" w:space="0" w:color="auto"/>
            <w:right w:val="none" w:sz="0" w:space="0" w:color="auto"/>
          </w:divBdr>
        </w:div>
        <w:div w:id="1284845656">
          <w:marLeft w:val="480"/>
          <w:marRight w:val="0"/>
          <w:marTop w:val="0"/>
          <w:marBottom w:val="0"/>
          <w:divBdr>
            <w:top w:val="none" w:sz="0" w:space="0" w:color="auto"/>
            <w:left w:val="none" w:sz="0" w:space="0" w:color="auto"/>
            <w:bottom w:val="none" w:sz="0" w:space="0" w:color="auto"/>
            <w:right w:val="none" w:sz="0" w:space="0" w:color="auto"/>
          </w:divBdr>
        </w:div>
        <w:div w:id="832068621">
          <w:marLeft w:val="480"/>
          <w:marRight w:val="0"/>
          <w:marTop w:val="0"/>
          <w:marBottom w:val="0"/>
          <w:divBdr>
            <w:top w:val="none" w:sz="0" w:space="0" w:color="auto"/>
            <w:left w:val="none" w:sz="0" w:space="0" w:color="auto"/>
            <w:bottom w:val="none" w:sz="0" w:space="0" w:color="auto"/>
            <w:right w:val="none" w:sz="0" w:space="0" w:color="auto"/>
          </w:divBdr>
        </w:div>
        <w:div w:id="88503403">
          <w:marLeft w:val="480"/>
          <w:marRight w:val="0"/>
          <w:marTop w:val="0"/>
          <w:marBottom w:val="0"/>
          <w:divBdr>
            <w:top w:val="none" w:sz="0" w:space="0" w:color="auto"/>
            <w:left w:val="none" w:sz="0" w:space="0" w:color="auto"/>
            <w:bottom w:val="none" w:sz="0" w:space="0" w:color="auto"/>
            <w:right w:val="none" w:sz="0" w:space="0" w:color="auto"/>
          </w:divBdr>
        </w:div>
        <w:div w:id="1474055915">
          <w:marLeft w:val="480"/>
          <w:marRight w:val="0"/>
          <w:marTop w:val="0"/>
          <w:marBottom w:val="0"/>
          <w:divBdr>
            <w:top w:val="none" w:sz="0" w:space="0" w:color="auto"/>
            <w:left w:val="none" w:sz="0" w:space="0" w:color="auto"/>
            <w:bottom w:val="none" w:sz="0" w:space="0" w:color="auto"/>
            <w:right w:val="none" w:sz="0" w:space="0" w:color="auto"/>
          </w:divBdr>
        </w:div>
        <w:div w:id="964315719">
          <w:marLeft w:val="480"/>
          <w:marRight w:val="0"/>
          <w:marTop w:val="0"/>
          <w:marBottom w:val="0"/>
          <w:divBdr>
            <w:top w:val="none" w:sz="0" w:space="0" w:color="auto"/>
            <w:left w:val="none" w:sz="0" w:space="0" w:color="auto"/>
            <w:bottom w:val="none" w:sz="0" w:space="0" w:color="auto"/>
            <w:right w:val="none" w:sz="0" w:space="0" w:color="auto"/>
          </w:divBdr>
        </w:div>
      </w:divsChild>
    </w:div>
    <w:div w:id="454105194">
      <w:bodyDiv w:val="1"/>
      <w:marLeft w:val="0"/>
      <w:marRight w:val="0"/>
      <w:marTop w:val="0"/>
      <w:marBottom w:val="0"/>
      <w:divBdr>
        <w:top w:val="none" w:sz="0" w:space="0" w:color="auto"/>
        <w:left w:val="none" w:sz="0" w:space="0" w:color="auto"/>
        <w:bottom w:val="none" w:sz="0" w:space="0" w:color="auto"/>
        <w:right w:val="none" w:sz="0" w:space="0" w:color="auto"/>
      </w:divBdr>
    </w:div>
    <w:div w:id="455805284">
      <w:bodyDiv w:val="1"/>
      <w:marLeft w:val="0"/>
      <w:marRight w:val="0"/>
      <w:marTop w:val="0"/>
      <w:marBottom w:val="0"/>
      <w:divBdr>
        <w:top w:val="none" w:sz="0" w:space="0" w:color="auto"/>
        <w:left w:val="none" w:sz="0" w:space="0" w:color="auto"/>
        <w:bottom w:val="none" w:sz="0" w:space="0" w:color="auto"/>
        <w:right w:val="none" w:sz="0" w:space="0" w:color="auto"/>
      </w:divBdr>
    </w:div>
    <w:div w:id="520356555">
      <w:bodyDiv w:val="1"/>
      <w:marLeft w:val="0"/>
      <w:marRight w:val="0"/>
      <w:marTop w:val="0"/>
      <w:marBottom w:val="0"/>
      <w:divBdr>
        <w:top w:val="none" w:sz="0" w:space="0" w:color="auto"/>
        <w:left w:val="none" w:sz="0" w:space="0" w:color="auto"/>
        <w:bottom w:val="none" w:sz="0" w:space="0" w:color="auto"/>
        <w:right w:val="none" w:sz="0" w:space="0" w:color="auto"/>
      </w:divBdr>
    </w:div>
    <w:div w:id="573395632">
      <w:bodyDiv w:val="1"/>
      <w:marLeft w:val="0"/>
      <w:marRight w:val="0"/>
      <w:marTop w:val="0"/>
      <w:marBottom w:val="0"/>
      <w:divBdr>
        <w:top w:val="none" w:sz="0" w:space="0" w:color="auto"/>
        <w:left w:val="none" w:sz="0" w:space="0" w:color="auto"/>
        <w:bottom w:val="none" w:sz="0" w:space="0" w:color="auto"/>
        <w:right w:val="none" w:sz="0" w:space="0" w:color="auto"/>
      </w:divBdr>
    </w:div>
    <w:div w:id="627974481">
      <w:bodyDiv w:val="1"/>
      <w:marLeft w:val="0"/>
      <w:marRight w:val="0"/>
      <w:marTop w:val="0"/>
      <w:marBottom w:val="0"/>
      <w:divBdr>
        <w:top w:val="none" w:sz="0" w:space="0" w:color="auto"/>
        <w:left w:val="none" w:sz="0" w:space="0" w:color="auto"/>
        <w:bottom w:val="none" w:sz="0" w:space="0" w:color="auto"/>
        <w:right w:val="none" w:sz="0" w:space="0" w:color="auto"/>
      </w:divBdr>
    </w:div>
    <w:div w:id="659235556">
      <w:bodyDiv w:val="1"/>
      <w:marLeft w:val="0"/>
      <w:marRight w:val="0"/>
      <w:marTop w:val="0"/>
      <w:marBottom w:val="0"/>
      <w:divBdr>
        <w:top w:val="none" w:sz="0" w:space="0" w:color="auto"/>
        <w:left w:val="none" w:sz="0" w:space="0" w:color="auto"/>
        <w:bottom w:val="none" w:sz="0" w:space="0" w:color="auto"/>
        <w:right w:val="none" w:sz="0" w:space="0" w:color="auto"/>
      </w:divBdr>
    </w:div>
    <w:div w:id="716048220">
      <w:bodyDiv w:val="1"/>
      <w:marLeft w:val="0"/>
      <w:marRight w:val="0"/>
      <w:marTop w:val="0"/>
      <w:marBottom w:val="0"/>
      <w:divBdr>
        <w:top w:val="none" w:sz="0" w:space="0" w:color="auto"/>
        <w:left w:val="none" w:sz="0" w:space="0" w:color="auto"/>
        <w:bottom w:val="none" w:sz="0" w:space="0" w:color="auto"/>
        <w:right w:val="none" w:sz="0" w:space="0" w:color="auto"/>
      </w:divBdr>
    </w:div>
    <w:div w:id="778988561">
      <w:bodyDiv w:val="1"/>
      <w:marLeft w:val="0"/>
      <w:marRight w:val="0"/>
      <w:marTop w:val="0"/>
      <w:marBottom w:val="0"/>
      <w:divBdr>
        <w:top w:val="none" w:sz="0" w:space="0" w:color="auto"/>
        <w:left w:val="none" w:sz="0" w:space="0" w:color="auto"/>
        <w:bottom w:val="none" w:sz="0" w:space="0" w:color="auto"/>
        <w:right w:val="none" w:sz="0" w:space="0" w:color="auto"/>
      </w:divBdr>
    </w:div>
    <w:div w:id="780609195">
      <w:bodyDiv w:val="1"/>
      <w:marLeft w:val="0"/>
      <w:marRight w:val="0"/>
      <w:marTop w:val="0"/>
      <w:marBottom w:val="0"/>
      <w:divBdr>
        <w:top w:val="none" w:sz="0" w:space="0" w:color="auto"/>
        <w:left w:val="none" w:sz="0" w:space="0" w:color="auto"/>
        <w:bottom w:val="none" w:sz="0" w:space="0" w:color="auto"/>
        <w:right w:val="none" w:sz="0" w:space="0" w:color="auto"/>
      </w:divBdr>
      <w:divsChild>
        <w:div w:id="1810825834">
          <w:marLeft w:val="0"/>
          <w:marRight w:val="0"/>
          <w:marTop w:val="0"/>
          <w:marBottom w:val="0"/>
          <w:divBdr>
            <w:top w:val="none" w:sz="0" w:space="0" w:color="auto"/>
            <w:left w:val="none" w:sz="0" w:space="0" w:color="auto"/>
            <w:bottom w:val="none" w:sz="0" w:space="0" w:color="auto"/>
            <w:right w:val="none" w:sz="0" w:space="0" w:color="auto"/>
          </w:divBdr>
          <w:divsChild>
            <w:div w:id="5788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953089">
      <w:bodyDiv w:val="1"/>
      <w:marLeft w:val="0"/>
      <w:marRight w:val="0"/>
      <w:marTop w:val="0"/>
      <w:marBottom w:val="0"/>
      <w:divBdr>
        <w:top w:val="none" w:sz="0" w:space="0" w:color="auto"/>
        <w:left w:val="none" w:sz="0" w:space="0" w:color="auto"/>
        <w:bottom w:val="none" w:sz="0" w:space="0" w:color="auto"/>
        <w:right w:val="none" w:sz="0" w:space="0" w:color="auto"/>
      </w:divBdr>
    </w:div>
    <w:div w:id="853110187">
      <w:bodyDiv w:val="1"/>
      <w:marLeft w:val="0"/>
      <w:marRight w:val="0"/>
      <w:marTop w:val="0"/>
      <w:marBottom w:val="0"/>
      <w:divBdr>
        <w:top w:val="none" w:sz="0" w:space="0" w:color="auto"/>
        <w:left w:val="none" w:sz="0" w:space="0" w:color="auto"/>
        <w:bottom w:val="none" w:sz="0" w:space="0" w:color="auto"/>
        <w:right w:val="none" w:sz="0" w:space="0" w:color="auto"/>
      </w:divBdr>
      <w:divsChild>
        <w:div w:id="386028249">
          <w:marLeft w:val="480"/>
          <w:marRight w:val="0"/>
          <w:marTop w:val="0"/>
          <w:marBottom w:val="0"/>
          <w:divBdr>
            <w:top w:val="none" w:sz="0" w:space="0" w:color="auto"/>
            <w:left w:val="none" w:sz="0" w:space="0" w:color="auto"/>
            <w:bottom w:val="none" w:sz="0" w:space="0" w:color="auto"/>
            <w:right w:val="none" w:sz="0" w:space="0" w:color="auto"/>
          </w:divBdr>
        </w:div>
        <w:div w:id="1906136633">
          <w:marLeft w:val="480"/>
          <w:marRight w:val="0"/>
          <w:marTop w:val="0"/>
          <w:marBottom w:val="0"/>
          <w:divBdr>
            <w:top w:val="none" w:sz="0" w:space="0" w:color="auto"/>
            <w:left w:val="none" w:sz="0" w:space="0" w:color="auto"/>
            <w:bottom w:val="none" w:sz="0" w:space="0" w:color="auto"/>
            <w:right w:val="none" w:sz="0" w:space="0" w:color="auto"/>
          </w:divBdr>
        </w:div>
        <w:div w:id="1823085211">
          <w:marLeft w:val="480"/>
          <w:marRight w:val="0"/>
          <w:marTop w:val="0"/>
          <w:marBottom w:val="0"/>
          <w:divBdr>
            <w:top w:val="none" w:sz="0" w:space="0" w:color="auto"/>
            <w:left w:val="none" w:sz="0" w:space="0" w:color="auto"/>
            <w:bottom w:val="none" w:sz="0" w:space="0" w:color="auto"/>
            <w:right w:val="none" w:sz="0" w:space="0" w:color="auto"/>
          </w:divBdr>
        </w:div>
        <w:div w:id="1685591185">
          <w:marLeft w:val="480"/>
          <w:marRight w:val="0"/>
          <w:marTop w:val="0"/>
          <w:marBottom w:val="0"/>
          <w:divBdr>
            <w:top w:val="none" w:sz="0" w:space="0" w:color="auto"/>
            <w:left w:val="none" w:sz="0" w:space="0" w:color="auto"/>
            <w:bottom w:val="none" w:sz="0" w:space="0" w:color="auto"/>
            <w:right w:val="none" w:sz="0" w:space="0" w:color="auto"/>
          </w:divBdr>
        </w:div>
        <w:div w:id="190194634">
          <w:marLeft w:val="480"/>
          <w:marRight w:val="0"/>
          <w:marTop w:val="0"/>
          <w:marBottom w:val="0"/>
          <w:divBdr>
            <w:top w:val="none" w:sz="0" w:space="0" w:color="auto"/>
            <w:left w:val="none" w:sz="0" w:space="0" w:color="auto"/>
            <w:bottom w:val="none" w:sz="0" w:space="0" w:color="auto"/>
            <w:right w:val="none" w:sz="0" w:space="0" w:color="auto"/>
          </w:divBdr>
        </w:div>
        <w:div w:id="198588491">
          <w:marLeft w:val="480"/>
          <w:marRight w:val="0"/>
          <w:marTop w:val="0"/>
          <w:marBottom w:val="0"/>
          <w:divBdr>
            <w:top w:val="none" w:sz="0" w:space="0" w:color="auto"/>
            <w:left w:val="none" w:sz="0" w:space="0" w:color="auto"/>
            <w:bottom w:val="none" w:sz="0" w:space="0" w:color="auto"/>
            <w:right w:val="none" w:sz="0" w:space="0" w:color="auto"/>
          </w:divBdr>
        </w:div>
        <w:div w:id="508180746">
          <w:marLeft w:val="480"/>
          <w:marRight w:val="0"/>
          <w:marTop w:val="0"/>
          <w:marBottom w:val="0"/>
          <w:divBdr>
            <w:top w:val="none" w:sz="0" w:space="0" w:color="auto"/>
            <w:left w:val="none" w:sz="0" w:space="0" w:color="auto"/>
            <w:bottom w:val="none" w:sz="0" w:space="0" w:color="auto"/>
            <w:right w:val="none" w:sz="0" w:space="0" w:color="auto"/>
          </w:divBdr>
        </w:div>
        <w:div w:id="1151404398">
          <w:marLeft w:val="480"/>
          <w:marRight w:val="0"/>
          <w:marTop w:val="0"/>
          <w:marBottom w:val="0"/>
          <w:divBdr>
            <w:top w:val="none" w:sz="0" w:space="0" w:color="auto"/>
            <w:left w:val="none" w:sz="0" w:space="0" w:color="auto"/>
            <w:bottom w:val="none" w:sz="0" w:space="0" w:color="auto"/>
            <w:right w:val="none" w:sz="0" w:space="0" w:color="auto"/>
          </w:divBdr>
        </w:div>
        <w:div w:id="1231422241">
          <w:marLeft w:val="480"/>
          <w:marRight w:val="0"/>
          <w:marTop w:val="0"/>
          <w:marBottom w:val="0"/>
          <w:divBdr>
            <w:top w:val="none" w:sz="0" w:space="0" w:color="auto"/>
            <w:left w:val="none" w:sz="0" w:space="0" w:color="auto"/>
            <w:bottom w:val="none" w:sz="0" w:space="0" w:color="auto"/>
            <w:right w:val="none" w:sz="0" w:space="0" w:color="auto"/>
          </w:divBdr>
        </w:div>
        <w:div w:id="2146968276">
          <w:marLeft w:val="480"/>
          <w:marRight w:val="0"/>
          <w:marTop w:val="0"/>
          <w:marBottom w:val="0"/>
          <w:divBdr>
            <w:top w:val="none" w:sz="0" w:space="0" w:color="auto"/>
            <w:left w:val="none" w:sz="0" w:space="0" w:color="auto"/>
            <w:bottom w:val="none" w:sz="0" w:space="0" w:color="auto"/>
            <w:right w:val="none" w:sz="0" w:space="0" w:color="auto"/>
          </w:divBdr>
        </w:div>
        <w:div w:id="854077582">
          <w:marLeft w:val="480"/>
          <w:marRight w:val="0"/>
          <w:marTop w:val="0"/>
          <w:marBottom w:val="0"/>
          <w:divBdr>
            <w:top w:val="none" w:sz="0" w:space="0" w:color="auto"/>
            <w:left w:val="none" w:sz="0" w:space="0" w:color="auto"/>
            <w:bottom w:val="none" w:sz="0" w:space="0" w:color="auto"/>
            <w:right w:val="none" w:sz="0" w:space="0" w:color="auto"/>
          </w:divBdr>
        </w:div>
        <w:div w:id="1288315909">
          <w:marLeft w:val="480"/>
          <w:marRight w:val="0"/>
          <w:marTop w:val="0"/>
          <w:marBottom w:val="0"/>
          <w:divBdr>
            <w:top w:val="none" w:sz="0" w:space="0" w:color="auto"/>
            <w:left w:val="none" w:sz="0" w:space="0" w:color="auto"/>
            <w:bottom w:val="none" w:sz="0" w:space="0" w:color="auto"/>
            <w:right w:val="none" w:sz="0" w:space="0" w:color="auto"/>
          </w:divBdr>
        </w:div>
        <w:div w:id="1632713029">
          <w:marLeft w:val="480"/>
          <w:marRight w:val="0"/>
          <w:marTop w:val="0"/>
          <w:marBottom w:val="0"/>
          <w:divBdr>
            <w:top w:val="none" w:sz="0" w:space="0" w:color="auto"/>
            <w:left w:val="none" w:sz="0" w:space="0" w:color="auto"/>
            <w:bottom w:val="none" w:sz="0" w:space="0" w:color="auto"/>
            <w:right w:val="none" w:sz="0" w:space="0" w:color="auto"/>
          </w:divBdr>
        </w:div>
        <w:div w:id="695228079">
          <w:marLeft w:val="480"/>
          <w:marRight w:val="0"/>
          <w:marTop w:val="0"/>
          <w:marBottom w:val="0"/>
          <w:divBdr>
            <w:top w:val="none" w:sz="0" w:space="0" w:color="auto"/>
            <w:left w:val="none" w:sz="0" w:space="0" w:color="auto"/>
            <w:bottom w:val="none" w:sz="0" w:space="0" w:color="auto"/>
            <w:right w:val="none" w:sz="0" w:space="0" w:color="auto"/>
          </w:divBdr>
        </w:div>
        <w:div w:id="469634562">
          <w:marLeft w:val="480"/>
          <w:marRight w:val="0"/>
          <w:marTop w:val="0"/>
          <w:marBottom w:val="0"/>
          <w:divBdr>
            <w:top w:val="none" w:sz="0" w:space="0" w:color="auto"/>
            <w:left w:val="none" w:sz="0" w:space="0" w:color="auto"/>
            <w:bottom w:val="none" w:sz="0" w:space="0" w:color="auto"/>
            <w:right w:val="none" w:sz="0" w:space="0" w:color="auto"/>
          </w:divBdr>
        </w:div>
        <w:div w:id="2136244178">
          <w:marLeft w:val="480"/>
          <w:marRight w:val="0"/>
          <w:marTop w:val="0"/>
          <w:marBottom w:val="0"/>
          <w:divBdr>
            <w:top w:val="none" w:sz="0" w:space="0" w:color="auto"/>
            <w:left w:val="none" w:sz="0" w:space="0" w:color="auto"/>
            <w:bottom w:val="none" w:sz="0" w:space="0" w:color="auto"/>
            <w:right w:val="none" w:sz="0" w:space="0" w:color="auto"/>
          </w:divBdr>
        </w:div>
        <w:div w:id="1199053827">
          <w:marLeft w:val="480"/>
          <w:marRight w:val="0"/>
          <w:marTop w:val="0"/>
          <w:marBottom w:val="0"/>
          <w:divBdr>
            <w:top w:val="none" w:sz="0" w:space="0" w:color="auto"/>
            <w:left w:val="none" w:sz="0" w:space="0" w:color="auto"/>
            <w:bottom w:val="none" w:sz="0" w:space="0" w:color="auto"/>
            <w:right w:val="none" w:sz="0" w:space="0" w:color="auto"/>
          </w:divBdr>
        </w:div>
        <w:div w:id="973946436">
          <w:marLeft w:val="480"/>
          <w:marRight w:val="0"/>
          <w:marTop w:val="0"/>
          <w:marBottom w:val="0"/>
          <w:divBdr>
            <w:top w:val="none" w:sz="0" w:space="0" w:color="auto"/>
            <w:left w:val="none" w:sz="0" w:space="0" w:color="auto"/>
            <w:bottom w:val="none" w:sz="0" w:space="0" w:color="auto"/>
            <w:right w:val="none" w:sz="0" w:space="0" w:color="auto"/>
          </w:divBdr>
        </w:div>
        <w:div w:id="1090929777">
          <w:marLeft w:val="480"/>
          <w:marRight w:val="0"/>
          <w:marTop w:val="0"/>
          <w:marBottom w:val="0"/>
          <w:divBdr>
            <w:top w:val="none" w:sz="0" w:space="0" w:color="auto"/>
            <w:left w:val="none" w:sz="0" w:space="0" w:color="auto"/>
            <w:bottom w:val="none" w:sz="0" w:space="0" w:color="auto"/>
            <w:right w:val="none" w:sz="0" w:space="0" w:color="auto"/>
          </w:divBdr>
        </w:div>
      </w:divsChild>
    </w:div>
    <w:div w:id="857891197">
      <w:bodyDiv w:val="1"/>
      <w:marLeft w:val="0"/>
      <w:marRight w:val="0"/>
      <w:marTop w:val="0"/>
      <w:marBottom w:val="0"/>
      <w:divBdr>
        <w:top w:val="none" w:sz="0" w:space="0" w:color="auto"/>
        <w:left w:val="none" w:sz="0" w:space="0" w:color="auto"/>
        <w:bottom w:val="none" w:sz="0" w:space="0" w:color="auto"/>
        <w:right w:val="none" w:sz="0" w:space="0" w:color="auto"/>
      </w:divBdr>
    </w:div>
    <w:div w:id="863321189">
      <w:bodyDiv w:val="1"/>
      <w:marLeft w:val="0"/>
      <w:marRight w:val="0"/>
      <w:marTop w:val="0"/>
      <w:marBottom w:val="0"/>
      <w:divBdr>
        <w:top w:val="none" w:sz="0" w:space="0" w:color="auto"/>
        <w:left w:val="none" w:sz="0" w:space="0" w:color="auto"/>
        <w:bottom w:val="none" w:sz="0" w:space="0" w:color="auto"/>
        <w:right w:val="none" w:sz="0" w:space="0" w:color="auto"/>
      </w:divBdr>
      <w:divsChild>
        <w:div w:id="1967350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5214820">
      <w:bodyDiv w:val="1"/>
      <w:marLeft w:val="0"/>
      <w:marRight w:val="0"/>
      <w:marTop w:val="0"/>
      <w:marBottom w:val="0"/>
      <w:divBdr>
        <w:top w:val="none" w:sz="0" w:space="0" w:color="auto"/>
        <w:left w:val="none" w:sz="0" w:space="0" w:color="auto"/>
        <w:bottom w:val="none" w:sz="0" w:space="0" w:color="auto"/>
        <w:right w:val="none" w:sz="0" w:space="0" w:color="auto"/>
      </w:divBdr>
      <w:divsChild>
        <w:div w:id="882061002">
          <w:marLeft w:val="480"/>
          <w:marRight w:val="0"/>
          <w:marTop w:val="0"/>
          <w:marBottom w:val="0"/>
          <w:divBdr>
            <w:top w:val="none" w:sz="0" w:space="0" w:color="auto"/>
            <w:left w:val="none" w:sz="0" w:space="0" w:color="auto"/>
            <w:bottom w:val="none" w:sz="0" w:space="0" w:color="auto"/>
            <w:right w:val="none" w:sz="0" w:space="0" w:color="auto"/>
          </w:divBdr>
        </w:div>
        <w:div w:id="444620574">
          <w:marLeft w:val="480"/>
          <w:marRight w:val="0"/>
          <w:marTop w:val="0"/>
          <w:marBottom w:val="0"/>
          <w:divBdr>
            <w:top w:val="none" w:sz="0" w:space="0" w:color="auto"/>
            <w:left w:val="none" w:sz="0" w:space="0" w:color="auto"/>
            <w:bottom w:val="none" w:sz="0" w:space="0" w:color="auto"/>
            <w:right w:val="none" w:sz="0" w:space="0" w:color="auto"/>
          </w:divBdr>
        </w:div>
        <w:div w:id="808471852">
          <w:marLeft w:val="480"/>
          <w:marRight w:val="0"/>
          <w:marTop w:val="0"/>
          <w:marBottom w:val="0"/>
          <w:divBdr>
            <w:top w:val="none" w:sz="0" w:space="0" w:color="auto"/>
            <w:left w:val="none" w:sz="0" w:space="0" w:color="auto"/>
            <w:bottom w:val="none" w:sz="0" w:space="0" w:color="auto"/>
            <w:right w:val="none" w:sz="0" w:space="0" w:color="auto"/>
          </w:divBdr>
        </w:div>
        <w:div w:id="954558474">
          <w:marLeft w:val="480"/>
          <w:marRight w:val="0"/>
          <w:marTop w:val="0"/>
          <w:marBottom w:val="0"/>
          <w:divBdr>
            <w:top w:val="none" w:sz="0" w:space="0" w:color="auto"/>
            <w:left w:val="none" w:sz="0" w:space="0" w:color="auto"/>
            <w:bottom w:val="none" w:sz="0" w:space="0" w:color="auto"/>
            <w:right w:val="none" w:sz="0" w:space="0" w:color="auto"/>
          </w:divBdr>
        </w:div>
        <w:div w:id="7371733">
          <w:marLeft w:val="480"/>
          <w:marRight w:val="0"/>
          <w:marTop w:val="0"/>
          <w:marBottom w:val="0"/>
          <w:divBdr>
            <w:top w:val="none" w:sz="0" w:space="0" w:color="auto"/>
            <w:left w:val="none" w:sz="0" w:space="0" w:color="auto"/>
            <w:bottom w:val="none" w:sz="0" w:space="0" w:color="auto"/>
            <w:right w:val="none" w:sz="0" w:space="0" w:color="auto"/>
          </w:divBdr>
        </w:div>
        <w:div w:id="975254930">
          <w:marLeft w:val="480"/>
          <w:marRight w:val="0"/>
          <w:marTop w:val="0"/>
          <w:marBottom w:val="0"/>
          <w:divBdr>
            <w:top w:val="none" w:sz="0" w:space="0" w:color="auto"/>
            <w:left w:val="none" w:sz="0" w:space="0" w:color="auto"/>
            <w:bottom w:val="none" w:sz="0" w:space="0" w:color="auto"/>
            <w:right w:val="none" w:sz="0" w:space="0" w:color="auto"/>
          </w:divBdr>
        </w:div>
        <w:div w:id="717432090">
          <w:marLeft w:val="480"/>
          <w:marRight w:val="0"/>
          <w:marTop w:val="0"/>
          <w:marBottom w:val="0"/>
          <w:divBdr>
            <w:top w:val="none" w:sz="0" w:space="0" w:color="auto"/>
            <w:left w:val="none" w:sz="0" w:space="0" w:color="auto"/>
            <w:bottom w:val="none" w:sz="0" w:space="0" w:color="auto"/>
            <w:right w:val="none" w:sz="0" w:space="0" w:color="auto"/>
          </w:divBdr>
        </w:div>
        <w:div w:id="1533180304">
          <w:marLeft w:val="480"/>
          <w:marRight w:val="0"/>
          <w:marTop w:val="0"/>
          <w:marBottom w:val="0"/>
          <w:divBdr>
            <w:top w:val="none" w:sz="0" w:space="0" w:color="auto"/>
            <w:left w:val="none" w:sz="0" w:space="0" w:color="auto"/>
            <w:bottom w:val="none" w:sz="0" w:space="0" w:color="auto"/>
            <w:right w:val="none" w:sz="0" w:space="0" w:color="auto"/>
          </w:divBdr>
        </w:div>
        <w:div w:id="1196700072">
          <w:marLeft w:val="480"/>
          <w:marRight w:val="0"/>
          <w:marTop w:val="0"/>
          <w:marBottom w:val="0"/>
          <w:divBdr>
            <w:top w:val="none" w:sz="0" w:space="0" w:color="auto"/>
            <w:left w:val="none" w:sz="0" w:space="0" w:color="auto"/>
            <w:bottom w:val="none" w:sz="0" w:space="0" w:color="auto"/>
            <w:right w:val="none" w:sz="0" w:space="0" w:color="auto"/>
          </w:divBdr>
        </w:div>
        <w:div w:id="9986946">
          <w:marLeft w:val="480"/>
          <w:marRight w:val="0"/>
          <w:marTop w:val="0"/>
          <w:marBottom w:val="0"/>
          <w:divBdr>
            <w:top w:val="none" w:sz="0" w:space="0" w:color="auto"/>
            <w:left w:val="none" w:sz="0" w:space="0" w:color="auto"/>
            <w:bottom w:val="none" w:sz="0" w:space="0" w:color="auto"/>
            <w:right w:val="none" w:sz="0" w:space="0" w:color="auto"/>
          </w:divBdr>
        </w:div>
        <w:div w:id="562256073">
          <w:marLeft w:val="480"/>
          <w:marRight w:val="0"/>
          <w:marTop w:val="0"/>
          <w:marBottom w:val="0"/>
          <w:divBdr>
            <w:top w:val="none" w:sz="0" w:space="0" w:color="auto"/>
            <w:left w:val="none" w:sz="0" w:space="0" w:color="auto"/>
            <w:bottom w:val="none" w:sz="0" w:space="0" w:color="auto"/>
            <w:right w:val="none" w:sz="0" w:space="0" w:color="auto"/>
          </w:divBdr>
        </w:div>
        <w:div w:id="1146125881">
          <w:marLeft w:val="480"/>
          <w:marRight w:val="0"/>
          <w:marTop w:val="0"/>
          <w:marBottom w:val="0"/>
          <w:divBdr>
            <w:top w:val="none" w:sz="0" w:space="0" w:color="auto"/>
            <w:left w:val="none" w:sz="0" w:space="0" w:color="auto"/>
            <w:bottom w:val="none" w:sz="0" w:space="0" w:color="auto"/>
            <w:right w:val="none" w:sz="0" w:space="0" w:color="auto"/>
          </w:divBdr>
        </w:div>
        <w:div w:id="278339476">
          <w:marLeft w:val="480"/>
          <w:marRight w:val="0"/>
          <w:marTop w:val="0"/>
          <w:marBottom w:val="0"/>
          <w:divBdr>
            <w:top w:val="none" w:sz="0" w:space="0" w:color="auto"/>
            <w:left w:val="none" w:sz="0" w:space="0" w:color="auto"/>
            <w:bottom w:val="none" w:sz="0" w:space="0" w:color="auto"/>
            <w:right w:val="none" w:sz="0" w:space="0" w:color="auto"/>
          </w:divBdr>
        </w:div>
        <w:div w:id="242183077">
          <w:marLeft w:val="480"/>
          <w:marRight w:val="0"/>
          <w:marTop w:val="0"/>
          <w:marBottom w:val="0"/>
          <w:divBdr>
            <w:top w:val="none" w:sz="0" w:space="0" w:color="auto"/>
            <w:left w:val="none" w:sz="0" w:space="0" w:color="auto"/>
            <w:bottom w:val="none" w:sz="0" w:space="0" w:color="auto"/>
            <w:right w:val="none" w:sz="0" w:space="0" w:color="auto"/>
          </w:divBdr>
        </w:div>
        <w:div w:id="858815331">
          <w:marLeft w:val="480"/>
          <w:marRight w:val="0"/>
          <w:marTop w:val="0"/>
          <w:marBottom w:val="0"/>
          <w:divBdr>
            <w:top w:val="none" w:sz="0" w:space="0" w:color="auto"/>
            <w:left w:val="none" w:sz="0" w:space="0" w:color="auto"/>
            <w:bottom w:val="none" w:sz="0" w:space="0" w:color="auto"/>
            <w:right w:val="none" w:sz="0" w:space="0" w:color="auto"/>
          </w:divBdr>
        </w:div>
        <w:div w:id="536087900">
          <w:marLeft w:val="480"/>
          <w:marRight w:val="0"/>
          <w:marTop w:val="0"/>
          <w:marBottom w:val="0"/>
          <w:divBdr>
            <w:top w:val="none" w:sz="0" w:space="0" w:color="auto"/>
            <w:left w:val="none" w:sz="0" w:space="0" w:color="auto"/>
            <w:bottom w:val="none" w:sz="0" w:space="0" w:color="auto"/>
            <w:right w:val="none" w:sz="0" w:space="0" w:color="auto"/>
          </w:divBdr>
        </w:div>
        <w:div w:id="478113911">
          <w:marLeft w:val="480"/>
          <w:marRight w:val="0"/>
          <w:marTop w:val="0"/>
          <w:marBottom w:val="0"/>
          <w:divBdr>
            <w:top w:val="none" w:sz="0" w:space="0" w:color="auto"/>
            <w:left w:val="none" w:sz="0" w:space="0" w:color="auto"/>
            <w:bottom w:val="none" w:sz="0" w:space="0" w:color="auto"/>
            <w:right w:val="none" w:sz="0" w:space="0" w:color="auto"/>
          </w:divBdr>
        </w:div>
        <w:div w:id="695665445">
          <w:marLeft w:val="480"/>
          <w:marRight w:val="0"/>
          <w:marTop w:val="0"/>
          <w:marBottom w:val="0"/>
          <w:divBdr>
            <w:top w:val="none" w:sz="0" w:space="0" w:color="auto"/>
            <w:left w:val="none" w:sz="0" w:space="0" w:color="auto"/>
            <w:bottom w:val="none" w:sz="0" w:space="0" w:color="auto"/>
            <w:right w:val="none" w:sz="0" w:space="0" w:color="auto"/>
          </w:divBdr>
        </w:div>
        <w:div w:id="458572612">
          <w:marLeft w:val="480"/>
          <w:marRight w:val="0"/>
          <w:marTop w:val="0"/>
          <w:marBottom w:val="0"/>
          <w:divBdr>
            <w:top w:val="none" w:sz="0" w:space="0" w:color="auto"/>
            <w:left w:val="none" w:sz="0" w:space="0" w:color="auto"/>
            <w:bottom w:val="none" w:sz="0" w:space="0" w:color="auto"/>
            <w:right w:val="none" w:sz="0" w:space="0" w:color="auto"/>
          </w:divBdr>
        </w:div>
        <w:div w:id="770977299">
          <w:marLeft w:val="480"/>
          <w:marRight w:val="0"/>
          <w:marTop w:val="0"/>
          <w:marBottom w:val="0"/>
          <w:divBdr>
            <w:top w:val="none" w:sz="0" w:space="0" w:color="auto"/>
            <w:left w:val="none" w:sz="0" w:space="0" w:color="auto"/>
            <w:bottom w:val="none" w:sz="0" w:space="0" w:color="auto"/>
            <w:right w:val="none" w:sz="0" w:space="0" w:color="auto"/>
          </w:divBdr>
        </w:div>
        <w:div w:id="589584315">
          <w:marLeft w:val="480"/>
          <w:marRight w:val="0"/>
          <w:marTop w:val="0"/>
          <w:marBottom w:val="0"/>
          <w:divBdr>
            <w:top w:val="none" w:sz="0" w:space="0" w:color="auto"/>
            <w:left w:val="none" w:sz="0" w:space="0" w:color="auto"/>
            <w:bottom w:val="none" w:sz="0" w:space="0" w:color="auto"/>
            <w:right w:val="none" w:sz="0" w:space="0" w:color="auto"/>
          </w:divBdr>
        </w:div>
        <w:div w:id="1348604124">
          <w:marLeft w:val="480"/>
          <w:marRight w:val="0"/>
          <w:marTop w:val="0"/>
          <w:marBottom w:val="0"/>
          <w:divBdr>
            <w:top w:val="none" w:sz="0" w:space="0" w:color="auto"/>
            <w:left w:val="none" w:sz="0" w:space="0" w:color="auto"/>
            <w:bottom w:val="none" w:sz="0" w:space="0" w:color="auto"/>
            <w:right w:val="none" w:sz="0" w:space="0" w:color="auto"/>
          </w:divBdr>
        </w:div>
        <w:div w:id="1677463874">
          <w:marLeft w:val="480"/>
          <w:marRight w:val="0"/>
          <w:marTop w:val="0"/>
          <w:marBottom w:val="0"/>
          <w:divBdr>
            <w:top w:val="none" w:sz="0" w:space="0" w:color="auto"/>
            <w:left w:val="none" w:sz="0" w:space="0" w:color="auto"/>
            <w:bottom w:val="none" w:sz="0" w:space="0" w:color="auto"/>
            <w:right w:val="none" w:sz="0" w:space="0" w:color="auto"/>
          </w:divBdr>
        </w:div>
        <w:div w:id="510797975">
          <w:marLeft w:val="480"/>
          <w:marRight w:val="0"/>
          <w:marTop w:val="0"/>
          <w:marBottom w:val="0"/>
          <w:divBdr>
            <w:top w:val="none" w:sz="0" w:space="0" w:color="auto"/>
            <w:left w:val="none" w:sz="0" w:space="0" w:color="auto"/>
            <w:bottom w:val="none" w:sz="0" w:space="0" w:color="auto"/>
            <w:right w:val="none" w:sz="0" w:space="0" w:color="auto"/>
          </w:divBdr>
        </w:div>
        <w:div w:id="870994750">
          <w:marLeft w:val="480"/>
          <w:marRight w:val="0"/>
          <w:marTop w:val="0"/>
          <w:marBottom w:val="0"/>
          <w:divBdr>
            <w:top w:val="none" w:sz="0" w:space="0" w:color="auto"/>
            <w:left w:val="none" w:sz="0" w:space="0" w:color="auto"/>
            <w:bottom w:val="none" w:sz="0" w:space="0" w:color="auto"/>
            <w:right w:val="none" w:sz="0" w:space="0" w:color="auto"/>
          </w:divBdr>
        </w:div>
        <w:div w:id="622616851">
          <w:marLeft w:val="480"/>
          <w:marRight w:val="0"/>
          <w:marTop w:val="0"/>
          <w:marBottom w:val="0"/>
          <w:divBdr>
            <w:top w:val="none" w:sz="0" w:space="0" w:color="auto"/>
            <w:left w:val="none" w:sz="0" w:space="0" w:color="auto"/>
            <w:bottom w:val="none" w:sz="0" w:space="0" w:color="auto"/>
            <w:right w:val="none" w:sz="0" w:space="0" w:color="auto"/>
          </w:divBdr>
        </w:div>
      </w:divsChild>
    </w:div>
    <w:div w:id="933056226">
      <w:bodyDiv w:val="1"/>
      <w:marLeft w:val="0"/>
      <w:marRight w:val="0"/>
      <w:marTop w:val="0"/>
      <w:marBottom w:val="0"/>
      <w:divBdr>
        <w:top w:val="none" w:sz="0" w:space="0" w:color="auto"/>
        <w:left w:val="none" w:sz="0" w:space="0" w:color="auto"/>
        <w:bottom w:val="none" w:sz="0" w:space="0" w:color="auto"/>
        <w:right w:val="none" w:sz="0" w:space="0" w:color="auto"/>
      </w:divBdr>
      <w:divsChild>
        <w:div w:id="790123951">
          <w:marLeft w:val="0"/>
          <w:marRight w:val="0"/>
          <w:marTop w:val="0"/>
          <w:marBottom w:val="0"/>
          <w:divBdr>
            <w:top w:val="none" w:sz="0" w:space="0" w:color="auto"/>
            <w:left w:val="none" w:sz="0" w:space="0" w:color="auto"/>
            <w:bottom w:val="none" w:sz="0" w:space="0" w:color="auto"/>
            <w:right w:val="none" w:sz="0" w:space="0" w:color="auto"/>
          </w:divBdr>
          <w:divsChild>
            <w:div w:id="18214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618152">
      <w:bodyDiv w:val="1"/>
      <w:marLeft w:val="0"/>
      <w:marRight w:val="0"/>
      <w:marTop w:val="0"/>
      <w:marBottom w:val="0"/>
      <w:divBdr>
        <w:top w:val="none" w:sz="0" w:space="0" w:color="auto"/>
        <w:left w:val="none" w:sz="0" w:space="0" w:color="auto"/>
        <w:bottom w:val="none" w:sz="0" w:space="0" w:color="auto"/>
        <w:right w:val="none" w:sz="0" w:space="0" w:color="auto"/>
      </w:divBdr>
      <w:divsChild>
        <w:div w:id="1777023410">
          <w:marLeft w:val="480"/>
          <w:marRight w:val="0"/>
          <w:marTop w:val="0"/>
          <w:marBottom w:val="0"/>
          <w:divBdr>
            <w:top w:val="none" w:sz="0" w:space="0" w:color="auto"/>
            <w:left w:val="none" w:sz="0" w:space="0" w:color="auto"/>
            <w:bottom w:val="none" w:sz="0" w:space="0" w:color="auto"/>
            <w:right w:val="none" w:sz="0" w:space="0" w:color="auto"/>
          </w:divBdr>
        </w:div>
        <w:div w:id="177547238">
          <w:marLeft w:val="480"/>
          <w:marRight w:val="0"/>
          <w:marTop w:val="0"/>
          <w:marBottom w:val="0"/>
          <w:divBdr>
            <w:top w:val="none" w:sz="0" w:space="0" w:color="auto"/>
            <w:left w:val="none" w:sz="0" w:space="0" w:color="auto"/>
            <w:bottom w:val="none" w:sz="0" w:space="0" w:color="auto"/>
            <w:right w:val="none" w:sz="0" w:space="0" w:color="auto"/>
          </w:divBdr>
        </w:div>
        <w:div w:id="1231310584">
          <w:marLeft w:val="480"/>
          <w:marRight w:val="0"/>
          <w:marTop w:val="0"/>
          <w:marBottom w:val="0"/>
          <w:divBdr>
            <w:top w:val="none" w:sz="0" w:space="0" w:color="auto"/>
            <w:left w:val="none" w:sz="0" w:space="0" w:color="auto"/>
            <w:bottom w:val="none" w:sz="0" w:space="0" w:color="auto"/>
            <w:right w:val="none" w:sz="0" w:space="0" w:color="auto"/>
          </w:divBdr>
        </w:div>
        <w:div w:id="300237077">
          <w:marLeft w:val="480"/>
          <w:marRight w:val="0"/>
          <w:marTop w:val="0"/>
          <w:marBottom w:val="0"/>
          <w:divBdr>
            <w:top w:val="none" w:sz="0" w:space="0" w:color="auto"/>
            <w:left w:val="none" w:sz="0" w:space="0" w:color="auto"/>
            <w:bottom w:val="none" w:sz="0" w:space="0" w:color="auto"/>
            <w:right w:val="none" w:sz="0" w:space="0" w:color="auto"/>
          </w:divBdr>
        </w:div>
        <w:div w:id="1878813357">
          <w:marLeft w:val="480"/>
          <w:marRight w:val="0"/>
          <w:marTop w:val="0"/>
          <w:marBottom w:val="0"/>
          <w:divBdr>
            <w:top w:val="none" w:sz="0" w:space="0" w:color="auto"/>
            <w:left w:val="none" w:sz="0" w:space="0" w:color="auto"/>
            <w:bottom w:val="none" w:sz="0" w:space="0" w:color="auto"/>
            <w:right w:val="none" w:sz="0" w:space="0" w:color="auto"/>
          </w:divBdr>
        </w:div>
        <w:div w:id="346758225">
          <w:marLeft w:val="480"/>
          <w:marRight w:val="0"/>
          <w:marTop w:val="0"/>
          <w:marBottom w:val="0"/>
          <w:divBdr>
            <w:top w:val="none" w:sz="0" w:space="0" w:color="auto"/>
            <w:left w:val="none" w:sz="0" w:space="0" w:color="auto"/>
            <w:bottom w:val="none" w:sz="0" w:space="0" w:color="auto"/>
            <w:right w:val="none" w:sz="0" w:space="0" w:color="auto"/>
          </w:divBdr>
        </w:div>
        <w:div w:id="1614242111">
          <w:marLeft w:val="480"/>
          <w:marRight w:val="0"/>
          <w:marTop w:val="0"/>
          <w:marBottom w:val="0"/>
          <w:divBdr>
            <w:top w:val="none" w:sz="0" w:space="0" w:color="auto"/>
            <w:left w:val="none" w:sz="0" w:space="0" w:color="auto"/>
            <w:bottom w:val="none" w:sz="0" w:space="0" w:color="auto"/>
            <w:right w:val="none" w:sz="0" w:space="0" w:color="auto"/>
          </w:divBdr>
        </w:div>
        <w:div w:id="1701935064">
          <w:marLeft w:val="480"/>
          <w:marRight w:val="0"/>
          <w:marTop w:val="0"/>
          <w:marBottom w:val="0"/>
          <w:divBdr>
            <w:top w:val="none" w:sz="0" w:space="0" w:color="auto"/>
            <w:left w:val="none" w:sz="0" w:space="0" w:color="auto"/>
            <w:bottom w:val="none" w:sz="0" w:space="0" w:color="auto"/>
            <w:right w:val="none" w:sz="0" w:space="0" w:color="auto"/>
          </w:divBdr>
        </w:div>
        <w:div w:id="1390882519">
          <w:marLeft w:val="480"/>
          <w:marRight w:val="0"/>
          <w:marTop w:val="0"/>
          <w:marBottom w:val="0"/>
          <w:divBdr>
            <w:top w:val="none" w:sz="0" w:space="0" w:color="auto"/>
            <w:left w:val="none" w:sz="0" w:space="0" w:color="auto"/>
            <w:bottom w:val="none" w:sz="0" w:space="0" w:color="auto"/>
            <w:right w:val="none" w:sz="0" w:space="0" w:color="auto"/>
          </w:divBdr>
        </w:div>
        <w:div w:id="216551443">
          <w:marLeft w:val="480"/>
          <w:marRight w:val="0"/>
          <w:marTop w:val="0"/>
          <w:marBottom w:val="0"/>
          <w:divBdr>
            <w:top w:val="none" w:sz="0" w:space="0" w:color="auto"/>
            <w:left w:val="none" w:sz="0" w:space="0" w:color="auto"/>
            <w:bottom w:val="none" w:sz="0" w:space="0" w:color="auto"/>
            <w:right w:val="none" w:sz="0" w:space="0" w:color="auto"/>
          </w:divBdr>
        </w:div>
        <w:div w:id="130102514">
          <w:marLeft w:val="480"/>
          <w:marRight w:val="0"/>
          <w:marTop w:val="0"/>
          <w:marBottom w:val="0"/>
          <w:divBdr>
            <w:top w:val="none" w:sz="0" w:space="0" w:color="auto"/>
            <w:left w:val="none" w:sz="0" w:space="0" w:color="auto"/>
            <w:bottom w:val="none" w:sz="0" w:space="0" w:color="auto"/>
            <w:right w:val="none" w:sz="0" w:space="0" w:color="auto"/>
          </w:divBdr>
        </w:div>
      </w:divsChild>
    </w:div>
    <w:div w:id="1036779888">
      <w:bodyDiv w:val="1"/>
      <w:marLeft w:val="0"/>
      <w:marRight w:val="0"/>
      <w:marTop w:val="0"/>
      <w:marBottom w:val="0"/>
      <w:divBdr>
        <w:top w:val="none" w:sz="0" w:space="0" w:color="auto"/>
        <w:left w:val="none" w:sz="0" w:space="0" w:color="auto"/>
        <w:bottom w:val="none" w:sz="0" w:space="0" w:color="auto"/>
        <w:right w:val="none" w:sz="0" w:space="0" w:color="auto"/>
      </w:divBdr>
    </w:div>
    <w:div w:id="1099327345">
      <w:bodyDiv w:val="1"/>
      <w:marLeft w:val="0"/>
      <w:marRight w:val="0"/>
      <w:marTop w:val="0"/>
      <w:marBottom w:val="0"/>
      <w:divBdr>
        <w:top w:val="none" w:sz="0" w:space="0" w:color="auto"/>
        <w:left w:val="none" w:sz="0" w:space="0" w:color="auto"/>
        <w:bottom w:val="none" w:sz="0" w:space="0" w:color="auto"/>
        <w:right w:val="none" w:sz="0" w:space="0" w:color="auto"/>
      </w:divBdr>
    </w:div>
    <w:div w:id="1137722203">
      <w:bodyDiv w:val="1"/>
      <w:marLeft w:val="0"/>
      <w:marRight w:val="0"/>
      <w:marTop w:val="0"/>
      <w:marBottom w:val="0"/>
      <w:divBdr>
        <w:top w:val="none" w:sz="0" w:space="0" w:color="auto"/>
        <w:left w:val="none" w:sz="0" w:space="0" w:color="auto"/>
        <w:bottom w:val="none" w:sz="0" w:space="0" w:color="auto"/>
        <w:right w:val="none" w:sz="0" w:space="0" w:color="auto"/>
      </w:divBdr>
    </w:div>
    <w:div w:id="1143618795">
      <w:bodyDiv w:val="1"/>
      <w:marLeft w:val="0"/>
      <w:marRight w:val="0"/>
      <w:marTop w:val="0"/>
      <w:marBottom w:val="0"/>
      <w:divBdr>
        <w:top w:val="none" w:sz="0" w:space="0" w:color="auto"/>
        <w:left w:val="none" w:sz="0" w:space="0" w:color="auto"/>
        <w:bottom w:val="none" w:sz="0" w:space="0" w:color="auto"/>
        <w:right w:val="none" w:sz="0" w:space="0" w:color="auto"/>
      </w:divBdr>
    </w:div>
    <w:div w:id="1152408511">
      <w:bodyDiv w:val="1"/>
      <w:marLeft w:val="0"/>
      <w:marRight w:val="0"/>
      <w:marTop w:val="0"/>
      <w:marBottom w:val="0"/>
      <w:divBdr>
        <w:top w:val="none" w:sz="0" w:space="0" w:color="auto"/>
        <w:left w:val="none" w:sz="0" w:space="0" w:color="auto"/>
        <w:bottom w:val="none" w:sz="0" w:space="0" w:color="auto"/>
        <w:right w:val="none" w:sz="0" w:space="0" w:color="auto"/>
      </w:divBdr>
    </w:div>
    <w:div w:id="1260482613">
      <w:bodyDiv w:val="1"/>
      <w:marLeft w:val="0"/>
      <w:marRight w:val="0"/>
      <w:marTop w:val="0"/>
      <w:marBottom w:val="0"/>
      <w:divBdr>
        <w:top w:val="none" w:sz="0" w:space="0" w:color="auto"/>
        <w:left w:val="none" w:sz="0" w:space="0" w:color="auto"/>
        <w:bottom w:val="none" w:sz="0" w:space="0" w:color="auto"/>
        <w:right w:val="none" w:sz="0" w:space="0" w:color="auto"/>
      </w:divBdr>
    </w:div>
    <w:div w:id="1271666510">
      <w:bodyDiv w:val="1"/>
      <w:marLeft w:val="0"/>
      <w:marRight w:val="0"/>
      <w:marTop w:val="0"/>
      <w:marBottom w:val="0"/>
      <w:divBdr>
        <w:top w:val="none" w:sz="0" w:space="0" w:color="auto"/>
        <w:left w:val="none" w:sz="0" w:space="0" w:color="auto"/>
        <w:bottom w:val="none" w:sz="0" w:space="0" w:color="auto"/>
        <w:right w:val="none" w:sz="0" w:space="0" w:color="auto"/>
      </w:divBdr>
    </w:div>
    <w:div w:id="1306743880">
      <w:bodyDiv w:val="1"/>
      <w:marLeft w:val="0"/>
      <w:marRight w:val="0"/>
      <w:marTop w:val="0"/>
      <w:marBottom w:val="0"/>
      <w:divBdr>
        <w:top w:val="none" w:sz="0" w:space="0" w:color="auto"/>
        <w:left w:val="none" w:sz="0" w:space="0" w:color="auto"/>
        <w:bottom w:val="none" w:sz="0" w:space="0" w:color="auto"/>
        <w:right w:val="none" w:sz="0" w:space="0" w:color="auto"/>
      </w:divBdr>
      <w:divsChild>
        <w:div w:id="2122794353">
          <w:marLeft w:val="480"/>
          <w:marRight w:val="0"/>
          <w:marTop w:val="0"/>
          <w:marBottom w:val="0"/>
          <w:divBdr>
            <w:top w:val="none" w:sz="0" w:space="0" w:color="auto"/>
            <w:left w:val="none" w:sz="0" w:space="0" w:color="auto"/>
            <w:bottom w:val="none" w:sz="0" w:space="0" w:color="auto"/>
            <w:right w:val="none" w:sz="0" w:space="0" w:color="auto"/>
          </w:divBdr>
        </w:div>
        <w:div w:id="801461772">
          <w:marLeft w:val="480"/>
          <w:marRight w:val="0"/>
          <w:marTop w:val="0"/>
          <w:marBottom w:val="0"/>
          <w:divBdr>
            <w:top w:val="none" w:sz="0" w:space="0" w:color="auto"/>
            <w:left w:val="none" w:sz="0" w:space="0" w:color="auto"/>
            <w:bottom w:val="none" w:sz="0" w:space="0" w:color="auto"/>
            <w:right w:val="none" w:sz="0" w:space="0" w:color="auto"/>
          </w:divBdr>
        </w:div>
        <w:div w:id="513495857">
          <w:marLeft w:val="480"/>
          <w:marRight w:val="0"/>
          <w:marTop w:val="0"/>
          <w:marBottom w:val="0"/>
          <w:divBdr>
            <w:top w:val="none" w:sz="0" w:space="0" w:color="auto"/>
            <w:left w:val="none" w:sz="0" w:space="0" w:color="auto"/>
            <w:bottom w:val="none" w:sz="0" w:space="0" w:color="auto"/>
            <w:right w:val="none" w:sz="0" w:space="0" w:color="auto"/>
          </w:divBdr>
        </w:div>
        <w:div w:id="417290813">
          <w:marLeft w:val="480"/>
          <w:marRight w:val="0"/>
          <w:marTop w:val="0"/>
          <w:marBottom w:val="0"/>
          <w:divBdr>
            <w:top w:val="none" w:sz="0" w:space="0" w:color="auto"/>
            <w:left w:val="none" w:sz="0" w:space="0" w:color="auto"/>
            <w:bottom w:val="none" w:sz="0" w:space="0" w:color="auto"/>
            <w:right w:val="none" w:sz="0" w:space="0" w:color="auto"/>
          </w:divBdr>
        </w:div>
        <w:div w:id="1944410648">
          <w:marLeft w:val="480"/>
          <w:marRight w:val="0"/>
          <w:marTop w:val="0"/>
          <w:marBottom w:val="0"/>
          <w:divBdr>
            <w:top w:val="none" w:sz="0" w:space="0" w:color="auto"/>
            <w:left w:val="none" w:sz="0" w:space="0" w:color="auto"/>
            <w:bottom w:val="none" w:sz="0" w:space="0" w:color="auto"/>
            <w:right w:val="none" w:sz="0" w:space="0" w:color="auto"/>
          </w:divBdr>
        </w:div>
        <w:div w:id="1936548547">
          <w:marLeft w:val="480"/>
          <w:marRight w:val="0"/>
          <w:marTop w:val="0"/>
          <w:marBottom w:val="0"/>
          <w:divBdr>
            <w:top w:val="none" w:sz="0" w:space="0" w:color="auto"/>
            <w:left w:val="none" w:sz="0" w:space="0" w:color="auto"/>
            <w:bottom w:val="none" w:sz="0" w:space="0" w:color="auto"/>
            <w:right w:val="none" w:sz="0" w:space="0" w:color="auto"/>
          </w:divBdr>
        </w:div>
        <w:div w:id="78138259">
          <w:marLeft w:val="480"/>
          <w:marRight w:val="0"/>
          <w:marTop w:val="0"/>
          <w:marBottom w:val="0"/>
          <w:divBdr>
            <w:top w:val="none" w:sz="0" w:space="0" w:color="auto"/>
            <w:left w:val="none" w:sz="0" w:space="0" w:color="auto"/>
            <w:bottom w:val="none" w:sz="0" w:space="0" w:color="auto"/>
            <w:right w:val="none" w:sz="0" w:space="0" w:color="auto"/>
          </w:divBdr>
        </w:div>
        <w:div w:id="1837761685">
          <w:marLeft w:val="480"/>
          <w:marRight w:val="0"/>
          <w:marTop w:val="0"/>
          <w:marBottom w:val="0"/>
          <w:divBdr>
            <w:top w:val="none" w:sz="0" w:space="0" w:color="auto"/>
            <w:left w:val="none" w:sz="0" w:space="0" w:color="auto"/>
            <w:bottom w:val="none" w:sz="0" w:space="0" w:color="auto"/>
            <w:right w:val="none" w:sz="0" w:space="0" w:color="auto"/>
          </w:divBdr>
        </w:div>
        <w:div w:id="1075589555">
          <w:marLeft w:val="480"/>
          <w:marRight w:val="0"/>
          <w:marTop w:val="0"/>
          <w:marBottom w:val="0"/>
          <w:divBdr>
            <w:top w:val="none" w:sz="0" w:space="0" w:color="auto"/>
            <w:left w:val="none" w:sz="0" w:space="0" w:color="auto"/>
            <w:bottom w:val="none" w:sz="0" w:space="0" w:color="auto"/>
            <w:right w:val="none" w:sz="0" w:space="0" w:color="auto"/>
          </w:divBdr>
        </w:div>
        <w:div w:id="963925830">
          <w:marLeft w:val="480"/>
          <w:marRight w:val="0"/>
          <w:marTop w:val="0"/>
          <w:marBottom w:val="0"/>
          <w:divBdr>
            <w:top w:val="none" w:sz="0" w:space="0" w:color="auto"/>
            <w:left w:val="none" w:sz="0" w:space="0" w:color="auto"/>
            <w:bottom w:val="none" w:sz="0" w:space="0" w:color="auto"/>
            <w:right w:val="none" w:sz="0" w:space="0" w:color="auto"/>
          </w:divBdr>
        </w:div>
        <w:div w:id="676152500">
          <w:marLeft w:val="480"/>
          <w:marRight w:val="0"/>
          <w:marTop w:val="0"/>
          <w:marBottom w:val="0"/>
          <w:divBdr>
            <w:top w:val="none" w:sz="0" w:space="0" w:color="auto"/>
            <w:left w:val="none" w:sz="0" w:space="0" w:color="auto"/>
            <w:bottom w:val="none" w:sz="0" w:space="0" w:color="auto"/>
            <w:right w:val="none" w:sz="0" w:space="0" w:color="auto"/>
          </w:divBdr>
        </w:div>
        <w:div w:id="1116292082">
          <w:marLeft w:val="480"/>
          <w:marRight w:val="0"/>
          <w:marTop w:val="0"/>
          <w:marBottom w:val="0"/>
          <w:divBdr>
            <w:top w:val="none" w:sz="0" w:space="0" w:color="auto"/>
            <w:left w:val="none" w:sz="0" w:space="0" w:color="auto"/>
            <w:bottom w:val="none" w:sz="0" w:space="0" w:color="auto"/>
            <w:right w:val="none" w:sz="0" w:space="0" w:color="auto"/>
          </w:divBdr>
        </w:div>
        <w:div w:id="781463246">
          <w:marLeft w:val="480"/>
          <w:marRight w:val="0"/>
          <w:marTop w:val="0"/>
          <w:marBottom w:val="0"/>
          <w:divBdr>
            <w:top w:val="none" w:sz="0" w:space="0" w:color="auto"/>
            <w:left w:val="none" w:sz="0" w:space="0" w:color="auto"/>
            <w:bottom w:val="none" w:sz="0" w:space="0" w:color="auto"/>
            <w:right w:val="none" w:sz="0" w:space="0" w:color="auto"/>
          </w:divBdr>
        </w:div>
        <w:div w:id="1003509292">
          <w:marLeft w:val="480"/>
          <w:marRight w:val="0"/>
          <w:marTop w:val="0"/>
          <w:marBottom w:val="0"/>
          <w:divBdr>
            <w:top w:val="none" w:sz="0" w:space="0" w:color="auto"/>
            <w:left w:val="none" w:sz="0" w:space="0" w:color="auto"/>
            <w:bottom w:val="none" w:sz="0" w:space="0" w:color="auto"/>
            <w:right w:val="none" w:sz="0" w:space="0" w:color="auto"/>
          </w:divBdr>
        </w:div>
        <w:div w:id="28452685">
          <w:marLeft w:val="480"/>
          <w:marRight w:val="0"/>
          <w:marTop w:val="0"/>
          <w:marBottom w:val="0"/>
          <w:divBdr>
            <w:top w:val="none" w:sz="0" w:space="0" w:color="auto"/>
            <w:left w:val="none" w:sz="0" w:space="0" w:color="auto"/>
            <w:bottom w:val="none" w:sz="0" w:space="0" w:color="auto"/>
            <w:right w:val="none" w:sz="0" w:space="0" w:color="auto"/>
          </w:divBdr>
        </w:div>
        <w:div w:id="1102185060">
          <w:marLeft w:val="480"/>
          <w:marRight w:val="0"/>
          <w:marTop w:val="0"/>
          <w:marBottom w:val="0"/>
          <w:divBdr>
            <w:top w:val="none" w:sz="0" w:space="0" w:color="auto"/>
            <w:left w:val="none" w:sz="0" w:space="0" w:color="auto"/>
            <w:bottom w:val="none" w:sz="0" w:space="0" w:color="auto"/>
            <w:right w:val="none" w:sz="0" w:space="0" w:color="auto"/>
          </w:divBdr>
        </w:div>
        <w:div w:id="1087507400">
          <w:marLeft w:val="480"/>
          <w:marRight w:val="0"/>
          <w:marTop w:val="0"/>
          <w:marBottom w:val="0"/>
          <w:divBdr>
            <w:top w:val="none" w:sz="0" w:space="0" w:color="auto"/>
            <w:left w:val="none" w:sz="0" w:space="0" w:color="auto"/>
            <w:bottom w:val="none" w:sz="0" w:space="0" w:color="auto"/>
            <w:right w:val="none" w:sz="0" w:space="0" w:color="auto"/>
          </w:divBdr>
        </w:div>
        <w:div w:id="116070028">
          <w:marLeft w:val="480"/>
          <w:marRight w:val="0"/>
          <w:marTop w:val="0"/>
          <w:marBottom w:val="0"/>
          <w:divBdr>
            <w:top w:val="none" w:sz="0" w:space="0" w:color="auto"/>
            <w:left w:val="none" w:sz="0" w:space="0" w:color="auto"/>
            <w:bottom w:val="none" w:sz="0" w:space="0" w:color="auto"/>
            <w:right w:val="none" w:sz="0" w:space="0" w:color="auto"/>
          </w:divBdr>
        </w:div>
        <w:div w:id="444271427">
          <w:marLeft w:val="480"/>
          <w:marRight w:val="0"/>
          <w:marTop w:val="0"/>
          <w:marBottom w:val="0"/>
          <w:divBdr>
            <w:top w:val="none" w:sz="0" w:space="0" w:color="auto"/>
            <w:left w:val="none" w:sz="0" w:space="0" w:color="auto"/>
            <w:bottom w:val="none" w:sz="0" w:space="0" w:color="auto"/>
            <w:right w:val="none" w:sz="0" w:space="0" w:color="auto"/>
          </w:divBdr>
        </w:div>
        <w:div w:id="636374281">
          <w:marLeft w:val="480"/>
          <w:marRight w:val="0"/>
          <w:marTop w:val="0"/>
          <w:marBottom w:val="0"/>
          <w:divBdr>
            <w:top w:val="none" w:sz="0" w:space="0" w:color="auto"/>
            <w:left w:val="none" w:sz="0" w:space="0" w:color="auto"/>
            <w:bottom w:val="none" w:sz="0" w:space="0" w:color="auto"/>
            <w:right w:val="none" w:sz="0" w:space="0" w:color="auto"/>
          </w:divBdr>
        </w:div>
        <w:div w:id="45297473">
          <w:marLeft w:val="480"/>
          <w:marRight w:val="0"/>
          <w:marTop w:val="0"/>
          <w:marBottom w:val="0"/>
          <w:divBdr>
            <w:top w:val="none" w:sz="0" w:space="0" w:color="auto"/>
            <w:left w:val="none" w:sz="0" w:space="0" w:color="auto"/>
            <w:bottom w:val="none" w:sz="0" w:space="0" w:color="auto"/>
            <w:right w:val="none" w:sz="0" w:space="0" w:color="auto"/>
          </w:divBdr>
        </w:div>
        <w:div w:id="1592423652">
          <w:marLeft w:val="480"/>
          <w:marRight w:val="0"/>
          <w:marTop w:val="0"/>
          <w:marBottom w:val="0"/>
          <w:divBdr>
            <w:top w:val="none" w:sz="0" w:space="0" w:color="auto"/>
            <w:left w:val="none" w:sz="0" w:space="0" w:color="auto"/>
            <w:bottom w:val="none" w:sz="0" w:space="0" w:color="auto"/>
            <w:right w:val="none" w:sz="0" w:space="0" w:color="auto"/>
          </w:divBdr>
        </w:div>
        <w:div w:id="1959290026">
          <w:marLeft w:val="480"/>
          <w:marRight w:val="0"/>
          <w:marTop w:val="0"/>
          <w:marBottom w:val="0"/>
          <w:divBdr>
            <w:top w:val="none" w:sz="0" w:space="0" w:color="auto"/>
            <w:left w:val="none" w:sz="0" w:space="0" w:color="auto"/>
            <w:bottom w:val="none" w:sz="0" w:space="0" w:color="auto"/>
            <w:right w:val="none" w:sz="0" w:space="0" w:color="auto"/>
          </w:divBdr>
        </w:div>
        <w:div w:id="69275785">
          <w:marLeft w:val="480"/>
          <w:marRight w:val="0"/>
          <w:marTop w:val="0"/>
          <w:marBottom w:val="0"/>
          <w:divBdr>
            <w:top w:val="none" w:sz="0" w:space="0" w:color="auto"/>
            <w:left w:val="none" w:sz="0" w:space="0" w:color="auto"/>
            <w:bottom w:val="none" w:sz="0" w:space="0" w:color="auto"/>
            <w:right w:val="none" w:sz="0" w:space="0" w:color="auto"/>
          </w:divBdr>
        </w:div>
        <w:div w:id="1478690827">
          <w:marLeft w:val="480"/>
          <w:marRight w:val="0"/>
          <w:marTop w:val="0"/>
          <w:marBottom w:val="0"/>
          <w:divBdr>
            <w:top w:val="none" w:sz="0" w:space="0" w:color="auto"/>
            <w:left w:val="none" w:sz="0" w:space="0" w:color="auto"/>
            <w:bottom w:val="none" w:sz="0" w:space="0" w:color="auto"/>
            <w:right w:val="none" w:sz="0" w:space="0" w:color="auto"/>
          </w:divBdr>
        </w:div>
        <w:div w:id="170533402">
          <w:marLeft w:val="480"/>
          <w:marRight w:val="0"/>
          <w:marTop w:val="0"/>
          <w:marBottom w:val="0"/>
          <w:divBdr>
            <w:top w:val="none" w:sz="0" w:space="0" w:color="auto"/>
            <w:left w:val="none" w:sz="0" w:space="0" w:color="auto"/>
            <w:bottom w:val="none" w:sz="0" w:space="0" w:color="auto"/>
            <w:right w:val="none" w:sz="0" w:space="0" w:color="auto"/>
          </w:divBdr>
        </w:div>
      </w:divsChild>
    </w:div>
    <w:div w:id="1355767245">
      <w:bodyDiv w:val="1"/>
      <w:marLeft w:val="0"/>
      <w:marRight w:val="0"/>
      <w:marTop w:val="0"/>
      <w:marBottom w:val="0"/>
      <w:divBdr>
        <w:top w:val="none" w:sz="0" w:space="0" w:color="auto"/>
        <w:left w:val="none" w:sz="0" w:space="0" w:color="auto"/>
        <w:bottom w:val="none" w:sz="0" w:space="0" w:color="auto"/>
        <w:right w:val="none" w:sz="0" w:space="0" w:color="auto"/>
      </w:divBdr>
    </w:div>
    <w:div w:id="1358970940">
      <w:bodyDiv w:val="1"/>
      <w:marLeft w:val="0"/>
      <w:marRight w:val="0"/>
      <w:marTop w:val="0"/>
      <w:marBottom w:val="0"/>
      <w:divBdr>
        <w:top w:val="none" w:sz="0" w:space="0" w:color="auto"/>
        <w:left w:val="none" w:sz="0" w:space="0" w:color="auto"/>
        <w:bottom w:val="none" w:sz="0" w:space="0" w:color="auto"/>
        <w:right w:val="none" w:sz="0" w:space="0" w:color="auto"/>
      </w:divBdr>
    </w:div>
    <w:div w:id="1429156813">
      <w:bodyDiv w:val="1"/>
      <w:marLeft w:val="0"/>
      <w:marRight w:val="0"/>
      <w:marTop w:val="0"/>
      <w:marBottom w:val="0"/>
      <w:divBdr>
        <w:top w:val="none" w:sz="0" w:space="0" w:color="auto"/>
        <w:left w:val="none" w:sz="0" w:space="0" w:color="auto"/>
        <w:bottom w:val="none" w:sz="0" w:space="0" w:color="auto"/>
        <w:right w:val="none" w:sz="0" w:space="0" w:color="auto"/>
      </w:divBdr>
    </w:div>
    <w:div w:id="1444226686">
      <w:bodyDiv w:val="1"/>
      <w:marLeft w:val="0"/>
      <w:marRight w:val="0"/>
      <w:marTop w:val="0"/>
      <w:marBottom w:val="0"/>
      <w:divBdr>
        <w:top w:val="none" w:sz="0" w:space="0" w:color="auto"/>
        <w:left w:val="none" w:sz="0" w:space="0" w:color="auto"/>
        <w:bottom w:val="none" w:sz="0" w:space="0" w:color="auto"/>
        <w:right w:val="none" w:sz="0" w:space="0" w:color="auto"/>
      </w:divBdr>
      <w:divsChild>
        <w:div w:id="1382708865">
          <w:marLeft w:val="480"/>
          <w:marRight w:val="0"/>
          <w:marTop w:val="0"/>
          <w:marBottom w:val="0"/>
          <w:divBdr>
            <w:top w:val="none" w:sz="0" w:space="0" w:color="auto"/>
            <w:left w:val="none" w:sz="0" w:space="0" w:color="auto"/>
            <w:bottom w:val="none" w:sz="0" w:space="0" w:color="auto"/>
            <w:right w:val="none" w:sz="0" w:space="0" w:color="auto"/>
          </w:divBdr>
        </w:div>
        <w:div w:id="1324815644">
          <w:marLeft w:val="480"/>
          <w:marRight w:val="0"/>
          <w:marTop w:val="0"/>
          <w:marBottom w:val="0"/>
          <w:divBdr>
            <w:top w:val="none" w:sz="0" w:space="0" w:color="auto"/>
            <w:left w:val="none" w:sz="0" w:space="0" w:color="auto"/>
            <w:bottom w:val="none" w:sz="0" w:space="0" w:color="auto"/>
            <w:right w:val="none" w:sz="0" w:space="0" w:color="auto"/>
          </w:divBdr>
        </w:div>
        <w:div w:id="1923761367">
          <w:marLeft w:val="480"/>
          <w:marRight w:val="0"/>
          <w:marTop w:val="0"/>
          <w:marBottom w:val="0"/>
          <w:divBdr>
            <w:top w:val="none" w:sz="0" w:space="0" w:color="auto"/>
            <w:left w:val="none" w:sz="0" w:space="0" w:color="auto"/>
            <w:bottom w:val="none" w:sz="0" w:space="0" w:color="auto"/>
            <w:right w:val="none" w:sz="0" w:space="0" w:color="auto"/>
          </w:divBdr>
        </w:div>
        <w:div w:id="364870300">
          <w:marLeft w:val="480"/>
          <w:marRight w:val="0"/>
          <w:marTop w:val="0"/>
          <w:marBottom w:val="0"/>
          <w:divBdr>
            <w:top w:val="none" w:sz="0" w:space="0" w:color="auto"/>
            <w:left w:val="none" w:sz="0" w:space="0" w:color="auto"/>
            <w:bottom w:val="none" w:sz="0" w:space="0" w:color="auto"/>
            <w:right w:val="none" w:sz="0" w:space="0" w:color="auto"/>
          </w:divBdr>
        </w:div>
        <w:div w:id="1701517120">
          <w:marLeft w:val="480"/>
          <w:marRight w:val="0"/>
          <w:marTop w:val="0"/>
          <w:marBottom w:val="0"/>
          <w:divBdr>
            <w:top w:val="none" w:sz="0" w:space="0" w:color="auto"/>
            <w:left w:val="none" w:sz="0" w:space="0" w:color="auto"/>
            <w:bottom w:val="none" w:sz="0" w:space="0" w:color="auto"/>
            <w:right w:val="none" w:sz="0" w:space="0" w:color="auto"/>
          </w:divBdr>
        </w:div>
        <w:div w:id="2043283672">
          <w:marLeft w:val="480"/>
          <w:marRight w:val="0"/>
          <w:marTop w:val="0"/>
          <w:marBottom w:val="0"/>
          <w:divBdr>
            <w:top w:val="none" w:sz="0" w:space="0" w:color="auto"/>
            <w:left w:val="none" w:sz="0" w:space="0" w:color="auto"/>
            <w:bottom w:val="none" w:sz="0" w:space="0" w:color="auto"/>
            <w:right w:val="none" w:sz="0" w:space="0" w:color="auto"/>
          </w:divBdr>
        </w:div>
        <w:div w:id="1328099555">
          <w:marLeft w:val="480"/>
          <w:marRight w:val="0"/>
          <w:marTop w:val="0"/>
          <w:marBottom w:val="0"/>
          <w:divBdr>
            <w:top w:val="none" w:sz="0" w:space="0" w:color="auto"/>
            <w:left w:val="none" w:sz="0" w:space="0" w:color="auto"/>
            <w:bottom w:val="none" w:sz="0" w:space="0" w:color="auto"/>
            <w:right w:val="none" w:sz="0" w:space="0" w:color="auto"/>
          </w:divBdr>
        </w:div>
        <w:div w:id="2088573816">
          <w:marLeft w:val="480"/>
          <w:marRight w:val="0"/>
          <w:marTop w:val="0"/>
          <w:marBottom w:val="0"/>
          <w:divBdr>
            <w:top w:val="none" w:sz="0" w:space="0" w:color="auto"/>
            <w:left w:val="none" w:sz="0" w:space="0" w:color="auto"/>
            <w:bottom w:val="none" w:sz="0" w:space="0" w:color="auto"/>
            <w:right w:val="none" w:sz="0" w:space="0" w:color="auto"/>
          </w:divBdr>
        </w:div>
        <w:div w:id="1461531556">
          <w:marLeft w:val="480"/>
          <w:marRight w:val="0"/>
          <w:marTop w:val="0"/>
          <w:marBottom w:val="0"/>
          <w:divBdr>
            <w:top w:val="none" w:sz="0" w:space="0" w:color="auto"/>
            <w:left w:val="none" w:sz="0" w:space="0" w:color="auto"/>
            <w:bottom w:val="none" w:sz="0" w:space="0" w:color="auto"/>
            <w:right w:val="none" w:sz="0" w:space="0" w:color="auto"/>
          </w:divBdr>
        </w:div>
        <w:div w:id="673385004">
          <w:marLeft w:val="480"/>
          <w:marRight w:val="0"/>
          <w:marTop w:val="0"/>
          <w:marBottom w:val="0"/>
          <w:divBdr>
            <w:top w:val="none" w:sz="0" w:space="0" w:color="auto"/>
            <w:left w:val="none" w:sz="0" w:space="0" w:color="auto"/>
            <w:bottom w:val="none" w:sz="0" w:space="0" w:color="auto"/>
            <w:right w:val="none" w:sz="0" w:space="0" w:color="auto"/>
          </w:divBdr>
        </w:div>
        <w:div w:id="868566497">
          <w:marLeft w:val="480"/>
          <w:marRight w:val="0"/>
          <w:marTop w:val="0"/>
          <w:marBottom w:val="0"/>
          <w:divBdr>
            <w:top w:val="none" w:sz="0" w:space="0" w:color="auto"/>
            <w:left w:val="none" w:sz="0" w:space="0" w:color="auto"/>
            <w:bottom w:val="none" w:sz="0" w:space="0" w:color="auto"/>
            <w:right w:val="none" w:sz="0" w:space="0" w:color="auto"/>
          </w:divBdr>
        </w:div>
        <w:div w:id="1884898153">
          <w:marLeft w:val="480"/>
          <w:marRight w:val="0"/>
          <w:marTop w:val="0"/>
          <w:marBottom w:val="0"/>
          <w:divBdr>
            <w:top w:val="none" w:sz="0" w:space="0" w:color="auto"/>
            <w:left w:val="none" w:sz="0" w:space="0" w:color="auto"/>
            <w:bottom w:val="none" w:sz="0" w:space="0" w:color="auto"/>
            <w:right w:val="none" w:sz="0" w:space="0" w:color="auto"/>
          </w:divBdr>
        </w:div>
        <w:div w:id="940378181">
          <w:marLeft w:val="480"/>
          <w:marRight w:val="0"/>
          <w:marTop w:val="0"/>
          <w:marBottom w:val="0"/>
          <w:divBdr>
            <w:top w:val="none" w:sz="0" w:space="0" w:color="auto"/>
            <w:left w:val="none" w:sz="0" w:space="0" w:color="auto"/>
            <w:bottom w:val="none" w:sz="0" w:space="0" w:color="auto"/>
            <w:right w:val="none" w:sz="0" w:space="0" w:color="auto"/>
          </w:divBdr>
        </w:div>
        <w:div w:id="1109471081">
          <w:marLeft w:val="480"/>
          <w:marRight w:val="0"/>
          <w:marTop w:val="0"/>
          <w:marBottom w:val="0"/>
          <w:divBdr>
            <w:top w:val="none" w:sz="0" w:space="0" w:color="auto"/>
            <w:left w:val="none" w:sz="0" w:space="0" w:color="auto"/>
            <w:bottom w:val="none" w:sz="0" w:space="0" w:color="auto"/>
            <w:right w:val="none" w:sz="0" w:space="0" w:color="auto"/>
          </w:divBdr>
        </w:div>
        <w:div w:id="1706827710">
          <w:marLeft w:val="480"/>
          <w:marRight w:val="0"/>
          <w:marTop w:val="0"/>
          <w:marBottom w:val="0"/>
          <w:divBdr>
            <w:top w:val="none" w:sz="0" w:space="0" w:color="auto"/>
            <w:left w:val="none" w:sz="0" w:space="0" w:color="auto"/>
            <w:bottom w:val="none" w:sz="0" w:space="0" w:color="auto"/>
            <w:right w:val="none" w:sz="0" w:space="0" w:color="auto"/>
          </w:divBdr>
        </w:div>
        <w:div w:id="1092165617">
          <w:marLeft w:val="480"/>
          <w:marRight w:val="0"/>
          <w:marTop w:val="0"/>
          <w:marBottom w:val="0"/>
          <w:divBdr>
            <w:top w:val="none" w:sz="0" w:space="0" w:color="auto"/>
            <w:left w:val="none" w:sz="0" w:space="0" w:color="auto"/>
            <w:bottom w:val="none" w:sz="0" w:space="0" w:color="auto"/>
            <w:right w:val="none" w:sz="0" w:space="0" w:color="auto"/>
          </w:divBdr>
        </w:div>
        <w:div w:id="1736775576">
          <w:marLeft w:val="480"/>
          <w:marRight w:val="0"/>
          <w:marTop w:val="0"/>
          <w:marBottom w:val="0"/>
          <w:divBdr>
            <w:top w:val="none" w:sz="0" w:space="0" w:color="auto"/>
            <w:left w:val="none" w:sz="0" w:space="0" w:color="auto"/>
            <w:bottom w:val="none" w:sz="0" w:space="0" w:color="auto"/>
            <w:right w:val="none" w:sz="0" w:space="0" w:color="auto"/>
          </w:divBdr>
        </w:div>
        <w:div w:id="622492923">
          <w:marLeft w:val="480"/>
          <w:marRight w:val="0"/>
          <w:marTop w:val="0"/>
          <w:marBottom w:val="0"/>
          <w:divBdr>
            <w:top w:val="none" w:sz="0" w:space="0" w:color="auto"/>
            <w:left w:val="none" w:sz="0" w:space="0" w:color="auto"/>
            <w:bottom w:val="none" w:sz="0" w:space="0" w:color="auto"/>
            <w:right w:val="none" w:sz="0" w:space="0" w:color="auto"/>
          </w:divBdr>
        </w:div>
        <w:div w:id="1517428325">
          <w:marLeft w:val="480"/>
          <w:marRight w:val="0"/>
          <w:marTop w:val="0"/>
          <w:marBottom w:val="0"/>
          <w:divBdr>
            <w:top w:val="none" w:sz="0" w:space="0" w:color="auto"/>
            <w:left w:val="none" w:sz="0" w:space="0" w:color="auto"/>
            <w:bottom w:val="none" w:sz="0" w:space="0" w:color="auto"/>
            <w:right w:val="none" w:sz="0" w:space="0" w:color="auto"/>
          </w:divBdr>
        </w:div>
        <w:div w:id="218398062">
          <w:marLeft w:val="480"/>
          <w:marRight w:val="0"/>
          <w:marTop w:val="0"/>
          <w:marBottom w:val="0"/>
          <w:divBdr>
            <w:top w:val="none" w:sz="0" w:space="0" w:color="auto"/>
            <w:left w:val="none" w:sz="0" w:space="0" w:color="auto"/>
            <w:bottom w:val="none" w:sz="0" w:space="0" w:color="auto"/>
            <w:right w:val="none" w:sz="0" w:space="0" w:color="auto"/>
          </w:divBdr>
        </w:div>
        <w:div w:id="233204840">
          <w:marLeft w:val="480"/>
          <w:marRight w:val="0"/>
          <w:marTop w:val="0"/>
          <w:marBottom w:val="0"/>
          <w:divBdr>
            <w:top w:val="none" w:sz="0" w:space="0" w:color="auto"/>
            <w:left w:val="none" w:sz="0" w:space="0" w:color="auto"/>
            <w:bottom w:val="none" w:sz="0" w:space="0" w:color="auto"/>
            <w:right w:val="none" w:sz="0" w:space="0" w:color="auto"/>
          </w:divBdr>
        </w:div>
        <w:div w:id="63727249">
          <w:marLeft w:val="480"/>
          <w:marRight w:val="0"/>
          <w:marTop w:val="0"/>
          <w:marBottom w:val="0"/>
          <w:divBdr>
            <w:top w:val="none" w:sz="0" w:space="0" w:color="auto"/>
            <w:left w:val="none" w:sz="0" w:space="0" w:color="auto"/>
            <w:bottom w:val="none" w:sz="0" w:space="0" w:color="auto"/>
            <w:right w:val="none" w:sz="0" w:space="0" w:color="auto"/>
          </w:divBdr>
        </w:div>
        <w:div w:id="1714303400">
          <w:marLeft w:val="480"/>
          <w:marRight w:val="0"/>
          <w:marTop w:val="0"/>
          <w:marBottom w:val="0"/>
          <w:divBdr>
            <w:top w:val="none" w:sz="0" w:space="0" w:color="auto"/>
            <w:left w:val="none" w:sz="0" w:space="0" w:color="auto"/>
            <w:bottom w:val="none" w:sz="0" w:space="0" w:color="auto"/>
            <w:right w:val="none" w:sz="0" w:space="0" w:color="auto"/>
          </w:divBdr>
        </w:div>
        <w:div w:id="159276336">
          <w:marLeft w:val="480"/>
          <w:marRight w:val="0"/>
          <w:marTop w:val="0"/>
          <w:marBottom w:val="0"/>
          <w:divBdr>
            <w:top w:val="none" w:sz="0" w:space="0" w:color="auto"/>
            <w:left w:val="none" w:sz="0" w:space="0" w:color="auto"/>
            <w:bottom w:val="none" w:sz="0" w:space="0" w:color="auto"/>
            <w:right w:val="none" w:sz="0" w:space="0" w:color="auto"/>
          </w:divBdr>
        </w:div>
        <w:div w:id="222065631">
          <w:marLeft w:val="480"/>
          <w:marRight w:val="0"/>
          <w:marTop w:val="0"/>
          <w:marBottom w:val="0"/>
          <w:divBdr>
            <w:top w:val="none" w:sz="0" w:space="0" w:color="auto"/>
            <w:left w:val="none" w:sz="0" w:space="0" w:color="auto"/>
            <w:bottom w:val="none" w:sz="0" w:space="0" w:color="auto"/>
            <w:right w:val="none" w:sz="0" w:space="0" w:color="auto"/>
          </w:divBdr>
        </w:div>
      </w:divsChild>
    </w:div>
    <w:div w:id="1471171220">
      <w:bodyDiv w:val="1"/>
      <w:marLeft w:val="0"/>
      <w:marRight w:val="0"/>
      <w:marTop w:val="0"/>
      <w:marBottom w:val="0"/>
      <w:divBdr>
        <w:top w:val="none" w:sz="0" w:space="0" w:color="auto"/>
        <w:left w:val="none" w:sz="0" w:space="0" w:color="auto"/>
        <w:bottom w:val="none" w:sz="0" w:space="0" w:color="auto"/>
        <w:right w:val="none" w:sz="0" w:space="0" w:color="auto"/>
      </w:divBdr>
    </w:div>
    <w:div w:id="1473055972">
      <w:bodyDiv w:val="1"/>
      <w:marLeft w:val="0"/>
      <w:marRight w:val="0"/>
      <w:marTop w:val="0"/>
      <w:marBottom w:val="0"/>
      <w:divBdr>
        <w:top w:val="none" w:sz="0" w:space="0" w:color="auto"/>
        <w:left w:val="none" w:sz="0" w:space="0" w:color="auto"/>
        <w:bottom w:val="none" w:sz="0" w:space="0" w:color="auto"/>
        <w:right w:val="none" w:sz="0" w:space="0" w:color="auto"/>
      </w:divBdr>
      <w:divsChild>
        <w:div w:id="2105950560">
          <w:marLeft w:val="480"/>
          <w:marRight w:val="0"/>
          <w:marTop w:val="0"/>
          <w:marBottom w:val="0"/>
          <w:divBdr>
            <w:top w:val="none" w:sz="0" w:space="0" w:color="auto"/>
            <w:left w:val="none" w:sz="0" w:space="0" w:color="auto"/>
            <w:bottom w:val="none" w:sz="0" w:space="0" w:color="auto"/>
            <w:right w:val="none" w:sz="0" w:space="0" w:color="auto"/>
          </w:divBdr>
        </w:div>
        <w:div w:id="705066532">
          <w:marLeft w:val="480"/>
          <w:marRight w:val="0"/>
          <w:marTop w:val="0"/>
          <w:marBottom w:val="0"/>
          <w:divBdr>
            <w:top w:val="none" w:sz="0" w:space="0" w:color="auto"/>
            <w:left w:val="none" w:sz="0" w:space="0" w:color="auto"/>
            <w:bottom w:val="none" w:sz="0" w:space="0" w:color="auto"/>
            <w:right w:val="none" w:sz="0" w:space="0" w:color="auto"/>
          </w:divBdr>
        </w:div>
        <w:div w:id="2126460191">
          <w:marLeft w:val="480"/>
          <w:marRight w:val="0"/>
          <w:marTop w:val="0"/>
          <w:marBottom w:val="0"/>
          <w:divBdr>
            <w:top w:val="none" w:sz="0" w:space="0" w:color="auto"/>
            <w:left w:val="none" w:sz="0" w:space="0" w:color="auto"/>
            <w:bottom w:val="none" w:sz="0" w:space="0" w:color="auto"/>
            <w:right w:val="none" w:sz="0" w:space="0" w:color="auto"/>
          </w:divBdr>
        </w:div>
        <w:div w:id="1803956001">
          <w:marLeft w:val="480"/>
          <w:marRight w:val="0"/>
          <w:marTop w:val="0"/>
          <w:marBottom w:val="0"/>
          <w:divBdr>
            <w:top w:val="none" w:sz="0" w:space="0" w:color="auto"/>
            <w:left w:val="none" w:sz="0" w:space="0" w:color="auto"/>
            <w:bottom w:val="none" w:sz="0" w:space="0" w:color="auto"/>
            <w:right w:val="none" w:sz="0" w:space="0" w:color="auto"/>
          </w:divBdr>
        </w:div>
        <w:div w:id="542063313">
          <w:marLeft w:val="480"/>
          <w:marRight w:val="0"/>
          <w:marTop w:val="0"/>
          <w:marBottom w:val="0"/>
          <w:divBdr>
            <w:top w:val="none" w:sz="0" w:space="0" w:color="auto"/>
            <w:left w:val="none" w:sz="0" w:space="0" w:color="auto"/>
            <w:bottom w:val="none" w:sz="0" w:space="0" w:color="auto"/>
            <w:right w:val="none" w:sz="0" w:space="0" w:color="auto"/>
          </w:divBdr>
        </w:div>
        <w:div w:id="1918901822">
          <w:marLeft w:val="480"/>
          <w:marRight w:val="0"/>
          <w:marTop w:val="0"/>
          <w:marBottom w:val="0"/>
          <w:divBdr>
            <w:top w:val="none" w:sz="0" w:space="0" w:color="auto"/>
            <w:left w:val="none" w:sz="0" w:space="0" w:color="auto"/>
            <w:bottom w:val="none" w:sz="0" w:space="0" w:color="auto"/>
            <w:right w:val="none" w:sz="0" w:space="0" w:color="auto"/>
          </w:divBdr>
        </w:div>
        <w:div w:id="1255015541">
          <w:marLeft w:val="480"/>
          <w:marRight w:val="0"/>
          <w:marTop w:val="0"/>
          <w:marBottom w:val="0"/>
          <w:divBdr>
            <w:top w:val="none" w:sz="0" w:space="0" w:color="auto"/>
            <w:left w:val="none" w:sz="0" w:space="0" w:color="auto"/>
            <w:bottom w:val="none" w:sz="0" w:space="0" w:color="auto"/>
            <w:right w:val="none" w:sz="0" w:space="0" w:color="auto"/>
          </w:divBdr>
        </w:div>
        <w:div w:id="2097707480">
          <w:marLeft w:val="480"/>
          <w:marRight w:val="0"/>
          <w:marTop w:val="0"/>
          <w:marBottom w:val="0"/>
          <w:divBdr>
            <w:top w:val="none" w:sz="0" w:space="0" w:color="auto"/>
            <w:left w:val="none" w:sz="0" w:space="0" w:color="auto"/>
            <w:bottom w:val="none" w:sz="0" w:space="0" w:color="auto"/>
            <w:right w:val="none" w:sz="0" w:space="0" w:color="auto"/>
          </w:divBdr>
        </w:div>
        <w:div w:id="2086953603">
          <w:marLeft w:val="480"/>
          <w:marRight w:val="0"/>
          <w:marTop w:val="0"/>
          <w:marBottom w:val="0"/>
          <w:divBdr>
            <w:top w:val="none" w:sz="0" w:space="0" w:color="auto"/>
            <w:left w:val="none" w:sz="0" w:space="0" w:color="auto"/>
            <w:bottom w:val="none" w:sz="0" w:space="0" w:color="auto"/>
            <w:right w:val="none" w:sz="0" w:space="0" w:color="auto"/>
          </w:divBdr>
        </w:div>
        <w:div w:id="1944799677">
          <w:marLeft w:val="480"/>
          <w:marRight w:val="0"/>
          <w:marTop w:val="0"/>
          <w:marBottom w:val="0"/>
          <w:divBdr>
            <w:top w:val="none" w:sz="0" w:space="0" w:color="auto"/>
            <w:left w:val="none" w:sz="0" w:space="0" w:color="auto"/>
            <w:bottom w:val="none" w:sz="0" w:space="0" w:color="auto"/>
            <w:right w:val="none" w:sz="0" w:space="0" w:color="auto"/>
          </w:divBdr>
        </w:div>
        <w:div w:id="1991516504">
          <w:marLeft w:val="480"/>
          <w:marRight w:val="0"/>
          <w:marTop w:val="0"/>
          <w:marBottom w:val="0"/>
          <w:divBdr>
            <w:top w:val="none" w:sz="0" w:space="0" w:color="auto"/>
            <w:left w:val="none" w:sz="0" w:space="0" w:color="auto"/>
            <w:bottom w:val="none" w:sz="0" w:space="0" w:color="auto"/>
            <w:right w:val="none" w:sz="0" w:space="0" w:color="auto"/>
          </w:divBdr>
        </w:div>
        <w:div w:id="1231110728">
          <w:marLeft w:val="480"/>
          <w:marRight w:val="0"/>
          <w:marTop w:val="0"/>
          <w:marBottom w:val="0"/>
          <w:divBdr>
            <w:top w:val="none" w:sz="0" w:space="0" w:color="auto"/>
            <w:left w:val="none" w:sz="0" w:space="0" w:color="auto"/>
            <w:bottom w:val="none" w:sz="0" w:space="0" w:color="auto"/>
            <w:right w:val="none" w:sz="0" w:space="0" w:color="auto"/>
          </w:divBdr>
        </w:div>
        <w:div w:id="1495611540">
          <w:marLeft w:val="480"/>
          <w:marRight w:val="0"/>
          <w:marTop w:val="0"/>
          <w:marBottom w:val="0"/>
          <w:divBdr>
            <w:top w:val="none" w:sz="0" w:space="0" w:color="auto"/>
            <w:left w:val="none" w:sz="0" w:space="0" w:color="auto"/>
            <w:bottom w:val="none" w:sz="0" w:space="0" w:color="auto"/>
            <w:right w:val="none" w:sz="0" w:space="0" w:color="auto"/>
          </w:divBdr>
        </w:div>
        <w:div w:id="781731927">
          <w:marLeft w:val="480"/>
          <w:marRight w:val="0"/>
          <w:marTop w:val="0"/>
          <w:marBottom w:val="0"/>
          <w:divBdr>
            <w:top w:val="none" w:sz="0" w:space="0" w:color="auto"/>
            <w:left w:val="none" w:sz="0" w:space="0" w:color="auto"/>
            <w:bottom w:val="none" w:sz="0" w:space="0" w:color="auto"/>
            <w:right w:val="none" w:sz="0" w:space="0" w:color="auto"/>
          </w:divBdr>
        </w:div>
        <w:div w:id="1520699234">
          <w:marLeft w:val="480"/>
          <w:marRight w:val="0"/>
          <w:marTop w:val="0"/>
          <w:marBottom w:val="0"/>
          <w:divBdr>
            <w:top w:val="none" w:sz="0" w:space="0" w:color="auto"/>
            <w:left w:val="none" w:sz="0" w:space="0" w:color="auto"/>
            <w:bottom w:val="none" w:sz="0" w:space="0" w:color="auto"/>
            <w:right w:val="none" w:sz="0" w:space="0" w:color="auto"/>
          </w:divBdr>
        </w:div>
      </w:divsChild>
    </w:div>
    <w:div w:id="1489904563">
      <w:bodyDiv w:val="1"/>
      <w:marLeft w:val="0"/>
      <w:marRight w:val="0"/>
      <w:marTop w:val="0"/>
      <w:marBottom w:val="0"/>
      <w:divBdr>
        <w:top w:val="none" w:sz="0" w:space="0" w:color="auto"/>
        <w:left w:val="none" w:sz="0" w:space="0" w:color="auto"/>
        <w:bottom w:val="none" w:sz="0" w:space="0" w:color="auto"/>
        <w:right w:val="none" w:sz="0" w:space="0" w:color="auto"/>
      </w:divBdr>
    </w:div>
    <w:div w:id="1525749605">
      <w:bodyDiv w:val="1"/>
      <w:marLeft w:val="0"/>
      <w:marRight w:val="0"/>
      <w:marTop w:val="0"/>
      <w:marBottom w:val="0"/>
      <w:divBdr>
        <w:top w:val="none" w:sz="0" w:space="0" w:color="auto"/>
        <w:left w:val="none" w:sz="0" w:space="0" w:color="auto"/>
        <w:bottom w:val="none" w:sz="0" w:space="0" w:color="auto"/>
        <w:right w:val="none" w:sz="0" w:space="0" w:color="auto"/>
      </w:divBdr>
    </w:div>
    <w:div w:id="1529174145">
      <w:bodyDiv w:val="1"/>
      <w:marLeft w:val="0"/>
      <w:marRight w:val="0"/>
      <w:marTop w:val="0"/>
      <w:marBottom w:val="0"/>
      <w:divBdr>
        <w:top w:val="none" w:sz="0" w:space="0" w:color="auto"/>
        <w:left w:val="none" w:sz="0" w:space="0" w:color="auto"/>
        <w:bottom w:val="none" w:sz="0" w:space="0" w:color="auto"/>
        <w:right w:val="none" w:sz="0" w:space="0" w:color="auto"/>
      </w:divBdr>
      <w:divsChild>
        <w:div w:id="1186138355">
          <w:marLeft w:val="480"/>
          <w:marRight w:val="0"/>
          <w:marTop w:val="0"/>
          <w:marBottom w:val="0"/>
          <w:divBdr>
            <w:top w:val="none" w:sz="0" w:space="0" w:color="auto"/>
            <w:left w:val="none" w:sz="0" w:space="0" w:color="auto"/>
            <w:bottom w:val="none" w:sz="0" w:space="0" w:color="auto"/>
            <w:right w:val="none" w:sz="0" w:space="0" w:color="auto"/>
          </w:divBdr>
        </w:div>
        <w:div w:id="1839468091">
          <w:marLeft w:val="480"/>
          <w:marRight w:val="0"/>
          <w:marTop w:val="0"/>
          <w:marBottom w:val="0"/>
          <w:divBdr>
            <w:top w:val="none" w:sz="0" w:space="0" w:color="auto"/>
            <w:left w:val="none" w:sz="0" w:space="0" w:color="auto"/>
            <w:bottom w:val="none" w:sz="0" w:space="0" w:color="auto"/>
            <w:right w:val="none" w:sz="0" w:space="0" w:color="auto"/>
          </w:divBdr>
        </w:div>
        <w:div w:id="2117141286">
          <w:marLeft w:val="480"/>
          <w:marRight w:val="0"/>
          <w:marTop w:val="0"/>
          <w:marBottom w:val="0"/>
          <w:divBdr>
            <w:top w:val="none" w:sz="0" w:space="0" w:color="auto"/>
            <w:left w:val="none" w:sz="0" w:space="0" w:color="auto"/>
            <w:bottom w:val="none" w:sz="0" w:space="0" w:color="auto"/>
            <w:right w:val="none" w:sz="0" w:space="0" w:color="auto"/>
          </w:divBdr>
        </w:div>
        <w:div w:id="1204098229">
          <w:marLeft w:val="480"/>
          <w:marRight w:val="0"/>
          <w:marTop w:val="0"/>
          <w:marBottom w:val="0"/>
          <w:divBdr>
            <w:top w:val="none" w:sz="0" w:space="0" w:color="auto"/>
            <w:left w:val="none" w:sz="0" w:space="0" w:color="auto"/>
            <w:bottom w:val="none" w:sz="0" w:space="0" w:color="auto"/>
            <w:right w:val="none" w:sz="0" w:space="0" w:color="auto"/>
          </w:divBdr>
        </w:div>
        <w:div w:id="1593589426">
          <w:marLeft w:val="480"/>
          <w:marRight w:val="0"/>
          <w:marTop w:val="0"/>
          <w:marBottom w:val="0"/>
          <w:divBdr>
            <w:top w:val="none" w:sz="0" w:space="0" w:color="auto"/>
            <w:left w:val="none" w:sz="0" w:space="0" w:color="auto"/>
            <w:bottom w:val="none" w:sz="0" w:space="0" w:color="auto"/>
            <w:right w:val="none" w:sz="0" w:space="0" w:color="auto"/>
          </w:divBdr>
        </w:div>
        <w:div w:id="1195580789">
          <w:marLeft w:val="480"/>
          <w:marRight w:val="0"/>
          <w:marTop w:val="0"/>
          <w:marBottom w:val="0"/>
          <w:divBdr>
            <w:top w:val="none" w:sz="0" w:space="0" w:color="auto"/>
            <w:left w:val="none" w:sz="0" w:space="0" w:color="auto"/>
            <w:bottom w:val="none" w:sz="0" w:space="0" w:color="auto"/>
            <w:right w:val="none" w:sz="0" w:space="0" w:color="auto"/>
          </w:divBdr>
        </w:div>
        <w:div w:id="460878351">
          <w:marLeft w:val="480"/>
          <w:marRight w:val="0"/>
          <w:marTop w:val="0"/>
          <w:marBottom w:val="0"/>
          <w:divBdr>
            <w:top w:val="none" w:sz="0" w:space="0" w:color="auto"/>
            <w:left w:val="none" w:sz="0" w:space="0" w:color="auto"/>
            <w:bottom w:val="none" w:sz="0" w:space="0" w:color="auto"/>
            <w:right w:val="none" w:sz="0" w:space="0" w:color="auto"/>
          </w:divBdr>
        </w:div>
        <w:div w:id="1106001087">
          <w:marLeft w:val="480"/>
          <w:marRight w:val="0"/>
          <w:marTop w:val="0"/>
          <w:marBottom w:val="0"/>
          <w:divBdr>
            <w:top w:val="none" w:sz="0" w:space="0" w:color="auto"/>
            <w:left w:val="none" w:sz="0" w:space="0" w:color="auto"/>
            <w:bottom w:val="none" w:sz="0" w:space="0" w:color="auto"/>
            <w:right w:val="none" w:sz="0" w:space="0" w:color="auto"/>
          </w:divBdr>
        </w:div>
        <w:div w:id="199705365">
          <w:marLeft w:val="480"/>
          <w:marRight w:val="0"/>
          <w:marTop w:val="0"/>
          <w:marBottom w:val="0"/>
          <w:divBdr>
            <w:top w:val="none" w:sz="0" w:space="0" w:color="auto"/>
            <w:left w:val="none" w:sz="0" w:space="0" w:color="auto"/>
            <w:bottom w:val="none" w:sz="0" w:space="0" w:color="auto"/>
            <w:right w:val="none" w:sz="0" w:space="0" w:color="auto"/>
          </w:divBdr>
        </w:div>
        <w:div w:id="442578020">
          <w:marLeft w:val="480"/>
          <w:marRight w:val="0"/>
          <w:marTop w:val="0"/>
          <w:marBottom w:val="0"/>
          <w:divBdr>
            <w:top w:val="none" w:sz="0" w:space="0" w:color="auto"/>
            <w:left w:val="none" w:sz="0" w:space="0" w:color="auto"/>
            <w:bottom w:val="none" w:sz="0" w:space="0" w:color="auto"/>
            <w:right w:val="none" w:sz="0" w:space="0" w:color="auto"/>
          </w:divBdr>
        </w:div>
        <w:div w:id="2051107253">
          <w:marLeft w:val="480"/>
          <w:marRight w:val="0"/>
          <w:marTop w:val="0"/>
          <w:marBottom w:val="0"/>
          <w:divBdr>
            <w:top w:val="none" w:sz="0" w:space="0" w:color="auto"/>
            <w:left w:val="none" w:sz="0" w:space="0" w:color="auto"/>
            <w:bottom w:val="none" w:sz="0" w:space="0" w:color="auto"/>
            <w:right w:val="none" w:sz="0" w:space="0" w:color="auto"/>
          </w:divBdr>
        </w:div>
        <w:div w:id="1599675515">
          <w:marLeft w:val="480"/>
          <w:marRight w:val="0"/>
          <w:marTop w:val="0"/>
          <w:marBottom w:val="0"/>
          <w:divBdr>
            <w:top w:val="none" w:sz="0" w:space="0" w:color="auto"/>
            <w:left w:val="none" w:sz="0" w:space="0" w:color="auto"/>
            <w:bottom w:val="none" w:sz="0" w:space="0" w:color="auto"/>
            <w:right w:val="none" w:sz="0" w:space="0" w:color="auto"/>
          </w:divBdr>
        </w:div>
        <w:div w:id="579945274">
          <w:marLeft w:val="480"/>
          <w:marRight w:val="0"/>
          <w:marTop w:val="0"/>
          <w:marBottom w:val="0"/>
          <w:divBdr>
            <w:top w:val="none" w:sz="0" w:space="0" w:color="auto"/>
            <w:left w:val="none" w:sz="0" w:space="0" w:color="auto"/>
            <w:bottom w:val="none" w:sz="0" w:space="0" w:color="auto"/>
            <w:right w:val="none" w:sz="0" w:space="0" w:color="auto"/>
          </w:divBdr>
        </w:div>
        <w:div w:id="392630151">
          <w:marLeft w:val="480"/>
          <w:marRight w:val="0"/>
          <w:marTop w:val="0"/>
          <w:marBottom w:val="0"/>
          <w:divBdr>
            <w:top w:val="none" w:sz="0" w:space="0" w:color="auto"/>
            <w:left w:val="none" w:sz="0" w:space="0" w:color="auto"/>
            <w:bottom w:val="none" w:sz="0" w:space="0" w:color="auto"/>
            <w:right w:val="none" w:sz="0" w:space="0" w:color="auto"/>
          </w:divBdr>
        </w:div>
        <w:div w:id="1198348604">
          <w:marLeft w:val="480"/>
          <w:marRight w:val="0"/>
          <w:marTop w:val="0"/>
          <w:marBottom w:val="0"/>
          <w:divBdr>
            <w:top w:val="none" w:sz="0" w:space="0" w:color="auto"/>
            <w:left w:val="none" w:sz="0" w:space="0" w:color="auto"/>
            <w:bottom w:val="none" w:sz="0" w:space="0" w:color="auto"/>
            <w:right w:val="none" w:sz="0" w:space="0" w:color="auto"/>
          </w:divBdr>
        </w:div>
        <w:div w:id="2024235648">
          <w:marLeft w:val="480"/>
          <w:marRight w:val="0"/>
          <w:marTop w:val="0"/>
          <w:marBottom w:val="0"/>
          <w:divBdr>
            <w:top w:val="none" w:sz="0" w:space="0" w:color="auto"/>
            <w:left w:val="none" w:sz="0" w:space="0" w:color="auto"/>
            <w:bottom w:val="none" w:sz="0" w:space="0" w:color="auto"/>
            <w:right w:val="none" w:sz="0" w:space="0" w:color="auto"/>
          </w:divBdr>
        </w:div>
        <w:div w:id="1943613021">
          <w:marLeft w:val="480"/>
          <w:marRight w:val="0"/>
          <w:marTop w:val="0"/>
          <w:marBottom w:val="0"/>
          <w:divBdr>
            <w:top w:val="none" w:sz="0" w:space="0" w:color="auto"/>
            <w:left w:val="none" w:sz="0" w:space="0" w:color="auto"/>
            <w:bottom w:val="none" w:sz="0" w:space="0" w:color="auto"/>
            <w:right w:val="none" w:sz="0" w:space="0" w:color="auto"/>
          </w:divBdr>
        </w:div>
        <w:div w:id="1116364037">
          <w:marLeft w:val="480"/>
          <w:marRight w:val="0"/>
          <w:marTop w:val="0"/>
          <w:marBottom w:val="0"/>
          <w:divBdr>
            <w:top w:val="none" w:sz="0" w:space="0" w:color="auto"/>
            <w:left w:val="none" w:sz="0" w:space="0" w:color="auto"/>
            <w:bottom w:val="none" w:sz="0" w:space="0" w:color="auto"/>
            <w:right w:val="none" w:sz="0" w:space="0" w:color="auto"/>
          </w:divBdr>
        </w:div>
        <w:div w:id="548031923">
          <w:marLeft w:val="480"/>
          <w:marRight w:val="0"/>
          <w:marTop w:val="0"/>
          <w:marBottom w:val="0"/>
          <w:divBdr>
            <w:top w:val="none" w:sz="0" w:space="0" w:color="auto"/>
            <w:left w:val="none" w:sz="0" w:space="0" w:color="auto"/>
            <w:bottom w:val="none" w:sz="0" w:space="0" w:color="auto"/>
            <w:right w:val="none" w:sz="0" w:space="0" w:color="auto"/>
          </w:divBdr>
        </w:div>
        <w:div w:id="2089181530">
          <w:marLeft w:val="480"/>
          <w:marRight w:val="0"/>
          <w:marTop w:val="0"/>
          <w:marBottom w:val="0"/>
          <w:divBdr>
            <w:top w:val="none" w:sz="0" w:space="0" w:color="auto"/>
            <w:left w:val="none" w:sz="0" w:space="0" w:color="auto"/>
            <w:bottom w:val="none" w:sz="0" w:space="0" w:color="auto"/>
            <w:right w:val="none" w:sz="0" w:space="0" w:color="auto"/>
          </w:divBdr>
        </w:div>
        <w:div w:id="1876041298">
          <w:marLeft w:val="480"/>
          <w:marRight w:val="0"/>
          <w:marTop w:val="0"/>
          <w:marBottom w:val="0"/>
          <w:divBdr>
            <w:top w:val="none" w:sz="0" w:space="0" w:color="auto"/>
            <w:left w:val="none" w:sz="0" w:space="0" w:color="auto"/>
            <w:bottom w:val="none" w:sz="0" w:space="0" w:color="auto"/>
            <w:right w:val="none" w:sz="0" w:space="0" w:color="auto"/>
          </w:divBdr>
        </w:div>
        <w:div w:id="1397557791">
          <w:marLeft w:val="480"/>
          <w:marRight w:val="0"/>
          <w:marTop w:val="0"/>
          <w:marBottom w:val="0"/>
          <w:divBdr>
            <w:top w:val="none" w:sz="0" w:space="0" w:color="auto"/>
            <w:left w:val="none" w:sz="0" w:space="0" w:color="auto"/>
            <w:bottom w:val="none" w:sz="0" w:space="0" w:color="auto"/>
            <w:right w:val="none" w:sz="0" w:space="0" w:color="auto"/>
          </w:divBdr>
        </w:div>
      </w:divsChild>
    </w:div>
    <w:div w:id="1548445449">
      <w:bodyDiv w:val="1"/>
      <w:marLeft w:val="0"/>
      <w:marRight w:val="0"/>
      <w:marTop w:val="0"/>
      <w:marBottom w:val="0"/>
      <w:divBdr>
        <w:top w:val="none" w:sz="0" w:space="0" w:color="auto"/>
        <w:left w:val="none" w:sz="0" w:space="0" w:color="auto"/>
        <w:bottom w:val="none" w:sz="0" w:space="0" w:color="auto"/>
        <w:right w:val="none" w:sz="0" w:space="0" w:color="auto"/>
      </w:divBdr>
    </w:div>
    <w:div w:id="1586574141">
      <w:bodyDiv w:val="1"/>
      <w:marLeft w:val="0"/>
      <w:marRight w:val="0"/>
      <w:marTop w:val="0"/>
      <w:marBottom w:val="0"/>
      <w:divBdr>
        <w:top w:val="none" w:sz="0" w:space="0" w:color="auto"/>
        <w:left w:val="none" w:sz="0" w:space="0" w:color="auto"/>
        <w:bottom w:val="none" w:sz="0" w:space="0" w:color="auto"/>
        <w:right w:val="none" w:sz="0" w:space="0" w:color="auto"/>
      </w:divBdr>
    </w:div>
    <w:div w:id="1677415214">
      <w:bodyDiv w:val="1"/>
      <w:marLeft w:val="0"/>
      <w:marRight w:val="0"/>
      <w:marTop w:val="0"/>
      <w:marBottom w:val="0"/>
      <w:divBdr>
        <w:top w:val="none" w:sz="0" w:space="0" w:color="auto"/>
        <w:left w:val="none" w:sz="0" w:space="0" w:color="auto"/>
        <w:bottom w:val="none" w:sz="0" w:space="0" w:color="auto"/>
        <w:right w:val="none" w:sz="0" w:space="0" w:color="auto"/>
      </w:divBdr>
      <w:divsChild>
        <w:div w:id="1659847272">
          <w:marLeft w:val="480"/>
          <w:marRight w:val="0"/>
          <w:marTop w:val="0"/>
          <w:marBottom w:val="0"/>
          <w:divBdr>
            <w:top w:val="none" w:sz="0" w:space="0" w:color="auto"/>
            <w:left w:val="none" w:sz="0" w:space="0" w:color="auto"/>
            <w:bottom w:val="none" w:sz="0" w:space="0" w:color="auto"/>
            <w:right w:val="none" w:sz="0" w:space="0" w:color="auto"/>
          </w:divBdr>
        </w:div>
        <w:div w:id="838152605">
          <w:marLeft w:val="480"/>
          <w:marRight w:val="0"/>
          <w:marTop w:val="0"/>
          <w:marBottom w:val="0"/>
          <w:divBdr>
            <w:top w:val="none" w:sz="0" w:space="0" w:color="auto"/>
            <w:left w:val="none" w:sz="0" w:space="0" w:color="auto"/>
            <w:bottom w:val="none" w:sz="0" w:space="0" w:color="auto"/>
            <w:right w:val="none" w:sz="0" w:space="0" w:color="auto"/>
          </w:divBdr>
        </w:div>
        <w:div w:id="1501657562">
          <w:marLeft w:val="480"/>
          <w:marRight w:val="0"/>
          <w:marTop w:val="0"/>
          <w:marBottom w:val="0"/>
          <w:divBdr>
            <w:top w:val="none" w:sz="0" w:space="0" w:color="auto"/>
            <w:left w:val="none" w:sz="0" w:space="0" w:color="auto"/>
            <w:bottom w:val="none" w:sz="0" w:space="0" w:color="auto"/>
            <w:right w:val="none" w:sz="0" w:space="0" w:color="auto"/>
          </w:divBdr>
        </w:div>
        <w:div w:id="981271459">
          <w:marLeft w:val="480"/>
          <w:marRight w:val="0"/>
          <w:marTop w:val="0"/>
          <w:marBottom w:val="0"/>
          <w:divBdr>
            <w:top w:val="none" w:sz="0" w:space="0" w:color="auto"/>
            <w:left w:val="none" w:sz="0" w:space="0" w:color="auto"/>
            <w:bottom w:val="none" w:sz="0" w:space="0" w:color="auto"/>
            <w:right w:val="none" w:sz="0" w:space="0" w:color="auto"/>
          </w:divBdr>
        </w:div>
        <w:div w:id="272447254">
          <w:marLeft w:val="480"/>
          <w:marRight w:val="0"/>
          <w:marTop w:val="0"/>
          <w:marBottom w:val="0"/>
          <w:divBdr>
            <w:top w:val="none" w:sz="0" w:space="0" w:color="auto"/>
            <w:left w:val="none" w:sz="0" w:space="0" w:color="auto"/>
            <w:bottom w:val="none" w:sz="0" w:space="0" w:color="auto"/>
            <w:right w:val="none" w:sz="0" w:space="0" w:color="auto"/>
          </w:divBdr>
        </w:div>
        <w:div w:id="1546944164">
          <w:marLeft w:val="480"/>
          <w:marRight w:val="0"/>
          <w:marTop w:val="0"/>
          <w:marBottom w:val="0"/>
          <w:divBdr>
            <w:top w:val="none" w:sz="0" w:space="0" w:color="auto"/>
            <w:left w:val="none" w:sz="0" w:space="0" w:color="auto"/>
            <w:bottom w:val="none" w:sz="0" w:space="0" w:color="auto"/>
            <w:right w:val="none" w:sz="0" w:space="0" w:color="auto"/>
          </w:divBdr>
        </w:div>
        <w:div w:id="349646373">
          <w:marLeft w:val="480"/>
          <w:marRight w:val="0"/>
          <w:marTop w:val="0"/>
          <w:marBottom w:val="0"/>
          <w:divBdr>
            <w:top w:val="none" w:sz="0" w:space="0" w:color="auto"/>
            <w:left w:val="none" w:sz="0" w:space="0" w:color="auto"/>
            <w:bottom w:val="none" w:sz="0" w:space="0" w:color="auto"/>
            <w:right w:val="none" w:sz="0" w:space="0" w:color="auto"/>
          </w:divBdr>
        </w:div>
        <w:div w:id="1324432939">
          <w:marLeft w:val="480"/>
          <w:marRight w:val="0"/>
          <w:marTop w:val="0"/>
          <w:marBottom w:val="0"/>
          <w:divBdr>
            <w:top w:val="none" w:sz="0" w:space="0" w:color="auto"/>
            <w:left w:val="none" w:sz="0" w:space="0" w:color="auto"/>
            <w:bottom w:val="none" w:sz="0" w:space="0" w:color="auto"/>
            <w:right w:val="none" w:sz="0" w:space="0" w:color="auto"/>
          </w:divBdr>
        </w:div>
        <w:div w:id="361900062">
          <w:marLeft w:val="480"/>
          <w:marRight w:val="0"/>
          <w:marTop w:val="0"/>
          <w:marBottom w:val="0"/>
          <w:divBdr>
            <w:top w:val="none" w:sz="0" w:space="0" w:color="auto"/>
            <w:left w:val="none" w:sz="0" w:space="0" w:color="auto"/>
            <w:bottom w:val="none" w:sz="0" w:space="0" w:color="auto"/>
            <w:right w:val="none" w:sz="0" w:space="0" w:color="auto"/>
          </w:divBdr>
        </w:div>
        <w:div w:id="764688645">
          <w:marLeft w:val="480"/>
          <w:marRight w:val="0"/>
          <w:marTop w:val="0"/>
          <w:marBottom w:val="0"/>
          <w:divBdr>
            <w:top w:val="none" w:sz="0" w:space="0" w:color="auto"/>
            <w:left w:val="none" w:sz="0" w:space="0" w:color="auto"/>
            <w:bottom w:val="none" w:sz="0" w:space="0" w:color="auto"/>
            <w:right w:val="none" w:sz="0" w:space="0" w:color="auto"/>
          </w:divBdr>
        </w:div>
        <w:div w:id="205676381">
          <w:marLeft w:val="480"/>
          <w:marRight w:val="0"/>
          <w:marTop w:val="0"/>
          <w:marBottom w:val="0"/>
          <w:divBdr>
            <w:top w:val="none" w:sz="0" w:space="0" w:color="auto"/>
            <w:left w:val="none" w:sz="0" w:space="0" w:color="auto"/>
            <w:bottom w:val="none" w:sz="0" w:space="0" w:color="auto"/>
            <w:right w:val="none" w:sz="0" w:space="0" w:color="auto"/>
          </w:divBdr>
        </w:div>
        <w:div w:id="626207304">
          <w:marLeft w:val="480"/>
          <w:marRight w:val="0"/>
          <w:marTop w:val="0"/>
          <w:marBottom w:val="0"/>
          <w:divBdr>
            <w:top w:val="none" w:sz="0" w:space="0" w:color="auto"/>
            <w:left w:val="none" w:sz="0" w:space="0" w:color="auto"/>
            <w:bottom w:val="none" w:sz="0" w:space="0" w:color="auto"/>
            <w:right w:val="none" w:sz="0" w:space="0" w:color="auto"/>
          </w:divBdr>
        </w:div>
        <w:div w:id="821847278">
          <w:marLeft w:val="480"/>
          <w:marRight w:val="0"/>
          <w:marTop w:val="0"/>
          <w:marBottom w:val="0"/>
          <w:divBdr>
            <w:top w:val="none" w:sz="0" w:space="0" w:color="auto"/>
            <w:left w:val="none" w:sz="0" w:space="0" w:color="auto"/>
            <w:bottom w:val="none" w:sz="0" w:space="0" w:color="auto"/>
            <w:right w:val="none" w:sz="0" w:space="0" w:color="auto"/>
          </w:divBdr>
        </w:div>
        <w:div w:id="631905009">
          <w:marLeft w:val="480"/>
          <w:marRight w:val="0"/>
          <w:marTop w:val="0"/>
          <w:marBottom w:val="0"/>
          <w:divBdr>
            <w:top w:val="none" w:sz="0" w:space="0" w:color="auto"/>
            <w:left w:val="none" w:sz="0" w:space="0" w:color="auto"/>
            <w:bottom w:val="none" w:sz="0" w:space="0" w:color="auto"/>
            <w:right w:val="none" w:sz="0" w:space="0" w:color="auto"/>
          </w:divBdr>
        </w:div>
        <w:div w:id="531698461">
          <w:marLeft w:val="480"/>
          <w:marRight w:val="0"/>
          <w:marTop w:val="0"/>
          <w:marBottom w:val="0"/>
          <w:divBdr>
            <w:top w:val="none" w:sz="0" w:space="0" w:color="auto"/>
            <w:left w:val="none" w:sz="0" w:space="0" w:color="auto"/>
            <w:bottom w:val="none" w:sz="0" w:space="0" w:color="auto"/>
            <w:right w:val="none" w:sz="0" w:space="0" w:color="auto"/>
          </w:divBdr>
        </w:div>
        <w:div w:id="1255240382">
          <w:marLeft w:val="480"/>
          <w:marRight w:val="0"/>
          <w:marTop w:val="0"/>
          <w:marBottom w:val="0"/>
          <w:divBdr>
            <w:top w:val="none" w:sz="0" w:space="0" w:color="auto"/>
            <w:left w:val="none" w:sz="0" w:space="0" w:color="auto"/>
            <w:bottom w:val="none" w:sz="0" w:space="0" w:color="auto"/>
            <w:right w:val="none" w:sz="0" w:space="0" w:color="auto"/>
          </w:divBdr>
        </w:div>
        <w:div w:id="2096976413">
          <w:marLeft w:val="480"/>
          <w:marRight w:val="0"/>
          <w:marTop w:val="0"/>
          <w:marBottom w:val="0"/>
          <w:divBdr>
            <w:top w:val="none" w:sz="0" w:space="0" w:color="auto"/>
            <w:left w:val="none" w:sz="0" w:space="0" w:color="auto"/>
            <w:bottom w:val="none" w:sz="0" w:space="0" w:color="auto"/>
            <w:right w:val="none" w:sz="0" w:space="0" w:color="auto"/>
          </w:divBdr>
        </w:div>
        <w:div w:id="1279873239">
          <w:marLeft w:val="480"/>
          <w:marRight w:val="0"/>
          <w:marTop w:val="0"/>
          <w:marBottom w:val="0"/>
          <w:divBdr>
            <w:top w:val="none" w:sz="0" w:space="0" w:color="auto"/>
            <w:left w:val="none" w:sz="0" w:space="0" w:color="auto"/>
            <w:bottom w:val="none" w:sz="0" w:space="0" w:color="auto"/>
            <w:right w:val="none" w:sz="0" w:space="0" w:color="auto"/>
          </w:divBdr>
        </w:div>
        <w:div w:id="1879581954">
          <w:marLeft w:val="480"/>
          <w:marRight w:val="0"/>
          <w:marTop w:val="0"/>
          <w:marBottom w:val="0"/>
          <w:divBdr>
            <w:top w:val="none" w:sz="0" w:space="0" w:color="auto"/>
            <w:left w:val="none" w:sz="0" w:space="0" w:color="auto"/>
            <w:bottom w:val="none" w:sz="0" w:space="0" w:color="auto"/>
            <w:right w:val="none" w:sz="0" w:space="0" w:color="auto"/>
          </w:divBdr>
        </w:div>
        <w:div w:id="1634407349">
          <w:marLeft w:val="480"/>
          <w:marRight w:val="0"/>
          <w:marTop w:val="0"/>
          <w:marBottom w:val="0"/>
          <w:divBdr>
            <w:top w:val="none" w:sz="0" w:space="0" w:color="auto"/>
            <w:left w:val="none" w:sz="0" w:space="0" w:color="auto"/>
            <w:bottom w:val="none" w:sz="0" w:space="0" w:color="auto"/>
            <w:right w:val="none" w:sz="0" w:space="0" w:color="auto"/>
          </w:divBdr>
        </w:div>
        <w:div w:id="198010908">
          <w:marLeft w:val="480"/>
          <w:marRight w:val="0"/>
          <w:marTop w:val="0"/>
          <w:marBottom w:val="0"/>
          <w:divBdr>
            <w:top w:val="none" w:sz="0" w:space="0" w:color="auto"/>
            <w:left w:val="none" w:sz="0" w:space="0" w:color="auto"/>
            <w:bottom w:val="none" w:sz="0" w:space="0" w:color="auto"/>
            <w:right w:val="none" w:sz="0" w:space="0" w:color="auto"/>
          </w:divBdr>
        </w:div>
        <w:div w:id="306739601">
          <w:marLeft w:val="480"/>
          <w:marRight w:val="0"/>
          <w:marTop w:val="0"/>
          <w:marBottom w:val="0"/>
          <w:divBdr>
            <w:top w:val="none" w:sz="0" w:space="0" w:color="auto"/>
            <w:left w:val="none" w:sz="0" w:space="0" w:color="auto"/>
            <w:bottom w:val="none" w:sz="0" w:space="0" w:color="auto"/>
            <w:right w:val="none" w:sz="0" w:space="0" w:color="auto"/>
          </w:divBdr>
        </w:div>
        <w:div w:id="1460413129">
          <w:marLeft w:val="480"/>
          <w:marRight w:val="0"/>
          <w:marTop w:val="0"/>
          <w:marBottom w:val="0"/>
          <w:divBdr>
            <w:top w:val="none" w:sz="0" w:space="0" w:color="auto"/>
            <w:left w:val="none" w:sz="0" w:space="0" w:color="auto"/>
            <w:bottom w:val="none" w:sz="0" w:space="0" w:color="auto"/>
            <w:right w:val="none" w:sz="0" w:space="0" w:color="auto"/>
          </w:divBdr>
        </w:div>
        <w:div w:id="90443199">
          <w:marLeft w:val="480"/>
          <w:marRight w:val="0"/>
          <w:marTop w:val="0"/>
          <w:marBottom w:val="0"/>
          <w:divBdr>
            <w:top w:val="none" w:sz="0" w:space="0" w:color="auto"/>
            <w:left w:val="none" w:sz="0" w:space="0" w:color="auto"/>
            <w:bottom w:val="none" w:sz="0" w:space="0" w:color="auto"/>
            <w:right w:val="none" w:sz="0" w:space="0" w:color="auto"/>
          </w:divBdr>
        </w:div>
      </w:divsChild>
    </w:div>
    <w:div w:id="1682856157">
      <w:bodyDiv w:val="1"/>
      <w:marLeft w:val="0"/>
      <w:marRight w:val="0"/>
      <w:marTop w:val="0"/>
      <w:marBottom w:val="0"/>
      <w:divBdr>
        <w:top w:val="none" w:sz="0" w:space="0" w:color="auto"/>
        <w:left w:val="none" w:sz="0" w:space="0" w:color="auto"/>
        <w:bottom w:val="none" w:sz="0" w:space="0" w:color="auto"/>
        <w:right w:val="none" w:sz="0" w:space="0" w:color="auto"/>
      </w:divBdr>
      <w:divsChild>
        <w:div w:id="2102991222">
          <w:marLeft w:val="0"/>
          <w:marRight w:val="0"/>
          <w:marTop w:val="0"/>
          <w:marBottom w:val="0"/>
          <w:divBdr>
            <w:top w:val="none" w:sz="0" w:space="0" w:color="auto"/>
            <w:left w:val="none" w:sz="0" w:space="0" w:color="auto"/>
            <w:bottom w:val="none" w:sz="0" w:space="0" w:color="auto"/>
            <w:right w:val="none" w:sz="0" w:space="0" w:color="auto"/>
          </w:divBdr>
          <w:divsChild>
            <w:div w:id="10890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17384">
      <w:bodyDiv w:val="1"/>
      <w:marLeft w:val="0"/>
      <w:marRight w:val="0"/>
      <w:marTop w:val="0"/>
      <w:marBottom w:val="0"/>
      <w:divBdr>
        <w:top w:val="none" w:sz="0" w:space="0" w:color="auto"/>
        <w:left w:val="none" w:sz="0" w:space="0" w:color="auto"/>
        <w:bottom w:val="none" w:sz="0" w:space="0" w:color="auto"/>
        <w:right w:val="none" w:sz="0" w:space="0" w:color="auto"/>
      </w:divBdr>
      <w:divsChild>
        <w:div w:id="235559240">
          <w:marLeft w:val="480"/>
          <w:marRight w:val="0"/>
          <w:marTop w:val="0"/>
          <w:marBottom w:val="0"/>
          <w:divBdr>
            <w:top w:val="none" w:sz="0" w:space="0" w:color="auto"/>
            <w:left w:val="none" w:sz="0" w:space="0" w:color="auto"/>
            <w:bottom w:val="none" w:sz="0" w:space="0" w:color="auto"/>
            <w:right w:val="none" w:sz="0" w:space="0" w:color="auto"/>
          </w:divBdr>
        </w:div>
        <w:div w:id="1170021977">
          <w:marLeft w:val="480"/>
          <w:marRight w:val="0"/>
          <w:marTop w:val="0"/>
          <w:marBottom w:val="0"/>
          <w:divBdr>
            <w:top w:val="none" w:sz="0" w:space="0" w:color="auto"/>
            <w:left w:val="none" w:sz="0" w:space="0" w:color="auto"/>
            <w:bottom w:val="none" w:sz="0" w:space="0" w:color="auto"/>
            <w:right w:val="none" w:sz="0" w:space="0" w:color="auto"/>
          </w:divBdr>
        </w:div>
        <w:div w:id="1257712235">
          <w:marLeft w:val="480"/>
          <w:marRight w:val="0"/>
          <w:marTop w:val="0"/>
          <w:marBottom w:val="0"/>
          <w:divBdr>
            <w:top w:val="none" w:sz="0" w:space="0" w:color="auto"/>
            <w:left w:val="none" w:sz="0" w:space="0" w:color="auto"/>
            <w:bottom w:val="none" w:sz="0" w:space="0" w:color="auto"/>
            <w:right w:val="none" w:sz="0" w:space="0" w:color="auto"/>
          </w:divBdr>
        </w:div>
        <w:div w:id="1744452515">
          <w:marLeft w:val="480"/>
          <w:marRight w:val="0"/>
          <w:marTop w:val="0"/>
          <w:marBottom w:val="0"/>
          <w:divBdr>
            <w:top w:val="none" w:sz="0" w:space="0" w:color="auto"/>
            <w:left w:val="none" w:sz="0" w:space="0" w:color="auto"/>
            <w:bottom w:val="none" w:sz="0" w:space="0" w:color="auto"/>
            <w:right w:val="none" w:sz="0" w:space="0" w:color="auto"/>
          </w:divBdr>
        </w:div>
        <w:div w:id="2026903596">
          <w:marLeft w:val="480"/>
          <w:marRight w:val="0"/>
          <w:marTop w:val="0"/>
          <w:marBottom w:val="0"/>
          <w:divBdr>
            <w:top w:val="none" w:sz="0" w:space="0" w:color="auto"/>
            <w:left w:val="none" w:sz="0" w:space="0" w:color="auto"/>
            <w:bottom w:val="none" w:sz="0" w:space="0" w:color="auto"/>
            <w:right w:val="none" w:sz="0" w:space="0" w:color="auto"/>
          </w:divBdr>
        </w:div>
        <w:div w:id="1412237214">
          <w:marLeft w:val="480"/>
          <w:marRight w:val="0"/>
          <w:marTop w:val="0"/>
          <w:marBottom w:val="0"/>
          <w:divBdr>
            <w:top w:val="none" w:sz="0" w:space="0" w:color="auto"/>
            <w:left w:val="none" w:sz="0" w:space="0" w:color="auto"/>
            <w:bottom w:val="none" w:sz="0" w:space="0" w:color="auto"/>
            <w:right w:val="none" w:sz="0" w:space="0" w:color="auto"/>
          </w:divBdr>
        </w:div>
        <w:div w:id="1231421792">
          <w:marLeft w:val="480"/>
          <w:marRight w:val="0"/>
          <w:marTop w:val="0"/>
          <w:marBottom w:val="0"/>
          <w:divBdr>
            <w:top w:val="none" w:sz="0" w:space="0" w:color="auto"/>
            <w:left w:val="none" w:sz="0" w:space="0" w:color="auto"/>
            <w:bottom w:val="none" w:sz="0" w:space="0" w:color="auto"/>
            <w:right w:val="none" w:sz="0" w:space="0" w:color="auto"/>
          </w:divBdr>
        </w:div>
        <w:div w:id="1368991602">
          <w:marLeft w:val="480"/>
          <w:marRight w:val="0"/>
          <w:marTop w:val="0"/>
          <w:marBottom w:val="0"/>
          <w:divBdr>
            <w:top w:val="none" w:sz="0" w:space="0" w:color="auto"/>
            <w:left w:val="none" w:sz="0" w:space="0" w:color="auto"/>
            <w:bottom w:val="none" w:sz="0" w:space="0" w:color="auto"/>
            <w:right w:val="none" w:sz="0" w:space="0" w:color="auto"/>
          </w:divBdr>
        </w:div>
        <w:div w:id="1565722196">
          <w:marLeft w:val="480"/>
          <w:marRight w:val="0"/>
          <w:marTop w:val="0"/>
          <w:marBottom w:val="0"/>
          <w:divBdr>
            <w:top w:val="none" w:sz="0" w:space="0" w:color="auto"/>
            <w:left w:val="none" w:sz="0" w:space="0" w:color="auto"/>
            <w:bottom w:val="none" w:sz="0" w:space="0" w:color="auto"/>
            <w:right w:val="none" w:sz="0" w:space="0" w:color="auto"/>
          </w:divBdr>
        </w:div>
        <w:div w:id="1222910978">
          <w:marLeft w:val="480"/>
          <w:marRight w:val="0"/>
          <w:marTop w:val="0"/>
          <w:marBottom w:val="0"/>
          <w:divBdr>
            <w:top w:val="none" w:sz="0" w:space="0" w:color="auto"/>
            <w:left w:val="none" w:sz="0" w:space="0" w:color="auto"/>
            <w:bottom w:val="none" w:sz="0" w:space="0" w:color="auto"/>
            <w:right w:val="none" w:sz="0" w:space="0" w:color="auto"/>
          </w:divBdr>
        </w:div>
        <w:div w:id="2047900676">
          <w:marLeft w:val="480"/>
          <w:marRight w:val="0"/>
          <w:marTop w:val="0"/>
          <w:marBottom w:val="0"/>
          <w:divBdr>
            <w:top w:val="none" w:sz="0" w:space="0" w:color="auto"/>
            <w:left w:val="none" w:sz="0" w:space="0" w:color="auto"/>
            <w:bottom w:val="none" w:sz="0" w:space="0" w:color="auto"/>
            <w:right w:val="none" w:sz="0" w:space="0" w:color="auto"/>
          </w:divBdr>
        </w:div>
        <w:div w:id="1467165240">
          <w:marLeft w:val="480"/>
          <w:marRight w:val="0"/>
          <w:marTop w:val="0"/>
          <w:marBottom w:val="0"/>
          <w:divBdr>
            <w:top w:val="none" w:sz="0" w:space="0" w:color="auto"/>
            <w:left w:val="none" w:sz="0" w:space="0" w:color="auto"/>
            <w:bottom w:val="none" w:sz="0" w:space="0" w:color="auto"/>
            <w:right w:val="none" w:sz="0" w:space="0" w:color="auto"/>
          </w:divBdr>
        </w:div>
        <w:div w:id="1309239806">
          <w:marLeft w:val="480"/>
          <w:marRight w:val="0"/>
          <w:marTop w:val="0"/>
          <w:marBottom w:val="0"/>
          <w:divBdr>
            <w:top w:val="none" w:sz="0" w:space="0" w:color="auto"/>
            <w:left w:val="none" w:sz="0" w:space="0" w:color="auto"/>
            <w:bottom w:val="none" w:sz="0" w:space="0" w:color="auto"/>
            <w:right w:val="none" w:sz="0" w:space="0" w:color="auto"/>
          </w:divBdr>
        </w:div>
        <w:div w:id="1825118972">
          <w:marLeft w:val="480"/>
          <w:marRight w:val="0"/>
          <w:marTop w:val="0"/>
          <w:marBottom w:val="0"/>
          <w:divBdr>
            <w:top w:val="none" w:sz="0" w:space="0" w:color="auto"/>
            <w:left w:val="none" w:sz="0" w:space="0" w:color="auto"/>
            <w:bottom w:val="none" w:sz="0" w:space="0" w:color="auto"/>
            <w:right w:val="none" w:sz="0" w:space="0" w:color="auto"/>
          </w:divBdr>
        </w:div>
        <w:div w:id="1336222918">
          <w:marLeft w:val="480"/>
          <w:marRight w:val="0"/>
          <w:marTop w:val="0"/>
          <w:marBottom w:val="0"/>
          <w:divBdr>
            <w:top w:val="none" w:sz="0" w:space="0" w:color="auto"/>
            <w:left w:val="none" w:sz="0" w:space="0" w:color="auto"/>
            <w:bottom w:val="none" w:sz="0" w:space="0" w:color="auto"/>
            <w:right w:val="none" w:sz="0" w:space="0" w:color="auto"/>
          </w:divBdr>
        </w:div>
        <w:div w:id="1340306241">
          <w:marLeft w:val="480"/>
          <w:marRight w:val="0"/>
          <w:marTop w:val="0"/>
          <w:marBottom w:val="0"/>
          <w:divBdr>
            <w:top w:val="none" w:sz="0" w:space="0" w:color="auto"/>
            <w:left w:val="none" w:sz="0" w:space="0" w:color="auto"/>
            <w:bottom w:val="none" w:sz="0" w:space="0" w:color="auto"/>
            <w:right w:val="none" w:sz="0" w:space="0" w:color="auto"/>
          </w:divBdr>
        </w:div>
        <w:div w:id="509758619">
          <w:marLeft w:val="480"/>
          <w:marRight w:val="0"/>
          <w:marTop w:val="0"/>
          <w:marBottom w:val="0"/>
          <w:divBdr>
            <w:top w:val="none" w:sz="0" w:space="0" w:color="auto"/>
            <w:left w:val="none" w:sz="0" w:space="0" w:color="auto"/>
            <w:bottom w:val="none" w:sz="0" w:space="0" w:color="auto"/>
            <w:right w:val="none" w:sz="0" w:space="0" w:color="auto"/>
          </w:divBdr>
        </w:div>
        <w:div w:id="2051103292">
          <w:marLeft w:val="480"/>
          <w:marRight w:val="0"/>
          <w:marTop w:val="0"/>
          <w:marBottom w:val="0"/>
          <w:divBdr>
            <w:top w:val="none" w:sz="0" w:space="0" w:color="auto"/>
            <w:left w:val="none" w:sz="0" w:space="0" w:color="auto"/>
            <w:bottom w:val="none" w:sz="0" w:space="0" w:color="auto"/>
            <w:right w:val="none" w:sz="0" w:space="0" w:color="auto"/>
          </w:divBdr>
        </w:div>
        <w:div w:id="1420636738">
          <w:marLeft w:val="480"/>
          <w:marRight w:val="0"/>
          <w:marTop w:val="0"/>
          <w:marBottom w:val="0"/>
          <w:divBdr>
            <w:top w:val="none" w:sz="0" w:space="0" w:color="auto"/>
            <w:left w:val="none" w:sz="0" w:space="0" w:color="auto"/>
            <w:bottom w:val="none" w:sz="0" w:space="0" w:color="auto"/>
            <w:right w:val="none" w:sz="0" w:space="0" w:color="auto"/>
          </w:divBdr>
        </w:div>
        <w:div w:id="548538339">
          <w:marLeft w:val="480"/>
          <w:marRight w:val="0"/>
          <w:marTop w:val="0"/>
          <w:marBottom w:val="0"/>
          <w:divBdr>
            <w:top w:val="none" w:sz="0" w:space="0" w:color="auto"/>
            <w:left w:val="none" w:sz="0" w:space="0" w:color="auto"/>
            <w:bottom w:val="none" w:sz="0" w:space="0" w:color="auto"/>
            <w:right w:val="none" w:sz="0" w:space="0" w:color="auto"/>
          </w:divBdr>
        </w:div>
        <w:div w:id="689726032">
          <w:marLeft w:val="480"/>
          <w:marRight w:val="0"/>
          <w:marTop w:val="0"/>
          <w:marBottom w:val="0"/>
          <w:divBdr>
            <w:top w:val="none" w:sz="0" w:space="0" w:color="auto"/>
            <w:left w:val="none" w:sz="0" w:space="0" w:color="auto"/>
            <w:bottom w:val="none" w:sz="0" w:space="0" w:color="auto"/>
            <w:right w:val="none" w:sz="0" w:space="0" w:color="auto"/>
          </w:divBdr>
        </w:div>
        <w:div w:id="716899142">
          <w:marLeft w:val="480"/>
          <w:marRight w:val="0"/>
          <w:marTop w:val="0"/>
          <w:marBottom w:val="0"/>
          <w:divBdr>
            <w:top w:val="none" w:sz="0" w:space="0" w:color="auto"/>
            <w:left w:val="none" w:sz="0" w:space="0" w:color="auto"/>
            <w:bottom w:val="none" w:sz="0" w:space="0" w:color="auto"/>
            <w:right w:val="none" w:sz="0" w:space="0" w:color="auto"/>
          </w:divBdr>
        </w:div>
        <w:div w:id="179663482">
          <w:marLeft w:val="480"/>
          <w:marRight w:val="0"/>
          <w:marTop w:val="0"/>
          <w:marBottom w:val="0"/>
          <w:divBdr>
            <w:top w:val="none" w:sz="0" w:space="0" w:color="auto"/>
            <w:left w:val="none" w:sz="0" w:space="0" w:color="auto"/>
            <w:bottom w:val="none" w:sz="0" w:space="0" w:color="auto"/>
            <w:right w:val="none" w:sz="0" w:space="0" w:color="auto"/>
          </w:divBdr>
        </w:div>
      </w:divsChild>
    </w:div>
    <w:div w:id="1799763532">
      <w:bodyDiv w:val="1"/>
      <w:marLeft w:val="0"/>
      <w:marRight w:val="0"/>
      <w:marTop w:val="0"/>
      <w:marBottom w:val="0"/>
      <w:divBdr>
        <w:top w:val="none" w:sz="0" w:space="0" w:color="auto"/>
        <w:left w:val="none" w:sz="0" w:space="0" w:color="auto"/>
        <w:bottom w:val="none" w:sz="0" w:space="0" w:color="auto"/>
        <w:right w:val="none" w:sz="0" w:space="0" w:color="auto"/>
      </w:divBdr>
    </w:div>
    <w:div w:id="1842352449">
      <w:bodyDiv w:val="1"/>
      <w:marLeft w:val="0"/>
      <w:marRight w:val="0"/>
      <w:marTop w:val="0"/>
      <w:marBottom w:val="0"/>
      <w:divBdr>
        <w:top w:val="none" w:sz="0" w:space="0" w:color="auto"/>
        <w:left w:val="none" w:sz="0" w:space="0" w:color="auto"/>
        <w:bottom w:val="none" w:sz="0" w:space="0" w:color="auto"/>
        <w:right w:val="none" w:sz="0" w:space="0" w:color="auto"/>
      </w:divBdr>
    </w:div>
    <w:div w:id="1918007723">
      <w:bodyDiv w:val="1"/>
      <w:marLeft w:val="0"/>
      <w:marRight w:val="0"/>
      <w:marTop w:val="0"/>
      <w:marBottom w:val="0"/>
      <w:divBdr>
        <w:top w:val="none" w:sz="0" w:space="0" w:color="auto"/>
        <w:left w:val="none" w:sz="0" w:space="0" w:color="auto"/>
        <w:bottom w:val="none" w:sz="0" w:space="0" w:color="auto"/>
        <w:right w:val="none" w:sz="0" w:space="0" w:color="auto"/>
      </w:divBdr>
      <w:divsChild>
        <w:div w:id="522986673">
          <w:marLeft w:val="480"/>
          <w:marRight w:val="0"/>
          <w:marTop w:val="0"/>
          <w:marBottom w:val="0"/>
          <w:divBdr>
            <w:top w:val="none" w:sz="0" w:space="0" w:color="auto"/>
            <w:left w:val="none" w:sz="0" w:space="0" w:color="auto"/>
            <w:bottom w:val="none" w:sz="0" w:space="0" w:color="auto"/>
            <w:right w:val="none" w:sz="0" w:space="0" w:color="auto"/>
          </w:divBdr>
        </w:div>
        <w:div w:id="1021247870">
          <w:marLeft w:val="480"/>
          <w:marRight w:val="0"/>
          <w:marTop w:val="0"/>
          <w:marBottom w:val="0"/>
          <w:divBdr>
            <w:top w:val="none" w:sz="0" w:space="0" w:color="auto"/>
            <w:left w:val="none" w:sz="0" w:space="0" w:color="auto"/>
            <w:bottom w:val="none" w:sz="0" w:space="0" w:color="auto"/>
            <w:right w:val="none" w:sz="0" w:space="0" w:color="auto"/>
          </w:divBdr>
        </w:div>
        <w:div w:id="1386637286">
          <w:marLeft w:val="480"/>
          <w:marRight w:val="0"/>
          <w:marTop w:val="0"/>
          <w:marBottom w:val="0"/>
          <w:divBdr>
            <w:top w:val="none" w:sz="0" w:space="0" w:color="auto"/>
            <w:left w:val="none" w:sz="0" w:space="0" w:color="auto"/>
            <w:bottom w:val="none" w:sz="0" w:space="0" w:color="auto"/>
            <w:right w:val="none" w:sz="0" w:space="0" w:color="auto"/>
          </w:divBdr>
        </w:div>
        <w:div w:id="176776550">
          <w:marLeft w:val="480"/>
          <w:marRight w:val="0"/>
          <w:marTop w:val="0"/>
          <w:marBottom w:val="0"/>
          <w:divBdr>
            <w:top w:val="none" w:sz="0" w:space="0" w:color="auto"/>
            <w:left w:val="none" w:sz="0" w:space="0" w:color="auto"/>
            <w:bottom w:val="none" w:sz="0" w:space="0" w:color="auto"/>
            <w:right w:val="none" w:sz="0" w:space="0" w:color="auto"/>
          </w:divBdr>
        </w:div>
        <w:div w:id="580992744">
          <w:marLeft w:val="480"/>
          <w:marRight w:val="0"/>
          <w:marTop w:val="0"/>
          <w:marBottom w:val="0"/>
          <w:divBdr>
            <w:top w:val="none" w:sz="0" w:space="0" w:color="auto"/>
            <w:left w:val="none" w:sz="0" w:space="0" w:color="auto"/>
            <w:bottom w:val="none" w:sz="0" w:space="0" w:color="auto"/>
            <w:right w:val="none" w:sz="0" w:space="0" w:color="auto"/>
          </w:divBdr>
        </w:div>
        <w:div w:id="1929074017">
          <w:marLeft w:val="480"/>
          <w:marRight w:val="0"/>
          <w:marTop w:val="0"/>
          <w:marBottom w:val="0"/>
          <w:divBdr>
            <w:top w:val="none" w:sz="0" w:space="0" w:color="auto"/>
            <w:left w:val="none" w:sz="0" w:space="0" w:color="auto"/>
            <w:bottom w:val="none" w:sz="0" w:space="0" w:color="auto"/>
            <w:right w:val="none" w:sz="0" w:space="0" w:color="auto"/>
          </w:divBdr>
        </w:div>
        <w:div w:id="368146328">
          <w:marLeft w:val="480"/>
          <w:marRight w:val="0"/>
          <w:marTop w:val="0"/>
          <w:marBottom w:val="0"/>
          <w:divBdr>
            <w:top w:val="none" w:sz="0" w:space="0" w:color="auto"/>
            <w:left w:val="none" w:sz="0" w:space="0" w:color="auto"/>
            <w:bottom w:val="none" w:sz="0" w:space="0" w:color="auto"/>
            <w:right w:val="none" w:sz="0" w:space="0" w:color="auto"/>
          </w:divBdr>
        </w:div>
        <w:div w:id="1035082345">
          <w:marLeft w:val="480"/>
          <w:marRight w:val="0"/>
          <w:marTop w:val="0"/>
          <w:marBottom w:val="0"/>
          <w:divBdr>
            <w:top w:val="none" w:sz="0" w:space="0" w:color="auto"/>
            <w:left w:val="none" w:sz="0" w:space="0" w:color="auto"/>
            <w:bottom w:val="none" w:sz="0" w:space="0" w:color="auto"/>
            <w:right w:val="none" w:sz="0" w:space="0" w:color="auto"/>
          </w:divBdr>
        </w:div>
        <w:div w:id="906304863">
          <w:marLeft w:val="480"/>
          <w:marRight w:val="0"/>
          <w:marTop w:val="0"/>
          <w:marBottom w:val="0"/>
          <w:divBdr>
            <w:top w:val="none" w:sz="0" w:space="0" w:color="auto"/>
            <w:left w:val="none" w:sz="0" w:space="0" w:color="auto"/>
            <w:bottom w:val="none" w:sz="0" w:space="0" w:color="auto"/>
            <w:right w:val="none" w:sz="0" w:space="0" w:color="auto"/>
          </w:divBdr>
        </w:div>
        <w:div w:id="1141578303">
          <w:marLeft w:val="480"/>
          <w:marRight w:val="0"/>
          <w:marTop w:val="0"/>
          <w:marBottom w:val="0"/>
          <w:divBdr>
            <w:top w:val="none" w:sz="0" w:space="0" w:color="auto"/>
            <w:left w:val="none" w:sz="0" w:space="0" w:color="auto"/>
            <w:bottom w:val="none" w:sz="0" w:space="0" w:color="auto"/>
            <w:right w:val="none" w:sz="0" w:space="0" w:color="auto"/>
          </w:divBdr>
        </w:div>
        <w:div w:id="1827160258">
          <w:marLeft w:val="480"/>
          <w:marRight w:val="0"/>
          <w:marTop w:val="0"/>
          <w:marBottom w:val="0"/>
          <w:divBdr>
            <w:top w:val="none" w:sz="0" w:space="0" w:color="auto"/>
            <w:left w:val="none" w:sz="0" w:space="0" w:color="auto"/>
            <w:bottom w:val="none" w:sz="0" w:space="0" w:color="auto"/>
            <w:right w:val="none" w:sz="0" w:space="0" w:color="auto"/>
          </w:divBdr>
        </w:div>
        <w:div w:id="1929925247">
          <w:marLeft w:val="480"/>
          <w:marRight w:val="0"/>
          <w:marTop w:val="0"/>
          <w:marBottom w:val="0"/>
          <w:divBdr>
            <w:top w:val="none" w:sz="0" w:space="0" w:color="auto"/>
            <w:left w:val="none" w:sz="0" w:space="0" w:color="auto"/>
            <w:bottom w:val="none" w:sz="0" w:space="0" w:color="auto"/>
            <w:right w:val="none" w:sz="0" w:space="0" w:color="auto"/>
          </w:divBdr>
        </w:div>
        <w:div w:id="2099983992">
          <w:marLeft w:val="480"/>
          <w:marRight w:val="0"/>
          <w:marTop w:val="0"/>
          <w:marBottom w:val="0"/>
          <w:divBdr>
            <w:top w:val="none" w:sz="0" w:space="0" w:color="auto"/>
            <w:left w:val="none" w:sz="0" w:space="0" w:color="auto"/>
            <w:bottom w:val="none" w:sz="0" w:space="0" w:color="auto"/>
            <w:right w:val="none" w:sz="0" w:space="0" w:color="auto"/>
          </w:divBdr>
        </w:div>
        <w:div w:id="658464379">
          <w:marLeft w:val="480"/>
          <w:marRight w:val="0"/>
          <w:marTop w:val="0"/>
          <w:marBottom w:val="0"/>
          <w:divBdr>
            <w:top w:val="none" w:sz="0" w:space="0" w:color="auto"/>
            <w:left w:val="none" w:sz="0" w:space="0" w:color="auto"/>
            <w:bottom w:val="none" w:sz="0" w:space="0" w:color="auto"/>
            <w:right w:val="none" w:sz="0" w:space="0" w:color="auto"/>
          </w:divBdr>
        </w:div>
        <w:div w:id="1121143759">
          <w:marLeft w:val="480"/>
          <w:marRight w:val="0"/>
          <w:marTop w:val="0"/>
          <w:marBottom w:val="0"/>
          <w:divBdr>
            <w:top w:val="none" w:sz="0" w:space="0" w:color="auto"/>
            <w:left w:val="none" w:sz="0" w:space="0" w:color="auto"/>
            <w:bottom w:val="none" w:sz="0" w:space="0" w:color="auto"/>
            <w:right w:val="none" w:sz="0" w:space="0" w:color="auto"/>
          </w:divBdr>
        </w:div>
        <w:div w:id="1494494860">
          <w:marLeft w:val="480"/>
          <w:marRight w:val="0"/>
          <w:marTop w:val="0"/>
          <w:marBottom w:val="0"/>
          <w:divBdr>
            <w:top w:val="none" w:sz="0" w:space="0" w:color="auto"/>
            <w:left w:val="none" w:sz="0" w:space="0" w:color="auto"/>
            <w:bottom w:val="none" w:sz="0" w:space="0" w:color="auto"/>
            <w:right w:val="none" w:sz="0" w:space="0" w:color="auto"/>
          </w:divBdr>
        </w:div>
        <w:div w:id="1171021279">
          <w:marLeft w:val="480"/>
          <w:marRight w:val="0"/>
          <w:marTop w:val="0"/>
          <w:marBottom w:val="0"/>
          <w:divBdr>
            <w:top w:val="none" w:sz="0" w:space="0" w:color="auto"/>
            <w:left w:val="none" w:sz="0" w:space="0" w:color="auto"/>
            <w:bottom w:val="none" w:sz="0" w:space="0" w:color="auto"/>
            <w:right w:val="none" w:sz="0" w:space="0" w:color="auto"/>
          </w:divBdr>
        </w:div>
        <w:div w:id="1402870701">
          <w:marLeft w:val="480"/>
          <w:marRight w:val="0"/>
          <w:marTop w:val="0"/>
          <w:marBottom w:val="0"/>
          <w:divBdr>
            <w:top w:val="none" w:sz="0" w:space="0" w:color="auto"/>
            <w:left w:val="none" w:sz="0" w:space="0" w:color="auto"/>
            <w:bottom w:val="none" w:sz="0" w:space="0" w:color="auto"/>
            <w:right w:val="none" w:sz="0" w:space="0" w:color="auto"/>
          </w:divBdr>
        </w:div>
        <w:div w:id="1208563378">
          <w:marLeft w:val="480"/>
          <w:marRight w:val="0"/>
          <w:marTop w:val="0"/>
          <w:marBottom w:val="0"/>
          <w:divBdr>
            <w:top w:val="none" w:sz="0" w:space="0" w:color="auto"/>
            <w:left w:val="none" w:sz="0" w:space="0" w:color="auto"/>
            <w:bottom w:val="none" w:sz="0" w:space="0" w:color="auto"/>
            <w:right w:val="none" w:sz="0" w:space="0" w:color="auto"/>
          </w:divBdr>
        </w:div>
        <w:div w:id="1763335111">
          <w:marLeft w:val="480"/>
          <w:marRight w:val="0"/>
          <w:marTop w:val="0"/>
          <w:marBottom w:val="0"/>
          <w:divBdr>
            <w:top w:val="none" w:sz="0" w:space="0" w:color="auto"/>
            <w:left w:val="none" w:sz="0" w:space="0" w:color="auto"/>
            <w:bottom w:val="none" w:sz="0" w:space="0" w:color="auto"/>
            <w:right w:val="none" w:sz="0" w:space="0" w:color="auto"/>
          </w:divBdr>
        </w:div>
        <w:div w:id="1914120206">
          <w:marLeft w:val="480"/>
          <w:marRight w:val="0"/>
          <w:marTop w:val="0"/>
          <w:marBottom w:val="0"/>
          <w:divBdr>
            <w:top w:val="none" w:sz="0" w:space="0" w:color="auto"/>
            <w:left w:val="none" w:sz="0" w:space="0" w:color="auto"/>
            <w:bottom w:val="none" w:sz="0" w:space="0" w:color="auto"/>
            <w:right w:val="none" w:sz="0" w:space="0" w:color="auto"/>
          </w:divBdr>
        </w:div>
        <w:div w:id="952202742">
          <w:marLeft w:val="480"/>
          <w:marRight w:val="0"/>
          <w:marTop w:val="0"/>
          <w:marBottom w:val="0"/>
          <w:divBdr>
            <w:top w:val="none" w:sz="0" w:space="0" w:color="auto"/>
            <w:left w:val="none" w:sz="0" w:space="0" w:color="auto"/>
            <w:bottom w:val="none" w:sz="0" w:space="0" w:color="auto"/>
            <w:right w:val="none" w:sz="0" w:space="0" w:color="auto"/>
          </w:divBdr>
        </w:div>
        <w:div w:id="403838684">
          <w:marLeft w:val="480"/>
          <w:marRight w:val="0"/>
          <w:marTop w:val="0"/>
          <w:marBottom w:val="0"/>
          <w:divBdr>
            <w:top w:val="none" w:sz="0" w:space="0" w:color="auto"/>
            <w:left w:val="none" w:sz="0" w:space="0" w:color="auto"/>
            <w:bottom w:val="none" w:sz="0" w:space="0" w:color="auto"/>
            <w:right w:val="none" w:sz="0" w:space="0" w:color="auto"/>
          </w:divBdr>
        </w:div>
      </w:divsChild>
    </w:div>
    <w:div w:id="1965771199">
      <w:bodyDiv w:val="1"/>
      <w:marLeft w:val="0"/>
      <w:marRight w:val="0"/>
      <w:marTop w:val="0"/>
      <w:marBottom w:val="0"/>
      <w:divBdr>
        <w:top w:val="none" w:sz="0" w:space="0" w:color="auto"/>
        <w:left w:val="none" w:sz="0" w:space="0" w:color="auto"/>
        <w:bottom w:val="none" w:sz="0" w:space="0" w:color="auto"/>
        <w:right w:val="none" w:sz="0" w:space="0" w:color="auto"/>
      </w:divBdr>
    </w:div>
    <w:div w:id="2024555226">
      <w:bodyDiv w:val="1"/>
      <w:marLeft w:val="0"/>
      <w:marRight w:val="0"/>
      <w:marTop w:val="0"/>
      <w:marBottom w:val="0"/>
      <w:divBdr>
        <w:top w:val="none" w:sz="0" w:space="0" w:color="auto"/>
        <w:left w:val="none" w:sz="0" w:space="0" w:color="auto"/>
        <w:bottom w:val="none" w:sz="0" w:space="0" w:color="auto"/>
        <w:right w:val="none" w:sz="0" w:space="0" w:color="auto"/>
      </w:divBdr>
    </w:div>
    <w:div w:id="2055035552">
      <w:bodyDiv w:val="1"/>
      <w:marLeft w:val="0"/>
      <w:marRight w:val="0"/>
      <w:marTop w:val="0"/>
      <w:marBottom w:val="0"/>
      <w:divBdr>
        <w:top w:val="none" w:sz="0" w:space="0" w:color="auto"/>
        <w:left w:val="none" w:sz="0" w:space="0" w:color="auto"/>
        <w:bottom w:val="none" w:sz="0" w:space="0" w:color="auto"/>
        <w:right w:val="none" w:sz="0" w:space="0" w:color="auto"/>
      </w:divBdr>
    </w:div>
    <w:div w:id="2114663513">
      <w:bodyDiv w:val="1"/>
      <w:marLeft w:val="0"/>
      <w:marRight w:val="0"/>
      <w:marTop w:val="0"/>
      <w:marBottom w:val="0"/>
      <w:divBdr>
        <w:top w:val="none" w:sz="0" w:space="0" w:color="auto"/>
        <w:left w:val="none" w:sz="0" w:space="0" w:color="auto"/>
        <w:bottom w:val="none" w:sz="0" w:space="0" w:color="auto"/>
        <w:right w:val="none" w:sz="0" w:space="0" w:color="auto"/>
      </w:divBdr>
    </w:div>
    <w:div w:id="2123919059">
      <w:bodyDiv w:val="1"/>
      <w:marLeft w:val="0"/>
      <w:marRight w:val="0"/>
      <w:marTop w:val="0"/>
      <w:marBottom w:val="0"/>
      <w:divBdr>
        <w:top w:val="none" w:sz="0" w:space="0" w:color="auto"/>
        <w:left w:val="none" w:sz="0" w:space="0" w:color="auto"/>
        <w:bottom w:val="none" w:sz="0" w:space="0" w:color="auto"/>
        <w:right w:val="none" w:sz="0" w:space="0" w:color="auto"/>
      </w:divBdr>
    </w:div>
    <w:div w:id="2128087599">
      <w:bodyDiv w:val="1"/>
      <w:marLeft w:val="0"/>
      <w:marRight w:val="0"/>
      <w:marTop w:val="0"/>
      <w:marBottom w:val="0"/>
      <w:divBdr>
        <w:top w:val="none" w:sz="0" w:space="0" w:color="auto"/>
        <w:left w:val="none" w:sz="0" w:space="0" w:color="auto"/>
        <w:bottom w:val="none" w:sz="0" w:space="0" w:color="auto"/>
        <w:right w:val="none" w:sz="0" w:space="0" w:color="auto"/>
      </w:divBdr>
      <w:divsChild>
        <w:div w:id="1500659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8376193">
      <w:bodyDiv w:val="1"/>
      <w:marLeft w:val="0"/>
      <w:marRight w:val="0"/>
      <w:marTop w:val="0"/>
      <w:marBottom w:val="0"/>
      <w:divBdr>
        <w:top w:val="none" w:sz="0" w:space="0" w:color="auto"/>
        <w:left w:val="none" w:sz="0" w:space="0" w:color="auto"/>
        <w:bottom w:val="none" w:sz="0" w:space="0" w:color="auto"/>
        <w:right w:val="none" w:sz="0" w:space="0" w:color="auto"/>
      </w:divBdr>
    </w:div>
    <w:div w:id="2144032582">
      <w:bodyDiv w:val="1"/>
      <w:marLeft w:val="0"/>
      <w:marRight w:val="0"/>
      <w:marTop w:val="0"/>
      <w:marBottom w:val="0"/>
      <w:divBdr>
        <w:top w:val="none" w:sz="0" w:space="0" w:color="auto"/>
        <w:left w:val="none" w:sz="0" w:space="0" w:color="auto"/>
        <w:bottom w:val="none" w:sz="0" w:space="0" w:color="auto"/>
        <w:right w:val="none" w:sz="0" w:space="0" w:color="auto"/>
      </w:divBdr>
      <w:divsChild>
        <w:div w:id="1581939579">
          <w:marLeft w:val="480"/>
          <w:marRight w:val="0"/>
          <w:marTop w:val="0"/>
          <w:marBottom w:val="0"/>
          <w:divBdr>
            <w:top w:val="none" w:sz="0" w:space="0" w:color="auto"/>
            <w:left w:val="none" w:sz="0" w:space="0" w:color="auto"/>
            <w:bottom w:val="none" w:sz="0" w:space="0" w:color="auto"/>
            <w:right w:val="none" w:sz="0" w:space="0" w:color="auto"/>
          </w:divBdr>
        </w:div>
        <w:div w:id="1572038577">
          <w:marLeft w:val="480"/>
          <w:marRight w:val="0"/>
          <w:marTop w:val="0"/>
          <w:marBottom w:val="0"/>
          <w:divBdr>
            <w:top w:val="none" w:sz="0" w:space="0" w:color="auto"/>
            <w:left w:val="none" w:sz="0" w:space="0" w:color="auto"/>
            <w:bottom w:val="none" w:sz="0" w:space="0" w:color="auto"/>
            <w:right w:val="none" w:sz="0" w:space="0" w:color="auto"/>
          </w:divBdr>
        </w:div>
        <w:div w:id="421069664">
          <w:marLeft w:val="480"/>
          <w:marRight w:val="0"/>
          <w:marTop w:val="0"/>
          <w:marBottom w:val="0"/>
          <w:divBdr>
            <w:top w:val="none" w:sz="0" w:space="0" w:color="auto"/>
            <w:left w:val="none" w:sz="0" w:space="0" w:color="auto"/>
            <w:bottom w:val="none" w:sz="0" w:space="0" w:color="auto"/>
            <w:right w:val="none" w:sz="0" w:space="0" w:color="auto"/>
          </w:divBdr>
        </w:div>
        <w:div w:id="289558354">
          <w:marLeft w:val="480"/>
          <w:marRight w:val="0"/>
          <w:marTop w:val="0"/>
          <w:marBottom w:val="0"/>
          <w:divBdr>
            <w:top w:val="none" w:sz="0" w:space="0" w:color="auto"/>
            <w:left w:val="none" w:sz="0" w:space="0" w:color="auto"/>
            <w:bottom w:val="none" w:sz="0" w:space="0" w:color="auto"/>
            <w:right w:val="none" w:sz="0" w:space="0" w:color="auto"/>
          </w:divBdr>
        </w:div>
        <w:div w:id="792215595">
          <w:marLeft w:val="480"/>
          <w:marRight w:val="0"/>
          <w:marTop w:val="0"/>
          <w:marBottom w:val="0"/>
          <w:divBdr>
            <w:top w:val="none" w:sz="0" w:space="0" w:color="auto"/>
            <w:left w:val="none" w:sz="0" w:space="0" w:color="auto"/>
            <w:bottom w:val="none" w:sz="0" w:space="0" w:color="auto"/>
            <w:right w:val="none" w:sz="0" w:space="0" w:color="auto"/>
          </w:divBdr>
        </w:div>
        <w:div w:id="1348406600">
          <w:marLeft w:val="480"/>
          <w:marRight w:val="0"/>
          <w:marTop w:val="0"/>
          <w:marBottom w:val="0"/>
          <w:divBdr>
            <w:top w:val="none" w:sz="0" w:space="0" w:color="auto"/>
            <w:left w:val="none" w:sz="0" w:space="0" w:color="auto"/>
            <w:bottom w:val="none" w:sz="0" w:space="0" w:color="auto"/>
            <w:right w:val="none" w:sz="0" w:space="0" w:color="auto"/>
          </w:divBdr>
        </w:div>
        <w:div w:id="360933604">
          <w:marLeft w:val="480"/>
          <w:marRight w:val="0"/>
          <w:marTop w:val="0"/>
          <w:marBottom w:val="0"/>
          <w:divBdr>
            <w:top w:val="none" w:sz="0" w:space="0" w:color="auto"/>
            <w:left w:val="none" w:sz="0" w:space="0" w:color="auto"/>
            <w:bottom w:val="none" w:sz="0" w:space="0" w:color="auto"/>
            <w:right w:val="none" w:sz="0" w:space="0" w:color="auto"/>
          </w:divBdr>
        </w:div>
        <w:div w:id="424152256">
          <w:marLeft w:val="480"/>
          <w:marRight w:val="0"/>
          <w:marTop w:val="0"/>
          <w:marBottom w:val="0"/>
          <w:divBdr>
            <w:top w:val="none" w:sz="0" w:space="0" w:color="auto"/>
            <w:left w:val="none" w:sz="0" w:space="0" w:color="auto"/>
            <w:bottom w:val="none" w:sz="0" w:space="0" w:color="auto"/>
            <w:right w:val="none" w:sz="0" w:space="0" w:color="auto"/>
          </w:divBdr>
        </w:div>
        <w:div w:id="681056551">
          <w:marLeft w:val="480"/>
          <w:marRight w:val="0"/>
          <w:marTop w:val="0"/>
          <w:marBottom w:val="0"/>
          <w:divBdr>
            <w:top w:val="none" w:sz="0" w:space="0" w:color="auto"/>
            <w:left w:val="none" w:sz="0" w:space="0" w:color="auto"/>
            <w:bottom w:val="none" w:sz="0" w:space="0" w:color="auto"/>
            <w:right w:val="none" w:sz="0" w:space="0" w:color="auto"/>
          </w:divBdr>
        </w:div>
        <w:div w:id="2093773303">
          <w:marLeft w:val="480"/>
          <w:marRight w:val="0"/>
          <w:marTop w:val="0"/>
          <w:marBottom w:val="0"/>
          <w:divBdr>
            <w:top w:val="none" w:sz="0" w:space="0" w:color="auto"/>
            <w:left w:val="none" w:sz="0" w:space="0" w:color="auto"/>
            <w:bottom w:val="none" w:sz="0" w:space="0" w:color="auto"/>
            <w:right w:val="none" w:sz="0" w:space="0" w:color="auto"/>
          </w:divBdr>
        </w:div>
        <w:div w:id="890506258">
          <w:marLeft w:val="480"/>
          <w:marRight w:val="0"/>
          <w:marTop w:val="0"/>
          <w:marBottom w:val="0"/>
          <w:divBdr>
            <w:top w:val="none" w:sz="0" w:space="0" w:color="auto"/>
            <w:left w:val="none" w:sz="0" w:space="0" w:color="auto"/>
            <w:bottom w:val="none" w:sz="0" w:space="0" w:color="auto"/>
            <w:right w:val="none" w:sz="0" w:space="0" w:color="auto"/>
          </w:divBdr>
        </w:div>
        <w:div w:id="408697057">
          <w:marLeft w:val="480"/>
          <w:marRight w:val="0"/>
          <w:marTop w:val="0"/>
          <w:marBottom w:val="0"/>
          <w:divBdr>
            <w:top w:val="none" w:sz="0" w:space="0" w:color="auto"/>
            <w:left w:val="none" w:sz="0" w:space="0" w:color="auto"/>
            <w:bottom w:val="none" w:sz="0" w:space="0" w:color="auto"/>
            <w:right w:val="none" w:sz="0" w:space="0" w:color="auto"/>
          </w:divBdr>
        </w:div>
        <w:div w:id="605384845">
          <w:marLeft w:val="480"/>
          <w:marRight w:val="0"/>
          <w:marTop w:val="0"/>
          <w:marBottom w:val="0"/>
          <w:divBdr>
            <w:top w:val="none" w:sz="0" w:space="0" w:color="auto"/>
            <w:left w:val="none" w:sz="0" w:space="0" w:color="auto"/>
            <w:bottom w:val="none" w:sz="0" w:space="0" w:color="auto"/>
            <w:right w:val="none" w:sz="0" w:space="0" w:color="auto"/>
          </w:divBdr>
        </w:div>
        <w:div w:id="163203983">
          <w:marLeft w:val="480"/>
          <w:marRight w:val="0"/>
          <w:marTop w:val="0"/>
          <w:marBottom w:val="0"/>
          <w:divBdr>
            <w:top w:val="none" w:sz="0" w:space="0" w:color="auto"/>
            <w:left w:val="none" w:sz="0" w:space="0" w:color="auto"/>
            <w:bottom w:val="none" w:sz="0" w:space="0" w:color="auto"/>
            <w:right w:val="none" w:sz="0" w:space="0" w:color="auto"/>
          </w:divBdr>
        </w:div>
        <w:div w:id="1012759805">
          <w:marLeft w:val="480"/>
          <w:marRight w:val="0"/>
          <w:marTop w:val="0"/>
          <w:marBottom w:val="0"/>
          <w:divBdr>
            <w:top w:val="none" w:sz="0" w:space="0" w:color="auto"/>
            <w:left w:val="none" w:sz="0" w:space="0" w:color="auto"/>
            <w:bottom w:val="none" w:sz="0" w:space="0" w:color="auto"/>
            <w:right w:val="none" w:sz="0" w:space="0" w:color="auto"/>
          </w:divBdr>
        </w:div>
        <w:div w:id="774519087">
          <w:marLeft w:val="480"/>
          <w:marRight w:val="0"/>
          <w:marTop w:val="0"/>
          <w:marBottom w:val="0"/>
          <w:divBdr>
            <w:top w:val="none" w:sz="0" w:space="0" w:color="auto"/>
            <w:left w:val="none" w:sz="0" w:space="0" w:color="auto"/>
            <w:bottom w:val="none" w:sz="0" w:space="0" w:color="auto"/>
            <w:right w:val="none" w:sz="0" w:space="0" w:color="auto"/>
          </w:divBdr>
        </w:div>
        <w:div w:id="1302148232">
          <w:marLeft w:val="480"/>
          <w:marRight w:val="0"/>
          <w:marTop w:val="0"/>
          <w:marBottom w:val="0"/>
          <w:divBdr>
            <w:top w:val="none" w:sz="0" w:space="0" w:color="auto"/>
            <w:left w:val="none" w:sz="0" w:space="0" w:color="auto"/>
            <w:bottom w:val="none" w:sz="0" w:space="0" w:color="auto"/>
            <w:right w:val="none" w:sz="0" w:space="0" w:color="auto"/>
          </w:divBdr>
        </w:div>
        <w:div w:id="1818262239">
          <w:marLeft w:val="480"/>
          <w:marRight w:val="0"/>
          <w:marTop w:val="0"/>
          <w:marBottom w:val="0"/>
          <w:divBdr>
            <w:top w:val="none" w:sz="0" w:space="0" w:color="auto"/>
            <w:left w:val="none" w:sz="0" w:space="0" w:color="auto"/>
            <w:bottom w:val="none" w:sz="0" w:space="0" w:color="auto"/>
            <w:right w:val="none" w:sz="0" w:space="0" w:color="auto"/>
          </w:divBdr>
        </w:div>
        <w:div w:id="1512262136">
          <w:marLeft w:val="480"/>
          <w:marRight w:val="0"/>
          <w:marTop w:val="0"/>
          <w:marBottom w:val="0"/>
          <w:divBdr>
            <w:top w:val="none" w:sz="0" w:space="0" w:color="auto"/>
            <w:left w:val="none" w:sz="0" w:space="0" w:color="auto"/>
            <w:bottom w:val="none" w:sz="0" w:space="0" w:color="auto"/>
            <w:right w:val="none" w:sz="0" w:space="0" w:color="auto"/>
          </w:divBdr>
        </w:div>
        <w:div w:id="1444106666">
          <w:marLeft w:val="480"/>
          <w:marRight w:val="0"/>
          <w:marTop w:val="0"/>
          <w:marBottom w:val="0"/>
          <w:divBdr>
            <w:top w:val="none" w:sz="0" w:space="0" w:color="auto"/>
            <w:left w:val="none" w:sz="0" w:space="0" w:color="auto"/>
            <w:bottom w:val="none" w:sz="0" w:space="0" w:color="auto"/>
            <w:right w:val="none" w:sz="0" w:space="0" w:color="auto"/>
          </w:divBdr>
        </w:div>
        <w:div w:id="108479881">
          <w:marLeft w:val="480"/>
          <w:marRight w:val="0"/>
          <w:marTop w:val="0"/>
          <w:marBottom w:val="0"/>
          <w:divBdr>
            <w:top w:val="none" w:sz="0" w:space="0" w:color="auto"/>
            <w:left w:val="none" w:sz="0" w:space="0" w:color="auto"/>
            <w:bottom w:val="none" w:sz="0" w:space="0" w:color="auto"/>
            <w:right w:val="none" w:sz="0" w:space="0" w:color="auto"/>
          </w:divBdr>
        </w:div>
        <w:div w:id="1085220885">
          <w:marLeft w:val="480"/>
          <w:marRight w:val="0"/>
          <w:marTop w:val="0"/>
          <w:marBottom w:val="0"/>
          <w:divBdr>
            <w:top w:val="none" w:sz="0" w:space="0" w:color="auto"/>
            <w:left w:val="none" w:sz="0" w:space="0" w:color="auto"/>
            <w:bottom w:val="none" w:sz="0" w:space="0" w:color="auto"/>
            <w:right w:val="none" w:sz="0" w:space="0" w:color="auto"/>
          </w:divBdr>
        </w:div>
        <w:div w:id="1000500820">
          <w:marLeft w:val="480"/>
          <w:marRight w:val="0"/>
          <w:marTop w:val="0"/>
          <w:marBottom w:val="0"/>
          <w:divBdr>
            <w:top w:val="none" w:sz="0" w:space="0" w:color="auto"/>
            <w:left w:val="none" w:sz="0" w:space="0" w:color="auto"/>
            <w:bottom w:val="none" w:sz="0" w:space="0" w:color="auto"/>
            <w:right w:val="none" w:sz="0" w:space="0" w:color="auto"/>
          </w:divBdr>
        </w:div>
        <w:div w:id="978001405">
          <w:marLeft w:val="480"/>
          <w:marRight w:val="0"/>
          <w:marTop w:val="0"/>
          <w:marBottom w:val="0"/>
          <w:divBdr>
            <w:top w:val="none" w:sz="0" w:space="0" w:color="auto"/>
            <w:left w:val="none" w:sz="0" w:space="0" w:color="auto"/>
            <w:bottom w:val="none" w:sz="0" w:space="0" w:color="auto"/>
            <w:right w:val="none" w:sz="0" w:space="0" w:color="auto"/>
          </w:divBdr>
        </w:div>
        <w:div w:id="228614804">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e"/>
          <w:gallery w:val="placeholder"/>
        </w:category>
        <w:types>
          <w:type w:val="bbPlcHdr"/>
        </w:types>
        <w:behaviors>
          <w:behavior w:val="content"/>
        </w:behaviors>
        <w:guid w:val="{B07A4DCD-9FA7-481A-98D1-AC934CF53F20}"/>
      </w:docPartPr>
      <w:docPartBody>
        <w:p w:rsidR="00C64970" w:rsidRDefault="000F7CD9">
          <w:r w:rsidRPr="006F2CE3">
            <w:rPr>
              <w:rStyle w:val="Testosegnaposto"/>
            </w:rPr>
            <w:t>Fare clic o toccare qui per immettere il testo.</w:t>
          </w:r>
        </w:p>
      </w:docPartBody>
    </w:docPart>
    <w:docPart>
      <w:docPartPr>
        <w:name w:val="511260FA61E444839DFA4459C42E3964"/>
        <w:category>
          <w:name w:val="Generale"/>
          <w:gallery w:val="placeholder"/>
        </w:category>
        <w:types>
          <w:type w:val="bbPlcHdr"/>
        </w:types>
        <w:behaviors>
          <w:behavior w:val="content"/>
        </w:behaviors>
        <w:guid w:val="{AF98FC58-39A6-4102-B181-2294FF0D5FC6}"/>
      </w:docPartPr>
      <w:docPartBody>
        <w:p w:rsidR="0025007C" w:rsidRDefault="00CD1EC8" w:rsidP="00CD1EC8">
          <w:pPr>
            <w:pStyle w:val="511260FA61E444839DFA4459C42E3964"/>
          </w:pPr>
          <w:r w:rsidRPr="006F2CE3">
            <w:rPr>
              <w:rStyle w:val="Testosegnaposto"/>
            </w:rPr>
            <w:t>Fare clic o toccare qui per immettere il testo.</w:t>
          </w:r>
        </w:p>
      </w:docPartBody>
    </w:docPart>
    <w:docPart>
      <w:docPartPr>
        <w:name w:val="14557D65BF2F495AA4601546146C0420"/>
        <w:category>
          <w:name w:val="Generale"/>
          <w:gallery w:val="placeholder"/>
        </w:category>
        <w:types>
          <w:type w:val="bbPlcHdr"/>
        </w:types>
        <w:behaviors>
          <w:behavior w:val="content"/>
        </w:behaviors>
        <w:guid w:val="{D0765A33-D973-4051-AE85-463585EFD5EF}"/>
      </w:docPartPr>
      <w:docPartBody>
        <w:p w:rsidR="000D38F6" w:rsidRDefault="00EC4EB3" w:rsidP="00EC4EB3">
          <w:pPr>
            <w:pStyle w:val="14557D65BF2F495AA4601546146C0420"/>
          </w:pPr>
          <w:r w:rsidRPr="006F2CE3">
            <w:rPr>
              <w:rStyle w:val="Testosegnaposto"/>
            </w:rPr>
            <w:t>Fare clic o toccare qui per immettere il testo.</w:t>
          </w:r>
        </w:p>
      </w:docPartBody>
    </w:docPart>
    <w:docPart>
      <w:docPartPr>
        <w:name w:val="83D88E0C9E41489F8CFD7E42F24B28C4"/>
        <w:category>
          <w:name w:val="Generale"/>
          <w:gallery w:val="placeholder"/>
        </w:category>
        <w:types>
          <w:type w:val="bbPlcHdr"/>
        </w:types>
        <w:behaviors>
          <w:behavior w:val="content"/>
        </w:behaviors>
        <w:guid w:val="{68858555-9E14-4CA9-A571-3B19BC51332B}"/>
      </w:docPartPr>
      <w:docPartBody>
        <w:p w:rsidR="000D38F6" w:rsidRDefault="00EC4EB3" w:rsidP="00EC4EB3">
          <w:pPr>
            <w:pStyle w:val="83D88E0C9E41489F8CFD7E42F24B28C4"/>
          </w:pPr>
          <w:r w:rsidRPr="006F2CE3">
            <w:rPr>
              <w:rStyle w:val="Testosegnaposto"/>
            </w:rPr>
            <w:t>Fare clic o toccare qui per immettere il testo.</w:t>
          </w:r>
        </w:p>
      </w:docPartBody>
    </w:docPart>
    <w:docPart>
      <w:docPartPr>
        <w:name w:val="8C95D91917A1443C89EE672AB7846441"/>
        <w:category>
          <w:name w:val="Generale"/>
          <w:gallery w:val="placeholder"/>
        </w:category>
        <w:types>
          <w:type w:val="bbPlcHdr"/>
        </w:types>
        <w:behaviors>
          <w:behavior w:val="content"/>
        </w:behaviors>
        <w:guid w:val="{7A4D5164-10EF-4142-866F-ADEE1FF3E894}"/>
      </w:docPartPr>
      <w:docPartBody>
        <w:p w:rsidR="000D38F6" w:rsidRDefault="00EC4EB3" w:rsidP="00EC4EB3">
          <w:pPr>
            <w:pStyle w:val="8C95D91917A1443C89EE672AB7846441"/>
          </w:pPr>
          <w:r w:rsidRPr="006F2CE3">
            <w:rPr>
              <w:rStyle w:val="Testosegnaposto"/>
            </w:rPr>
            <w:t>Fare clic o toccare qui per immettere il testo.</w:t>
          </w:r>
        </w:p>
      </w:docPartBody>
    </w:docPart>
    <w:docPart>
      <w:docPartPr>
        <w:name w:val="323FC1C544FE4262B92C4BDB2CA5CD14"/>
        <w:category>
          <w:name w:val="Generale"/>
          <w:gallery w:val="placeholder"/>
        </w:category>
        <w:types>
          <w:type w:val="bbPlcHdr"/>
        </w:types>
        <w:behaviors>
          <w:behavior w:val="content"/>
        </w:behaviors>
        <w:guid w:val="{DD38A4E4-565E-4505-9061-0A53643F39A0}"/>
      </w:docPartPr>
      <w:docPartBody>
        <w:p w:rsidR="000D38F6" w:rsidRDefault="00EC4EB3" w:rsidP="00EC4EB3">
          <w:pPr>
            <w:pStyle w:val="323FC1C544FE4262B92C4BDB2CA5CD14"/>
          </w:pPr>
          <w:r w:rsidRPr="006F2CE3">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dvP6960">
    <w:altName w:val="Cambria"/>
    <w:panose1 w:val="00000000000000000000"/>
    <w:charset w:val="4D"/>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CD9"/>
    <w:rsid w:val="000D38F6"/>
    <w:rsid w:val="000F7CD9"/>
    <w:rsid w:val="001D21D8"/>
    <w:rsid w:val="0025007C"/>
    <w:rsid w:val="0025591C"/>
    <w:rsid w:val="002B31CA"/>
    <w:rsid w:val="002E2556"/>
    <w:rsid w:val="00420CBD"/>
    <w:rsid w:val="005B05C2"/>
    <w:rsid w:val="00672349"/>
    <w:rsid w:val="00680B95"/>
    <w:rsid w:val="006C3947"/>
    <w:rsid w:val="007F7404"/>
    <w:rsid w:val="00B17D2C"/>
    <w:rsid w:val="00B27977"/>
    <w:rsid w:val="00B81D3B"/>
    <w:rsid w:val="00C64970"/>
    <w:rsid w:val="00CD1EC8"/>
    <w:rsid w:val="00CF2A23"/>
    <w:rsid w:val="00D12BD9"/>
    <w:rsid w:val="00D239E8"/>
    <w:rsid w:val="00EC4E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EC4EB3"/>
    <w:rPr>
      <w:color w:val="808080"/>
    </w:rPr>
  </w:style>
  <w:style w:type="paragraph" w:customStyle="1" w:styleId="511260FA61E444839DFA4459C42E3964">
    <w:name w:val="511260FA61E444839DFA4459C42E3964"/>
    <w:rsid w:val="00CD1EC8"/>
  </w:style>
  <w:style w:type="paragraph" w:customStyle="1" w:styleId="14557D65BF2F495AA4601546146C0420">
    <w:name w:val="14557D65BF2F495AA4601546146C0420"/>
    <w:rsid w:val="00EC4EB3"/>
  </w:style>
  <w:style w:type="paragraph" w:customStyle="1" w:styleId="83D88E0C9E41489F8CFD7E42F24B28C4">
    <w:name w:val="83D88E0C9E41489F8CFD7E42F24B28C4"/>
    <w:rsid w:val="00EC4EB3"/>
  </w:style>
  <w:style w:type="paragraph" w:customStyle="1" w:styleId="8C95D91917A1443C89EE672AB7846441">
    <w:name w:val="8C95D91917A1443C89EE672AB7846441"/>
    <w:rsid w:val="00EC4EB3"/>
  </w:style>
  <w:style w:type="paragraph" w:customStyle="1" w:styleId="323FC1C544FE4262B92C4BDB2CA5CD14">
    <w:name w:val="323FC1C544FE4262B92C4BDB2CA5CD14"/>
    <w:rsid w:val="00EC4E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C3D34B5-7026-44AF-B4B9-0781EA3DA148}">
  <we:reference id="f78a3046-9e99-4300-aa2b-5814002b01a2" version="1.55.1.0" store="EXCatalog" storeType="EXCatalog"/>
  <we:alternateReferences>
    <we:reference id="WA104382081" version="1.55.1.0" store="it-IT" storeType="OMEX"/>
  </we:alternateReferences>
  <we:properties>
    <we:property name="MENDELEY_BIBLIOGRAPHY_IS_DIRTY" value="true"/>
    <we:property name="MENDELEY_BIBLIOGRAPHY_LAST_MODIFIED" value="1776764855457"/>
    <we:property name="MENDELEY_CITATIONS" value="[{&quot;citationID&quot;:&quot;MENDELEY_CITATION_123b267b-fbf6-4153-a876-36af41b9b133&quot;,&quot;properties&quot;:{&quot;noteIndex&quot;:0},&quot;isEdited&quot;:false,&quot;manualOverride&quot;:{&quot;isManuallyOverridden&quot;:false,&quot;citeprocText&quot;:&quot;(Szweda, 2000)&quot;,&quot;manualOverrideText&quot;:&quot;&quot;},&quot;citationTag&quot;:&quot;MENDELEY_CITATION_v3_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&quot;,&quot;citationItems&quot;:[{&quot;id&quot;:&quot;7f5362f5-4363-381a-b632-3603e5306037&quot;,&quot;itemData&quot;:{&quot;type&quot;:&quot;article-journal&quot;,&quot;id&quot;:&quot;7f5362f5-4363-381a-b632-3603e5306037&quot;,&quot;title&quot;:&quot;Fugitive emissions: The matter of imperfect seals&quot;,&quot;author&quot;:[{&quot;family&quot;:&quot;Szweda&quot;,&quot;given&quot;:&quot;Roy&quot;,&quot;parse-names&quot;:false,&quot;dropping-particle&quot;:&quot;&quot;,&quot;non-dropping-particle&quot;:&quot;&quot;}],&quot;container-title&quot;:&quot;Sealing Technology&quot;,&quot;DOI&quot;:&quot;10.1016/S1350-4789(00)80052-5&quot;,&quot;ISSN&quot;:&quot;13504789&quot;,&quot;issued&quot;:{&quot;date-parts&quot;:[[2000,11]]},&quot;page&quot;:&quot;9-11&quot;,&quot;issue&quot;:&quot;83&quot;,&quot;volume&quot;:&quot;2000&quot;,&quot;container-title-short&quot;:&quot;&quot;},&quot;isTemporary&quot;:false,&quot;suppress-author&quot;:false,&quot;composite&quot;:false,&quot;author-only&quot;:false}]},{&quot;citationID&quot;:&quot;MENDELEY_CITATION_124900e1-a752-4f92-b502-e16dbe9fd1fe&quot;,&quot;properties&quot;:{&quot;noteIndex&quot;:0},&quot;isEdited&quot;:false,&quot;manualOverride&quot;:{&quot;isManuallyOverridden&quot;:false,&quot;citeprocText&quot;:&quot;(Yang et al., 2016)&quot;,&quot;manualOverrideText&quot;:&quot;&quot;},&quot;citationTag&quot;:&quot;MENDELEY_CITATION_v3_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&quot;,&quot;citationItems&quot;:[{&quot;id&quot;:&quot;24ace1d3-2472-33b8-8583-6456b549f8bb&quot;,&quot;itemData&quot;:{&quot;type&quot;:&quot;article-journal&quot;,&quot;id&quot;:&quot;24ace1d3-2472-33b8-8583-6456b549f8bb&quot;,&quot;title&quot;:&quot;Large-scale search method for locating and identifying fugitive emission sources in petrochemical processing areas&quot;,&quot;author&quot;:[{&quot;family&quot;:&quot;Yang&quot;,&quot;given&quot;:&quot;Jen-Chih&quot;,&quot;parse-names&quot;:false,&quot;dropping-particle&quot;:&quot;&quot;,&quot;non-dropping-particle&quot;:&quot;&quot;},{&quot;family&quot;:&quot;Chang&quot;,&quot;given&quot;:&quot;Pao-Erh&quot;,&quot;parse-names&quot;:false,&quot;dropping-particle&quot;:&quot;&quot;,&quot;non-dropping-particle&quot;:&quot;&quot;},{&quot;family&quot;:&quot;Chie&quot;,&quot;given&quot;:&quot;Wei-Chu&quot;,&quot;parse-names&quot;:false,&quot;dropping-particle&quot;:&quot;&quot;,&quot;non-dropping-particle&quot;:&quot;&quot;},{&quot;family&quot;:&quot;Liu&quot;,&quot;given&quot;:&quot;Jen-Pei&quot;,&quot;parse-names&quot;:false,&quot;dropping-particle&quot;:&quot;&quot;,&quot;non-dropping-particle&quot;:&quot;&quot;},{&quot;family&quot;:&quot;Wu&quot;,&quot;given&quot;:&quot;Chang-Fu&quot;,&quot;parse-names&quot;:false,&quot;dropping-particle&quot;:&quot;&quot;,&quot;non-dropping-particle&quot;:&quot;&quot;}],&quot;container-title&quot;:&quot;Process Safety and Environmental Protection&quot;,&quot;DOI&quot;:&quot;10.1016/j.psep.2016.09.015&quot;,&quot;ISSN&quot;:&quot;09575820&quot;,&quot;issued&quot;:{&quot;date-parts&quot;:[[2016,11]]},&quot;page&quot;:&quot;382-394&quot;,&quot;volume&quot;:&quot;104&quot;,&quot;container-title-short&quot;:&quot;&quot;},&quot;isTemporary&quot;:false,&quot;suppress-author&quot;:false,&quot;composite&quot;:false,&quot;author-only&quot;:false}]},{&quot;citationID&quot;:&quot;MENDELEY_CITATION_fdad87e8-c1f2-4fa6-a1ba-9de9f0fdac09&quot;,&quot;properties&quot;:{&quot;noteIndex&quot;:0},&quot;isEdited&quot;:false,&quot;manualOverride&quot;:{&quot;isManuallyOverridden&quot;:false,&quot;citeprocText&quot;:&quot;(Carrera et al., 2025)&quot;,&quot;manualOverrideText&quot;:&quot;&quot;},&quot;citationTag&quot;:&quot;MENDELEY_CITATION_v3_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&quot;,&quot;citationItems&quot;:[{&quot;id&quot;:&quot;6e3191bb-748e-3a5e-adf1-1f5ff118e0d3&quot;,&quot;itemData&quot;:{&quot;type&quot;:&quot;article-journal&quot;,&quot;id&quot;:&quot;6e3191bb-748e-3a5e-adf1-1f5ff118e0d3&quot;,&quot;title&quot;:&quot;Toward Effective Monitoring of Diffuse VOC Emissions: A Critical Discussion and Review of the Applications of EN 17628:2022&quot;,&quot;author&quot;:[{&quot;family&quot;:&quot;Carrera&quot;,&quot;given&quot;:&quot;Luca&quot;,&quot;parse-names&quot;:false,&quot;dropping-particle&quot;:&quot;&quot;,&quot;non-dropping-particle&quot;:&quot;&quot;},{&quot;family&quot;:&quot;Sironi&quot;,&quot;given&quot;:&quot;Selena&quot;,&quot;parse-names&quot;:false,&quot;dropping-particle&quot;:&quot;&quot;,&quot;non-dropping-particle&quot;:&quot;&quot;},{&quot;family&quot;:&quot;Invernizzi&quot;,&quot;given&quot;:&quot;Marzio&quot;,&quot;parse-names&quot;:false,&quot;dropping-particle&quot;:&quot;&quot;,&quot;non-dropping-particle&quot;:&quot;&quot;}],&quot;container-title&quot;:&quot;Sensors&quot;,&quot;DOI&quot;:&quot;10.3390/s25051561&quot;,&quot;ISSN&quot;:&quot;1424-8220&quot;,&quot;issued&quot;:{&quot;date-parts&quot;:[[2025,3,3]]},&quot;page&quot;:&quot;1561&quot;,&quot;abstract&quot;:&quot;&lt;p&gt;The estimation and characterization of diffuse emissions of volatile organic compounds (VOCs) is a crucial issue for industry and environmental regulators. Compared to channelled ones, diffuse emissions derive from complex (non-point) sources, such as wastewater treatment plants, storage tanks, and process unit components. Such sources are typically influenced by dynamic factors such as operational activities and weather conditions. Therefore, this complexity makes the localization and quantification of diffuse VOC emissions a crucial challenge from a technical and regulatory perspective. Recently, the technical standard EN 17628:2022 has been published, which provides a framework to address this issue, proposing five different techniques for the localization, identification, and quantification of diffuse emissions. Nevertheless, while it represents a step forward in this field, the standard shows some shortcomings for a proper implementation, potentially causing divergent interpretations of the guidelines. The accuracy of the measurements is highly dependent on the configuration and morphology of the site, but especially on the meteorological data implemented to calculate the emitted flux. In addition, these techniques, despite being well-established, are particularly complex from both a technical–scientific and logistical–economic point of view. An emerging method, Quantitative Optical Gas Imaging (QOGI) appears to theoretically overcome some issues, but requires further studies to ensure accurate and reproducible quantification of emissions. This review aims to highlight the advantages, disadvantages, and potential developments of the various techniques described in the standard for the characterization of diffuse VOC emissions in the industrial sector.&lt;/p&gt;&quot;,&quot;issue&quot;:&quot;5&quot;,&quot;volume&quot;:&quot;25&quot;,&quot;container-title-short&quot;:&quot;&quot;},&quot;isTemporary&quot;:false,&quot;suppress-author&quot;:false,&quot;composite&quot;:false,&quot;author-only&quot;:false}]},{&quot;citationID&quot;:&quot;MENDELEY_CITATION_400260cd-5d08-4c03-a68f-bdb16d0846a8&quot;,&quot;properties&quot;:{&quot;noteIndex&quot;:0},&quot;isEdited&quot;:false,&quot;manualOverride&quot;:{&quot;isManuallyOverridden&quot;:false,&quot;citeprocText&quot;:&quot;(Al-Hamdani et al., 2017)&quot;,&quot;manualOverrideText&quot;:&quot;&quot;},&quot;citationTag&quot;:&quot;MENDELEY_CITATION_v3_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&quot;,&quot;citationItems&quot;:[{&quot;id&quot;:&quot;eecb82c0-9edc-38e7-80d3-dce070ab132a&quot;,&quot;itemData&quot;:{&quot;type&quot;:&quot;article-journal&quot;,&quot;id&quot;:&quot;eecb82c0-9edc-38e7-80d3-dce070ab132a&quot;,&quot;title&quot;:&quot;Occupational Health Risk Assessment and Control of Fugitive Emissions in Chemical Processes&quot;,&quot;author&quot;:[{&quot;family&quot;:&quot;Al-Hamdani&quot;,&quot;given&quot;:&quot;Y&quot;,&quot;parse-names&quot;:false,&quot;dropping-particle&quot;:&quot;&quot;,&quot;non-dropping-particle&quot;:&quot;&quot;},{&quot;family&quot;:&quot;Hassim&quot;,&quot;given&quot;:&quot;M.H.&quot;,&quot;parse-names&quot;:false,&quot;dropping-particle&quot;:&quot;&quot;,&quot;non-dropping-particle&quot;:&quot;&quot;},{&quot;family&quot;:&quot;Salin&quot;,&quot;given&quot;:&quot;S.M.&quot;,&quot;parse-names&quot;:false,&quot;dropping-particle&quot;:&quot;&quot;,&quot;non-dropping-particle&quot;:&quot;&quot;}],&quot;container-title&quot;:&quot;Chemical Engineering Transactions&quot;,&quot;container-title-short&quot;:&quot;Chem. Eng. Trans.&quot;,&quot;DOI&quot;:&quot;10.3303/CET1756137&quot;,&quot;issued&quot;:{&quot;date-parts&quot;:[[2017]]},&quot;page&quot;:&quot;817-822&quot;,&quot;volume&quot;:&quot;56&quot;},&quot;isTemporary&quot;:false,&quot;suppress-author&quot;:false,&quot;composite&quot;:false,&quot;author-only&quot;:false}]},{&quot;citationID&quot;:&quot;MENDELEY_CITATION_358fabc3-e5d7-4f83-83e1-a34459740578&quot;,&quot;properties&quot;:{&quot;noteIndex&quot;:0},&quot;isEdited&quot;:false,&quot;manualOverride&quot;:{&quot;isManuallyOverridden&quot;:false,&quot;citeprocText&quot;:&quot;(Hoven L., 2019)&quot;,&quot;manualOverrideText&quot;:&quot;&quot;},&quot;citationTag&quot;:&quot;MENDELEY_CITATION_v3_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&quot;,&quot;citationItems&quot;:[{&quot;id&quot;:&quot;ce27cc95-84f3-32f3-970e-a079a47d9691&quot;,&quot;itemData&quot;:{&quot;type&quot;:&quot;article&quot;,&quot;id&quot;:&quot;ce27cc95-84f3-32f3-970e-a079a47d9691&quot;,&quot;title&quot;:&quot;Air pollutant emission estimation methods for E-PRTR reporting by refineries&quot;,&quot;author&quot;:[{&quot;family&quot;:&quot;Hoven L.&quot;,&quot;given&quot;:&quot;Megaritis T.&quot;,&quot;parse-names&quot;:false,&quot;dropping-particle&quot;:&quot;&quot;,&quot;non-dropping-particle&quot;:&quot;&quot;}],&quot;container-title&quot;:&quot;CONCAWE Reports&quot;,&quot;issued&quot;:{&quot;date-parts&quot;:[[2019]]},&quot;publisher-place&quot;:&quot;Brussels, Belgium&quot;,&quot;volume&quot;:&quot;4/19&quot;},&quot;isTemporary&quot;:false,&quot;suppress-author&quot;:false,&quot;composite&quot;:false,&quot;author-only&quot;:false}]},{&quot;citationID&quot;:&quot;MENDELEY_CITATION_95b9d6dc-227e-4241-984a-4c1910340c14&quot;,&quot;properties&quot;:{&quot;noteIndex&quot;:0},&quot;isEdited&quot;:false,&quot;manualOverride&quot;:{&quot;isManuallyOverridden&quot;:false,&quot;citeprocText&quot;:&quot;(MASE, 2023; Zalin M., 2024)&quot;,&quot;manualOverrideText&quot;:&quot;&quot;},&quot;citationTag&quot;:&quot;MENDELEY_CITATION_v3_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&quot;,&quot;citationItems&quot;:[{&quot;id&quot;:&quot;af03d84a-1fc7-3386-969b-0f9c58d563cb&quot;,&quot;itemData&quot;:{&quot;type&quot;:&quot;article&quot;,&quot;id&quot;:&quot;af03d84a-1fc7-3386-969b-0f9c58d563cb&quot;,&quot;title&quot;:&quot;Decreto Direttoriale n.309 \&quot;Indirizzi per l'applicazione dell'articolo 272-Bis del Dlgs 152/2006 in materia di emissioni odorigene di impianti e attività\&quot;&quot;,&quot;author&quot;:[{&quot;family&quot;:&quot;MASE&quot;,&quot;given&quot;:&quot;&quot;,&quot;parse-names&quot;:false,&quot;dropping-particle&quot;:&quot;&quot;,&quot;non-dropping-particle&quot;:&quot;&quot;}],&quot;container-title&quot;:&quot;Ministero dell'Ambiente e della Sicurezza Energetica&quot;,&quot;issued&quot;:{&quot;date-parts&quot;:[[2023]]},&quot;container-title-short&quot;:&quot;&quot;},&quot;isTemporary&quot;:false,&quot;suppress-author&quot;:false,&quot;composite&quot;:false,&quot;author-only&quot;:false},{&quot;id&quot;:&quot;5963c9cd-b7b3-3da3-aee8-3c835a6813d7&quot;,&quot;itemData&quot;:{&quot;type&quot;:&quot;article-journal&quot;,&quot;id&quot;:&quot;5963c9cd-b7b3-3da3-aee8-3c835a6813d7&quot;,&quot;title&quot;:&quot;New Guidelines in Italy for the Regulation of Odour Emissions&quot;,&quot;author&quot;:[{&quot;family&quot;:&quot;Zalin M.&quot;,&quot;given&quot;:&quot;Sironi S.&quot;,&quot;parse-names&quot;:false,&quot;dropping-particle&quot;:&quot;&quot;,&quot;non-dropping-particle&quot;:&quot;&quot;}],&quot;container-title&quot;:&quot;Chemical Engineering Transactions&quot;,&quot;container-title-short&quot;:&quot;Chem. Eng. Trans.&quot;,&quot;DOI&quot;:&quot;10.3303/CET24112003&quot;,&quot;issued&quot;:{&quot;date-parts&quot;:[[2024]]},&quot;page&quot;:&quot;13-18&quot;,&quot;volume&quot;:&quot;112&quot;},&quot;isTemporary&quot;:false}]},{&quot;citationID&quot;:&quot;MENDELEY_CITATION_7ceb6e81-f8ec-4529-adec-84bffe7880b4&quot;,&quot;properties&quot;:{&quot;noteIndex&quot;:0},&quot;isEdited&quot;:false,&quot;manualOverride&quot;:{&quot;isManuallyOverridden&quot;:false,&quot;citeprocText&quot;:&quot;(Hoven L., 2019; U.S. EPA, 1997)&quot;,&quot;manualOverrideText&quot;:&quot;&quot;},&quot;citationItems&quot;:[{&quot;id&quot;:&quot;e7ae7271-2283-3862-b88f-dad417a25703&quot;,&quot;itemData&quot;:{&quot;type&quot;:&quot;article&quot;,&quot;id&quot;:&quot;e7ae7271-2283-3862-b88f-dad417a25703&quot;,&quot;title&quot;:&quot;Protocol for Equipment Leak Emission Estimates&quot;,&quot;author&quot;:[{&quot;family&quot;:&quot;U.S. EPA&quot;,&quot;given&quot;:&quot;&quot;,&quot;parse-names&quot;:false,&quot;dropping-particle&quot;:&quot;&quot;,&quot;non-dropping-particle&quot;:&quot;&quot;}],&quot;issued&quot;:{&quot;date-parts&quot;:[[1997]]}},&quot;isTemporary&quot;:false,&quot;suppress-author&quot;:false,&quot;composite&quot;:false,&quot;author-only&quot;:false},{&quot;id&quot;:&quot;ce27cc95-84f3-32f3-970e-a079a47d9691&quot;,&quot;itemData&quot;:{&quot;type&quot;:&quot;article&quot;,&quot;id&quot;:&quot;ce27cc95-84f3-32f3-970e-a079a47d9691&quot;,&quot;title&quot;:&quot;Air pollutant emission estimation methods for E-PRTR reporting by refineries&quot;,&quot;author&quot;:[{&quot;family&quot;:&quot;Hoven L.&quot;,&quot;given&quot;:&quot;Megaritis T.&quot;,&quot;parse-names&quot;:false,&quot;dropping-particle&quot;:&quot;&quot;,&quot;non-dropping-particle&quot;:&quot;&quot;}],&quot;container-title&quot;:&quot;CONCAWE Reports&quot;,&quot;issued&quot;:{&quot;date-parts&quot;:[[2019]]},&quot;publisher-place&quot;:&quot;Brussels, Belgium&quot;,&quot;volume&quot;:&quot;4/19&quot;},&quot;isTemporary&quot;:false}],&quot;citationTag&quot;:&quot;MENDELEY_CITATION_v3_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&quot;},{&quot;citationID&quot;:&quot;MENDELEY_CITATION_3b895409-a5a8-4478-903e-a3625e900290&quot;,&quot;properties&quot;:{&quot;noteIndex&quot;:0},&quot;isEdited&quot;:false,&quot;manualOverride&quot;:{&quot;isManuallyOverridden&quot;:false,&quot;citeprocText&quot;:&quot;(Sotoodeh, 2021)&quot;,&quot;manualOverrideText&quot;:&quot;&quot;},&quot;citationItems&quot;:[{&quot;id&quot;:&quot;1af47c52-52f9-34f6-87f3-262d51171b04&quot;,&quot;itemData&quot;:{&quot;type&quot;:&quot;chapter&quot;,&quot;id&quot;:&quot;1af47c52-52f9-34f6-87f3-262d51171b04&quot;,&quot;title&quot;:&quot;Fugitive emissions from piping and valves&quot;,&quot;author&quot;:[{&quot;family&quot;:&quot;Sotoodeh&quot;,&quot;given&quot;:&quot;Karan&quot;,&quot;parse-names&quot;:false,&quot;dropping-particle&quot;:&quot;&quot;,&quot;non-dropping-particle&quot;:&quot;&quot;}],&quot;container-title&quot;:&quot;Prevention of Valve Fugitive Emissions in the Oil and Gas Industry&quot;,&quot;DOI&quot;:&quot;10.1016/B978-0-323-91862-6.00002-2&quot;,&quot;issued&quot;:{&quot;date-parts&quot;:[[2021]]},&quot;page&quot;:&quot;37-65&quot;,&quot;publisher&quot;:&quot;Elsevier&quot;,&quot;container-title-short&quot;:&quot;&quot;},&quot;isTemporary&quot;:false,&quot;suppress-author&quot;:false,&quot;composite&quot;:false,&quot;author-only&quot;:false}],&quot;citationTag&quot;:&quot;MENDELEY_CITATION_v3_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&quot;},{&quot;citationID&quot;:&quot;MENDELEY_CITATION_a4ba0737-f655-4ef7-a7a9-08c85e2169fd&quot;,&quot;properties&quot;:{&quot;noteIndex&quot;:0},&quot;isEdited&quot;:false,&quot;manualOverride&quot;:{&quot;isManuallyOverridden&quot;:false,&quot;citeprocText&quot;:&quot;(Ilonze et al., 2024; Ravikumar et al., 2017)&quot;,&quot;manualOverrideText&quot;:&quot;&quot;},&quot;citationItems&quot;:[{&quot;id&quot;:&quot;c0d20203-c60c-37b4-be53-f00a3e1ed494&quot;,&quot;itemData&quot;:{&quot;type&quot;:&quot;article-journal&quot;,&quot;id&quot;:&quot;c0d20203-c60c-37b4-be53-f00a3e1ed494&quot;,&quot;title&quot;:&quot;Are Optical Gas Imaging Technologies Effective For Methane Leak Detection?&quot;,&quot;author&quot;:[{&quot;family&quot;:&quot;Ravikumar&quot;,&quot;given&quot;:&quot;Arvind P.&quot;,&quot;parse-names&quot;:false,&quot;dropping-particle&quot;:&quot;&quot;,&quot;non-dropping-particle&quot;:&quot;&quot;},{&quot;family&quot;:&quot;Wang&quot;,&quot;given&quot;:&quot;Jingfan&quot;,&quot;parse-names&quot;:false,&quot;dropping-particle&quot;:&quot;&quot;,&quot;non-dropping-particle&quot;:&quot;&quot;},{&quot;family&quot;:&quot;Brandt&quot;,&quot;given&quot;:&quot;Adam R.&quot;,&quot;parse-names&quot;:false,&quot;dropping-particle&quot;:&quot;&quot;,&quot;non-dropping-particle&quot;:&quot;&quot;}],&quot;container-title&quot;:&quot;Environmental Science &amp; Technology&quot;,&quot;container-title-short&quot;:&quot;Environ. Sci. Technol.&quot;,&quot;DOI&quot;:&quot;10.1021/acs.est.6b03906&quot;,&quot;ISSN&quot;:&quot;0013-936X&quot;,&quot;issued&quot;:{&quot;date-parts&quot;:[[2017,1,3]]},&quot;page&quot;:&quot;718-724&quot;,&quot;issue&quot;:&quot;1&quot;,&quot;volume&quot;:&quot;51&quot;},&quot;isTemporary&quot;:false,&quot;suppress-author&quot;:false,&quot;composite&quot;:false,&quot;author-only&quot;:false},{&quot;id&quot;:&quot;fda45e05-a9cb-32a7-979c-fae9f14f2d1d&quot;,&quot;itemData&quot;:{&quot;type&quot;:&quot;article-journal&quot;,&quot;id&quot;:&quot;fda45e05-a9cb-32a7-979c-fae9f14f2d1d&quot;,&quot;title&quot;:&quot;Methane Quantification Performance of the Quantitative Optical Gas Imaging (QOGI) System Using Single-Blind Controlled Release Assessment&quot;,&quot;author&quot;:[{&quot;family&quot;:&quot;Ilonze&quot;,&quot;given&quot;:&quot;Chiemezie&quot;,&quot;parse-names&quot;:false,&quot;dropping-particle&quot;:&quot;&quot;,&quot;non-dropping-particle&quot;:&quot;&quot;},{&quot;family&quot;:&quot;Wang&quot;,&quot;given&quot;:&quot;Jiayang (Lyra)&quot;,&quot;parse-names&quot;:false,&quot;dropping-particle&quot;:&quot;&quot;,&quot;non-dropping-particle&quot;:&quot;&quot;},{&quot;family&quot;:&quot;Ravikumar&quot;,&quot;given&quot;:&quot;Arvind P.&quot;,&quot;parse-names&quot;:false,&quot;dropping-particle&quot;:&quot;&quot;,&quot;non-dropping-particle&quot;:&quot;&quot;},{&quot;family&quot;:&quot;Zimmerle&quot;,&quot;given&quot;:&quot;Daniel&quot;,&quot;parse-names&quot;:false,&quot;dropping-particle&quot;:&quot;&quot;,&quot;non-dropping-particle&quot;:&quot;&quot;}],&quot;container-title&quot;:&quot;Sensors&quot;,&quot;DOI&quot;:&quot;10.3390/s24134044&quot;,&quot;ISSN&quot;:&quot;1424-8220&quot;,&quot;issued&quot;:{&quot;date-parts&quot;:[[2024,6,21]]},&quot;page&quot;:&quot;4044&quot;,&quot;abstract&quot;:&quot;&lt;p&gt;Quantitative optical gas imaging (QOGI) system can rapidly quantify leaks detected by optical gas imaging (OGI) cameras across the oil and gas supply chain. A comprehensive evaluation of the QOGI system’s quantification capability is needed for the successful adoption of the technology. This study conducted single-blind experiments to examine the quantification performance of the FLIR QL320 QOGI system under near-field conditions at a pseudo-realistic, outdoor, controlled testing facility that mimics upstream and midstream natural gas operations. The study completed 357 individual measurements across 26 controlled releases and 71 camera positions for release rates between 0.1 kg Ch4/h and 2.9 kg Ch4/h of compressed natural gas (which accounts for more than 90% of typical component-level leaks in several production facilities). The majority (75%) of measurements were within a quantification factor of 3 (quantification error of −67% to 200%) with individual errors between −90% and 831%, which reduced to −79% to +297% when the mean of estimates of the same controlled release from multiple camera positions was considered. Performance improved with increasing release rate, using clear sky as plume background, and at wind speeds ≤1 mph relative to other measurement conditions.&lt;/p&gt;&quot;,&quot;issue&quot;:&quot;13&quot;,&quot;volume&quot;:&quot;24&quot;},&quot;isTemporary&quot;:false}],&quot;citationTag&quot;:&quot;MENDELEY_CITATION_v3_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&quot;},{&quot;citationID&quot;:&quot;MENDELEY_CITATION_9418a257-9155-4abf-827c-130900feb9cf&quot;,&quot;properties&quot;:{&quot;noteIndex&quot;:0},&quot;isEdited&quot;:false,&quot;manualOverride&quot;:{&quot;isManuallyOverridden&quot;:false,&quot;citeprocText&quot;:&quot;(Lotesoriere et al., 2023)&quot;,&quot;manualOverrideText&quot;:&quot;&quot;},&quot;citationItems&quot;:[{&quot;id&quot;:&quot;b3e81428-652b-3ad8-ac12-eb623ab8fda4&quot;,&quot;itemData&quot;:{&quot;type&quot;:&quot;article-journal&quot;,&quot;id&quot;:&quot;b3e81428-652b-3ad8-ac12-eb623ab8fda4&quot;,&quot;title&quot;:&quot;Micrometeorological Methods for the Indirect Estimation of Odorous Emissions&quot;,&quot;author&quot;:[{&quot;family&quot;:&quot;Lotesoriere&quot;,&quot;given&quot;:&quot;Beatrice Julia&quot;,&quot;parse-names&quot;:false,&quot;dropping-particle&quot;:&quot;&quot;,&quot;non-dropping-particle&quot;:&quot;&quot;},{&quot;family&quot;:&quot;Invernizzi&quot;,&quot;given&quot;:&quot;Marzio&quot;,&quot;parse-names&quot;:false,&quot;dropping-particle&quot;:&quot;&quot;,&quot;non-dropping-particle&quot;:&quot;&quot;},{&quot;family&quot;:&quot;Panzitta&quot;,&quot;given&quot;:&quot;Alessandra&quot;,&quot;parse-names&quot;:false,&quot;dropping-particle&quot;:&quot;&quot;,&quot;non-dropping-particle&quot;:&quot;&quot;},{&quot;family&quot;:&quot;Uvezzi&quot;,&quot;given&quot;:&quot;Giulia&quot;,&quot;parse-names&quot;:false,&quot;dropping-particle&quot;:&quot;&quot;,&quot;non-dropping-particle&quot;:&quot;&quot;},{&quot;family&quot;:&quot;Sozzi&quot;,&quot;given&quot;:&quot;Roberto&quot;,&quot;parse-names&quot;:false,&quot;dropping-particle&quot;:&quot;&quot;,&quot;non-dropping-particle&quot;:&quot;&quot;},{&quot;family&quot;:&quot;Sironi&quot;,&quot;given&quot;:&quot;Selena&quot;,&quot;parse-names&quot;:false,&quot;dropping-particle&quot;:&quot;&quot;,&quot;non-dropping-particle&quot;:&quot;&quot;},{&quot;family&quot;:&quot;Capelli&quot;,&quot;given&quot;:&quot;Laura&quot;,&quot;parse-names&quot;:false,&quot;dropping-particle&quot;:&quot;&quot;,&quot;non-dropping-particle&quot;:&quot;&quot;}],&quot;container-title&quot;:&quot;Critical Reviews in Analytical Chemistry&quot;,&quot;container-title-short&quot;:&quot;Crit. Rev. Anal. Chem.&quot;,&quot;DOI&quot;:&quot;10.1080/10408347.2022.2036092&quot;,&quot;ISSN&quot;:&quot;1040-8347&quot;,&quot;issued&quot;:{&quot;date-parts&quot;:[[2023,10,3]]},&quot;page&quot;:&quot;1531-1560&quot;,&quot;issue&quot;:&quot;7&quot;,&quot;volume&quot;:&quot;53&quot;},&quot;isTemporary&quot;:false,&quot;suppress-author&quot;:false,&quot;composite&quot;:false,&quot;author-only&quot;:false}],&quot;citationTag&quot;:&quot;MENDELEY_CITATION_v3_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&quot;},{&quot;citationID&quot;:&quot;MENDELEY_CITATION_fd2459df-cd64-4637-808e-4530acfffefa&quot;,&quot;properties&quot;:{&quot;noteIndex&quot;:0},&quot;isEdited&quot;:false,&quot;manualOverride&quot;:{&quot;isManuallyOverridden&quot;:false,&quot;citeprocText&quot;:&quot;(Lotrecchiano et al., 2025)&quot;,&quot;manualOverrideText&quot;:&quot;&quot;},&quot;citationTag&quot;:&quot;MENDELEY_CITATION_v3_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&quot;,&quot;citationItems&quot;:[{&quot;id&quot;:&quot;3287b17e-3550-366d-b96f-0727caf04c3c&quot;,&quot;itemData&quot;:{&quot;type&quot;:&quot;article-journal&quot;,&quot;id&quot;:&quot;3287b17e-3550-366d-b96f-0727caf04c3c&quot;,&quot;title&quot;:&quot;Efficacy of the Leak Detection and Repair Program in the Italian Industrial Plants&quot;,&quot;author&quot;:[{&quot;family&quot;:&quot;Lotrecchiano&quot;,&quot;given&quot;:&quot;Nicoletta&quot;,&quot;parse-names&quot;:false,&quot;dropping-particle&quot;:&quot;&quot;,&quot;non-dropping-particle&quot;:&quot;&quot;},{&quot;family&quot;:&quot;Pecci&quot;,&quot;given&quot;:&quot;Angelo&quot;,&quot;parse-names&quot;:false,&quot;dropping-particle&quot;:&quot;&quot;,&quot;non-dropping-particle&quot;:&quot;&quot;},{&quot;family&quot;:&quot;Zappimbulso&quot;,&quot;given&quot;:&quot;Nicola&quot;,&quot;parse-names&quot;:false,&quot;dropping-particle&quot;:&quot;&quot;,&quot;non-dropping-particle&quot;:&quot;&quot;},{&quot;family&quot;:&quot;Ilacqua&quot;,&quot;given&quot;:&quot;Michele Antonino&quot;,&quot;parse-names&quot;:false,&quot;dropping-particle&quot;:&quot;&quot;,&quot;non-dropping-particle&quot;:&quot;&quot;},{&quot;family&quot;:&quot;Ferranti&quot;,&quot;given&quot;:&quot;Fabio&quot;,&quot;parse-names&quot;:false,&quot;dropping-particle&quot;:&quot;&quot;,&quot;non-dropping-particle&quot;:&quot;&quot;}],&quot;container-title&quot;:&quot;Chemcal Engineering Transactions&quot;,&quot;DOI&quot;:&quot;10.3303/CET25116138&quot;,&quot;issued&quot;:{&quot;date-parts&quot;:[[2025]]},&quot;page&quot;:&quot;823-828&quot;,&quot;volume&quot;:&quot;116&quot;,&quot;container-title-short&quot;:&quot;&quot;},&quot;isTemporary&quot;:false,&quot;suppress-author&quot;:false,&quot;composite&quot;:false,&quot;author-only&quot;:false}]},{&quot;citationID&quot;:&quot;MENDELEY_CITATION_f55be8b0-f0f9-46e6-9933-f41bfc095ece&quot;,&quot;properties&quot;:{&quot;noteIndex&quot;:0},&quot;isEdited&quot;:false,&quot;manualOverride&quot;:{&quot;isManuallyOverridden&quot;:false,&quot;citeprocText&quot;:&quot;(U.S. EPA, 1997)&quot;,&quot;manualOverrideText&quot;:&quot;&quot;},&quot;citationTag&quot;:&quot;MENDELEY_CITATION_v3_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&quot;,&quot;citationItems&quot;:[{&quot;id&quot;:&quot;e7ae7271-2283-3862-b88f-dad417a25703&quot;,&quot;itemData&quot;:{&quot;type&quot;:&quot;article&quot;,&quot;id&quot;:&quot;e7ae7271-2283-3862-b88f-dad417a25703&quot;,&quot;title&quot;:&quot;Protocol for Equipment Leak Emission Estimates&quot;,&quot;author&quot;:[{&quot;family&quot;:&quot;U.S. EPA&quot;,&quot;given&quot;:&quot;&quot;,&quot;parse-names&quot;:false,&quot;dropping-particle&quot;:&quot;&quot;,&quot;non-dropping-particle&quot;:&quot;&quot;}],&quot;issued&quot;:{&quot;date-parts&quot;:[[1997]]}},&quot;isTemporary&quot;:false,&quot;suppress-author&quot;:false,&quot;composite&quot;:false,&quot;author-only&quot;:false}]},{&quot;citationID&quot;:&quot;MENDELEY_CITATION_6a54009e-54f6-455f-ad50-189bc40c3bb0&quot;,&quot;properties&quot;:{&quot;noteIndex&quot;:0},&quot;isEdited&quot;:false,&quot;manualOverride&quot;:{&quot;isManuallyOverridden&quot;:false,&quot;citeprocText&quot;:&quot;(U.S. EPA, 2017)&quot;,&quot;manualOverrideText&quot;:&quot;&quot;},&quot;citationTag&quot;:&quot;MENDELEY_CITATION_v3_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&quot;,&quot;citationItems&quot;:[{&quot;id&quot;:&quot;c09eb412-1884-3fc4-b989-94f4c8c4f0a3&quot;,&quot;itemData&quot;:{&quot;type&quot;:&quot;article&quot;,&quot;id&quot;:&quot;c09eb412-1884-3fc4-b989-94f4c8c4f0a3&quot;,&quot;title&quot;:&quot;Method 21: Determination of volatile organic compound leaks&quot;,&quot;author&quot;:[{&quot;family&quot;:&quot;U.S. EPA&quot;,&quot;given&quot;:&quot;&quot;,&quot;parse-names&quot;:false,&quot;dropping-particle&quot;:&quot;&quot;,&quot;non-dropping-particle&quot;:&quot;&quot;}],&quot;accessed&quot;:{&quot;date-parts&quot;:[[2026,1,28]]},&quot;URL&quot;:&quot;https://www.epa.gov/emc/method-21-volatile-organic-compound-leaks&quot;,&quot;issued&quot;:{&quot;date-parts&quot;:[[2017]]},&quot;container-title-short&quot;:&quot;&quot;},&quot;isTemporary&quot;:false,&quot;suppress-author&quot;:false,&quot;composite&quot;:false,&quot;author-only&quot;:false}]},{&quot;citationID&quot;:&quot;MENDELEY_CITATION_80616d58-d186-43c2-90fe-1dc2c5c488d1&quot;,&quot;properties&quot;:{&quot;noteIndex&quot;:0},&quot;isEdited&quot;:false,&quot;manualOverride&quot;:{&quot;isManuallyOverridden&quot;:false,&quot;citeprocText&quot;:&quot;(Invernizzi M. et al., 2021)&quot;,&quot;manualOverrideText&quot;:&quot;&quot;},&quot;citationTag&quot;:&quot;MENDELEY_CITATION_v3_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&quot;,&quot;citationItems&quot;:[{&quot;id&quot;:&quot;ce2b320e-b4d3-30f6-95a3-afdeda97726e&quot;,&quot;itemData&quot;:{&quot;type&quot;:&quot;article-journal&quot;,&quot;id&quot;:&quot;ce2b320e-b4d3-30f6-95a3-afdeda97726e&quot;,&quot;title&quot;:&quot;Lights and Shadows of the Voc Emission Quantification&quot;,&quot;author&quot;:[{&quot;family&quot;:&quot;Invernizzi M.&quot;,&quot;given&quot;:&quot;&quot;,&quot;parse-names&quot;:false,&quot;dropping-particle&quot;:&quot;&quot;,&quot;non-dropping-particle&quot;:&quot;&quot;},{&quot;family&quot;:&quot;Roveda L.&quot;,&quot;given&quot;:&quot;&quot;,&quot;parse-names&quot;:false,&quot;dropping-particle&quot;:&quot;&quot;,&quot;non-dropping-particle&quot;:&quot;&quot;},{&quot;family&quot;:&quot;Polvara E.&quot;,&quot;given&quot;:&quot;&quot;,&quot;parse-names&quot;:false,&quot;dropping-particle&quot;:&quot;&quot;,&quot;non-dropping-particle&quot;:&quot;&quot;},{&quot;family&quot;:&quot;Sironi S.&quot;,&quot;given&quot;:&quot;&quot;,&quot;parse-names&quot;:false,&quot;dropping-particle&quot;:&quot;&quot;,&quot;non-dropping-particle&quot;:&quot;&quot;}],&quot;container-title&quot;:&quot;Chemical Engineering Transactions&quot;,&quot;container-title-short&quot;:&quot;Chem. Eng. Trans.&quot;,&quot;DOI&quot;:&quot;10.3303/CET2185019&quot;,&quot;issued&quot;:{&quot;date-parts&quot;:[[2021]]},&quot;page&quot;:&quot;109-114&quot;,&quot;volume&quot;:&quot;85&quot;},&quot;isTemporary&quot;:false,&quot;suppress-author&quot;:false,&quot;composite&quot;:false,&quot;author-only&quot;:false}]},{&quot;citationID&quot;:&quot;MENDELEY_CITATION_8c7cb848-3e21-423f-971d-e4fed191e377&quot;,&quot;properties&quot;:{&quot;noteIndex&quot;:0},&quot;isEdited&quot;:false,&quot;manualOverride&quot;:{&quot;isManuallyOverridden&quot;:false,&quot;citeprocText&quot;:&quot;(European Commision, 2010)&quot;,&quot;manualOverrideText&quot;:&quot;&quot;},&quot;citationTag&quot;:&quot;MENDELEY_CITATION_v3_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&quot;,&quot;citationItems&quot;:[{&quot;id&quot;:&quot;575f3093-90dd-30fa-bdc6-e33e64c3c3e0&quot;,&quot;itemData&quot;:{&quot;type&quot;:&quot;article&quot;,&quot;id&quot;:&quot;575f3093-90dd-30fa-bdc6-e33e64c3c3e0&quot;,&quot;title&quot;:&quot;Directive 2010/75/EU of the European Parliament and of the Council of 24 November 2010 on industrial emissions (integrated pollution prevention and control) (IED)&quot;,&quot;author&quot;:[{&quot;family&quot;:&quot;European Commision&quot;,&quot;given&quot;:&quot;&quot;,&quot;parse-names&quot;:false,&quot;dropping-particle&quot;:&quot;&quot;,&quot;non-dropping-particle&quot;:&quot;&quot;}],&quot;issued&quot;:{&quot;date-parts&quot;:[[2010]]},&quot;container-title-short&quot;:&quot;&quot;},&quot;isTemporary&quot;:false,&quot;suppress-author&quot;:false,&quot;composite&quot;:false,&quot;author-only&quot;:false}]},{&quot;citationID&quot;:&quot;MENDELEY_CITATION_56122d66-7852-456c-9f6c-52911202defc&quot;,&quot;properties&quot;:{&quot;noteIndex&quot;:0},&quot;isEdited&quot;:false,&quot;manualOverride&quot;:{&quot;isManuallyOverridden&quot;:false,&quot;citeprocText&quot;:&quot;(European Commission, 2015)&quot;,&quot;manualOverrideText&quot;:&quot;&quot;},&quot;citationTag&quot;:&quot;MENDELEY_CITATION_v3_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&quot;,&quot;citationItems&quot;:[{&quot;id&quot;:&quot;798af467-5dc5-39b5-bb3a-78c953e94a80&quot;,&quot;itemData&quot;:{&quot;type&quot;:&quot;article&quot;,&quot;id&quot;:&quot;798af467-5dc5-39b5-bb3a-78c953e94a80&quot;,&quot;title&quot;:&quot;Best Available Techniques (BAT) Reference Document fro the Refining of Mineral Oil and Gas&quot;,&quot;author&quot;:[{&quot;family&quot;:&quot;European Commission&quot;,&quot;given&quot;:&quot;&quot;,&quot;parse-names&quot;:false,&quot;dropping-particle&quot;:&quot;&quot;,&quot;non-dropping-particle&quot;:&quot;&quot;}],&quot;issued&quot;:{&quot;date-parts&quot;:[[2015]]},&quot;container-title-short&quot;:&quot;&quot;},&quot;isTemporary&quot;:false,&quot;suppress-author&quot;:false,&quot;composite&quot;:false,&quot;author-only&quot;:false}]},{&quot;citationID&quot;:&quot;MENDELEY_CITATION_13cdf0ce-09aa-4c32-80cb-aa41bb03151a&quot;,&quot;properties&quot;:{&quot;noteIndex&quot;:0},&quot;isEdited&quot;:false,&quot;manualOverride&quot;:{&quot;isManuallyOverridden&quot;:true,&quot;citeprocText&quot;:&quot;(EN 15446:2008, 2008)&quot;,&quot;manualOverrideText&quot;:&quot;EN 15446:2008&quot;},&quot;citationTag&quot;:&quot;MENDELEY_CITATION_v3_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&quot;,&quot;citationItems&quot;:[{&quot;id&quot;:&quot;97a0c48a-82ac-37b7-b538-ec4240fd3787&quot;,&quot;itemData&quot;:{&quot;type&quot;:&quot;article&quot;,&quot;id&quot;:&quot;97a0c48a-82ac-37b7-b538-ec4240fd3787&quot;,&quot;title&quot;:&quot;Fugitive and diffuse emissions of common concern to industry sectors - Measurement of fugitive emission of vapours generating from equipment and piping leaks&quot;,&quot;author&quot;:[{&quot;family&quot;:&quot;EN 15446:2008&quot;,&quot;given&quot;:&quot;&quot;,&quot;parse-names&quot;:false,&quot;dropping-particle&quot;:&quot;&quot;,&quot;non-dropping-particle&quot;:&quot;&quot;}],&quot;container-title&quot;:&quot;CEN (Comité Européen de Normalisation)&quot;,&quot;DOI&quot;:&quot;10.31030/9877839&quot;,&quot;issued&quot;:{&quot;date-parts&quot;:[[2008]]},&quot;publisher-place&quot;:&quot;Brussels, Belgium&quot;,&quot;container-title-short&quot;:&quot;&quot;},&quot;isTemporary&quot;:false,&quot;suppress-author&quot;:false,&quot;composite&quot;:false,&quot;author-only&quot;:false}]},{&quot;citationID&quot;:&quot;MENDELEY_CITATION_d6856b76-392c-4c8d-92e2-c56d1c547021&quot;,&quot;properties&quot;:{&quot;noteIndex&quot;:0},&quot;isEdited&quot;:false,&quot;manualOverride&quot;:{&quot;isManuallyOverridden&quot;:false,&quot;citeprocText&quot;:&quot;(U.S. EPA, 2006)&quot;,&quot;manualOverrideText&quot;:&quot;&quot;},&quot;citationTag&quot;:&quot;MENDELEY_CITATION_v3_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&quot;,&quot;citationItems&quot;:[{&quot;id&quot;:&quot;2fdf1f79-05a7-37d8-a57f-1ca0c45885c1&quot;,&quot;itemData&quot;:{&quot;type&quot;:&quot;article&quot;,&quot;id&quot;:&quot;2fdf1f79-05a7-37d8-a57f-1ca0c45885c1&quot;,&quot;title&quot;:&quot;Alternative Work Practice to Detect Leaks From Equipment&quot;,&quot;author&quot;:[{&quot;family&quot;:&quot;U.S. EPA&quot;,&quot;given&quot;:&quot;&quot;,&quot;parse-names&quot;:false,&quot;dropping-particle&quot;:&quot;&quot;,&quot;non-dropping-particle&quot;:&quot;&quot;}],&quot;issued&quot;:{&quot;date-parts&quot;:[[2006]]},&quot;container-title-short&quot;:&quot;&quot;},&quot;isTemporary&quot;:false,&quot;suppress-author&quot;:false,&quot;composite&quot;:false,&quot;author-only&quot;:false}]},{&quot;citationID&quot;:&quot;MENDELEY_CITATION_8ac3f6b1-8bcc-4ff8-9a90-8c208322d806&quot;,&quot;properties&quot;:{&quot;noteIndex&quot;:0},&quot;isEdited&quot;:false,&quot;manualOverride&quot;:{&quot;isManuallyOverridden&quot;:true,&quot;citeprocText&quot;:&quot;(EN 17628:2022, 2022)&quot;,&quot;manualOverrideText&quot;:&quot;EN 17628:2022&quot;},&quot;citationTag&quot;:&quot;MENDELEY_CITATION_v3_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&quot;,&quot;citationItems&quot;:[{&quot;id&quot;:&quot;b4978151-3950-3687-a550-dae912693af2&quot;,&quot;itemData&quot;:{&quot;type&quot;:&quot;article&quot;,&quot;id&quot;:&quot;b4978151-3950-3687-a550-dae912693af2&quot;,&quot;title&quot;:&quot;Fugitive and diffuse emissions of common concern to industry sectors - Standard method to determine diffuse emissions of volatile organic compounds into the atmosphere&quot;,&quot;author&quot;:[{&quot;family&quot;:&quot;EN 17628:2022&quot;,&quot;given&quot;:&quot;&quot;,&quot;parse-names&quot;:false,&quot;dropping-particle&quot;:&quot;&quot;,&quot;non-dropping-particle&quot;:&quot;&quot;}],&quot;container-title&quot;:&quot;CEN (Comité Européen de Normalisation)&quot;,&quot;DOI&quot;:&quot;10.31030/3311361&quot;,&quot;issued&quot;:{&quot;date-parts&quot;:[[2022]]},&quot;publisher-place&quot;:&quot;Brussels,Belgium&quot;,&quot;container-title-short&quot;:&quot;&quot;},&quot;isTemporary&quot;:false,&quot;suppress-author&quot;:false,&quot;composite&quot;:false,&quot;author-only&quot;:false}]},{&quot;citationID&quot;:&quot;MENDELEY_CITATION_b2c6eeae-8942-4666-ad21-987ece239ea1&quot;,&quot;properties&quot;:{&quot;noteIndex&quot;:0},&quot;isEdited&quot;:false,&quot;manualOverride&quot;:{&quot;isManuallyOverridden&quot;:false,&quot;citeprocText&quot;:&quot;(European Commission, 2015)&quot;,&quot;manualOverrideText&quot;:&quot;&quot;},&quot;citationTag&quot;:&quot;MENDELEY_CITATION_v3_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&quot;,&quot;citationItems&quot;:[{&quot;id&quot;:&quot;798af467-5dc5-39b5-bb3a-78c953e94a80&quot;,&quot;itemData&quot;:{&quot;type&quot;:&quot;article&quot;,&quot;id&quot;:&quot;798af467-5dc5-39b5-bb3a-78c953e94a80&quot;,&quot;title&quot;:&quot;Best Available Techniques (BAT) Reference Document fro the Refining of Mineral Oil and Gas&quot;,&quot;author&quot;:[{&quot;family&quot;:&quot;European Commission&quot;,&quot;given&quot;:&quot;&quot;,&quot;parse-names&quot;:false,&quot;dropping-particle&quot;:&quot;&quot;,&quot;non-dropping-particle&quot;:&quot;&quot;}],&quot;issued&quot;:{&quot;date-parts&quot;:[[2015]]},&quot;container-title-short&quot;:&quot;&quot;},&quot;isTemporary&quot;:false,&quot;suppress-author&quot;:false,&quot;composite&quot;:false,&quot;author-only&quot;:false}]},{&quot;citationID&quot;:&quot;MENDELEY_CITATION_dee43903-f6f2-48d7-ba62-1ce728e311e9&quot;,&quot;properties&quot;:{&quot;noteIndex&quot;:0},&quot;isEdited&quot;:false,&quot;manualOverride&quot;:{&quot;isManuallyOverridden&quot;:false,&quot;citeprocText&quot;:&quot;(Wilson, 2016)&quot;,&quot;manualOverrideText&quot;:&quot;&quot;},&quot;citationTag&quot;:&quot;MENDELEY_CITATION_v3_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&quot;,&quot;citationItems&quot;:[{&quot;id&quot;:&quot;30f526e8-3d91-30cf-8526-e8a3e370ce04&quot;,&quot;itemData&quot;:{&quot;type&quot;:&quot;article-journal&quot;,&quot;id&quot;:&quot;30f526e8-3d91-30cf-8526-e8a3e370ce04&quot;,&quot;title&quot;:&quot;New Optical Gas-Imaging Technology for Quantifying Fugitive-Emission Rates&quot;,&quot;author&quot;:[{&quot;family&quot;:&quot;Wilson&quot;,&quot;given&quot;:&quot;Adam&quot;,&quot;parse-names&quot;:false,&quot;dropping-particle&quot;:&quot;&quot;,&quot;non-dropping-particle&quot;:&quot;&quot;}],&quot;container-title&quot;:&quot;Journal of Petroleum Technology&quot;,&quot;DOI&quot;:&quot;10.2118/0816-0078-JPT&quot;,&quot;ISSN&quot;:&quot;0149-2136&quot;,&quot;issued&quot;:{&quot;date-parts&quot;:[[2016,8,1]]},&quot;page&quot;:&quot;78-79&quot;,&quot;abstract&quot;:&quot;&lt;p&gt;This article, written by Special Publications Editor Adam Wilson, contains highlights of paper IPTC 18471, “New Optical Gas-Imaging Technology for Quantifying Fugitive- Emission Rates,” by Hazem Abdel-Moati, ExxonMobil Research Qatar; Jonathan Morris and Yousheng Zeng, Providence Photonics; Petroula Kangas, ExxonMobil Chemical Europe; and Duane McGregor, ExxonMobil Research and Engineering, prepared for the 2015 International Petroleum Technology Conference, Doha, Qatar, 7–9 December. The paper has not been peer reviewed.&lt;/p&gt;&quot;,&quot;issue&quot;:&quot;08&quot;,&quot;volume&quot;:&quot;68&quot;,&quot;container-title-short&quot;:&quot;&quot;},&quot;isTemporary&quot;:false,&quot;suppress-author&quot;:false,&quot;composite&quot;:false,&quot;author-only&quot;:false}]},{&quot;citationID&quot;:&quot;MENDELEY_CITATION_3de75c4b-389c-4d4b-b037-56dcb8b4671a&quot;,&quot;properties&quot;:{&quot;noteIndex&quot;:0},&quot;isEdited&quot;:false,&quot;manualOverride&quot;:{&quot;isManuallyOverridden&quot;:false,&quot;citeprocText&quot;:&quot;(Cangialosi et al., 2024)&quot;,&quot;manualOverrideText&quot;:&quot;&quot;},&quot;citationTag&quot;:&quot;MENDELEY_CITATION_v3_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&quot;,&quot;citationItems&quot;:[{&quot;id&quot;:&quot;2804faf6-9a11-30d2-b073-f0ed0fff2ac8&quot;,&quot;itemData&quot;:{&quot;type&quot;:&quot;article-journal&quot;,&quot;id&quot;:&quot;2804faf6-9a11-30d2-b073-f0ed0fff2ac8&quot;,&quot;title&quot;:&quot;Assessing the Significance of Fugitive Emissions from a Landfill Biogas Collecting System using a Quantitative Optical Gas Imaging (QOGI) Method: a Case Study&quot;,&quot;author&quot;:[{&quot;family&quot;:&quot;Cangialosi&quot;,&quot;given&quot;:&quot;Federico&quot;,&quot;parse-names&quot;:false,&quot;dropping-particle&quot;:&quot;&quot;,&quot;non-dropping-particle&quot;:&quot;&quot;},{&quot;family&quot;:&quot;Milella&quot;,&quot;given&quot;:&quot;Luciana&quot;,&quot;parse-names&quot;:false,&quot;dropping-particle&quot;:&quot;&quot;,&quot;non-dropping-particle&quot;:&quot;&quot;},{&quot;family&quot;:&quot;Fornaro&quot;,&quot;given&quot;:&quot;Antonio&quot;,&quot;parse-names&quot;:false,&quot;dropping-particle&quot;:&quot;&quot;,&quot;non-dropping-particle&quot;:&quot;&quot;}],&quot;container-title&quot;:&quot;Chemical Engineering Transactions&quot;,&quot;container-title-short&quot;:&quot;Chem. Eng. Trans.&quot;,&quot;DOI&quot;:&quot;10.3303/CET24112004&quot;,&quot;issued&quot;:{&quot;date-parts&quot;:[[2024]]},&quot;page&quot;:&quot;19-24&quot;,&quot;volume&quot;:&quot;112&quot;},&quot;isTemporary&quot;:false,&quot;suppress-author&quot;:false,&quot;composite&quot;:false,&quot;author-only&quot;:false}]},{&quot;citationID&quot;:&quot;MENDELEY_CITATION_cc7fbf97-f395-45be-a0e2-4693dca07f31&quot;,&quot;properties&quot;:{&quot;noteIndex&quot;:0},&quot;isEdited&quot;:false,&quot;manualOverride&quot;:{&quot;isManuallyOverridden&quot;:false,&quot;citeprocText&quot;:&quot;(Nagata, 2003; Polvara et al., 2025)&quot;,&quot;manualOverrideText&quot;:&quot;&quot;},&quot;citationTag&quot;:&quot;MENDELEY_CITATION_v3_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&quot;,&quot;citationItems&quot;:[{&quot;id&quot;:&quot;a0ffd80e-cd1e-3ea4-acff-fab93023d990&quot;,&quot;itemData&quot;:{&quot;type&quot;:&quot;article-journal&quot;,&quot;id&quot;:&quot;a0ffd80e-cd1e-3ea4-acff-fab93023d990&quot;,&quot;title&quot;:&quot;Measurement of Odor Threshold by Triangle Odor Bag Method&quot;,&quot;author&quot;:[{&quot;family&quot;:&quot;Nagata&quot;,&quot;given&quot;:&quot;Y.&quot;,&quot;parse-names&quot;:false,&quot;dropping-particle&quot;:&quot;&quot;,&quot;non-dropping-particle&quot;:&quot;&quot;}],&quot;issued&quot;:{&quot;date-parts&quot;:[[2003]]},&quot;page&quot;:&quot;118-127&quot;,&quot;container-title-short&quot;:&quot;&quot;},&quot;isTemporary&quot;:false},{&quot;id&quot;:&quot;23b778d2-d1da-3a25-8119-8197087299b4&quot;,&quot;itemData&quot;:{&quot;type&quot;:&quot;article-journal&quot;,&quot;id&quot;:&quot;23b778d2-d1da-3a25-8119-8197087299b4&quot;,&quot;title&quot;:&quot;Experimental secondary reference odour mass (SROM) measurement for selected four odorants&quot;,&quot;author&quot;:[{&quot;family&quot;:&quot;Polvara&quot;,&quot;given&quot;:&quot;Elisa&quot;,&quot;parse-names&quot;:false,&quot;dropping-particle&quot;:&quot;&quot;,&quot;non-dropping-particle&quot;:&quot;&quot;},{&quot;family&quot;:&quot;Scolieri&quot;,&quot;given&quot;:&quot;Giacomo Domenico&quot;,&quot;parse-names&quot;:false,&quot;dropping-particle&quot;:&quot;&quot;,&quot;non-dropping-particle&quot;:&quot;&quot;},{&quot;family&quot;:&quot;Invernizzi&quot;,&quot;given&quot;:&quot;Marzio&quot;,&quot;parse-names&quot;:false,&quot;dropping-particle&quot;:&quot;&quot;,&quot;non-dropping-particle&quot;:&quot;&quot;},{&quot;family&quot;:&quot;Sironi&quot;,&quot;given&quot;:&quot;Selena&quot;,&quot;parse-names&quot;:false,&quot;dropping-particle&quot;:&quot;&quot;,&quot;non-dropping-particle&quot;:&quot;&quot;}],&quot;container-title&quot;:&quot;Environmental Sciences Europe&quot;,&quot;container-title-short&quot;:&quot;Environ. Sci. Eur.&quot;,&quot;DOI&quot;:&quot;10.1186/s12302-025-01179-6&quot;,&quot;ISSN&quot;:&quot;2190-4715&quot;,&quot;issued&quot;:{&quot;date-parts&quot;:[[2025,7,26]]},&quot;page&quot;:&quot;129&quot;,&quot;issue&quot;:&quot;1&quot;,&quot;volume&quot;:&quot;37&quot;},&quot;isTemporary&quot;:false}]},{&quot;citationID&quot;:&quot;MENDELEY_CITATION_2f68c859-e5ee-4ace-b4d6-0e57ce33f151&quot;,&quot;properties&quot;:{&quot;noteIndex&quot;:0},&quot;isEdited&quot;:false,&quot;manualOverride&quot;:{&quot;isManuallyOverridden&quot;:true,&quot;citeprocText&quot;:&quot;(EN 13725:2022, 2022)&quot;,&quot;manualOverrideText&quot;:&quot;EN 13725:2022&quot;},&quot;citationTag&quot;:&quot;MENDELEY_CITATION_v3_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&quot;,&quot;citationItems&quot;:[{&quot;id&quot;:&quot;3b48b603-7ba0-3082-95d4-fbcca9c71ed8&quot;,&quot;itemData&quot;:{&quot;type&quot;:&quot;article&quot;,&quot;id&quot;:&quot;3b48b603-7ba0-3082-95d4-fbcca9c71ed8&quot;,&quot;title&quot;:&quot;Stationary source emissions - Determination of odour concentration by dynamic olfactometry and odour emission rate&quot;,&quot;author&quot;:[{&quot;family&quot;:&quot;EN 13725:2022&quot;,&quot;given&quot;:&quot;&quot;,&quot;parse-names&quot;:false,&quot;dropping-particle&quot;:&quot;&quot;,&quot;non-dropping-particle&quot;:&quot;&quot;}],&quot;container-title&quot;:&quot;CEN (Comité Européen de Normalisation)&quot;,&quot;DOI&quot;:&quot;https://dx.doi.org/10.31030/3290685&quot;,&quot;issued&quot;:{&quot;date-parts&quot;:[[2022]]},&quot;container-title-short&quot;:&quot;&quot;},&quot;isTemporary&quot;:false,&quot;suppress-author&quot;:false,&quot;composite&quot;:false,&quot;author-only&quot;:false}]},{&quot;citationID&quot;:&quot;MENDELEY_CITATION_1a98ec07-5e8e-460d-8231-99f4cec09845&quot;,&quot;properties&quot;:{&quot;noteIndex&quot;:0},&quot;isEdited&quot;:false,&quot;manualOverride&quot;:{&quot;isManuallyOverridden&quot;:true,&quot;citeprocText&quot;:&quot;(EN 12619:2013, 2013)&quot;,&quot;manualOverrideText&quot;:&quot;EN 12619:2013&quot;},&quot;citationTag&quot;:&quot;MENDELEY_CITATION_v3_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&quot;,&quot;citationItems&quot;:[{&quot;id&quot;:&quot;6de4776b-f8bd-35da-bffe-d60c64b816ad&quot;,&quot;itemData&quot;:{&quot;type&quot;:&quot;article&quot;,&quot;id&quot;:&quot;6de4776b-f8bd-35da-bffe-d60c64b816ad&quot;,&quot;title&quot;:&quot;Stationary source emissions - Determination of the mass concentration of total gaseous organic carbon - Continuous flame ionisation detector method&quot;,&quot;author&quot;:[{&quot;family&quot;:&quot;EN 12619:2013&quot;,&quot;given&quot;:&quot;&quot;,&quot;parse-names&quot;:false,&quot;dropping-particle&quot;:&quot;&quot;,&quot;non-dropping-particle&quot;:&quot;&quot;}],&quot;container-title&quot;:&quot;CEN (Comité Européen de Normalisation)&quot;,&quot;DOI&quot;:&quot;https://dx.doi.org/10.31030/1907768&quot;,&quot;issued&quot;:{&quot;date-parts&quot;:[[2013]]},&quot;container-title-short&quot;:&quot;&quot;},&quot;isTemporary&quot;:false,&quot;suppress-author&quot;:false,&quot;composite&quot;:false,&quot;author-onl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983C9-6D0A-480C-BF79-A63BD3D99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3802</Words>
  <Characters>21678</Characters>
  <Application>Microsoft Office Word</Application>
  <DocSecurity>0</DocSecurity>
  <Lines>180</Lines>
  <Paragraphs>50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Dipartimento CMIC - Politecnico di Milano</Company>
  <LinksUpToDate>false</LinksUpToDate>
  <CharactersWithSpaces>25430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raffaella</dc:creator>
  <cp:lastModifiedBy>Luca Carrera</cp:lastModifiedBy>
  <cp:revision>4</cp:revision>
  <cp:lastPrinted>2015-05-12T18:31:00Z</cp:lastPrinted>
  <dcterms:created xsi:type="dcterms:W3CDTF">2026-04-22T08:45:00Z</dcterms:created>
  <dcterms:modified xsi:type="dcterms:W3CDTF">2026-04-22T08:53:00Z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id="s8VwuD2U"/&gt;&lt;style id="http://www.zotero.org/styles/chemical-engineering-transactions" hasBibliography="1" bibliographyStyleHasBeenSet="1"/&gt;&lt;prefs&gt;&lt;pref name="fieldType" value="Field"/&gt;&lt;pref na</vt:lpwstr>
  </property>
  <property fmtid="{D5CDD505-2E9C-101B-9397-08002B2CF9AE}" pid="3" name="ZOTERO_PREF_2">
    <vt:lpwstr>me="storeReferences" value="true"/&gt;&lt;pref name="automaticJournalAbbreviations" value=""/&gt;&lt;pref name="noteType" value=""/&gt;&lt;/prefs&gt;&lt;/data&gt;</vt:lpwstr>
  </property>
</Properties>
</file>