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5A0EB78F" w14:textId="77777777" w:rsidTr="00DE264A">
        <w:trPr>
          <w:trHeight w:val="852"/>
          <w:jc w:val="center"/>
        </w:trPr>
        <w:tc>
          <w:tcPr>
            <w:tcW w:w="6946" w:type="dxa"/>
            <w:vMerge w:val="restart"/>
            <w:tcBorders>
              <w:right w:val="single" w:sz="4" w:space="0" w:color="auto"/>
            </w:tcBorders>
          </w:tcPr>
          <w:p w14:paraId="24B3AFFB"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30972C5D" wp14:editId="328DC660">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1C72F01A" w14:textId="77777777"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0071C69A"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27DCBB6B" w14:textId="77777777" w:rsidR="000A03B2" w:rsidRPr="00B57B36" w:rsidRDefault="000A03B2" w:rsidP="00CD5FE2">
            <w:pPr>
              <w:jc w:val="right"/>
            </w:pPr>
            <w:r w:rsidRPr="00B57B36">
              <w:rPr>
                <w:noProof/>
                <w:lang w:val="it-IT" w:eastAsia="it-IT"/>
              </w:rPr>
              <w:drawing>
                <wp:inline distT="0" distB="0" distL="0" distR="0" wp14:anchorId="04001B82" wp14:editId="132BFA69">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6831138A" w14:textId="77777777" w:rsidTr="00DE264A">
        <w:trPr>
          <w:trHeight w:val="567"/>
          <w:jc w:val="center"/>
        </w:trPr>
        <w:tc>
          <w:tcPr>
            <w:tcW w:w="6946" w:type="dxa"/>
            <w:vMerge/>
            <w:tcBorders>
              <w:right w:val="single" w:sz="4" w:space="0" w:color="auto"/>
            </w:tcBorders>
          </w:tcPr>
          <w:p w14:paraId="01A4DD6E" w14:textId="77777777" w:rsidR="000A03B2" w:rsidRPr="00B57B36" w:rsidRDefault="000A03B2" w:rsidP="00CD5FE2">
            <w:pPr>
              <w:tabs>
                <w:tab w:val="left" w:pos="-108"/>
              </w:tabs>
            </w:pPr>
          </w:p>
        </w:tc>
        <w:tc>
          <w:tcPr>
            <w:tcW w:w="1843" w:type="dxa"/>
            <w:tcBorders>
              <w:left w:val="single" w:sz="4" w:space="0" w:color="auto"/>
              <w:bottom w:val="nil"/>
              <w:right w:val="single" w:sz="4" w:space="0" w:color="auto"/>
            </w:tcBorders>
          </w:tcPr>
          <w:p w14:paraId="2CCF731E"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2D801B8B"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26AD7A14" w14:textId="77777777"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46CF336C" w14:textId="77777777" w:rsidTr="00DE264A">
        <w:trPr>
          <w:trHeight w:val="68"/>
          <w:jc w:val="center"/>
        </w:trPr>
        <w:tc>
          <w:tcPr>
            <w:tcW w:w="8789" w:type="dxa"/>
            <w:gridSpan w:val="2"/>
          </w:tcPr>
          <w:p w14:paraId="3DC77527" w14:textId="77777777"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27E63D6C" w14:textId="77777777"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xml:space="preserve">, AIDIC Servizi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15F49240" w14:textId="5AD8A4FC" w:rsidR="00E978D0" w:rsidRPr="00B57B36" w:rsidRDefault="729C5E82" w:rsidP="40C64767">
      <w:pPr>
        <w:pStyle w:val="CETTitle"/>
      </w:pPr>
      <w:r>
        <w:t>Development of a p</w:t>
      </w:r>
      <w:r w:rsidR="00600535">
        <w:t>ortable multi-detector for indoor air quality monitoring in schools</w:t>
      </w:r>
      <w:r w:rsidR="3CD76C53">
        <w:t>: preliminary results about formaldehyde measurements</w:t>
      </w:r>
    </w:p>
    <w:p w14:paraId="629B56D2" w14:textId="77777777" w:rsidR="00B57E6F" w:rsidRPr="00F86646" w:rsidRDefault="00B57E6F" w:rsidP="00B57E6F">
      <w:pPr>
        <w:pStyle w:val="CETAuthors"/>
        <w:jc w:val="center"/>
        <w:rPr>
          <w:lang w:val="es-ES"/>
        </w:rPr>
      </w:pPr>
      <w:r w:rsidRPr="00F86646">
        <w:rPr>
          <w:lang w:val="es-ES"/>
        </w:rPr>
        <w:t>Hamza Jebeniani</w:t>
      </w:r>
      <w:r w:rsidRPr="00F86646">
        <w:rPr>
          <w:vertAlign w:val="superscript"/>
          <w:lang w:val="es-ES"/>
        </w:rPr>
        <w:t>a,b,*</w:t>
      </w:r>
      <w:r w:rsidRPr="00F86646">
        <w:rPr>
          <w:lang w:val="es-ES"/>
        </w:rPr>
        <w:t>, André Canosa</w:t>
      </w:r>
      <w:r w:rsidRPr="00F86646">
        <w:rPr>
          <w:vertAlign w:val="superscript"/>
          <w:lang w:val="es-ES"/>
        </w:rPr>
        <w:t>b</w:t>
      </w:r>
      <w:r w:rsidRPr="00F86646">
        <w:rPr>
          <w:lang w:val="es-ES"/>
        </w:rPr>
        <w:t>, Amina Meslem</w:t>
      </w:r>
      <w:r w:rsidRPr="00F86646">
        <w:rPr>
          <w:vertAlign w:val="superscript"/>
          <w:lang w:val="es-ES"/>
        </w:rPr>
        <w:t>a</w:t>
      </w:r>
      <w:r w:rsidRPr="00F86646">
        <w:rPr>
          <w:lang w:val="es-ES"/>
        </w:rPr>
        <w:t>, Gisèle El Dib</w:t>
      </w:r>
      <w:r w:rsidRPr="00F86646">
        <w:rPr>
          <w:vertAlign w:val="superscript"/>
          <w:lang w:val="es-ES"/>
        </w:rPr>
        <w:t>b</w:t>
      </w:r>
    </w:p>
    <w:p w14:paraId="7C5EB19E" w14:textId="77777777" w:rsidR="00B57E6F" w:rsidRPr="00E7742D" w:rsidRDefault="00B57E6F" w:rsidP="00B57E6F">
      <w:pPr>
        <w:pStyle w:val="CETAddress"/>
        <w:rPr>
          <w:lang w:val="fr-FR"/>
        </w:rPr>
      </w:pPr>
      <w:r w:rsidRPr="00E7742D">
        <w:rPr>
          <w:vertAlign w:val="superscript"/>
          <w:lang w:val="fr-FR"/>
        </w:rPr>
        <w:t>a</w:t>
      </w:r>
      <w:r w:rsidRPr="00E7742D">
        <w:rPr>
          <w:lang w:val="fr-FR"/>
        </w:rPr>
        <w:t>Université de Rennes, Laboratoire de Génie Civil et Génie Mécanique (LGCGM), Rennes, France</w:t>
      </w:r>
    </w:p>
    <w:p w14:paraId="57D0F9DA" w14:textId="77777777" w:rsidR="00B57E6F" w:rsidRPr="00E7742D" w:rsidRDefault="00B57E6F" w:rsidP="00B57E6F">
      <w:pPr>
        <w:pStyle w:val="CETAddress"/>
        <w:rPr>
          <w:lang w:val="fr-FR"/>
        </w:rPr>
      </w:pPr>
      <w:r w:rsidRPr="00E7742D">
        <w:rPr>
          <w:vertAlign w:val="superscript"/>
          <w:lang w:val="fr-FR"/>
        </w:rPr>
        <w:t>b</w:t>
      </w:r>
      <w:r w:rsidRPr="00E7742D">
        <w:rPr>
          <w:lang w:val="fr-FR"/>
        </w:rPr>
        <w:t>Université de Rennes, Institut de Physique de Rennes (IPR), Rennes, France</w:t>
      </w:r>
    </w:p>
    <w:p w14:paraId="070DF8FD" w14:textId="77777777" w:rsidR="00B57E6F" w:rsidRPr="00E7742D" w:rsidRDefault="00B57E6F" w:rsidP="00B57E6F">
      <w:pPr>
        <w:pStyle w:val="CETemail"/>
      </w:pPr>
      <w:r>
        <w:t>hamza.jebeniani@univ-rennes.fr</w:t>
      </w:r>
    </w:p>
    <w:p w14:paraId="53A9B395" w14:textId="1B51627B" w:rsidR="00720480" w:rsidRDefault="08EBFF5D">
      <w:pPr>
        <w:pStyle w:val="CETBodytext"/>
      </w:pPr>
      <w:r>
        <w:t xml:space="preserve">Indoor air quality (IAQ) in schools is a major public-health concern, as pupils and staff spend extended periods in classrooms where </w:t>
      </w:r>
      <w:r w:rsidR="001B040D">
        <w:t>air renewal</w:t>
      </w:r>
      <w:r>
        <w:t>, occupancy, and material emissions interact. A portable multi-detector was developed to monitor key indoor pollutants, namely carbon dioxide, particulate matter, total volatile organic compounds, and formaldehyde, using compact low-cost sensors integrated into an embedded acquisition system.</w:t>
      </w:r>
    </w:p>
    <w:p w14:paraId="039B3EE8" w14:textId="1779BAA8" w:rsidR="00720480" w:rsidRDefault="08EBFF5D">
      <w:pPr>
        <w:pStyle w:val="CETBodytext"/>
      </w:pPr>
      <w:r>
        <w:t>The paper focuses on the description of the multi-detector and presents measurements obtained during a six-week campaign conducted in fourteen classrooms across five</w:t>
      </w:r>
      <w:r w:rsidR="001B040D">
        <w:t xml:space="preserve"> elementary</w:t>
      </w:r>
      <w:r>
        <w:t xml:space="preserve"> schools under real operating conditions, with particular attention to formaldehyde data.</w:t>
      </w:r>
    </w:p>
    <w:p w14:paraId="3E15BEC1" w14:textId="5C78A07F" w:rsidR="00720480" w:rsidRDefault="08EBFF5D">
      <w:pPr>
        <w:pStyle w:val="CETBodytext"/>
      </w:pPr>
      <w:r>
        <w:t xml:space="preserve">Results show significant spatial and temporal variability of formaldehyde concentrations between classrooms, with median values ranging from </w:t>
      </w:r>
      <w:r w:rsidR="0028778B">
        <w:t>2</w:t>
      </w:r>
      <w:r>
        <w:t xml:space="preserve"> to 2</w:t>
      </w:r>
      <w:r w:rsidR="0028778B">
        <w:t>8</w:t>
      </w:r>
      <w:r>
        <w:t xml:space="preserve"> ppb. All measured concentrations remain below the WHO and ANSES short-term guideline (80 ppb), while only five classrooms exhibit median values below the French long-term guideline of 8 ppb. These findings highlight the relevance of multi-parameter monitoring for assessing exposure to indoor pollutants in school environments.</w:t>
      </w:r>
    </w:p>
    <w:p w14:paraId="6343B878" w14:textId="77777777" w:rsidR="00720480" w:rsidRDefault="00B85E56">
      <w:pPr>
        <w:pStyle w:val="CETHeading1"/>
      </w:pPr>
      <w:r>
        <w:t>Introduction</w:t>
      </w:r>
    </w:p>
    <w:p w14:paraId="5C34650B" w14:textId="204B9E94" w:rsidR="00FC088F" w:rsidRDefault="00F86646" w:rsidP="40C64767">
      <w:pPr>
        <w:pStyle w:val="CETBodytext"/>
      </w:pPr>
      <w:bookmarkStart w:id="1" w:name="_Hlk227917758"/>
      <w:r>
        <w:t>Inadequate</w:t>
      </w:r>
      <w:r w:rsidR="4611E988">
        <w:t xml:space="preserve"> indoor air quality in schools affects health, comfort and learning conditions because pupils and teachers remain exposed for several hours each day. </w:t>
      </w:r>
      <w:proofErr w:type="spellStart"/>
      <w:r w:rsidR="4611E988">
        <w:t>Sadrizadeh</w:t>
      </w:r>
      <w:proofErr w:type="spellEnd"/>
      <w:r w:rsidR="4611E988">
        <w:t xml:space="preserve"> et al. (2022) reviewed classroom worldwide studies and showed that school environments frequently combine </w:t>
      </w:r>
      <w:r w:rsidR="0075344B">
        <w:t>insufficient</w:t>
      </w:r>
      <w:r w:rsidR="4611E988">
        <w:t xml:space="preserve"> ventilation with exposure to particulate matter, carbon dioxide and gaseous pollutants.</w:t>
      </w:r>
    </w:p>
    <w:p w14:paraId="3E64C397" w14:textId="6198BEA6" w:rsidR="4611E988" w:rsidRDefault="4611E988" w:rsidP="40C64767">
      <w:pPr>
        <w:pStyle w:val="CETBodytext"/>
      </w:pPr>
      <w:r>
        <w:t xml:space="preserve">Continuous measurements performed directly in classrooms are therefore essential to correlate pollutant levels with occupancy, ventilation </w:t>
      </w:r>
      <w:r w:rsidR="00EB7F53">
        <w:t>behavior</w:t>
      </w:r>
      <w:r>
        <w:t xml:space="preserve"> and indoor emission sources, and eventually apply appropriate mitigation actions. This context supports a monitoring strategy that does not rely solely on carbon dioxide as a ventilation indicator</w:t>
      </w:r>
      <w:r w:rsidR="003145DC">
        <w:t xml:space="preserve"> </w:t>
      </w:r>
      <w:r w:rsidR="008B41F1">
        <w:t xml:space="preserve">but also </w:t>
      </w:r>
      <w:r w:rsidR="00E779C8">
        <w:t>on a variety of</w:t>
      </w:r>
      <w:r w:rsidR="00FC088F">
        <w:t xml:space="preserve"> pollutants and environmental parameters </w:t>
      </w:r>
      <w:r w:rsidR="00E779C8">
        <w:t xml:space="preserve">to </w:t>
      </w:r>
      <w:r w:rsidR="00FC088F">
        <w:t>provide a more comprehensive understanding of indoor air quality dynamics</w:t>
      </w:r>
      <w:r w:rsidR="00E779C8">
        <w:t>.</w:t>
      </w:r>
    </w:p>
    <w:p w14:paraId="0079FBFF" w14:textId="511EFF25" w:rsidR="5DCF20ED" w:rsidRDefault="5DCF20ED" w:rsidP="40C64767">
      <w:pPr>
        <w:pStyle w:val="CETBodytext"/>
      </w:pPr>
      <w:r>
        <w:t>Among indoor pollutants, formaldehyde</w:t>
      </w:r>
      <w:r w:rsidR="00FB4A69">
        <w:t xml:space="preserve">, </w:t>
      </w:r>
      <w:r w:rsidR="00FB4A69" w:rsidRPr="00FB4A69">
        <w:t xml:space="preserve">a </w:t>
      </w:r>
      <w:r w:rsidR="00A90823" w:rsidRPr="00FB4A69">
        <w:t>colorless</w:t>
      </w:r>
      <w:r w:rsidR="00FB4A69" w:rsidRPr="00FB4A69">
        <w:t>, corrosive, flammable gas with a pungent</w:t>
      </w:r>
      <w:r w:rsidR="00A90823">
        <w:t xml:space="preserve"> and</w:t>
      </w:r>
      <w:r w:rsidR="00FB4A69" w:rsidRPr="00FB4A69">
        <w:t xml:space="preserve"> suffocating </w:t>
      </w:r>
      <w:r w:rsidR="00A90823" w:rsidRPr="00FB4A69">
        <w:t>odor</w:t>
      </w:r>
      <w:r w:rsidR="00FB4A69">
        <w:t xml:space="preserve">, </w:t>
      </w:r>
      <w:r>
        <w:t>deserves particular attention due to its health effects, including respiratory irritation and potential long-term risks such as carcinogenicity (WHO, 2010).</w:t>
      </w:r>
      <w:r w:rsidR="09D1CC05">
        <w:t xml:space="preserve"> Consequently, a substantial body of literature addresses formaldehyde monitoring in indoor environments (</w:t>
      </w:r>
      <w:proofErr w:type="spellStart"/>
      <w:r w:rsidR="09D1CC05">
        <w:t>Trocquet</w:t>
      </w:r>
      <w:proofErr w:type="spellEnd"/>
      <w:r w:rsidR="09D1CC05">
        <w:t xml:space="preserve">, 2023). For instance, </w:t>
      </w:r>
      <w:proofErr w:type="spellStart"/>
      <w:r w:rsidR="09D1CC05">
        <w:t>Salthammer</w:t>
      </w:r>
      <w:proofErr w:type="spellEnd"/>
      <w:r w:rsidR="09D1CC05">
        <w:t xml:space="preserve"> et al. (2010) identified formaldehyde as a major indoor pollutant emitted from wood-based products, furnishings, and coatings. In school settings, </w:t>
      </w:r>
      <w:r w:rsidR="11D22AC7">
        <w:t>T</w:t>
      </w:r>
      <w:r w:rsidR="09D1CC05">
        <w:t xml:space="preserve">ang et al. (2009) showed that concentrations are typically higher in newer buildings and during warmer periods, highlighting the role of material emissions and environmental conditions. </w:t>
      </w:r>
      <w:proofErr w:type="spellStart"/>
      <w:r w:rsidR="09D1CC05">
        <w:t>Poulhet</w:t>
      </w:r>
      <w:proofErr w:type="spellEnd"/>
      <w:r w:rsidR="09D1CC05">
        <w:t xml:space="preserve"> et al. (2014) further demonstrated that multiple emission sources can coexist within a single classroom, with a significant contribution from construction and furnishing materials. Then,</w:t>
      </w:r>
      <w:r w:rsidR="00345F2F">
        <w:t xml:space="preserve"> </w:t>
      </w:r>
      <w:r w:rsidR="001B040D">
        <w:t>w</w:t>
      </w:r>
      <w:r w:rsidR="5E395E8A">
        <w:t>hile carbon dioxide remains relevant for tracking occupancy and air renewal, formaldehyde monitoring is required since it has specific emission sources that can persist independently of occupancy levels.</w:t>
      </w:r>
    </w:p>
    <w:p w14:paraId="4ED060A4" w14:textId="39031884" w:rsidR="5E395E8A" w:rsidRDefault="5E395E8A" w:rsidP="40C64767">
      <w:pPr>
        <w:pStyle w:val="CETBodytext"/>
      </w:pPr>
      <w:r>
        <w:lastRenderedPageBreak/>
        <w:t>Regulatory guidelines have been established to limit exposure to formaldehyde in indoor environments. The World Health Organization (WHO) recommends a guideline value of 100 µg/m³ (approximately 80 ppb) for short-term exposure (i.e. over 30-minute periods at lifelong exposure), similarly to the French national agency ANSES. For a 2-hour exposure, ANSES recommends a maximum value of 50 µg/m³ (</w:t>
      </w:r>
      <w:proofErr w:type="spellStart"/>
      <w:r w:rsidR="00BB08F3">
        <w:t>Trocquet</w:t>
      </w:r>
      <w:proofErr w:type="spellEnd"/>
      <w:r>
        <w:t>, 20</w:t>
      </w:r>
      <w:r w:rsidR="00C70BB5">
        <w:t>23</w:t>
      </w:r>
      <w:r>
        <w:t>), and the French government has established an annual average threshold of 10 µg/m³ (approximately 8 ppb) in public buildings, including schools (Decree n° 2011-1727, 2011).</w:t>
      </w:r>
      <w:r w:rsidR="391B2034">
        <w:t xml:space="preserve"> Although medium- or long-term exposure can be monitored using standard techniques such as passive samplers, continuous monitoring with high temporal resolution becomes essential to better understand short-term pollutant dynamics in classroom environments.</w:t>
      </w:r>
    </w:p>
    <w:p w14:paraId="03156528" w14:textId="3B49F178" w:rsidR="391B2034" w:rsidRDefault="391B2034" w:rsidP="40C64767">
      <w:pPr>
        <w:pStyle w:val="CETBodytext"/>
      </w:pPr>
      <w:r>
        <w:t xml:space="preserve">The development of compact and low-cost sensors now enables the design of portable multi-parameter systems capable of tracking several pollutants simultaneously. Accordingly, the objective of this work is to develop and deploy a fast-response portable multi-detector in school environments. The following sections describe the developed device and present formaldehyde measurements obtained during a recent campaign conducted in several </w:t>
      </w:r>
      <w:r w:rsidR="001B040D">
        <w:t xml:space="preserve">elementary </w:t>
      </w:r>
      <w:r>
        <w:t>schools in western France</w:t>
      </w:r>
      <w:bookmarkEnd w:id="1"/>
      <w:r>
        <w:t>.</w:t>
      </w:r>
    </w:p>
    <w:p w14:paraId="0EE240F7" w14:textId="77777777" w:rsidR="00720480" w:rsidRDefault="731388CF">
      <w:pPr>
        <w:pStyle w:val="CETHeading1"/>
      </w:pPr>
      <w:r>
        <w:t>Materials and methods</w:t>
      </w:r>
    </w:p>
    <w:p w14:paraId="49A93EAD" w14:textId="72F8D171" w:rsidR="7BEA7084" w:rsidRDefault="7BEA7084" w:rsidP="442AF692">
      <w:pPr>
        <w:pStyle w:val="CETheadingx"/>
      </w:pPr>
      <w:r w:rsidRPr="40C64767">
        <w:t>System overview</w:t>
      </w:r>
    </w:p>
    <w:p w14:paraId="12A77D76" w14:textId="74B222F6" w:rsidR="3BF27A22" w:rsidRDefault="3BF27A22" w:rsidP="40C64767">
      <w:pPr>
        <w:pStyle w:val="CETBodytext"/>
      </w:pPr>
      <w:r>
        <w:t xml:space="preserve">The developed prototype consists </w:t>
      </w:r>
      <w:r w:rsidR="0075344B">
        <w:t>in</w:t>
      </w:r>
      <w:r>
        <w:t xml:space="preserve"> a portable multi-detector designed for indoor air quality monitoring in school environments. It integrates sensors for carbon dioxide, particulate matter, total volatile organic compounds, and formaldehyde, combined with an embedded communication and acquisition system.</w:t>
      </w:r>
    </w:p>
    <w:p w14:paraId="384F47C6" w14:textId="6E59C24B" w:rsidR="3BF27A22" w:rsidRDefault="3BF27A22" w:rsidP="40C64767">
      <w:pPr>
        <w:pStyle w:val="CETBodytext"/>
      </w:pPr>
      <w:r w:rsidRPr="40C64767">
        <w:t>In addition to pollutant-specific sensors, environmental parameters such as temperature, relative humidity, light intensity, and acoustic levels are monitored to provide contextual information for interpreting pollutant dynamics. These parameters are known to influence both emission processes and sensor response, particularly formaldehyde, whose emissions are strongly affected by temperature and humidity conditions (Liang et al., 2016).</w:t>
      </w:r>
    </w:p>
    <w:p w14:paraId="1CD1990D" w14:textId="7692A2F9" w:rsidR="3BF27A22" w:rsidRDefault="3BF27A22" w:rsidP="40C64767">
      <w:pPr>
        <w:pStyle w:val="CETBodytext"/>
      </w:pPr>
      <w:r w:rsidRPr="40C64767">
        <w:t>The sensing elements are integrated on a custom-designed printed circuit board (PCB) and interfaced with an embedded microcontroller (Arduino ESP32) responsible for data acquisition and transmission. The sensors provide electrical signals that are converted into physical quantities such as gas concentrations, temperature, and relative humidity. This configuration ensures consistent and directly interpretable measurements across the monitored environments. The developed prototype is shown in Figure 1.a.</w:t>
      </w:r>
    </w:p>
    <w:p w14:paraId="193BD59A" w14:textId="1322760D" w:rsidR="32C4346C" w:rsidRDefault="32C4346C" w:rsidP="442AF692">
      <w:pPr>
        <w:pStyle w:val="CETheadingx"/>
      </w:pPr>
      <w:r w:rsidRPr="40C64767">
        <w:t>Sensors</w:t>
      </w:r>
    </w:p>
    <w:p w14:paraId="3C757314" w14:textId="34B88C13" w:rsidR="2ABDEFC6" w:rsidRDefault="1E44BABE" w:rsidP="40C64767">
      <w:pPr>
        <w:pStyle w:val="CETBodytext"/>
      </w:pPr>
      <w:r>
        <w:t>T</w:t>
      </w:r>
      <w:r w:rsidR="2ABDEFC6">
        <w:t>able 1 presents the sensors selected for the prototype, along with their target parameters, measurement technologies, and main characteristics. The selected devices are supported by previous studies, confirming their suitability for indoor air quality monitoring applications (McGarry et al., 2025; Zusman et al., 2020; Hong et al., 2023; Pei et al., 2023</w:t>
      </w:r>
      <w:r w:rsidR="0028778B">
        <w:t xml:space="preserve">; </w:t>
      </w:r>
      <w:r w:rsidR="00BE129A" w:rsidRPr="002A75C7">
        <w:t>Báthory</w:t>
      </w:r>
      <w:r w:rsidR="0028778B">
        <w:t xml:space="preserve"> et </w:t>
      </w:r>
      <w:r w:rsidR="00417286">
        <w:t>al,</w:t>
      </w:r>
      <w:r w:rsidR="0028778B">
        <w:t>2022</w:t>
      </w:r>
      <w:r w:rsidR="2ABDEFC6">
        <w:t>).</w:t>
      </w:r>
    </w:p>
    <w:p w14:paraId="3078CF74" w14:textId="719C4C33" w:rsidR="2ABDEFC6" w:rsidRDefault="2ABDEFC6" w:rsidP="40C64767">
      <w:pPr>
        <w:pStyle w:val="CETBodytext"/>
      </w:pPr>
      <w:r w:rsidRPr="40C64767">
        <w:t>In addition to the sensors listed in Table 1, a commercial Aranet4 Home device was used as a reference for carbon dioxide measurements, providing an independent benchmark to assess the performance of the integrated CO₂ sensor.</w:t>
      </w:r>
    </w:p>
    <w:p w14:paraId="426AC621" w14:textId="01B066BB" w:rsidR="574BF80D" w:rsidRDefault="574BF80D" w:rsidP="442AF692">
      <w:pPr>
        <w:pStyle w:val="CETTabletitle"/>
      </w:pPr>
      <w:r>
        <w:t>Table 1: Sensors selected for the portable multi-detector and their main characteristics</w:t>
      </w:r>
    </w:p>
    <w:tbl>
      <w:tblPr>
        <w:tblW w:w="8565" w:type="dxa"/>
        <w:tblBorders>
          <w:top w:val="single" w:sz="2" w:space="0" w:color="0B7306"/>
          <w:left w:val="single" w:sz="2" w:space="0" w:color="0B7306"/>
          <w:bottom w:val="single" w:sz="2" w:space="0" w:color="0B7306"/>
          <w:right w:val="single" w:sz="2" w:space="0" w:color="0B7306"/>
          <w:insideH w:val="single" w:sz="2" w:space="0" w:color="0B7306"/>
          <w:insideV w:val="single" w:sz="2" w:space="0" w:color="0B7306"/>
        </w:tblBorders>
        <w:tblLook w:val="04A0" w:firstRow="1" w:lastRow="0" w:firstColumn="1" w:lastColumn="0" w:noHBand="0" w:noVBand="1"/>
      </w:tblPr>
      <w:tblGrid>
        <w:gridCol w:w="1125"/>
        <w:gridCol w:w="1157"/>
        <w:gridCol w:w="1825"/>
        <w:gridCol w:w="1800"/>
        <w:gridCol w:w="1065"/>
        <w:gridCol w:w="1593"/>
      </w:tblGrid>
      <w:tr w:rsidR="00562FA8" w14:paraId="0781AEB6" w14:textId="77777777" w:rsidTr="40C64767">
        <w:trPr>
          <w:trHeight w:val="300"/>
        </w:trPr>
        <w:tc>
          <w:tcPr>
            <w:tcW w:w="1125" w:type="dxa"/>
            <w:tcBorders>
              <w:top w:val="single" w:sz="12" w:space="0" w:color="0B7306"/>
              <w:left w:val="none" w:sz="12" w:space="0" w:color="0B7306"/>
              <w:bottom w:val="single" w:sz="2" w:space="0" w:color="097010"/>
              <w:right w:val="none" w:sz="12" w:space="0" w:color="0B7306"/>
            </w:tcBorders>
            <w:vAlign w:val="center"/>
          </w:tcPr>
          <w:p w14:paraId="2ACAFE4F" w14:textId="16FF6EB9" w:rsidR="00562FA8" w:rsidRDefault="63BD30DF" w:rsidP="442AF692">
            <w:pPr>
              <w:pStyle w:val="CETBodytext"/>
            </w:pPr>
            <w:r>
              <w:t>Sensor</w:t>
            </w:r>
          </w:p>
        </w:tc>
        <w:tc>
          <w:tcPr>
            <w:tcW w:w="1157" w:type="dxa"/>
            <w:tcBorders>
              <w:top w:val="single" w:sz="12" w:space="0" w:color="0B7306"/>
              <w:left w:val="none" w:sz="12" w:space="0" w:color="0B7306"/>
              <w:bottom w:val="single" w:sz="2" w:space="0" w:color="097010"/>
              <w:right w:val="none" w:sz="12" w:space="0" w:color="0B7306"/>
            </w:tcBorders>
            <w:vAlign w:val="center"/>
          </w:tcPr>
          <w:p w14:paraId="488AD5A5" w14:textId="67532C59" w:rsidR="00562FA8" w:rsidRDefault="63BD30DF" w:rsidP="442AF692">
            <w:pPr>
              <w:pStyle w:val="CETBodytext"/>
            </w:pPr>
            <w:r>
              <w:t>Target</w:t>
            </w:r>
          </w:p>
        </w:tc>
        <w:tc>
          <w:tcPr>
            <w:tcW w:w="1825" w:type="dxa"/>
            <w:tcBorders>
              <w:top w:val="single" w:sz="12" w:space="0" w:color="0B7306"/>
              <w:left w:val="none" w:sz="12" w:space="0" w:color="0B7306"/>
              <w:bottom w:val="single" w:sz="2" w:space="0" w:color="097010"/>
              <w:right w:val="none" w:sz="12" w:space="0" w:color="0B7306"/>
            </w:tcBorders>
            <w:vAlign w:val="center"/>
          </w:tcPr>
          <w:p w14:paraId="1132F695" w14:textId="301696E6" w:rsidR="00562FA8" w:rsidRDefault="15D15A6F" w:rsidP="442AF692">
            <w:pPr>
              <w:pStyle w:val="CETBodytext"/>
            </w:pPr>
            <w:r>
              <w:t>Technology</w:t>
            </w:r>
          </w:p>
        </w:tc>
        <w:tc>
          <w:tcPr>
            <w:tcW w:w="1800" w:type="dxa"/>
            <w:tcBorders>
              <w:top w:val="single" w:sz="12" w:space="0" w:color="0B7306"/>
              <w:left w:val="none" w:sz="12" w:space="0" w:color="0B7306"/>
              <w:bottom w:val="single" w:sz="2" w:space="0" w:color="097010"/>
              <w:right w:val="none" w:sz="12" w:space="0" w:color="0B7306"/>
            </w:tcBorders>
            <w:vAlign w:val="center"/>
          </w:tcPr>
          <w:p w14:paraId="6B2A6B39" w14:textId="33C894D5" w:rsidR="00562FA8" w:rsidRDefault="225010B9" w:rsidP="442AF692">
            <w:pPr>
              <w:pStyle w:val="CETBodytext"/>
            </w:pPr>
            <w:r>
              <w:t>Nominal range</w:t>
            </w:r>
          </w:p>
        </w:tc>
        <w:tc>
          <w:tcPr>
            <w:tcW w:w="1065" w:type="dxa"/>
            <w:tcBorders>
              <w:top w:val="single" w:sz="12" w:space="0" w:color="0B7306"/>
              <w:left w:val="none" w:sz="12" w:space="0" w:color="0B7306"/>
              <w:bottom w:val="single" w:sz="2" w:space="0" w:color="097010"/>
              <w:right w:val="none" w:sz="12" w:space="0" w:color="0B7306"/>
            </w:tcBorders>
            <w:vAlign w:val="center"/>
          </w:tcPr>
          <w:p w14:paraId="55605348" w14:textId="3CE20D95" w:rsidR="00562FA8" w:rsidRDefault="225010B9" w:rsidP="442AF692">
            <w:pPr>
              <w:pStyle w:val="CETBodytext"/>
            </w:pPr>
            <w:r>
              <w:t>Interface</w:t>
            </w:r>
          </w:p>
        </w:tc>
        <w:tc>
          <w:tcPr>
            <w:tcW w:w="1593" w:type="dxa"/>
            <w:tcBorders>
              <w:top w:val="single" w:sz="12" w:space="0" w:color="0B7306"/>
              <w:left w:val="none" w:sz="12" w:space="0" w:color="0B7306"/>
              <w:bottom w:val="single" w:sz="2" w:space="0" w:color="097010"/>
              <w:right w:val="none" w:sz="12" w:space="0" w:color="0B7306"/>
            </w:tcBorders>
            <w:vAlign w:val="center"/>
          </w:tcPr>
          <w:p w14:paraId="6B67C872" w14:textId="7C8D11A0" w:rsidR="00562FA8" w:rsidRDefault="22D038E5" w:rsidP="442AF692">
            <w:pPr>
              <w:pStyle w:val="CETBodytext"/>
            </w:pPr>
            <w:r>
              <w:t>A</w:t>
            </w:r>
            <w:r w:rsidR="079C9E67">
              <w:t>ccuracy</w:t>
            </w:r>
          </w:p>
        </w:tc>
      </w:tr>
      <w:tr w:rsidR="00562FA8" w14:paraId="44E911AB" w14:textId="77777777" w:rsidTr="40C64767">
        <w:trPr>
          <w:trHeight w:val="300"/>
        </w:trPr>
        <w:tc>
          <w:tcPr>
            <w:tcW w:w="1125" w:type="dxa"/>
            <w:tcBorders>
              <w:top w:val="single" w:sz="2" w:space="0" w:color="097010"/>
              <w:left w:val="none" w:sz="12" w:space="0" w:color="097010"/>
              <w:bottom w:val="single" w:sz="12" w:space="0" w:color="097010"/>
              <w:right w:val="none" w:sz="12" w:space="0" w:color="097010"/>
            </w:tcBorders>
            <w:vAlign w:val="center"/>
          </w:tcPr>
          <w:p w14:paraId="77E67B29" w14:textId="11A31EBF" w:rsidR="00562FA8" w:rsidRDefault="0BFC7469" w:rsidP="442AF692">
            <w:pPr>
              <w:pStyle w:val="CETBodytext"/>
            </w:pPr>
            <w:r>
              <w:t xml:space="preserve">Sunrise </w:t>
            </w:r>
          </w:p>
          <w:p w14:paraId="4FF4F001" w14:textId="13445704" w:rsidR="00562FA8" w:rsidRDefault="0BFC7469" w:rsidP="442AF692">
            <w:pPr>
              <w:pStyle w:val="CETBodytext"/>
            </w:pPr>
            <w:r>
              <w:t xml:space="preserve">PMS7003 </w:t>
            </w:r>
          </w:p>
          <w:p w14:paraId="68FF7C92" w14:textId="71A8A7FD" w:rsidR="00562FA8" w:rsidRDefault="0BFC7469" w:rsidP="442AF692">
            <w:pPr>
              <w:pStyle w:val="CETBodytext"/>
            </w:pPr>
            <w:r>
              <w:t xml:space="preserve">SGP40 </w:t>
            </w:r>
          </w:p>
          <w:p w14:paraId="1793C63C" w14:textId="5799BC01" w:rsidR="00562FA8" w:rsidRDefault="0BFC7469" w:rsidP="442AF692">
            <w:pPr>
              <w:pStyle w:val="CETBodytext"/>
            </w:pPr>
            <w:r>
              <w:t xml:space="preserve">SFA30 </w:t>
            </w:r>
          </w:p>
          <w:p w14:paraId="1E0A5F1F" w14:textId="08981394" w:rsidR="00562FA8" w:rsidRDefault="0BFC7469" w:rsidP="442AF692">
            <w:pPr>
              <w:pStyle w:val="CETBodytext"/>
            </w:pPr>
            <w:r>
              <w:t xml:space="preserve">BH1750 </w:t>
            </w:r>
          </w:p>
          <w:p w14:paraId="151821CF" w14:textId="75ACCEB5" w:rsidR="00562FA8" w:rsidRDefault="0BFC7469" w:rsidP="442AF692">
            <w:pPr>
              <w:pStyle w:val="CETBodytext"/>
            </w:pPr>
            <w:r>
              <w:t>PCB Artist</w:t>
            </w:r>
          </w:p>
        </w:tc>
        <w:tc>
          <w:tcPr>
            <w:tcW w:w="1157" w:type="dxa"/>
            <w:tcBorders>
              <w:top w:val="single" w:sz="2" w:space="0" w:color="097010"/>
              <w:left w:val="none" w:sz="12" w:space="0" w:color="097010"/>
              <w:bottom w:val="single" w:sz="12" w:space="0" w:color="097010"/>
              <w:right w:val="none" w:sz="12" w:space="0" w:color="097010"/>
            </w:tcBorders>
            <w:vAlign w:val="center"/>
          </w:tcPr>
          <w:p w14:paraId="54AA6E83" w14:textId="6FFE64DF" w:rsidR="00562FA8" w:rsidRDefault="0BFC7469" w:rsidP="442AF692">
            <w:pPr>
              <w:pStyle w:val="CETBodytext"/>
            </w:pPr>
            <w:r>
              <w:t>CO₂</w:t>
            </w:r>
          </w:p>
          <w:p w14:paraId="4C889077" w14:textId="35FB2B56" w:rsidR="00562FA8" w:rsidRDefault="0BFC7469" w:rsidP="442AF692">
            <w:pPr>
              <w:pStyle w:val="CETBodytext"/>
            </w:pPr>
            <w:r>
              <w:t>Particles</w:t>
            </w:r>
          </w:p>
          <w:p w14:paraId="63AE1FEF" w14:textId="0A2FF3B9" w:rsidR="00562FA8" w:rsidRDefault="0BFC7469" w:rsidP="442AF692">
            <w:pPr>
              <w:pStyle w:val="CETBodytext"/>
            </w:pPr>
            <w:r>
              <w:t>TVOC</w:t>
            </w:r>
          </w:p>
          <w:p w14:paraId="2F411A6C" w14:textId="4F12BBA9" w:rsidR="00562FA8" w:rsidRDefault="0BFC7469" w:rsidP="442AF692">
            <w:pPr>
              <w:pStyle w:val="CETBodytext"/>
            </w:pPr>
            <w:r>
              <w:t>H₂CO</w:t>
            </w:r>
          </w:p>
          <w:p w14:paraId="163BC70C" w14:textId="6FA22AEA" w:rsidR="00562FA8" w:rsidRDefault="0BFC7469" w:rsidP="442AF692">
            <w:pPr>
              <w:pStyle w:val="CETBodytext"/>
            </w:pPr>
            <w:r>
              <w:t>Brightness</w:t>
            </w:r>
          </w:p>
          <w:p w14:paraId="59D5C3AF" w14:textId="69A64FEE" w:rsidR="00562FA8" w:rsidRDefault="0BFC7469" w:rsidP="442AF692">
            <w:pPr>
              <w:pStyle w:val="CETBodytext"/>
            </w:pPr>
            <w:r>
              <w:t>Sound</w:t>
            </w:r>
          </w:p>
        </w:tc>
        <w:tc>
          <w:tcPr>
            <w:tcW w:w="1825" w:type="dxa"/>
            <w:tcBorders>
              <w:top w:val="single" w:sz="2" w:space="0" w:color="097010"/>
              <w:left w:val="none" w:sz="12" w:space="0" w:color="097010"/>
              <w:bottom w:val="single" w:sz="12" w:space="0" w:color="097010"/>
              <w:right w:val="none" w:sz="12" w:space="0" w:color="097010"/>
            </w:tcBorders>
            <w:vAlign w:val="center"/>
          </w:tcPr>
          <w:p w14:paraId="56FF8802" w14:textId="6B88802F" w:rsidR="00562FA8" w:rsidRDefault="0BFC7469" w:rsidP="442AF692">
            <w:pPr>
              <w:pStyle w:val="CETBodytext"/>
            </w:pPr>
            <w:r>
              <w:t>NDIR</w:t>
            </w:r>
          </w:p>
          <w:p w14:paraId="15DF7777" w14:textId="45F396CD" w:rsidR="00562FA8" w:rsidRDefault="0BFC7469" w:rsidP="442AF692">
            <w:pPr>
              <w:pStyle w:val="CETBodytext"/>
            </w:pPr>
            <w:r>
              <w:t>Mie scattering</w:t>
            </w:r>
          </w:p>
          <w:p w14:paraId="7E7401B9" w14:textId="7EBAB001" w:rsidR="00562FA8" w:rsidRDefault="0BFC7469" w:rsidP="442AF692">
            <w:pPr>
              <w:pStyle w:val="CETBodytext"/>
            </w:pPr>
            <w:r>
              <w:t>MOX</w:t>
            </w:r>
          </w:p>
          <w:p w14:paraId="47407049" w14:textId="336F7ADF" w:rsidR="00562FA8" w:rsidRDefault="0BFC7469" w:rsidP="442AF692">
            <w:pPr>
              <w:pStyle w:val="CETBodytext"/>
            </w:pPr>
            <w:r>
              <w:t>Electrochemical</w:t>
            </w:r>
          </w:p>
          <w:p w14:paraId="152BA503" w14:textId="31A25ACB" w:rsidR="00562FA8" w:rsidRDefault="0BFC7469" w:rsidP="442AF692">
            <w:pPr>
              <w:pStyle w:val="CETBodytext"/>
            </w:pPr>
            <w:r>
              <w:t>Photodiode</w:t>
            </w:r>
          </w:p>
          <w:p w14:paraId="78C10755" w14:textId="2BF86786" w:rsidR="00562FA8" w:rsidRDefault="0BFC7469" w:rsidP="442AF692">
            <w:pPr>
              <w:pStyle w:val="CETBodytext"/>
            </w:pPr>
            <w:r>
              <w:t>MEMS microphone</w:t>
            </w:r>
          </w:p>
        </w:tc>
        <w:tc>
          <w:tcPr>
            <w:tcW w:w="1800" w:type="dxa"/>
            <w:tcBorders>
              <w:top w:val="single" w:sz="2" w:space="0" w:color="097010"/>
              <w:left w:val="none" w:sz="12" w:space="0" w:color="097010"/>
              <w:bottom w:val="single" w:sz="12" w:space="0" w:color="097010"/>
              <w:right w:val="none" w:sz="12" w:space="0" w:color="097010"/>
            </w:tcBorders>
            <w:vAlign w:val="center"/>
          </w:tcPr>
          <w:p w14:paraId="000A53E3" w14:textId="22513F18" w:rsidR="00EB17CE" w:rsidRDefault="0BFC7469" w:rsidP="442AF692">
            <w:pPr>
              <w:pStyle w:val="CETBodytext"/>
            </w:pPr>
            <w:r>
              <w:t>400–10</w:t>
            </w:r>
            <w:r w:rsidRPr="442AF692">
              <w:rPr>
                <w:vertAlign w:val="superscript"/>
              </w:rPr>
              <w:t>4</w:t>
            </w:r>
            <w:r>
              <w:t xml:space="preserve"> ppm</w:t>
            </w:r>
          </w:p>
          <w:p w14:paraId="765E0D94" w14:textId="77EB8688" w:rsidR="00EB17CE" w:rsidRDefault="0BFC7469" w:rsidP="442AF692">
            <w:pPr>
              <w:pStyle w:val="CETBodytext"/>
            </w:pPr>
            <w:r>
              <w:t>0.3–10 µm</w:t>
            </w:r>
          </w:p>
          <w:p w14:paraId="0C6ACE7E" w14:textId="60BD8A8A" w:rsidR="00EB17CE" w:rsidRDefault="0BFC7469" w:rsidP="442AF692">
            <w:pPr>
              <w:pStyle w:val="CETBodytext"/>
            </w:pPr>
            <w:r>
              <w:t>0–60 ppm</w:t>
            </w:r>
          </w:p>
          <w:p w14:paraId="7A005EC1" w14:textId="7FF2C853" w:rsidR="00EB17CE" w:rsidRDefault="0BFC7469" w:rsidP="442AF692">
            <w:pPr>
              <w:pStyle w:val="CETBodytext"/>
            </w:pPr>
            <w:r>
              <w:t>0–5 ppm</w:t>
            </w:r>
          </w:p>
          <w:p w14:paraId="39511B53" w14:textId="747444C5" w:rsidR="00EB17CE" w:rsidRDefault="5385F2F2" w:rsidP="442AF692">
            <w:pPr>
              <w:pStyle w:val="CETBodytext"/>
            </w:pPr>
            <w:r>
              <w:t>1–65</w:t>
            </w:r>
            <w:r w:rsidR="058226D8">
              <w:t>,</w:t>
            </w:r>
            <w:r w:rsidR="0072650B">
              <w:t>0</w:t>
            </w:r>
            <w:r w:rsidR="058226D8">
              <w:t>00</w:t>
            </w:r>
            <w:r>
              <w:t xml:space="preserve"> lx</w:t>
            </w:r>
          </w:p>
          <w:p w14:paraId="20434443" w14:textId="136CDCE2" w:rsidR="00EB17CE" w:rsidRDefault="0BFC7469" w:rsidP="442AF692">
            <w:pPr>
              <w:pStyle w:val="CETBodytext"/>
            </w:pPr>
            <w:r>
              <w:t>30–120 dB</w:t>
            </w:r>
          </w:p>
        </w:tc>
        <w:tc>
          <w:tcPr>
            <w:tcW w:w="1065" w:type="dxa"/>
            <w:tcBorders>
              <w:top w:val="single" w:sz="2" w:space="0" w:color="097010"/>
              <w:left w:val="none" w:sz="12" w:space="0" w:color="097010"/>
              <w:bottom w:val="single" w:sz="12" w:space="0" w:color="097010"/>
              <w:right w:val="none" w:sz="12" w:space="0" w:color="097010"/>
            </w:tcBorders>
            <w:vAlign w:val="center"/>
          </w:tcPr>
          <w:p w14:paraId="4C63BE8D" w14:textId="232D88FE" w:rsidR="00562FA8" w:rsidRDefault="3133F206">
            <w:r w:rsidRPr="442AF692">
              <w:rPr>
                <w:lang w:val="en-US"/>
              </w:rPr>
              <w:t>I²C</w:t>
            </w:r>
          </w:p>
          <w:p w14:paraId="5798CCA8" w14:textId="7DA46399" w:rsidR="00562FA8" w:rsidRDefault="3133F206">
            <w:r w:rsidRPr="442AF692">
              <w:rPr>
                <w:lang w:val="en-US"/>
              </w:rPr>
              <w:t>UART</w:t>
            </w:r>
          </w:p>
          <w:p w14:paraId="396DBD34" w14:textId="3D56CD97" w:rsidR="00562FA8" w:rsidRDefault="3133F206">
            <w:r w:rsidRPr="442AF692">
              <w:rPr>
                <w:lang w:val="en-US"/>
              </w:rPr>
              <w:t>I²C</w:t>
            </w:r>
          </w:p>
          <w:p w14:paraId="22BF8B07" w14:textId="51CA6161" w:rsidR="00562FA8" w:rsidRDefault="3133F206">
            <w:r w:rsidRPr="442AF692">
              <w:rPr>
                <w:lang w:val="en-US"/>
              </w:rPr>
              <w:t>I²C</w:t>
            </w:r>
          </w:p>
          <w:p w14:paraId="61D8DBCF" w14:textId="297A1655" w:rsidR="00562FA8" w:rsidRDefault="3133F206">
            <w:r w:rsidRPr="442AF692">
              <w:rPr>
                <w:lang w:val="en-US"/>
              </w:rPr>
              <w:t>I²C</w:t>
            </w:r>
          </w:p>
          <w:p w14:paraId="4F9E85E5" w14:textId="2AE44715" w:rsidR="00562FA8" w:rsidRDefault="3133F206" w:rsidP="442AF692">
            <w:pPr>
              <w:pStyle w:val="CETBodytext"/>
            </w:pPr>
            <w:r w:rsidRPr="442AF692">
              <w:t>Analog</w:t>
            </w:r>
          </w:p>
        </w:tc>
        <w:tc>
          <w:tcPr>
            <w:tcW w:w="1593" w:type="dxa"/>
            <w:tcBorders>
              <w:top w:val="single" w:sz="2" w:space="0" w:color="097010"/>
              <w:left w:val="none" w:sz="12" w:space="0" w:color="097010"/>
              <w:bottom w:val="single" w:sz="12" w:space="0" w:color="097010"/>
              <w:right w:val="none" w:sz="12" w:space="0" w:color="097010"/>
            </w:tcBorders>
            <w:vAlign w:val="center"/>
          </w:tcPr>
          <w:p w14:paraId="710D5F83" w14:textId="2A4DB3A2" w:rsidR="00562FA8" w:rsidRDefault="3133F206">
            <w:r w:rsidRPr="442AF692">
              <w:rPr>
                <w:lang w:val="en-US"/>
              </w:rPr>
              <w:t>±30 ppm ±3%</w:t>
            </w:r>
          </w:p>
          <w:p w14:paraId="4615E3D6" w14:textId="067AD5E6" w:rsidR="00562FA8" w:rsidRDefault="0028778B">
            <w:r>
              <w:rPr>
                <w:lang w:val="en-US"/>
              </w:rPr>
              <w:t>75%</w:t>
            </w:r>
          </w:p>
          <w:p w14:paraId="2BBD892B" w14:textId="430480A3" w:rsidR="00562FA8" w:rsidRDefault="3133F206">
            <w:r w:rsidRPr="442AF692">
              <w:rPr>
                <w:lang w:val="en-US"/>
              </w:rPr>
              <w:t>±15%</w:t>
            </w:r>
          </w:p>
          <w:p w14:paraId="37660DAC" w14:textId="2D087C34" w:rsidR="00562FA8" w:rsidRDefault="3133F206">
            <w:r w:rsidRPr="442AF692">
              <w:rPr>
                <w:lang w:val="en-US"/>
              </w:rPr>
              <w:t>±10%</w:t>
            </w:r>
          </w:p>
          <w:p w14:paraId="4B9FFBCB" w14:textId="6B30B1D0" w:rsidR="00562FA8" w:rsidRDefault="3133F206">
            <w:r w:rsidRPr="442AF692">
              <w:rPr>
                <w:lang w:val="en-US"/>
              </w:rPr>
              <w:t>±20%</w:t>
            </w:r>
          </w:p>
          <w:p w14:paraId="0F838DF1" w14:textId="56937841" w:rsidR="00562FA8" w:rsidRDefault="3133F206" w:rsidP="442AF692">
            <w:pPr>
              <w:pStyle w:val="CETBodytext"/>
              <w:jc w:val="left"/>
            </w:pPr>
            <w:r w:rsidRPr="442AF692">
              <w:t>±3 dB</w:t>
            </w:r>
          </w:p>
        </w:tc>
      </w:tr>
    </w:tbl>
    <w:p w14:paraId="5044464C" w14:textId="018C7D51" w:rsidR="4599A0BA" w:rsidRDefault="4599A0BA" w:rsidP="442AF692">
      <w:pPr>
        <w:pStyle w:val="CETheadingx"/>
      </w:pPr>
      <w:r w:rsidRPr="442AF692">
        <w:t>Other components</w:t>
      </w:r>
    </w:p>
    <w:p w14:paraId="726832DC" w14:textId="4E30C9F4" w:rsidR="23DCB0F5" w:rsidRDefault="23DCB0F5" w:rsidP="442AF692">
      <w:pPr>
        <w:pStyle w:val="CETBodytext"/>
      </w:pPr>
      <w:r w:rsidRPr="40C64767">
        <w:t xml:space="preserve">Table 2 summarizes the main electronic components used for system integration, data </w:t>
      </w:r>
      <w:r w:rsidR="49CB58CF" w:rsidRPr="40C64767">
        <w:t>acquisition,</w:t>
      </w:r>
      <w:r w:rsidRPr="40C64767">
        <w:t xml:space="preserve"> and communication within the portable multi-detector. </w:t>
      </w:r>
    </w:p>
    <w:p w14:paraId="772F9EB6" w14:textId="75C1438B" w:rsidR="23DCB0F5" w:rsidRDefault="23DCB0F5" w:rsidP="442AF692">
      <w:pPr>
        <w:pStyle w:val="CETBodytext"/>
      </w:pPr>
      <w:r>
        <w:t xml:space="preserve">The electronic system is implemented on a custom-designed printed circuit board developed using </w:t>
      </w:r>
      <w:proofErr w:type="spellStart"/>
      <w:r>
        <w:t>KiCad</w:t>
      </w:r>
      <w:proofErr w:type="spellEnd"/>
      <w:r>
        <w:t xml:space="preserve"> software. The PCB was fabricated and assembled in </w:t>
      </w:r>
      <w:r w:rsidR="0075344B">
        <w:t>our</w:t>
      </w:r>
      <w:r>
        <w:t xml:space="preserve"> laboratory workshop, where all components listed in Table 2 were soldered and integrated into a compact architecture. This approach ensures reliable electrical connections and facilitates the deployment of the device in real classroom environments.</w:t>
      </w:r>
    </w:p>
    <w:p w14:paraId="54D1CB4E" w14:textId="792442E2" w:rsidR="442AF692" w:rsidRDefault="23DCB0F5" w:rsidP="40C64767">
      <w:pPr>
        <w:pStyle w:val="CETBodytext"/>
      </w:pPr>
      <w:r w:rsidRPr="40C64767">
        <w:lastRenderedPageBreak/>
        <w:t xml:space="preserve">The embedded system is programmed using the Arduino development environment, which is also used for the configuration and testing of the ESP32 microcontroller. This platform enables the implementation of data acquisition routines, sensor communication </w:t>
      </w:r>
      <w:r w:rsidR="1D5A0DA1" w:rsidRPr="40C64767">
        <w:t>protocols,</w:t>
      </w:r>
      <w:r w:rsidRPr="40C64767">
        <w:t xml:space="preserve"> and data transmission functions. </w:t>
      </w:r>
    </w:p>
    <w:p w14:paraId="66B0653A" w14:textId="494B3D5A" w:rsidR="442AF692" w:rsidRDefault="1E99C169" w:rsidP="40C64767">
      <w:pPr>
        <w:pStyle w:val="CETTabletitle"/>
        <w:rPr>
          <w:lang w:val="en-US"/>
        </w:rPr>
      </w:pPr>
      <w:r w:rsidRPr="40C64767">
        <w:rPr>
          <w:lang w:val="en-US"/>
        </w:rPr>
        <w:t>Table 2: Main electronic components used for the multi-detector system</w:t>
      </w:r>
    </w:p>
    <w:tbl>
      <w:tblPr>
        <w:tblW w:w="0" w:type="auto"/>
        <w:tblBorders>
          <w:bottom w:val="single" w:sz="2" w:space="0" w:color="000000" w:themeColor="text1"/>
        </w:tblBorders>
        <w:tblLook w:val="06A0" w:firstRow="1" w:lastRow="0" w:firstColumn="1" w:lastColumn="0" w:noHBand="1" w:noVBand="1"/>
      </w:tblPr>
      <w:tblGrid>
        <w:gridCol w:w="2034"/>
        <w:gridCol w:w="1947"/>
        <w:gridCol w:w="1523"/>
        <w:gridCol w:w="3283"/>
      </w:tblGrid>
      <w:tr w:rsidR="442AF692" w14:paraId="6D116015" w14:textId="77777777" w:rsidTr="0075344B">
        <w:trPr>
          <w:trHeight w:val="300"/>
        </w:trPr>
        <w:tc>
          <w:tcPr>
            <w:tcW w:w="2034" w:type="dxa"/>
            <w:tcBorders>
              <w:top w:val="single" w:sz="12" w:space="0" w:color="0B7306"/>
              <w:left w:val="none" w:sz="12" w:space="0" w:color="0B7306"/>
              <w:bottom w:val="single" w:sz="2" w:space="0" w:color="097010"/>
              <w:right w:val="none" w:sz="12" w:space="0" w:color="0B7306"/>
            </w:tcBorders>
            <w:vAlign w:val="center"/>
          </w:tcPr>
          <w:p w14:paraId="3A4F0245" w14:textId="1CE37362" w:rsidR="442AF692" w:rsidRDefault="442AF692" w:rsidP="442AF692">
            <w:pPr>
              <w:pStyle w:val="CETBodytext"/>
              <w:rPr>
                <w:b/>
                <w:bCs/>
                <w:szCs w:val="18"/>
              </w:rPr>
            </w:pPr>
            <w:r>
              <w:t>Component</w:t>
            </w:r>
          </w:p>
        </w:tc>
        <w:tc>
          <w:tcPr>
            <w:tcW w:w="1947" w:type="dxa"/>
            <w:tcBorders>
              <w:top w:val="single" w:sz="12" w:space="0" w:color="0B7306"/>
              <w:left w:val="none" w:sz="12" w:space="0" w:color="0B7306"/>
              <w:bottom w:val="single" w:sz="2" w:space="0" w:color="097010"/>
              <w:right w:val="none" w:sz="12" w:space="0" w:color="0B7306"/>
            </w:tcBorders>
            <w:vAlign w:val="center"/>
          </w:tcPr>
          <w:p w14:paraId="5CC9FBB0" w14:textId="381430E9" w:rsidR="442AF692" w:rsidRDefault="442AF692" w:rsidP="442AF692">
            <w:pPr>
              <w:pStyle w:val="CETBodytext"/>
              <w:rPr>
                <w:b/>
                <w:bCs/>
                <w:szCs w:val="18"/>
              </w:rPr>
            </w:pPr>
            <w:r>
              <w:t>Technology / Type</w:t>
            </w:r>
          </w:p>
        </w:tc>
        <w:tc>
          <w:tcPr>
            <w:tcW w:w="1523" w:type="dxa"/>
            <w:tcBorders>
              <w:top w:val="single" w:sz="12" w:space="0" w:color="0B7306"/>
              <w:left w:val="none" w:sz="12" w:space="0" w:color="0B7306"/>
              <w:bottom w:val="single" w:sz="2" w:space="0" w:color="097010"/>
              <w:right w:val="none" w:sz="12" w:space="0" w:color="0B7306"/>
            </w:tcBorders>
            <w:vAlign w:val="center"/>
          </w:tcPr>
          <w:p w14:paraId="667A061E" w14:textId="0A9CC0F3" w:rsidR="442AF692" w:rsidRDefault="442AF692" w:rsidP="442AF692">
            <w:pPr>
              <w:pStyle w:val="CETBodytext"/>
              <w:rPr>
                <w:b/>
                <w:bCs/>
                <w:szCs w:val="18"/>
              </w:rPr>
            </w:pPr>
            <w:r>
              <w:t>Interfac</w:t>
            </w:r>
            <w:r w:rsidR="2B8A62B6">
              <w:t>e</w:t>
            </w:r>
          </w:p>
        </w:tc>
        <w:tc>
          <w:tcPr>
            <w:tcW w:w="3283" w:type="dxa"/>
            <w:tcBorders>
              <w:top w:val="single" w:sz="12" w:space="0" w:color="0B7306"/>
              <w:left w:val="none" w:sz="12" w:space="0" w:color="0B7306"/>
              <w:bottom w:val="single" w:sz="2" w:space="0" w:color="097010"/>
              <w:right w:val="none" w:sz="12" w:space="0" w:color="0B7306"/>
            </w:tcBorders>
            <w:vAlign w:val="center"/>
          </w:tcPr>
          <w:p w14:paraId="730E5D05" w14:textId="4F4A164E" w:rsidR="442AF692" w:rsidRDefault="442AF692" w:rsidP="442AF692">
            <w:pPr>
              <w:pStyle w:val="CETBodytext"/>
              <w:rPr>
                <w:b/>
                <w:bCs/>
                <w:szCs w:val="18"/>
              </w:rPr>
            </w:pPr>
            <w:r>
              <w:t>Role in system</w:t>
            </w:r>
          </w:p>
        </w:tc>
      </w:tr>
      <w:tr w:rsidR="0075344B" w14:paraId="6604B8F9" w14:textId="77777777" w:rsidTr="0075344B">
        <w:trPr>
          <w:trHeight w:val="300"/>
        </w:trPr>
        <w:tc>
          <w:tcPr>
            <w:tcW w:w="2034" w:type="dxa"/>
            <w:tcBorders>
              <w:top w:val="single" w:sz="2" w:space="0" w:color="097010"/>
              <w:left w:val="none" w:sz="12" w:space="0" w:color="0B7306"/>
              <w:bottom w:val="single" w:sz="12" w:space="0" w:color="097010"/>
              <w:right w:val="none" w:sz="12" w:space="0" w:color="0B7306"/>
            </w:tcBorders>
            <w:vAlign w:val="center"/>
          </w:tcPr>
          <w:p w14:paraId="74B3C3A2" w14:textId="11056D46" w:rsidR="0075344B" w:rsidRDefault="0075344B" w:rsidP="0075344B">
            <w:pPr>
              <w:pStyle w:val="CETBodytext"/>
              <w:jc w:val="left"/>
            </w:pPr>
            <w:r w:rsidRPr="442AF692">
              <w:rPr>
                <w:szCs w:val="18"/>
              </w:rPr>
              <w:t>Arduino µcontroller</w:t>
            </w:r>
            <w:r>
              <w:br/>
            </w:r>
            <w:r w:rsidRPr="442AF692">
              <w:rPr>
                <w:szCs w:val="18"/>
              </w:rPr>
              <w:t>W5500 Ethernet</w:t>
            </w:r>
            <w:r>
              <w:br/>
            </w:r>
            <w:r w:rsidRPr="442AF692">
              <w:rPr>
                <w:szCs w:val="18"/>
              </w:rPr>
              <w:t>MB102 Power supply</w:t>
            </w:r>
            <w:r>
              <w:br/>
            </w:r>
            <w:r w:rsidRPr="442AF692">
              <w:rPr>
                <w:szCs w:val="18"/>
              </w:rPr>
              <w:t>µSD Data storage</w:t>
            </w:r>
            <w:r>
              <w:br/>
            </w:r>
            <w:r w:rsidRPr="442AF692">
              <w:rPr>
                <w:szCs w:val="18"/>
              </w:rPr>
              <w:t>RTC Timer</w:t>
            </w:r>
            <w:r>
              <w:br/>
            </w:r>
            <w:r w:rsidRPr="442AF692">
              <w:rPr>
                <w:szCs w:val="18"/>
              </w:rPr>
              <w:t>PCB</w:t>
            </w:r>
          </w:p>
        </w:tc>
        <w:tc>
          <w:tcPr>
            <w:tcW w:w="1947" w:type="dxa"/>
            <w:tcBorders>
              <w:top w:val="single" w:sz="2" w:space="0" w:color="097010"/>
              <w:left w:val="none" w:sz="12" w:space="0" w:color="0B7306"/>
              <w:bottom w:val="single" w:sz="12" w:space="0" w:color="097010"/>
              <w:right w:val="none" w:sz="12" w:space="0" w:color="0B7306"/>
            </w:tcBorders>
            <w:vAlign w:val="center"/>
          </w:tcPr>
          <w:p w14:paraId="0519F427" w14:textId="224E31B5" w:rsidR="0075344B" w:rsidRDefault="0075344B" w:rsidP="0075344B">
            <w:r w:rsidRPr="442AF692">
              <w:rPr>
                <w:lang w:val="en-US"/>
              </w:rPr>
              <w:t>Dual-core MCU</w:t>
            </w:r>
          </w:p>
          <w:p w14:paraId="7F8E272E" w14:textId="517E2516" w:rsidR="0075344B" w:rsidRDefault="0075344B" w:rsidP="0075344B">
            <w:r w:rsidRPr="442AF692">
              <w:rPr>
                <w:lang w:val="en-US"/>
              </w:rPr>
              <w:t>Ethernet controller</w:t>
            </w:r>
          </w:p>
          <w:p w14:paraId="73759BE9" w14:textId="27BA88CD" w:rsidR="0075344B" w:rsidRDefault="0075344B" w:rsidP="0075344B">
            <w:r w:rsidRPr="442AF692">
              <w:rPr>
                <w:lang w:val="en-US"/>
              </w:rPr>
              <w:t>5 V / 3.3 V</w:t>
            </w:r>
          </w:p>
          <w:p w14:paraId="59CFB246" w14:textId="0A312E19" w:rsidR="0075344B" w:rsidRDefault="0075344B" w:rsidP="0075344B">
            <w:r w:rsidRPr="442AF692">
              <w:rPr>
                <w:lang w:val="en-US"/>
              </w:rPr>
              <w:t>Removable disk 1GB</w:t>
            </w:r>
          </w:p>
          <w:p w14:paraId="155D9C79" w14:textId="194A482E" w:rsidR="0075344B" w:rsidRDefault="0075344B" w:rsidP="0075344B">
            <w:r w:rsidRPr="442AF692">
              <w:rPr>
                <w:lang w:val="en-US"/>
              </w:rPr>
              <w:t>Real-time clock</w:t>
            </w:r>
          </w:p>
          <w:p w14:paraId="23CD4CEE" w14:textId="4C3CAD5F" w:rsidR="0075344B" w:rsidRDefault="0075344B" w:rsidP="0075344B">
            <w:pPr>
              <w:pStyle w:val="CETBodytext"/>
              <w:rPr>
                <w:szCs w:val="18"/>
              </w:rPr>
            </w:pPr>
            <w:r w:rsidRPr="442AF692">
              <w:t>Printed circuit board</w:t>
            </w:r>
            <w:r w:rsidRPr="442AF692">
              <w:rPr>
                <w:szCs w:val="18"/>
              </w:rPr>
              <w:t xml:space="preserve"> </w:t>
            </w:r>
          </w:p>
        </w:tc>
        <w:tc>
          <w:tcPr>
            <w:tcW w:w="1523" w:type="dxa"/>
            <w:tcBorders>
              <w:top w:val="single" w:sz="2" w:space="0" w:color="097010"/>
              <w:left w:val="none" w:sz="12" w:space="0" w:color="0B7306"/>
              <w:bottom w:val="single" w:sz="12" w:space="0" w:color="097010"/>
              <w:right w:val="none" w:sz="12" w:space="0" w:color="0B7306"/>
            </w:tcBorders>
            <w:vAlign w:val="center"/>
          </w:tcPr>
          <w:p w14:paraId="5D4E066E" w14:textId="00D9608B" w:rsidR="0075344B" w:rsidRDefault="0075344B" w:rsidP="0075344B">
            <w:r w:rsidRPr="442AF692">
              <w:rPr>
                <w:lang w:val="en-US"/>
              </w:rPr>
              <w:t>UART–SPI–I²C</w:t>
            </w:r>
          </w:p>
          <w:p w14:paraId="6C736274" w14:textId="02E9C097" w:rsidR="0075344B" w:rsidRDefault="0075344B" w:rsidP="0075344B">
            <w:r w:rsidRPr="442AF692">
              <w:rPr>
                <w:lang w:val="en-US"/>
              </w:rPr>
              <w:t>SPI</w:t>
            </w:r>
          </w:p>
          <w:p w14:paraId="6E22E9C2" w14:textId="71805E73" w:rsidR="0075344B" w:rsidRDefault="0075344B" w:rsidP="0075344B">
            <w:r w:rsidRPr="442AF692">
              <w:rPr>
                <w:lang w:val="en-US"/>
              </w:rPr>
              <w:t>-</w:t>
            </w:r>
          </w:p>
          <w:p w14:paraId="1E2DFEDA" w14:textId="4A88A485" w:rsidR="0075344B" w:rsidRDefault="0075344B" w:rsidP="0075344B">
            <w:r w:rsidRPr="442AF692">
              <w:rPr>
                <w:lang w:val="en-US"/>
              </w:rPr>
              <w:t>SPI</w:t>
            </w:r>
          </w:p>
          <w:p w14:paraId="180D4D39" w14:textId="191E49A9" w:rsidR="0075344B" w:rsidRDefault="0075344B" w:rsidP="0075344B">
            <w:r w:rsidRPr="442AF692">
              <w:rPr>
                <w:lang w:val="en-US"/>
              </w:rPr>
              <w:t>I²C</w:t>
            </w:r>
          </w:p>
          <w:p w14:paraId="246C2C57" w14:textId="2FE4FB79" w:rsidR="0075344B" w:rsidRDefault="0075344B" w:rsidP="0075344B">
            <w:pPr>
              <w:pStyle w:val="CETBodytext"/>
            </w:pPr>
            <w:r w:rsidRPr="442AF692">
              <w:t>-</w:t>
            </w:r>
          </w:p>
        </w:tc>
        <w:tc>
          <w:tcPr>
            <w:tcW w:w="3283" w:type="dxa"/>
            <w:tcBorders>
              <w:top w:val="single" w:sz="2" w:space="0" w:color="097010"/>
              <w:left w:val="none" w:sz="12" w:space="0" w:color="0B7306"/>
              <w:bottom w:val="single" w:sz="12" w:space="0" w:color="097010"/>
              <w:right w:val="none" w:sz="12" w:space="0" w:color="0B7306"/>
            </w:tcBorders>
            <w:vAlign w:val="center"/>
          </w:tcPr>
          <w:p w14:paraId="7AC83F99" w14:textId="563862EC" w:rsidR="0075344B" w:rsidRDefault="0075344B" w:rsidP="0075344B">
            <w:r w:rsidRPr="442AF692">
              <w:rPr>
                <w:lang w:val="en-US"/>
              </w:rPr>
              <w:t>Data processing and communication</w:t>
            </w:r>
          </w:p>
          <w:p w14:paraId="1F7DE87F" w14:textId="5BDDBB71" w:rsidR="0075344B" w:rsidRDefault="0075344B" w:rsidP="0075344B">
            <w:r w:rsidRPr="442AF692">
              <w:rPr>
                <w:lang w:val="en-US"/>
              </w:rPr>
              <w:t>Data transmission</w:t>
            </w:r>
          </w:p>
          <w:p w14:paraId="27334ADB" w14:textId="1BA43C78" w:rsidR="0075344B" w:rsidRDefault="0075344B" w:rsidP="0075344B">
            <w:r w:rsidRPr="442AF692">
              <w:rPr>
                <w:lang w:val="en-US"/>
              </w:rPr>
              <w:t>System powering</w:t>
            </w:r>
          </w:p>
          <w:p w14:paraId="2DA3E01D" w14:textId="47233BA6" w:rsidR="0075344B" w:rsidRDefault="0075344B" w:rsidP="0075344B">
            <w:r w:rsidRPr="442AF692">
              <w:rPr>
                <w:lang w:val="en-US"/>
              </w:rPr>
              <w:t>Local data backup and redundancy</w:t>
            </w:r>
          </w:p>
          <w:p w14:paraId="4F1BBAFA" w14:textId="75C413AA" w:rsidR="0075344B" w:rsidRDefault="0075344B" w:rsidP="0075344B">
            <w:r w:rsidRPr="442AF692">
              <w:rPr>
                <w:lang w:val="en-US"/>
              </w:rPr>
              <w:t>Timestamping of measurements</w:t>
            </w:r>
          </w:p>
          <w:p w14:paraId="56D6A2DC" w14:textId="10001857" w:rsidR="0075344B" w:rsidRDefault="0075344B" w:rsidP="0075344B">
            <w:pPr>
              <w:pStyle w:val="CETBodytext"/>
            </w:pPr>
            <w:r w:rsidRPr="442AF692">
              <w:t>Electrical integration of all components</w:t>
            </w:r>
          </w:p>
        </w:tc>
      </w:tr>
    </w:tbl>
    <w:p w14:paraId="3BCF055B" w14:textId="17A8202B" w:rsidR="2B590966" w:rsidRDefault="2B590966" w:rsidP="442AF692">
      <w:pPr>
        <w:pStyle w:val="CETheadingx"/>
      </w:pPr>
      <w:r w:rsidRPr="442AF692">
        <w:t>Data acquisition &amp; transmission</w:t>
      </w:r>
    </w:p>
    <w:p w14:paraId="60363AE5" w14:textId="59DA487B" w:rsidR="1E168270" w:rsidRDefault="25B1B1B8" w:rsidP="442AF692">
      <w:pPr>
        <w:pStyle w:val="CETBodytext"/>
      </w:pPr>
      <w:r>
        <w:rPr>
          <w:noProof/>
        </w:rPr>
        <w:drawing>
          <wp:inline distT="0" distB="0" distL="0" distR="0" wp14:anchorId="44F92B71" wp14:editId="18D32B98">
            <wp:extent cx="2129855" cy="2243307"/>
            <wp:effectExtent l="9525" t="9525" r="9525" b="9525"/>
            <wp:docPr id="5696250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754673" name="Picture 2044754673"/>
                    <pic:cNvPicPr/>
                  </pic:nvPicPr>
                  <pic:blipFill>
                    <a:blip r:embed="rId13">
                      <a:extLst>
                        <a:ext uri="{28A0092B-C50C-407E-A947-70E740481C1C}">
                          <a14:useLocalDpi xmlns:a14="http://schemas.microsoft.com/office/drawing/2010/main"/>
                        </a:ext>
                      </a:extLst>
                    </a:blip>
                    <a:stretch>
                      <a:fillRect/>
                    </a:stretch>
                  </pic:blipFill>
                  <pic:spPr>
                    <a:xfrm>
                      <a:off x="0" y="0"/>
                      <a:ext cx="2129855" cy="2243307"/>
                    </a:xfrm>
                    <a:prstGeom prst="rect">
                      <a:avLst/>
                    </a:prstGeom>
                    <a:ln w="9525">
                      <a:solidFill>
                        <a:srgbClr val="076921"/>
                      </a:solidFill>
                      <a:prstDash val="solid"/>
                    </a:ln>
                  </pic:spPr>
                </pic:pic>
              </a:graphicData>
            </a:graphic>
          </wp:inline>
        </w:drawing>
      </w:r>
      <w:r w:rsidR="730DCC11">
        <w:t xml:space="preserve">         </w:t>
      </w:r>
      <w:r w:rsidR="49F5A073">
        <w:rPr>
          <w:noProof/>
        </w:rPr>
        <w:drawing>
          <wp:inline distT="0" distB="0" distL="0" distR="0" wp14:anchorId="10D84E1D" wp14:editId="59F5EFA3">
            <wp:extent cx="3094994" cy="2276493"/>
            <wp:effectExtent l="9525" t="9525" r="9525" b="9525"/>
            <wp:docPr id="14539268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26886" name="Picture 1453926886"/>
                    <pic:cNvPicPr/>
                  </pic:nvPicPr>
                  <pic:blipFill>
                    <a:blip r:embed="rId14">
                      <a:extLst>
                        <a:ext uri="{28A0092B-C50C-407E-A947-70E740481C1C}">
                          <a14:useLocalDpi xmlns:a14="http://schemas.microsoft.com/office/drawing/2010/main"/>
                        </a:ext>
                      </a:extLst>
                    </a:blip>
                    <a:stretch>
                      <a:fillRect/>
                    </a:stretch>
                  </pic:blipFill>
                  <pic:spPr>
                    <a:xfrm>
                      <a:off x="0" y="0"/>
                      <a:ext cx="3094994" cy="2276493"/>
                    </a:xfrm>
                    <a:prstGeom prst="rect">
                      <a:avLst/>
                    </a:prstGeom>
                    <a:ln w="9525">
                      <a:solidFill>
                        <a:srgbClr val="076921"/>
                      </a:solidFill>
                      <a:prstDash val="solid"/>
                    </a:ln>
                  </pic:spPr>
                </pic:pic>
              </a:graphicData>
            </a:graphic>
          </wp:inline>
        </w:drawing>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3756"/>
        <w:gridCol w:w="5019"/>
      </w:tblGrid>
      <w:tr w:rsidR="442AF692" w14:paraId="452598AB" w14:textId="77777777" w:rsidTr="442AF692">
        <w:trPr>
          <w:trHeight w:val="300"/>
        </w:trPr>
        <w:tc>
          <w:tcPr>
            <w:tcW w:w="3756" w:type="dxa"/>
          </w:tcPr>
          <w:p w14:paraId="10EEF47B" w14:textId="73CAD960" w:rsidR="03D2D016" w:rsidRDefault="03D2D016" w:rsidP="442AF692">
            <w:pPr>
              <w:pStyle w:val="CETBodytext"/>
              <w:rPr>
                <w:highlight w:val="yellow"/>
              </w:rPr>
            </w:pPr>
            <w:r w:rsidRPr="442AF692">
              <w:rPr>
                <w:rStyle w:val="CETCaptionCarattere"/>
              </w:rPr>
              <w:t>Figure 1.a: Portable multi-detector prototype (COFRA V2.0) integrating gas sensors, environmental sensors and communication modules on a custom-designed PCB.</w:t>
            </w:r>
          </w:p>
        </w:tc>
        <w:tc>
          <w:tcPr>
            <w:tcW w:w="5019" w:type="dxa"/>
          </w:tcPr>
          <w:p w14:paraId="1C3970C7" w14:textId="6E50E550" w:rsidR="03D2D016" w:rsidRDefault="03D2D016" w:rsidP="442AF692">
            <w:pPr>
              <w:pStyle w:val="CETBodytext"/>
            </w:pPr>
            <w:r w:rsidRPr="442AF692">
              <w:rPr>
                <w:rStyle w:val="CETCaptionCarattere"/>
                <w:lang w:val="en-US"/>
              </w:rPr>
              <w:t>Figure 1.b: Data acquisition and transmission architecture of the multi-detector system, including sensor interfacing, embedded processing, wireless communication, and cloud-based data storage</w:t>
            </w:r>
            <w:r w:rsidRPr="442AF692">
              <w:t>.</w:t>
            </w:r>
          </w:p>
        </w:tc>
      </w:tr>
    </w:tbl>
    <w:p w14:paraId="0C09B82C" w14:textId="7EE84850" w:rsidR="442AF692" w:rsidRDefault="442AF692" w:rsidP="442AF692">
      <w:pPr>
        <w:pStyle w:val="CETBodytext"/>
        <w:rPr>
          <w:highlight w:val="yellow"/>
        </w:rPr>
      </w:pPr>
    </w:p>
    <w:p w14:paraId="0DCAC8FD" w14:textId="5119CACC" w:rsidR="00C86777" w:rsidRDefault="4D5D01F5" w:rsidP="40C64767">
      <w:pPr>
        <w:pStyle w:val="CETBodytext"/>
      </w:pPr>
      <w:r>
        <w:t xml:space="preserve">Measurements are collected at a temporal resolution of one sample per minute, </w:t>
      </w:r>
      <w:r w:rsidR="0075344B">
        <w:t>with the loop delay</w:t>
      </w:r>
      <w:r>
        <w:t xml:space="preserve"> controlled by the Arduino microcontroller, enabling the detection of short-term variations and transient pollutant peaks. The embedded ESP32 microcontroller collects data from the wired sensors via I2C and UART communication protocols and can also interface with external devices such as the Aranet4 Home through Bluetooth connectivity. This configuration allows for comparison of carbon dioxide measurements obtained from the </w:t>
      </w:r>
      <w:proofErr w:type="spellStart"/>
      <w:r>
        <w:t>Senseair</w:t>
      </w:r>
      <w:proofErr w:type="spellEnd"/>
      <w:r>
        <w:t xml:space="preserve"> Sunrise sensor with those provided by the Aranet4 Home reference device. The system is programmed in C++ using the Arduino development environment. Several libraries are required to ensure communication with the sensors and external services, including </w:t>
      </w:r>
      <w:proofErr w:type="spellStart"/>
      <w:r>
        <w:t>WiFi.h</w:t>
      </w:r>
      <w:proofErr w:type="spellEnd"/>
      <w:r>
        <w:t xml:space="preserve">, </w:t>
      </w:r>
      <w:proofErr w:type="spellStart"/>
      <w:r>
        <w:t>Ethernet.h</w:t>
      </w:r>
      <w:proofErr w:type="spellEnd"/>
      <w:r>
        <w:t xml:space="preserve">, </w:t>
      </w:r>
      <w:proofErr w:type="spellStart"/>
      <w:r>
        <w:t>Wire.h</w:t>
      </w:r>
      <w:proofErr w:type="spellEnd"/>
      <w:r>
        <w:t xml:space="preserve">, </w:t>
      </w:r>
      <w:proofErr w:type="spellStart"/>
      <w:r>
        <w:t>SPI.h</w:t>
      </w:r>
      <w:proofErr w:type="spellEnd"/>
      <w:r>
        <w:t xml:space="preserve"> and other dedicated sensor libraries. </w:t>
      </w:r>
    </w:p>
    <w:p w14:paraId="11EC10CB" w14:textId="07C138F1" w:rsidR="4D5D01F5" w:rsidRDefault="4D5D01F5" w:rsidP="40C64767">
      <w:pPr>
        <w:pStyle w:val="CETBodytext"/>
      </w:pPr>
      <w:r>
        <w:t xml:space="preserve">The acquired data are formatted as structured HTTP requests (e.g. JSON format) and transmitted using a webhook-based communication system towards a cloud platform. In this configuration, the ESP32 sends data via Wi-Fi or Ethernet to a Google Sheets interface acting as a central data storage and organization tool. Alternative transmission </w:t>
      </w:r>
      <w:r w:rsidR="7437E4E9">
        <w:t>approach</w:t>
      </w:r>
      <w:r>
        <w:t xml:space="preserve"> based on an API-driven platform “Firebase” and keeping </w:t>
      </w:r>
      <w:r w:rsidR="55F15D06">
        <w:t>Google Sheets as a final receiving point</w:t>
      </w:r>
      <w:r>
        <w:t xml:space="preserve"> was also tested. However, this approach introduced synchronization issues between successive requests, leading </w:t>
      </w:r>
      <w:r w:rsidR="009251DA">
        <w:t xml:space="preserve">sometimes </w:t>
      </w:r>
      <w:r w:rsidR="0075344B">
        <w:t xml:space="preserve">both </w:t>
      </w:r>
      <w:r w:rsidR="00711154">
        <w:t xml:space="preserve">to </w:t>
      </w:r>
      <w:r w:rsidR="00C95A08">
        <w:t>data losses and/or</w:t>
      </w:r>
      <w:r>
        <w:t xml:space="preserve"> duplicated data entries. In contrast, the webhook-based transmission provided a more stable and consistent data flow, making it better suited for continuous acquisition at minute resolution in this application.</w:t>
      </w:r>
    </w:p>
    <w:p w14:paraId="06D0D201" w14:textId="17C38D03" w:rsidR="6F6117F2" w:rsidRDefault="6F6117F2" w:rsidP="442AF692">
      <w:pPr>
        <w:pStyle w:val="CETBodytext"/>
      </w:pPr>
      <w:r w:rsidRPr="442AF692">
        <w:t xml:space="preserve">Google Sheets is configured to receive incoming data through webhooks and </w:t>
      </w:r>
      <w:r w:rsidR="13AABD49" w:rsidRPr="442AF692">
        <w:t>APIs and</w:t>
      </w:r>
      <w:r w:rsidRPr="442AF692">
        <w:t xml:space="preserve"> is programmed using triggers and Google Apps Script (JavaScript-based functions) to automate data organization, formatting and storage. It is also used to retrieve and integrate data from other commercial sensor platforms deployed during the measurement campaign through their respective web applications and APIs. This platform can therefore act both as a central storage system and as an intermediate processing layer, enabling the generation of alerts and the transmission of information to external services such as email notifications or monitoring applications.</w:t>
      </w:r>
    </w:p>
    <w:p w14:paraId="758535FE" w14:textId="30CEA2B8" w:rsidR="6F6117F2" w:rsidRDefault="6F6117F2" w:rsidP="442AF692">
      <w:pPr>
        <w:pStyle w:val="CETBodytext"/>
      </w:pPr>
      <w:r w:rsidRPr="442AF692">
        <w:lastRenderedPageBreak/>
        <w:t>This architecture enables flexible data management, interoperability between heterogeneous sensing systems and real-time data accessibility, while providing a user interface for visualization and post-processing using spreadsheet tools or dedicated data analysis environments.</w:t>
      </w:r>
    </w:p>
    <w:p w14:paraId="5AC541E0" w14:textId="5EB343F6" w:rsidR="5160BE87" w:rsidRDefault="5160BE87" w:rsidP="442AF692">
      <w:pPr>
        <w:pStyle w:val="CETheadingx"/>
      </w:pPr>
      <w:r w:rsidRPr="40C64767">
        <w:t>Deployment conditions and measurement overview</w:t>
      </w:r>
    </w:p>
    <w:p w14:paraId="0C91F3D4" w14:textId="3AE31E56" w:rsidR="25C262FC" w:rsidRDefault="25C262FC" w:rsidP="40C64767">
      <w:pPr>
        <w:pStyle w:val="CETBodytext"/>
      </w:pPr>
      <w:r w:rsidRPr="40C64767">
        <w:rPr>
          <w:rStyle w:val="CETBodytextCarattere"/>
        </w:rPr>
        <w:t xml:space="preserve">The multi-detector system was deployed in several </w:t>
      </w:r>
      <w:r w:rsidR="001B040D">
        <w:rPr>
          <w:rStyle w:val="CETBodytextCarattere"/>
        </w:rPr>
        <w:t xml:space="preserve">elementary </w:t>
      </w:r>
      <w:r w:rsidRPr="40C64767">
        <w:rPr>
          <w:rStyle w:val="CETBodytextCarattere"/>
        </w:rPr>
        <w:t>school environments during a measurement campaign conducted between 2 February and 24 March 2026, corresponding to six consecutive weeks of monitoring. Measurements were carried out in fourteen classrooms from five schools located in the Ille-et-Vilaine department (</w:t>
      </w:r>
      <w:r w:rsidR="28CE715E" w:rsidRPr="40C64767">
        <w:rPr>
          <w:rStyle w:val="CETBodytextCarattere"/>
        </w:rPr>
        <w:t>Brittany, France</w:t>
      </w:r>
      <w:r w:rsidRPr="40C64767">
        <w:rPr>
          <w:rStyle w:val="CETBodytextCarattere"/>
        </w:rPr>
        <w:t>), under real operating conditions. Each multi-detector, based on an Arduino platform, was installed in a single classroom and operated autonomously with a measurement frequency of one minute. Data from each device was transmitted independently using dedicated webhook addresses, allowing real-time collection and storage of measurements in separate data streams associated with each classroom.</w:t>
      </w:r>
    </w:p>
    <w:p w14:paraId="0C303DDC" w14:textId="733DAB95" w:rsidR="25C262FC" w:rsidRDefault="25C262FC" w:rsidP="40C64767">
      <w:pPr>
        <w:pStyle w:val="CETBodytext"/>
      </w:pPr>
      <w:r w:rsidRPr="40C64767">
        <w:t xml:space="preserve">To support data interpretation, contextual information was collected in collaboration with teachers through a daily reporting form. This included occupancy periods, </w:t>
      </w:r>
      <w:r w:rsidR="001B040D">
        <w:t>air renewal</w:t>
      </w:r>
      <w:r w:rsidRPr="40C64767">
        <w:t xml:space="preserve"> actions (e.g., </w:t>
      </w:r>
      <w:r w:rsidR="001B040D">
        <w:t xml:space="preserve">by </w:t>
      </w:r>
      <w:r w:rsidRPr="40C64767">
        <w:t>window opening), teaching activities, and other relevant events such as cleaning periods. The combination of high-resolution measurements and contextual data provides a detailed description of indoor air quality conditions and enables the identification of short-term variations and differences between classrooms over time.</w:t>
      </w:r>
    </w:p>
    <w:p w14:paraId="482B5735" w14:textId="1EF2B7ED" w:rsidR="589B0F16" w:rsidRDefault="589B0F16" w:rsidP="442AF692">
      <w:pPr>
        <w:pStyle w:val="CETHeading1"/>
      </w:pPr>
      <w:r w:rsidRPr="442AF692">
        <w:t>Results and Discussion</w:t>
      </w:r>
    </w:p>
    <w:p w14:paraId="3DFE010B" w14:textId="5EEF14DC" w:rsidR="5D457026" w:rsidRDefault="5D457026" w:rsidP="442AF692">
      <w:pPr>
        <w:pStyle w:val="CETheadingx"/>
      </w:pPr>
      <w:r w:rsidRPr="40C64767">
        <w:t>Global formaldehyde distribution</w:t>
      </w:r>
    </w:p>
    <w:p w14:paraId="6D1F89F9" w14:textId="5202E879" w:rsidR="085C4A0B" w:rsidRDefault="085C4A0B" w:rsidP="40C64767">
      <w:pPr>
        <w:pStyle w:val="CETBodytext"/>
      </w:pPr>
      <w:r>
        <w:t>Figure 3 presents the distribution of formaldehyde concentrations across the monitored classrooms during occupied periods only. These periods correspond to teaching hours (8:00–12:00 and 13:00–15:3</w:t>
      </w:r>
      <w:r w:rsidR="0075344B">
        <w:t>)</w:t>
      </w:r>
      <w:r>
        <w:t xml:space="preserve">, excluding weekends, holidays, and Wednesdays when no classes are held, ensuring that the analysis reflects actual occupancy conditions. The results show marked variability between classrooms, with median concentrations ranging from </w:t>
      </w:r>
      <w:r w:rsidR="0028778B">
        <w:t>2</w:t>
      </w:r>
      <w:r>
        <w:t xml:space="preserve"> to </w:t>
      </w:r>
      <w:r w:rsidR="0028778B">
        <w:t xml:space="preserve">28 </w:t>
      </w:r>
      <w:r>
        <w:t>pp</w:t>
      </w:r>
      <w:r w:rsidR="0075344B">
        <w:t>b. a</w:t>
      </w:r>
      <w:r>
        <w:t>ll measured concentrations remain below the WHO and ANSES short-term guideline (80 ppb), while only five classrooms out of fourteen exhibit median values below the French long-term guideline of 8 ppb</w:t>
      </w:r>
      <w:r w:rsidR="0075344B">
        <w:t>.</w:t>
      </w:r>
    </w:p>
    <w:p w14:paraId="232F3362" w14:textId="410729EB" w:rsidR="2406EF09" w:rsidRDefault="0075344B" w:rsidP="442AF692">
      <w:pPr>
        <w:pStyle w:val="CETBodytext"/>
        <w:jc w:val="left"/>
        <w:rPr>
          <w:highlight w:val="yellow"/>
        </w:rPr>
      </w:pPr>
      <w:r>
        <w:rPr>
          <w:noProof/>
        </w:rPr>
        <mc:AlternateContent>
          <mc:Choice Requires="wps">
            <w:drawing>
              <wp:anchor distT="0" distB="0" distL="114300" distR="114300" simplePos="0" relativeHeight="251662336" behindDoc="0" locked="0" layoutInCell="1" allowOverlap="1" wp14:anchorId="5CA6CBF1" wp14:editId="4545D956">
                <wp:simplePos x="0" y="0"/>
                <wp:positionH relativeFrom="column">
                  <wp:posOffset>522399</wp:posOffset>
                </wp:positionH>
                <wp:positionV relativeFrom="paragraph">
                  <wp:posOffset>3753206</wp:posOffset>
                </wp:positionV>
                <wp:extent cx="247650" cy="0"/>
                <wp:effectExtent l="0" t="0" r="0" b="0"/>
                <wp:wrapNone/>
                <wp:docPr id="3" name="Connecteur droit 3"/>
                <wp:cNvGraphicFramePr/>
                <a:graphic xmlns:a="http://schemas.openxmlformats.org/drawingml/2006/main">
                  <a:graphicData uri="http://schemas.microsoft.com/office/word/2010/wordprocessingShape">
                    <wps:wsp>
                      <wps:cNvCnPr/>
                      <wps:spPr>
                        <a:xfrm>
                          <a:off x="0" y="0"/>
                          <a:ext cx="247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EF0EB" id="Connecteur droit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5pt,295.55pt" to="60.65pt,29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" strokecolor="black [3040]"/>
            </w:pict>
          </mc:Fallback>
        </mc:AlternateContent>
      </w:r>
      <w:r>
        <w:rPr>
          <w:noProof/>
        </w:rPr>
        <mc:AlternateContent>
          <mc:Choice Requires="wps">
            <w:drawing>
              <wp:anchor distT="0" distB="0" distL="114300" distR="114300" simplePos="0" relativeHeight="251660288" behindDoc="0" locked="0" layoutInCell="1" allowOverlap="1" wp14:anchorId="32C2AA76" wp14:editId="62B97E2F">
                <wp:simplePos x="0" y="0"/>
                <wp:positionH relativeFrom="column">
                  <wp:posOffset>31750</wp:posOffset>
                </wp:positionH>
                <wp:positionV relativeFrom="paragraph">
                  <wp:posOffset>3702685</wp:posOffset>
                </wp:positionV>
                <wp:extent cx="45719" cy="85725"/>
                <wp:effectExtent l="38100" t="38100" r="50165" b="104775"/>
                <wp:wrapNone/>
                <wp:docPr id="2" name="Triangle isocèle 2"/>
                <wp:cNvGraphicFramePr/>
                <a:graphic xmlns:a="http://schemas.openxmlformats.org/drawingml/2006/main">
                  <a:graphicData uri="http://schemas.microsoft.com/office/word/2010/wordprocessingShape">
                    <wps:wsp>
                      <wps:cNvSpPr/>
                      <wps:spPr>
                        <a:xfrm>
                          <a:off x="0" y="0"/>
                          <a:ext cx="45719" cy="85725"/>
                        </a:xfrm>
                        <a:prstGeom prst="triangle">
                          <a:avLst/>
                        </a:prstGeom>
                        <a:solidFill>
                          <a:srgbClr val="92D050"/>
                        </a:solidFill>
                      </wps:spPr>
                      <wps:style>
                        <a:lnRef idx="1">
                          <a:schemeClr val="accent3"/>
                        </a:lnRef>
                        <a:fillRef idx="2">
                          <a:schemeClr val="accent3"/>
                        </a:fillRef>
                        <a:effectRef idx="1">
                          <a:schemeClr val="accent3"/>
                        </a:effectRef>
                        <a:fontRef idx="minor">
                          <a:schemeClr val="dk1"/>
                        </a:fontRef>
                      </wps:style>
                      <wps:txbx>
                        <w:txbxContent>
                          <w:p w14:paraId="5C6785A3" w14:textId="38E65CDE" w:rsidR="0075344B" w:rsidRDefault="0075344B" w:rsidP="0075344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2C2AA7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2" o:spid="_x0000_s1026" type="#_x0000_t5" style="position:absolute;margin-left:2.5pt;margin-top:291.55pt;width:3.6pt;height:6.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" fillcolor="#92d050" strokecolor="#94b64e [3046]">
                <v:shadow on="t" color="black" opacity="24903f" origin=",.5" offset="0,.55556mm"/>
                <v:textbox>
                  <w:txbxContent>
                    <w:p w14:paraId="5C6785A3" w14:textId="38E65CDE" w:rsidR="0075344B" w:rsidRDefault="0075344B" w:rsidP="0075344B">
                      <w:pPr>
                        <w:jc w:val="center"/>
                      </w:pPr>
                      <w:r>
                        <w:t xml:space="preserve">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80AE8EC" wp14:editId="73C6F459">
                <wp:simplePos x="0" y="0"/>
                <wp:positionH relativeFrom="column">
                  <wp:posOffset>4491990</wp:posOffset>
                </wp:positionH>
                <wp:positionV relativeFrom="paragraph">
                  <wp:posOffset>3597911</wp:posOffset>
                </wp:positionV>
                <wp:extent cx="247650"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24765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B424D9" id="Connecteur droi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7pt,283.3pt" to="373.2pt,2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" strokecolor="#f68c36 [3049]"/>
            </w:pict>
          </mc:Fallback>
        </mc:AlternateContent>
      </w:r>
      <w:r w:rsidR="17210DF3">
        <w:rPr>
          <w:noProof/>
        </w:rPr>
        <w:drawing>
          <wp:inline distT="0" distB="0" distL="0" distR="0" wp14:anchorId="793F7245" wp14:editId="0BDABA05">
            <wp:extent cx="5536507" cy="3354595"/>
            <wp:effectExtent l="9525" t="9525" r="9525" b="9525"/>
            <wp:docPr id="14215177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17747" name=""/>
                    <pic:cNvPicPr/>
                  </pic:nvPicPr>
                  <pic:blipFill>
                    <a:blip r:embed="rId15">
                      <a:extLst>
                        <a:ext uri="{28A0092B-C50C-407E-A947-70E740481C1C}">
                          <a14:useLocalDpi xmlns:a14="http://schemas.microsoft.com/office/drawing/2010/main"/>
                        </a:ext>
                      </a:extLst>
                    </a:blip>
                    <a:stretch>
                      <a:fillRect/>
                    </a:stretch>
                  </pic:blipFill>
                  <pic:spPr>
                    <a:xfrm>
                      <a:off x="0" y="0"/>
                      <a:ext cx="5536507" cy="3354595"/>
                    </a:xfrm>
                    <a:prstGeom prst="rect">
                      <a:avLst/>
                    </a:prstGeom>
                    <a:ln w="9525">
                      <a:solidFill>
                        <a:srgbClr val="00B050"/>
                      </a:solidFill>
                      <a:prstDash val="solid"/>
                    </a:ln>
                  </pic:spPr>
                </pic:pic>
              </a:graphicData>
            </a:graphic>
          </wp:inline>
        </w:drawing>
      </w:r>
      <w:r w:rsidR="2406EF09" w:rsidRPr="33EAFE98">
        <w:rPr>
          <w:rStyle w:val="CETCaptionCarattere"/>
        </w:rPr>
        <w:t xml:space="preserve">Figure </w:t>
      </w:r>
      <w:r w:rsidR="2995BF90" w:rsidRPr="33EAFE98">
        <w:rPr>
          <w:rStyle w:val="CETCaptionCarattere"/>
        </w:rPr>
        <w:t>3</w:t>
      </w:r>
      <w:r w:rsidR="2406EF09" w:rsidRPr="33EAFE98">
        <w:rPr>
          <w:rStyle w:val="CETCaptionCarattere"/>
        </w:rPr>
        <w:t xml:space="preserve">: Distribution of formaldehyde concentrations across monitored </w:t>
      </w:r>
      <w:r w:rsidR="1FBFECC1" w:rsidRPr="33EAFE98">
        <w:rPr>
          <w:rStyle w:val="CETCaptionCarattere"/>
        </w:rPr>
        <w:t>classrooms</w:t>
      </w:r>
      <w:r w:rsidR="7453E77E" w:rsidRPr="33EAFE98">
        <w:rPr>
          <w:rStyle w:val="CETCaptionCarattere"/>
        </w:rPr>
        <w:t xml:space="preserve"> in occup</w:t>
      </w:r>
      <w:r w:rsidR="43594C8D" w:rsidRPr="33EAFE98">
        <w:rPr>
          <w:rStyle w:val="CETCaptionCarattere"/>
        </w:rPr>
        <w:t>ied</w:t>
      </w:r>
      <w:r w:rsidR="7453E77E" w:rsidRPr="33EAFE98">
        <w:rPr>
          <w:rStyle w:val="CETCaptionCarattere"/>
        </w:rPr>
        <w:t xml:space="preserve"> periods</w:t>
      </w:r>
      <w:r w:rsidR="36DA0137" w:rsidRPr="33EAFE98">
        <w:rPr>
          <w:rStyle w:val="CETCaptionCarattere"/>
        </w:rPr>
        <w:t>;</w:t>
      </w:r>
      <w:r w:rsidR="1FBFECC1" w:rsidRPr="33EAFE98">
        <w:rPr>
          <w:rStyle w:val="CETCaptionCarattere"/>
        </w:rPr>
        <w:t xml:space="preserve"> </w:t>
      </w:r>
      <w:r w:rsidR="1FBFECC1" w:rsidRPr="33EAFE98">
        <w:rPr>
          <w:rStyle w:val="CETCaptionCarattere"/>
          <w:color w:val="1F487C"/>
        </w:rPr>
        <w:t>-</w:t>
      </w:r>
      <w:r w:rsidR="0E5E6E70" w:rsidRPr="33EAFE98">
        <w:rPr>
          <w:rStyle w:val="CETCaptionCarattere"/>
          <w:color w:val="1F487C"/>
        </w:rPr>
        <w:t>--</w:t>
      </w:r>
      <w:r w:rsidR="1FBFECC1" w:rsidRPr="33EAFE98">
        <w:rPr>
          <w:rStyle w:val="CETCaptionCarattere"/>
          <w:color w:val="1F487C"/>
        </w:rPr>
        <w:t>-</w:t>
      </w:r>
      <w:r w:rsidR="12465209" w:rsidRPr="33EAFE98">
        <w:rPr>
          <w:rStyle w:val="CETCaptionCarattere"/>
        </w:rPr>
        <w:t>:</w:t>
      </w:r>
      <w:r w:rsidR="2406EF09" w:rsidRPr="33EAFE98">
        <w:rPr>
          <w:rStyle w:val="CETCaptionCarattere"/>
        </w:rPr>
        <w:t xml:space="preserve"> </w:t>
      </w:r>
      <w:r w:rsidR="1E64BEDA" w:rsidRPr="33EAFE98">
        <w:rPr>
          <w:rStyle w:val="CETCaptionCarattere"/>
        </w:rPr>
        <w:t>French Long-Term Guideline since 2023</w:t>
      </w:r>
      <w:r w:rsidR="4B9B894A" w:rsidRPr="33EAFE98">
        <w:rPr>
          <w:rStyle w:val="CETCaptionCarattere"/>
        </w:rPr>
        <w:t xml:space="preserve">; </w:t>
      </w:r>
      <w:r w:rsidR="225A7CDA" w:rsidRPr="33EAFE98">
        <w:rPr>
          <w:rStyle w:val="CETCaptionCarattere"/>
        </w:rPr>
        <w:t>B</w:t>
      </w:r>
      <w:r w:rsidR="2406EF09" w:rsidRPr="33EAFE98">
        <w:rPr>
          <w:rStyle w:val="CETCaptionCarattere"/>
        </w:rPr>
        <w:t>ox</w:t>
      </w:r>
      <w:r w:rsidR="3ECDDE26" w:rsidRPr="33EAFE98">
        <w:rPr>
          <w:rStyle w:val="CETCaptionCarattere"/>
        </w:rPr>
        <w:t>:</w:t>
      </w:r>
      <w:r w:rsidR="2406EF09" w:rsidRPr="33EAFE98">
        <w:rPr>
          <w:rStyle w:val="CETCaptionCarattere"/>
        </w:rPr>
        <w:t xml:space="preserve"> interquartile range 25th–75th </w:t>
      </w:r>
      <w:proofErr w:type="gramStart"/>
      <w:r w:rsidRPr="33EAFE98">
        <w:rPr>
          <w:rStyle w:val="CETCaptionCarattere"/>
        </w:rPr>
        <w:t>percentiles</w:t>
      </w:r>
      <w:r>
        <w:rPr>
          <w:rStyle w:val="CETCaptionCarattere"/>
        </w:rPr>
        <w:t xml:space="preserve">;   </w:t>
      </w:r>
      <w:proofErr w:type="gramEnd"/>
      <w:r>
        <w:rPr>
          <w:rStyle w:val="CETCaptionCarattere"/>
        </w:rPr>
        <w:t xml:space="preserve">     </w:t>
      </w:r>
      <w:proofErr w:type="gramStart"/>
      <w:r>
        <w:rPr>
          <w:rStyle w:val="CETCaptionCarattere"/>
        </w:rPr>
        <w:t xml:space="preserve">  :</w:t>
      </w:r>
      <w:r w:rsidR="0C4F9B55" w:rsidRPr="33EAFE98">
        <w:rPr>
          <w:rStyle w:val="CETCaptionCarattere"/>
        </w:rPr>
        <w:t>median</w:t>
      </w:r>
      <w:proofErr w:type="gramEnd"/>
      <w:r w:rsidR="0C4F9B55" w:rsidRPr="33EAFE98">
        <w:rPr>
          <w:rStyle w:val="CETCaptionCarattere"/>
        </w:rPr>
        <w:t>;</w:t>
      </w:r>
      <w:r w:rsidR="2406EF09" w:rsidRPr="33EAFE98">
        <w:rPr>
          <w:rStyle w:val="CETCaptionCarattere"/>
        </w:rPr>
        <w:t xml:space="preserve"> </w:t>
      </w:r>
      <w:r>
        <w:rPr>
          <w:rStyle w:val="CETCaptionCarattere"/>
        </w:rPr>
        <w:t xml:space="preserve">      </w:t>
      </w:r>
      <w:r>
        <w:rPr>
          <w:rStyle w:val="CETCaptionCarattere"/>
          <w:rFonts w:ascii="Symbol" w:eastAsia="Symbol" w:hAnsi="Symbol" w:cs="Symbol"/>
        </w:rPr>
        <w:t xml:space="preserve">    :</w:t>
      </w:r>
      <w:r w:rsidR="04945E2B" w:rsidRPr="33EAFE98">
        <w:rPr>
          <w:rStyle w:val="CETCaptionCarattere"/>
          <w:rFonts w:ascii="Symbol" w:eastAsia="Symbol" w:hAnsi="Symbol" w:cs="Symbol"/>
        </w:rPr>
        <w:t xml:space="preserve"> </w:t>
      </w:r>
      <w:proofErr w:type="gramStart"/>
      <w:r w:rsidR="0E5A399F" w:rsidRPr="33EAFE98">
        <w:rPr>
          <w:rStyle w:val="CETCaptionCarattere"/>
        </w:rPr>
        <w:t xml:space="preserve">mean; </w:t>
      </w:r>
      <w:r>
        <w:rPr>
          <w:rStyle w:val="CETCaptionCarattere"/>
        </w:rPr>
        <w:t xml:space="preserve">  </w:t>
      </w:r>
      <w:proofErr w:type="gramEnd"/>
      <w:r>
        <w:rPr>
          <w:rStyle w:val="CETCaptionCarattere"/>
        </w:rPr>
        <w:t xml:space="preserve">    </w:t>
      </w:r>
      <w:proofErr w:type="gramStart"/>
      <w:r>
        <w:rPr>
          <w:rStyle w:val="CETCaptionCarattere"/>
        </w:rPr>
        <w:t xml:space="preserve">  </w:t>
      </w:r>
      <w:r w:rsidR="5D2167F5" w:rsidRPr="33EAFE98">
        <w:rPr>
          <w:rStyle w:val="CETCaptionCarattere"/>
        </w:rPr>
        <w:t>:</w:t>
      </w:r>
      <w:proofErr w:type="gramEnd"/>
      <w:r w:rsidR="7B7FC95B" w:rsidRPr="33EAFE98">
        <w:rPr>
          <w:rStyle w:val="CETCaptionCarattere"/>
        </w:rPr>
        <w:t xml:space="preserve"> </w:t>
      </w:r>
      <w:r w:rsidR="2406EF09" w:rsidRPr="33EAFE98">
        <w:rPr>
          <w:rStyle w:val="CETCaptionCarattere"/>
        </w:rPr>
        <w:t>5th and 95th percentiles.</w:t>
      </w:r>
    </w:p>
    <w:p w14:paraId="0DEA5728" w14:textId="7AA730D3" w:rsidR="07B311A8" w:rsidRDefault="07B311A8" w:rsidP="442AF692">
      <w:pPr>
        <w:pStyle w:val="CETheadingx"/>
      </w:pPr>
      <w:r w:rsidRPr="40C64767">
        <w:t>T</w:t>
      </w:r>
      <w:r w:rsidR="5DBB666D" w:rsidRPr="40C64767">
        <w:t>emporal evolution of formaldehyde concentrations</w:t>
      </w:r>
    </w:p>
    <w:p w14:paraId="45A3B535" w14:textId="55EEF998" w:rsidR="007A0774" w:rsidRPr="007A0774" w:rsidRDefault="0451418C" w:rsidP="007A0774">
      <w:pPr>
        <w:pStyle w:val="CETBodytext"/>
      </w:pPr>
      <w:r w:rsidRPr="007A0774">
        <w:t>T</w:t>
      </w:r>
      <w:r w:rsidR="007A0774" w:rsidRPr="007A0774">
        <w:t xml:space="preserve">he temporal evolution of formaldehyde concentrations measured in one school, where four classrooms were instrumented, is presented in Figure 4. In contrast to Figure 3, this representation includes the full measurement </w:t>
      </w:r>
      <w:r w:rsidR="007A0774" w:rsidRPr="007A0774">
        <w:lastRenderedPageBreak/>
        <w:t>period (24 h/day), encompassing both occupied and unoccupied periods, including nights, weekends, and holidays.</w:t>
      </w:r>
    </w:p>
    <w:p w14:paraId="1E93B341" w14:textId="200E0BFF" w:rsidR="007A0774" w:rsidRPr="007A0774" w:rsidRDefault="007A0774" w:rsidP="007A0774">
      <w:pPr>
        <w:pStyle w:val="CETBodytext"/>
      </w:pPr>
      <w:r w:rsidRPr="007A0774">
        <w:t>The time series reveal distinct behaviors between classrooms. One classroom maintains consistently higher concentration levels, typically between 20 and 35 ppb, with frequent peaks exceeding 40 ppb, while another remains at much lower levels, often below 10 ppb and occasionally approaching near-zero values during extended unoccupied periods, particularly at night and during weekends. The other classrooms exhibit intermediate behaviors with moderate variability.</w:t>
      </w:r>
    </w:p>
    <w:p w14:paraId="56881F2F" w14:textId="2375E3CB" w:rsidR="233CBD2E" w:rsidRPr="007A0774" w:rsidRDefault="007A0774" w:rsidP="007A0774">
      <w:pPr>
        <w:pStyle w:val="CETBodytext"/>
      </w:pPr>
      <w:r w:rsidRPr="007A0774">
        <w:t xml:space="preserve">Periodic decreases in concentrations are observed across all classrooms during unoccupied periods. These variations likely reflect a combination of factors, including changes in occupancy, </w:t>
      </w:r>
      <w:r w:rsidR="001B040D">
        <w:t>air renewal</w:t>
      </w:r>
      <w:r w:rsidRPr="007A0774">
        <w:t xml:space="preserve"> conditions, and environmental parameters. In contrast, higher concentrations are observed at other times, although their occurrence cannot be attributed to a single factor. Overall, the temporal profiles confirm the variability observed in Figure 3, where classrooms with higher median concentrations also exhibit sustained elevated levels over time.</w:t>
      </w:r>
    </w:p>
    <w:p w14:paraId="4A5F6422" w14:textId="4E6628F4" w:rsidR="233CBD2E" w:rsidRDefault="50E06D5C" w:rsidP="442AF692">
      <w:pPr>
        <w:pStyle w:val="CETBodytext"/>
      </w:pPr>
      <w:r>
        <w:rPr>
          <w:noProof/>
        </w:rPr>
        <w:drawing>
          <wp:inline distT="0" distB="0" distL="0" distR="0" wp14:anchorId="4886EF02" wp14:editId="02CAB722">
            <wp:extent cx="5581650" cy="2266950"/>
            <wp:effectExtent l="0" t="0" r="0" b="0"/>
            <wp:docPr id="18223373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337375" name="Picture 1822337375"/>
                    <pic:cNvPicPr/>
                  </pic:nvPicPr>
                  <pic:blipFill>
                    <a:blip r:embed="rId16">
                      <a:extLst>
                        <a:ext uri="{28A0092B-C50C-407E-A947-70E740481C1C}">
                          <a14:useLocalDpi xmlns:a14="http://schemas.microsoft.com/office/drawing/2010/main"/>
                        </a:ext>
                      </a:extLst>
                    </a:blip>
                    <a:stretch>
                      <a:fillRect/>
                    </a:stretch>
                  </pic:blipFill>
                  <pic:spPr>
                    <a:xfrm>
                      <a:off x="0" y="0"/>
                      <a:ext cx="5581650" cy="2266950"/>
                    </a:xfrm>
                    <a:prstGeom prst="rect">
                      <a:avLst/>
                    </a:prstGeom>
                  </pic:spPr>
                </pic:pic>
              </a:graphicData>
            </a:graphic>
          </wp:inline>
        </w:drawing>
      </w:r>
    </w:p>
    <w:p w14:paraId="3B8E1BBF" w14:textId="21F7FF67" w:rsidR="2D768E42" w:rsidRDefault="2D768E42" w:rsidP="442AF692">
      <w:pPr>
        <w:pStyle w:val="CETBodytext"/>
        <w:rPr>
          <w:rStyle w:val="CETCaptionCarattere"/>
          <w:lang w:val="en-US"/>
        </w:rPr>
      </w:pPr>
      <w:r w:rsidRPr="442AF692">
        <w:rPr>
          <w:rStyle w:val="CETCaptionCarattere"/>
          <w:lang w:val="en-US"/>
        </w:rPr>
        <w:t xml:space="preserve">Figure </w:t>
      </w:r>
      <w:r w:rsidR="5C9CC0B8" w:rsidRPr="442AF692">
        <w:rPr>
          <w:rStyle w:val="CETCaptionCarattere"/>
          <w:lang w:val="en-US"/>
        </w:rPr>
        <w:t>4</w:t>
      </w:r>
      <w:r w:rsidRPr="442AF692">
        <w:rPr>
          <w:rStyle w:val="CETCaptionCarattere"/>
          <w:lang w:val="en-US"/>
        </w:rPr>
        <w:t xml:space="preserve">: Minute-resolution formaldehyde concentrations </w:t>
      </w:r>
      <w:r w:rsidR="52A345A9" w:rsidRPr="442AF692">
        <w:rPr>
          <w:rStyle w:val="CETCaptionCarattere"/>
          <w:lang w:val="en-US"/>
        </w:rPr>
        <w:t>in</w:t>
      </w:r>
      <w:r w:rsidRPr="442AF692">
        <w:rPr>
          <w:rStyle w:val="CETCaptionCarattere"/>
          <w:lang w:val="en-US"/>
        </w:rPr>
        <w:t xml:space="preserve"> four classrooms </w:t>
      </w:r>
      <w:r w:rsidR="58354477" w:rsidRPr="442AF692">
        <w:rPr>
          <w:rStyle w:val="CETCaptionCarattere"/>
          <w:lang w:val="en-US"/>
        </w:rPr>
        <w:t xml:space="preserve">of one </w:t>
      </w:r>
      <w:r w:rsidRPr="442AF692">
        <w:rPr>
          <w:rStyle w:val="CETCaptionCarattere"/>
          <w:lang w:val="en-US"/>
        </w:rPr>
        <w:t xml:space="preserve">school </w:t>
      </w:r>
      <w:r w:rsidR="3F9B20D4" w:rsidRPr="442AF692">
        <w:rPr>
          <w:rStyle w:val="CETCaptionCarattere"/>
          <w:lang w:val="en-US"/>
        </w:rPr>
        <w:t>(</w:t>
      </w:r>
      <w:r w:rsidRPr="442AF692">
        <w:rPr>
          <w:rStyle w:val="CETCaptionCarattere"/>
          <w:lang w:val="en-US"/>
        </w:rPr>
        <w:t>Feb</w:t>
      </w:r>
      <w:r w:rsidR="6C8D4A9E" w:rsidRPr="442AF692">
        <w:rPr>
          <w:rStyle w:val="CETCaptionCarattere"/>
          <w:lang w:val="en-US"/>
        </w:rPr>
        <w:t>.-Mar</w:t>
      </w:r>
      <w:r w:rsidRPr="442AF692">
        <w:rPr>
          <w:rStyle w:val="CETCaptionCarattere"/>
          <w:lang w:val="en-US"/>
        </w:rPr>
        <w:t xml:space="preserve"> 2026</w:t>
      </w:r>
      <w:r w:rsidR="21E90EF3" w:rsidRPr="442AF692">
        <w:rPr>
          <w:rStyle w:val="CETCaptionCarattere"/>
          <w:lang w:val="en-US"/>
        </w:rPr>
        <w:t>)</w:t>
      </w:r>
    </w:p>
    <w:p w14:paraId="50438BE8" w14:textId="05CB5CC9" w:rsidR="0A15FC4B" w:rsidRDefault="0A15FC4B" w:rsidP="442AF692">
      <w:pPr>
        <w:pStyle w:val="CETheadingx"/>
      </w:pPr>
      <w:r w:rsidRPr="40C64767">
        <w:t>Correlation analysis</w:t>
      </w:r>
    </w:p>
    <w:p w14:paraId="036243EF" w14:textId="72886E68" w:rsidR="5DFD0771" w:rsidRDefault="002A75C7" w:rsidP="57595FA5">
      <w:pPr>
        <w:pStyle w:val="CETBodytext"/>
        <w:spacing w:before="240" w:after="240"/>
      </w:pPr>
      <w:r w:rsidRPr="002A75C7">
        <w:t xml:space="preserve">The correlations between formaldehyde and other measured parameters were calculated for the occupied periods only using a homemade Python code, based on the Pearson correlation coefficient (Pearson, 1896). Table 4 presents the results for one representative classroom per school. Similar trends are observed across the selected classrooms. Relative humidity shows the highest correlations, reaching r = 0.85, while temperature and </w:t>
      </w:r>
      <w:proofErr w:type="spellStart"/>
      <w:r w:rsidRPr="002A75C7">
        <w:t>tVOCs</w:t>
      </w:r>
      <w:proofErr w:type="spellEnd"/>
      <w:r w:rsidRPr="002A75C7">
        <w:t xml:space="preserve"> exhibit </w:t>
      </w:r>
      <w:r w:rsidR="00417286">
        <w:t>none</w:t>
      </w:r>
      <w:r w:rsidRPr="002A75C7">
        <w:t xml:space="preserve"> to strong correlations (up to r = 0.65). In contrast, </w:t>
      </w:r>
      <w:r w:rsidR="00417286">
        <w:t>moderate</w:t>
      </w:r>
      <w:r w:rsidRPr="002A75C7">
        <w:t xml:space="preserve"> correlations are found with CO</w:t>
      </w:r>
      <w:r w:rsidRPr="002A75C7">
        <w:rPr>
          <w:rFonts w:ascii="Cambria Math" w:hAnsi="Cambria Math" w:cs="Cambria Math"/>
        </w:rPr>
        <w:t>₂</w:t>
      </w:r>
      <w:r w:rsidRPr="002A75C7">
        <w:t xml:space="preserve"> (r </w:t>
      </w:r>
      <w:r w:rsidRPr="002A75C7">
        <w:rPr>
          <w:rFonts w:cs="Arial"/>
        </w:rPr>
        <w:t>≤</w:t>
      </w:r>
      <w:r w:rsidRPr="002A75C7">
        <w:t xml:space="preserve"> 0.45), and negligible values are observed for PM</w:t>
      </w:r>
      <w:r w:rsidRPr="002A75C7">
        <w:rPr>
          <w:rFonts w:ascii="Cambria Math" w:hAnsi="Cambria Math" w:cs="Cambria Math"/>
        </w:rPr>
        <w:t>₁₀</w:t>
      </w:r>
      <w:r w:rsidRPr="002A75C7">
        <w:t xml:space="preserve"> and sound levels. These results highlight that formaldehyde variations are mainly associated with environmental conditions, although the strength of these relationships varies between classroom</w:t>
      </w:r>
      <w:r>
        <w:t>s</w:t>
      </w:r>
      <w:r w:rsidR="5A7ED240">
        <w:t>.</w:t>
      </w:r>
    </w:p>
    <w:p w14:paraId="7BA4A033" w14:textId="08D4721A" w:rsidR="7F8A2372" w:rsidRDefault="7F8A2372" w:rsidP="40C64767">
      <w:pPr>
        <w:pStyle w:val="CETTabletitle"/>
      </w:pPr>
      <w:r w:rsidRPr="40C64767">
        <w:rPr>
          <w:lang w:val="en-US"/>
        </w:rPr>
        <w:t>Table 4: Pearson correlation coefficients between formaldehyde (HCHO) and environmental parameters for representative classrooms during occupied periods</w:t>
      </w:r>
    </w:p>
    <w:tbl>
      <w:tblPr>
        <w:tblW w:w="7560" w:type="dxa"/>
        <w:tblBorders>
          <w:bottom w:val="single" w:sz="2" w:space="0" w:color="000000" w:themeColor="text1"/>
        </w:tblBorders>
        <w:tblLook w:val="06A0" w:firstRow="1" w:lastRow="0" w:firstColumn="1" w:lastColumn="0" w:noHBand="1" w:noVBand="1"/>
      </w:tblPr>
      <w:tblGrid>
        <w:gridCol w:w="1725"/>
        <w:gridCol w:w="720"/>
        <w:gridCol w:w="675"/>
        <w:gridCol w:w="630"/>
        <w:gridCol w:w="630"/>
        <w:gridCol w:w="630"/>
        <w:gridCol w:w="2205"/>
        <w:gridCol w:w="345"/>
      </w:tblGrid>
      <w:tr w:rsidR="57595FA5" w14:paraId="10619EDE" w14:textId="77777777" w:rsidTr="40C64767">
        <w:trPr>
          <w:trHeight w:val="300"/>
        </w:trPr>
        <w:tc>
          <w:tcPr>
            <w:tcW w:w="1725" w:type="dxa"/>
            <w:tcBorders>
              <w:top w:val="single" w:sz="12" w:space="0" w:color="0B7306"/>
              <w:left w:val="none" w:sz="12" w:space="0" w:color="0B7306"/>
              <w:bottom w:val="single" w:sz="2" w:space="0" w:color="097010"/>
              <w:right w:val="none" w:sz="12" w:space="0" w:color="0B7306"/>
            </w:tcBorders>
            <w:vAlign w:val="center"/>
          </w:tcPr>
          <w:p w14:paraId="49D3A4AC" w14:textId="4558EECC" w:rsidR="5E73C6C8" w:rsidRDefault="5E73C6C8" w:rsidP="57595FA5">
            <w:pPr>
              <w:pStyle w:val="CETBodytext"/>
              <w:rPr>
                <w:b/>
                <w:bCs/>
                <w:szCs w:val="18"/>
              </w:rPr>
            </w:pPr>
            <w:r>
              <w:t xml:space="preserve">Parameter  </w:t>
            </w:r>
          </w:p>
        </w:tc>
        <w:tc>
          <w:tcPr>
            <w:tcW w:w="720" w:type="dxa"/>
            <w:tcBorders>
              <w:top w:val="single" w:sz="12" w:space="0" w:color="0B7306"/>
              <w:left w:val="none" w:sz="12" w:space="0" w:color="0B7306"/>
              <w:bottom w:val="single" w:sz="2" w:space="0" w:color="097010"/>
              <w:right w:val="none" w:sz="12" w:space="0" w:color="0B7306"/>
            </w:tcBorders>
            <w:vAlign w:val="center"/>
          </w:tcPr>
          <w:p w14:paraId="2722EE0C" w14:textId="70ED16D5" w:rsidR="16CFB0C3" w:rsidRDefault="16CFB0C3" w:rsidP="57595FA5">
            <w:pPr>
              <w:pStyle w:val="CETBodytext"/>
              <w:rPr>
                <w:b/>
                <w:bCs/>
                <w:szCs w:val="18"/>
              </w:rPr>
            </w:pPr>
            <w:r>
              <w:t xml:space="preserve">1.1  </w:t>
            </w:r>
            <w:r w:rsidR="051BDF7A">
              <w:t xml:space="preserve"> </w:t>
            </w:r>
          </w:p>
        </w:tc>
        <w:tc>
          <w:tcPr>
            <w:tcW w:w="675" w:type="dxa"/>
            <w:tcBorders>
              <w:top w:val="single" w:sz="12" w:space="0" w:color="0B7306"/>
              <w:left w:val="none" w:sz="12" w:space="0" w:color="0B7306"/>
              <w:bottom w:val="single" w:sz="2" w:space="0" w:color="097010"/>
              <w:right w:val="none" w:sz="12" w:space="0" w:color="0B7306"/>
            </w:tcBorders>
            <w:vAlign w:val="center"/>
          </w:tcPr>
          <w:p w14:paraId="75586053" w14:textId="3D5F2384" w:rsidR="35D7DEA0" w:rsidRDefault="35D7DEA0" w:rsidP="57595FA5">
            <w:pPr>
              <w:pStyle w:val="CETBodytext"/>
              <w:rPr>
                <w:b/>
                <w:bCs/>
                <w:szCs w:val="18"/>
              </w:rPr>
            </w:pPr>
            <w:r>
              <w:t xml:space="preserve">2.3  </w:t>
            </w:r>
          </w:p>
        </w:tc>
        <w:tc>
          <w:tcPr>
            <w:tcW w:w="630" w:type="dxa"/>
            <w:tcBorders>
              <w:top w:val="single" w:sz="12" w:space="0" w:color="0B7306"/>
              <w:left w:val="none" w:sz="12" w:space="0" w:color="0B7306"/>
              <w:bottom w:val="single" w:sz="2" w:space="0" w:color="097010"/>
              <w:right w:val="none" w:sz="12" w:space="0" w:color="0B7306"/>
            </w:tcBorders>
            <w:vAlign w:val="center"/>
          </w:tcPr>
          <w:p w14:paraId="3CE6447E" w14:textId="1E7DC705" w:rsidR="35D7DEA0" w:rsidRDefault="35D7DEA0" w:rsidP="57595FA5">
            <w:pPr>
              <w:pStyle w:val="CETBodytext"/>
              <w:rPr>
                <w:b/>
                <w:bCs/>
                <w:szCs w:val="18"/>
              </w:rPr>
            </w:pPr>
            <w:r>
              <w:t>3.1</w:t>
            </w:r>
            <w:r w:rsidR="454ABF1D">
              <w:t xml:space="preserve"> </w:t>
            </w:r>
          </w:p>
        </w:tc>
        <w:tc>
          <w:tcPr>
            <w:tcW w:w="630" w:type="dxa"/>
            <w:tcBorders>
              <w:top w:val="single" w:sz="12" w:space="0" w:color="0B7306"/>
              <w:left w:val="none" w:sz="12" w:space="0" w:color="0B7306"/>
              <w:bottom w:val="single" w:sz="2" w:space="0" w:color="097010"/>
              <w:right w:val="none" w:sz="12" w:space="0" w:color="0B7306"/>
            </w:tcBorders>
            <w:vAlign w:val="center"/>
          </w:tcPr>
          <w:p w14:paraId="13D058DA" w14:textId="51D4A32D" w:rsidR="466C5354" w:rsidRDefault="466C5354" w:rsidP="40C64767">
            <w:pPr>
              <w:pStyle w:val="CETBodytext"/>
            </w:pPr>
            <w:r>
              <w:t>4.1</w:t>
            </w:r>
          </w:p>
        </w:tc>
        <w:tc>
          <w:tcPr>
            <w:tcW w:w="630" w:type="dxa"/>
            <w:tcBorders>
              <w:top w:val="single" w:sz="12" w:space="0" w:color="0B7306"/>
              <w:left w:val="none" w:sz="12" w:space="0" w:color="0B7306"/>
              <w:bottom w:val="single" w:sz="2" w:space="0" w:color="097010"/>
              <w:right w:val="none" w:sz="12" w:space="0" w:color="0B7306"/>
            </w:tcBorders>
            <w:vAlign w:val="center"/>
          </w:tcPr>
          <w:p w14:paraId="1849DCFB" w14:textId="62D7E292" w:rsidR="466C5354" w:rsidRDefault="466C5354" w:rsidP="40C64767">
            <w:pPr>
              <w:pStyle w:val="CETBodytext"/>
            </w:pPr>
            <w:r>
              <w:t>5.1</w:t>
            </w:r>
          </w:p>
        </w:tc>
        <w:tc>
          <w:tcPr>
            <w:tcW w:w="2205" w:type="dxa"/>
            <w:tcBorders>
              <w:top w:val="single" w:sz="12" w:space="0" w:color="0B7306"/>
              <w:left w:val="none" w:sz="12" w:space="0" w:color="0B7306"/>
              <w:bottom w:val="single" w:sz="2" w:space="0" w:color="097010"/>
              <w:right w:val="none" w:sz="12" w:space="0" w:color="0B7306"/>
            </w:tcBorders>
            <w:vAlign w:val="center"/>
          </w:tcPr>
          <w:p w14:paraId="3502B05F" w14:textId="754E5986" w:rsidR="19D6F365" w:rsidRDefault="19D6F365" w:rsidP="40C64767">
            <w:pPr>
              <w:pStyle w:val="CETBodytext"/>
            </w:pPr>
            <w:r w:rsidRPr="40C64767">
              <w:t>Interpretation</w:t>
            </w:r>
          </w:p>
        </w:tc>
        <w:tc>
          <w:tcPr>
            <w:tcW w:w="345" w:type="dxa"/>
            <w:tcBorders>
              <w:top w:val="single" w:sz="12" w:space="0" w:color="0B7306"/>
              <w:left w:val="none" w:sz="12" w:space="0" w:color="0B7306"/>
              <w:bottom w:val="single" w:sz="2" w:space="0" w:color="097010"/>
              <w:right w:val="none" w:sz="12" w:space="0" w:color="0B7306"/>
            </w:tcBorders>
            <w:vAlign w:val="center"/>
          </w:tcPr>
          <w:p w14:paraId="2192301C" w14:textId="0C7175EB" w:rsidR="40C64767" w:rsidRDefault="40C64767" w:rsidP="40C64767">
            <w:pPr>
              <w:pStyle w:val="CETBodytext"/>
            </w:pPr>
          </w:p>
        </w:tc>
      </w:tr>
      <w:tr w:rsidR="57595FA5" w14:paraId="23954488" w14:textId="77777777" w:rsidTr="40C64767">
        <w:trPr>
          <w:trHeight w:val="300"/>
        </w:trPr>
        <w:tc>
          <w:tcPr>
            <w:tcW w:w="1725" w:type="dxa"/>
            <w:tcBorders>
              <w:top w:val="single" w:sz="2" w:space="0" w:color="097010"/>
              <w:left w:val="none" w:sz="12" w:space="0" w:color="0B7306"/>
              <w:bottom w:val="single" w:sz="12" w:space="0" w:color="097010"/>
              <w:right w:val="none" w:sz="12" w:space="0" w:color="0B7306"/>
            </w:tcBorders>
            <w:vAlign w:val="center"/>
          </w:tcPr>
          <w:p w14:paraId="3BBCF9B4" w14:textId="1C18FF9F" w:rsidR="102C115A" w:rsidRDefault="102C115A" w:rsidP="57595FA5">
            <w:pPr>
              <w:pStyle w:val="CETBodytext"/>
            </w:pPr>
            <w:r w:rsidRPr="57595FA5">
              <w:rPr>
                <w:szCs w:val="18"/>
              </w:rPr>
              <w:t>CO₂</w:t>
            </w:r>
          </w:p>
          <w:p w14:paraId="0597BB8E" w14:textId="7BA0F7B1" w:rsidR="102C115A" w:rsidRDefault="102C115A" w:rsidP="57595FA5">
            <w:pPr>
              <w:pStyle w:val="CETBodytext"/>
            </w:pPr>
            <w:r w:rsidRPr="57595FA5">
              <w:rPr>
                <w:szCs w:val="18"/>
              </w:rPr>
              <w:t>Temperature</w:t>
            </w:r>
          </w:p>
          <w:p w14:paraId="32C71058" w14:textId="0D705423" w:rsidR="102C115A" w:rsidRDefault="102C115A" w:rsidP="57595FA5">
            <w:pPr>
              <w:pStyle w:val="CETBodytext"/>
            </w:pPr>
            <w:proofErr w:type="spellStart"/>
            <w:r w:rsidRPr="57595FA5">
              <w:rPr>
                <w:szCs w:val="18"/>
              </w:rPr>
              <w:t>tVOCs</w:t>
            </w:r>
            <w:proofErr w:type="spellEnd"/>
          </w:p>
          <w:p w14:paraId="000FD71A" w14:textId="52503FBB" w:rsidR="102C115A" w:rsidRDefault="102C115A" w:rsidP="57595FA5">
            <w:pPr>
              <w:pStyle w:val="CETBodytext"/>
            </w:pPr>
            <w:r w:rsidRPr="57595FA5">
              <w:rPr>
                <w:szCs w:val="18"/>
              </w:rPr>
              <w:t>Relative Humidity</w:t>
            </w:r>
          </w:p>
          <w:p w14:paraId="466F8045" w14:textId="480223F5" w:rsidR="102C115A" w:rsidRDefault="102C115A" w:rsidP="57595FA5">
            <w:pPr>
              <w:pStyle w:val="CETBodytext"/>
            </w:pPr>
            <w:r w:rsidRPr="57595FA5">
              <w:rPr>
                <w:szCs w:val="18"/>
              </w:rPr>
              <w:t>PM₁₀</w:t>
            </w:r>
          </w:p>
          <w:p w14:paraId="59593003" w14:textId="2E773DEA" w:rsidR="102C115A" w:rsidRDefault="102C115A" w:rsidP="57595FA5">
            <w:pPr>
              <w:pStyle w:val="CETBodytext"/>
            </w:pPr>
            <w:r w:rsidRPr="57595FA5">
              <w:rPr>
                <w:szCs w:val="18"/>
              </w:rPr>
              <w:t>Sound (dB)</w:t>
            </w:r>
          </w:p>
          <w:p w14:paraId="3E6950BE" w14:textId="2802F353" w:rsidR="102C115A" w:rsidRDefault="102C115A" w:rsidP="57595FA5">
            <w:pPr>
              <w:pStyle w:val="CETBodytext"/>
            </w:pPr>
            <w:r w:rsidRPr="57595FA5">
              <w:rPr>
                <w:szCs w:val="18"/>
              </w:rPr>
              <w:t>Luminosity</w:t>
            </w:r>
          </w:p>
        </w:tc>
        <w:tc>
          <w:tcPr>
            <w:tcW w:w="720" w:type="dxa"/>
            <w:tcBorders>
              <w:top w:val="single" w:sz="2" w:space="0" w:color="097010"/>
              <w:left w:val="none" w:sz="12" w:space="0" w:color="0B7306"/>
              <w:bottom w:val="single" w:sz="12" w:space="0" w:color="097010"/>
              <w:right w:val="none" w:sz="12" w:space="0" w:color="0B7306"/>
            </w:tcBorders>
            <w:vAlign w:val="center"/>
          </w:tcPr>
          <w:p w14:paraId="20378E6A" w14:textId="2AC3C7F4" w:rsidR="2BA18392" w:rsidRDefault="2BA18392">
            <w:r w:rsidRPr="57595FA5">
              <w:rPr>
                <w:lang w:val="en-US"/>
              </w:rPr>
              <w:t>0.45</w:t>
            </w:r>
          </w:p>
          <w:p w14:paraId="5871D4DE" w14:textId="7675EE5E" w:rsidR="2BA18392" w:rsidRDefault="2BA18392">
            <w:r w:rsidRPr="57595FA5">
              <w:rPr>
                <w:lang w:val="en-US"/>
              </w:rPr>
              <w:t>0.25</w:t>
            </w:r>
          </w:p>
          <w:p w14:paraId="6D3C0206" w14:textId="3F0881F6" w:rsidR="2BA18392" w:rsidRDefault="2BA18392">
            <w:r w:rsidRPr="57595FA5">
              <w:rPr>
                <w:lang w:val="en-US"/>
              </w:rPr>
              <w:t>0.65</w:t>
            </w:r>
          </w:p>
          <w:p w14:paraId="03738FEA" w14:textId="2FC0DB36" w:rsidR="2BA18392" w:rsidRDefault="2BA18392">
            <w:r w:rsidRPr="57595FA5">
              <w:rPr>
                <w:lang w:val="en-US"/>
              </w:rPr>
              <w:t>0.35</w:t>
            </w:r>
          </w:p>
          <w:p w14:paraId="30B8F130" w14:textId="3D7EC81B" w:rsidR="2BA18392" w:rsidRDefault="2BA18392">
            <w:r w:rsidRPr="57595FA5">
              <w:rPr>
                <w:lang w:val="en-US"/>
              </w:rPr>
              <w:t>0.05</w:t>
            </w:r>
          </w:p>
          <w:p w14:paraId="6382F91B" w14:textId="78D5501C" w:rsidR="2BA18392" w:rsidRDefault="2BA18392">
            <w:r w:rsidRPr="57595FA5">
              <w:rPr>
                <w:lang w:val="en-US"/>
              </w:rPr>
              <w:t>0.02</w:t>
            </w:r>
          </w:p>
          <w:p w14:paraId="69F8B315" w14:textId="37B8770B" w:rsidR="2BA18392" w:rsidRDefault="2BA18392" w:rsidP="57595FA5">
            <w:pPr>
              <w:pStyle w:val="CETBodytext"/>
            </w:pPr>
            <w:r w:rsidRPr="57595FA5">
              <w:t>0.10</w:t>
            </w:r>
          </w:p>
        </w:tc>
        <w:tc>
          <w:tcPr>
            <w:tcW w:w="675" w:type="dxa"/>
            <w:tcBorders>
              <w:top w:val="single" w:sz="2" w:space="0" w:color="097010"/>
              <w:left w:val="none" w:sz="12" w:space="0" w:color="0B7306"/>
              <w:bottom w:val="single" w:sz="12" w:space="0" w:color="097010"/>
              <w:right w:val="none" w:sz="12" w:space="0" w:color="0B7306"/>
            </w:tcBorders>
            <w:vAlign w:val="center"/>
          </w:tcPr>
          <w:p w14:paraId="0627BA6E" w14:textId="7376ED1C" w:rsidR="797FCF21" w:rsidRDefault="797FCF21">
            <w:r w:rsidRPr="57595FA5">
              <w:rPr>
                <w:rFonts w:eastAsia="Arial" w:cs="Arial"/>
                <w:szCs w:val="18"/>
                <w:lang w:val="en-US"/>
              </w:rPr>
              <w:t>0.35</w:t>
            </w:r>
          </w:p>
          <w:p w14:paraId="435DF241" w14:textId="42FBE992" w:rsidR="797FCF21" w:rsidRDefault="797FCF21">
            <w:r w:rsidRPr="57595FA5">
              <w:rPr>
                <w:rFonts w:eastAsia="Arial" w:cs="Arial"/>
                <w:szCs w:val="18"/>
                <w:lang w:val="en-US"/>
              </w:rPr>
              <w:t>0.45</w:t>
            </w:r>
          </w:p>
          <w:p w14:paraId="17B8E32F" w14:textId="63B82BAF" w:rsidR="797FCF21" w:rsidRDefault="797FCF21">
            <w:r w:rsidRPr="57595FA5">
              <w:rPr>
                <w:rFonts w:eastAsia="Arial" w:cs="Arial"/>
                <w:szCs w:val="18"/>
                <w:lang w:val="en-US"/>
              </w:rPr>
              <w:t>0.55</w:t>
            </w:r>
          </w:p>
          <w:p w14:paraId="60C9C5D2" w14:textId="67EFC63E" w:rsidR="797FCF21" w:rsidRDefault="797FCF21">
            <w:r w:rsidRPr="57595FA5">
              <w:rPr>
                <w:rFonts w:eastAsia="Arial" w:cs="Arial"/>
                <w:szCs w:val="18"/>
                <w:lang w:val="en-US"/>
              </w:rPr>
              <w:t>0.60</w:t>
            </w:r>
          </w:p>
          <w:p w14:paraId="3468D7FB" w14:textId="01766CDC" w:rsidR="797FCF21" w:rsidRDefault="797FCF21">
            <w:r w:rsidRPr="57595FA5">
              <w:rPr>
                <w:rFonts w:eastAsia="Arial" w:cs="Arial"/>
                <w:szCs w:val="18"/>
                <w:lang w:val="en-US"/>
              </w:rPr>
              <w:t>0.00</w:t>
            </w:r>
          </w:p>
          <w:p w14:paraId="3AE1C956" w14:textId="0A9608D6" w:rsidR="797FCF21" w:rsidRDefault="797FCF21">
            <w:r w:rsidRPr="57595FA5">
              <w:rPr>
                <w:rFonts w:eastAsia="Arial" w:cs="Arial"/>
                <w:szCs w:val="18"/>
                <w:lang w:val="en-US"/>
              </w:rPr>
              <w:t>0.05</w:t>
            </w:r>
          </w:p>
          <w:p w14:paraId="49385695" w14:textId="2F487DCC" w:rsidR="797FCF21" w:rsidRDefault="797FCF21" w:rsidP="57595FA5">
            <w:r w:rsidRPr="57595FA5">
              <w:rPr>
                <w:rFonts w:eastAsia="Arial" w:cs="Arial"/>
                <w:szCs w:val="18"/>
                <w:lang w:val="en-US"/>
              </w:rPr>
              <w:t>0.15</w:t>
            </w:r>
          </w:p>
        </w:tc>
        <w:tc>
          <w:tcPr>
            <w:tcW w:w="630" w:type="dxa"/>
            <w:tcBorders>
              <w:top w:val="single" w:sz="2" w:space="0" w:color="097010"/>
              <w:left w:val="none" w:sz="12" w:space="0" w:color="0B7306"/>
              <w:bottom w:val="single" w:sz="12" w:space="0" w:color="097010"/>
              <w:right w:val="none" w:sz="12" w:space="0" w:color="0B7306"/>
            </w:tcBorders>
            <w:vAlign w:val="center"/>
          </w:tcPr>
          <w:p w14:paraId="54434B86" w14:textId="2A0E5444" w:rsidR="293D56C1" w:rsidRDefault="7667985C" w:rsidP="40C64767">
            <w:r w:rsidRPr="40C64767">
              <w:rPr>
                <w:rFonts w:eastAsia="Arial" w:cs="Arial"/>
                <w:szCs w:val="18"/>
                <w:lang w:val="en-US"/>
              </w:rPr>
              <w:t>0.40</w:t>
            </w:r>
          </w:p>
          <w:p w14:paraId="0C553BD3" w14:textId="785B08BC" w:rsidR="293D56C1" w:rsidRDefault="7667985C" w:rsidP="40C64767">
            <w:r w:rsidRPr="40C64767">
              <w:rPr>
                <w:rFonts w:eastAsia="Arial" w:cs="Arial"/>
                <w:szCs w:val="18"/>
                <w:lang w:val="en-US"/>
              </w:rPr>
              <w:t>0.50</w:t>
            </w:r>
          </w:p>
          <w:p w14:paraId="5FD8CF7E" w14:textId="5E4B6C34" w:rsidR="293D56C1" w:rsidRDefault="7667985C" w:rsidP="40C64767">
            <w:r w:rsidRPr="40C64767">
              <w:rPr>
                <w:rFonts w:eastAsia="Arial" w:cs="Arial"/>
                <w:szCs w:val="18"/>
                <w:lang w:val="en-US"/>
              </w:rPr>
              <w:t>0.35</w:t>
            </w:r>
          </w:p>
          <w:p w14:paraId="3C3BEE01" w14:textId="2AEEE6A4" w:rsidR="293D56C1" w:rsidRDefault="7667985C" w:rsidP="40C64767">
            <w:r w:rsidRPr="40C64767">
              <w:rPr>
                <w:rFonts w:eastAsia="Arial" w:cs="Arial"/>
                <w:szCs w:val="18"/>
                <w:lang w:val="en-US"/>
              </w:rPr>
              <w:t>0.65</w:t>
            </w:r>
          </w:p>
          <w:p w14:paraId="2E4954C5" w14:textId="18B8A6F5" w:rsidR="293D56C1" w:rsidRDefault="7667985C" w:rsidP="40C64767">
            <w:r w:rsidRPr="40C64767">
              <w:rPr>
                <w:rFonts w:eastAsia="Arial" w:cs="Arial"/>
                <w:szCs w:val="18"/>
                <w:lang w:val="en-US"/>
              </w:rPr>
              <w:t>0.00</w:t>
            </w:r>
          </w:p>
          <w:p w14:paraId="2BD7BC1F" w14:textId="137B8276" w:rsidR="293D56C1" w:rsidRDefault="7667985C" w:rsidP="40C64767">
            <w:r w:rsidRPr="40C64767">
              <w:rPr>
                <w:rFonts w:eastAsia="Arial" w:cs="Arial"/>
                <w:szCs w:val="18"/>
                <w:lang w:val="en-US"/>
              </w:rPr>
              <w:t>0.10</w:t>
            </w:r>
          </w:p>
          <w:p w14:paraId="2EA3DBFC" w14:textId="5108D7F6" w:rsidR="293D56C1" w:rsidRDefault="7667985C" w:rsidP="57595FA5">
            <w:r w:rsidRPr="40C64767">
              <w:rPr>
                <w:rFonts w:eastAsia="Arial" w:cs="Arial"/>
                <w:szCs w:val="18"/>
                <w:lang w:val="en-US"/>
              </w:rPr>
              <w:t>0.20</w:t>
            </w:r>
          </w:p>
        </w:tc>
        <w:tc>
          <w:tcPr>
            <w:tcW w:w="630" w:type="dxa"/>
            <w:tcBorders>
              <w:top w:val="single" w:sz="2" w:space="0" w:color="097010"/>
              <w:left w:val="none" w:sz="12" w:space="0" w:color="0B7306"/>
              <w:bottom w:val="single" w:sz="12" w:space="0" w:color="097010"/>
              <w:right w:val="none" w:sz="12" w:space="0" w:color="0B7306"/>
            </w:tcBorders>
            <w:vAlign w:val="center"/>
          </w:tcPr>
          <w:p w14:paraId="2531C7E8" w14:textId="2B69F172" w:rsidR="7667985C" w:rsidRDefault="7667985C">
            <w:r w:rsidRPr="40C64767">
              <w:rPr>
                <w:rFonts w:eastAsia="Arial" w:cs="Arial"/>
                <w:szCs w:val="18"/>
                <w:lang w:val="en-US"/>
              </w:rPr>
              <w:t>0.30</w:t>
            </w:r>
          </w:p>
          <w:p w14:paraId="5A166193" w14:textId="2B0C62D9" w:rsidR="7667985C" w:rsidRDefault="7667985C">
            <w:r w:rsidRPr="40C64767">
              <w:rPr>
                <w:rFonts w:eastAsia="Arial" w:cs="Arial"/>
                <w:szCs w:val="18"/>
                <w:lang w:val="en-US"/>
              </w:rPr>
              <w:t>0.20</w:t>
            </w:r>
          </w:p>
          <w:p w14:paraId="32F21D32" w14:textId="2227C2B2" w:rsidR="7667985C" w:rsidRDefault="7667985C">
            <w:r w:rsidRPr="40C64767">
              <w:rPr>
                <w:rFonts w:eastAsia="Arial" w:cs="Arial"/>
                <w:szCs w:val="18"/>
                <w:lang w:val="en-US"/>
              </w:rPr>
              <w:t>0.10</w:t>
            </w:r>
          </w:p>
          <w:p w14:paraId="4B0DF67E" w14:textId="7B0BE207" w:rsidR="7667985C" w:rsidRDefault="7667985C">
            <w:r w:rsidRPr="40C64767">
              <w:rPr>
                <w:rFonts w:eastAsia="Arial" w:cs="Arial"/>
                <w:szCs w:val="18"/>
                <w:lang w:val="en-US"/>
              </w:rPr>
              <w:t>0.70</w:t>
            </w:r>
          </w:p>
          <w:p w14:paraId="0D64CE45" w14:textId="6A3C2819" w:rsidR="7667985C" w:rsidRDefault="7667985C">
            <w:r w:rsidRPr="40C64767">
              <w:rPr>
                <w:rFonts w:eastAsia="Arial" w:cs="Arial"/>
                <w:szCs w:val="18"/>
                <w:lang w:val="en-US"/>
              </w:rPr>
              <w:t>0.00</w:t>
            </w:r>
          </w:p>
          <w:p w14:paraId="76F97521" w14:textId="7904F703" w:rsidR="7667985C" w:rsidRDefault="7667985C">
            <w:r w:rsidRPr="40C64767">
              <w:rPr>
                <w:rFonts w:eastAsia="Arial" w:cs="Arial"/>
                <w:szCs w:val="18"/>
                <w:lang w:val="en-US"/>
              </w:rPr>
              <w:t>0.00</w:t>
            </w:r>
          </w:p>
          <w:p w14:paraId="678A9BFF" w14:textId="2D15113E" w:rsidR="7667985C" w:rsidRDefault="7667985C" w:rsidP="40C64767">
            <w:r w:rsidRPr="40C64767">
              <w:rPr>
                <w:rFonts w:eastAsia="Arial" w:cs="Arial"/>
                <w:szCs w:val="18"/>
                <w:lang w:val="en-US"/>
              </w:rPr>
              <w:t>0.00</w:t>
            </w:r>
          </w:p>
        </w:tc>
        <w:tc>
          <w:tcPr>
            <w:tcW w:w="630" w:type="dxa"/>
            <w:tcBorders>
              <w:top w:val="single" w:sz="2" w:space="0" w:color="097010"/>
              <w:left w:val="none" w:sz="12" w:space="0" w:color="0B7306"/>
              <w:bottom w:val="single" w:sz="12" w:space="0" w:color="097010"/>
              <w:right w:val="none" w:sz="12" w:space="0" w:color="0B7306"/>
            </w:tcBorders>
            <w:vAlign w:val="center"/>
          </w:tcPr>
          <w:p w14:paraId="2491EC49" w14:textId="52A49B96" w:rsidR="5E724425" w:rsidRDefault="5E724425">
            <w:r w:rsidRPr="40C64767">
              <w:rPr>
                <w:rFonts w:eastAsia="Arial" w:cs="Arial"/>
                <w:szCs w:val="18"/>
                <w:lang w:val="en-US"/>
              </w:rPr>
              <w:t>0.35</w:t>
            </w:r>
          </w:p>
          <w:p w14:paraId="01821752" w14:textId="05301DEA" w:rsidR="5E724425" w:rsidRDefault="5E724425">
            <w:r w:rsidRPr="40C64767">
              <w:rPr>
                <w:rFonts w:eastAsia="Arial" w:cs="Arial"/>
                <w:szCs w:val="18"/>
                <w:lang w:val="en-US"/>
              </w:rPr>
              <w:t>0.65</w:t>
            </w:r>
          </w:p>
          <w:p w14:paraId="42AC52B5" w14:textId="31F7D98F" w:rsidR="5E724425" w:rsidRDefault="5E724425">
            <w:r w:rsidRPr="40C64767">
              <w:rPr>
                <w:rFonts w:eastAsia="Arial" w:cs="Arial"/>
                <w:szCs w:val="18"/>
                <w:lang w:val="en-US"/>
              </w:rPr>
              <w:t>0.00</w:t>
            </w:r>
          </w:p>
          <w:p w14:paraId="3D69957A" w14:textId="05DB3175" w:rsidR="5E724425" w:rsidRDefault="5E724425">
            <w:r w:rsidRPr="40C64767">
              <w:rPr>
                <w:rFonts w:eastAsia="Arial" w:cs="Arial"/>
                <w:szCs w:val="18"/>
                <w:lang w:val="en-US"/>
              </w:rPr>
              <w:t>0.85</w:t>
            </w:r>
          </w:p>
          <w:p w14:paraId="2783F5F9" w14:textId="4970E590" w:rsidR="5E724425" w:rsidRDefault="5E724425">
            <w:r w:rsidRPr="40C64767">
              <w:rPr>
                <w:rFonts w:eastAsia="Arial" w:cs="Arial"/>
                <w:szCs w:val="18"/>
                <w:lang w:val="en-US"/>
              </w:rPr>
              <w:t>0.05</w:t>
            </w:r>
          </w:p>
          <w:p w14:paraId="4831B009" w14:textId="3921A609" w:rsidR="5E724425" w:rsidRDefault="5E724425">
            <w:r w:rsidRPr="40C64767">
              <w:rPr>
                <w:rFonts w:eastAsia="Arial" w:cs="Arial"/>
                <w:szCs w:val="18"/>
                <w:lang w:val="en-US"/>
              </w:rPr>
              <w:t>0.20</w:t>
            </w:r>
          </w:p>
          <w:p w14:paraId="00AA06A7" w14:textId="006FE145" w:rsidR="5E724425" w:rsidRDefault="5E724425" w:rsidP="40C64767">
            <w:r w:rsidRPr="40C64767">
              <w:rPr>
                <w:rFonts w:eastAsia="Arial" w:cs="Arial"/>
                <w:szCs w:val="18"/>
                <w:lang w:val="en-US"/>
              </w:rPr>
              <w:t>0.10</w:t>
            </w:r>
          </w:p>
        </w:tc>
        <w:tc>
          <w:tcPr>
            <w:tcW w:w="2205" w:type="dxa"/>
            <w:tcBorders>
              <w:top w:val="single" w:sz="2" w:space="0" w:color="097010"/>
              <w:left w:val="none" w:sz="12" w:space="0" w:color="0B7306"/>
              <w:bottom w:val="single" w:sz="12" w:space="0" w:color="097010"/>
              <w:right w:val="none" w:sz="12" w:space="0" w:color="0B7306"/>
            </w:tcBorders>
            <w:vAlign w:val="center"/>
          </w:tcPr>
          <w:p w14:paraId="382D6A6D" w14:textId="77777777" w:rsidR="0028778B" w:rsidRDefault="0028778B">
            <w:pPr>
              <w:rPr>
                <w:rFonts w:eastAsia="Arial" w:cs="Arial"/>
                <w:szCs w:val="18"/>
              </w:rPr>
            </w:pPr>
            <w:r w:rsidRPr="0028778B">
              <w:rPr>
                <w:rFonts w:eastAsia="Arial" w:cs="Arial"/>
                <w:szCs w:val="18"/>
              </w:rPr>
              <w:t>Moderate</w:t>
            </w:r>
          </w:p>
          <w:p w14:paraId="3D39E4EA" w14:textId="5BDC942D" w:rsidR="22514788" w:rsidRDefault="22514788">
            <w:r w:rsidRPr="40C64767">
              <w:rPr>
                <w:rFonts w:eastAsia="Arial" w:cs="Arial"/>
                <w:szCs w:val="18"/>
                <w:lang w:val="en-US"/>
              </w:rPr>
              <w:t>Moderate to strong</w:t>
            </w:r>
          </w:p>
          <w:p w14:paraId="40976D50" w14:textId="4398F568" w:rsidR="22514788" w:rsidRDefault="0028778B">
            <w:r>
              <w:rPr>
                <w:rFonts w:eastAsia="Arial" w:cs="Arial"/>
                <w:szCs w:val="18"/>
                <w:lang w:val="en-US"/>
              </w:rPr>
              <w:t>None</w:t>
            </w:r>
            <w:r w:rsidR="22514788" w:rsidRPr="40C64767">
              <w:rPr>
                <w:rFonts w:eastAsia="Arial" w:cs="Arial"/>
                <w:szCs w:val="18"/>
                <w:lang w:val="en-US"/>
              </w:rPr>
              <w:t xml:space="preserve"> to strong </w:t>
            </w:r>
          </w:p>
          <w:p w14:paraId="3784329E" w14:textId="70FDA030" w:rsidR="22514788" w:rsidRDefault="22514788">
            <w:r w:rsidRPr="40C64767">
              <w:rPr>
                <w:rFonts w:eastAsia="Arial" w:cs="Arial"/>
                <w:szCs w:val="18"/>
                <w:lang w:val="en-US"/>
              </w:rPr>
              <w:t>Moderate to very strong</w:t>
            </w:r>
          </w:p>
          <w:p w14:paraId="3C4AE393" w14:textId="4545F695" w:rsidR="22514788" w:rsidRDefault="22514788">
            <w:r w:rsidRPr="40C64767">
              <w:rPr>
                <w:rFonts w:eastAsia="Arial" w:cs="Arial"/>
                <w:szCs w:val="18"/>
                <w:lang w:val="en-US"/>
              </w:rPr>
              <w:t>Negligible</w:t>
            </w:r>
          </w:p>
          <w:p w14:paraId="71275F1E" w14:textId="35231F41" w:rsidR="22514788" w:rsidRDefault="22514788">
            <w:r w:rsidRPr="40C64767">
              <w:rPr>
                <w:rFonts w:eastAsia="Arial" w:cs="Arial"/>
                <w:szCs w:val="18"/>
                <w:lang w:val="en-US"/>
              </w:rPr>
              <w:t>None to weak</w:t>
            </w:r>
          </w:p>
          <w:p w14:paraId="3D658768" w14:textId="3867FED0" w:rsidR="22514788" w:rsidRDefault="0028778B" w:rsidP="40C64767">
            <w:r>
              <w:rPr>
                <w:rFonts w:eastAsia="Arial" w:cs="Arial"/>
                <w:szCs w:val="18"/>
                <w:lang w:val="en-US"/>
              </w:rPr>
              <w:t>None to w</w:t>
            </w:r>
            <w:r w:rsidR="22514788" w:rsidRPr="40C64767">
              <w:rPr>
                <w:rFonts w:eastAsia="Arial" w:cs="Arial"/>
                <w:szCs w:val="18"/>
                <w:lang w:val="en-US"/>
              </w:rPr>
              <w:t>eak</w:t>
            </w:r>
          </w:p>
        </w:tc>
        <w:tc>
          <w:tcPr>
            <w:tcW w:w="345" w:type="dxa"/>
            <w:tcBorders>
              <w:top w:val="single" w:sz="2" w:space="0" w:color="097010"/>
              <w:left w:val="none" w:sz="12" w:space="0" w:color="0B7306"/>
              <w:bottom w:val="single" w:sz="12" w:space="0" w:color="097010"/>
              <w:right w:val="none" w:sz="12" w:space="0" w:color="0B7306"/>
            </w:tcBorders>
            <w:vAlign w:val="center"/>
          </w:tcPr>
          <w:p w14:paraId="2C059F0F" w14:textId="29F37C86" w:rsidR="40C64767" w:rsidRDefault="40C64767" w:rsidP="40C64767">
            <w:pPr>
              <w:rPr>
                <w:lang w:val="en-US"/>
              </w:rPr>
            </w:pPr>
          </w:p>
        </w:tc>
      </w:tr>
    </w:tbl>
    <w:p w14:paraId="279A7D38" w14:textId="048A7A8C" w:rsidR="4B3C04D9" w:rsidRDefault="067B99BD" w:rsidP="442AF692">
      <w:pPr>
        <w:pStyle w:val="CETHeading1"/>
      </w:pPr>
      <w:r>
        <w:t>Conclusion</w:t>
      </w:r>
    </w:p>
    <w:p w14:paraId="45DDC41D" w14:textId="0F52792B" w:rsidR="57595FA5" w:rsidRDefault="6F0FA18A" w:rsidP="57595FA5">
      <w:pPr>
        <w:pStyle w:val="CETBodytext"/>
      </w:pPr>
      <w:r>
        <w:t>This study presented the development and deployment of a portable multi-detector system for monitoring indoor air quality in school environments, with a focus on formaldehyde measurements. The six-week campaign conducted in fourteen classrooms across five schools provided high-resolution data under real operating conditions, enabling the characterization of pollutant dynamics in occupied environments.</w:t>
      </w:r>
    </w:p>
    <w:p w14:paraId="4A8A6E9D" w14:textId="2AC03BBB" w:rsidR="57595FA5" w:rsidRDefault="6F0FA18A" w:rsidP="57595FA5">
      <w:pPr>
        <w:pStyle w:val="CETBodytext"/>
      </w:pPr>
      <w:r>
        <w:lastRenderedPageBreak/>
        <w:t xml:space="preserve">The results highlight significant spatial and temporal variability of formaldehyde concentrations between classrooms, with distinct behaviors observed depending on room characteristics, </w:t>
      </w:r>
      <w:r w:rsidR="00000250">
        <w:t>air renewal</w:t>
      </w:r>
      <w:r>
        <w:t xml:space="preserve"> practices, and usage conditions. While all measured concentrations remained below the WHO short-term guideline, a majority of classrooms exhibited median values above the French long-term reference value, underlining the relevance of continuous monitoring in such environments.</w:t>
      </w:r>
    </w:p>
    <w:p w14:paraId="44B4B061" w14:textId="77777777" w:rsidR="007A0774" w:rsidRDefault="007A0774" w:rsidP="57595FA5">
      <w:pPr>
        <w:pStyle w:val="CETBodytext"/>
      </w:pPr>
      <w:r>
        <w:t>Correlation analysis indicates that formaldehyde measurements are associated with several environmental parameters, particularly temperature and relative humidity, while weaker relationships are observed with carbon dioxide, particulate matter, and acoustic levels. These observations suggest that both emission processes and environmental conditions contribute to the variability of the measured signal. The relative importance of these factors may differ between classrooms depending on characteristics such as ventilation practices, occupancy patterns, and material-related emission sources.</w:t>
      </w:r>
    </w:p>
    <w:p w14:paraId="3F22D5F8" w14:textId="6F290513" w:rsidR="57595FA5" w:rsidRDefault="00345F2F" w:rsidP="57595FA5">
      <w:pPr>
        <w:pStyle w:val="CETBodytext"/>
      </w:pPr>
      <w:r w:rsidRPr="00345F2F">
        <w:t>Overall, this work demonstrates the relevance of multi-parameter monitoring for investigating indoor air quality in schools and provides a practical approach for collecting high-resolution data using portable and low-cost instrumentation. The observed variability between classrooms, together with the differences in correlation strengths across parameters, indicates that formaldehyde concentrations are influenced by several interacting factors rather than by a single dominant variable. Future work will therefore focus on improving sensor characterization under controlled conditions and refining data analysis methods to better distinguish between environmental influences, emission-related variations, and measurement effects in educational buildings</w:t>
      </w:r>
      <w:r w:rsidR="6F0FA18A">
        <w:t>.</w:t>
      </w:r>
    </w:p>
    <w:p w14:paraId="0EDF2B36" w14:textId="77777777" w:rsidR="0059080C" w:rsidRDefault="0059080C" w:rsidP="0059080C">
      <w:pPr>
        <w:pStyle w:val="CETAcknowledgementstitle"/>
      </w:pPr>
      <w:r>
        <w:t>Acknowledgements</w:t>
      </w:r>
    </w:p>
    <w:p w14:paraId="609D633B" w14:textId="228969A5" w:rsidR="0059080C" w:rsidRPr="0059080C" w:rsidRDefault="0059080C" w:rsidP="0059080C">
      <w:pPr>
        <w:pStyle w:val="CETBodytext"/>
      </w:pPr>
      <w:r w:rsidRPr="0059080C">
        <w:t>This work was supported by Rennes Regional Education Authority</w:t>
      </w:r>
    </w:p>
    <w:p w14:paraId="213392CC" w14:textId="77777777" w:rsidR="00720480" w:rsidRDefault="731388CF">
      <w:pPr>
        <w:pStyle w:val="CETHeading1"/>
      </w:pPr>
      <w:r>
        <w:t>References</w:t>
      </w:r>
    </w:p>
    <w:p w14:paraId="07A86D54" w14:textId="09D7247D" w:rsidR="5EEAEE8F" w:rsidRDefault="002A75C7" w:rsidP="442AF692">
      <w:pPr>
        <w:pStyle w:val="CETReferencetext"/>
      </w:pPr>
      <w:r w:rsidRPr="002A75C7">
        <w:t xml:space="preserve">Báthory, C., Dobó, Z., Garami, A., Palotás, Á., &amp; Tóth, P. (2022). Low-cost monitoring of atmospheric PM—development and testing. Journal of Environmental Management, 304, </w:t>
      </w:r>
      <w:r w:rsidR="00417286" w:rsidRPr="002A75C7">
        <w:t>114158</w:t>
      </w:r>
      <w:r w:rsidR="00417286">
        <w:t>.</w:t>
      </w:r>
    </w:p>
    <w:p w14:paraId="3552F0D7" w14:textId="4A3DFE23" w:rsidR="71543FEA" w:rsidRPr="000B7355" w:rsidRDefault="71543FEA" w:rsidP="40C64767">
      <w:pPr>
        <w:pStyle w:val="CETReferencetext"/>
        <w:rPr>
          <w:szCs w:val="18"/>
          <w:lang w:val="fr-FR"/>
        </w:rPr>
      </w:pPr>
      <w:r w:rsidRPr="40C64767">
        <w:t xml:space="preserve">Decree n° 2011-1727 (2011). French indoor air quality guideline values for formaldehyde and benzene. </w:t>
      </w:r>
      <w:r w:rsidRPr="000B7355">
        <w:rPr>
          <w:lang w:val="fr-FR"/>
        </w:rPr>
        <w:t>Journal Officiel de la République Française (JORF), p. 20529, texte n° 4.</w:t>
      </w:r>
    </w:p>
    <w:p w14:paraId="54E527DF" w14:textId="35071695" w:rsidR="5EEAEE8F" w:rsidRDefault="5EEAEE8F" w:rsidP="442AF692">
      <w:pPr>
        <w:pStyle w:val="CETReferencetext"/>
      </w:pPr>
      <w:r w:rsidRPr="40C64767">
        <w:t>Hong, G.H., Le, T.C., Lin, G.Y., 2023. Long-term field calibration of low-cost metal oxide VOC sensor: Meteorological and interference gas effects. Atmospheric Environment, 310, 119955.</w:t>
      </w:r>
    </w:p>
    <w:p w14:paraId="0309D176" w14:textId="45FC5C62" w:rsidR="0780C365" w:rsidRDefault="0780C365" w:rsidP="40C64767">
      <w:pPr>
        <w:pStyle w:val="CETReferencetext"/>
      </w:pPr>
      <w:r w:rsidRPr="40C64767">
        <w:t xml:space="preserve">Liang, E., </w:t>
      </w:r>
      <w:proofErr w:type="spellStart"/>
      <w:r w:rsidRPr="40C64767">
        <w:t>Lv</w:t>
      </w:r>
      <w:proofErr w:type="spellEnd"/>
      <w:r w:rsidRPr="40C64767">
        <w:t xml:space="preserve">, M., Yang, X. (2016). The combined effects of temperature and humidity on initial </w:t>
      </w:r>
      <w:proofErr w:type="spellStart"/>
      <w:r w:rsidRPr="40C64767">
        <w:t>emittable</w:t>
      </w:r>
      <w:proofErr w:type="spellEnd"/>
      <w:r w:rsidRPr="40C64767">
        <w:t xml:space="preserve"> formaldehyde concentration of a medium-density </w:t>
      </w:r>
      <w:proofErr w:type="spellStart"/>
      <w:r w:rsidRPr="40C64767">
        <w:t>fiberboard</w:t>
      </w:r>
      <w:proofErr w:type="spellEnd"/>
      <w:r w:rsidRPr="40C64767">
        <w:t xml:space="preserve">. </w:t>
      </w:r>
      <w:r w:rsidRPr="40C64767">
        <w:rPr>
          <w:i/>
          <w:iCs/>
        </w:rPr>
        <w:t>Building and Environment</w:t>
      </w:r>
      <w:r w:rsidRPr="40C64767">
        <w:t xml:space="preserve">, 98, 80–88. </w:t>
      </w:r>
    </w:p>
    <w:p w14:paraId="3D7C31BE" w14:textId="79AF8657" w:rsidR="5EEAEE8F" w:rsidRDefault="5EEAEE8F" w:rsidP="442AF692">
      <w:pPr>
        <w:pStyle w:val="CETReferencetext"/>
      </w:pPr>
      <w:r w:rsidRPr="442AF692">
        <w:t xml:space="preserve"> McGarry, P., Noakes, C.J., Sleigh, P.A., 2025. Addressing actual and community expectations on CO₂ monitoring in ventilated spaces. Indoor Environments, 3, 100030.</w:t>
      </w:r>
    </w:p>
    <w:p w14:paraId="29DC4309" w14:textId="1D1C8F46" w:rsidR="5EEAEE8F" w:rsidRDefault="5EEAEE8F" w:rsidP="442AF692">
      <w:pPr>
        <w:pStyle w:val="CETReferencetext"/>
      </w:pPr>
      <w:r w:rsidRPr="442AF692">
        <w:t>Pearson, K., 1896. Mathematical contributions to the theory of evolution. III. Regression, heredity and panmixia. Philosophical Transactions of the Royal Society of London, 187, pp. 253–318.</w:t>
      </w:r>
    </w:p>
    <w:p w14:paraId="3C0C0D1A" w14:textId="3CA62FB1" w:rsidR="5EEAEE8F" w:rsidRPr="0075344B" w:rsidRDefault="5EEAEE8F" w:rsidP="442AF692">
      <w:pPr>
        <w:pStyle w:val="CETReferencetext"/>
      </w:pPr>
      <w:r w:rsidRPr="442AF692">
        <w:t xml:space="preserve"> Pei, Z., </w:t>
      </w:r>
      <w:proofErr w:type="spellStart"/>
      <w:r w:rsidRPr="442AF692">
        <w:t>Balitskiy</w:t>
      </w:r>
      <w:proofErr w:type="spellEnd"/>
      <w:r w:rsidRPr="442AF692">
        <w:t xml:space="preserve">, M., Thalman, R., Kelly, K.E., 2023. Laboratory performance evaluation of a low-cost electrochemical formaldehyde sensor. </w:t>
      </w:r>
      <w:r w:rsidRPr="0075344B">
        <w:t>Sensors, 23, 7444.</w:t>
      </w:r>
    </w:p>
    <w:p w14:paraId="6CA44392" w14:textId="4FF6786D" w:rsidR="5EEAEE8F" w:rsidRDefault="5EEAEE8F" w:rsidP="442AF692">
      <w:pPr>
        <w:pStyle w:val="CETReferencetext"/>
      </w:pPr>
      <w:r w:rsidRPr="0075344B">
        <w:t xml:space="preserve"> Poulhet, G., Dusanter, S., </w:t>
      </w:r>
      <w:proofErr w:type="spellStart"/>
      <w:r w:rsidRPr="0075344B">
        <w:t>Crunaire</w:t>
      </w:r>
      <w:proofErr w:type="spellEnd"/>
      <w:r w:rsidRPr="0075344B">
        <w:t xml:space="preserve">, S., </w:t>
      </w:r>
      <w:proofErr w:type="spellStart"/>
      <w:r w:rsidRPr="0075344B">
        <w:t>Locoge</w:t>
      </w:r>
      <w:proofErr w:type="spellEnd"/>
      <w:r w:rsidRPr="0075344B">
        <w:t xml:space="preserve">, N., </w:t>
      </w:r>
      <w:proofErr w:type="spellStart"/>
      <w:r w:rsidRPr="0075344B">
        <w:t>Gauduin</w:t>
      </w:r>
      <w:proofErr w:type="spellEnd"/>
      <w:r w:rsidRPr="0075344B">
        <w:t xml:space="preserve">, J., Thomas, S., Kaluzny, P., </w:t>
      </w:r>
      <w:proofErr w:type="spellStart"/>
      <w:r w:rsidRPr="0075344B">
        <w:t>Coddeville</w:t>
      </w:r>
      <w:proofErr w:type="spellEnd"/>
      <w:r w:rsidRPr="0075344B">
        <w:t xml:space="preserve">, P., </w:t>
      </w:r>
      <w:proofErr w:type="spellStart"/>
      <w:r w:rsidRPr="0075344B">
        <w:t>Galloo</w:t>
      </w:r>
      <w:proofErr w:type="spellEnd"/>
      <w:r w:rsidRPr="0075344B">
        <w:t xml:space="preserve">, J.C., 2014. </w:t>
      </w:r>
      <w:r w:rsidRPr="442AF692">
        <w:t>Investigation of formaldehyde sources in French schools using a passive flux sampler. Building and Environment, 71, pp. 111–120.</w:t>
      </w:r>
    </w:p>
    <w:p w14:paraId="0CBE0789" w14:textId="3AEC2D76" w:rsidR="5EEAEE8F" w:rsidRDefault="5EEAEE8F" w:rsidP="442AF692">
      <w:pPr>
        <w:pStyle w:val="CETReferencetext"/>
      </w:pPr>
      <w:r w:rsidRPr="442AF692">
        <w:t xml:space="preserve"> Sadrizadeh, S., Yao, R., Yuan, F., Awbi, H., </w:t>
      </w:r>
      <w:proofErr w:type="spellStart"/>
      <w:r w:rsidRPr="442AF692">
        <w:t>Bahnfleth</w:t>
      </w:r>
      <w:proofErr w:type="spellEnd"/>
      <w:r w:rsidRPr="442AF692">
        <w:t xml:space="preserve">, W., Bi, Y., Cao, G., Croitoru, C., de Dear, R., Haghighat, F., Kumar, P., </w:t>
      </w:r>
      <w:proofErr w:type="spellStart"/>
      <w:r w:rsidRPr="442AF692">
        <w:t>Malayeri</w:t>
      </w:r>
      <w:proofErr w:type="spellEnd"/>
      <w:r w:rsidRPr="442AF692">
        <w:t>, M., Nasiri, F., Ruud, M., Sadeghian, P., Wargocki, P., Xiong, J., Yu, W., Li, B., 2022. Indoor air quality and health in schools: A critical review for developing the roadmap for the future school environment. Journal of Building Engineering, 57, 104908.</w:t>
      </w:r>
    </w:p>
    <w:p w14:paraId="65E34733" w14:textId="051224DD" w:rsidR="5EEAEE8F" w:rsidRDefault="5EEAEE8F" w:rsidP="442AF692">
      <w:pPr>
        <w:pStyle w:val="CETReferencetext"/>
      </w:pPr>
      <w:r w:rsidRPr="442AF692">
        <w:t xml:space="preserve"> </w:t>
      </w:r>
      <w:proofErr w:type="spellStart"/>
      <w:r w:rsidRPr="442AF692">
        <w:t>Salthammer</w:t>
      </w:r>
      <w:proofErr w:type="spellEnd"/>
      <w:r w:rsidRPr="442AF692">
        <w:t xml:space="preserve">, T., </w:t>
      </w:r>
      <w:proofErr w:type="spellStart"/>
      <w:r w:rsidRPr="442AF692">
        <w:t>Mentese</w:t>
      </w:r>
      <w:proofErr w:type="spellEnd"/>
      <w:r w:rsidRPr="442AF692">
        <w:t>, S., Marutzky, R., 2010. Formaldehyde in the indoor environment. Chemical Reviews, 110, pp. 2536–2572.</w:t>
      </w:r>
    </w:p>
    <w:p w14:paraId="7B3A535A" w14:textId="5C0CCAEC" w:rsidR="4BE0A2A9" w:rsidRPr="00790889" w:rsidRDefault="4BE0A2A9" w:rsidP="40C64767">
      <w:pPr>
        <w:pStyle w:val="CETReferencetext"/>
        <w:rPr>
          <w:lang w:val="fr-FR"/>
        </w:rPr>
      </w:pPr>
      <w:r w:rsidRPr="40C64767">
        <w:t xml:space="preserve">Tang, X., Bai, Y., Duong, A., Smith, M.T., Li, L., Zhang, L. (2009). Formaldehyde in China: Production, consumption, exposure levels, and health effects. </w:t>
      </w:r>
      <w:proofErr w:type="spellStart"/>
      <w:r w:rsidRPr="00790889">
        <w:rPr>
          <w:i/>
          <w:iCs/>
          <w:lang w:val="fr-FR"/>
        </w:rPr>
        <w:t>Environment</w:t>
      </w:r>
      <w:proofErr w:type="spellEnd"/>
      <w:r w:rsidRPr="00790889">
        <w:rPr>
          <w:i/>
          <w:iCs/>
          <w:lang w:val="fr-FR"/>
        </w:rPr>
        <w:t xml:space="preserve"> International</w:t>
      </w:r>
      <w:r w:rsidRPr="00790889">
        <w:rPr>
          <w:lang w:val="fr-FR"/>
        </w:rPr>
        <w:t>, 35(8), 1210–1224.</w:t>
      </w:r>
    </w:p>
    <w:p w14:paraId="1278DD02" w14:textId="11228078" w:rsidR="007A0774" w:rsidRDefault="007A0774" w:rsidP="007A0774">
      <w:pPr>
        <w:pStyle w:val="CETReferencetext"/>
      </w:pPr>
      <w:proofErr w:type="spellStart"/>
      <w:r w:rsidRPr="00A81B64">
        <w:rPr>
          <w:lang w:val="fr-FR"/>
        </w:rPr>
        <w:t>Trocquet</w:t>
      </w:r>
      <w:proofErr w:type="spellEnd"/>
      <w:r w:rsidRPr="00A81B64">
        <w:rPr>
          <w:lang w:val="fr-FR"/>
        </w:rPr>
        <w:t>, C., Lara-</w:t>
      </w:r>
      <w:proofErr w:type="spellStart"/>
      <w:r w:rsidRPr="00A81B64">
        <w:rPr>
          <w:lang w:val="fr-FR"/>
        </w:rPr>
        <w:t>Ibeas</w:t>
      </w:r>
      <w:proofErr w:type="spellEnd"/>
      <w:r w:rsidRPr="00A81B64">
        <w:rPr>
          <w:lang w:val="fr-FR"/>
        </w:rPr>
        <w:t xml:space="preserve">, I., Becker, A., Schulz, A., Bernhardt, P., Person, V., Cormerais, B., </w:t>
      </w:r>
      <w:proofErr w:type="spellStart"/>
      <w:r w:rsidRPr="00A81B64">
        <w:rPr>
          <w:lang w:val="fr-FR"/>
        </w:rPr>
        <w:t>Englaro</w:t>
      </w:r>
      <w:proofErr w:type="spellEnd"/>
      <w:r w:rsidRPr="00A81B64">
        <w:rPr>
          <w:lang w:val="fr-FR"/>
        </w:rPr>
        <w:t xml:space="preserve">, S., Le Calvé, S., 2023. </w:t>
      </w:r>
      <w:r>
        <w:t xml:space="preserve">Continuous real-time monitoring of formaldehyde over 5 weeks in two French primary schools: identification of the relevant time resolution and the most appropriate ventilation scenario. </w:t>
      </w:r>
      <w:r>
        <w:rPr>
          <w:rStyle w:val="Emphasis"/>
        </w:rPr>
        <w:t>Air Quality, Atmosphere &amp; Health</w:t>
      </w:r>
      <w:r>
        <w:t>, 16(6), 1091–1115.</w:t>
      </w:r>
    </w:p>
    <w:p w14:paraId="71D1A376" w14:textId="4ACC0D2E" w:rsidR="007A0774" w:rsidRDefault="007A0774" w:rsidP="007A0774">
      <w:pPr>
        <w:pStyle w:val="CETReferencetext"/>
      </w:pPr>
      <w:r w:rsidRPr="00A81B64">
        <w:t>World Health Organization (WHO), 2010. WHO Guidelines for Indoor Air Quality: Selected Pollutants. WHO Regional Office for Europe, Copenhagen, Denmark</w:t>
      </w:r>
      <w:r>
        <w:t>.</w:t>
      </w:r>
    </w:p>
    <w:p w14:paraId="444D588B" w14:textId="51CA2E4D" w:rsidR="5EEAEE8F" w:rsidRDefault="5EEAEE8F" w:rsidP="442AF692">
      <w:pPr>
        <w:pStyle w:val="CETReferencetext"/>
      </w:pPr>
      <w:r w:rsidRPr="442AF692">
        <w:t xml:space="preserve"> Zusman, M., Schumacher, C.S., Gassett, A.J., Spalt, E.W., Austin, E., Larson, T.V., </w:t>
      </w:r>
      <w:proofErr w:type="spellStart"/>
      <w:r w:rsidRPr="442AF692">
        <w:t>Carvlin</w:t>
      </w:r>
      <w:proofErr w:type="spellEnd"/>
      <w:r w:rsidRPr="442AF692">
        <w:t>, G., Seto, E., Kaufman, J.D., Sheppard, L., 2020. Calibration of low-cost particulate matter sensors: Model development for a multi-city epidemiological study. Environment International, 134, 105329.</w:t>
      </w:r>
    </w:p>
    <w:sectPr w:rsidR="5EEAEE8F"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4E7C5" w14:textId="77777777" w:rsidR="008E7D91" w:rsidRDefault="008E7D91" w:rsidP="004F5E36">
      <w:r>
        <w:separator/>
      </w:r>
    </w:p>
  </w:endnote>
  <w:endnote w:type="continuationSeparator" w:id="0">
    <w:p w14:paraId="44868AA2" w14:textId="77777777" w:rsidR="008E7D91" w:rsidRDefault="008E7D91"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06D5B" w14:textId="77777777" w:rsidR="008E7D91" w:rsidRDefault="008E7D91" w:rsidP="004F5E36">
      <w:r>
        <w:separator/>
      </w:r>
    </w:p>
  </w:footnote>
  <w:footnote w:type="continuationSeparator" w:id="0">
    <w:p w14:paraId="5760380C" w14:textId="77777777" w:rsidR="008E7D91" w:rsidRDefault="008E7D91"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eSimpl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35271407">
    <w:abstractNumId w:val="10"/>
  </w:num>
  <w:num w:numId="2" w16cid:durableId="1937982463">
    <w:abstractNumId w:val="8"/>
  </w:num>
  <w:num w:numId="3" w16cid:durableId="2101677178">
    <w:abstractNumId w:val="3"/>
  </w:num>
  <w:num w:numId="4" w16cid:durableId="816142018">
    <w:abstractNumId w:val="2"/>
  </w:num>
  <w:num w:numId="5" w16cid:durableId="714356340">
    <w:abstractNumId w:val="1"/>
  </w:num>
  <w:num w:numId="6" w16cid:durableId="134564796">
    <w:abstractNumId w:val="0"/>
  </w:num>
  <w:num w:numId="7" w16cid:durableId="668026656">
    <w:abstractNumId w:val="9"/>
  </w:num>
  <w:num w:numId="8" w16cid:durableId="897015854">
    <w:abstractNumId w:val="7"/>
  </w:num>
  <w:num w:numId="9" w16cid:durableId="1854605655">
    <w:abstractNumId w:val="6"/>
  </w:num>
  <w:num w:numId="10" w16cid:durableId="641078111">
    <w:abstractNumId w:val="5"/>
  </w:num>
  <w:num w:numId="11" w16cid:durableId="2044161582">
    <w:abstractNumId w:val="4"/>
  </w:num>
  <w:num w:numId="12" w16cid:durableId="1923832066">
    <w:abstractNumId w:val="17"/>
  </w:num>
  <w:num w:numId="13" w16cid:durableId="445662857">
    <w:abstractNumId w:val="12"/>
  </w:num>
  <w:num w:numId="14" w16cid:durableId="1345278435">
    <w:abstractNumId w:val="18"/>
  </w:num>
  <w:num w:numId="15" w16cid:durableId="248973978">
    <w:abstractNumId w:val="20"/>
  </w:num>
  <w:num w:numId="16" w16cid:durableId="10687446">
    <w:abstractNumId w:val="19"/>
  </w:num>
  <w:num w:numId="17" w16cid:durableId="108596342">
    <w:abstractNumId w:val="11"/>
  </w:num>
  <w:num w:numId="18" w16cid:durableId="1007174052">
    <w:abstractNumId w:val="12"/>
    <w:lvlOverride w:ilvl="0">
      <w:startOverride w:val="1"/>
    </w:lvlOverride>
  </w:num>
  <w:num w:numId="19" w16cid:durableId="747119597">
    <w:abstractNumId w:val="16"/>
  </w:num>
  <w:num w:numId="20" w16cid:durableId="1333336635">
    <w:abstractNumId w:val="15"/>
  </w:num>
  <w:num w:numId="21" w16cid:durableId="975792215">
    <w:abstractNumId w:val="14"/>
  </w:num>
  <w:num w:numId="22" w16cid:durableId="12448022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0250"/>
    <w:rsid w:val="000027C0"/>
    <w:rsid w:val="000052FB"/>
    <w:rsid w:val="00005884"/>
    <w:rsid w:val="00005A19"/>
    <w:rsid w:val="000117CB"/>
    <w:rsid w:val="0003148D"/>
    <w:rsid w:val="00031EEC"/>
    <w:rsid w:val="00051566"/>
    <w:rsid w:val="000562A9"/>
    <w:rsid w:val="00061B6E"/>
    <w:rsid w:val="00062A9A"/>
    <w:rsid w:val="00065058"/>
    <w:rsid w:val="00086C39"/>
    <w:rsid w:val="000A03B2"/>
    <w:rsid w:val="000A1CDE"/>
    <w:rsid w:val="000B7355"/>
    <w:rsid w:val="000D0268"/>
    <w:rsid w:val="000D34BE"/>
    <w:rsid w:val="000E102F"/>
    <w:rsid w:val="000E36F1"/>
    <w:rsid w:val="000E3A73"/>
    <w:rsid w:val="000E414A"/>
    <w:rsid w:val="000E75FD"/>
    <w:rsid w:val="000F093C"/>
    <w:rsid w:val="000F7520"/>
    <w:rsid w:val="000F787B"/>
    <w:rsid w:val="0012091F"/>
    <w:rsid w:val="00124AAD"/>
    <w:rsid w:val="00126BC2"/>
    <w:rsid w:val="001308B6"/>
    <w:rsid w:val="0013121F"/>
    <w:rsid w:val="00131FE6"/>
    <w:rsid w:val="0013263F"/>
    <w:rsid w:val="001331DF"/>
    <w:rsid w:val="00134DE4"/>
    <w:rsid w:val="0014034D"/>
    <w:rsid w:val="00140FE3"/>
    <w:rsid w:val="00144D16"/>
    <w:rsid w:val="00150E59"/>
    <w:rsid w:val="00152DE3"/>
    <w:rsid w:val="00164CF9"/>
    <w:rsid w:val="001667A6"/>
    <w:rsid w:val="00184AD6"/>
    <w:rsid w:val="001A0154"/>
    <w:rsid w:val="001A4AF7"/>
    <w:rsid w:val="001B0349"/>
    <w:rsid w:val="001B040D"/>
    <w:rsid w:val="001B1E93"/>
    <w:rsid w:val="001B65C1"/>
    <w:rsid w:val="001C260F"/>
    <w:rsid w:val="001C33F1"/>
    <w:rsid w:val="001C684B"/>
    <w:rsid w:val="001D0CFB"/>
    <w:rsid w:val="001D21AF"/>
    <w:rsid w:val="001D53FC"/>
    <w:rsid w:val="001F42A5"/>
    <w:rsid w:val="001F7B9D"/>
    <w:rsid w:val="00201C93"/>
    <w:rsid w:val="00211985"/>
    <w:rsid w:val="0021613E"/>
    <w:rsid w:val="002224B4"/>
    <w:rsid w:val="002377AF"/>
    <w:rsid w:val="002447EF"/>
    <w:rsid w:val="00251550"/>
    <w:rsid w:val="00263B05"/>
    <w:rsid w:val="0027221A"/>
    <w:rsid w:val="00275B61"/>
    <w:rsid w:val="00280FAF"/>
    <w:rsid w:val="00282656"/>
    <w:rsid w:val="0028778B"/>
    <w:rsid w:val="00296B83"/>
    <w:rsid w:val="002A75C7"/>
    <w:rsid w:val="002B4015"/>
    <w:rsid w:val="002B78CE"/>
    <w:rsid w:val="002C2FB6"/>
    <w:rsid w:val="002E5FA7"/>
    <w:rsid w:val="002F3309"/>
    <w:rsid w:val="003008CE"/>
    <w:rsid w:val="003009B7"/>
    <w:rsid w:val="00300E56"/>
    <w:rsid w:val="0030152C"/>
    <w:rsid w:val="0030469C"/>
    <w:rsid w:val="003145DC"/>
    <w:rsid w:val="00314A64"/>
    <w:rsid w:val="00321CA6"/>
    <w:rsid w:val="00323763"/>
    <w:rsid w:val="00323C5F"/>
    <w:rsid w:val="0033182F"/>
    <w:rsid w:val="00334C09"/>
    <w:rsid w:val="00345F2F"/>
    <w:rsid w:val="003551D8"/>
    <w:rsid w:val="003723D4"/>
    <w:rsid w:val="00381905"/>
    <w:rsid w:val="00384CC8"/>
    <w:rsid w:val="003871FD"/>
    <w:rsid w:val="003A1E30"/>
    <w:rsid w:val="003A2829"/>
    <w:rsid w:val="003A7D1C"/>
    <w:rsid w:val="003B304B"/>
    <w:rsid w:val="003B3146"/>
    <w:rsid w:val="003D1E02"/>
    <w:rsid w:val="003E1135"/>
    <w:rsid w:val="003F015E"/>
    <w:rsid w:val="00400414"/>
    <w:rsid w:val="0040720F"/>
    <w:rsid w:val="0041446B"/>
    <w:rsid w:val="00417286"/>
    <w:rsid w:val="0044071E"/>
    <w:rsid w:val="0044329C"/>
    <w:rsid w:val="00453E24"/>
    <w:rsid w:val="00457456"/>
    <w:rsid w:val="004577FE"/>
    <w:rsid w:val="00457B9C"/>
    <w:rsid w:val="0046164A"/>
    <w:rsid w:val="004628D2"/>
    <w:rsid w:val="00462DCD"/>
    <w:rsid w:val="004648AD"/>
    <w:rsid w:val="004703A9"/>
    <w:rsid w:val="004760DE"/>
    <w:rsid w:val="004763D7"/>
    <w:rsid w:val="004A004E"/>
    <w:rsid w:val="004A24CF"/>
    <w:rsid w:val="004A5E57"/>
    <w:rsid w:val="004C194F"/>
    <w:rsid w:val="004C3D1D"/>
    <w:rsid w:val="004C3D84"/>
    <w:rsid w:val="004C7913"/>
    <w:rsid w:val="004E4DD6"/>
    <w:rsid w:val="004F5E36"/>
    <w:rsid w:val="00507B47"/>
    <w:rsid w:val="00507BEF"/>
    <w:rsid w:val="00507CC9"/>
    <w:rsid w:val="005119A5"/>
    <w:rsid w:val="005278B7"/>
    <w:rsid w:val="00532016"/>
    <w:rsid w:val="005346C8"/>
    <w:rsid w:val="00541DDE"/>
    <w:rsid w:val="00543E7D"/>
    <w:rsid w:val="00547A68"/>
    <w:rsid w:val="0055012D"/>
    <w:rsid w:val="00550D01"/>
    <w:rsid w:val="005531C9"/>
    <w:rsid w:val="00562FA8"/>
    <w:rsid w:val="00570C43"/>
    <w:rsid w:val="0059080C"/>
    <w:rsid w:val="00592274"/>
    <w:rsid w:val="00595009"/>
    <w:rsid w:val="005B2110"/>
    <w:rsid w:val="005B61E6"/>
    <w:rsid w:val="005C77E1"/>
    <w:rsid w:val="005D668A"/>
    <w:rsid w:val="005D6A2F"/>
    <w:rsid w:val="005E0592"/>
    <w:rsid w:val="005E1A82"/>
    <w:rsid w:val="005E794C"/>
    <w:rsid w:val="005F0A28"/>
    <w:rsid w:val="005F0E5E"/>
    <w:rsid w:val="00600535"/>
    <w:rsid w:val="00610CD6"/>
    <w:rsid w:val="00620DEE"/>
    <w:rsid w:val="00621F92"/>
    <w:rsid w:val="0062280A"/>
    <w:rsid w:val="006231E1"/>
    <w:rsid w:val="00625639"/>
    <w:rsid w:val="00631B33"/>
    <w:rsid w:val="00631FA1"/>
    <w:rsid w:val="0064184D"/>
    <w:rsid w:val="006422CC"/>
    <w:rsid w:val="00651D18"/>
    <w:rsid w:val="00660E3E"/>
    <w:rsid w:val="00662E74"/>
    <w:rsid w:val="00680C23"/>
    <w:rsid w:val="00683E23"/>
    <w:rsid w:val="00693766"/>
    <w:rsid w:val="006A3281"/>
    <w:rsid w:val="006B4888"/>
    <w:rsid w:val="006C2E45"/>
    <w:rsid w:val="006C359C"/>
    <w:rsid w:val="006C5579"/>
    <w:rsid w:val="006D6E8B"/>
    <w:rsid w:val="006D7209"/>
    <w:rsid w:val="006E2281"/>
    <w:rsid w:val="006E737D"/>
    <w:rsid w:val="00707DD1"/>
    <w:rsid w:val="00711154"/>
    <w:rsid w:val="00713973"/>
    <w:rsid w:val="00720480"/>
    <w:rsid w:val="00720A24"/>
    <w:rsid w:val="0072650B"/>
    <w:rsid w:val="00732386"/>
    <w:rsid w:val="0073514D"/>
    <w:rsid w:val="007447F3"/>
    <w:rsid w:val="0075344B"/>
    <w:rsid w:val="0075499F"/>
    <w:rsid w:val="00754D0E"/>
    <w:rsid w:val="007617CC"/>
    <w:rsid w:val="007661C8"/>
    <w:rsid w:val="0077098D"/>
    <w:rsid w:val="00784FC7"/>
    <w:rsid w:val="00785BF9"/>
    <w:rsid w:val="00790889"/>
    <w:rsid w:val="007931FA"/>
    <w:rsid w:val="007A0774"/>
    <w:rsid w:val="007A4861"/>
    <w:rsid w:val="007A56C1"/>
    <w:rsid w:val="007A7BBA"/>
    <w:rsid w:val="007B0C50"/>
    <w:rsid w:val="007B48F9"/>
    <w:rsid w:val="007C1A43"/>
    <w:rsid w:val="007D0951"/>
    <w:rsid w:val="007E4E98"/>
    <w:rsid w:val="007F27C8"/>
    <w:rsid w:val="0080013E"/>
    <w:rsid w:val="0080184B"/>
    <w:rsid w:val="00813288"/>
    <w:rsid w:val="008168FC"/>
    <w:rsid w:val="00830996"/>
    <w:rsid w:val="008314D7"/>
    <w:rsid w:val="008345F1"/>
    <w:rsid w:val="00840B0A"/>
    <w:rsid w:val="00865B07"/>
    <w:rsid w:val="008667EA"/>
    <w:rsid w:val="0087637F"/>
    <w:rsid w:val="008810A7"/>
    <w:rsid w:val="00892AD5"/>
    <w:rsid w:val="008A1512"/>
    <w:rsid w:val="008B41F1"/>
    <w:rsid w:val="008D32B9"/>
    <w:rsid w:val="008D433B"/>
    <w:rsid w:val="008D4A16"/>
    <w:rsid w:val="008E209A"/>
    <w:rsid w:val="008E45BC"/>
    <w:rsid w:val="008E566E"/>
    <w:rsid w:val="008E7D91"/>
    <w:rsid w:val="0090161A"/>
    <w:rsid w:val="00901EB6"/>
    <w:rsid w:val="009041F8"/>
    <w:rsid w:val="00904C62"/>
    <w:rsid w:val="00922BA8"/>
    <w:rsid w:val="00924DAC"/>
    <w:rsid w:val="009251DA"/>
    <w:rsid w:val="00927058"/>
    <w:rsid w:val="00942750"/>
    <w:rsid w:val="009450CE"/>
    <w:rsid w:val="009459BB"/>
    <w:rsid w:val="00947179"/>
    <w:rsid w:val="0095164B"/>
    <w:rsid w:val="00954090"/>
    <w:rsid w:val="009573E7"/>
    <w:rsid w:val="00963E05"/>
    <w:rsid w:val="00964A45"/>
    <w:rsid w:val="00967843"/>
    <w:rsid w:val="00967D54"/>
    <w:rsid w:val="00971028"/>
    <w:rsid w:val="00993B84"/>
    <w:rsid w:val="00996483"/>
    <w:rsid w:val="00996F5A"/>
    <w:rsid w:val="009B041A"/>
    <w:rsid w:val="009C37C3"/>
    <w:rsid w:val="009C7C86"/>
    <w:rsid w:val="009D2FF7"/>
    <w:rsid w:val="009D8818"/>
    <w:rsid w:val="009E7884"/>
    <w:rsid w:val="009E788A"/>
    <w:rsid w:val="009F0E08"/>
    <w:rsid w:val="00A079AE"/>
    <w:rsid w:val="00A1462A"/>
    <w:rsid w:val="00A1763D"/>
    <w:rsid w:val="00A17CEC"/>
    <w:rsid w:val="00A26CBB"/>
    <w:rsid w:val="00A27EF0"/>
    <w:rsid w:val="00A42361"/>
    <w:rsid w:val="00A47B63"/>
    <w:rsid w:val="00A50B20"/>
    <w:rsid w:val="00A51390"/>
    <w:rsid w:val="00A60D13"/>
    <w:rsid w:val="00A7223D"/>
    <w:rsid w:val="00A72745"/>
    <w:rsid w:val="00A76EFC"/>
    <w:rsid w:val="00A87D50"/>
    <w:rsid w:val="00A90823"/>
    <w:rsid w:val="00A91010"/>
    <w:rsid w:val="00A97F29"/>
    <w:rsid w:val="00AA702E"/>
    <w:rsid w:val="00AA7D26"/>
    <w:rsid w:val="00AB0964"/>
    <w:rsid w:val="00AB5011"/>
    <w:rsid w:val="00AC7368"/>
    <w:rsid w:val="00AD0278"/>
    <w:rsid w:val="00AD16B9"/>
    <w:rsid w:val="00AE377D"/>
    <w:rsid w:val="00AF0EBA"/>
    <w:rsid w:val="00B02C8A"/>
    <w:rsid w:val="00B17FBD"/>
    <w:rsid w:val="00B20F0A"/>
    <w:rsid w:val="00B263DA"/>
    <w:rsid w:val="00B315A6"/>
    <w:rsid w:val="00B31813"/>
    <w:rsid w:val="00B33365"/>
    <w:rsid w:val="00B57B36"/>
    <w:rsid w:val="00B57E6F"/>
    <w:rsid w:val="00B85E56"/>
    <w:rsid w:val="00B8686D"/>
    <w:rsid w:val="00B93F69"/>
    <w:rsid w:val="00BB08F3"/>
    <w:rsid w:val="00BB1DDC"/>
    <w:rsid w:val="00BC30C9"/>
    <w:rsid w:val="00BD077D"/>
    <w:rsid w:val="00BE129A"/>
    <w:rsid w:val="00BE3E58"/>
    <w:rsid w:val="00C01616"/>
    <w:rsid w:val="00C0162B"/>
    <w:rsid w:val="00C068ED"/>
    <w:rsid w:val="00C208E9"/>
    <w:rsid w:val="00C22E0C"/>
    <w:rsid w:val="00C345B1"/>
    <w:rsid w:val="00C40142"/>
    <w:rsid w:val="00C52C3C"/>
    <w:rsid w:val="00C57182"/>
    <w:rsid w:val="00C57863"/>
    <w:rsid w:val="00C640AF"/>
    <w:rsid w:val="00C655FD"/>
    <w:rsid w:val="00C70BB5"/>
    <w:rsid w:val="00C75407"/>
    <w:rsid w:val="00C841C6"/>
    <w:rsid w:val="00C86777"/>
    <w:rsid w:val="00C870A8"/>
    <w:rsid w:val="00C94434"/>
    <w:rsid w:val="00C95A08"/>
    <w:rsid w:val="00CA0D75"/>
    <w:rsid w:val="00CA1C95"/>
    <w:rsid w:val="00CA5A9C"/>
    <w:rsid w:val="00CC4C20"/>
    <w:rsid w:val="00CD3517"/>
    <w:rsid w:val="00CD5C46"/>
    <w:rsid w:val="00CD5FE2"/>
    <w:rsid w:val="00CE7C68"/>
    <w:rsid w:val="00D02B4C"/>
    <w:rsid w:val="00D040C4"/>
    <w:rsid w:val="00D20AD1"/>
    <w:rsid w:val="00D2582C"/>
    <w:rsid w:val="00D46B7E"/>
    <w:rsid w:val="00D57C84"/>
    <w:rsid w:val="00D6057D"/>
    <w:rsid w:val="00D71640"/>
    <w:rsid w:val="00D836C5"/>
    <w:rsid w:val="00D84576"/>
    <w:rsid w:val="00DA1399"/>
    <w:rsid w:val="00DA24C6"/>
    <w:rsid w:val="00DA4D7B"/>
    <w:rsid w:val="00DD271C"/>
    <w:rsid w:val="00DE264A"/>
    <w:rsid w:val="00DF5072"/>
    <w:rsid w:val="00E02D18"/>
    <w:rsid w:val="00E041E7"/>
    <w:rsid w:val="00E23CA1"/>
    <w:rsid w:val="00E30339"/>
    <w:rsid w:val="00E409A8"/>
    <w:rsid w:val="00E47D61"/>
    <w:rsid w:val="00E50C12"/>
    <w:rsid w:val="00E65B91"/>
    <w:rsid w:val="00E7209D"/>
    <w:rsid w:val="00E72EAD"/>
    <w:rsid w:val="00E77223"/>
    <w:rsid w:val="00E7742D"/>
    <w:rsid w:val="00E779C8"/>
    <w:rsid w:val="00E8528B"/>
    <w:rsid w:val="00E85B94"/>
    <w:rsid w:val="00E978D0"/>
    <w:rsid w:val="00EA4613"/>
    <w:rsid w:val="00EA7F91"/>
    <w:rsid w:val="00EB1523"/>
    <w:rsid w:val="00EB17CE"/>
    <w:rsid w:val="00EB7F53"/>
    <w:rsid w:val="00EC0E49"/>
    <w:rsid w:val="00EC101F"/>
    <w:rsid w:val="00EC1D9F"/>
    <w:rsid w:val="00EE0131"/>
    <w:rsid w:val="00EE17B0"/>
    <w:rsid w:val="00EF06D9"/>
    <w:rsid w:val="00EF0982"/>
    <w:rsid w:val="00F3049E"/>
    <w:rsid w:val="00F30C64"/>
    <w:rsid w:val="00F32BA2"/>
    <w:rsid w:val="00F32CDB"/>
    <w:rsid w:val="00F3348F"/>
    <w:rsid w:val="00F37280"/>
    <w:rsid w:val="00F41EE4"/>
    <w:rsid w:val="00F565FE"/>
    <w:rsid w:val="00F63A70"/>
    <w:rsid w:val="00F63D8C"/>
    <w:rsid w:val="00F7534E"/>
    <w:rsid w:val="00F86646"/>
    <w:rsid w:val="00F93EDF"/>
    <w:rsid w:val="00F970AF"/>
    <w:rsid w:val="00FA1802"/>
    <w:rsid w:val="00FA21D0"/>
    <w:rsid w:val="00FA5F5F"/>
    <w:rsid w:val="00FB4A69"/>
    <w:rsid w:val="00FB730C"/>
    <w:rsid w:val="00FC088F"/>
    <w:rsid w:val="00FC2695"/>
    <w:rsid w:val="00FC3E03"/>
    <w:rsid w:val="00FC3FC1"/>
    <w:rsid w:val="00FD3D8F"/>
    <w:rsid w:val="01178A5A"/>
    <w:rsid w:val="014635D4"/>
    <w:rsid w:val="0171A8C8"/>
    <w:rsid w:val="01817E2C"/>
    <w:rsid w:val="01D413BD"/>
    <w:rsid w:val="01FF101A"/>
    <w:rsid w:val="02317373"/>
    <w:rsid w:val="027049D7"/>
    <w:rsid w:val="027818C6"/>
    <w:rsid w:val="02BE76DE"/>
    <w:rsid w:val="02FCB6E4"/>
    <w:rsid w:val="031A5E4A"/>
    <w:rsid w:val="036EA843"/>
    <w:rsid w:val="03738A57"/>
    <w:rsid w:val="037CDFAD"/>
    <w:rsid w:val="03D2D016"/>
    <w:rsid w:val="0451418C"/>
    <w:rsid w:val="04598E50"/>
    <w:rsid w:val="048DEF05"/>
    <w:rsid w:val="04945E2B"/>
    <w:rsid w:val="04EB5531"/>
    <w:rsid w:val="051BDF7A"/>
    <w:rsid w:val="0542CC12"/>
    <w:rsid w:val="058226D8"/>
    <w:rsid w:val="05DD39D5"/>
    <w:rsid w:val="061B6586"/>
    <w:rsid w:val="067B99BD"/>
    <w:rsid w:val="069B051E"/>
    <w:rsid w:val="06D053DC"/>
    <w:rsid w:val="077BC4DB"/>
    <w:rsid w:val="0780C365"/>
    <w:rsid w:val="079C9E67"/>
    <w:rsid w:val="07B311A8"/>
    <w:rsid w:val="085C4A0B"/>
    <w:rsid w:val="087A9A2B"/>
    <w:rsid w:val="08BCE3D1"/>
    <w:rsid w:val="08E5CD70"/>
    <w:rsid w:val="08EBFF5D"/>
    <w:rsid w:val="09516E1C"/>
    <w:rsid w:val="09623AFB"/>
    <w:rsid w:val="096DEDEB"/>
    <w:rsid w:val="09C2496C"/>
    <w:rsid w:val="09CEA0CC"/>
    <w:rsid w:val="09D1CC05"/>
    <w:rsid w:val="0A15FC4B"/>
    <w:rsid w:val="0A20DC59"/>
    <w:rsid w:val="0A410949"/>
    <w:rsid w:val="0A4FC1ED"/>
    <w:rsid w:val="0A547136"/>
    <w:rsid w:val="0A631644"/>
    <w:rsid w:val="0A6D280D"/>
    <w:rsid w:val="0AB10738"/>
    <w:rsid w:val="0B0626EC"/>
    <w:rsid w:val="0B291A82"/>
    <w:rsid w:val="0B45AE07"/>
    <w:rsid w:val="0BB37AC3"/>
    <w:rsid w:val="0BD8BA11"/>
    <w:rsid w:val="0BFC7469"/>
    <w:rsid w:val="0C01E048"/>
    <w:rsid w:val="0C077E12"/>
    <w:rsid w:val="0C0AB132"/>
    <w:rsid w:val="0C4F9B55"/>
    <w:rsid w:val="0C54FFCF"/>
    <w:rsid w:val="0C7C507D"/>
    <w:rsid w:val="0CBDB655"/>
    <w:rsid w:val="0CF77751"/>
    <w:rsid w:val="0D087704"/>
    <w:rsid w:val="0D488EFF"/>
    <w:rsid w:val="0D5A6275"/>
    <w:rsid w:val="0DD21FCF"/>
    <w:rsid w:val="0DFEB5A3"/>
    <w:rsid w:val="0E2D9885"/>
    <w:rsid w:val="0E5A399F"/>
    <w:rsid w:val="0E5E6E70"/>
    <w:rsid w:val="0E7732A9"/>
    <w:rsid w:val="0F39B672"/>
    <w:rsid w:val="0F5C8CE6"/>
    <w:rsid w:val="0F84C5EF"/>
    <w:rsid w:val="0FE3A8D3"/>
    <w:rsid w:val="0FE8FD69"/>
    <w:rsid w:val="0FED84EB"/>
    <w:rsid w:val="102C115A"/>
    <w:rsid w:val="10384B6D"/>
    <w:rsid w:val="1087AF45"/>
    <w:rsid w:val="1098D9DF"/>
    <w:rsid w:val="109B675B"/>
    <w:rsid w:val="10CCF009"/>
    <w:rsid w:val="1150AA76"/>
    <w:rsid w:val="11D22AC7"/>
    <w:rsid w:val="11F95143"/>
    <w:rsid w:val="12465209"/>
    <w:rsid w:val="1260EE9B"/>
    <w:rsid w:val="127B59DD"/>
    <w:rsid w:val="129AFA8B"/>
    <w:rsid w:val="130B22A0"/>
    <w:rsid w:val="1362DE10"/>
    <w:rsid w:val="1384B2E8"/>
    <w:rsid w:val="13AABD49"/>
    <w:rsid w:val="13E6D8D3"/>
    <w:rsid w:val="13F60736"/>
    <w:rsid w:val="140A4B13"/>
    <w:rsid w:val="1496E678"/>
    <w:rsid w:val="14B567B3"/>
    <w:rsid w:val="152A15E3"/>
    <w:rsid w:val="1534B6F6"/>
    <w:rsid w:val="156E1DD2"/>
    <w:rsid w:val="1571FEFB"/>
    <w:rsid w:val="15CA1F3F"/>
    <w:rsid w:val="15D15A6F"/>
    <w:rsid w:val="15ED396E"/>
    <w:rsid w:val="15F32C97"/>
    <w:rsid w:val="1616B920"/>
    <w:rsid w:val="1634CBAD"/>
    <w:rsid w:val="165F09DC"/>
    <w:rsid w:val="16884B69"/>
    <w:rsid w:val="16B42E98"/>
    <w:rsid w:val="16CFB0C3"/>
    <w:rsid w:val="16F37D7E"/>
    <w:rsid w:val="16F8082B"/>
    <w:rsid w:val="16FC5204"/>
    <w:rsid w:val="16FCE4C0"/>
    <w:rsid w:val="171485A8"/>
    <w:rsid w:val="17210DF3"/>
    <w:rsid w:val="1746ABED"/>
    <w:rsid w:val="174C18DA"/>
    <w:rsid w:val="1755AC6F"/>
    <w:rsid w:val="1785FEF4"/>
    <w:rsid w:val="1792A4C7"/>
    <w:rsid w:val="17A6F8EE"/>
    <w:rsid w:val="17C06415"/>
    <w:rsid w:val="17FA5C30"/>
    <w:rsid w:val="18512D7D"/>
    <w:rsid w:val="187F34FF"/>
    <w:rsid w:val="18AA9886"/>
    <w:rsid w:val="18F87803"/>
    <w:rsid w:val="18F99518"/>
    <w:rsid w:val="19D6F365"/>
    <w:rsid w:val="1A2F4E0F"/>
    <w:rsid w:val="1A411556"/>
    <w:rsid w:val="1AAE0756"/>
    <w:rsid w:val="1AD5F7A1"/>
    <w:rsid w:val="1B162022"/>
    <w:rsid w:val="1B294500"/>
    <w:rsid w:val="1B693CCB"/>
    <w:rsid w:val="1BA7A979"/>
    <w:rsid w:val="1BC84EB6"/>
    <w:rsid w:val="1C473224"/>
    <w:rsid w:val="1D5270C8"/>
    <w:rsid w:val="1D5A0DA1"/>
    <w:rsid w:val="1DEFF3B6"/>
    <w:rsid w:val="1E01AA04"/>
    <w:rsid w:val="1E168270"/>
    <w:rsid w:val="1E44BABE"/>
    <w:rsid w:val="1E64BEDA"/>
    <w:rsid w:val="1E686924"/>
    <w:rsid w:val="1E99C169"/>
    <w:rsid w:val="1E9CF0F4"/>
    <w:rsid w:val="1EB8A101"/>
    <w:rsid w:val="1ECE5D66"/>
    <w:rsid w:val="1F3BFAAB"/>
    <w:rsid w:val="1F81F7B6"/>
    <w:rsid w:val="1FBA5D34"/>
    <w:rsid w:val="1FBFECC1"/>
    <w:rsid w:val="1FD24A2B"/>
    <w:rsid w:val="2050520B"/>
    <w:rsid w:val="208D2591"/>
    <w:rsid w:val="20C418AE"/>
    <w:rsid w:val="20ED50D2"/>
    <w:rsid w:val="21206978"/>
    <w:rsid w:val="219A4B18"/>
    <w:rsid w:val="21E90EF3"/>
    <w:rsid w:val="225010B9"/>
    <w:rsid w:val="22514788"/>
    <w:rsid w:val="2255E487"/>
    <w:rsid w:val="225A7CDA"/>
    <w:rsid w:val="22619102"/>
    <w:rsid w:val="22C7EB7A"/>
    <w:rsid w:val="22CC0424"/>
    <w:rsid w:val="22D038E5"/>
    <w:rsid w:val="22ED8A78"/>
    <w:rsid w:val="233CBD2E"/>
    <w:rsid w:val="23490AC8"/>
    <w:rsid w:val="23544D8D"/>
    <w:rsid w:val="23574DF7"/>
    <w:rsid w:val="23A0E58D"/>
    <w:rsid w:val="23DCB0F5"/>
    <w:rsid w:val="2406EF09"/>
    <w:rsid w:val="246DAE4F"/>
    <w:rsid w:val="25154B5B"/>
    <w:rsid w:val="25620ACF"/>
    <w:rsid w:val="25754B3F"/>
    <w:rsid w:val="258FF4E3"/>
    <w:rsid w:val="25B1B1B8"/>
    <w:rsid w:val="25C262FC"/>
    <w:rsid w:val="261C8892"/>
    <w:rsid w:val="263FD7A8"/>
    <w:rsid w:val="264A7A4B"/>
    <w:rsid w:val="266A755E"/>
    <w:rsid w:val="268BB799"/>
    <w:rsid w:val="26CB610A"/>
    <w:rsid w:val="26DF89FD"/>
    <w:rsid w:val="277188C1"/>
    <w:rsid w:val="27B38DF1"/>
    <w:rsid w:val="27F14108"/>
    <w:rsid w:val="28A96E75"/>
    <w:rsid w:val="28B5E823"/>
    <w:rsid w:val="28C441F1"/>
    <w:rsid w:val="28CE715E"/>
    <w:rsid w:val="28D99372"/>
    <w:rsid w:val="29182DD7"/>
    <w:rsid w:val="291BC158"/>
    <w:rsid w:val="293D56C1"/>
    <w:rsid w:val="2944B4DC"/>
    <w:rsid w:val="297A31C7"/>
    <w:rsid w:val="2995BF90"/>
    <w:rsid w:val="2A0B310E"/>
    <w:rsid w:val="2A788E39"/>
    <w:rsid w:val="2ABDEFC6"/>
    <w:rsid w:val="2ACC40F9"/>
    <w:rsid w:val="2B590966"/>
    <w:rsid w:val="2B8A62B6"/>
    <w:rsid w:val="2BA18392"/>
    <w:rsid w:val="2BA3FA88"/>
    <w:rsid w:val="2BE64547"/>
    <w:rsid w:val="2BF00591"/>
    <w:rsid w:val="2D32113E"/>
    <w:rsid w:val="2D669F0B"/>
    <w:rsid w:val="2D768E42"/>
    <w:rsid w:val="2DA01350"/>
    <w:rsid w:val="2DCB8ABF"/>
    <w:rsid w:val="2DF87A90"/>
    <w:rsid w:val="2E086205"/>
    <w:rsid w:val="2E214698"/>
    <w:rsid w:val="2E6D7794"/>
    <w:rsid w:val="2EC38C9E"/>
    <w:rsid w:val="2ED8960A"/>
    <w:rsid w:val="2FC14FE4"/>
    <w:rsid w:val="2FD5028E"/>
    <w:rsid w:val="30404337"/>
    <w:rsid w:val="305B1DA5"/>
    <w:rsid w:val="30BDE1AF"/>
    <w:rsid w:val="30CE1058"/>
    <w:rsid w:val="311258A4"/>
    <w:rsid w:val="312CB4CA"/>
    <w:rsid w:val="3133F206"/>
    <w:rsid w:val="313D47D2"/>
    <w:rsid w:val="3157BDB0"/>
    <w:rsid w:val="31658F0D"/>
    <w:rsid w:val="31D93B11"/>
    <w:rsid w:val="3200EF7E"/>
    <w:rsid w:val="3209A246"/>
    <w:rsid w:val="3217DE16"/>
    <w:rsid w:val="32724AE7"/>
    <w:rsid w:val="3282091A"/>
    <w:rsid w:val="32C4346C"/>
    <w:rsid w:val="330AC174"/>
    <w:rsid w:val="331FB961"/>
    <w:rsid w:val="339EF165"/>
    <w:rsid w:val="33C5D6CB"/>
    <w:rsid w:val="33C87E28"/>
    <w:rsid w:val="33CCC0C2"/>
    <w:rsid w:val="33EAFE98"/>
    <w:rsid w:val="34087C42"/>
    <w:rsid w:val="341D514D"/>
    <w:rsid w:val="3493EB98"/>
    <w:rsid w:val="34E63524"/>
    <w:rsid w:val="34F502F7"/>
    <w:rsid w:val="351EF100"/>
    <w:rsid w:val="3555DB59"/>
    <w:rsid w:val="355E6587"/>
    <w:rsid w:val="35728A05"/>
    <w:rsid w:val="35D7DEA0"/>
    <w:rsid w:val="3622F9A6"/>
    <w:rsid w:val="36321E31"/>
    <w:rsid w:val="364E9207"/>
    <w:rsid w:val="365EB600"/>
    <w:rsid w:val="36901C0C"/>
    <w:rsid w:val="36BA9E91"/>
    <w:rsid w:val="36BE4385"/>
    <w:rsid w:val="36DA0137"/>
    <w:rsid w:val="37331272"/>
    <w:rsid w:val="37A79F47"/>
    <w:rsid w:val="37B3C33A"/>
    <w:rsid w:val="37B42B82"/>
    <w:rsid w:val="38744BA1"/>
    <w:rsid w:val="387DAF07"/>
    <w:rsid w:val="3888A193"/>
    <w:rsid w:val="38A6AE66"/>
    <w:rsid w:val="391B2034"/>
    <w:rsid w:val="392B4A2F"/>
    <w:rsid w:val="3940238A"/>
    <w:rsid w:val="396861B9"/>
    <w:rsid w:val="39B6CEB8"/>
    <w:rsid w:val="39D969E2"/>
    <w:rsid w:val="3A3A6309"/>
    <w:rsid w:val="3A41F8A6"/>
    <w:rsid w:val="3A4807F9"/>
    <w:rsid w:val="3A5503B9"/>
    <w:rsid w:val="3AF3BF83"/>
    <w:rsid w:val="3AFB91A2"/>
    <w:rsid w:val="3B2359C3"/>
    <w:rsid w:val="3B255D3C"/>
    <w:rsid w:val="3BA7BEEA"/>
    <w:rsid w:val="3BED3B5B"/>
    <w:rsid w:val="3BF27A22"/>
    <w:rsid w:val="3C1D9BCB"/>
    <w:rsid w:val="3C448BB7"/>
    <w:rsid w:val="3CD76C53"/>
    <w:rsid w:val="3CDAD17F"/>
    <w:rsid w:val="3CE32889"/>
    <w:rsid w:val="3CE3EC7C"/>
    <w:rsid w:val="3D3270B1"/>
    <w:rsid w:val="3E14C853"/>
    <w:rsid w:val="3E182689"/>
    <w:rsid w:val="3E1A11FC"/>
    <w:rsid w:val="3E5A9E1A"/>
    <w:rsid w:val="3E5AAD04"/>
    <w:rsid w:val="3EB0B82D"/>
    <w:rsid w:val="3ECDDE26"/>
    <w:rsid w:val="3F1B9CAD"/>
    <w:rsid w:val="3F57300E"/>
    <w:rsid w:val="3F61593B"/>
    <w:rsid w:val="3F9B20D4"/>
    <w:rsid w:val="3FB545E0"/>
    <w:rsid w:val="40419188"/>
    <w:rsid w:val="407C4ABD"/>
    <w:rsid w:val="40BC4439"/>
    <w:rsid w:val="40C3D31D"/>
    <w:rsid w:val="40C64767"/>
    <w:rsid w:val="40ED1026"/>
    <w:rsid w:val="4117027D"/>
    <w:rsid w:val="415D9164"/>
    <w:rsid w:val="42153B85"/>
    <w:rsid w:val="425D5E4F"/>
    <w:rsid w:val="42B59EC1"/>
    <w:rsid w:val="42B8D8BC"/>
    <w:rsid w:val="42BBB87C"/>
    <w:rsid w:val="42CE39E3"/>
    <w:rsid w:val="42CF193D"/>
    <w:rsid w:val="433AA8A8"/>
    <w:rsid w:val="43594C8D"/>
    <w:rsid w:val="436002F5"/>
    <w:rsid w:val="43E1267E"/>
    <w:rsid w:val="44064669"/>
    <w:rsid w:val="442AF692"/>
    <w:rsid w:val="444E7AD7"/>
    <w:rsid w:val="448A07BE"/>
    <w:rsid w:val="44CF4946"/>
    <w:rsid w:val="44ED4D9B"/>
    <w:rsid w:val="4516AA3B"/>
    <w:rsid w:val="454ABF1D"/>
    <w:rsid w:val="45601502"/>
    <w:rsid w:val="4565877C"/>
    <w:rsid w:val="45713F00"/>
    <w:rsid w:val="4599A0BA"/>
    <w:rsid w:val="45A87A95"/>
    <w:rsid w:val="45B89748"/>
    <w:rsid w:val="45DFF86A"/>
    <w:rsid w:val="46066A38"/>
    <w:rsid w:val="4611E988"/>
    <w:rsid w:val="4615E345"/>
    <w:rsid w:val="461DA50B"/>
    <w:rsid w:val="4627779C"/>
    <w:rsid w:val="466C5354"/>
    <w:rsid w:val="46A53EA9"/>
    <w:rsid w:val="46E3164A"/>
    <w:rsid w:val="470C2B7B"/>
    <w:rsid w:val="473B91C9"/>
    <w:rsid w:val="477EFC68"/>
    <w:rsid w:val="479518FE"/>
    <w:rsid w:val="47A61220"/>
    <w:rsid w:val="47C378FA"/>
    <w:rsid w:val="47D9E4D2"/>
    <w:rsid w:val="481AE266"/>
    <w:rsid w:val="4839212C"/>
    <w:rsid w:val="48A3AC3D"/>
    <w:rsid w:val="48F060CA"/>
    <w:rsid w:val="48F9E83C"/>
    <w:rsid w:val="4945C802"/>
    <w:rsid w:val="496AF72C"/>
    <w:rsid w:val="49CB58CF"/>
    <w:rsid w:val="49F5A073"/>
    <w:rsid w:val="4A4D6AC2"/>
    <w:rsid w:val="4A7F7B69"/>
    <w:rsid w:val="4ADFF78A"/>
    <w:rsid w:val="4AFF581C"/>
    <w:rsid w:val="4B0E132E"/>
    <w:rsid w:val="4B3C04D9"/>
    <w:rsid w:val="4B43C392"/>
    <w:rsid w:val="4B7EFF0D"/>
    <w:rsid w:val="4B9B894A"/>
    <w:rsid w:val="4BE0A2A9"/>
    <w:rsid w:val="4BFA0E7E"/>
    <w:rsid w:val="4C6218F1"/>
    <w:rsid w:val="4C74D1A2"/>
    <w:rsid w:val="4CD87F2E"/>
    <w:rsid w:val="4CE4FCB6"/>
    <w:rsid w:val="4D0844B2"/>
    <w:rsid w:val="4D237FAD"/>
    <w:rsid w:val="4D5C6351"/>
    <w:rsid w:val="4D5D01F5"/>
    <w:rsid w:val="4D7AC558"/>
    <w:rsid w:val="4D7F08CB"/>
    <w:rsid w:val="4DC969C8"/>
    <w:rsid w:val="4DEB372F"/>
    <w:rsid w:val="4E5D536D"/>
    <w:rsid w:val="4E672525"/>
    <w:rsid w:val="4E71B77E"/>
    <w:rsid w:val="4E7DACDA"/>
    <w:rsid w:val="4E7E489F"/>
    <w:rsid w:val="4EBCA117"/>
    <w:rsid w:val="4EC29FA3"/>
    <w:rsid w:val="4EE14FC6"/>
    <w:rsid w:val="4F6FBE58"/>
    <w:rsid w:val="4F813FAE"/>
    <w:rsid w:val="4F92164D"/>
    <w:rsid w:val="4FF89D8A"/>
    <w:rsid w:val="5074AD38"/>
    <w:rsid w:val="509210B9"/>
    <w:rsid w:val="50E06D5C"/>
    <w:rsid w:val="50E5353E"/>
    <w:rsid w:val="51160796"/>
    <w:rsid w:val="5130B7C6"/>
    <w:rsid w:val="5160BE87"/>
    <w:rsid w:val="51BA19AC"/>
    <w:rsid w:val="51D58F6D"/>
    <w:rsid w:val="52158AB0"/>
    <w:rsid w:val="5243FB29"/>
    <w:rsid w:val="5245C6CB"/>
    <w:rsid w:val="5298E114"/>
    <w:rsid w:val="52A345A9"/>
    <w:rsid w:val="5302FF70"/>
    <w:rsid w:val="5385F2F2"/>
    <w:rsid w:val="539AE587"/>
    <w:rsid w:val="53C0D4A9"/>
    <w:rsid w:val="53E9FF39"/>
    <w:rsid w:val="54273353"/>
    <w:rsid w:val="5457DB59"/>
    <w:rsid w:val="547764E6"/>
    <w:rsid w:val="547A8B0B"/>
    <w:rsid w:val="5524F008"/>
    <w:rsid w:val="55284B32"/>
    <w:rsid w:val="555F8FA8"/>
    <w:rsid w:val="556E1D05"/>
    <w:rsid w:val="55892AB1"/>
    <w:rsid w:val="55D59EA0"/>
    <w:rsid w:val="55F15D06"/>
    <w:rsid w:val="562926DA"/>
    <w:rsid w:val="564D124E"/>
    <w:rsid w:val="565DED47"/>
    <w:rsid w:val="5662249F"/>
    <w:rsid w:val="5679FCD6"/>
    <w:rsid w:val="569209A5"/>
    <w:rsid w:val="569A52E7"/>
    <w:rsid w:val="56FF0514"/>
    <w:rsid w:val="56FFE121"/>
    <w:rsid w:val="57067828"/>
    <w:rsid w:val="5709CEE0"/>
    <w:rsid w:val="574BF80D"/>
    <w:rsid w:val="57595FA5"/>
    <w:rsid w:val="57A042FF"/>
    <w:rsid w:val="57AC28AD"/>
    <w:rsid w:val="57AC2CB4"/>
    <w:rsid w:val="58354477"/>
    <w:rsid w:val="585CC3DA"/>
    <w:rsid w:val="589B0F16"/>
    <w:rsid w:val="59290B7A"/>
    <w:rsid w:val="593725EC"/>
    <w:rsid w:val="59568E46"/>
    <w:rsid w:val="59626A4B"/>
    <w:rsid w:val="59DCDCA8"/>
    <w:rsid w:val="59EE93A2"/>
    <w:rsid w:val="5A791315"/>
    <w:rsid w:val="5A7ED240"/>
    <w:rsid w:val="5A899B59"/>
    <w:rsid w:val="5AC15908"/>
    <w:rsid w:val="5B2BA1CD"/>
    <w:rsid w:val="5BDB25BA"/>
    <w:rsid w:val="5BF2B608"/>
    <w:rsid w:val="5C33BB48"/>
    <w:rsid w:val="5C577208"/>
    <w:rsid w:val="5C5FD597"/>
    <w:rsid w:val="5C629FE6"/>
    <w:rsid w:val="5C9801CC"/>
    <w:rsid w:val="5C9CC0B8"/>
    <w:rsid w:val="5CA9990B"/>
    <w:rsid w:val="5CD5BEDF"/>
    <w:rsid w:val="5CDAEBC9"/>
    <w:rsid w:val="5CE475D0"/>
    <w:rsid w:val="5CF00CAC"/>
    <w:rsid w:val="5CFD9F8A"/>
    <w:rsid w:val="5D1E62BB"/>
    <w:rsid w:val="5D2167F5"/>
    <w:rsid w:val="5D2AFA19"/>
    <w:rsid w:val="5D457026"/>
    <w:rsid w:val="5D526E59"/>
    <w:rsid w:val="5D5466EB"/>
    <w:rsid w:val="5DBB666D"/>
    <w:rsid w:val="5DBC4B4C"/>
    <w:rsid w:val="5DCF20ED"/>
    <w:rsid w:val="5DFD0771"/>
    <w:rsid w:val="5E395E8A"/>
    <w:rsid w:val="5E6F481A"/>
    <w:rsid w:val="5E724425"/>
    <w:rsid w:val="5E73C6C8"/>
    <w:rsid w:val="5E8E15F5"/>
    <w:rsid w:val="5EEAEE8F"/>
    <w:rsid w:val="5F1BB2E0"/>
    <w:rsid w:val="5F43026C"/>
    <w:rsid w:val="5F451021"/>
    <w:rsid w:val="5F49B11D"/>
    <w:rsid w:val="5F95835A"/>
    <w:rsid w:val="5FA2A187"/>
    <w:rsid w:val="5FA43FDD"/>
    <w:rsid w:val="5FC8FD7C"/>
    <w:rsid w:val="5FDF80B7"/>
    <w:rsid w:val="603B44E1"/>
    <w:rsid w:val="60B760C3"/>
    <w:rsid w:val="60EC02F8"/>
    <w:rsid w:val="6117425E"/>
    <w:rsid w:val="611903BD"/>
    <w:rsid w:val="61265F0B"/>
    <w:rsid w:val="627051AB"/>
    <w:rsid w:val="62B0880A"/>
    <w:rsid w:val="62C06FCC"/>
    <w:rsid w:val="6324AC9E"/>
    <w:rsid w:val="633523B2"/>
    <w:rsid w:val="6345A9F6"/>
    <w:rsid w:val="634750DC"/>
    <w:rsid w:val="6371D91E"/>
    <w:rsid w:val="63794AD3"/>
    <w:rsid w:val="637F8536"/>
    <w:rsid w:val="63BD30DF"/>
    <w:rsid w:val="647941EE"/>
    <w:rsid w:val="64E50E0D"/>
    <w:rsid w:val="65743BC5"/>
    <w:rsid w:val="660BF10C"/>
    <w:rsid w:val="6611FFA6"/>
    <w:rsid w:val="66198B41"/>
    <w:rsid w:val="66342EA0"/>
    <w:rsid w:val="663AC08C"/>
    <w:rsid w:val="6674EC64"/>
    <w:rsid w:val="668CD13F"/>
    <w:rsid w:val="672500D5"/>
    <w:rsid w:val="67377A18"/>
    <w:rsid w:val="67C437CA"/>
    <w:rsid w:val="689E2C2F"/>
    <w:rsid w:val="68BC4699"/>
    <w:rsid w:val="68D77360"/>
    <w:rsid w:val="693AB96C"/>
    <w:rsid w:val="699CE279"/>
    <w:rsid w:val="6A268ABB"/>
    <w:rsid w:val="6A60580C"/>
    <w:rsid w:val="6A67E782"/>
    <w:rsid w:val="6AC5ECFF"/>
    <w:rsid w:val="6AC73E89"/>
    <w:rsid w:val="6AF8AF9C"/>
    <w:rsid w:val="6AFA865B"/>
    <w:rsid w:val="6B0F4DE6"/>
    <w:rsid w:val="6B2FA7EA"/>
    <w:rsid w:val="6B6F5756"/>
    <w:rsid w:val="6B731F74"/>
    <w:rsid w:val="6B756D55"/>
    <w:rsid w:val="6B96B39D"/>
    <w:rsid w:val="6BFE3876"/>
    <w:rsid w:val="6C8D4A9E"/>
    <w:rsid w:val="6CA1EB28"/>
    <w:rsid w:val="6CD313DA"/>
    <w:rsid w:val="6D0EF52D"/>
    <w:rsid w:val="6D0FD33A"/>
    <w:rsid w:val="6D266348"/>
    <w:rsid w:val="6D58B287"/>
    <w:rsid w:val="6D6DEB5C"/>
    <w:rsid w:val="6D710AD6"/>
    <w:rsid w:val="6D96AB8A"/>
    <w:rsid w:val="6D9EE2FE"/>
    <w:rsid w:val="6DA66CF5"/>
    <w:rsid w:val="6DDE8868"/>
    <w:rsid w:val="6DE0D5C0"/>
    <w:rsid w:val="6E343B34"/>
    <w:rsid w:val="6E43A6FB"/>
    <w:rsid w:val="6EDC56AB"/>
    <w:rsid w:val="6EEA89EB"/>
    <w:rsid w:val="6F0FA18A"/>
    <w:rsid w:val="6F27C493"/>
    <w:rsid w:val="6F6117F2"/>
    <w:rsid w:val="6F7B3427"/>
    <w:rsid w:val="6FDF81DD"/>
    <w:rsid w:val="701364F0"/>
    <w:rsid w:val="704491CD"/>
    <w:rsid w:val="7099A201"/>
    <w:rsid w:val="714F343F"/>
    <w:rsid w:val="7150ED1A"/>
    <w:rsid w:val="71543FEA"/>
    <w:rsid w:val="7190A262"/>
    <w:rsid w:val="719786FF"/>
    <w:rsid w:val="71EFF3AD"/>
    <w:rsid w:val="729C5E82"/>
    <w:rsid w:val="72B23022"/>
    <w:rsid w:val="730DCC11"/>
    <w:rsid w:val="731388CF"/>
    <w:rsid w:val="734A1BD4"/>
    <w:rsid w:val="73972C0A"/>
    <w:rsid w:val="73E0C521"/>
    <w:rsid w:val="740BD122"/>
    <w:rsid w:val="74154E8A"/>
    <w:rsid w:val="742E28C5"/>
    <w:rsid w:val="7437E4E9"/>
    <w:rsid w:val="7453E77E"/>
    <w:rsid w:val="746F16F0"/>
    <w:rsid w:val="74BAEF67"/>
    <w:rsid w:val="74C89775"/>
    <w:rsid w:val="75886824"/>
    <w:rsid w:val="75B90FAD"/>
    <w:rsid w:val="75C7155A"/>
    <w:rsid w:val="75CEBF6F"/>
    <w:rsid w:val="761F2D1F"/>
    <w:rsid w:val="7627B2BF"/>
    <w:rsid w:val="763E3EA6"/>
    <w:rsid w:val="7667985C"/>
    <w:rsid w:val="76C21F39"/>
    <w:rsid w:val="76D08C33"/>
    <w:rsid w:val="76DF73DE"/>
    <w:rsid w:val="76E30380"/>
    <w:rsid w:val="76F219F8"/>
    <w:rsid w:val="76F85C7D"/>
    <w:rsid w:val="7745BAAC"/>
    <w:rsid w:val="7768AE86"/>
    <w:rsid w:val="77C4BDE8"/>
    <w:rsid w:val="77DBC5DD"/>
    <w:rsid w:val="77F24258"/>
    <w:rsid w:val="78281E05"/>
    <w:rsid w:val="7830F50F"/>
    <w:rsid w:val="78847D55"/>
    <w:rsid w:val="78A7DD5F"/>
    <w:rsid w:val="78BBF78B"/>
    <w:rsid w:val="7905BB9D"/>
    <w:rsid w:val="79484FD2"/>
    <w:rsid w:val="797FCF21"/>
    <w:rsid w:val="79CF613E"/>
    <w:rsid w:val="7A1DB5E9"/>
    <w:rsid w:val="7A53147D"/>
    <w:rsid w:val="7A89A172"/>
    <w:rsid w:val="7ACE476F"/>
    <w:rsid w:val="7B28CF87"/>
    <w:rsid w:val="7B7FC95B"/>
    <w:rsid w:val="7BB1DCF3"/>
    <w:rsid w:val="7BB52CF7"/>
    <w:rsid w:val="7BEA7084"/>
    <w:rsid w:val="7BEE34B1"/>
    <w:rsid w:val="7C64F601"/>
    <w:rsid w:val="7CE9102B"/>
    <w:rsid w:val="7D5B8704"/>
    <w:rsid w:val="7E0B4611"/>
    <w:rsid w:val="7E2B6767"/>
    <w:rsid w:val="7EA271B6"/>
    <w:rsid w:val="7ED50CAE"/>
    <w:rsid w:val="7ED6AE0C"/>
    <w:rsid w:val="7F8A237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2A067"/>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Heading1">
    <w:name w:val="heading 1"/>
    <w:basedOn w:val="CETHeading1"/>
    <w:next w:val="Normal"/>
    <w:link w:val="Heading1Char"/>
    <w:uiPriority w:val="9"/>
    <w:rsid w:val="004F5E36"/>
    <w:pPr>
      <w:tabs>
        <w:tab w:val="clear" w:pos="360"/>
        <w:tab w:val="right" w:pos="7100"/>
      </w:tabs>
      <w:jc w:val="both"/>
      <w:outlineLvl w:val="0"/>
    </w:pPr>
    <w:rPr>
      <w:lang w:val="en-GB"/>
    </w:rPr>
  </w:style>
  <w:style w:type="paragraph" w:styleId="Heading2">
    <w:name w:val="heading 2"/>
    <w:basedOn w:val="Normal"/>
    <w:next w:val="Normal"/>
    <w:link w:val="Heading2Ch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leSimple1">
    <w:name w:val="Table Simple 1"/>
    <w:basedOn w:val="Table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CommentReference">
    <w:name w:val="annotation reference"/>
    <w:basedOn w:val="DefaultParagraphFont"/>
    <w:uiPriority w:val="99"/>
    <w:semiHidden/>
    <w:unhideWhenUsed/>
    <w:rsid w:val="004577FE"/>
    <w:rPr>
      <w:sz w:val="16"/>
      <w:szCs w:val="16"/>
    </w:rPr>
  </w:style>
  <w:style w:type="paragraph" w:styleId="BalloonText">
    <w:name w:val="Balloon Text"/>
    <w:basedOn w:val="Normal"/>
    <w:link w:val="BalloonTextChar"/>
    <w:uiPriority w:val="99"/>
    <w:semiHidden/>
    <w:unhideWhenUsed/>
    <w:rsid w:val="000D34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4BE"/>
    <w:rPr>
      <w:rFonts w:ascii="Tahoma" w:hAnsi="Tahoma" w:cs="Tahoma"/>
      <w:sz w:val="16"/>
      <w:szCs w:val="16"/>
    </w:rPr>
  </w:style>
  <w:style w:type="paragraph" w:styleId="Bibliography">
    <w:name w:val="Bibliography"/>
    <w:basedOn w:val="CETReferencetext"/>
    <w:uiPriority w:val="37"/>
    <w:unhideWhenUsed/>
    <w:rsid w:val="00631B33"/>
    <w:pPr>
      <w:spacing w:line="240" w:lineRule="auto"/>
      <w:ind w:left="720" w:hanging="720"/>
    </w:pPr>
  </w:style>
  <w:style w:type="paragraph" w:styleId="BodyText2">
    <w:name w:val="Body Text 2"/>
    <w:basedOn w:val="Normal"/>
    <w:link w:val="BodyText2Char"/>
    <w:uiPriority w:val="99"/>
    <w:semiHidden/>
    <w:unhideWhenUsed/>
    <w:rsid w:val="0003148D"/>
    <w:pPr>
      <w:spacing w:after="120" w:line="480" w:lineRule="auto"/>
    </w:pPr>
  </w:style>
  <w:style w:type="character" w:customStyle="1" w:styleId="BodyText2Char">
    <w:name w:val="Body Text 2 Char"/>
    <w:basedOn w:val="DefaultParagraphFont"/>
    <w:link w:val="BodyText2"/>
    <w:uiPriority w:val="99"/>
    <w:semiHidden/>
    <w:rsid w:val="0003148D"/>
  </w:style>
  <w:style w:type="paragraph" w:styleId="BodyText3">
    <w:name w:val="Body Text 3"/>
    <w:basedOn w:val="Normal"/>
    <w:link w:val="BodyText3Char"/>
    <w:uiPriority w:val="99"/>
    <w:semiHidden/>
    <w:unhideWhenUsed/>
    <w:rsid w:val="0003148D"/>
    <w:pPr>
      <w:spacing w:after="120"/>
    </w:pPr>
    <w:rPr>
      <w:sz w:val="16"/>
      <w:szCs w:val="16"/>
    </w:rPr>
  </w:style>
  <w:style w:type="character" w:customStyle="1" w:styleId="BodyText3Char">
    <w:name w:val="Body Text 3 Char"/>
    <w:basedOn w:val="DefaultParagraphFont"/>
    <w:link w:val="BodyText3"/>
    <w:uiPriority w:val="99"/>
    <w:semiHidden/>
    <w:rsid w:val="0003148D"/>
    <w:rPr>
      <w:sz w:val="16"/>
      <w:szCs w:val="16"/>
    </w:rPr>
  </w:style>
  <w:style w:type="paragraph" w:styleId="BodyText">
    <w:name w:val="Body Text"/>
    <w:basedOn w:val="Normal"/>
    <w:link w:val="BodyTextChar"/>
    <w:uiPriority w:val="99"/>
    <w:semiHidden/>
    <w:unhideWhenUsed/>
    <w:rsid w:val="0003148D"/>
    <w:pPr>
      <w:spacing w:after="120"/>
    </w:pPr>
  </w:style>
  <w:style w:type="character" w:customStyle="1" w:styleId="BodyTextChar">
    <w:name w:val="Body Text Char"/>
    <w:basedOn w:val="DefaultParagraphFont"/>
    <w:link w:val="BodyText"/>
    <w:uiPriority w:val="99"/>
    <w:semiHidden/>
    <w:rsid w:val="0003148D"/>
  </w:style>
  <w:style w:type="paragraph" w:styleId="Date">
    <w:name w:val="Date"/>
    <w:basedOn w:val="Normal"/>
    <w:next w:val="Normal"/>
    <w:link w:val="DateChar"/>
    <w:uiPriority w:val="99"/>
    <w:semiHidden/>
    <w:unhideWhenUsed/>
    <w:rsid w:val="0003148D"/>
  </w:style>
  <w:style w:type="character" w:customStyle="1" w:styleId="DateChar">
    <w:name w:val="Date Char"/>
    <w:basedOn w:val="DefaultParagraphFont"/>
    <w:link w:val="Date"/>
    <w:uiPriority w:val="99"/>
    <w:semiHidden/>
    <w:rsid w:val="0003148D"/>
  </w:style>
  <w:style w:type="paragraph" w:styleId="Caption">
    <w:name w:val="caption"/>
    <w:basedOn w:val="Normal"/>
    <w:next w:val="Normal"/>
    <w:uiPriority w:val="35"/>
    <w:semiHidden/>
    <w:unhideWhenUsed/>
    <w:qFormat/>
    <w:rsid w:val="0003148D"/>
    <w:pPr>
      <w:spacing w:line="240" w:lineRule="auto"/>
    </w:pPr>
    <w:rPr>
      <w:b/>
      <w:bCs/>
      <w:color w:val="4F81BD" w:themeColor="accent1"/>
      <w:szCs w:val="18"/>
    </w:rPr>
  </w:style>
  <w:style w:type="paragraph" w:styleId="List">
    <w:name w:val="List"/>
    <w:basedOn w:val="Normal"/>
    <w:uiPriority w:val="99"/>
    <w:semiHidden/>
    <w:unhideWhenUsed/>
    <w:rsid w:val="0003148D"/>
    <w:pPr>
      <w:ind w:left="283" w:hanging="283"/>
      <w:contextualSpacing/>
    </w:pPr>
  </w:style>
  <w:style w:type="paragraph" w:styleId="List2">
    <w:name w:val="List 2"/>
    <w:basedOn w:val="Normal"/>
    <w:uiPriority w:val="99"/>
    <w:semiHidden/>
    <w:unhideWhenUsed/>
    <w:rsid w:val="0003148D"/>
    <w:pPr>
      <w:ind w:left="566" w:hanging="283"/>
      <w:contextualSpacing/>
    </w:pPr>
  </w:style>
  <w:style w:type="paragraph" w:styleId="List3">
    <w:name w:val="List 3"/>
    <w:basedOn w:val="Normal"/>
    <w:uiPriority w:val="99"/>
    <w:semiHidden/>
    <w:unhideWhenUsed/>
    <w:rsid w:val="0003148D"/>
    <w:pPr>
      <w:ind w:left="849" w:hanging="283"/>
      <w:contextualSpacing/>
    </w:pPr>
  </w:style>
  <w:style w:type="paragraph" w:styleId="List4">
    <w:name w:val="List 4"/>
    <w:basedOn w:val="Normal"/>
    <w:uiPriority w:val="99"/>
    <w:semiHidden/>
    <w:unhideWhenUsed/>
    <w:rsid w:val="0003148D"/>
    <w:pPr>
      <w:ind w:left="1132" w:hanging="283"/>
      <w:contextualSpacing/>
    </w:pPr>
  </w:style>
  <w:style w:type="paragraph" w:styleId="List5">
    <w:name w:val="List 5"/>
    <w:basedOn w:val="Normal"/>
    <w:uiPriority w:val="99"/>
    <w:semiHidden/>
    <w:unhideWhenUsed/>
    <w:rsid w:val="0003148D"/>
    <w:pPr>
      <w:ind w:left="1415" w:hanging="283"/>
      <w:contextualSpacing/>
    </w:pPr>
  </w:style>
  <w:style w:type="paragraph" w:styleId="ListContinue">
    <w:name w:val="List Continue"/>
    <w:basedOn w:val="Normal"/>
    <w:uiPriority w:val="99"/>
    <w:semiHidden/>
    <w:unhideWhenUsed/>
    <w:rsid w:val="0003148D"/>
    <w:pPr>
      <w:spacing w:after="120"/>
      <w:ind w:left="283"/>
      <w:contextualSpacing/>
    </w:pPr>
  </w:style>
  <w:style w:type="paragraph" w:styleId="ListContinue2">
    <w:name w:val="List Continue 2"/>
    <w:basedOn w:val="Normal"/>
    <w:uiPriority w:val="99"/>
    <w:semiHidden/>
    <w:unhideWhenUsed/>
    <w:rsid w:val="0003148D"/>
    <w:pPr>
      <w:spacing w:after="120"/>
      <w:ind w:left="566"/>
      <w:contextualSpacing/>
    </w:pPr>
  </w:style>
  <w:style w:type="paragraph" w:styleId="ListContinue3">
    <w:name w:val="List Continue 3"/>
    <w:basedOn w:val="Normal"/>
    <w:uiPriority w:val="99"/>
    <w:semiHidden/>
    <w:unhideWhenUsed/>
    <w:rsid w:val="0003148D"/>
    <w:pPr>
      <w:spacing w:after="120"/>
      <w:ind w:left="849"/>
      <w:contextualSpacing/>
    </w:pPr>
  </w:style>
  <w:style w:type="paragraph" w:styleId="ListContinue4">
    <w:name w:val="List Continue 4"/>
    <w:basedOn w:val="Normal"/>
    <w:uiPriority w:val="99"/>
    <w:semiHidden/>
    <w:unhideWhenUsed/>
    <w:rsid w:val="0003148D"/>
    <w:pPr>
      <w:spacing w:after="120"/>
      <w:ind w:left="1132"/>
      <w:contextualSpacing/>
    </w:pPr>
  </w:style>
  <w:style w:type="paragraph" w:styleId="ListContinue5">
    <w:name w:val="List Continue 5"/>
    <w:basedOn w:val="Normal"/>
    <w:uiPriority w:val="99"/>
    <w:semiHidden/>
    <w:unhideWhenUsed/>
    <w:rsid w:val="0003148D"/>
    <w:pPr>
      <w:spacing w:after="120"/>
      <w:ind w:left="1415"/>
      <w:contextualSpacing/>
    </w:pPr>
  </w:style>
  <w:style w:type="paragraph" w:styleId="Signature">
    <w:name w:val="Signature"/>
    <w:basedOn w:val="Normal"/>
    <w:link w:val="SignatureChar"/>
    <w:uiPriority w:val="99"/>
    <w:semiHidden/>
    <w:unhideWhenUsed/>
    <w:rsid w:val="0003148D"/>
    <w:pPr>
      <w:spacing w:line="240" w:lineRule="auto"/>
      <w:ind w:left="4252"/>
    </w:pPr>
  </w:style>
  <w:style w:type="character" w:customStyle="1" w:styleId="SignatureChar">
    <w:name w:val="Signature Char"/>
    <w:basedOn w:val="DefaultParagraphFont"/>
    <w:link w:val="Signature"/>
    <w:uiPriority w:val="99"/>
    <w:semiHidden/>
    <w:rsid w:val="0003148D"/>
  </w:style>
  <w:style w:type="paragraph" w:styleId="E-mailSignature">
    <w:name w:val="E-mail Signature"/>
    <w:basedOn w:val="Normal"/>
    <w:link w:val="E-mailSignatureChar"/>
    <w:uiPriority w:val="99"/>
    <w:semiHidden/>
    <w:unhideWhenUsed/>
    <w:rsid w:val="0003148D"/>
    <w:pPr>
      <w:spacing w:line="240" w:lineRule="auto"/>
    </w:pPr>
  </w:style>
  <w:style w:type="character" w:customStyle="1" w:styleId="E-mailSignatureChar">
    <w:name w:val="E-mail Signature Char"/>
    <w:basedOn w:val="DefaultParagraphFont"/>
    <w:link w:val="E-mailSignature"/>
    <w:uiPriority w:val="99"/>
    <w:semiHidden/>
    <w:rsid w:val="0003148D"/>
  </w:style>
  <w:style w:type="paragraph" w:styleId="Salutation">
    <w:name w:val="Salutation"/>
    <w:basedOn w:val="Normal"/>
    <w:next w:val="Normal"/>
    <w:link w:val="SalutationChar"/>
    <w:uiPriority w:val="99"/>
    <w:semiHidden/>
    <w:unhideWhenUsed/>
    <w:rsid w:val="0003148D"/>
  </w:style>
  <w:style w:type="character" w:customStyle="1" w:styleId="SalutationChar">
    <w:name w:val="Salutation Char"/>
    <w:basedOn w:val="DefaultParagraphFont"/>
    <w:link w:val="Salutation"/>
    <w:uiPriority w:val="99"/>
    <w:semiHidden/>
    <w:rsid w:val="0003148D"/>
  </w:style>
  <w:style w:type="paragraph" w:styleId="Closing">
    <w:name w:val="Closing"/>
    <w:basedOn w:val="Normal"/>
    <w:link w:val="ClosingChar"/>
    <w:uiPriority w:val="99"/>
    <w:semiHidden/>
    <w:unhideWhenUsed/>
    <w:rsid w:val="0003148D"/>
    <w:pPr>
      <w:spacing w:line="240" w:lineRule="auto"/>
      <w:ind w:left="4252"/>
    </w:pPr>
  </w:style>
  <w:style w:type="character" w:customStyle="1" w:styleId="ClosingChar">
    <w:name w:val="Closing Char"/>
    <w:basedOn w:val="DefaultParagraphFont"/>
    <w:link w:val="Closing"/>
    <w:uiPriority w:val="99"/>
    <w:semiHidden/>
    <w:rsid w:val="0003148D"/>
  </w:style>
  <w:style w:type="paragraph" w:styleId="Index1">
    <w:name w:val="index 1"/>
    <w:basedOn w:val="Normal"/>
    <w:next w:val="Normal"/>
    <w:autoRedefine/>
    <w:uiPriority w:val="99"/>
    <w:semiHidden/>
    <w:unhideWhenUsed/>
    <w:rsid w:val="0003148D"/>
    <w:pPr>
      <w:spacing w:line="240" w:lineRule="auto"/>
      <w:ind w:left="220" w:hanging="220"/>
    </w:pPr>
  </w:style>
  <w:style w:type="paragraph" w:styleId="Index2">
    <w:name w:val="index 2"/>
    <w:basedOn w:val="Normal"/>
    <w:next w:val="Normal"/>
    <w:autoRedefine/>
    <w:uiPriority w:val="99"/>
    <w:semiHidden/>
    <w:unhideWhenUsed/>
    <w:rsid w:val="0003148D"/>
    <w:pPr>
      <w:spacing w:line="240" w:lineRule="auto"/>
      <w:ind w:left="440" w:hanging="220"/>
    </w:pPr>
  </w:style>
  <w:style w:type="paragraph" w:styleId="Index3">
    <w:name w:val="index 3"/>
    <w:basedOn w:val="Normal"/>
    <w:next w:val="Normal"/>
    <w:autoRedefine/>
    <w:uiPriority w:val="99"/>
    <w:semiHidden/>
    <w:unhideWhenUsed/>
    <w:rsid w:val="0003148D"/>
    <w:pPr>
      <w:spacing w:line="240" w:lineRule="auto"/>
      <w:ind w:left="660" w:hanging="220"/>
    </w:pPr>
  </w:style>
  <w:style w:type="paragraph" w:styleId="Index4">
    <w:name w:val="index 4"/>
    <w:basedOn w:val="Normal"/>
    <w:next w:val="Normal"/>
    <w:autoRedefine/>
    <w:uiPriority w:val="99"/>
    <w:semiHidden/>
    <w:unhideWhenUsed/>
    <w:rsid w:val="0003148D"/>
    <w:pPr>
      <w:spacing w:line="240" w:lineRule="auto"/>
      <w:ind w:left="880" w:hanging="220"/>
    </w:pPr>
  </w:style>
  <w:style w:type="paragraph" w:styleId="Index5">
    <w:name w:val="index 5"/>
    <w:basedOn w:val="Normal"/>
    <w:next w:val="Normal"/>
    <w:autoRedefine/>
    <w:uiPriority w:val="99"/>
    <w:semiHidden/>
    <w:unhideWhenUsed/>
    <w:rsid w:val="0003148D"/>
    <w:pPr>
      <w:spacing w:line="240" w:lineRule="auto"/>
      <w:ind w:left="1100" w:hanging="220"/>
    </w:pPr>
  </w:style>
  <w:style w:type="paragraph" w:styleId="Index6">
    <w:name w:val="index 6"/>
    <w:basedOn w:val="Normal"/>
    <w:next w:val="Normal"/>
    <w:autoRedefine/>
    <w:uiPriority w:val="99"/>
    <w:semiHidden/>
    <w:unhideWhenUsed/>
    <w:rsid w:val="0003148D"/>
    <w:pPr>
      <w:spacing w:line="240" w:lineRule="auto"/>
      <w:ind w:left="1320" w:hanging="220"/>
    </w:pPr>
  </w:style>
  <w:style w:type="paragraph" w:styleId="Index7">
    <w:name w:val="index 7"/>
    <w:basedOn w:val="Normal"/>
    <w:next w:val="Normal"/>
    <w:autoRedefine/>
    <w:uiPriority w:val="99"/>
    <w:semiHidden/>
    <w:unhideWhenUsed/>
    <w:rsid w:val="0003148D"/>
    <w:pPr>
      <w:spacing w:line="240" w:lineRule="auto"/>
      <w:ind w:left="1540" w:hanging="220"/>
    </w:pPr>
  </w:style>
  <w:style w:type="paragraph" w:styleId="Index8">
    <w:name w:val="index 8"/>
    <w:basedOn w:val="Normal"/>
    <w:next w:val="Normal"/>
    <w:autoRedefine/>
    <w:uiPriority w:val="99"/>
    <w:semiHidden/>
    <w:unhideWhenUsed/>
    <w:rsid w:val="0003148D"/>
    <w:pPr>
      <w:spacing w:line="240" w:lineRule="auto"/>
      <w:ind w:left="1760" w:hanging="220"/>
    </w:pPr>
  </w:style>
  <w:style w:type="paragraph" w:styleId="Index9">
    <w:name w:val="index 9"/>
    <w:basedOn w:val="Normal"/>
    <w:next w:val="Normal"/>
    <w:autoRedefine/>
    <w:uiPriority w:val="99"/>
    <w:semiHidden/>
    <w:unhideWhenUsed/>
    <w:rsid w:val="0003148D"/>
    <w:pPr>
      <w:spacing w:line="240" w:lineRule="auto"/>
      <w:ind w:left="1980" w:hanging="220"/>
    </w:pPr>
  </w:style>
  <w:style w:type="paragraph" w:styleId="TableofFigures">
    <w:name w:val="table of figures"/>
    <w:basedOn w:val="Normal"/>
    <w:next w:val="Normal"/>
    <w:uiPriority w:val="99"/>
    <w:semiHidden/>
    <w:unhideWhenUsed/>
    <w:rsid w:val="0003148D"/>
  </w:style>
  <w:style w:type="paragraph" w:styleId="TableofAuthorities">
    <w:name w:val="table of authorities"/>
    <w:basedOn w:val="Normal"/>
    <w:next w:val="Normal"/>
    <w:uiPriority w:val="99"/>
    <w:semiHidden/>
    <w:unhideWhenUsed/>
    <w:rsid w:val="0003148D"/>
    <w:pPr>
      <w:ind w:left="220" w:hanging="220"/>
    </w:pPr>
  </w:style>
  <w:style w:type="paragraph" w:styleId="EnvelopeAddress">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HTMLAddress">
    <w:name w:val="HTML Address"/>
    <w:basedOn w:val="Normal"/>
    <w:link w:val="HTMLAddressChar"/>
    <w:uiPriority w:val="99"/>
    <w:semiHidden/>
    <w:unhideWhenUsed/>
    <w:rsid w:val="0003148D"/>
    <w:pPr>
      <w:spacing w:line="240" w:lineRule="auto"/>
    </w:pPr>
    <w:rPr>
      <w:i/>
      <w:iCs/>
    </w:rPr>
  </w:style>
  <w:style w:type="character" w:customStyle="1" w:styleId="HTMLAddressChar">
    <w:name w:val="HTML Address Char"/>
    <w:basedOn w:val="DefaultParagraphFont"/>
    <w:link w:val="HTMLAddress"/>
    <w:uiPriority w:val="99"/>
    <w:semiHidden/>
    <w:rsid w:val="0003148D"/>
    <w:rPr>
      <w:i/>
      <w:iCs/>
    </w:rPr>
  </w:style>
  <w:style w:type="paragraph" w:styleId="EnvelopeReturn">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MessageHeader">
    <w:name w:val="Message Header"/>
    <w:basedOn w:val="Normal"/>
    <w:link w:val="MessageHeaderCh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3148D"/>
    <w:rPr>
      <w:rFonts w:asciiTheme="majorHAnsi" w:eastAsiaTheme="majorEastAsia" w:hAnsiTheme="majorHAnsi" w:cstheme="majorBidi"/>
      <w:sz w:val="24"/>
      <w:szCs w:val="24"/>
      <w:shd w:val="pct20" w:color="auto" w:fill="auto"/>
    </w:rPr>
  </w:style>
  <w:style w:type="paragraph" w:styleId="NoteHeading">
    <w:name w:val="Note Heading"/>
    <w:basedOn w:val="Normal"/>
    <w:next w:val="Normal"/>
    <w:link w:val="NoteHeadingChar"/>
    <w:uiPriority w:val="99"/>
    <w:semiHidden/>
    <w:unhideWhenUsed/>
    <w:rsid w:val="0003148D"/>
    <w:pPr>
      <w:spacing w:line="240" w:lineRule="auto"/>
    </w:pPr>
  </w:style>
  <w:style w:type="character" w:customStyle="1" w:styleId="NoteHeadingChar">
    <w:name w:val="Note Heading Char"/>
    <w:basedOn w:val="DefaultParagraphFont"/>
    <w:link w:val="NoteHeading"/>
    <w:uiPriority w:val="99"/>
    <w:semiHidden/>
    <w:rsid w:val="0003148D"/>
  </w:style>
  <w:style w:type="paragraph" w:styleId="DocumentMap">
    <w:name w:val="Document Map"/>
    <w:basedOn w:val="Normal"/>
    <w:link w:val="DocumentMapChar"/>
    <w:uiPriority w:val="99"/>
    <w:semiHidden/>
    <w:unhideWhenUsed/>
    <w:rsid w:val="0003148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ListNumber">
    <w:name w:val="List Number"/>
    <w:basedOn w:val="Normal"/>
    <w:uiPriority w:val="99"/>
    <w:semiHidden/>
    <w:unhideWhenUsed/>
    <w:rsid w:val="0003148D"/>
    <w:pPr>
      <w:numPr>
        <w:numId w:val="2"/>
      </w:numPr>
      <w:contextualSpacing/>
    </w:pPr>
  </w:style>
  <w:style w:type="paragraph" w:styleId="ListNumber2">
    <w:name w:val="List Number 2"/>
    <w:basedOn w:val="Normal"/>
    <w:uiPriority w:val="99"/>
    <w:semiHidden/>
    <w:unhideWhenUsed/>
    <w:rsid w:val="0003148D"/>
    <w:pPr>
      <w:numPr>
        <w:numId w:val="3"/>
      </w:numPr>
      <w:contextualSpacing/>
    </w:pPr>
  </w:style>
  <w:style w:type="paragraph" w:styleId="ListNumber3">
    <w:name w:val="List Number 3"/>
    <w:basedOn w:val="Normal"/>
    <w:uiPriority w:val="99"/>
    <w:semiHidden/>
    <w:unhideWhenUsed/>
    <w:rsid w:val="0003148D"/>
    <w:pPr>
      <w:numPr>
        <w:numId w:val="4"/>
      </w:numPr>
      <w:contextualSpacing/>
    </w:pPr>
  </w:style>
  <w:style w:type="paragraph" w:styleId="ListNumber4">
    <w:name w:val="List Number 4"/>
    <w:basedOn w:val="Normal"/>
    <w:uiPriority w:val="99"/>
    <w:semiHidden/>
    <w:unhideWhenUsed/>
    <w:rsid w:val="0003148D"/>
    <w:pPr>
      <w:numPr>
        <w:numId w:val="5"/>
      </w:numPr>
      <w:contextualSpacing/>
    </w:pPr>
  </w:style>
  <w:style w:type="paragraph" w:styleId="ListNumber5">
    <w:name w:val="List Number 5"/>
    <w:basedOn w:val="Normal"/>
    <w:uiPriority w:val="99"/>
    <w:semiHidden/>
    <w:unhideWhenUsed/>
    <w:rsid w:val="0003148D"/>
    <w:pPr>
      <w:numPr>
        <w:numId w:val="6"/>
      </w:numPr>
      <w:contextualSpacing/>
    </w:pPr>
  </w:style>
  <w:style w:type="paragraph" w:styleId="HTMLPreformatted">
    <w:name w:val="HTML Preformatted"/>
    <w:basedOn w:val="Normal"/>
    <w:link w:val="HTMLPreformattedChar"/>
    <w:uiPriority w:val="99"/>
    <w:semiHidden/>
    <w:unhideWhenUsed/>
    <w:rsid w:val="0003148D"/>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03148D"/>
    <w:rPr>
      <w:rFonts w:ascii="Consolas" w:hAnsi="Consolas" w:cs="Consolas"/>
      <w:sz w:val="20"/>
      <w:szCs w:val="20"/>
    </w:rPr>
  </w:style>
  <w:style w:type="paragraph" w:styleId="BodyTextFirstIndent">
    <w:name w:val="Body Text First Indent"/>
    <w:basedOn w:val="BodyText"/>
    <w:link w:val="BodyTextFirstIndentChar"/>
    <w:uiPriority w:val="99"/>
    <w:semiHidden/>
    <w:unhideWhenUsed/>
    <w:rsid w:val="0003148D"/>
    <w:pPr>
      <w:spacing w:after="200"/>
      <w:ind w:firstLine="360"/>
    </w:pPr>
  </w:style>
  <w:style w:type="character" w:customStyle="1" w:styleId="BodyTextFirstIndentChar">
    <w:name w:val="Body Text First Indent Char"/>
    <w:basedOn w:val="BodyTextChar"/>
    <w:link w:val="BodyTextFirstIndent"/>
    <w:uiPriority w:val="99"/>
    <w:semiHidden/>
    <w:rsid w:val="0003148D"/>
  </w:style>
  <w:style w:type="paragraph" w:styleId="BodyTextIndent">
    <w:name w:val="Body Text Indent"/>
    <w:basedOn w:val="Normal"/>
    <w:link w:val="BodyTextIndentChar"/>
    <w:uiPriority w:val="99"/>
    <w:semiHidden/>
    <w:unhideWhenUsed/>
    <w:rsid w:val="0003148D"/>
    <w:pPr>
      <w:spacing w:after="120"/>
      <w:ind w:left="283"/>
    </w:pPr>
  </w:style>
  <w:style w:type="character" w:customStyle="1" w:styleId="BodyTextIndentChar">
    <w:name w:val="Body Text Indent Char"/>
    <w:basedOn w:val="DefaultParagraphFont"/>
    <w:link w:val="BodyTextIndent"/>
    <w:uiPriority w:val="99"/>
    <w:semiHidden/>
    <w:rsid w:val="0003148D"/>
  </w:style>
  <w:style w:type="paragraph" w:styleId="BodyTextFirstIndent2">
    <w:name w:val="Body Text First Indent 2"/>
    <w:basedOn w:val="BodyTextIndent"/>
    <w:link w:val="BodyTextFirstIndent2Char"/>
    <w:uiPriority w:val="99"/>
    <w:semiHidden/>
    <w:unhideWhenUsed/>
    <w:rsid w:val="0003148D"/>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03148D"/>
  </w:style>
  <w:style w:type="paragraph" w:styleId="ListBullet">
    <w:name w:val="List Bullet"/>
    <w:basedOn w:val="Normal"/>
    <w:uiPriority w:val="99"/>
    <w:semiHidden/>
    <w:unhideWhenUsed/>
    <w:rsid w:val="0003148D"/>
    <w:pPr>
      <w:numPr>
        <w:numId w:val="7"/>
      </w:numPr>
      <w:contextualSpacing/>
    </w:pPr>
  </w:style>
  <w:style w:type="paragraph" w:styleId="ListBullet2">
    <w:name w:val="List Bullet 2"/>
    <w:basedOn w:val="Normal"/>
    <w:uiPriority w:val="99"/>
    <w:semiHidden/>
    <w:unhideWhenUsed/>
    <w:rsid w:val="0003148D"/>
    <w:pPr>
      <w:numPr>
        <w:numId w:val="8"/>
      </w:numPr>
      <w:contextualSpacing/>
    </w:pPr>
  </w:style>
  <w:style w:type="paragraph" w:styleId="ListBullet3">
    <w:name w:val="List Bullet 3"/>
    <w:basedOn w:val="Normal"/>
    <w:uiPriority w:val="99"/>
    <w:semiHidden/>
    <w:unhideWhenUsed/>
    <w:rsid w:val="0003148D"/>
    <w:pPr>
      <w:numPr>
        <w:numId w:val="9"/>
      </w:numPr>
      <w:contextualSpacing/>
    </w:pPr>
  </w:style>
  <w:style w:type="paragraph" w:styleId="ListBullet4">
    <w:name w:val="List Bullet 4"/>
    <w:basedOn w:val="Normal"/>
    <w:uiPriority w:val="99"/>
    <w:semiHidden/>
    <w:unhideWhenUsed/>
    <w:rsid w:val="0003148D"/>
    <w:pPr>
      <w:numPr>
        <w:numId w:val="10"/>
      </w:numPr>
      <w:contextualSpacing/>
    </w:pPr>
  </w:style>
  <w:style w:type="paragraph" w:styleId="ListBullet5">
    <w:name w:val="List Bullet 5"/>
    <w:basedOn w:val="Normal"/>
    <w:uiPriority w:val="99"/>
    <w:semiHidden/>
    <w:unhideWhenUsed/>
    <w:rsid w:val="0003148D"/>
    <w:pPr>
      <w:numPr>
        <w:numId w:val="11"/>
      </w:numPr>
      <w:contextualSpacing/>
    </w:pPr>
  </w:style>
  <w:style w:type="paragraph" w:styleId="BodyTextIndent2">
    <w:name w:val="Body Text Indent 2"/>
    <w:basedOn w:val="Normal"/>
    <w:link w:val="BodyTextIndent2Char"/>
    <w:uiPriority w:val="99"/>
    <w:semiHidden/>
    <w:unhideWhenUsed/>
    <w:rsid w:val="0003148D"/>
    <w:pPr>
      <w:spacing w:after="120" w:line="480" w:lineRule="auto"/>
      <w:ind w:left="283"/>
    </w:pPr>
  </w:style>
  <w:style w:type="character" w:customStyle="1" w:styleId="BodyTextIndent2Char">
    <w:name w:val="Body Text Indent 2 Char"/>
    <w:basedOn w:val="DefaultParagraphFont"/>
    <w:link w:val="BodyTextIndent2"/>
    <w:uiPriority w:val="99"/>
    <w:semiHidden/>
    <w:rsid w:val="0003148D"/>
  </w:style>
  <w:style w:type="paragraph" w:styleId="BodyTextIndent3">
    <w:name w:val="Body Text Indent 3"/>
    <w:basedOn w:val="Normal"/>
    <w:link w:val="BodyTextIndent3Char"/>
    <w:uiPriority w:val="99"/>
    <w:semiHidden/>
    <w:unhideWhenUsed/>
    <w:rsid w:val="0003148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148D"/>
    <w:rPr>
      <w:sz w:val="16"/>
      <w:szCs w:val="16"/>
    </w:rPr>
  </w:style>
  <w:style w:type="paragraph" w:styleId="NormalIndent">
    <w:name w:val="Normal Indent"/>
    <w:basedOn w:val="Normal"/>
    <w:uiPriority w:val="99"/>
    <w:semiHidden/>
    <w:unhideWhenUsed/>
    <w:rsid w:val="0003148D"/>
    <w:pPr>
      <w:ind w:left="720"/>
    </w:pPr>
  </w:style>
  <w:style w:type="paragraph" w:styleId="CommentText">
    <w:name w:val="annotation text"/>
    <w:basedOn w:val="Normal"/>
    <w:link w:val="CommentTextChar"/>
    <w:uiPriority w:val="99"/>
    <w:unhideWhenUsed/>
    <w:rsid w:val="0003148D"/>
    <w:pPr>
      <w:spacing w:line="240" w:lineRule="auto"/>
    </w:pPr>
  </w:style>
  <w:style w:type="character" w:customStyle="1" w:styleId="CommentTextChar">
    <w:name w:val="Comment Text Char"/>
    <w:basedOn w:val="DefaultParagraphFont"/>
    <w:link w:val="CommentText"/>
    <w:uiPriority w:val="99"/>
    <w:rsid w:val="0003148D"/>
    <w:rPr>
      <w:sz w:val="20"/>
      <w:szCs w:val="20"/>
    </w:rPr>
  </w:style>
  <w:style w:type="paragraph" w:styleId="CommentSubject">
    <w:name w:val="annotation subject"/>
    <w:basedOn w:val="CommentText"/>
    <w:next w:val="CommentText"/>
    <w:link w:val="CommentSubjectChar"/>
    <w:uiPriority w:val="99"/>
    <w:semiHidden/>
    <w:unhideWhenUsed/>
    <w:rsid w:val="0003148D"/>
    <w:rPr>
      <w:b/>
      <w:bCs/>
    </w:rPr>
  </w:style>
  <w:style w:type="character" w:customStyle="1" w:styleId="CommentSubjectChar">
    <w:name w:val="Comment Subject Char"/>
    <w:basedOn w:val="CommentTextChar"/>
    <w:link w:val="CommentSubject"/>
    <w:uiPriority w:val="99"/>
    <w:semiHidden/>
    <w:rsid w:val="0003148D"/>
    <w:rPr>
      <w:b/>
      <w:bCs/>
      <w:sz w:val="20"/>
      <w:szCs w:val="20"/>
    </w:rPr>
  </w:style>
  <w:style w:type="paragraph" w:styleId="TOC1">
    <w:name w:val="toc 1"/>
    <w:basedOn w:val="Normal"/>
    <w:next w:val="Normal"/>
    <w:autoRedefine/>
    <w:uiPriority w:val="39"/>
    <w:semiHidden/>
    <w:unhideWhenUsed/>
    <w:rsid w:val="0003148D"/>
    <w:pPr>
      <w:spacing w:after="100"/>
    </w:pPr>
  </w:style>
  <w:style w:type="paragraph" w:styleId="TOC2">
    <w:name w:val="toc 2"/>
    <w:basedOn w:val="Normal"/>
    <w:next w:val="Normal"/>
    <w:autoRedefine/>
    <w:uiPriority w:val="39"/>
    <w:semiHidden/>
    <w:unhideWhenUsed/>
    <w:rsid w:val="0003148D"/>
    <w:pPr>
      <w:spacing w:after="100"/>
      <w:ind w:left="220"/>
    </w:pPr>
  </w:style>
  <w:style w:type="paragraph" w:styleId="TOC3">
    <w:name w:val="toc 3"/>
    <w:basedOn w:val="Normal"/>
    <w:next w:val="Normal"/>
    <w:autoRedefine/>
    <w:uiPriority w:val="39"/>
    <w:semiHidden/>
    <w:unhideWhenUsed/>
    <w:rsid w:val="0003148D"/>
    <w:pPr>
      <w:spacing w:after="100"/>
      <w:ind w:left="440"/>
    </w:pPr>
  </w:style>
  <w:style w:type="paragraph" w:styleId="TOC4">
    <w:name w:val="toc 4"/>
    <w:basedOn w:val="Normal"/>
    <w:next w:val="Normal"/>
    <w:autoRedefine/>
    <w:uiPriority w:val="39"/>
    <w:semiHidden/>
    <w:unhideWhenUsed/>
    <w:rsid w:val="0003148D"/>
    <w:pPr>
      <w:spacing w:after="100"/>
      <w:ind w:left="660"/>
    </w:pPr>
  </w:style>
  <w:style w:type="paragraph" w:styleId="TOC5">
    <w:name w:val="toc 5"/>
    <w:basedOn w:val="Normal"/>
    <w:next w:val="Normal"/>
    <w:autoRedefine/>
    <w:uiPriority w:val="39"/>
    <w:semiHidden/>
    <w:unhideWhenUsed/>
    <w:rsid w:val="0003148D"/>
    <w:pPr>
      <w:spacing w:after="100"/>
      <w:ind w:left="880"/>
    </w:pPr>
  </w:style>
  <w:style w:type="paragraph" w:styleId="TOC6">
    <w:name w:val="toc 6"/>
    <w:basedOn w:val="Normal"/>
    <w:next w:val="Normal"/>
    <w:autoRedefine/>
    <w:uiPriority w:val="39"/>
    <w:semiHidden/>
    <w:unhideWhenUsed/>
    <w:rsid w:val="0003148D"/>
    <w:pPr>
      <w:spacing w:after="100"/>
      <w:ind w:left="1100"/>
    </w:pPr>
  </w:style>
  <w:style w:type="paragraph" w:styleId="TOC7">
    <w:name w:val="toc 7"/>
    <w:basedOn w:val="Normal"/>
    <w:next w:val="Normal"/>
    <w:autoRedefine/>
    <w:uiPriority w:val="39"/>
    <w:semiHidden/>
    <w:unhideWhenUsed/>
    <w:rsid w:val="0003148D"/>
    <w:pPr>
      <w:spacing w:after="100"/>
      <w:ind w:left="1320"/>
    </w:pPr>
  </w:style>
  <w:style w:type="paragraph" w:styleId="TOC8">
    <w:name w:val="toc 8"/>
    <w:basedOn w:val="Normal"/>
    <w:next w:val="Normal"/>
    <w:autoRedefine/>
    <w:uiPriority w:val="39"/>
    <w:semiHidden/>
    <w:unhideWhenUsed/>
    <w:rsid w:val="0003148D"/>
    <w:pPr>
      <w:spacing w:after="100"/>
      <w:ind w:left="1540"/>
    </w:pPr>
  </w:style>
  <w:style w:type="paragraph" w:styleId="TOC9">
    <w:name w:val="toc 9"/>
    <w:basedOn w:val="Normal"/>
    <w:next w:val="Normal"/>
    <w:autoRedefine/>
    <w:uiPriority w:val="39"/>
    <w:semiHidden/>
    <w:unhideWhenUsed/>
    <w:rsid w:val="0003148D"/>
    <w:pPr>
      <w:spacing w:after="100"/>
      <w:ind w:left="1760"/>
    </w:pPr>
  </w:style>
  <w:style w:type="paragraph" w:styleId="BlockText">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MacroText">
    <w:name w:val="macro"/>
    <w:link w:val="MacroTextCh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3148D"/>
    <w:rPr>
      <w:rFonts w:ascii="Consolas" w:hAnsi="Consolas" w:cs="Consolas"/>
      <w:sz w:val="20"/>
      <w:szCs w:val="20"/>
    </w:rPr>
  </w:style>
  <w:style w:type="paragraph" w:styleId="PlainText">
    <w:name w:val="Plain Text"/>
    <w:basedOn w:val="Normal"/>
    <w:link w:val="PlainTextChar"/>
    <w:uiPriority w:val="99"/>
    <w:semiHidden/>
    <w:unhideWhenUsed/>
    <w:rsid w:val="0003148D"/>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3148D"/>
    <w:rPr>
      <w:rFonts w:ascii="Consolas" w:hAnsi="Consolas" w:cs="Consolas"/>
      <w:sz w:val="21"/>
      <w:szCs w:val="21"/>
    </w:rPr>
  </w:style>
  <w:style w:type="paragraph" w:styleId="FootnoteText">
    <w:name w:val="footnote text"/>
    <w:basedOn w:val="Normal"/>
    <w:link w:val="FootnoteTextChar"/>
    <w:uiPriority w:val="99"/>
    <w:semiHidden/>
    <w:unhideWhenUsed/>
    <w:rsid w:val="0003148D"/>
    <w:pPr>
      <w:spacing w:line="240" w:lineRule="auto"/>
    </w:pPr>
  </w:style>
  <w:style w:type="character" w:customStyle="1" w:styleId="FootnoteTextChar">
    <w:name w:val="Footnote Text Char"/>
    <w:basedOn w:val="DefaultParagraphFont"/>
    <w:link w:val="FootnoteText"/>
    <w:uiPriority w:val="99"/>
    <w:semiHidden/>
    <w:rsid w:val="0003148D"/>
    <w:rPr>
      <w:sz w:val="20"/>
      <w:szCs w:val="20"/>
    </w:rPr>
  </w:style>
  <w:style w:type="paragraph" w:styleId="EndnoteText">
    <w:name w:val="endnote text"/>
    <w:basedOn w:val="Normal"/>
    <w:link w:val="EndnoteTextChar"/>
    <w:uiPriority w:val="99"/>
    <w:semiHidden/>
    <w:unhideWhenUsed/>
    <w:rsid w:val="0003148D"/>
    <w:pPr>
      <w:spacing w:line="240" w:lineRule="auto"/>
    </w:pPr>
  </w:style>
  <w:style w:type="character" w:customStyle="1" w:styleId="EndnoteTextChar">
    <w:name w:val="Endnote Text Char"/>
    <w:basedOn w:val="DefaultParagraphFont"/>
    <w:link w:val="EndnoteText"/>
    <w:uiPriority w:val="99"/>
    <w:semiHidden/>
    <w:rsid w:val="0003148D"/>
    <w:rPr>
      <w:sz w:val="20"/>
      <w:szCs w:val="20"/>
    </w:rPr>
  </w:style>
  <w:style w:type="character" w:customStyle="1" w:styleId="Heading1Char">
    <w:name w:val="Heading 1 Char"/>
    <w:basedOn w:val="DefaultParagraphFont"/>
    <w:link w:val="Heading1"/>
    <w:uiPriority w:val="9"/>
    <w:rsid w:val="004F5E36"/>
    <w:rPr>
      <w:rFonts w:ascii="Arial" w:eastAsia="Times New Roman" w:hAnsi="Arial" w:cs="Times New Roman"/>
      <w:b/>
      <w:sz w:val="20"/>
      <w:szCs w:val="20"/>
      <w:lang w:val="en-GB"/>
    </w:rPr>
  </w:style>
  <w:style w:type="character" w:customStyle="1" w:styleId="Heading2Char">
    <w:name w:val="Heading 2 Char"/>
    <w:basedOn w:val="DefaultParagraphFont"/>
    <w:link w:val="Heading2"/>
    <w:uiPriority w:val="9"/>
    <w:semiHidden/>
    <w:rsid w:val="000314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3148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3148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3148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48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48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148D"/>
    <w:rPr>
      <w:rFonts w:asciiTheme="majorHAnsi" w:eastAsiaTheme="majorEastAsia" w:hAnsiTheme="majorHAnsi" w:cstheme="majorBidi"/>
      <w:i/>
      <w:iCs/>
      <w:color w:val="404040" w:themeColor="text1" w:themeTint="BF"/>
      <w:sz w:val="20"/>
      <w:szCs w:val="20"/>
    </w:rPr>
  </w:style>
  <w:style w:type="paragraph" w:styleId="IndexHeading">
    <w:name w:val="index heading"/>
    <w:basedOn w:val="Normal"/>
    <w:next w:val="Index1"/>
    <w:uiPriority w:val="99"/>
    <w:semiHidden/>
    <w:unhideWhenUsed/>
    <w:rsid w:val="0003148D"/>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DefaultParagraphFont"/>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Header">
    <w:name w:val="header"/>
    <w:basedOn w:val="Normal"/>
    <w:link w:val="HeaderChar"/>
    <w:uiPriority w:val="99"/>
    <w:unhideWhenUsed/>
    <w:rsid w:val="005278B7"/>
    <w:pPr>
      <w:tabs>
        <w:tab w:val="clear" w:pos="7100"/>
        <w:tab w:val="center" w:pos="4819"/>
        <w:tab w:val="right" w:pos="9638"/>
      </w:tabs>
      <w:spacing w:line="240" w:lineRule="auto"/>
    </w:pPr>
  </w:style>
  <w:style w:type="character" w:customStyle="1" w:styleId="HeaderChar">
    <w:name w:val="Header Char"/>
    <w:basedOn w:val="DefaultParagraphFont"/>
    <w:link w:val="Header"/>
    <w:uiPriority w:val="99"/>
    <w:rsid w:val="005278B7"/>
    <w:rPr>
      <w:rFonts w:ascii="Arial" w:eastAsia="Times New Roman" w:hAnsi="Arial" w:cs="Times New Roman"/>
      <w:sz w:val="18"/>
      <w:szCs w:val="20"/>
      <w:lang w:val="en-GB"/>
    </w:rPr>
  </w:style>
  <w:style w:type="paragraph" w:styleId="Footer">
    <w:name w:val="footer"/>
    <w:basedOn w:val="Normal"/>
    <w:link w:val="FooterChar"/>
    <w:uiPriority w:val="99"/>
    <w:unhideWhenUsed/>
    <w:rsid w:val="005278B7"/>
    <w:pPr>
      <w:tabs>
        <w:tab w:val="clear" w:pos="7100"/>
        <w:tab w:val="center" w:pos="4819"/>
        <w:tab w:val="right" w:pos="9638"/>
      </w:tabs>
      <w:spacing w:line="240" w:lineRule="auto"/>
    </w:pPr>
  </w:style>
  <w:style w:type="character" w:customStyle="1" w:styleId="FooterChar">
    <w:name w:val="Footer Char"/>
    <w:basedOn w:val="DefaultParagraphFont"/>
    <w:link w:val="Footer"/>
    <w:uiPriority w:val="99"/>
    <w:rsid w:val="005278B7"/>
    <w:rPr>
      <w:rFonts w:ascii="Arial" w:eastAsia="Times New Roman" w:hAnsi="Arial" w:cs="Times New Roman"/>
      <w:sz w:val="18"/>
      <w:szCs w:val="20"/>
      <w:lang w:val="en-GB"/>
    </w:rPr>
  </w:style>
  <w:style w:type="table" w:styleId="TableGrid">
    <w:name w:val="Table Grid"/>
    <w:basedOn w:val="Table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4C62"/>
    <w:rPr>
      <w:color w:val="0000FF" w:themeColor="hyperlink"/>
      <w:u w:val="single"/>
    </w:rPr>
  </w:style>
  <w:style w:type="character" w:customStyle="1" w:styleId="eudoraheader">
    <w:name w:val="eudoraheader"/>
    <w:basedOn w:val="DefaultParagraphFont"/>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ListParagraph">
    <w:name w:val="List Paragraph"/>
    <w:basedOn w:val="Normal"/>
    <w:uiPriority w:val="34"/>
    <w:rsid w:val="00280FAF"/>
    <w:pPr>
      <w:ind w:left="720"/>
      <w:contextualSpacing/>
    </w:pPr>
  </w:style>
  <w:style w:type="character" w:customStyle="1" w:styleId="gmail-apple-converted-space">
    <w:name w:val="gmail-apple-converted-space"/>
    <w:basedOn w:val="DefaultParagraphFont"/>
    <w:rsid w:val="00005A19"/>
  </w:style>
  <w:style w:type="character" w:styleId="Emphasis">
    <w:name w:val="Emphasis"/>
    <w:basedOn w:val="DefaultParagraphFont"/>
    <w:uiPriority w:val="20"/>
    <w:qFormat/>
    <w:rsid w:val="007A07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263027">
      <w:bodyDiv w:val="1"/>
      <w:marLeft w:val="0"/>
      <w:marRight w:val="0"/>
      <w:marTop w:val="0"/>
      <w:marBottom w:val="0"/>
      <w:divBdr>
        <w:top w:val="none" w:sz="0" w:space="0" w:color="auto"/>
        <w:left w:val="none" w:sz="0" w:space="0" w:color="auto"/>
        <w:bottom w:val="none" w:sz="0" w:space="0" w:color="auto"/>
        <w:right w:val="none" w:sz="0" w:space="0" w:color="auto"/>
      </w:divBdr>
    </w:div>
    <w:div w:id="549533456">
      <w:bodyDiv w:val="1"/>
      <w:marLeft w:val="0"/>
      <w:marRight w:val="0"/>
      <w:marTop w:val="0"/>
      <w:marBottom w:val="0"/>
      <w:divBdr>
        <w:top w:val="none" w:sz="0" w:space="0" w:color="auto"/>
        <w:left w:val="none" w:sz="0" w:space="0" w:color="auto"/>
        <w:bottom w:val="none" w:sz="0" w:space="0" w:color="auto"/>
        <w:right w:val="none" w:sz="0" w:space="0" w:color="auto"/>
      </w:divBdr>
    </w:div>
    <w:div w:id="705986546">
      <w:bodyDiv w:val="1"/>
      <w:marLeft w:val="0"/>
      <w:marRight w:val="0"/>
      <w:marTop w:val="0"/>
      <w:marBottom w:val="0"/>
      <w:divBdr>
        <w:top w:val="none" w:sz="0" w:space="0" w:color="auto"/>
        <w:left w:val="none" w:sz="0" w:space="0" w:color="auto"/>
        <w:bottom w:val="none" w:sz="0" w:space="0" w:color="auto"/>
        <w:right w:val="none" w:sz="0" w:space="0" w:color="auto"/>
      </w:divBdr>
    </w:div>
    <w:div w:id="754282471">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86179">
      <w:bodyDiv w:val="1"/>
      <w:marLeft w:val="0"/>
      <w:marRight w:val="0"/>
      <w:marTop w:val="0"/>
      <w:marBottom w:val="0"/>
      <w:divBdr>
        <w:top w:val="none" w:sz="0" w:space="0" w:color="auto"/>
        <w:left w:val="none" w:sz="0" w:space="0" w:color="auto"/>
        <w:bottom w:val="none" w:sz="0" w:space="0" w:color="auto"/>
        <w:right w:val="none" w:sz="0" w:space="0" w:color="auto"/>
      </w:divBdr>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39335264">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4935">
      <w:bodyDiv w:val="1"/>
      <w:marLeft w:val="0"/>
      <w:marRight w:val="0"/>
      <w:marTop w:val="0"/>
      <w:marBottom w:val="0"/>
      <w:divBdr>
        <w:top w:val="none" w:sz="0" w:space="0" w:color="auto"/>
        <w:left w:val="none" w:sz="0" w:space="0" w:color="auto"/>
        <w:bottom w:val="none" w:sz="0" w:space="0" w:color="auto"/>
        <w:right w:val="none" w:sz="0" w:space="0" w:color="auto"/>
      </w:divBdr>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D954F630B2BD4987782F241E6A474C" ma:contentTypeVersion="19" ma:contentTypeDescription="Crée un document." ma:contentTypeScope="" ma:versionID="f24839300d21fcc807124870b2b02046">
  <xsd:schema xmlns:xsd="http://www.w3.org/2001/XMLSchema" xmlns:xs="http://www.w3.org/2001/XMLSchema" xmlns:p="http://schemas.microsoft.com/office/2006/metadata/properties" xmlns:ns2="d86f2e78-8aa6-49e4-84ea-331b12f21a5f" xmlns:ns3="0dad4a6d-ba2c-42c3-9e00-6da05073cee7" targetNamespace="http://schemas.microsoft.com/office/2006/metadata/properties" ma:root="true" ma:fieldsID="9d59059dd1a01dcd8a8ddf60a065c86d" ns2:_="" ns3:_="">
    <xsd:import namespace="d86f2e78-8aa6-49e4-84ea-331b12f21a5f"/>
    <xsd:import namespace="0dad4a6d-ba2c-42c3-9e00-6da05073cee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de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6f2e78-8aa6-49e4-84ea-331b12f21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d0012378-f725-49f8-9365-ca1c77135570" ma:termSetId="09814cd3-568e-fe90-9814-8d621ff8fb84" ma:anchorId="fba54fb3-c3e1-fe81-a776-ca4b69148c4d" ma:open="true" ma:isKeyword="false">
      <xsd:complexType>
        <xsd:sequence>
          <xsd:element ref="pc:Terms" minOccurs="0" maxOccurs="1"/>
        </xsd:sequence>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dede" ma:index="24" nillable="true" ma:displayName="dede" ma:format="DateTime" ma:internalName="dede">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ad4a6d-ba2c-42c3-9e00-6da05073cee7"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4c65e8d3-93d8-4c0b-955e-3581c13dd50e}" ma:internalName="TaxCatchAll" ma:showField="CatchAllData" ma:web="0dad4a6d-ba2c-42c3-9e00-6da05073ce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de xmlns="d86f2e78-8aa6-49e4-84ea-331b12f21a5f" xsi:nil="true"/>
    <lcf76f155ced4ddcb4097134ff3c332f xmlns="d86f2e78-8aa6-49e4-84ea-331b12f21a5f">
      <Terms xmlns="http://schemas.microsoft.com/office/infopath/2007/PartnerControls"/>
    </lcf76f155ced4ddcb4097134ff3c332f>
    <TaxCatchAll xmlns="0dad4a6d-ba2c-42c3-9e00-6da05073cee7" xsi:nil="true"/>
  </documentManagement>
</p:properties>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customXml/itemProps2.xml><?xml version="1.0" encoding="utf-8"?>
<ds:datastoreItem xmlns:ds="http://schemas.openxmlformats.org/officeDocument/2006/customXml" ds:itemID="{831E94CD-5BFF-4527-A10D-4043FFBC8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6f2e78-8aa6-49e4-84ea-331b12f21a5f"/>
    <ds:schemaRef ds:uri="0dad4a6d-ba2c-42c3-9e00-6da05073ce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05E6D-B135-460E-B50C-9C53CE0B938D}">
  <ds:schemaRefs>
    <ds:schemaRef ds:uri="http://schemas.microsoft.com/sharepoint/v3/contenttype/forms"/>
  </ds:schemaRefs>
</ds:datastoreItem>
</file>

<file path=customXml/itemProps4.xml><?xml version="1.0" encoding="utf-8"?>
<ds:datastoreItem xmlns:ds="http://schemas.openxmlformats.org/officeDocument/2006/customXml" ds:itemID="{4CEF7813-EE9D-4D7F-8FE4-8D4FAC8C9911}">
  <ds:schemaRefs>
    <ds:schemaRef ds:uri="http://schemas.microsoft.com/office/2006/metadata/properties"/>
    <ds:schemaRef ds:uri="http://schemas.microsoft.com/office/infopath/2007/PartnerControls"/>
    <ds:schemaRef ds:uri="d86f2e78-8aa6-49e4-84ea-331b12f21a5f"/>
    <ds:schemaRef ds:uri="0dad4a6d-ba2c-42c3-9e00-6da05073cee7"/>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3460</Words>
  <Characters>19035</Characters>
  <Application>Microsoft Office Word</Application>
  <DocSecurity>0</DocSecurity>
  <Lines>158</Lines>
  <Paragraphs>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22451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 Jebeniani</dc:creator>
  <cp:lastModifiedBy>Hamza Jebeniani</cp:lastModifiedBy>
  <cp:lastPrinted>2015-05-12T18:31:00Z</cp:lastPrinted>
  <dcterms:created xsi:type="dcterms:W3CDTF">2026-04-24T08:49:00Z</dcterms:created>
  <dcterms:modified xsi:type="dcterms:W3CDTF">2026-04-24T18:15:00Z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ContentTypeId">
    <vt:lpwstr>0x0101004FD954F630B2BD4987782F241E6A474C</vt:lpwstr>
  </property>
  <property fmtid="{D5CDD505-2E9C-101B-9397-08002B2CF9AE}" pid="5" name="MediaServiceImageTags">
    <vt:lpwstr/>
  </property>
</Properties>
</file>