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427365E0"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EF7CA4">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20</w:t>
            </w:r>
            <w:r w:rsidR="00DF5072">
              <w:rPr>
                <w:rFonts w:cs="Arial"/>
                <w:b/>
                <w:bCs/>
                <w:i/>
                <w:iCs/>
                <w:color w:val="000066"/>
                <w:sz w:val="22"/>
                <w:szCs w:val="22"/>
                <w:lang w:eastAsia="it-IT"/>
              </w:rPr>
              <w:t>2</w:t>
            </w:r>
            <w:r w:rsidR="00EF7CA4">
              <w:rPr>
                <w:rFonts w:cs="Arial"/>
                <w:b/>
                <w:bCs/>
                <w:i/>
                <w:iCs/>
                <w:color w:val="000066"/>
                <w:sz w:val="22"/>
                <w:szCs w:val="22"/>
                <w:lang w:eastAsia="it-IT"/>
              </w:rPr>
              <w:t>4</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4B0BB442" w14:textId="1EC8AE73" w:rsidR="00300E56" w:rsidRPr="0044071E" w:rsidRDefault="00300E56" w:rsidP="00B57E6F">
            <w:pPr>
              <w:ind w:left="-107"/>
              <w:outlineLvl w:val="2"/>
              <w:rPr>
                <w:rFonts w:ascii="Tahoma" w:hAnsi="Tahoma" w:cs="Tahoma"/>
                <w:bCs/>
                <w:color w:val="000000"/>
                <w:sz w:val="14"/>
                <w:szCs w:val="14"/>
                <w:lang w:val="it-IT" w:eastAsia="it-IT"/>
              </w:rPr>
            </w:pPr>
            <w:r w:rsidRPr="0044071E">
              <w:rPr>
                <w:rFonts w:ascii="Tahoma" w:hAnsi="Tahoma" w:cs="Tahoma"/>
                <w:iCs/>
                <w:color w:val="333333"/>
                <w:sz w:val="14"/>
                <w:szCs w:val="14"/>
                <w:lang w:val="it-IT" w:eastAsia="it-IT"/>
              </w:rPr>
              <w:t>Guest Editors:</w:t>
            </w:r>
            <w:r w:rsidR="001D21AF" w:rsidRPr="0044071E">
              <w:rPr>
                <w:rFonts w:ascii="Tahoma" w:hAnsi="Tahoma" w:cs="Tahoma"/>
                <w:color w:val="000000"/>
                <w:sz w:val="14"/>
                <w:szCs w:val="14"/>
                <w:shd w:val="clear" w:color="auto" w:fill="FFFFFF"/>
                <w:lang w:val="it-IT"/>
              </w:rPr>
              <w:t xml:space="preserve"> </w:t>
            </w:r>
            <w:r w:rsidR="00323C5F">
              <w:rPr>
                <w:sz w:val="14"/>
                <w:szCs w:val="14"/>
                <w:lang w:val="it-IT"/>
              </w:rPr>
              <w:t>Selena Sironi, Laura Capelli</w:t>
            </w:r>
          </w:p>
          <w:p w14:paraId="1B0F1814" w14:textId="00A3611B" w:rsidR="000A03B2" w:rsidRPr="00B57B36" w:rsidRDefault="00FA5F5F" w:rsidP="001D21AF">
            <w:pPr>
              <w:tabs>
                <w:tab w:val="left" w:pos="-108"/>
              </w:tabs>
              <w:spacing w:line="140" w:lineRule="atLeast"/>
              <w:ind w:left="-107"/>
              <w:jc w:val="left"/>
            </w:pPr>
            <w:r>
              <w:rPr>
                <w:rFonts w:ascii="Tahoma" w:hAnsi="Tahoma" w:cs="Tahoma"/>
                <w:iCs/>
                <w:color w:val="333333"/>
                <w:sz w:val="14"/>
                <w:szCs w:val="14"/>
                <w:lang w:eastAsia="it-IT"/>
              </w:rPr>
              <w:t>Copyright © 20</w:t>
            </w:r>
            <w:r w:rsidR="00DF5072">
              <w:rPr>
                <w:rFonts w:ascii="Tahoma" w:hAnsi="Tahoma" w:cs="Tahoma"/>
                <w:iCs/>
                <w:color w:val="333333"/>
                <w:sz w:val="14"/>
                <w:szCs w:val="14"/>
                <w:lang w:eastAsia="it-IT"/>
              </w:rPr>
              <w:t>2</w:t>
            </w:r>
            <w:r w:rsidR="00EF7CA4">
              <w:rPr>
                <w:rFonts w:ascii="Tahoma" w:hAnsi="Tahoma" w:cs="Tahoma"/>
                <w:iCs/>
                <w:color w:val="333333"/>
                <w:sz w:val="14"/>
                <w:szCs w:val="14"/>
                <w:lang w:eastAsia="it-IT"/>
              </w:rPr>
              <w:t>4</w:t>
            </w:r>
            <w:r w:rsidR="00904C62" w:rsidRPr="00B57B36">
              <w:rPr>
                <w:rFonts w:ascii="Tahoma" w:hAnsi="Tahoma" w:cs="Tahoma"/>
                <w:iCs/>
                <w:color w:val="333333"/>
                <w:sz w:val="14"/>
                <w:szCs w:val="14"/>
                <w:lang w:eastAsia="it-IT"/>
              </w:rPr>
              <w:t xml:space="preserve">, AIDIC </w:t>
            </w:r>
            <w:proofErr w:type="spellStart"/>
            <w:r w:rsidR="00904C62" w:rsidRPr="00B57B36">
              <w:rPr>
                <w:rFonts w:ascii="Tahoma" w:hAnsi="Tahoma" w:cs="Tahoma"/>
                <w:iCs/>
                <w:color w:val="333333"/>
                <w:sz w:val="14"/>
                <w:szCs w:val="14"/>
                <w:lang w:eastAsia="it-IT"/>
              </w:rPr>
              <w:t>Servizi</w:t>
            </w:r>
            <w:proofErr w:type="spellEnd"/>
            <w:r w:rsidR="00904C62" w:rsidRPr="00B57B36">
              <w:rPr>
                <w:rFonts w:ascii="Tahoma" w:hAnsi="Tahoma" w:cs="Tahoma"/>
                <w:iCs/>
                <w:color w:val="333333"/>
                <w:sz w:val="14"/>
                <w:szCs w:val="14"/>
                <w:lang w:eastAsia="it-IT"/>
              </w:rPr>
              <w:t xml:space="preserve"> </w:t>
            </w:r>
            <w:proofErr w:type="spellStart"/>
            <w:r w:rsidR="00904C62" w:rsidRPr="00B57B36">
              <w:rPr>
                <w:rFonts w:ascii="Tahoma" w:hAnsi="Tahoma" w:cs="Tahoma"/>
                <w:iCs/>
                <w:color w:val="333333"/>
                <w:sz w:val="14"/>
                <w:szCs w:val="14"/>
                <w:lang w:eastAsia="it-IT"/>
              </w:rPr>
              <w:t>S.r.l</w:t>
            </w:r>
            <w:proofErr w:type="spellEnd"/>
            <w:r w:rsidR="00904C62" w:rsidRPr="00B57B36">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D32B9">
              <w:rPr>
                <w:rFonts w:ascii="Tahoma" w:hAnsi="Tahoma" w:cs="Tahoma"/>
                <w:sz w:val="14"/>
                <w:szCs w:val="14"/>
              </w:rPr>
              <w:t>97</w:t>
            </w:r>
            <w:r w:rsidR="00EF7CA4">
              <w:rPr>
                <w:rFonts w:ascii="Tahoma" w:hAnsi="Tahoma" w:cs="Tahoma"/>
                <w:sz w:val="14"/>
                <w:szCs w:val="14"/>
              </w:rPr>
              <w:t>9</w:t>
            </w:r>
            <w:r w:rsidR="008D32B9">
              <w:rPr>
                <w:rFonts w:ascii="Tahoma" w:hAnsi="Tahoma" w:cs="Tahoma"/>
                <w:sz w:val="14"/>
                <w:szCs w:val="14"/>
              </w:rPr>
              <w:t>-</w:t>
            </w:r>
            <w:r w:rsidR="00EF7CA4">
              <w:rPr>
                <w:rFonts w:ascii="Tahoma" w:hAnsi="Tahoma" w:cs="Tahoma"/>
                <w:sz w:val="14"/>
                <w:szCs w:val="14"/>
              </w:rPr>
              <w:t>12</w:t>
            </w:r>
            <w:r w:rsidR="008D32B9">
              <w:rPr>
                <w:rFonts w:ascii="Tahoma" w:hAnsi="Tahoma" w:cs="Tahoma"/>
                <w:sz w:val="14"/>
                <w:szCs w:val="14"/>
              </w:rPr>
              <w:t>-</w:t>
            </w:r>
            <w:r w:rsidR="00EF7CA4">
              <w:rPr>
                <w:rFonts w:ascii="Tahoma" w:hAnsi="Tahoma" w:cs="Tahoma"/>
                <w:sz w:val="14"/>
                <w:szCs w:val="14"/>
              </w:rPr>
              <w:t>81206</w:t>
            </w:r>
            <w:r w:rsidR="00D46B7E">
              <w:rPr>
                <w:rFonts w:ascii="Tahoma" w:hAnsi="Tahoma" w:cs="Tahoma"/>
                <w:sz w:val="14"/>
                <w:szCs w:val="14"/>
              </w:rPr>
              <w:t>-</w:t>
            </w:r>
            <w:r w:rsidR="00EF7CA4">
              <w:rPr>
                <w:rFonts w:ascii="Tahoma" w:hAnsi="Tahoma" w:cs="Tahoma"/>
                <w:sz w:val="14"/>
                <w:szCs w:val="14"/>
              </w:rPr>
              <w:t>1</w:t>
            </w:r>
            <w:r w:rsidR="006B5269">
              <w:rPr>
                <w:rFonts w:ascii="Tahoma" w:hAnsi="Tahoma" w:cs="Tahoma"/>
                <w:sz w:val="14"/>
                <w:szCs w:val="14"/>
              </w:rPr>
              <w:t>3</w:t>
            </w:r>
            <w:r w:rsidR="00D46B7E">
              <w:rPr>
                <w:rFonts w:ascii="Tahoma" w:hAnsi="Tahoma" w:cs="Tahoma"/>
                <w:sz w:val="14"/>
                <w:szCs w:val="14"/>
              </w:rPr>
              <w:t>-</w:t>
            </w:r>
            <w:r w:rsidR="006B5269">
              <w:rPr>
                <w:rFonts w:ascii="Tahoma" w:hAnsi="Tahoma" w:cs="Tahoma"/>
                <w:sz w:val="14"/>
                <w:szCs w:val="14"/>
              </w:rPr>
              <w:t>7</w:t>
            </w:r>
            <w:r w:rsidR="007B48F9" w:rsidRPr="00EF06D9">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14:paraId="2E667253" w14:textId="3105A096" w:rsidR="00E978D0" w:rsidRPr="00B57B36" w:rsidRDefault="00B722FF" w:rsidP="00B722FF">
      <w:pPr>
        <w:pStyle w:val="CETTitle"/>
      </w:pPr>
      <w:r>
        <w:t>The ESCAPE Project: Sensor Selection for the Development of a Portable System for Landfill Surface Emission Monitoring</w:t>
      </w:r>
    </w:p>
    <w:p w14:paraId="23354F44" w14:textId="41A0C0BE" w:rsidR="00A434A9" w:rsidRPr="00A434A9" w:rsidRDefault="00C57F5F" w:rsidP="00B57E6F">
      <w:pPr>
        <w:pStyle w:val="CETAuthors"/>
        <w:rPr>
          <w:lang w:val="it-IT"/>
        </w:rPr>
      </w:pPr>
      <w:r w:rsidRPr="00A434A9">
        <w:rPr>
          <w:lang w:val="it-IT"/>
        </w:rPr>
        <w:t>Veronica Villa</w:t>
      </w:r>
      <w:r>
        <w:rPr>
          <w:vertAlign w:val="superscript"/>
          <w:lang w:val="it-IT"/>
        </w:rPr>
        <w:t>a</w:t>
      </w:r>
      <w:r w:rsidRPr="00A434A9">
        <w:rPr>
          <w:lang w:val="it-IT"/>
        </w:rPr>
        <w:t xml:space="preserve">, </w:t>
      </w:r>
      <w:r w:rsidR="00A434A9" w:rsidRPr="00A434A9">
        <w:rPr>
          <w:lang w:val="it-IT"/>
        </w:rPr>
        <w:t>Dario Vernola</w:t>
      </w:r>
      <w:r>
        <w:rPr>
          <w:vertAlign w:val="superscript"/>
          <w:lang w:val="it-IT"/>
        </w:rPr>
        <w:t>b</w:t>
      </w:r>
      <w:r w:rsidR="00A434A9" w:rsidRPr="00A434A9">
        <w:rPr>
          <w:lang w:val="it-IT"/>
        </w:rPr>
        <w:t>, Stefano Robbiani</w:t>
      </w:r>
      <w:r>
        <w:rPr>
          <w:vertAlign w:val="superscript"/>
          <w:lang w:val="it-IT"/>
        </w:rPr>
        <w:t>c</w:t>
      </w:r>
      <w:r w:rsidR="00A434A9" w:rsidRPr="00A434A9">
        <w:rPr>
          <w:lang w:val="it-IT"/>
        </w:rPr>
        <w:t>, Beatrice J. Lotesoriere</w:t>
      </w:r>
      <w:r>
        <w:rPr>
          <w:vertAlign w:val="superscript"/>
          <w:lang w:val="it-IT"/>
        </w:rPr>
        <w:t>a,</w:t>
      </w:r>
      <w:r w:rsidRPr="00C57F5F">
        <w:rPr>
          <w:lang w:val="it-IT"/>
        </w:rPr>
        <w:t>*</w:t>
      </w:r>
      <w:r w:rsidR="00A434A9" w:rsidRPr="00A434A9">
        <w:rPr>
          <w:lang w:val="it-IT"/>
        </w:rPr>
        <w:t xml:space="preserve">, </w:t>
      </w:r>
      <w:r w:rsidR="00A434A9">
        <w:rPr>
          <w:lang w:val="it-IT"/>
        </w:rPr>
        <w:t>Christian Ratti</w:t>
      </w:r>
      <w:r>
        <w:rPr>
          <w:vertAlign w:val="superscript"/>
          <w:lang w:val="it-IT"/>
        </w:rPr>
        <w:t>a</w:t>
      </w:r>
      <w:r w:rsidR="00A434A9">
        <w:rPr>
          <w:lang w:val="it-IT"/>
        </w:rPr>
        <w:t>, Stefano Prudenza</w:t>
      </w:r>
      <w:r>
        <w:rPr>
          <w:vertAlign w:val="superscript"/>
          <w:lang w:val="it-IT"/>
        </w:rPr>
        <w:t>a</w:t>
      </w:r>
      <w:r w:rsidR="00A434A9">
        <w:rPr>
          <w:lang w:val="it-IT"/>
        </w:rPr>
        <w:t xml:space="preserve">, </w:t>
      </w:r>
      <w:r w:rsidR="00A434A9" w:rsidRPr="00A434A9">
        <w:rPr>
          <w:lang w:val="it-IT"/>
        </w:rPr>
        <w:t>Gabriele Viscardi</w:t>
      </w:r>
      <w:r>
        <w:rPr>
          <w:vertAlign w:val="superscript"/>
          <w:lang w:val="it-IT"/>
        </w:rPr>
        <w:t>b</w:t>
      </w:r>
      <w:r w:rsidR="00A434A9" w:rsidRPr="00A434A9">
        <w:rPr>
          <w:lang w:val="it-IT"/>
        </w:rPr>
        <w:t>, Manuel Roveri</w:t>
      </w:r>
      <w:r>
        <w:rPr>
          <w:vertAlign w:val="superscript"/>
          <w:lang w:val="it-IT"/>
        </w:rPr>
        <w:t>b</w:t>
      </w:r>
      <w:r w:rsidR="00A434A9" w:rsidRPr="00A434A9">
        <w:rPr>
          <w:lang w:val="it-IT"/>
        </w:rPr>
        <w:t>, Raffaele Dellacà</w:t>
      </w:r>
      <w:r>
        <w:rPr>
          <w:vertAlign w:val="superscript"/>
          <w:lang w:val="it-IT"/>
        </w:rPr>
        <w:t>c</w:t>
      </w:r>
      <w:r w:rsidR="00A434A9" w:rsidRPr="00A434A9">
        <w:rPr>
          <w:lang w:val="it-IT"/>
        </w:rPr>
        <w:t>, Yuri Ponzani</w:t>
      </w:r>
      <w:r>
        <w:rPr>
          <w:vertAlign w:val="superscript"/>
          <w:lang w:val="it-IT"/>
        </w:rPr>
        <w:t>d</w:t>
      </w:r>
      <w:r w:rsidR="00A434A9" w:rsidRPr="00A434A9">
        <w:rPr>
          <w:lang w:val="it-IT"/>
        </w:rPr>
        <w:t>, Laura Capelli</w:t>
      </w:r>
      <w:r>
        <w:rPr>
          <w:vertAlign w:val="superscript"/>
          <w:lang w:val="it-IT"/>
        </w:rPr>
        <w:t>a</w:t>
      </w:r>
    </w:p>
    <w:p w14:paraId="61D2F2CB" w14:textId="04514665" w:rsidR="00C57F5F" w:rsidRDefault="00C57F5F" w:rsidP="00C57F5F">
      <w:pPr>
        <w:pStyle w:val="CETAddress"/>
        <w:rPr>
          <w:lang w:val="it-IT"/>
        </w:rPr>
      </w:pPr>
      <w:r>
        <w:rPr>
          <w:vertAlign w:val="superscript"/>
          <w:lang w:val="it-IT"/>
        </w:rPr>
        <w:t>a</w:t>
      </w:r>
      <w:r w:rsidRPr="008E7DD6">
        <w:rPr>
          <w:lang w:val="it-IT"/>
        </w:rPr>
        <w:t>Politecnico di Milano, Department of Chemistry, Materials and Chemical Engineering “Giulio Natta”, Piazza Leonardo da Vinci 32, Milan, Italy</w:t>
      </w:r>
    </w:p>
    <w:p w14:paraId="6B2D21B3" w14:textId="045C3702" w:rsidR="00B57E6F" w:rsidRPr="00971C82" w:rsidRDefault="00C57F5F" w:rsidP="00B57E6F">
      <w:pPr>
        <w:pStyle w:val="CETAddress"/>
        <w:rPr>
          <w:lang w:val="it-IT"/>
        </w:rPr>
      </w:pPr>
      <w:r>
        <w:rPr>
          <w:vertAlign w:val="superscript"/>
          <w:lang w:val="it-IT"/>
        </w:rPr>
        <w:t>b</w:t>
      </w:r>
      <w:r w:rsidR="00E85AC1" w:rsidRPr="00971C82">
        <w:rPr>
          <w:lang w:val="it-IT"/>
        </w:rPr>
        <w:t>Politecnico di Milano, Department of Electronics, Information, and Bioengineering, Via Giuseppe Ponzio 34, 20133 Milan, Italy</w:t>
      </w:r>
    </w:p>
    <w:p w14:paraId="3D72B0B0" w14:textId="0BB8F28D" w:rsidR="00B57E6F" w:rsidRPr="00971C82" w:rsidRDefault="00C57F5F" w:rsidP="00B57E6F">
      <w:pPr>
        <w:pStyle w:val="CETAddress"/>
        <w:rPr>
          <w:lang w:val="it-IT"/>
        </w:rPr>
      </w:pPr>
      <w:r>
        <w:rPr>
          <w:vertAlign w:val="superscript"/>
          <w:lang w:val="it-IT"/>
        </w:rPr>
        <w:t>c</w:t>
      </w:r>
      <w:r w:rsidR="00E85AC1" w:rsidRPr="00971C82">
        <w:rPr>
          <w:lang w:val="it-IT"/>
        </w:rPr>
        <w:t>Politecnico di Milano, Department of Electronics, Information, and Bioengineering, Via Giuseppe Colombo 40, 20133 Milan, Italy</w:t>
      </w:r>
    </w:p>
    <w:p w14:paraId="5DC04F0D" w14:textId="09E6DD9E" w:rsidR="008E7DD6" w:rsidRPr="00E848BE" w:rsidRDefault="008E7DD6" w:rsidP="00B57E6F">
      <w:pPr>
        <w:pStyle w:val="CETAddress"/>
        <w:rPr>
          <w:lang w:val="it-IT"/>
        </w:rPr>
      </w:pPr>
      <w:r w:rsidRPr="00E848BE">
        <w:rPr>
          <w:vertAlign w:val="superscript"/>
          <w:lang w:val="it-IT"/>
        </w:rPr>
        <w:t>d</w:t>
      </w:r>
      <w:r w:rsidRPr="00E848BE">
        <w:rPr>
          <w:lang w:val="it-IT"/>
        </w:rPr>
        <w:t>Recycle2Trade Ltd, Sussex Innovation Centre, Science Park Square, Brighton BN1 9SB, UK</w:t>
      </w:r>
    </w:p>
    <w:p w14:paraId="73F1267A" w14:textId="39E75860" w:rsidR="00B57E6F" w:rsidRPr="00E85AC1" w:rsidRDefault="00077CEC" w:rsidP="00B57E6F">
      <w:pPr>
        <w:pStyle w:val="CETemail"/>
      </w:pPr>
      <w:r>
        <w:t>*</w:t>
      </w:r>
      <w:r w:rsidR="00C2079B" w:rsidRPr="00C2079B">
        <w:t>beatricejulia.lotesoriere@polimi.it</w:t>
      </w:r>
    </w:p>
    <w:p w14:paraId="2E3E3275" w14:textId="4ACF9B07" w:rsidR="009A223C" w:rsidRPr="00026CD2" w:rsidRDefault="0074059C" w:rsidP="00600535">
      <w:pPr>
        <w:pStyle w:val="CETBodytext"/>
        <w:rPr>
          <w:lang w:val="en-GB"/>
        </w:rPr>
      </w:pPr>
      <w:r w:rsidRPr="0074059C">
        <w:rPr>
          <w:lang w:val="en-GB"/>
        </w:rPr>
        <w:t>The ESCAPE (Environmental Sites CH</w:t>
      </w:r>
      <w:r w:rsidRPr="00026CD2">
        <w:rPr>
          <w:vertAlign w:val="subscript"/>
          <w:lang w:val="en-GB"/>
        </w:rPr>
        <w:t>4</w:t>
      </w:r>
      <w:r w:rsidRPr="0074059C">
        <w:rPr>
          <w:lang w:val="en-GB"/>
        </w:rPr>
        <w:t xml:space="preserve"> Assessment Platform Europe) has the aim to develop an innovative environmental monitoring system based on a cloud-based online platform, combining ground and space-based datasets with AI-based solutions and algorithms for spotting emissions from landfill sites</w:t>
      </w:r>
      <w:r>
        <w:rPr>
          <w:lang w:val="en-GB"/>
        </w:rPr>
        <w:t xml:space="preserve">. </w:t>
      </w:r>
      <w:r w:rsidR="00990D19" w:rsidRPr="00990D19">
        <w:rPr>
          <w:lang w:val="en-GB"/>
        </w:rPr>
        <w:t>This paper presents the</w:t>
      </w:r>
      <w:r w:rsidR="00990D19">
        <w:rPr>
          <w:lang w:val="en-GB"/>
        </w:rPr>
        <w:t xml:space="preserve"> research</w:t>
      </w:r>
      <w:r w:rsidR="00990D19" w:rsidRPr="00990D19">
        <w:rPr>
          <w:lang w:val="en-GB"/>
        </w:rPr>
        <w:t xml:space="preserve"> </w:t>
      </w:r>
      <w:r w:rsidR="00990D19">
        <w:rPr>
          <w:lang w:val="en-GB"/>
        </w:rPr>
        <w:t xml:space="preserve">activities </w:t>
      </w:r>
      <w:r w:rsidR="00990D19" w:rsidRPr="00990D19">
        <w:rPr>
          <w:lang w:val="en-GB"/>
        </w:rPr>
        <w:t xml:space="preserve">related to the selection of the sensors for the implementation of </w:t>
      </w:r>
      <w:r w:rsidR="00990D19">
        <w:rPr>
          <w:lang w:val="en-GB"/>
        </w:rPr>
        <w:t>a</w:t>
      </w:r>
      <w:r w:rsidR="00990D19" w:rsidRPr="00990D19">
        <w:rPr>
          <w:lang w:val="en-GB"/>
        </w:rPr>
        <w:t xml:space="preserve"> portable </w:t>
      </w:r>
      <w:r w:rsidR="00990D19">
        <w:rPr>
          <w:lang w:val="en-GB"/>
        </w:rPr>
        <w:t xml:space="preserve">sensor system </w:t>
      </w:r>
      <w:r w:rsidR="00990D19" w:rsidRPr="00990D19">
        <w:rPr>
          <w:lang w:val="en-GB"/>
        </w:rPr>
        <w:t xml:space="preserve">for </w:t>
      </w:r>
      <w:r w:rsidR="00990D19">
        <w:rPr>
          <w:lang w:val="en-GB"/>
        </w:rPr>
        <w:t>monitoring gaseous emissions</w:t>
      </w:r>
      <w:r w:rsidR="00990D19" w:rsidRPr="00990D19">
        <w:rPr>
          <w:lang w:val="en-GB"/>
        </w:rPr>
        <w:t xml:space="preserve"> over the landfill surface.</w:t>
      </w:r>
      <w:r w:rsidR="00990D19">
        <w:rPr>
          <w:lang w:val="en-GB"/>
        </w:rPr>
        <w:t xml:space="preserve"> </w:t>
      </w:r>
      <w:r w:rsidR="002C3EDC">
        <w:rPr>
          <w:lang w:val="en-GB"/>
        </w:rPr>
        <w:t xml:space="preserve">Specifically, </w:t>
      </w:r>
      <w:r w:rsidR="00990D19">
        <w:rPr>
          <w:lang w:val="en-GB"/>
        </w:rPr>
        <w:t>6 gas sensors (2 MOX, 3 digital MOX and 1 NDIR) were selected based on a technology scouting involving the study of scientific literature and technical documentation, and then tested towards different concentrations (i.e., 10, 100, 1,000 and 10,000 ppm) of CH</w:t>
      </w:r>
      <w:r w:rsidR="00990D19" w:rsidRPr="00074B1E">
        <w:rPr>
          <w:vertAlign w:val="subscript"/>
          <w:lang w:val="en-GB"/>
        </w:rPr>
        <w:t>4</w:t>
      </w:r>
      <w:r w:rsidR="00990D19">
        <w:rPr>
          <w:lang w:val="en-GB"/>
        </w:rPr>
        <w:t xml:space="preserve"> and CO</w:t>
      </w:r>
      <w:r w:rsidR="00990D19" w:rsidRPr="00074B1E">
        <w:rPr>
          <w:vertAlign w:val="subscript"/>
          <w:lang w:val="en-GB"/>
        </w:rPr>
        <w:t>2</w:t>
      </w:r>
      <w:r w:rsidR="00990D19">
        <w:rPr>
          <w:lang w:val="en-GB"/>
        </w:rPr>
        <w:t xml:space="preserve">. </w:t>
      </w:r>
      <w:r w:rsidR="00026CD2">
        <w:rPr>
          <w:lang w:val="en-GB"/>
        </w:rPr>
        <w:t xml:space="preserve">Test results show that the </w:t>
      </w:r>
      <w:r w:rsidR="00077CEC">
        <w:rPr>
          <w:lang w:val="en-GB"/>
        </w:rPr>
        <w:t xml:space="preserve">MOX sensors </w:t>
      </w:r>
      <w:r w:rsidR="00026CD2">
        <w:rPr>
          <w:lang w:val="en-GB"/>
        </w:rPr>
        <w:t>TGS2611, SGP40 and BME688 are sensitive to CH</w:t>
      </w:r>
      <w:r w:rsidR="00026CD2" w:rsidRPr="00026CD2">
        <w:rPr>
          <w:vertAlign w:val="subscript"/>
          <w:lang w:val="en-GB"/>
        </w:rPr>
        <w:t>4</w:t>
      </w:r>
      <w:r w:rsidR="00026CD2">
        <w:rPr>
          <w:lang w:val="en-GB"/>
        </w:rPr>
        <w:t xml:space="preserve"> at concentrations down to 10 ppm, and have no (or low) cross-sensitivity to CO</w:t>
      </w:r>
      <w:r w:rsidR="00026CD2" w:rsidRPr="00026CD2">
        <w:rPr>
          <w:vertAlign w:val="subscript"/>
          <w:lang w:val="en-GB"/>
        </w:rPr>
        <w:t>2</w:t>
      </w:r>
      <w:r w:rsidR="00026CD2">
        <w:rPr>
          <w:lang w:val="en-GB"/>
        </w:rPr>
        <w:t xml:space="preserve">, making them suitable for the </w:t>
      </w:r>
      <w:r w:rsidR="0089633E">
        <w:rPr>
          <w:lang w:val="en-GB"/>
        </w:rPr>
        <w:t xml:space="preserve">considered </w:t>
      </w:r>
      <w:r w:rsidR="00026CD2">
        <w:rPr>
          <w:lang w:val="en-GB"/>
        </w:rPr>
        <w:t>application. The NDIR sensor, despite being sensitive only to CH</w:t>
      </w:r>
      <w:r w:rsidR="00026CD2" w:rsidRPr="00026CD2">
        <w:rPr>
          <w:vertAlign w:val="subscript"/>
          <w:lang w:val="en-GB"/>
        </w:rPr>
        <w:t>4</w:t>
      </w:r>
      <w:r w:rsidR="00026CD2">
        <w:rPr>
          <w:lang w:val="en-GB"/>
        </w:rPr>
        <w:t xml:space="preserve"> concentrations &gt;1000 ppm</w:t>
      </w:r>
      <w:r w:rsidR="00807FB2">
        <w:rPr>
          <w:lang w:val="en-GB"/>
        </w:rPr>
        <w:t>,</w:t>
      </w:r>
      <w:r w:rsidR="00026CD2">
        <w:rPr>
          <w:lang w:val="en-GB"/>
        </w:rPr>
        <w:t xml:space="preserve"> could be nonetheless included in the </w:t>
      </w:r>
      <w:proofErr w:type="gramStart"/>
      <w:r w:rsidR="00026CD2">
        <w:rPr>
          <w:lang w:val="en-GB"/>
        </w:rPr>
        <w:t>sensors</w:t>
      </w:r>
      <w:proofErr w:type="gramEnd"/>
      <w:r w:rsidR="00026CD2">
        <w:rPr>
          <w:lang w:val="en-GB"/>
        </w:rPr>
        <w:t xml:space="preserve"> toolbox because of its selectivity.</w:t>
      </w:r>
    </w:p>
    <w:p w14:paraId="4CF0C2B6" w14:textId="77777777" w:rsidR="009A223C" w:rsidRPr="00B57B36" w:rsidRDefault="009A223C" w:rsidP="009A223C">
      <w:pPr>
        <w:pStyle w:val="CETHeading1"/>
        <w:rPr>
          <w:lang w:val="en-GB"/>
        </w:rPr>
      </w:pPr>
      <w:r w:rsidRPr="00B57B36">
        <w:rPr>
          <w:lang w:val="en-GB"/>
        </w:rPr>
        <w:t>Introduction</w:t>
      </w:r>
    </w:p>
    <w:p w14:paraId="10C9A500" w14:textId="54F99F27" w:rsidR="000A469E" w:rsidRPr="000A469E" w:rsidRDefault="000A469E" w:rsidP="000A469E">
      <w:pPr>
        <w:pStyle w:val="CETBodytext"/>
        <w:rPr>
          <w:lang w:val="en-GB"/>
        </w:rPr>
      </w:pPr>
      <w:r w:rsidRPr="000A469E">
        <w:rPr>
          <w:lang w:val="en-GB"/>
        </w:rPr>
        <w:t xml:space="preserve">The ESCAPE </w:t>
      </w:r>
      <w:r w:rsidR="009B5CE7">
        <w:rPr>
          <w:lang w:val="en-GB"/>
        </w:rPr>
        <w:t>(</w:t>
      </w:r>
      <w:r w:rsidR="009B5CE7" w:rsidRPr="009B5CE7">
        <w:rPr>
          <w:lang w:val="en-GB"/>
        </w:rPr>
        <w:t>Environmental Sites CH4 Assessment Platform Europe</w:t>
      </w:r>
      <w:r w:rsidR="009B5CE7">
        <w:rPr>
          <w:lang w:val="en-GB"/>
        </w:rPr>
        <w:t>)</w:t>
      </w:r>
      <w:r w:rsidR="009B5CE7" w:rsidRPr="009B5CE7">
        <w:rPr>
          <w:lang w:val="en-GB"/>
        </w:rPr>
        <w:t xml:space="preserve"> </w:t>
      </w:r>
      <w:r w:rsidR="00275361">
        <w:rPr>
          <w:lang w:val="en-GB"/>
        </w:rPr>
        <w:t xml:space="preserve">project </w:t>
      </w:r>
      <w:r w:rsidR="009B5CE7">
        <w:rPr>
          <w:lang w:val="en-GB"/>
        </w:rPr>
        <w:t>has the</w:t>
      </w:r>
      <w:r w:rsidRPr="000A469E">
        <w:rPr>
          <w:lang w:val="en-GB"/>
        </w:rPr>
        <w:t xml:space="preserve"> aim to develop an innovative environmental monitoring system based on a cloud-based online platform, combining </w:t>
      </w:r>
      <w:r w:rsidR="009B5CE7">
        <w:rPr>
          <w:lang w:val="en-GB"/>
        </w:rPr>
        <w:t xml:space="preserve">ground and </w:t>
      </w:r>
      <w:r w:rsidRPr="000A469E">
        <w:rPr>
          <w:lang w:val="en-GB"/>
        </w:rPr>
        <w:t>space-based datasets</w:t>
      </w:r>
      <w:r w:rsidR="009B5CE7">
        <w:rPr>
          <w:lang w:val="en-GB"/>
        </w:rPr>
        <w:t xml:space="preserve"> </w:t>
      </w:r>
      <w:r w:rsidRPr="000A469E">
        <w:rPr>
          <w:lang w:val="en-GB"/>
        </w:rPr>
        <w:t xml:space="preserve">with AI-based solutions and algorithms for spotting emissions from landfill sites. </w:t>
      </w:r>
    </w:p>
    <w:p w14:paraId="74EC1889" w14:textId="6ADF4B9E" w:rsidR="001A0376" w:rsidRDefault="002901F4" w:rsidP="00126FCD">
      <w:pPr>
        <w:pStyle w:val="CETBodytext"/>
        <w:rPr>
          <w:lang w:val="en-GB"/>
        </w:rPr>
      </w:pPr>
      <w:r>
        <w:rPr>
          <w:lang w:val="en-GB"/>
        </w:rPr>
        <w:t>Landfills</w:t>
      </w:r>
      <w:r w:rsidR="00691B47">
        <w:rPr>
          <w:lang w:val="en-GB"/>
        </w:rPr>
        <w:t xml:space="preserve"> </w:t>
      </w:r>
      <w:r w:rsidR="000A469E" w:rsidRPr="000A469E">
        <w:rPr>
          <w:lang w:val="en-GB"/>
        </w:rPr>
        <w:t xml:space="preserve">are becoming more and more of interest for scientific communities, authorities and citizens because of their </w:t>
      </w:r>
      <w:r w:rsidR="000D58C3">
        <w:rPr>
          <w:lang w:val="en-GB"/>
        </w:rPr>
        <w:t>greenhouse gases (</w:t>
      </w:r>
      <w:r w:rsidR="00691B47">
        <w:rPr>
          <w:lang w:val="en-GB"/>
        </w:rPr>
        <w:t>GHG</w:t>
      </w:r>
      <w:r w:rsidR="000D58C3">
        <w:rPr>
          <w:lang w:val="en-GB"/>
        </w:rPr>
        <w:t>)</w:t>
      </w:r>
      <w:r w:rsidR="00691B47">
        <w:rPr>
          <w:lang w:val="en-GB"/>
        </w:rPr>
        <w:t xml:space="preserve"> and pollutant </w:t>
      </w:r>
      <w:r w:rsidR="000D58C3">
        <w:rPr>
          <w:lang w:val="en-GB"/>
        </w:rPr>
        <w:t>volatile organic compounds (</w:t>
      </w:r>
      <w:r w:rsidR="00691B47">
        <w:rPr>
          <w:lang w:val="en-GB"/>
        </w:rPr>
        <w:t>VOC</w:t>
      </w:r>
      <w:r w:rsidR="000D58C3">
        <w:rPr>
          <w:lang w:val="en-GB"/>
        </w:rPr>
        <w:t>)</w:t>
      </w:r>
      <w:r w:rsidR="00691B47">
        <w:rPr>
          <w:lang w:val="en-GB"/>
        </w:rPr>
        <w:t xml:space="preserve"> emissions</w:t>
      </w:r>
      <w:r w:rsidR="000A469E" w:rsidRPr="000A469E">
        <w:rPr>
          <w:lang w:val="en-GB"/>
        </w:rPr>
        <w:t xml:space="preserve">. Measuring and estimating </w:t>
      </w:r>
      <w:r w:rsidR="000A5F93">
        <w:rPr>
          <w:lang w:val="en-GB"/>
        </w:rPr>
        <w:t>such gaseous</w:t>
      </w:r>
      <w:r w:rsidR="000A469E" w:rsidRPr="000A469E">
        <w:rPr>
          <w:lang w:val="en-GB"/>
        </w:rPr>
        <w:t xml:space="preserve"> emissions from landfills is </w:t>
      </w:r>
      <w:r w:rsidR="000A5F93">
        <w:rPr>
          <w:lang w:val="en-GB"/>
        </w:rPr>
        <w:t>particularly</w:t>
      </w:r>
      <w:r w:rsidR="000A469E" w:rsidRPr="000A469E">
        <w:rPr>
          <w:lang w:val="en-GB"/>
        </w:rPr>
        <w:t xml:space="preserve"> challenging due to the</w:t>
      </w:r>
      <w:r w:rsidR="000A5F93">
        <w:rPr>
          <w:lang w:val="en-GB"/>
        </w:rPr>
        <w:t>ir extended surface (often in the range of few tens of hectares) and the</w:t>
      </w:r>
      <w:r w:rsidR="000A469E" w:rsidRPr="000A469E">
        <w:rPr>
          <w:lang w:val="en-GB"/>
        </w:rPr>
        <w:t xml:space="preserve"> high temporal and spatial variability </w:t>
      </w:r>
      <w:r w:rsidR="000A5F93">
        <w:rPr>
          <w:lang w:val="en-GB"/>
        </w:rPr>
        <w:t>over the landfill surface</w:t>
      </w:r>
      <w:r w:rsidR="000A469E" w:rsidRPr="000A469E">
        <w:rPr>
          <w:lang w:val="en-GB"/>
        </w:rPr>
        <w:t xml:space="preserve">. </w:t>
      </w:r>
      <w:r w:rsidR="00CE4544">
        <w:rPr>
          <w:lang w:val="en-GB"/>
        </w:rPr>
        <w:t>D</w:t>
      </w:r>
      <w:r w:rsidR="000A469E" w:rsidRPr="000A469E">
        <w:rPr>
          <w:lang w:val="en-GB"/>
        </w:rPr>
        <w:t xml:space="preserve">ifferent </w:t>
      </w:r>
      <w:r w:rsidR="006F7E0B">
        <w:rPr>
          <w:lang w:val="en-GB"/>
        </w:rPr>
        <w:t>methods have been proposed especially for methane (CH</w:t>
      </w:r>
      <w:r w:rsidR="006F7E0B" w:rsidRPr="006F7E0B">
        <w:rPr>
          <w:vertAlign w:val="subscript"/>
          <w:lang w:val="en-GB"/>
        </w:rPr>
        <w:t>4</w:t>
      </w:r>
      <w:r w:rsidR="006F7E0B">
        <w:rPr>
          <w:lang w:val="en-GB"/>
        </w:rPr>
        <w:t>) emission monitoring over landfills, both quantitative and qualitative (</w:t>
      </w:r>
      <w:proofErr w:type="spellStart"/>
      <w:r w:rsidR="006F7E0B">
        <w:rPr>
          <w:lang w:val="en-GB"/>
        </w:rPr>
        <w:t>M</w:t>
      </w:r>
      <w:r w:rsidR="00FB65BE">
        <w:rPr>
          <w:rFonts w:cs="Arial"/>
          <w:lang w:val="en-GB"/>
        </w:rPr>
        <w:t>ø</w:t>
      </w:r>
      <w:r w:rsidR="006F7E0B">
        <w:rPr>
          <w:lang w:val="en-GB"/>
        </w:rPr>
        <w:t>nster</w:t>
      </w:r>
      <w:proofErr w:type="spellEnd"/>
      <w:r w:rsidR="006F7E0B">
        <w:rPr>
          <w:lang w:val="en-GB"/>
        </w:rPr>
        <w:t xml:space="preserve"> et al., 2019). Quantitative methods are either rather complex and expensive (e.g., DIAL, </w:t>
      </w:r>
      <w:r w:rsidR="00126FCD">
        <w:rPr>
          <w:lang w:val="en-GB"/>
        </w:rPr>
        <w:t xml:space="preserve">eddy covariance, </w:t>
      </w:r>
      <w:r w:rsidR="006F7E0B">
        <w:rPr>
          <w:lang w:val="en-GB"/>
        </w:rPr>
        <w:t>tracer gas dispersion</w:t>
      </w:r>
      <w:r w:rsidR="00077CEC">
        <w:rPr>
          <w:lang w:val="en-GB"/>
        </w:rPr>
        <w:t xml:space="preserve">, indirect </w:t>
      </w:r>
      <w:r w:rsidR="006F730F">
        <w:rPr>
          <w:lang w:val="en-GB"/>
        </w:rPr>
        <w:t>micrometeorological</w:t>
      </w:r>
      <w:r w:rsidR="008816AC">
        <w:rPr>
          <w:lang w:val="en-GB"/>
        </w:rPr>
        <w:t xml:space="preserve"> methods</w:t>
      </w:r>
      <w:r w:rsidR="006F7E0B">
        <w:rPr>
          <w:lang w:val="en-GB"/>
        </w:rPr>
        <w:t>)</w:t>
      </w:r>
      <w:r w:rsidR="00126FCD">
        <w:rPr>
          <w:lang w:val="en-GB"/>
        </w:rPr>
        <w:t xml:space="preserve"> or they enable to obtain information over a limited portion of the surface (e.g., surface flux chambers), the latter resulting in an underestimation of emissions</w:t>
      </w:r>
      <w:r w:rsidR="008816AC">
        <w:rPr>
          <w:lang w:val="en-GB"/>
        </w:rPr>
        <w:t xml:space="preserve"> </w:t>
      </w:r>
      <w:r w:rsidR="00AA584F" w:rsidRPr="00AA584F">
        <w:rPr>
          <w:lang w:val="en-GB"/>
        </w:rPr>
        <w:t>(Lotesoriere et al., 2022)</w:t>
      </w:r>
      <w:r w:rsidR="00EF697F">
        <w:rPr>
          <w:lang w:val="en-GB"/>
        </w:rPr>
        <w:t xml:space="preserve"> </w:t>
      </w:r>
      <w:r w:rsidR="008816AC">
        <w:rPr>
          <w:lang w:val="en-GB"/>
        </w:rPr>
        <w:t>(</w:t>
      </w:r>
      <w:proofErr w:type="spellStart"/>
      <w:r w:rsidR="008816AC">
        <w:rPr>
          <w:lang w:val="en-GB"/>
        </w:rPr>
        <w:t>M</w:t>
      </w:r>
      <w:r w:rsidR="008816AC">
        <w:rPr>
          <w:rFonts w:cs="Arial"/>
          <w:lang w:val="en-GB"/>
        </w:rPr>
        <w:t>ø</w:t>
      </w:r>
      <w:r w:rsidR="008816AC">
        <w:rPr>
          <w:lang w:val="en-GB"/>
        </w:rPr>
        <w:t>nster</w:t>
      </w:r>
      <w:proofErr w:type="spellEnd"/>
      <w:r w:rsidR="008816AC">
        <w:rPr>
          <w:lang w:val="en-GB"/>
        </w:rPr>
        <w:t xml:space="preserve"> et al., 2019)</w:t>
      </w:r>
      <w:r w:rsidR="00126FCD">
        <w:rPr>
          <w:lang w:val="en-GB"/>
        </w:rPr>
        <w:t>. On the other hand, qualitative methods have limited accuracy,</w:t>
      </w:r>
      <w:r w:rsidR="00FB65BE">
        <w:rPr>
          <w:lang w:val="en-GB"/>
        </w:rPr>
        <w:t xml:space="preserve"> and</w:t>
      </w:r>
      <w:r w:rsidR="00126FCD">
        <w:rPr>
          <w:lang w:val="en-GB"/>
        </w:rPr>
        <w:t xml:space="preserve"> </w:t>
      </w:r>
      <w:r w:rsidR="00126FCD" w:rsidRPr="00126FCD">
        <w:rPr>
          <w:lang w:val="en-GB"/>
        </w:rPr>
        <w:t>their deployment in non-favourable circumstances</w:t>
      </w:r>
      <w:r w:rsidR="00126FCD">
        <w:rPr>
          <w:lang w:val="en-GB"/>
        </w:rPr>
        <w:t xml:space="preserve"> may lead to</w:t>
      </w:r>
      <w:r w:rsidR="00126FCD" w:rsidRPr="00126FCD">
        <w:rPr>
          <w:lang w:val="en-GB"/>
        </w:rPr>
        <w:t xml:space="preserve"> </w:t>
      </w:r>
      <w:r w:rsidR="00126FCD">
        <w:rPr>
          <w:lang w:val="en-GB"/>
        </w:rPr>
        <w:t>significant</w:t>
      </w:r>
      <w:r w:rsidR="00126FCD" w:rsidRPr="00126FCD">
        <w:rPr>
          <w:lang w:val="en-GB"/>
        </w:rPr>
        <w:t xml:space="preserve"> errors</w:t>
      </w:r>
      <w:r w:rsidR="00126FCD">
        <w:rPr>
          <w:lang w:val="en-GB"/>
        </w:rPr>
        <w:t xml:space="preserve"> (</w:t>
      </w:r>
      <w:proofErr w:type="spellStart"/>
      <w:r w:rsidR="00FB65BE">
        <w:rPr>
          <w:lang w:val="en-GB"/>
        </w:rPr>
        <w:t>M</w:t>
      </w:r>
      <w:r w:rsidR="00FB65BE">
        <w:rPr>
          <w:rFonts w:cs="Arial"/>
          <w:lang w:val="en-GB"/>
        </w:rPr>
        <w:t>ø</w:t>
      </w:r>
      <w:r w:rsidR="00FB65BE">
        <w:rPr>
          <w:lang w:val="en-GB"/>
        </w:rPr>
        <w:t>nster</w:t>
      </w:r>
      <w:proofErr w:type="spellEnd"/>
      <w:r w:rsidR="00126FCD">
        <w:rPr>
          <w:lang w:val="en-GB"/>
        </w:rPr>
        <w:t xml:space="preserve"> et al., 2019)</w:t>
      </w:r>
      <w:r w:rsidR="00126FCD" w:rsidRPr="00126FCD">
        <w:rPr>
          <w:lang w:val="en-GB"/>
        </w:rPr>
        <w:t>.</w:t>
      </w:r>
      <w:r w:rsidR="00FB65BE">
        <w:rPr>
          <w:lang w:val="en-GB"/>
        </w:rPr>
        <w:t xml:space="preserve"> Therefore, there is still a need for low-cost methods </w:t>
      </w:r>
      <w:r w:rsidR="003F3FE9">
        <w:rPr>
          <w:lang w:val="en-GB"/>
        </w:rPr>
        <w:t xml:space="preserve">and devices </w:t>
      </w:r>
      <w:r w:rsidR="00FB65BE">
        <w:rPr>
          <w:lang w:val="en-GB"/>
        </w:rPr>
        <w:t>for monitoring landfill emissions.</w:t>
      </w:r>
    </w:p>
    <w:p w14:paraId="2428790A" w14:textId="5A092DA8" w:rsidR="00D24615" w:rsidRDefault="000A469E" w:rsidP="000A469E">
      <w:pPr>
        <w:pStyle w:val="CETBodytext"/>
        <w:rPr>
          <w:lang w:val="en-GB"/>
        </w:rPr>
      </w:pPr>
      <w:r w:rsidRPr="000A469E">
        <w:rPr>
          <w:lang w:val="en-GB"/>
        </w:rPr>
        <w:t>In this context, the ESCAPE project aims at the combination of existing technologies (i.e.,</w:t>
      </w:r>
      <w:r w:rsidR="00F7624F">
        <w:rPr>
          <w:lang w:val="en-GB"/>
        </w:rPr>
        <w:t xml:space="preserve"> </w:t>
      </w:r>
      <w:r w:rsidR="00F7624F" w:rsidRPr="000A469E">
        <w:rPr>
          <w:lang w:val="en-GB"/>
        </w:rPr>
        <w:t xml:space="preserve">low-cost </w:t>
      </w:r>
      <w:r w:rsidR="00F7624F">
        <w:rPr>
          <w:lang w:val="en-GB"/>
        </w:rPr>
        <w:t xml:space="preserve">gas </w:t>
      </w:r>
      <w:r w:rsidR="00F7624F" w:rsidRPr="000A469E">
        <w:rPr>
          <w:lang w:val="en-GB"/>
        </w:rPr>
        <w:t>sensors</w:t>
      </w:r>
      <w:r w:rsidRPr="000A469E">
        <w:rPr>
          <w:lang w:val="en-GB"/>
        </w:rPr>
        <w:t xml:space="preserve"> </w:t>
      </w:r>
      <w:r w:rsidR="00F7624F">
        <w:rPr>
          <w:lang w:val="en-GB"/>
        </w:rPr>
        <w:t xml:space="preserve">and </w:t>
      </w:r>
      <w:r w:rsidRPr="000A469E">
        <w:rPr>
          <w:lang w:val="en-GB"/>
        </w:rPr>
        <w:t>Earth Observation satellite products) to enable wider and deeper understanding of landfill sites behavio</w:t>
      </w:r>
      <w:r w:rsidR="00F7624F">
        <w:rPr>
          <w:lang w:val="en-GB"/>
        </w:rPr>
        <w:t>u</w:t>
      </w:r>
      <w:r w:rsidRPr="000A469E">
        <w:rPr>
          <w:lang w:val="en-GB"/>
        </w:rPr>
        <w:t xml:space="preserve">r </w:t>
      </w:r>
      <w:r w:rsidRPr="000A469E">
        <w:rPr>
          <w:lang w:val="en-GB"/>
        </w:rPr>
        <w:lastRenderedPageBreak/>
        <w:t>over time. The power of complementary satellite instruments with different spatiotemporal coverage and resolution has already been demonstrated to detect, locate, and quantify methane emissions from strong methane sources around the world</w:t>
      </w:r>
      <w:r w:rsidR="001A1913">
        <w:rPr>
          <w:lang w:val="en-GB"/>
        </w:rPr>
        <w:t xml:space="preserve"> </w:t>
      </w:r>
      <w:r w:rsidR="001A1913" w:rsidRPr="000A469E">
        <w:rPr>
          <w:lang w:val="en-GB"/>
        </w:rPr>
        <w:t>(</w:t>
      </w:r>
      <w:proofErr w:type="spellStart"/>
      <w:r w:rsidR="002C205B">
        <w:rPr>
          <w:lang w:val="en-GB"/>
        </w:rPr>
        <w:t>Maasakers</w:t>
      </w:r>
      <w:proofErr w:type="spellEnd"/>
      <w:r w:rsidR="002C205B">
        <w:rPr>
          <w:lang w:val="en-GB"/>
        </w:rPr>
        <w:t xml:space="preserve"> et al.</w:t>
      </w:r>
      <w:r w:rsidR="001A1913">
        <w:rPr>
          <w:lang w:val="en-GB"/>
        </w:rPr>
        <w:t xml:space="preserve">, </w:t>
      </w:r>
      <w:r w:rsidR="001A1913" w:rsidRPr="000A469E">
        <w:rPr>
          <w:lang w:val="en-GB"/>
        </w:rPr>
        <w:t>2017)</w:t>
      </w:r>
      <w:r w:rsidR="002C205B">
        <w:rPr>
          <w:lang w:val="en-GB"/>
        </w:rPr>
        <w:t>, and even from landfills (</w:t>
      </w:r>
      <w:proofErr w:type="spellStart"/>
      <w:r w:rsidR="002C205B">
        <w:rPr>
          <w:lang w:val="en-GB"/>
        </w:rPr>
        <w:t>Maasakers</w:t>
      </w:r>
      <w:proofErr w:type="spellEnd"/>
      <w:r w:rsidR="002C205B">
        <w:rPr>
          <w:lang w:val="en-GB"/>
        </w:rPr>
        <w:t xml:space="preserve"> et al., 2022)</w:t>
      </w:r>
      <w:r w:rsidRPr="000A469E">
        <w:rPr>
          <w:lang w:val="en-GB"/>
        </w:rPr>
        <w:t>. Thus, satellite measurements c</w:t>
      </w:r>
      <w:r w:rsidR="00D24615">
        <w:rPr>
          <w:lang w:val="en-GB"/>
        </w:rPr>
        <w:t>ould</w:t>
      </w:r>
      <w:r w:rsidRPr="000A469E">
        <w:rPr>
          <w:lang w:val="en-GB"/>
        </w:rPr>
        <w:t xml:space="preserve"> </w:t>
      </w:r>
      <w:r w:rsidR="00D24615">
        <w:rPr>
          <w:lang w:val="en-GB"/>
        </w:rPr>
        <w:t>be combined with</w:t>
      </w:r>
      <w:r w:rsidRPr="000A469E">
        <w:rPr>
          <w:lang w:val="en-GB"/>
        </w:rPr>
        <w:t xml:space="preserve"> ground-based measurements </w:t>
      </w:r>
      <w:r w:rsidR="00D24615">
        <w:rPr>
          <w:lang w:val="en-GB"/>
        </w:rPr>
        <w:t>using low-cost sensor to</w:t>
      </w:r>
      <w:r w:rsidR="00E66442">
        <w:rPr>
          <w:lang w:val="en-GB"/>
        </w:rPr>
        <w:t xml:space="preserve"> develop a novel system for landfill emission monitoring.</w:t>
      </w:r>
    </w:p>
    <w:p w14:paraId="019F6342" w14:textId="2FA4A8C5" w:rsidR="000A469E" w:rsidRPr="000A469E" w:rsidRDefault="00E66442" w:rsidP="000A469E">
      <w:pPr>
        <w:pStyle w:val="CETBodytext"/>
        <w:rPr>
          <w:lang w:val="en-GB"/>
        </w:rPr>
      </w:pPr>
      <w:r>
        <w:rPr>
          <w:lang w:val="en-GB"/>
        </w:rPr>
        <w:t>S</w:t>
      </w:r>
      <w:r w:rsidR="000A469E" w:rsidRPr="000A469E">
        <w:rPr>
          <w:lang w:val="en-GB"/>
        </w:rPr>
        <w:t xml:space="preserve">uch </w:t>
      </w:r>
      <w:r>
        <w:rPr>
          <w:lang w:val="en-GB"/>
        </w:rPr>
        <w:t xml:space="preserve">novel </w:t>
      </w:r>
      <w:r w:rsidR="000A469E" w:rsidRPr="000A469E">
        <w:rPr>
          <w:lang w:val="en-GB"/>
        </w:rPr>
        <w:t xml:space="preserve">monitoring </w:t>
      </w:r>
      <w:r>
        <w:rPr>
          <w:lang w:val="en-GB"/>
        </w:rPr>
        <w:t>tool to</w:t>
      </w:r>
      <w:r w:rsidR="000A469E" w:rsidRPr="000A469E">
        <w:rPr>
          <w:lang w:val="en-GB"/>
        </w:rPr>
        <w:t xml:space="preserve"> be used also by operators </w:t>
      </w:r>
      <w:r>
        <w:rPr>
          <w:lang w:val="en-GB"/>
        </w:rPr>
        <w:t xml:space="preserve">(and not by specialized external personnel) </w:t>
      </w:r>
      <w:r w:rsidR="000A469E" w:rsidRPr="000A469E">
        <w:rPr>
          <w:lang w:val="en-GB"/>
        </w:rPr>
        <w:t xml:space="preserve">directly on the sites of interest may represent an interesting solution for the identification of </w:t>
      </w:r>
      <w:r>
        <w:rPr>
          <w:lang w:val="en-GB"/>
        </w:rPr>
        <w:t xml:space="preserve">the </w:t>
      </w:r>
      <w:r w:rsidR="000A469E" w:rsidRPr="000A469E">
        <w:rPr>
          <w:lang w:val="en-GB"/>
        </w:rPr>
        <w:t>plant’s emission</w:t>
      </w:r>
      <w:r>
        <w:rPr>
          <w:lang w:val="en-GB"/>
        </w:rPr>
        <w:t xml:space="preserve"> patterns</w:t>
      </w:r>
      <w:r w:rsidR="000A469E" w:rsidRPr="000A469E">
        <w:rPr>
          <w:lang w:val="en-GB"/>
        </w:rPr>
        <w:t xml:space="preserve"> or anomalies in the </w:t>
      </w:r>
      <w:r>
        <w:rPr>
          <w:lang w:val="en-GB"/>
        </w:rPr>
        <w:t>investigated areas</w:t>
      </w:r>
      <w:r w:rsidR="000A469E" w:rsidRPr="000A469E">
        <w:rPr>
          <w:lang w:val="en-GB"/>
        </w:rPr>
        <w:t>, identifying the pollutant gases concentrations in ambient air during walkover surveys</w:t>
      </w:r>
      <w:r w:rsidR="00B035E2">
        <w:rPr>
          <w:lang w:val="en-GB"/>
        </w:rPr>
        <w:t>.</w:t>
      </w:r>
      <w:r>
        <w:rPr>
          <w:lang w:val="en-GB"/>
        </w:rPr>
        <w:t xml:space="preserve"> </w:t>
      </w:r>
      <w:r w:rsidR="005F2974">
        <w:rPr>
          <w:lang w:val="en-GB"/>
        </w:rPr>
        <w:t xml:space="preserve">This would </w:t>
      </w:r>
      <w:r w:rsidR="00CE2584">
        <w:rPr>
          <w:lang w:val="en-GB"/>
        </w:rPr>
        <w:t xml:space="preserve">contribute </w:t>
      </w:r>
      <w:r w:rsidR="00CB3FEF">
        <w:rPr>
          <w:lang w:val="en-GB"/>
        </w:rPr>
        <w:t xml:space="preserve">to </w:t>
      </w:r>
      <w:r>
        <w:rPr>
          <w:lang w:val="en-GB"/>
        </w:rPr>
        <w:t>prov</w:t>
      </w:r>
      <w:r w:rsidR="005F2974">
        <w:rPr>
          <w:lang w:val="en-GB"/>
        </w:rPr>
        <w:t>id</w:t>
      </w:r>
      <w:r w:rsidR="00CB3FEF">
        <w:rPr>
          <w:lang w:val="en-GB"/>
        </w:rPr>
        <w:t>ing</w:t>
      </w:r>
      <w:r>
        <w:rPr>
          <w:lang w:val="en-GB"/>
        </w:rPr>
        <w:t xml:space="preserve"> a more accurate picture of the</w:t>
      </w:r>
      <w:r w:rsidR="000A469E" w:rsidRPr="000A469E">
        <w:rPr>
          <w:lang w:val="en-GB"/>
        </w:rPr>
        <w:t xml:space="preserve"> emissive scenario of such sites that, in general, are difficult to be characterized because of their extension. </w:t>
      </w:r>
    </w:p>
    <w:p w14:paraId="5AAF998A" w14:textId="556F4EC9" w:rsidR="000A469E" w:rsidRDefault="000A469E" w:rsidP="000A469E">
      <w:pPr>
        <w:pStyle w:val="CETBodytext"/>
        <w:rPr>
          <w:lang w:val="en-GB"/>
        </w:rPr>
      </w:pPr>
      <w:r w:rsidRPr="000A469E">
        <w:rPr>
          <w:lang w:val="en-GB"/>
        </w:rPr>
        <w:t xml:space="preserve">The ESCAPE project is structured in the following </w:t>
      </w:r>
      <w:r w:rsidR="00E66442">
        <w:rPr>
          <w:lang w:val="en-GB"/>
        </w:rPr>
        <w:t>Work Packages</w:t>
      </w:r>
      <w:r w:rsidR="00797130">
        <w:rPr>
          <w:lang w:val="en-GB"/>
        </w:rPr>
        <w:t xml:space="preserve"> (WP)</w:t>
      </w:r>
      <w:r w:rsidRPr="000A469E">
        <w:rPr>
          <w:lang w:val="en-GB"/>
        </w:rPr>
        <w:t>:</w:t>
      </w:r>
    </w:p>
    <w:p w14:paraId="0B7E1E74" w14:textId="3C204FAC" w:rsidR="00797130" w:rsidRDefault="00797130" w:rsidP="00797130">
      <w:pPr>
        <w:pStyle w:val="CETListbullets"/>
        <w:numPr>
          <w:ilvl w:val="0"/>
          <w:numId w:val="13"/>
        </w:numPr>
      </w:pPr>
      <w:r w:rsidRPr="00797130">
        <w:t>WP1: Project Management and Ethics Management</w:t>
      </w:r>
    </w:p>
    <w:p w14:paraId="3E9D4E87" w14:textId="2CDCC005" w:rsidR="00B77B98" w:rsidRDefault="005968E3" w:rsidP="00797130">
      <w:pPr>
        <w:pStyle w:val="CETListbullets"/>
        <w:numPr>
          <w:ilvl w:val="0"/>
          <w:numId w:val="13"/>
        </w:numPr>
      </w:pPr>
      <w:r w:rsidRPr="000A469E">
        <w:t>WP2: Remote Sensing Model</w:t>
      </w:r>
      <w:r w:rsidR="006473FB">
        <w:t xml:space="preserve">; </w:t>
      </w:r>
      <w:r w:rsidR="006473FB" w:rsidRPr="006473FB">
        <w:tab/>
      </w:r>
      <w:r w:rsidR="006473FB">
        <w:t>c</w:t>
      </w:r>
      <w:r w:rsidR="006473FB" w:rsidRPr="006473FB">
        <w:t>reation of analysis models of Earth Observation products based on machine/deep learning algorithms that allow the identification of features in the area of interest in order to identify, using only remote sensing tools, the sites where it is necessary to carry out field surveys using the Sensors Toolbox (developed in WP3)</w:t>
      </w:r>
    </w:p>
    <w:p w14:paraId="6C3F4516" w14:textId="19FBDBC3" w:rsidR="006473FB" w:rsidRDefault="006473FB" w:rsidP="006473FB">
      <w:pPr>
        <w:pStyle w:val="CETListbullets"/>
        <w:numPr>
          <w:ilvl w:val="0"/>
          <w:numId w:val="13"/>
        </w:numPr>
      </w:pPr>
      <w:r w:rsidRPr="000A469E">
        <w:t>WP3: Field Gas Sensors Toolbox</w:t>
      </w:r>
      <w:r>
        <w:t>; r</w:t>
      </w:r>
      <w:r w:rsidRPr="006473FB">
        <w:t xml:space="preserve">ealization of an embedded </w:t>
      </w:r>
      <w:r>
        <w:t>portable</w:t>
      </w:r>
      <w:r w:rsidRPr="006473FB">
        <w:t xml:space="preserve"> </w:t>
      </w:r>
      <w:r>
        <w:t>sensor</w:t>
      </w:r>
      <w:r w:rsidRPr="006473FB">
        <w:t xml:space="preserve"> device able to monitor fugitive emissions, collecting data during walkovers on landfill sites and providing </w:t>
      </w:r>
      <w:r>
        <w:t>it</w:t>
      </w:r>
      <w:r w:rsidRPr="006473FB">
        <w:t xml:space="preserve"> to a centralized digital platform that will deliver data intelligence to end-users in WP4</w:t>
      </w:r>
    </w:p>
    <w:p w14:paraId="34B983EA" w14:textId="5BD87FD9" w:rsidR="006473FB" w:rsidRDefault="006473FB" w:rsidP="006473FB">
      <w:pPr>
        <w:pStyle w:val="CETListbullets"/>
        <w:numPr>
          <w:ilvl w:val="0"/>
          <w:numId w:val="13"/>
        </w:numPr>
      </w:pPr>
      <w:r w:rsidRPr="000A469E">
        <w:t>WP4: Digital Platform Design and Development</w:t>
      </w:r>
      <w:r>
        <w:t>; d</w:t>
      </w:r>
      <w:r w:rsidRPr="006473FB">
        <w:t>esign and realization of a digital platform that allows the Stakeholders to retrieve, interact with, explore, and visualize satellite and ground data</w:t>
      </w:r>
    </w:p>
    <w:p w14:paraId="1BAD99CD" w14:textId="545706CC" w:rsidR="006473FB" w:rsidRDefault="00BE5FAF" w:rsidP="006473FB">
      <w:pPr>
        <w:pStyle w:val="CETListbullets"/>
        <w:numPr>
          <w:ilvl w:val="0"/>
          <w:numId w:val="13"/>
        </w:numPr>
      </w:pPr>
      <w:r w:rsidRPr="000A469E">
        <w:t>WP5: Pilots Use Case</w:t>
      </w:r>
      <w:r>
        <w:t xml:space="preserve">; </w:t>
      </w:r>
      <w:r w:rsidR="00200D7F">
        <w:t>t</w:t>
      </w:r>
      <w:r w:rsidR="002A1629" w:rsidRPr="002A1629">
        <w:t>est of the developed tools in pilots use case</w:t>
      </w:r>
      <w:r w:rsidR="00200D7F">
        <w:t>s</w:t>
      </w:r>
      <w:r w:rsidR="002A1629" w:rsidRPr="002A1629">
        <w:t xml:space="preserve"> </w:t>
      </w:r>
      <w:r w:rsidR="00200D7F">
        <w:t>to</w:t>
      </w:r>
      <w:r w:rsidR="002A1629" w:rsidRPr="002A1629">
        <w:t xml:space="preserve"> validate their performance directly in the field prior to their refinement for the commercial exploitation phase</w:t>
      </w:r>
    </w:p>
    <w:p w14:paraId="29ACA9D6" w14:textId="7E5F4648" w:rsidR="00200D7F" w:rsidRPr="00B57B36" w:rsidRDefault="00200D7F" w:rsidP="006473FB">
      <w:pPr>
        <w:pStyle w:val="CETListbullets"/>
        <w:numPr>
          <w:ilvl w:val="0"/>
          <w:numId w:val="13"/>
        </w:numPr>
      </w:pPr>
      <w:r w:rsidRPr="00200D7F">
        <w:t>WP6: Exploitation, Dissemination and Impact</w:t>
      </w:r>
    </w:p>
    <w:p w14:paraId="056A96D3" w14:textId="09DA4465" w:rsidR="00DF1CB6" w:rsidRDefault="00DF1CB6" w:rsidP="000A469E">
      <w:pPr>
        <w:pStyle w:val="CETBodytext"/>
        <w:rPr>
          <w:lang w:val="en-GB"/>
        </w:rPr>
      </w:pPr>
      <w:r>
        <w:rPr>
          <w:lang w:val="en-GB"/>
        </w:rPr>
        <w:t xml:space="preserve">This paper presents the outcomes of Task 3.1, dealing with the technology scouting and preliminary lab testing activities related to the selection of the </w:t>
      </w:r>
      <w:r w:rsidR="00657304">
        <w:rPr>
          <w:lang w:val="en-GB"/>
        </w:rPr>
        <w:t xml:space="preserve">sensors for the implementation of the portable Sensors Toolbox for the ground measurements over the landfill surface. Such activities included: (1) </w:t>
      </w:r>
      <w:r w:rsidR="00657304" w:rsidRPr="000A469E">
        <w:rPr>
          <w:lang w:val="en-GB"/>
        </w:rPr>
        <w:t>identification of environmentally relevant gases associated with landfill site surface emissions</w:t>
      </w:r>
      <w:r w:rsidR="002341C8">
        <w:rPr>
          <w:lang w:val="en-GB"/>
        </w:rPr>
        <w:t xml:space="preserve"> and their </w:t>
      </w:r>
      <w:r w:rsidR="00657304">
        <w:rPr>
          <w:lang w:val="en-GB"/>
        </w:rPr>
        <w:t>concentration ranges</w:t>
      </w:r>
      <w:r w:rsidR="002341C8">
        <w:rPr>
          <w:lang w:val="en-GB"/>
        </w:rPr>
        <w:t xml:space="preserve">; </w:t>
      </w:r>
      <w:r w:rsidR="00657304">
        <w:rPr>
          <w:lang w:val="en-GB"/>
        </w:rPr>
        <w:t>(</w:t>
      </w:r>
      <w:r w:rsidR="005711B7">
        <w:rPr>
          <w:lang w:val="en-GB"/>
        </w:rPr>
        <w:t>2</w:t>
      </w:r>
      <w:r w:rsidR="00657304">
        <w:rPr>
          <w:lang w:val="en-GB"/>
        </w:rPr>
        <w:t xml:space="preserve">) </w:t>
      </w:r>
      <w:r w:rsidR="005A3323">
        <w:rPr>
          <w:lang w:val="en-GB"/>
        </w:rPr>
        <w:t xml:space="preserve">technology </w:t>
      </w:r>
      <w:r w:rsidR="00657304">
        <w:rPr>
          <w:lang w:val="en-GB"/>
        </w:rPr>
        <w:t xml:space="preserve">scouting of </w:t>
      </w:r>
      <w:r w:rsidR="00C515E4">
        <w:rPr>
          <w:lang w:val="en-GB"/>
        </w:rPr>
        <w:t xml:space="preserve">the </w:t>
      </w:r>
      <w:r w:rsidR="00657304">
        <w:rPr>
          <w:lang w:val="en-GB"/>
        </w:rPr>
        <w:t xml:space="preserve">commercial sensors available on the market </w:t>
      </w:r>
      <w:r w:rsidR="00C515E4">
        <w:rPr>
          <w:lang w:val="en-GB"/>
        </w:rPr>
        <w:t>and selection of a first set of gas sensors suitable for this application,</w:t>
      </w:r>
      <w:r w:rsidR="00657304">
        <w:rPr>
          <w:lang w:val="en-GB"/>
        </w:rPr>
        <w:t xml:space="preserve"> which were evaluated based on their cost, power consumption, and detection range, as declared by the manufacturer and/or by the scientific literature; (</w:t>
      </w:r>
      <w:r w:rsidR="005711B7">
        <w:rPr>
          <w:lang w:val="en-GB"/>
        </w:rPr>
        <w:t>3</w:t>
      </w:r>
      <w:r w:rsidR="00657304">
        <w:rPr>
          <w:lang w:val="en-GB"/>
        </w:rPr>
        <w:t>) preliminary lab testing with relevant gases of the sensors identified in (</w:t>
      </w:r>
      <w:r w:rsidR="005711B7">
        <w:rPr>
          <w:lang w:val="en-GB"/>
        </w:rPr>
        <w:t>2</w:t>
      </w:r>
      <w:r w:rsidR="00657304">
        <w:rPr>
          <w:lang w:val="en-GB"/>
        </w:rPr>
        <w:t>) for a first screening and further selection of a subset of sensors to be effectively implemented in the first version of the Sensors Toolbox.</w:t>
      </w:r>
    </w:p>
    <w:p w14:paraId="01DD8089" w14:textId="1701018B" w:rsidR="0062679A" w:rsidRDefault="0062679A" w:rsidP="0062679A">
      <w:pPr>
        <w:pStyle w:val="CETHeading1"/>
      </w:pPr>
      <w:r>
        <w:t>Identification of the gaseous compounds</w:t>
      </w:r>
      <w:r w:rsidR="00DE0465">
        <w:t xml:space="preserve"> </w:t>
      </w:r>
      <w:r w:rsidR="001B31CD">
        <w:t>and concentrations of interest</w:t>
      </w:r>
    </w:p>
    <w:p w14:paraId="2C32DA8D" w14:textId="79F84645" w:rsidR="00A664E7" w:rsidRDefault="00DE0465" w:rsidP="00600535">
      <w:pPr>
        <w:pStyle w:val="CETBodytext"/>
        <w:rPr>
          <w:lang w:val="en-GB"/>
        </w:rPr>
      </w:pPr>
      <w:r>
        <w:rPr>
          <w:lang w:val="en-GB"/>
        </w:rPr>
        <w:t>B</w:t>
      </w:r>
      <w:r w:rsidRPr="0062679A">
        <w:rPr>
          <w:lang w:val="en-GB"/>
        </w:rPr>
        <w:t xml:space="preserve">ecause landfills have been always considered environmentally impactful, due to their gaseous emissions, in terms of </w:t>
      </w:r>
      <w:r>
        <w:rPr>
          <w:lang w:val="en-GB"/>
        </w:rPr>
        <w:t>GHG</w:t>
      </w:r>
      <w:r w:rsidRPr="0062679A">
        <w:rPr>
          <w:lang w:val="en-GB"/>
        </w:rPr>
        <w:t xml:space="preserve">, </w:t>
      </w:r>
      <w:r>
        <w:rPr>
          <w:lang w:val="en-GB"/>
        </w:rPr>
        <w:t>VOC</w:t>
      </w:r>
      <w:r w:rsidRPr="0062679A">
        <w:rPr>
          <w:lang w:val="en-GB"/>
        </w:rPr>
        <w:t>, and odo</w:t>
      </w:r>
      <w:r>
        <w:rPr>
          <w:lang w:val="en-GB"/>
        </w:rPr>
        <w:t>urs, several papers</w:t>
      </w:r>
      <w:r w:rsidR="001B31CD">
        <w:rPr>
          <w:lang w:val="en-GB"/>
        </w:rPr>
        <w:t xml:space="preserve"> </w:t>
      </w:r>
      <w:r>
        <w:rPr>
          <w:lang w:val="en-GB"/>
        </w:rPr>
        <w:t>have been published</w:t>
      </w:r>
      <w:r w:rsidR="001B31CD">
        <w:rPr>
          <w:lang w:val="en-GB"/>
        </w:rPr>
        <w:t xml:space="preserve"> discussing GHG emission from landfills </w:t>
      </w:r>
      <w:r w:rsidR="00A664E7">
        <w:rPr>
          <w:lang w:val="en-GB"/>
        </w:rPr>
        <w:t xml:space="preserve">(Zhang et al., 2019) or trying </w:t>
      </w:r>
      <w:r>
        <w:rPr>
          <w:lang w:val="en-GB"/>
        </w:rPr>
        <w:t xml:space="preserve">to investigate the </w:t>
      </w:r>
      <w:r w:rsidR="00A664E7">
        <w:rPr>
          <w:lang w:val="en-GB"/>
        </w:rPr>
        <w:t>pollutant gaseous</w:t>
      </w:r>
      <w:r>
        <w:rPr>
          <w:lang w:val="en-GB"/>
        </w:rPr>
        <w:t xml:space="preserve"> compounds present in landfill emissions to the atmosphere</w:t>
      </w:r>
      <w:r w:rsidR="001B31CD">
        <w:rPr>
          <w:lang w:val="en-GB"/>
        </w:rPr>
        <w:t xml:space="preserve"> (Duan et al., 2021</w:t>
      </w:r>
      <w:r w:rsidR="00155A45">
        <w:rPr>
          <w:lang w:val="en-GB"/>
        </w:rPr>
        <w:t>; Polvara et al., 2021</w:t>
      </w:r>
      <w:r w:rsidR="001B31CD">
        <w:rPr>
          <w:lang w:val="en-GB"/>
        </w:rPr>
        <w:t>)</w:t>
      </w:r>
      <w:r>
        <w:rPr>
          <w:lang w:val="en-GB"/>
        </w:rPr>
        <w:t>.</w:t>
      </w:r>
      <w:r w:rsidR="00D06672">
        <w:rPr>
          <w:lang w:val="en-GB"/>
        </w:rPr>
        <w:t xml:space="preserve"> In particular, Polvara et al. (2021) identified ammonia, hydrogen sulphide and ethanol as the most abundant compounds that can be found over landfill surfaces, with concentrations ranging up to </w:t>
      </w:r>
      <w:r w:rsidR="009D681B">
        <w:rPr>
          <w:lang w:val="en-GB"/>
        </w:rPr>
        <w:t xml:space="preserve">a maximum of </w:t>
      </w:r>
      <w:r w:rsidR="00D06672">
        <w:rPr>
          <w:lang w:val="en-GB"/>
        </w:rPr>
        <w:t>the ppm level (</w:t>
      </w:r>
      <w:r w:rsidR="00F32B1C">
        <w:rPr>
          <w:lang w:val="en-GB"/>
        </w:rPr>
        <w:t xml:space="preserve">ca. 5 ppm for ammonia, and 0.5 ppm for </w:t>
      </w:r>
      <w:r w:rsidR="00E93D47">
        <w:rPr>
          <w:lang w:val="en-GB"/>
        </w:rPr>
        <w:t>e</w:t>
      </w:r>
      <w:r w:rsidR="00F32B1C">
        <w:rPr>
          <w:lang w:val="en-GB"/>
        </w:rPr>
        <w:t>thanol and hydrogen sulphide, respectively).</w:t>
      </w:r>
    </w:p>
    <w:p w14:paraId="45AF6347" w14:textId="71933F93" w:rsidR="004E17B1" w:rsidRDefault="004E17B1" w:rsidP="00600535">
      <w:pPr>
        <w:pStyle w:val="CETBodytext"/>
        <w:rPr>
          <w:lang w:val="en-GB"/>
        </w:rPr>
      </w:pPr>
      <w:r w:rsidRPr="004E17B1">
        <w:rPr>
          <w:lang w:val="en-GB"/>
        </w:rPr>
        <w:t xml:space="preserve">The main components of GHG released from landfills are </w:t>
      </w:r>
      <w:r>
        <w:rPr>
          <w:lang w:val="en-GB"/>
        </w:rPr>
        <w:t>CH</w:t>
      </w:r>
      <w:r w:rsidRPr="004E17B1">
        <w:rPr>
          <w:vertAlign w:val="subscript"/>
          <w:lang w:val="en-GB"/>
        </w:rPr>
        <w:t>4</w:t>
      </w:r>
      <w:r w:rsidRPr="004E17B1">
        <w:rPr>
          <w:lang w:val="en-GB"/>
        </w:rPr>
        <w:t xml:space="preserve"> </w:t>
      </w:r>
      <w:r w:rsidR="00C01796">
        <w:rPr>
          <w:lang w:val="en-GB"/>
        </w:rPr>
        <w:t xml:space="preserve">(50-60%) </w:t>
      </w:r>
      <w:r w:rsidRPr="004E17B1">
        <w:rPr>
          <w:lang w:val="en-GB"/>
        </w:rPr>
        <w:t xml:space="preserve">and </w:t>
      </w:r>
      <w:r>
        <w:rPr>
          <w:lang w:val="en-GB"/>
        </w:rPr>
        <w:t>CO</w:t>
      </w:r>
      <w:r w:rsidRPr="004E17B1">
        <w:rPr>
          <w:vertAlign w:val="subscript"/>
          <w:lang w:val="en-GB"/>
        </w:rPr>
        <w:t>2</w:t>
      </w:r>
      <w:r w:rsidR="00C01796" w:rsidRPr="00C01796">
        <w:rPr>
          <w:lang w:val="en-GB"/>
        </w:rPr>
        <w:t xml:space="preserve"> </w:t>
      </w:r>
      <w:r w:rsidR="00C01796">
        <w:rPr>
          <w:lang w:val="en-GB"/>
        </w:rPr>
        <w:t>(40-</w:t>
      </w:r>
      <w:r w:rsidR="00007351">
        <w:rPr>
          <w:lang w:val="en-GB"/>
        </w:rPr>
        <w:t>50</w:t>
      </w:r>
      <w:r w:rsidR="00C01796">
        <w:rPr>
          <w:lang w:val="en-GB"/>
        </w:rPr>
        <w:t>%) (</w:t>
      </w:r>
      <w:proofErr w:type="spellStart"/>
      <w:r w:rsidR="00007351">
        <w:rPr>
          <w:lang w:val="en-GB"/>
        </w:rPr>
        <w:t>Aghdam</w:t>
      </w:r>
      <w:proofErr w:type="spellEnd"/>
      <w:r w:rsidR="00007351">
        <w:rPr>
          <w:lang w:val="en-GB"/>
        </w:rPr>
        <w:t xml:space="preserve"> et al., 2019; </w:t>
      </w:r>
      <w:proofErr w:type="spellStart"/>
      <w:r w:rsidR="00007351">
        <w:rPr>
          <w:lang w:val="en-GB"/>
        </w:rPr>
        <w:t>Lucernoni</w:t>
      </w:r>
      <w:proofErr w:type="spellEnd"/>
      <w:r w:rsidR="00007351">
        <w:rPr>
          <w:lang w:val="en-GB"/>
        </w:rPr>
        <w:t xml:space="preserve"> et al., 2016)</w:t>
      </w:r>
      <w:r w:rsidRPr="004E17B1">
        <w:rPr>
          <w:lang w:val="en-GB"/>
        </w:rPr>
        <w:t xml:space="preserve">. </w:t>
      </w:r>
      <w:r>
        <w:rPr>
          <w:lang w:val="en-GB"/>
        </w:rPr>
        <w:t xml:space="preserve">It should be considered that, on </w:t>
      </w:r>
      <w:r w:rsidRPr="004E17B1">
        <w:rPr>
          <w:lang w:val="en-GB"/>
        </w:rPr>
        <w:t xml:space="preserve">an equivalent mass basis, </w:t>
      </w:r>
      <w:r>
        <w:rPr>
          <w:lang w:val="en-GB"/>
        </w:rPr>
        <w:t>CH</w:t>
      </w:r>
      <w:r w:rsidRPr="004E17B1">
        <w:rPr>
          <w:vertAlign w:val="subscript"/>
          <w:lang w:val="en-GB"/>
        </w:rPr>
        <w:t>4</w:t>
      </w:r>
      <w:r w:rsidRPr="004E17B1">
        <w:rPr>
          <w:lang w:val="en-GB"/>
        </w:rPr>
        <w:t xml:space="preserve"> is 28 times more powerful than </w:t>
      </w:r>
      <w:r>
        <w:rPr>
          <w:lang w:val="en-GB"/>
        </w:rPr>
        <w:t>CO</w:t>
      </w:r>
      <w:r w:rsidRPr="004E17B1">
        <w:rPr>
          <w:vertAlign w:val="subscript"/>
          <w:lang w:val="en-GB"/>
        </w:rPr>
        <w:t>2</w:t>
      </w:r>
      <w:r w:rsidRPr="004E17B1">
        <w:rPr>
          <w:lang w:val="en-GB"/>
        </w:rPr>
        <w:t xml:space="preserve"> in terms of global warming potential (</w:t>
      </w:r>
      <w:r w:rsidR="00172A09">
        <w:rPr>
          <w:lang w:val="en-GB"/>
        </w:rPr>
        <w:t>IPCC</w:t>
      </w:r>
      <w:r>
        <w:rPr>
          <w:lang w:val="en-GB"/>
        </w:rPr>
        <w:t>,</w:t>
      </w:r>
      <w:r w:rsidRPr="004E17B1">
        <w:rPr>
          <w:lang w:val="en-GB"/>
        </w:rPr>
        <w:t xml:space="preserve"> 20</w:t>
      </w:r>
      <w:r w:rsidR="00311170">
        <w:rPr>
          <w:lang w:val="en-GB"/>
        </w:rPr>
        <w:t>13</w:t>
      </w:r>
      <w:r w:rsidRPr="004E17B1">
        <w:rPr>
          <w:lang w:val="en-GB"/>
        </w:rPr>
        <w:t>).</w:t>
      </w:r>
      <w:r w:rsidR="0007600B">
        <w:rPr>
          <w:lang w:val="en-GB"/>
        </w:rPr>
        <w:t xml:space="preserve"> Thus, considering CH</w:t>
      </w:r>
      <w:r w:rsidR="0007600B" w:rsidRPr="00481EAA">
        <w:rPr>
          <w:vertAlign w:val="subscript"/>
          <w:lang w:val="en-GB"/>
        </w:rPr>
        <w:t>4</w:t>
      </w:r>
      <w:r w:rsidR="0007600B">
        <w:rPr>
          <w:lang w:val="en-GB"/>
        </w:rPr>
        <w:t xml:space="preserve"> emissions, </w:t>
      </w:r>
      <w:r w:rsidR="0007600B" w:rsidRPr="0007600B">
        <w:rPr>
          <w:lang w:val="en-GB"/>
        </w:rPr>
        <w:t xml:space="preserve">literature studies </w:t>
      </w:r>
      <w:r w:rsidR="0007600B">
        <w:rPr>
          <w:lang w:val="en-GB"/>
        </w:rPr>
        <w:t>report concentration ranging</w:t>
      </w:r>
      <w:r w:rsidR="0007600B" w:rsidRPr="0007600B">
        <w:rPr>
          <w:lang w:val="en-GB"/>
        </w:rPr>
        <w:t xml:space="preserve"> from few ppm (</w:t>
      </w:r>
      <w:r w:rsidR="0007600B">
        <w:rPr>
          <w:lang w:val="en-GB"/>
        </w:rPr>
        <w:t>1-10</w:t>
      </w:r>
      <w:r w:rsidR="0007600B" w:rsidRPr="0007600B">
        <w:rPr>
          <w:lang w:val="en-GB"/>
        </w:rPr>
        <w:t xml:space="preserve">) </w:t>
      </w:r>
      <w:r w:rsidR="0007600B">
        <w:rPr>
          <w:lang w:val="en-GB"/>
        </w:rPr>
        <w:t>up to</w:t>
      </w:r>
      <w:r w:rsidR="0007600B" w:rsidRPr="0007600B">
        <w:rPr>
          <w:lang w:val="en-GB"/>
        </w:rPr>
        <w:t xml:space="preserve"> thousands of ppm, even within a few meters of the landfill surface (Gonzalez-Valencia et al.</w:t>
      </w:r>
      <w:r w:rsidR="00103EE9">
        <w:rPr>
          <w:lang w:val="en-GB"/>
        </w:rPr>
        <w:t>,</w:t>
      </w:r>
      <w:r w:rsidR="0007600B" w:rsidRPr="0007600B">
        <w:rPr>
          <w:lang w:val="en-GB"/>
        </w:rPr>
        <w:t xml:space="preserve"> 2015; </w:t>
      </w:r>
      <w:proofErr w:type="spellStart"/>
      <w:r w:rsidR="0007600B" w:rsidRPr="0007600B">
        <w:rPr>
          <w:lang w:val="en-GB"/>
        </w:rPr>
        <w:t>Kormi</w:t>
      </w:r>
      <w:proofErr w:type="spellEnd"/>
      <w:r w:rsidR="0007600B" w:rsidRPr="0007600B">
        <w:rPr>
          <w:lang w:val="en-GB"/>
        </w:rPr>
        <w:t xml:space="preserve"> et al.</w:t>
      </w:r>
      <w:r w:rsidR="00481EAA">
        <w:rPr>
          <w:lang w:val="en-GB"/>
        </w:rPr>
        <w:t>,</w:t>
      </w:r>
      <w:r w:rsidR="0007600B" w:rsidRPr="0007600B">
        <w:rPr>
          <w:lang w:val="en-GB"/>
        </w:rPr>
        <w:t xml:space="preserve"> 2018; Mosher et al. 1999).</w:t>
      </w:r>
    </w:p>
    <w:p w14:paraId="19DC8D2B" w14:textId="7D679E13" w:rsidR="005A3323" w:rsidRDefault="005A3323" w:rsidP="005A3323">
      <w:pPr>
        <w:pStyle w:val="CETHeading1"/>
      </w:pPr>
      <w:r>
        <w:t xml:space="preserve">Technology scouting and selection of a first set of gas sensors </w:t>
      </w:r>
      <w:r w:rsidR="003D55BB">
        <w:t>to be tested</w:t>
      </w:r>
    </w:p>
    <w:p w14:paraId="5C802FF7" w14:textId="562068CA" w:rsidR="002366F9" w:rsidRPr="002366F9" w:rsidRDefault="009D681B" w:rsidP="00600535">
      <w:pPr>
        <w:pStyle w:val="CETBodytext"/>
      </w:pPr>
      <w:r>
        <w:t xml:space="preserve">Considering the outcomes of the bibliographic research study focused on the identification of the gaseous compounds in landfill surface emissions and their expected concentrations in ambient air over the landfill surface, </w:t>
      </w:r>
      <w:r w:rsidR="00971C82">
        <w:t>we decided to focus on CH</w:t>
      </w:r>
      <w:r w:rsidR="00971C82" w:rsidRPr="002366F9">
        <w:rPr>
          <w:vertAlign w:val="subscript"/>
        </w:rPr>
        <w:t>4</w:t>
      </w:r>
      <w:r w:rsidR="00971C82">
        <w:t xml:space="preserve"> as main target compound to be detected, both because </w:t>
      </w:r>
      <w:r w:rsidR="002366F9">
        <w:t>of its</w:t>
      </w:r>
      <w:r w:rsidR="00971C82">
        <w:t xml:space="preserve"> relative abundance (</w:t>
      </w:r>
      <w:r w:rsidR="00357FC7">
        <w:t>about</w:t>
      </w:r>
      <w:r w:rsidR="00971C82">
        <w:t xml:space="preserve"> 50% in landfill gas) </w:t>
      </w:r>
      <w:r w:rsidR="002366F9">
        <w:t>and because of its high GH potential.</w:t>
      </w:r>
      <w:r w:rsidR="0013500F">
        <w:t xml:space="preserve"> </w:t>
      </w:r>
      <w:r w:rsidR="002366F9" w:rsidRPr="002366F9">
        <w:t xml:space="preserve">Traditional methods for measuring </w:t>
      </w:r>
      <w:r w:rsidR="002366F9">
        <w:t>CH</w:t>
      </w:r>
      <w:r w:rsidR="002366F9" w:rsidRPr="002366F9">
        <w:rPr>
          <w:vertAlign w:val="subscript"/>
        </w:rPr>
        <w:t>4</w:t>
      </w:r>
      <w:r w:rsidR="002366F9">
        <w:t xml:space="preserve"> emissions typically involve the use of complex and expensive instrumentation (e.g., </w:t>
      </w:r>
      <w:proofErr w:type="spellStart"/>
      <w:r w:rsidR="002366F9">
        <w:t>Dengel</w:t>
      </w:r>
      <w:proofErr w:type="spellEnd"/>
      <w:r w:rsidR="002366F9">
        <w:t xml:space="preserve"> et al., 2011; </w:t>
      </w:r>
      <w:r w:rsidR="000B4694">
        <w:t>You et al., 2021)</w:t>
      </w:r>
      <w:r w:rsidR="00D72E15">
        <w:t>, which are not suitable with the purposes of the ESCAPE project</w:t>
      </w:r>
      <w:r w:rsidR="003444D7">
        <w:t xml:space="preserve">. Therefore, </w:t>
      </w:r>
      <w:r w:rsidR="00D72E15">
        <w:t>we focused our technology scouting on low-cost</w:t>
      </w:r>
      <w:r w:rsidR="005D1A98">
        <w:t xml:space="preserve"> gas sensors. </w:t>
      </w:r>
    </w:p>
    <w:p w14:paraId="1D811E4A" w14:textId="5097BD72" w:rsidR="002177E9" w:rsidRDefault="00D414BE" w:rsidP="00600535">
      <w:pPr>
        <w:pStyle w:val="CETBodytext"/>
      </w:pPr>
      <w:r>
        <w:lastRenderedPageBreak/>
        <w:t xml:space="preserve">Commercial </w:t>
      </w:r>
      <w:r w:rsidR="0013500F">
        <w:t>MOX sensors</w:t>
      </w:r>
      <w:r>
        <w:t>,</w:t>
      </w:r>
      <w:r w:rsidR="0013500F">
        <w:t xml:space="preserve"> despite </w:t>
      </w:r>
      <w:r>
        <w:t>being non-specific for CH</w:t>
      </w:r>
      <w:r w:rsidRPr="002366F9">
        <w:rPr>
          <w:vertAlign w:val="subscript"/>
        </w:rPr>
        <w:t>4</w:t>
      </w:r>
      <w:r>
        <w:t xml:space="preserve"> detection, have been proven to be sensitive to CH</w:t>
      </w:r>
      <w:r w:rsidRPr="002366F9">
        <w:rPr>
          <w:vertAlign w:val="subscript"/>
        </w:rPr>
        <w:t>4</w:t>
      </w:r>
      <w:r>
        <w:t xml:space="preserve"> at low concentrations. In particular, the </w:t>
      </w:r>
      <w:r w:rsidRPr="00D414BE">
        <w:t xml:space="preserve">Figaro TGS2611 </w:t>
      </w:r>
      <w:r>
        <w:t>has</w:t>
      </w:r>
      <w:r w:rsidRPr="00D414BE">
        <w:t xml:space="preserve"> been tested by some researchers in laboratory and field conditions to </w:t>
      </w:r>
      <w:r>
        <w:t>CH</w:t>
      </w:r>
      <w:r w:rsidRPr="002366F9">
        <w:rPr>
          <w:vertAlign w:val="subscript"/>
        </w:rPr>
        <w:t>4</w:t>
      </w:r>
      <w:r w:rsidRPr="00D414BE">
        <w:t xml:space="preserve"> concentrations in the order of 2-10 ppm, showing reproducible results by implementing software compensation for temperature and humidity interferences</w:t>
      </w:r>
      <w:r w:rsidR="0099186A">
        <w:t xml:space="preserve"> </w:t>
      </w:r>
      <w:r w:rsidR="0099186A" w:rsidRPr="007123C1">
        <w:t>(</w:t>
      </w:r>
      <w:r w:rsidR="00C04C11" w:rsidRPr="007123C1">
        <w:t xml:space="preserve">e.g., van den </w:t>
      </w:r>
      <w:proofErr w:type="spellStart"/>
      <w:r w:rsidR="00C04C11" w:rsidRPr="007123C1">
        <w:t>Bossche</w:t>
      </w:r>
      <w:proofErr w:type="spellEnd"/>
      <w:r w:rsidR="00C04C11" w:rsidRPr="007123C1">
        <w:t xml:space="preserve"> et al., 2017</w:t>
      </w:r>
      <w:r w:rsidR="0099186A" w:rsidRPr="007123C1">
        <w:t>).</w:t>
      </w:r>
      <w:r w:rsidR="0099186A">
        <w:t xml:space="preserve"> Based on the scientific literature, and by further looking at the datasheets of MOX sensors produced by Figaro and MQ, we decided to include the TGS2611 </w:t>
      </w:r>
      <w:r w:rsidR="00180829">
        <w:t xml:space="preserve">by Figaro </w:t>
      </w:r>
      <w:r w:rsidR="0099186A">
        <w:t xml:space="preserve">and the MQ4 </w:t>
      </w:r>
      <w:r w:rsidR="00180829">
        <w:t xml:space="preserve">by </w:t>
      </w:r>
      <w:r w:rsidR="00180829" w:rsidRPr="00180829">
        <w:t xml:space="preserve">Henan </w:t>
      </w:r>
      <w:proofErr w:type="spellStart"/>
      <w:r w:rsidR="00180829" w:rsidRPr="00180829">
        <w:t>Hanwei</w:t>
      </w:r>
      <w:proofErr w:type="spellEnd"/>
      <w:r w:rsidR="00180829" w:rsidRPr="00180829">
        <w:t xml:space="preserve"> Electronics Co.</w:t>
      </w:r>
      <w:r w:rsidR="00180829">
        <w:t xml:space="preserve"> </w:t>
      </w:r>
      <w:r w:rsidR="0099186A">
        <w:t>in our study</w:t>
      </w:r>
      <w:r w:rsidR="003F479D">
        <w:t xml:space="preserve"> (</w:t>
      </w:r>
      <w:r w:rsidR="0045558C">
        <w:t xml:space="preserve">see </w:t>
      </w:r>
      <w:r w:rsidR="003F479D">
        <w:t>Table 1)</w:t>
      </w:r>
      <w:r w:rsidR="0099186A">
        <w:t>, because of their high sensitivity to CH</w:t>
      </w:r>
      <w:r w:rsidR="0099186A" w:rsidRPr="002366F9">
        <w:rPr>
          <w:vertAlign w:val="subscript"/>
        </w:rPr>
        <w:t>4</w:t>
      </w:r>
      <w:r w:rsidR="0099186A">
        <w:t>.</w:t>
      </w:r>
    </w:p>
    <w:p w14:paraId="13B11B16" w14:textId="4F0850C9" w:rsidR="002177E9" w:rsidRDefault="00D7101C" w:rsidP="00600535">
      <w:pPr>
        <w:pStyle w:val="CETBodytext"/>
        <w:rPr>
          <w:lang w:val="en-GB"/>
        </w:rPr>
      </w:pPr>
      <w:r>
        <w:t>M</w:t>
      </w:r>
      <w:r w:rsidR="003F479D">
        <w:t>or</w:t>
      </w:r>
      <w:r>
        <w:t xml:space="preserve">eover, over the last years, despite being originally produced for indoor air quality monitoring, digital MOX sensors integrated on </w:t>
      </w:r>
      <w:proofErr w:type="spellStart"/>
      <w:r>
        <w:t>microhotplates</w:t>
      </w:r>
      <w:proofErr w:type="spellEnd"/>
      <w:r>
        <w:t xml:space="preserve"> are more and more frequently used in </w:t>
      </w:r>
      <w:r w:rsidR="00007185">
        <w:t>sensor</w:t>
      </w:r>
      <w:r>
        <w:t xml:space="preserve"> systems </w:t>
      </w:r>
      <w:r w:rsidR="00007185">
        <w:t>for</w:t>
      </w:r>
      <w:r>
        <w:t xml:space="preserve"> environmental air quality monitoring</w:t>
      </w:r>
      <w:r w:rsidR="00084B43">
        <w:t xml:space="preserve"> (e.g., </w:t>
      </w:r>
      <w:r w:rsidR="00084B43">
        <w:rPr>
          <w:lang w:val="en-GB"/>
        </w:rPr>
        <w:t>Arroyo et al., 2020)</w:t>
      </w:r>
      <w:r>
        <w:t>, because of their desirable properties of extremely low power consumption and reduced dimensions, making the</w:t>
      </w:r>
      <w:r w:rsidR="00007185">
        <w:t>m</w:t>
      </w:r>
      <w:r>
        <w:t xml:space="preserve"> suitable for </w:t>
      </w:r>
      <w:r w:rsidR="00007185">
        <w:t>portable</w:t>
      </w:r>
      <w:r w:rsidR="00084B43">
        <w:t xml:space="preserve"> devices</w:t>
      </w:r>
      <w:r w:rsidR="003F479D">
        <w:rPr>
          <w:lang w:val="en-GB"/>
        </w:rPr>
        <w:t xml:space="preserve">. For this reason, we decided to include also </w:t>
      </w:r>
      <w:r w:rsidR="002177E9">
        <w:rPr>
          <w:lang w:val="en-GB"/>
        </w:rPr>
        <w:t>three</w:t>
      </w:r>
      <w:r w:rsidR="003F479D">
        <w:rPr>
          <w:lang w:val="en-GB"/>
        </w:rPr>
        <w:t xml:space="preserve"> of these se</w:t>
      </w:r>
      <w:r w:rsidR="002177E9">
        <w:rPr>
          <w:lang w:val="en-GB"/>
        </w:rPr>
        <w:t>n</w:t>
      </w:r>
      <w:r w:rsidR="003F479D">
        <w:rPr>
          <w:lang w:val="en-GB"/>
        </w:rPr>
        <w:t xml:space="preserve">sors </w:t>
      </w:r>
      <w:r w:rsidR="002177E9">
        <w:rPr>
          <w:lang w:val="en-GB"/>
        </w:rPr>
        <w:t>in our study (i.e.</w:t>
      </w:r>
      <w:r w:rsidR="002D233B">
        <w:rPr>
          <w:lang w:val="en-GB"/>
        </w:rPr>
        <w:t>,</w:t>
      </w:r>
      <w:r w:rsidR="002177E9">
        <w:rPr>
          <w:lang w:val="en-GB"/>
        </w:rPr>
        <w:t xml:space="preserve"> BME68</w:t>
      </w:r>
      <w:r w:rsidR="00543863">
        <w:rPr>
          <w:lang w:val="en-GB"/>
        </w:rPr>
        <w:t>8</w:t>
      </w:r>
      <w:r w:rsidR="002177E9">
        <w:rPr>
          <w:lang w:val="en-GB"/>
        </w:rPr>
        <w:t xml:space="preserve"> by Bosch, ENS160 by </w:t>
      </w:r>
      <w:proofErr w:type="spellStart"/>
      <w:r w:rsidR="002177E9">
        <w:rPr>
          <w:lang w:val="en-GB"/>
        </w:rPr>
        <w:t>Sciosense</w:t>
      </w:r>
      <w:proofErr w:type="spellEnd"/>
      <w:r w:rsidR="002177E9">
        <w:rPr>
          <w:lang w:val="en-GB"/>
        </w:rPr>
        <w:t xml:space="preserve"> and SGP40 by </w:t>
      </w:r>
      <w:proofErr w:type="spellStart"/>
      <w:r w:rsidR="002177E9">
        <w:rPr>
          <w:lang w:val="en-GB"/>
        </w:rPr>
        <w:t>Sensirion</w:t>
      </w:r>
      <w:proofErr w:type="spellEnd"/>
      <w:r w:rsidR="002177E9">
        <w:rPr>
          <w:lang w:val="en-GB"/>
        </w:rPr>
        <w:t xml:space="preserve">). Finally, we decided to include also one specific sensor for </w:t>
      </w:r>
      <w:r w:rsidR="002177E9" w:rsidRPr="002177E9">
        <w:rPr>
          <w:lang w:val="en-GB"/>
        </w:rPr>
        <w:t>CH</w:t>
      </w:r>
      <w:r w:rsidR="002177E9" w:rsidRPr="002177E9">
        <w:rPr>
          <w:vertAlign w:val="subscript"/>
          <w:lang w:val="en-GB"/>
        </w:rPr>
        <w:t>4</w:t>
      </w:r>
      <w:r w:rsidR="002177E9">
        <w:rPr>
          <w:lang w:val="en-GB"/>
        </w:rPr>
        <w:t xml:space="preserve"> based on NDIR technology, </w:t>
      </w:r>
      <w:proofErr w:type="gramStart"/>
      <w:r w:rsidR="002177E9">
        <w:rPr>
          <w:lang w:val="en-GB"/>
        </w:rPr>
        <w:t>i.e.</w:t>
      </w:r>
      <w:proofErr w:type="gramEnd"/>
      <w:r w:rsidR="002177E9">
        <w:rPr>
          <w:lang w:val="en-GB"/>
        </w:rPr>
        <w:t xml:space="preserve"> the MH-441</w:t>
      </w:r>
      <w:r w:rsidR="00327FEE">
        <w:rPr>
          <w:lang w:val="en-GB"/>
        </w:rPr>
        <w:t>D</w:t>
      </w:r>
      <w:r w:rsidR="002177E9">
        <w:rPr>
          <w:lang w:val="en-GB"/>
        </w:rPr>
        <w:t xml:space="preserve"> by </w:t>
      </w:r>
      <w:proofErr w:type="spellStart"/>
      <w:r w:rsidR="002177E9">
        <w:rPr>
          <w:lang w:val="en-GB"/>
        </w:rPr>
        <w:t>Winsen</w:t>
      </w:r>
      <w:proofErr w:type="spellEnd"/>
      <w:r w:rsidR="007218FE">
        <w:rPr>
          <w:lang w:val="en-GB"/>
        </w:rPr>
        <w:t xml:space="preserve"> Electronics</w:t>
      </w:r>
      <w:r w:rsidR="002177E9">
        <w:rPr>
          <w:lang w:val="en-GB"/>
        </w:rPr>
        <w:t>.</w:t>
      </w:r>
    </w:p>
    <w:p w14:paraId="7C0050EF" w14:textId="5349F511" w:rsidR="002177E9" w:rsidRDefault="002177E9" w:rsidP="00600535">
      <w:pPr>
        <w:pStyle w:val="CETBodytext"/>
        <w:rPr>
          <w:lang w:val="en-GB"/>
        </w:rPr>
      </w:pPr>
      <w:r>
        <w:rPr>
          <w:lang w:val="en-GB"/>
        </w:rPr>
        <w:t xml:space="preserve">Table 1 summarizes the first set of sensors selected for </w:t>
      </w:r>
      <w:r w:rsidR="00B149A4">
        <w:rPr>
          <w:lang w:val="en-GB"/>
        </w:rPr>
        <w:t>the preliminary screening tests described in this study, together with their cost and main features, as per technical datasheet.</w:t>
      </w:r>
    </w:p>
    <w:p w14:paraId="5BB4CBED" w14:textId="2FACE053" w:rsidR="00CA2F9B" w:rsidRPr="00B57B36" w:rsidRDefault="00CA2F9B" w:rsidP="00847293">
      <w:pPr>
        <w:pStyle w:val="CETTabletitle"/>
      </w:pPr>
      <w:r w:rsidRPr="00B57B36">
        <w:t xml:space="preserve">Table 1: </w:t>
      </w:r>
      <w:r w:rsidR="003D55BB">
        <w:t>List of 6 sensors selected for preliminary screening test; cost, main features, and sensitivity to CH</w:t>
      </w:r>
      <w:r w:rsidR="003D55BB" w:rsidRPr="003D55BB">
        <w:rPr>
          <w:vertAlign w:val="subscript"/>
        </w:rPr>
        <w:t>4</w:t>
      </w:r>
    </w:p>
    <w:tbl>
      <w:tblPr>
        <w:tblW w:w="9072"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134"/>
        <w:gridCol w:w="1276"/>
        <w:gridCol w:w="1276"/>
        <w:gridCol w:w="992"/>
        <w:gridCol w:w="2835"/>
        <w:gridCol w:w="1559"/>
      </w:tblGrid>
      <w:tr w:rsidR="00327FEE" w:rsidRPr="00B57B36" w14:paraId="17523BB5" w14:textId="28BB9E7C" w:rsidTr="001B46D9">
        <w:tc>
          <w:tcPr>
            <w:tcW w:w="1134" w:type="dxa"/>
            <w:tcBorders>
              <w:top w:val="single" w:sz="12" w:space="0" w:color="008000"/>
              <w:bottom w:val="single" w:sz="6" w:space="0" w:color="008000"/>
              <w:right w:val="single" w:sz="4" w:space="0" w:color="auto"/>
            </w:tcBorders>
            <w:shd w:val="clear" w:color="auto" w:fill="FFFFFF"/>
            <w:vAlign w:val="center"/>
          </w:tcPr>
          <w:p w14:paraId="42002D59" w14:textId="05BA67CB" w:rsidR="00327FEE" w:rsidRPr="00B57B36" w:rsidRDefault="00327FEE" w:rsidP="001B46D9">
            <w:pPr>
              <w:pStyle w:val="CETBodytext"/>
              <w:jc w:val="center"/>
              <w:rPr>
                <w:lang w:val="en-GB"/>
              </w:rPr>
            </w:pPr>
            <w:r>
              <w:rPr>
                <w:lang w:val="en-GB"/>
              </w:rPr>
              <w:t>Technology</w:t>
            </w:r>
          </w:p>
        </w:tc>
        <w:tc>
          <w:tcPr>
            <w:tcW w:w="1276" w:type="dxa"/>
            <w:tcBorders>
              <w:top w:val="single" w:sz="12" w:space="0" w:color="008000"/>
              <w:left w:val="single" w:sz="4" w:space="0" w:color="auto"/>
              <w:bottom w:val="single" w:sz="6" w:space="0" w:color="008000"/>
              <w:right w:val="single" w:sz="4" w:space="0" w:color="auto"/>
            </w:tcBorders>
            <w:shd w:val="clear" w:color="auto" w:fill="FFFFFF"/>
            <w:vAlign w:val="center"/>
          </w:tcPr>
          <w:p w14:paraId="1BD8788A" w14:textId="333B779D" w:rsidR="00327FEE" w:rsidRPr="00B57B36" w:rsidRDefault="00327FEE" w:rsidP="001B46D9">
            <w:pPr>
              <w:pStyle w:val="CETBodytext"/>
              <w:jc w:val="center"/>
              <w:rPr>
                <w:lang w:val="en-GB"/>
              </w:rPr>
            </w:pPr>
            <w:r>
              <w:rPr>
                <w:lang w:val="en-GB"/>
              </w:rPr>
              <w:t>Supplier</w:t>
            </w:r>
          </w:p>
        </w:tc>
        <w:tc>
          <w:tcPr>
            <w:tcW w:w="1276" w:type="dxa"/>
            <w:tcBorders>
              <w:top w:val="single" w:sz="12" w:space="0" w:color="008000"/>
              <w:left w:val="single" w:sz="4" w:space="0" w:color="auto"/>
              <w:bottom w:val="single" w:sz="6" w:space="0" w:color="008000"/>
              <w:right w:val="single" w:sz="4" w:space="0" w:color="auto"/>
            </w:tcBorders>
            <w:shd w:val="clear" w:color="auto" w:fill="FFFFFF"/>
            <w:vAlign w:val="center"/>
          </w:tcPr>
          <w:p w14:paraId="5A950B5E" w14:textId="178FC0D0" w:rsidR="00327FEE" w:rsidRPr="00B57B36" w:rsidRDefault="00327FEE" w:rsidP="001B46D9">
            <w:pPr>
              <w:pStyle w:val="CETBodytext"/>
              <w:jc w:val="center"/>
              <w:rPr>
                <w:lang w:val="en-GB"/>
              </w:rPr>
            </w:pPr>
            <w:r>
              <w:rPr>
                <w:lang w:val="en-GB"/>
              </w:rPr>
              <w:t>Model</w:t>
            </w:r>
          </w:p>
        </w:tc>
        <w:tc>
          <w:tcPr>
            <w:tcW w:w="992" w:type="dxa"/>
            <w:tcBorders>
              <w:top w:val="single" w:sz="12" w:space="0" w:color="008000"/>
              <w:left w:val="single" w:sz="4" w:space="0" w:color="auto"/>
              <w:bottom w:val="single" w:sz="6" w:space="0" w:color="008000"/>
              <w:right w:val="single" w:sz="4" w:space="0" w:color="auto"/>
            </w:tcBorders>
            <w:shd w:val="clear" w:color="auto" w:fill="FFFFFF"/>
            <w:vAlign w:val="center"/>
          </w:tcPr>
          <w:p w14:paraId="22E1E8B2" w14:textId="778A99C8" w:rsidR="00327FEE" w:rsidRPr="00B57B36" w:rsidRDefault="00327FEE" w:rsidP="001B46D9">
            <w:pPr>
              <w:pStyle w:val="CETBodytext"/>
              <w:ind w:right="-1"/>
              <w:jc w:val="center"/>
              <w:rPr>
                <w:rFonts w:cs="Arial"/>
                <w:szCs w:val="18"/>
                <w:lang w:val="en-GB"/>
              </w:rPr>
            </w:pPr>
            <w:r>
              <w:rPr>
                <w:rFonts w:cs="Arial"/>
                <w:szCs w:val="18"/>
                <w:lang w:val="en-GB"/>
              </w:rPr>
              <w:t>Cost</w:t>
            </w:r>
            <w:r w:rsidR="006A69B8">
              <w:rPr>
                <w:rFonts w:cs="Arial"/>
                <w:szCs w:val="18"/>
                <w:lang w:val="en-GB"/>
              </w:rPr>
              <w:t xml:space="preserve"> (ind.)</w:t>
            </w:r>
          </w:p>
        </w:tc>
        <w:tc>
          <w:tcPr>
            <w:tcW w:w="2835" w:type="dxa"/>
            <w:tcBorders>
              <w:top w:val="single" w:sz="12" w:space="0" w:color="008000"/>
              <w:left w:val="single" w:sz="4" w:space="0" w:color="auto"/>
              <w:bottom w:val="single" w:sz="6" w:space="0" w:color="008000"/>
              <w:right w:val="single" w:sz="4" w:space="0" w:color="auto"/>
            </w:tcBorders>
            <w:shd w:val="clear" w:color="auto" w:fill="FFFFFF"/>
            <w:vAlign w:val="center"/>
          </w:tcPr>
          <w:p w14:paraId="4FA8BC72" w14:textId="1BA362C5" w:rsidR="00327FEE" w:rsidRPr="00B57B36" w:rsidRDefault="00327FEE" w:rsidP="001B46D9">
            <w:pPr>
              <w:pStyle w:val="CETBodytext"/>
              <w:ind w:right="-1"/>
              <w:jc w:val="center"/>
              <w:rPr>
                <w:rFonts w:cs="Arial"/>
                <w:szCs w:val="18"/>
                <w:lang w:val="en-GB"/>
              </w:rPr>
            </w:pPr>
            <w:r>
              <w:rPr>
                <w:rFonts w:cs="Arial"/>
                <w:szCs w:val="18"/>
                <w:lang w:val="en-GB"/>
              </w:rPr>
              <w:t>Features</w:t>
            </w:r>
          </w:p>
        </w:tc>
        <w:tc>
          <w:tcPr>
            <w:tcW w:w="1559" w:type="dxa"/>
            <w:tcBorders>
              <w:top w:val="single" w:sz="12" w:space="0" w:color="008000"/>
              <w:left w:val="single" w:sz="4" w:space="0" w:color="auto"/>
              <w:bottom w:val="single" w:sz="6" w:space="0" w:color="008000"/>
            </w:tcBorders>
            <w:shd w:val="clear" w:color="auto" w:fill="FFFFFF"/>
            <w:vAlign w:val="center"/>
          </w:tcPr>
          <w:p w14:paraId="40BBBB69" w14:textId="5CE339CE" w:rsidR="00327FEE" w:rsidRDefault="00327FEE" w:rsidP="001B46D9">
            <w:pPr>
              <w:pStyle w:val="CETBodytext"/>
              <w:ind w:right="-1"/>
              <w:jc w:val="center"/>
              <w:rPr>
                <w:rFonts w:cs="Arial"/>
                <w:szCs w:val="18"/>
                <w:lang w:val="en-GB"/>
              </w:rPr>
            </w:pPr>
            <w:r>
              <w:rPr>
                <w:rFonts w:cs="Arial"/>
                <w:szCs w:val="18"/>
                <w:lang w:val="en-GB"/>
              </w:rPr>
              <w:t>Sensitivity to CH</w:t>
            </w:r>
            <w:r w:rsidRPr="00327FEE">
              <w:rPr>
                <w:rFonts w:cs="Arial"/>
                <w:szCs w:val="18"/>
                <w:vertAlign w:val="subscript"/>
                <w:lang w:val="en-GB"/>
              </w:rPr>
              <w:t>4</w:t>
            </w:r>
          </w:p>
        </w:tc>
      </w:tr>
      <w:tr w:rsidR="00327FEE" w:rsidRPr="00B57B36" w14:paraId="16D0D62D" w14:textId="7D11861B" w:rsidTr="001B46D9">
        <w:tc>
          <w:tcPr>
            <w:tcW w:w="1134" w:type="dxa"/>
            <w:tcBorders>
              <w:right w:val="single" w:sz="4" w:space="0" w:color="auto"/>
            </w:tcBorders>
            <w:shd w:val="clear" w:color="auto" w:fill="FFFFFF"/>
            <w:vAlign w:val="center"/>
          </w:tcPr>
          <w:p w14:paraId="48C93D82" w14:textId="178A875B" w:rsidR="00327FEE" w:rsidRPr="00B57B36" w:rsidRDefault="00327FEE" w:rsidP="001B46D9">
            <w:pPr>
              <w:pStyle w:val="CETBodytext"/>
              <w:jc w:val="center"/>
              <w:rPr>
                <w:lang w:val="en-GB"/>
              </w:rPr>
            </w:pPr>
            <w:r>
              <w:rPr>
                <w:lang w:val="en-GB"/>
              </w:rPr>
              <w:t>MOX</w:t>
            </w:r>
          </w:p>
        </w:tc>
        <w:tc>
          <w:tcPr>
            <w:tcW w:w="1276" w:type="dxa"/>
            <w:tcBorders>
              <w:left w:val="single" w:sz="4" w:space="0" w:color="auto"/>
              <w:right w:val="single" w:sz="4" w:space="0" w:color="auto"/>
            </w:tcBorders>
            <w:shd w:val="clear" w:color="auto" w:fill="FFFFFF"/>
            <w:vAlign w:val="center"/>
          </w:tcPr>
          <w:p w14:paraId="6B498B40" w14:textId="48532281" w:rsidR="00327FEE" w:rsidRPr="00B57B36" w:rsidRDefault="006E73C1" w:rsidP="001B46D9">
            <w:pPr>
              <w:pStyle w:val="CETBodytext"/>
              <w:jc w:val="center"/>
              <w:rPr>
                <w:lang w:val="en-GB"/>
              </w:rPr>
            </w:pPr>
            <w:r w:rsidRPr="006E73C1">
              <w:rPr>
                <w:lang w:val="en-GB"/>
              </w:rPr>
              <w:t>Figaro</w:t>
            </w:r>
            <w:r>
              <w:rPr>
                <w:lang w:val="en-GB"/>
              </w:rPr>
              <w:t>;</w:t>
            </w:r>
            <w:r w:rsidRPr="006E73C1">
              <w:rPr>
                <w:lang w:val="en-GB"/>
              </w:rPr>
              <w:t xml:space="preserve"> Tok</w:t>
            </w:r>
            <w:r>
              <w:rPr>
                <w:lang w:val="en-GB"/>
              </w:rPr>
              <w:t>y</w:t>
            </w:r>
            <w:r w:rsidRPr="006E73C1">
              <w:rPr>
                <w:lang w:val="en-GB"/>
              </w:rPr>
              <w:t>o</w:t>
            </w:r>
            <w:r>
              <w:rPr>
                <w:lang w:val="en-GB"/>
              </w:rPr>
              <w:t>,</w:t>
            </w:r>
            <w:r w:rsidRPr="006E73C1">
              <w:rPr>
                <w:lang w:val="en-GB"/>
              </w:rPr>
              <w:t xml:space="preserve"> Japan</w:t>
            </w:r>
          </w:p>
        </w:tc>
        <w:tc>
          <w:tcPr>
            <w:tcW w:w="1276" w:type="dxa"/>
            <w:tcBorders>
              <w:left w:val="single" w:sz="4" w:space="0" w:color="auto"/>
              <w:right w:val="single" w:sz="4" w:space="0" w:color="auto"/>
            </w:tcBorders>
            <w:shd w:val="clear" w:color="auto" w:fill="FFFFFF"/>
            <w:vAlign w:val="center"/>
          </w:tcPr>
          <w:p w14:paraId="7F700D15" w14:textId="763ACD77" w:rsidR="00327FEE" w:rsidRPr="00B57B36" w:rsidRDefault="00327FEE" w:rsidP="001B46D9">
            <w:pPr>
              <w:pStyle w:val="CETBodytext"/>
              <w:jc w:val="center"/>
              <w:rPr>
                <w:lang w:val="en-GB"/>
              </w:rPr>
            </w:pPr>
            <w:r>
              <w:rPr>
                <w:lang w:val="en-GB"/>
              </w:rPr>
              <w:t>TGS2611-E00</w:t>
            </w:r>
          </w:p>
        </w:tc>
        <w:tc>
          <w:tcPr>
            <w:tcW w:w="992" w:type="dxa"/>
            <w:tcBorders>
              <w:left w:val="single" w:sz="4" w:space="0" w:color="auto"/>
              <w:right w:val="single" w:sz="4" w:space="0" w:color="auto"/>
            </w:tcBorders>
            <w:shd w:val="clear" w:color="auto" w:fill="FFFFFF"/>
            <w:vAlign w:val="center"/>
          </w:tcPr>
          <w:p w14:paraId="08B2E222" w14:textId="1B3A86AB" w:rsidR="00327FEE" w:rsidRPr="00B57B36" w:rsidRDefault="006A69B8" w:rsidP="001B46D9">
            <w:pPr>
              <w:pStyle w:val="CETBodytext"/>
              <w:ind w:right="-1"/>
              <w:jc w:val="center"/>
              <w:rPr>
                <w:rFonts w:cs="Arial"/>
                <w:szCs w:val="18"/>
                <w:lang w:val="en-GB"/>
              </w:rPr>
            </w:pPr>
            <w:r>
              <w:rPr>
                <w:rFonts w:cs="Arial"/>
                <w:szCs w:val="18"/>
                <w:lang w:val="en-GB"/>
              </w:rPr>
              <w:t>30 €</w:t>
            </w:r>
          </w:p>
        </w:tc>
        <w:tc>
          <w:tcPr>
            <w:tcW w:w="2835" w:type="dxa"/>
            <w:tcBorders>
              <w:left w:val="single" w:sz="4" w:space="0" w:color="auto"/>
              <w:right w:val="single" w:sz="4" w:space="0" w:color="auto"/>
            </w:tcBorders>
            <w:shd w:val="clear" w:color="auto" w:fill="FFFFFF"/>
            <w:vAlign w:val="center"/>
          </w:tcPr>
          <w:p w14:paraId="5199DD6F" w14:textId="716D61D1" w:rsidR="00327FEE" w:rsidRPr="00B57B36" w:rsidRDefault="00671DC7" w:rsidP="001B46D9">
            <w:pPr>
              <w:pStyle w:val="CETBodytext"/>
              <w:ind w:right="-1"/>
              <w:jc w:val="center"/>
              <w:rPr>
                <w:rFonts w:cs="Arial"/>
                <w:szCs w:val="18"/>
                <w:lang w:val="en-GB"/>
              </w:rPr>
            </w:pPr>
            <w:r>
              <w:rPr>
                <w:rFonts w:cs="Arial"/>
                <w:szCs w:val="18"/>
                <w:lang w:val="en-GB"/>
              </w:rPr>
              <w:t>V</w:t>
            </w:r>
            <w:r w:rsidR="00327FEE" w:rsidRPr="00327FEE">
              <w:rPr>
                <w:rFonts w:cs="Arial"/>
                <w:szCs w:val="18"/>
                <w:lang w:val="en-GB"/>
              </w:rPr>
              <w:t xml:space="preserve">ery high sensitivity to </w:t>
            </w:r>
            <w:r w:rsidR="00327FEE">
              <w:rPr>
                <w:rFonts w:cs="Arial"/>
                <w:szCs w:val="18"/>
                <w:lang w:val="en-GB"/>
              </w:rPr>
              <w:t>CH4</w:t>
            </w:r>
            <w:r w:rsidR="00327FEE" w:rsidRPr="00327FEE">
              <w:rPr>
                <w:rFonts w:cs="Arial"/>
                <w:szCs w:val="18"/>
                <w:lang w:val="en-GB"/>
              </w:rPr>
              <w:t xml:space="preserve">. TGS2611-E00 uses filter material in its housing which eliminates the influence of interference gases, resulting in highly selective response to </w:t>
            </w:r>
            <w:r w:rsidR="00327FEE">
              <w:rPr>
                <w:rFonts w:cs="Arial"/>
                <w:szCs w:val="18"/>
                <w:lang w:val="en-GB"/>
              </w:rPr>
              <w:t>CH4</w:t>
            </w:r>
            <w:r w:rsidR="00327FEE" w:rsidRPr="00327FEE">
              <w:rPr>
                <w:rFonts w:cs="Arial"/>
                <w:szCs w:val="18"/>
                <w:lang w:val="en-GB"/>
              </w:rPr>
              <w:t>.</w:t>
            </w:r>
          </w:p>
        </w:tc>
        <w:tc>
          <w:tcPr>
            <w:tcW w:w="1559" w:type="dxa"/>
            <w:tcBorders>
              <w:left w:val="single" w:sz="4" w:space="0" w:color="auto"/>
            </w:tcBorders>
            <w:shd w:val="clear" w:color="auto" w:fill="FFFFFF"/>
            <w:vAlign w:val="center"/>
          </w:tcPr>
          <w:p w14:paraId="2452A748" w14:textId="73C9FCBB" w:rsidR="00327FEE" w:rsidRPr="00B57B36" w:rsidRDefault="00F2223A" w:rsidP="001B46D9">
            <w:pPr>
              <w:pStyle w:val="CETBodytext"/>
              <w:ind w:right="-1"/>
              <w:jc w:val="center"/>
              <w:rPr>
                <w:rFonts w:cs="Arial"/>
                <w:szCs w:val="18"/>
                <w:lang w:val="en-GB"/>
              </w:rPr>
            </w:pPr>
            <w:r>
              <w:rPr>
                <w:rFonts w:cs="Arial"/>
                <w:szCs w:val="18"/>
                <w:lang w:val="en-GB"/>
              </w:rPr>
              <w:t>500-10,000 ppm</w:t>
            </w:r>
          </w:p>
        </w:tc>
      </w:tr>
      <w:tr w:rsidR="00327FEE" w:rsidRPr="00B57B36" w14:paraId="304737FD" w14:textId="11E8372C" w:rsidTr="001B46D9">
        <w:tc>
          <w:tcPr>
            <w:tcW w:w="1134" w:type="dxa"/>
            <w:tcBorders>
              <w:right w:val="single" w:sz="4" w:space="0" w:color="auto"/>
            </w:tcBorders>
            <w:shd w:val="clear" w:color="auto" w:fill="FFFFFF"/>
            <w:vAlign w:val="center"/>
          </w:tcPr>
          <w:p w14:paraId="57C5465C" w14:textId="33B7FF1C" w:rsidR="00327FEE" w:rsidRPr="00B57B36" w:rsidRDefault="00327FEE" w:rsidP="001B46D9">
            <w:pPr>
              <w:pStyle w:val="CETBodytext"/>
              <w:jc w:val="center"/>
              <w:rPr>
                <w:lang w:val="en-GB"/>
              </w:rPr>
            </w:pPr>
            <w:r>
              <w:rPr>
                <w:lang w:val="en-GB"/>
              </w:rPr>
              <w:t>MOX</w:t>
            </w:r>
          </w:p>
        </w:tc>
        <w:tc>
          <w:tcPr>
            <w:tcW w:w="1276" w:type="dxa"/>
            <w:tcBorders>
              <w:left w:val="single" w:sz="4" w:space="0" w:color="auto"/>
              <w:right w:val="single" w:sz="4" w:space="0" w:color="auto"/>
            </w:tcBorders>
            <w:shd w:val="clear" w:color="auto" w:fill="FFFFFF"/>
            <w:vAlign w:val="center"/>
          </w:tcPr>
          <w:p w14:paraId="46292784" w14:textId="3AC20BF1" w:rsidR="00327FEE" w:rsidRPr="00B57B36" w:rsidRDefault="00AE4F82" w:rsidP="001B46D9">
            <w:pPr>
              <w:pStyle w:val="CETBodytext"/>
              <w:jc w:val="center"/>
              <w:rPr>
                <w:lang w:val="en-GB"/>
              </w:rPr>
            </w:pPr>
            <w:r w:rsidRPr="00AE4F82">
              <w:rPr>
                <w:lang w:val="en-GB"/>
              </w:rPr>
              <w:t xml:space="preserve">Henan </w:t>
            </w:r>
            <w:proofErr w:type="spellStart"/>
            <w:r w:rsidRPr="00AE4F82">
              <w:rPr>
                <w:lang w:val="en-GB"/>
              </w:rPr>
              <w:t>Hanwei</w:t>
            </w:r>
            <w:proofErr w:type="spellEnd"/>
            <w:r w:rsidRPr="00AE4F82">
              <w:rPr>
                <w:lang w:val="en-GB"/>
              </w:rPr>
              <w:t xml:space="preserve"> Electronics Co.</w:t>
            </w:r>
            <w:r>
              <w:rPr>
                <w:lang w:val="en-GB"/>
              </w:rPr>
              <w:t xml:space="preserve">; </w:t>
            </w:r>
            <w:r w:rsidRPr="006621A7">
              <w:rPr>
                <w:rFonts w:cs="Arial"/>
                <w:szCs w:val="18"/>
                <w:lang w:val="en-GB"/>
              </w:rPr>
              <w:t>Zhengzhou, China</w:t>
            </w:r>
          </w:p>
        </w:tc>
        <w:tc>
          <w:tcPr>
            <w:tcW w:w="1276" w:type="dxa"/>
            <w:tcBorders>
              <w:left w:val="single" w:sz="4" w:space="0" w:color="auto"/>
              <w:right w:val="single" w:sz="4" w:space="0" w:color="auto"/>
            </w:tcBorders>
            <w:shd w:val="clear" w:color="auto" w:fill="FFFFFF"/>
            <w:vAlign w:val="center"/>
          </w:tcPr>
          <w:p w14:paraId="33DDC29A" w14:textId="743D7EEA" w:rsidR="00327FEE" w:rsidRPr="00B57B36" w:rsidRDefault="00327FEE" w:rsidP="001B46D9">
            <w:pPr>
              <w:pStyle w:val="CETBodytext"/>
              <w:jc w:val="center"/>
              <w:rPr>
                <w:lang w:val="en-GB"/>
              </w:rPr>
            </w:pPr>
            <w:r>
              <w:rPr>
                <w:lang w:val="en-GB"/>
              </w:rPr>
              <w:t>MQ4</w:t>
            </w:r>
          </w:p>
        </w:tc>
        <w:tc>
          <w:tcPr>
            <w:tcW w:w="992" w:type="dxa"/>
            <w:tcBorders>
              <w:left w:val="single" w:sz="4" w:space="0" w:color="auto"/>
              <w:right w:val="single" w:sz="4" w:space="0" w:color="auto"/>
            </w:tcBorders>
            <w:shd w:val="clear" w:color="auto" w:fill="FFFFFF"/>
            <w:vAlign w:val="center"/>
          </w:tcPr>
          <w:p w14:paraId="5D7F6B01" w14:textId="0B223753" w:rsidR="00327FEE" w:rsidRPr="00B57B36" w:rsidRDefault="006A69B8" w:rsidP="001B46D9">
            <w:pPr>
              <w:pStyle w:val="CETBodytext"/>
              <w:ind w:right="-1"/>
              <w:jc w:val="center"/>
              <w:rPr>
                <w:rFonts w:cs="Arial"/>
                <w:szCs w:val="18"/>
                <w:lang w:val="en-GB"/>
              </w:rPr>
            </w:pPr>
            <w:r>
              <w:rPr>
                <w:rFonts w:cs="Arial"/>
                <w:szCs w:val="18"/>
                <w:lang w:val="en-GB"/>
              </w:rPr>
              <w:t>3 €</w:t>
            </w:r>
          </w:p>
        </w:tc>
        <w:tc>
          <w:tcPr>
            <w:tcW w:w="2835" w:type="dxa"/>
            <w:tcBorders>
              <w:left w:val="single" w:sz="4" w:space="0" w:color="auto"/>
              <w:right w:val="single" w:sz="4" w:space="0" w:color="auto"/>
            </w:tcBorders>
            <w:shd w:val="clear" w:color="auto" w:fill="FFFFFF"/>
            <w:vAlign w:val="center"/>
          </w:tcPr>
          <w:p w14:paraId="7C38F621" w14:textId="27E075D5" w:rsidR="00327FEE" w:rsidRPr="00B57B36" w:rsidRDefault="00084B7F" w:rsidP="001B46D9">
            <w:pPr>
              <w:pStyle w:val="CETBodytext"/>
              <w:ind w:right="-1"/>
              <w:jc w:val="center"/>
              <w:rPr>
                <w:rFonts w:cs="Arial"/>
                <w:szCs w:val="18"/>
                <w:lang w:val="en-GB"/>
              </w:rPr>
            </w:pPr>
            <w:r w:rsidRPr="00084B7F">
              <w:rPr>
                <w:rFonts w:cs="Arial"/>
                <w:szCs w:val="18"/>
                <w:lang w:val="en-GB"/>
              </w:rPr>
              <w:t>MQ4 has high sensiti</w:t>
            </w:r>
            <w:r>
              <w:rPr>
                <w:rFonts w:cs="Arial"/>
                <w:szCs w:val="18"/>
                <w:lang w:val="en-GB"/>
              </w:rPr>
              <w:t>vit</w:t>
            </w:r>
            <w:r w:rsidRPr="00084B7F">
              <w:rPr>
                <w:rFonts w:cs="Arial"/>
                <w:szCs w:val="18"/>
                <w:lang w:val="en-GB"/>
              </w:rPr>
              <w:t xml:space="preserve">y to </w:t>
            </w:r>
            <w:r>
              <w:rPr>
                <w:rFonts w:cs="Arial"/>
                <w:szCs w:val="18"/>
                <w:lang w:val="en-GB"/>
              </w:rPr>
              <w:t>CH4</w:t>
            </w:r>
            <w:r w:rsidRPr="00084B7F">
              <w:rPr>
                <w:rFonts w:cs="Arial"/>
                <w:szCs w:val="18"/>
                <w:lang w:val="en-GB"/>
              </w:rPr>
              <w:t xml:space="preserve">, also to Propane and Butane. </w:t>
            </w:r>
            <w:r w:rsidR="00D75369">
              <w:rPr>
                <w:rFonts w:cs="Arial"/>
                <w:szCs w:val="18"/>
                <w:lang w:val="en-GB"/>
              </w:rPr>
              <w:t>It c</w:t>
            </w:r>
            <w:r w:rsidR="000E61B1">
              <w:rPr>
                <w:rFonts w:cs="Arial"/>
                <w:szCs w:val="18"/>
                <w:lang w:val="en-GB"/>
              </w:rPr>
              <w:t>an be u</w:t>
            </w:r>
            <w:r w:rsidR="0045558C">
              <w:rPr>
                <w:rFonts w:cs="Arial"/>
                <w:szCs w:val="18"/>
                <w:lang w:val="en-GB"/>
              </w:rPr>
              <w:t>s</w:t>
            </w:r>
            <w:r w:rsidR="000E61B1">
              <w:rPr>
                <w:rFonts w:cs="Arial"/>
                <w:szCs w:val="18"/>
                <w:lang w:val="en-GB"/>
              </w:rPr>
              <w:t>ed</w:t>
            </w:r>
            <w:r>
              <w:rPr>
                <w:rFonts w:cs="Arial"/>
                <w:szCs w:val="18"/>
                <w:lang w:val="en-GB"/>
              </w:rPr>
              <w:t xml:space="preserve"> to detect</w:t>
            </w:r>
            <w:r w:rsidRPr="00084B7F">
              <w:rPr>
                <w:rFonts w:cs="Arial"/>
                <w:szCs w:val="18"/>
                <w:lang w:val="en-GB"/>
              </w:rPr>
              <w:t xml:space="preserve"> different combustible gas, especially </w:t>
            </w:r>
            <w:r>
              <w:rPr>
                <w:rFonts w:cs="Arial"/>
                <w:szCs w:val="18"/>
                <w:lang w:val="en-GB"/>
              </w:rPr>
              <w:t>CH4</w:t>
            </w:r>
            <w:r w:rsidRPr="00084B7F">
              <w:rPr>
                <w:rFonts w:cs="Arial"/>
                <w:szCs w:val="18"/>
                <w:lang w:val="en-GB"/>
              </w:rPr>
              <w:t xml:space="preserve">, </w:t>
            </w:r>
            <w:r w:rsidR="000E61B1">
              <w:rPr>
                <w:rFonts w:cs="Arial"/>
                <w:szCs w:val="18"/>
                <w:lang w:val="en-GB"/>
              </w:rPr>
              <w:t>l</w:t>
            </w:r>
            <w:r w:rsidRPr="00084B7F">
              <w:rPr>
                <w:rFonts w:cs="Arial"/>
                <w:szCs w:val="18"/>
                <w:lang w:val="en-GB"/>
              </w:rPr>
              <w:t>ow cost</w:t>
            </w:r>
            <w:r w:rsidR="000E61B1">
              <w:rPr>
                <w:rFonts w:cs="Arial"/>
                <w:szCs w:val="18"/>
                <w:lang w:val="en-GB"/>
              </w:rPr>
              <w:t>,</w:t>
            </w:r>
            <w:r w:rsidRPr="00084B7F">
              <w:rPr>
                <w:rFonts w:cs="Arial"/>
                <w:szCs w:val="18"/>
                <w:lang w:val="en-GB"/>
              </w:rPr>
              <w:t xml:space="preserve"> and suitable for different application</w:t>
            </w:r>
            <w:r w:rsidR="000E61B1">
              <w:rPr>
                <w:rFonts w:cs="Arial"/>
                <w:szCs w:val="18"/>
                <w:lang w:val="en-GB"/>
              </w:rPr>
              <w:t>s</w:t>
            </w:r>
            <w:r w:rsidR="00CD799C">
              <w:rPr>
                <w:rFonts w:cs="Arial"/>
                <w:szCs w:val="18"/>
                <w:lang w:val="en-GB"/>
              </w:rPr>
              <w:t>.</w:t>
            </w:r>
          </w:p>
        </w:tc>
        <w:tc>
          <w:tcPr>
            <w:tcW w:w="1559" w:type="dxa"/>
            <w:tcBorders>
              <w:left w:val="single" w:sz="4" w:space="0" w:color="auto"/>
            </w:tcBorders>
            <w:shd w:val="clear" w:color="auto" w:fill="FFFFFF"/>
            <w:vAlign w:val="center"/>
          </w:tcPr>
          <w:p w14:paraId="14994770" w14:textId="24106E58" w:rsidR="00327FEE" w:rsidRPr="00B57B36" w:rsidRDefault="006875AB" w:rsidP="001B46D9">
            <w:pPr>
              <w:pStyle w:val="CETBodytext"/>
              <w:ind w:right="-1"/>
              <w:jc w:val="center"/>
              <w:rPr>
                <w:rFonts w:cs="Arial"/>
                <w:szCs w:val="18"/>
                <w:lang w:val="en-GB"/>
              </w:rPr>
            </w:pPr>
            <w:r>
              <w:rPr>
                <w:rFonts w:cs="Arial"/>
                <w:szCs w:val="18"/>
                <w:lang w:val="en-GB"/>
              </w:rPr>
              <w:t>300-10,000 ppm</w:t>
            </w:r>
          </w:p>
        </w:tc>
      </w:tr>
      <w:tr w:rsidR="00327FEE" w:rsidRPr="00B57B36" w14:paraId="6C3DA3F4" w14:textId="57564CDB" w:rsidTr="001B46D9">
        <w:tc>
          <w:tcPr>
            <w:tcW w:w="1134" w:type="dxa"/>
            <w:tcBorders>
              <w:right w:val="single" w:sz="4" w:space="0" w:color="auto"/>
            </w:tcBorders>
            <w:shd w:val="clear" w:color="auto" w:fill="FFFFFF"/>
            <w:vAlign w:val="center"/>
          </w:tcPr>
          <w:p w14:paraId="3E383B24" w14:textId="0F62B4FA" w:rsidR="00327FEE" w:rsidRPr="00B57B36" w:rsidRDefault="00327FEE" w:rsidP="001B46D9">
            <w:pPr>
              <w:pStyle w:val="CETBodytext"/>
              <w:jc w:val="center"/>
              <w:rPr>
                <w:lang w:val="en-GB"/>
              </w:rPr>
            </w:pPr>
            <w:r>
              <w:rPr>
                <w:lang w:val="en-GB"/>
              </w:rPr>
              <w:t>Digital MOX</w:t>
            </w:r>
          </w:p>
        </w:tc>
        <w:tc>
          <w:tcPr>
            <w:tcW w:w="1276" w:type="dxa"/>
            <w:tcBorders>
              <w:left w:val="single" w:sz="4" w:space="0" w:color="auto"/>
              <w:right w:val="single" w:sz="4" w:space="0" w:color="auto"/>
            </w:tcBorders>
            <w:shd w:val="clear" w:color="auto" w:fill="FFFFFF"/>
            <w:vAlign w:val="center"/>
          </w:tcPr>
          <w:p w14:paraId="0E41B244" w14:textId="04392F26" w:rsidR="00327FEE" w:rsidRPr="00B57B36" w:rsidRDefault="00D07BE4" w:rsidP="001B46D9">
            <w:pPr>
              <w:pStyle w:val="CETBodytext"/>
              <w:jc w:val="center"/>
              <w:rPr>
                <w:lang w:val="en-GB"/>
              </w:rPr>
            </w:pPr>
            <w:proofErr w:type="spellStart"/>
            <w:r w:rsidRPr="00D07BE4">
              <w:rPr>
                <w:lang w:val="en-GB"/>
              </w:rPr>
              <w:t>ScioSense</w:t>
            </w:r>
            <w:proofErr w:type="spellEnd"/>
            <w:r>
              <w:rPr>
                <w:lang w:val="en-GB"/>
              </w:rPr>
              <w:t>;</w:t>
            </w:r>
            <w:r w:rsidRPr="00D07BE4">
              <w:rPr>
                <w:lang w:val="en-GB"/>
              </w:rPr>
              <w:t xml:space="preserve"> Eindhoven, Netherlands</w:t>
            </w:r>
          </w:p>
        </w:tc>
        <w:tc>
          <w:tcPr>
            <w:tcW w:w="1276" w:type="dxa"/>
            <w:tcBorders>
              <w:left w:val="single" w:sz="4" w:space="0" w:color="auto"/>
              <w:right w:val="single" w:sz="4" w:space="0" w:color="auto"/>
            </w:tcBorders>
            <w:shd w:val="clear" w:color="auto" w:fill="FFFFFF"/>
            <w:vAlign w:val="center"/>
          </w:tcPr>
          <w:p w14:paraId="09609A8C" w14:textId="48E9552D" w:rsidR="00327FEE" w:rsidRPr="00B57B36" w:rsidRDefault="00327FEE" w:rsidP="001B46D9">
            <w:pPr>
              <w:pStyle w:val="CETBodytext"/>
              <w:jc w:val="center"/>
              <w:rPr>
                <w:lang w:val="en-GB"/>
              </w:rPr>
            </w:pPr>
            <w:r>
              <w:rPr>
                <w:lang w:val="en-GB"/>
              </w:rPr>
              <w:t>ENS160</w:t>
            </w:r>
          </w:p>
        </w:tc>
        <w:tc>
          <w:tcPr>
            <w:tcW w:w="992" w:type="dxa"/>
            <w:tcBorders>
              <w:left w:val="single" w:sz="4" w:space="0" w:color="auto"/>
              <w:right w:val="single" w:sz="4" w:space="0" w:color="auto"/>
            </w:tcBorders>
            <w:shd w:val="clear" w:color="auto" w:fill="FFFFFF"/>
            <w:vAlign w:val="center"/>
          </w:tcPr>
          <w:p w14:paraId="5A15970B" w14:textId="5D547141" w:rsidR="00327FEE" w:rsidRPr="00B57B36" w:rsidRDefault="006A69B8" w:rsidP="001B46D9">
            <w:pPr>
              <w:pStyle w:val="CETBodytext"/>
              <w:ind w:right="-1"/>
              <w:jc w:val="center"/>
              <w:rPr>
                <w:rFonts w:cs="Arial"/>
                <w:szCs w:val="18"/>
                <w:lang w:val="en-GB"/>
              </w:rPr>
            </w:pPr>
            <w:r>
              <w:rPr>
                <w:rFonts w:cs="Arial"/>
                <w:szCs w:val="18"/>
                <w:lang w:val="en-GB"/>
              </w:rPr>
              <w:t>10 €</w:t>
            </w:r>
          </w:p>
        </w:tc>
        <w:tc>
          <w:tcPr>
            <w:tcW w:w="2835" w:type="dxa"/>
            <w:tcBorders>
              <w:left w:val="single" w:sz="4" w:space="0" w:color="auto"/>
              <w:right w:val="single" w:sz="4" w:space="0" w:color="auto"/>
            </w:tcBorders>
            <w:shd w:val="clear" w:color="auto" w:fill="FFFFFF"/>
            <w:vAlign w:val="center"/>
          </w:tcPr>
          <w:p w14:paraId="65AEDB06" w14:textId="0640B04C" w:rsidR="00956090" w:rsidRPr="00956090" w:rsidRDefault="004A7383" w:rsidP="001B46D9">
            <w:pPr>
              <w:pStyle w:val="CETBodytext"/>
              <w:ind w:right="-1"/>
              <w:jc w:val="center"/>
              <w:rPr>
                <w:rFonts w:cs="Arial"/>
                <w:szCs w:val="18"/>
                <w:lang w:val="en-GB"/>
              </w:rPr>
            </w:pPr>
            <w:r>
              <w:rPr>
                <w:rFonts w:cs="Arial"/>
                <w:szCs w:val="18"/>
                <w:lang w:val="en-GB"/>
              </w:rPr>
              <w:t>I</w:t>
            </w:r>
            <w:r w:rsidR="00956090" w:rsidRPr="00956090">
              <w:rPr>
                <w:rFonts w:cs="Arial"/>
                <w:szCs w:val="18"/>
                <w:lang w:val="en-GB"/>
              </w:rPr>
              <w:t>ntegrated intelligent algorithms to process raw sensor measurements and implementing</w:t>
            </w:r>
            <w:r w:rsidR="00956090">
              <w:rPr>
                <w:rFonts w:cs="Arial"/>
                <w:szCs w:val="18"/>
                <w:lang w:val="en-GB"/>
              </w:rPr>
              <w:t xml:space="preserve"> RH</w:t>
            </w:r>
            <w:r w:rsidR="00956090" w:rsidRPr="00956090">
              <w:rPr>
                <w:rFonts w:cs="Arial"/>
                <w:szCs w:val="18"/>
                <w:lang w:val="en-GB"/>
              </w:rPr>
              <w:t xml:space="preserve"> and </w:t>
            </w:r>
            <w:r w:rsidR="00956090">
              <w:rPr>
                <w:rFonts w:cs="Arial"/>
                <w:szCs w:val="18"/>
                <w:lang w:val="en-GB"/>
              </w:rPr>
              <w:t>T</w:t>
            </w:r>
            <w:r w:rsidR="00956090" w:rsidRPr="00956090">
              <w:rPr>
                <w:rFonts w:cs="Arial"/>
                <w:szCs w:val="18"/>
                <w:lang w:val="en-GB"/>
              </w:rPr>
              <w:t xml:space="preserve"> compensations on-chip.</w:t>
            </w:r>
          </w:p>
          <w:p w14:paraId="5108D080" w14:textId="4563627C" w:rsidR="00956090" w:rsidRPr="00956090" w:rsidRDefault="00956090" w:rsidP="001B46D9">
            <w:pPr>
              <w:pStyle w:val="CETBodytext"/>
              <w:ind w:right="-1"/>
              <w:jc w:val="center"/>
              <w:rPr>
                <w:rFonts w:cs="Arial"/>
                <w:szCs w:val="18"/>
                <w:lang w:val="en-GB"/>
              </w:rPr>
            </w:pPr>
            <w:r w:rsidRPr="00956090">
              <w:rPr>
                <w:rFonts w:cs="Arial"/>
                <w:szCs w:val="18"/>
                <w:lang w:val="en-GB"/>
              </w:rPr>
              <w:t>4 gas sensor elements</w:t>
            </w:r>
          </w:p>
          <w:p w14:paraId="0748ADDA" w14:textId="77777777" w:rsidR="00956090" w:rsidRPr="00956090" w:rsidRDefault="00956090" w:rsidP="001B46D9">
            <w:pPr>
              <w:pStyle w:val="CETBodytext"/>
              <w:ind w:right="-1"/>
              <w:jc w:val="center"/>
              <w:rPr>
                <w:rFonts w:cs="Arial"/>
                <w:szCs w:val="18"/>
                <w:lang w:val="en-GB"/>
              </w:rPr>
            </w:pPr>
            <w:r w:rsidRPr="00956090">
              <w:rPr>
                <w:rFonts w:cs="Arial"/>
                <w:szCs w:val="18"/>
                <w:lang w:val="en-GB"/>
              </w:rPr>
              <w:t>Operating ranges:</w:t>
            </w:r>
          </w:p>
          <w:p w14:paraId="0A422F95" w14:textId="268B92BB" w:rsidR="00956090" w:rsidRPr="00956090" w:rsidRDefault="00956090" w:rsidP="001B46D9">
            <w:pPr>
              <w:pStyle w:val="CETBodytext"/>
              <w:ind w:right="-1"/>
              <w:jc w:val="center"/>
              <w:rPr>
                <w:rFonts w:cs="Arial"/>
                <w:szCs w:val="18"/>
                <w:lang w:val="en-GB"/>
              </w:rPr>
            </w:pPr>
            <w:r w:rsidRPr="00956090">
              <w:rPr>
                <w:rFonts w:cs="Arial"/>
                <w:szCs w:val="18"/>
                <w:lang w:val="en-GB"/>
              </w:rPr>
              <w:t>T = -40 to 95°C</w:t>
            </w:r>
          </w:p>
          <w:p w14:paraId="095064F4" w14:textId="28282120" w:rsidR="00327FEE" w:rsidRPr="00B57B36" w:rsidRDefault="00956090" w:rsidP="001B46D9">
            <w:pPr>
              <w:pStyle w:val="CETBodytext"/>
              <w:ind w:right="-1"/>
              <w:jc w:val="center"/>
              <w:rPr>
                <w:rFonts w:cs="Arial"/>
                <w:szCs w:val="18"/>
                <w:lang w:val="en-GB"/>
              </w:rPr>
            </w:pPr>
            <w:r w:rsidRPr="00956090">
              <w:rPr>
                <w:rFonts w:cs="Arial"/>
                <w:szCs w:val="18"/>
                <w:lang w:val="en-GB"/>
              </w:rPr>
              <w:t>RH = 5 to 95%</w:t>
            </w:r>
          </w:p>
        </w:tc>
        <w:tc>
          <w:tcPr>
            <w:tcW w:w="1559" w:type="dxa"/>
            <w:tcBorders>
              <w:left w:val="single" w:sz="4" w:space="0" w:color="auto"/>
            </w:tcBorders>
            <w:shd w:val="clear" w:color="auto" w:fill="FFFFFF"/>
            <w:vAlign w:val="center"/>
          </w:tcPr>
          <w:p w14:paraId="24CF5E1A" w14:textId="50B2F010" w:rsidR="00327FEE" w:rsidRPr="00B57B36" w:rsidRDefault="00340077" w:rsidP="001B46D9">
            <w:pPr>
              <w:pStyle w:val="CETBodytext"/>
              <w:ind w:right="-1"/>
              <w:jc w:val="center"/>
              <w:rPr>
                <w:rFonts w:cs="Arial"/>
                <w:szCs w:val="18"/>
                <w:lang w:val="en-GB"/>
              </w:rPr>
            </w:pPr>
            <w:r>
              <w:rPr>
                <w:rFonts w:cs="Arial"/>
                <w:szCs w:val="18"/>
                <w:lang w:val="en-GB"/>
              </w:rPr>
              <w:t>200-1,100 ppm</w:t>
            </w:r>
          </w:p>
        </w:tc>
      </w:tr>
      <w:tr w:rsidR="00327FEE" w:rsidRPr="00B57B36" w14:paraId="03860B09" w14:textId="4259DE8A" w:rsidTr="001B46D9">
        <w:tc>
          <w:tcPr>
            <w:tcW w:w="1134" w:type="dxa"/>
            <w:tcBorders>
              <w:right w:val="single" w:sz="4" w:space="0" w:color="auto"/>
            </w:tcBorders>
            <w:shd w:val="clear" w:color="auto" w:fill="FFFFFF"/>
            <w:vAlign w:val="center"/>
          </w:tcPr>
          <w:p w14:paraId="0C60AF5D" w14:textId="43976301" w:rsidR="00327FEE" w:rsidRPr="00B57B36" w:rsidRDefault="00327FEE" w:rsidP="001B46D9">
            <w:pPr>
              <w:pStyle w:val="CETBodytext"/>
              <w:jc w:val="center"/>
              <w:rPr>
                <w:lang w:val="en-GB"/>
              </w:rPr>
            </w:pPr>
            <w:r>
              <w:rPr>
                <w:lang w:val="en-GB"/>
              </w:rPr>
              <w:t>Digital MOX</w:t>
            </w:r>
          </w:p>
        </w:tc>
        <w:tc>
          <w:tcPr>
            <w:tcW w:w="1276" w:type="dxa"/>
            <w:tcBorders>
              <w:left w:val="single" w:sz="4" w:space="0" w:color="auto"/>
              <w:right w:val="single" w:sz="4" w:space="0" w:color="auto"/>
            </w:tcBorders>
            <w:shd w:val="clear" w:color="auto" w:fill="FFFFFF"/>
            <w:vAlign w:val="center"/>
          </w:tcPr>
          <w:p w14:paraId="74344432" w14:textId="0A4A91CB" w:rsidR="00327FEE" w:rsidRPr="00B57B36" w:rsidRDefault="004972BE" w:rsidP="001B46D9">
            <w:pPr>
              <w:pStyle w:val="CETBodytext"/>
              <w:jc w:val="center"/>
              <w:rPr>
                <w:lang w:val="en-GB"/>
              </w:rPr>
            </w:pPr>
            <w:proofErr w:type="spellStart"/>
            <w:r w:rsidRPr="004972BE">
              <w:rPr>
                <w:lang w:val="en-GB"/>
              </w:rPr>
              <w:t>Sensirion</w:t>
            </w:r>
            <w:proofErr w:type="spellEnd"/>
            <w:r w:rsidRPr="004972BE">
              <w:rPr>
                <w:lang w:val="en-GB"/>
              </w:rPr>
              <w:t xml:space="preserve"> AG</w:t>
            </w:r>
            <w:r>
              <w:rPr>
                <w:lang w:val="en-GB"/>
              </w:rPr>
              <w:t>;</w:t>
            </w:r>
            <w:r w:rsidRPr="004972BE">
              <w:rPr>
                <w:lang w:val="en-GB"/>
              </w:rPr>
              <w:t xml:space="preserve"> Zurich, Switzerland</w:t>
            </w:r>
          </w:p>
        </w:tc>
        <w:tc>
          <w:tcPr>
            <w:tcW w:w="1276" w:type="dxa"/>
            <w:tcBorders>
              <w:left w:val="single" w:sz="4" w:space="0" w:color="auto"/>
              <w:right w:val="single" w:sz="4" w:space="0" w:color="auto"/>
            </w:tcBorders>
            <w:shd w:val="clear" w:color="auto" w:fill="FFFFFF"/>
            <w:vAlign w:val="center"/>
          </w:tcPr>
          <w:p w14:paraId="142921F6" w14:textId="3A757E6F" w:rsidR="00327FEE" w:rsidRPr="00B57B36" w:rsidRDefault="00327FEE" w:rsidP="001B46D9">
            <w:pPr>
              <w:pStyle w:val="CETBodytext"/>
              <w:jc w:val="center"/>
              <w:rPr>
                <w:lang w:val="en-GB"/>
              </w:rPr>
            </w:pPr>
            <w:r>
              <w:rPr>
                <w:lang w:val="en-GB"/>
              </w:rPr>
              <w:t>SGP40</w:t>
            </w:r>
          </w:p>
        </w:tc>
        <w:tc>
          <w:tcPr>
            <w:tcW w:w="992" w:type="dxa"/>
            <w:tcBorders>
              <w:left w:val="single" w:sz="4" w:space="0" w:color="auto"/>
              <w:right w:val="single" w:sz="4" w:space="0" w:color="auto"/>
            </w:tcBorders>
            <w:shd w:val="clear" w:color="auto" w:fill="FFFFFF"/>
            <w:vAlign w:val="center"/>
          </w:tcPr>
          <w:p w14:paraId="09088E25" w14:textId="4681FC0F" w:rsidR="00327FEE" w:rsidRPr="00B57B36" w:rsidRDefault="006A69B8" w:rsidP="001B46D9">
            <w:pPr>
              <w:pStyle w:val="CETBodytext"/>
              <w:ind w:right="-1"/>
              <w:jc w:val="center"/>
              <w:rPr>
                <w:rFonts w:cs="Arial"/>
                <w:szCs w:val="18"/>
                <w:lang w:val="en-GB"/>
              </w:rPr>
            </w:pPr>
            <w:r>
              <w:rPr>
                <w:rFonts w:cs="Arial"/>
                <w:szCs w:val="18"/>
                <w:lang w:val="en-GB"/>
              </w:rPr>
              <w:t>10 €</w:t>
            </w:r>
          </w:p>
        </w:tc>
        <w:tc>
          <w:tcPr>
            <w:tcW w:w="2835" w:type="dxa"/>
            <w:tcBorders>
              <w:left w:val="single" w:sz="4" w:space="0" w:color="auto"/>
              <w:right w:val="single" w:sz="4" w:space="0" w:color="auto"/>
            </w:tcBorders>
            <w:shd w:val="clear" w:color="auto" w:fill="FFFFFF"/>
            <w:vAlign w:val="center"/>
          </w:tcPr>
          <w:p w14:paraId="3207E89E" w14:textId="49D62784" w:rsidR="00A840B2" w:rsidRPr="00A840B2" w:rsidRDefault="00E74522" w:rsidP="001B46D9">
            <w:pPr>
              <w:pStyle w:val="CETBodytext"/>
              <w:ind w:right="-1"/>
              <w:jc w:val="center"/>
              <w:rPr>
                <w:rFonts w:cs="Arial"/>
                <w:szCs w:val="18"/>
                <w:lang w:val="en-GB"/>
              </w:rPr>
            </w:pPr>
            <w:r>
              <w:rPr>
                <w:rFonts w:cs="Arial"/>
                <w:szCs w:val="18"/>
                <w:lang w:val="en-GB"/>
              </w:rPr>
              <w:t xml:space="preserve">VOC sensor. </w:t>
            </w:r>
            <w:r w:rsidR="00A840B2" w:rsidRPr="00A840B2">
              <w:rPr>
                <w:rFonts w:cs="Arial"/>
                <w:szCs w:val="18"/>
                <w:lang w:val="en-GB"/>
              </w:rPr>
              <w:t xml:space="preserve">On-chip </w:t>
            </w:r>
            <w:r w:rsidR="00A840B2">
              <w:rPr>
                <w:rFonts w:cs="Arial"/>
                <w:szCs w:val="18"/>
                <w:lang w:val="en-GB"/>
              </w:rPr>
              <w:t>RH</w:t>
            </w:r>
            <w:r w:rsidR="00A840B2" w:rsidRPr="00A840B2">
              <w:rPr>
                <w:rFonts w:cs="Arial"/>
                <w:szCs w:val="18"/>
                <w:lang w:val="en-GB"/>
              </w:rPr>
              <w:t xml:space="preserve"> compensation with current </w:t>
            </w:r>
            <w:r w:rsidR="00A840B2">
              <w:rPr>
                <w:rFonts w:cs="Arial"/>
                <w:szCs w:val="18"/>
                <w:lang w:val="en-GB"/>
              </w:rPr>
              <w:t>RH</w:t>
            </w:r>
            <w:r w:rsidR="00A840B2" w:rsidRPr="00A840B2">
              <w:rPr>
                <w:rFonts w:cs="Arial"/>
                <w:szCs w:val="18"/>
                <w:lang w:val="en-GB"/>
              </w:rPr>
              <w:t xml:space="preserve"> and </w:t>
            </w:r>
            <w:r w:rsidR="00A840B2">
              <w:rPr>
                <w:rFonts w:cs="Arial"/>
                <w:szCs w:val="18"/>
                <w:lang w:val="en-GB"/>
              </w:rPr>
              <w:t>T</w:t>
            </w:r>
            <w:r w:rsidR="00A840B2" w:rsidRPr="00A840B2">
              <w:rPr>
                <w:rFonts w:cs="Arial"/>
                <w:szCs w:val="18"/>
                <w:lang w:val="en-GB"/>
              </w:rPr>
              <w:t xml:space="preserve"> values (can be d</w:t>
            </w:r>
            <w:r w:rsidR="00D75369">
              <w:rPr>
                <w:rFonts w:cs="Arial"/>
                <w:szCs w:val="18"/>
                <w:lang w:val="en-GB"/>
              </w:rPr>
              <w:t>e</w:t>
            </w:r>
            <w:r w:rsidR="00A840B2" w:rsidRPr="00A840B2">
              <w:rPr>
                <w:rFonts w:cs="Arial"/>
                <w:szCs w:val="18"/>
                <w:lang w:val="en-GB"/>
              </w:rPr>
              <w:t>activated)</w:t>
            </w:r>
          </w:p>
          <w:p w14:paraId="19668E65" w14:textId="77777777" w:rsidR="00A840B2" w:rsidRPr="00A840B2" w:rsidRDefault="00A840B2" w:rsidP="001B46D9">
            <w:pPr>
              <w:pStyle w:val="CETBodytext"/>
              <w:ind w:right="-1"/>
              <w:jc w:val="center"/>
              <w:rPr>
                <w:rFonts w:cs="Arial"/>
                <w:szCs w:val="18"/>
                <w:lang w:val="en-GB"/>
              </w:rPr>
            </w:pPr>
            <w:r w:rsidRPr="00A840B2">
              <w:rPr>
                <w:rFonts w:cs="Arial"/>
                <w:szCs w:val="18"/>
                <w:lang w:val="en-GB"/>
              </w:rPr>
              <w:t>Operating ranges:</w:t>
            </w:r>
          </w:p>
          <w:p w14:paraId="0E71838C" w14:textId="5AA44785" w:rsidR="00A840B2" w:rsidRPr="00A840B2" w:rsidRDefault="00A840B2" w:rsidP="001B46D9">
            <w:pPr>
              <w:pStyle w:val="CETBodytext"/>
              <w:ind w:right="-1"/>
              <w:jc w:val="center"/>
              <w:rPr>
                <w:rFonts w:cs="Arial"/>
                <w:szCs w:val="18"/>
                <w:lang w:val="en-GB"/>
              </w:rPr>
            </w:pPr>
            <w:r w:rsidRPr="00A840B2">
              <w:rPr>
                <w:rFonts w:cs="Arial"/>
                <w:szCs w:val="18"/>
                <w:lang w:val="en-GB"/>
              </w:rPr>
              <w:t>T = -20 to 55°C</w:t>
            </w:r>
          </w:p>
          <w:p w14:paraId="2841E8A0" w14:textId="33D056F2" w:rsidR="00327FEE" w:rsidRPr="00B57B36" w:rsidRDefault="00A840B2" w:rsidP="001B46D9">
            <w:pPr>
              <w:pStyle w:val="CETBodytext"/>
              <w:ind w:right="-1"/>
              <w:jc w:val="center"/>
              <w:rPr>
                <w:rFonts w:cs="Arial"/>
                <w:szCs w:val="18"/>
                <w:lang w:val="en-GB"/>
              </w:rPr>
            </w:pPr>
            <w:r w:rsidRPr="00A840B2">
              <w:rPr>
                <w:rFonts w:cs="Arial"/>
                <w:szCs w:val="18"/>
                <w:lang w:val="en-GB"/>
              </w:rPr>
              <w:t>RH = 0 to 90%</w:t>
            </w:r>
          </w:p>
        </w:tc>
        <w:tc>
          <w:tcPr>
            <w:tcW w:w="1559" w:type="dxa"/>
            <w:tcBorders>
              <w:left w:val="single" w:sz="4" w:space="0" w:color="auto"/>
            </w:tcBorders>
            <w:shd w:val="clear" w:color="auto" w:fill="FFFFFF"/>
            <w:vAlign w:val="center"/>
          </w:tcPr>
          <w:p w14:paraId="097B0F72" w14:textId="77777777" w:rsidR="00327FEE" w:rsidRDefault="00E74522" w:rsidP="001B46D9">
            <w:pPr>
              <w:pStyle w:val="CETBodytext"/>
              <w:ind w:right="-1"/>
              <w:jc w:val="center"/>
              <w:rPr>
                <w:rFonts w:cs="Arial"/>
                <w:szCs w:val="18"/>
                <w:lang w:val="en-GB"/>
              </w:rPr>
            </w:pPr>
            <w:r>
              <w:rPr>
                <w:rFonts w:cs="Arial"/>
                <w:szCs w:val="18"/>
                <w:lang w:val="en-GB"/>
              </w:rPr>
              <w:t>Not specified.</w:t>
            </w:r>
          </w:p>
          <w:p w14:paraId="0CBB3ED6" w14:textId="18EF235A" w:rsidR="00E74522" w:rsidRPr="00B57B36" w:rsidRDefault="00E74522" w:rsidP="001B46D9">
            <w:pPr>
              <w:pStyle w:val="CETBodytext"/>
              <w:ind w:right="-1"/>
              <w:jc w:val="center"/>
              <w:rPr>
                <w:rFonts w:cs="Arial"/>
                <w:szCs w:val="18"/>
                <w:lang w:val="en-GB"/>
              </w:rPr>
            </w:pPr>
            <w:r>
              <w:rPr>
                <w:rFonts w:cs="Arial"/>
                <w:szCs w:val="18"/>
                <w:lang w:val="en-GB"/>
              </w:rPr>
              <w:t>Limit of detection to Ethanol: 50 ppb</w:t>
            </w:r>
          </w:p>
        </w:tc>
      </w:tr>
      <w:tr w:rsidR="00327FEE" w:rsidRPr="00B57B36" w14:paraId="0A32A43F" w14:textId="06663E09" w:rsidTr="001B46D9">
        <w:tc>
          <w:tcPr>
            <w:tcW w:w="1134" w:type="dxa"/>
            <w:tcBorders>
              <w:right w:val="single" w:sz="4" w:space="0" w:color="auto"/>
            </w:tcBorders>
            <w:shd w:val="clear" w:color="auto" w:fill="FFFFFF"/>
            <w:vAlign w:val="center"/>
          </w:tcPr>
          <w:p w14:paraId="486201A1" w14:textId="5D15A7E7" w:rsidR="00327FEE" w:rsidRPr="00B57B36" w:rsidRDefault="00327FEE" w:rsidP="001B46D9">
            <w:pPr>
              <w:pStyle w:val="CETBodytext"/>
              <w:jc w:val="center"/>
              <w:rPr>
                <w:lang w:val="en-GB"/>
              </w:rPr>
            </w:pPr>
            <w:r>
              <w:rPr>
                <w:lang w:val="en-GB"/>
              </w:rPr>
              <w:t>Digital MOX</w:t>
            </w:r>
          </w:p>
        </w:tc>
        <w:tc>
          <w:tcPr>
            <w:tcW w:w="1276" w:type="dxa"/>
            <w:tcBorders>
              <w:left w:val="single" w:sz="4" w:space="0" w:color="auto"/>
              <w:right w:val="single" w:sz="4" w:space="0" w:color="auto"/>
            </w:tcBorders>
            <w:shd w:val="clear" w:color="auto" w:fill="FFFFFF"/>
            <w:vAlign w:val="center"/>
          </w:tcPr>
          <w:p w14:paraId="72E56184" w14:textId="41DD3C2A" w:rsidR="00327FEE" w:rsidRPr="00B57B36" w:rsidRDefault="00121060" w:rsidP="001B46D9">
            <w:pPr>
              <w:pStyle w:val="CETBodytext"/>
              <w:jc w:val="center"/>
              <w:rPr>
                <w:lang w:val="en-GB"/>
              </w:rPr>
            </w:pPr>
            <w:r w:rsidRPr="00121060">
              <w:rPr>
                <w:lang w:val="en-GB"/>
              </w:rPr>
              <w:t xml:space="preserve">Bosch </w:t>
            </w:r>
            <w:proofErr w:type="spellStart"/>
            <w:r w:rsidRPr="00121060">
              <w:rPr>
                <w:lang w:val="en-GB"/>
              </w:rPr>
              <w:t>Sensortec</w:t>
            </w:r>
            <w:proofErr w:type="spellEnd"/>
            <w:r>
              <w:rPr>
                <w:lang w:val="en-GB"/>
              </w:rPr>
              <w:t>;</w:t>
            </w:r>
            <w:r w:rsidRPr="00121060">
              <w:rPr>
                <w:lang w:val="en-GB"/>
              </w:rPr>
              <w:t xml:space="preserve"> Reutlingen, Germany</w:t>
            </w:r>
          </w:p>
        </w:tc>
        <w:tc>
          <w:tcPr>
            <w:tcW w:w="1276" w:type="dxa"/>
            <w:tcBorders>
              <w:left w:val="single" w:sz="4" w:space="0" w:color="auto"/>
              <w:right w:val="single" w:sz="4" w:space="0" w:color="auto"/>
            </w:tcBorders>
            <w:shd w:val="clear" w:color="auto" w:fill="FFFFFF"/>
            <w:vAlign w:val="center"/>
          </w:tcPr>
          <w:p w14:paraId="64DAF199" w14:textId="0755083E" w:rsidR="00327FEE" w:rsidRPr="00B57B36" w:rsidRDefault="00327FEE" w:rsidP="001B46D9">
            <w:pPr>
              <w:pStyle w:val="CETBodytext"/>
              <w:jc w:val="center"/>
              <w:rPr>
                <w:lang w:val="en-GB"/>
              </w:rPr>
            </w:pPr>
            <w:r>
              <w:rPr>
                <w:lang w:val="en-GB"/>
              </w:rPr>
              <w:t>BME68</w:t>
            </w:r>
            <w:r w:rsidR="00543863">
              <w:rPr>
                <w:lang w:val="en-GB"/>
              </w:rPr>
              <w:t>8</w:t>
            </w:r>
          </w:p>
        </w:tc>
        <w:tc>
          <w:tcPr>
            <w:tcW w:w="992" w:type="dxa"/>
            <w:tcBorders>
              <w:left w:val="single" w:sz="4" w:space="0" w:color="auto"/>
              <w:right w:val="single" w:sz="4" w:space="0" w:color="auto"/>
            </w:tcBorders>
            <w:shd w:val="clear" w:color="auto" w:fill="FFFFFF"/>
            <w:vAlign w:val="center"/>
          </w:tcPr>
          <w:p w14:paraId="3E73631B" w14:textId="3A8D53DA" w:rsidR="00327FEE" w:rsidRPr="00B57B36" w:rsidRDefault="006A69B8" w:rsidP="001B46D9">
            <w:pPr>
              <w:pStyle w:val="CETBodytext"/>
              <w:ind w:right="-1"/>
              <w:jc w:val="center"/>
              <w:rPr>
                <w:rFonts w:cs="Arial"/>
                <w:szCs w:val="18"/>
                <w:lang w:val="en-GB"/>
              </w:rPr>
            </w:pPr>
            <w:r>
              <w:rPr>
                <w:rFonts w:cs="Arial"/>
                <w:szCs w:val="18"/>
                <w:lang w:val="en-GB"/>
              </w:rPr>
              <w:t>10 €</w:t>
            </w:r>
          </w:p>
        </w:tc>
        <w:tc>
          <w:tcPr>
            <w:tcW w:w="2835" w:type="dxa"/>
            <w:tcBorders>
              <w:left w:val="single" w:sz="4" w:space="0" w:color="auto"/>
              <w:right w:val="single" w:sz="4" w:space="0" w:color="auto"/>
            </w:tcBorders>
            <w:shd w:val="clear" w:color="auto" w:fill="FFFFFF"/>
            <w:vAlign w:val="center"/>
          </w:tcPr>
          <w:p w14:paraId="36641F35" w14:textId="77777777" w:rsidR="004019E1" w:rsidRPr="00D01579" w:rsidRDefault="004019E1" w:rsidP="001B46D9">
            <w:pPr>
              <w:jc w:val="center"/>
              <w:rPr>
                <w:color w:val="000000"/>
                <w:lang w:val="en-US"/>
              </w:rPr>
            </w:pPr>
            <w:r w:rsidRPr="00D01579">
              <w:rPr>
                <w:color w:val="000000"/>
                <w:lang w:val="en-US"/>
              </w:rPr>
              <w:t>Integrated T and RH sensors</w:t>
            </w:r>
          </w:p>
          <w:p w14:paraId="48F7781D" w14:textId="77777777" w:rsidR="004019E1" w:rsidRDefault="004019E1" w:rsidP="001B46D9">
            <w:pPr>
              <w:jc w:val="center"/>
              <w:rPr>
                <w:color w:val="000000"/>
                <w:lang w:val="en-US"/>
              </w:rPr>
            </w:pPr>
            <w:r>
              <w:rPr>
                <w:color w:val="000000"/>
                <w:lang w:val="en-US"/>
              </w:rPr>
              <w:t>Operating ranges:</w:t>
            </w:r>
          </w:p>
          <w:p w14:paraId="58C7CEB8" w14:textId="77777777" w:rsidR="004019E1" w:rsidRDefault="004019E1" w:rsidP="001B46D9">
            <w:pPr>
              <w:jc w:val="center"/>
              <w:rPr>
                <w:color w:val="000000"/>
                <w:lang w:val="en-US"/>
              </w:rPr>
            </w:pPr>
            <w:r>
              <w:rPr>
                <w:color w:val="000000"/>
                <w:lang w:val="en-US"/>
              </w:rPr>
              <w:t>T = -40 to 85°C</w:t>
            </w:r>
          </w:p>
          <w:p w14:paraId="6BADEB8E" w14:textId="04524F0D" w:rsidR="00327FEE" w:rsidRPr="00B57B36" w:rsidRDefault="004019E1" w:rsidP="001B46D9">
            <w:pPr>
              <w:pStyle w:val="CETBodytext"/>
              <w:ind w:right="-1"/>
              <w:jc w:val="center"/>
              <w:rPr>
                <w:rFonts w:cs="Arial"/>
                <w:szCs w:val="18"/>
                <w:lang w:val="en-GB"/>
              </w:rPr>
            </w:pPr>
            <w:r>
              <w:rPr>
                <w:color w:val="000000"/>
              </w:rPr>
              <w:t>RH = 10 to 95%</w:t>
            </w:r>
          </w:p>
        </w:tc>
        <w:tc>
          <w:tcPr>
            <w:tcW w:w="1559" w:type="dxa"/>
            <w:tcBorders>
              <w:left w:val="single" w:sz="4" w:space="0" w:color="auto"/>
            </w:tcBorders>
            <w:shd w:val="clear" w:color="auto" w:fill="FFFFFF"/>
            <w:vAlign w:val="center"/>
          </w:tcPr>
          <w:p w14:paraId="5C5624D7" w14:textId="77777777" w:rsidR="00327FEE" w:rsidRDefault="00F706F6" w:rsidP="001B46D9">
            <w:pPr>
              <w:pStyle w:val="CETBodytext"/>
              <w:ind w:right="-1"/>
              <w:jc w:val="center"/>
              <w:rPr>
                <w:rFonts w:cs="Arial"/>
                <w:szCs w:val="18"/>
                <w:lang w:val="en-GB"/>
              </w:rPr>
            </w:pPr>
            <w:r>
              <w:rPr>
                <w:rFonts w:cs="Arial"/>
                <w:szCs w:val="18"/>
                <w:lang w:val="en-GB"/>
              </w:rPr>
              <w:t>Not specified.</w:t>
            </w:r>
          </w:p>
          <w:p w14:paraId="1B668BC8" w14:textId="72A60678" w:rsidR="00F706F6" w:rsidRPr="00B57B36" w:rsidRDefault="00F706F6" w:rsidP="001B46D9">
            <w:pPr>
              <w:pStyle w:val="CETBodytext"/>
              <w:ind w:right="-1"/>
              <w:jc w:val="center"/>
              <w:rPr>
                <w:rFonts w:cs="Arial"/>
                <w:szCs w:val="18"/>
                <w:lang w:val="en-GB"/>
              </w:rPr>
            </w:pPr>
            <w:r>
              <w:rPr>
                <w:rFonts w:cs="Arial"/>
                <w:szCs w:val="18"/>
                <w:lang w:val="en-GB"/>
              </w:rPr>
              <w:t>Limits of detection to other compounds not specified.</w:t>
            </w:r>
          </w:p>
        </w:tc>
      </w:tr>
      <w:tr w:rsidR="00327FEE" w:rsidRPr="00B57B36" w14:paraId="10A0CC69" w14:textId="480D2716" w:rsidTr="001B46D9">
        <w:tc>
          <w:tcPr>
            <w:tcW w:w="1134" w:type="dxa"/>
            <w:tcBorders>
              <w:bottom w:val="single" w:sz="12" w:space="0" w:color="008000"/>
              <w:right w:val="single" w:sz="4" w:space="0" w:color="auto"/>
            </w:tcBorders>
            <w:shd w:val="clear" w:color="auto" w:fill="FFFFFF"/>
            <w:vAlign w:val="center"/>
          </w:tcPr>
          <w:p w14:paraId="64B53092" w14:textId="19BA646A" w:rsidR="00327FEE" w:rsidRPr="00B57B36" w:rsidRDefault="00327FEE" w:rsidP="001B46D9">
            <w:pPr>
              <w:pStyle w:val="CETBodytext"/>
              <w:ind w:right="-1"/>
              <w:jc w:val="center"/>
              <w:rPr>
                <w:rFonts w:cs="Arial"/>
                <w:szCs w:val="18"/>
                <w:lang w:val="en-GB"/>
              </w:rPr>
            </w:pPr>
            <w:r>
              <w:rPr>
                <w:rFonts w:cs="Arial"/>
                <w:szCs w:val="18"/>
                <w:lang w:val="en-GB"/>
              </w:rPr>
              <w:t>NDIR</w:t>
            </w:r>
          </w:p>
        </w:tc>
        <w:tc>
          <w:tcPr>
            <w:tcW w:w="1276" w:type="dxa"/>
            <w:tcBorders>
              <w:left w:val="single" w:sz="4" w:space="0" w:color="auto"/>
              <w:bottom w:val="single" w:sz="12" w:space="0" w:color="008000"/>
              <w:right w:val="single" w:sz="4" w:space="0" w:color="auto"/>
            </w:tcBorders>
            <w:shd w:val="clear" w:color="auto" w:fill="FFFFFF"/>
            <w:vAlign w:val="center"/>
          </w:tcPr>
          <w:p w14:paraId="16154209" w14:textId="5A3064C8" w:rsidR="00327FEE" w:rsidRPr="00B57B36" w:rsidRDefault="006621A7" w:rsidP="001B46D9">
            <w:pPr>
              <w:pStyle w:val="CETBodytext"/>
              <w:ind w:right="-1"/>
              <w:jc w:val="center"/>
              <w:rPr>
                <w:rFonts w:cs="Arial"/>
                <w:szCs w:val="18"/>
                <w:lang w:val="en-GB"/>
              </w:rPr>
            </w:pPr>
            <w:proofErr w:type="spellStart"/>
            <w:r w:rsidRPr="006621A7">
              <w:rPr>
                <w:rFonts w:cs="Arial"/>
                <w:szCs w:val="18"/>
                <w:lang w:val="en-GB"/>
              </w:rPr>
              <w:t>Winsen</w:t>
            </w:r>
            <w:proofErr w:type="spellEnd"/>
            <w:r w:rsidRPr="006621A7">
              <w:rPr>
                <w:rFonts w:cs="Arial"/>
                <w:szCs w:val="18"/>
                <w:lang w:val="en-GB"/>
              </w:rPr>
              <w:t xml:space="preserve"> Electronics Technology Co</w:t>
            </w:r>
            <w:r>
              <w:rPr>
                <w:rFonts w:cs="Arial"/>
                <w:szCs w:val="18"/>
                <w:lang w:val="en-GB"/>
              </w:rPr>
              <w:t>.;</w:t>
            </w:r>
            <w:r w:rsidRPr="006621A7">
              <w:rPr>
                <w:rFonts w:cs="Arial"/>
                <w:szCs w:val="18"/>
                <w:lang w:val="en-GB"/>
              </w:rPr>
              <w:t xml:space="preserve"> Zhengzhou, China</w:t>
            </w:r>
          </w:p>
        </w:tc>
        <w:tc>
          <w:tcPr>
            <w:tcW w:w="1276" w:type="dxa"/>
            <w:tcBorders>
              <w:left w:val="single" w:sz="4" w:space="0" w:color="auto"/>
              <w:bottom w:val="single" w:sz="12" w:space="0" w:color="008000"/>
              <w:right w:val="single" w:sz="4" w:space="0" w:color="auto"/>
            </w:tcBorders>
            <w:shd w:val="clear" w:color="auto" w:fill="FFFFFF"/>
            <w:vAlign w:val="center"/>
          </w:tcPr>
          <w:p w14:paraId="48930373" w14:textId="4B8E666A" w:rsidR="00327FEE" w:rsidRPr="00B57B36" w:rsidRDefault="00327FEE" w:rsidP="001B46D9">
            <w:pPr>
              <w:pStyle w:val="CETBodytext"/>
              <w:ind w:right="-1"/>
              <w:jc w:val="center"/>
              <w:rPr>
                <w:rFonts w:cs="Arial"/>
                <w:szCs w:val="18"/>
                <w:lang w:val="en-GB"/>
              </w:rPr>
            </w:pPr>
            <w:r>
              <w:rPr>
                <w:rFonts w:cs="Arial"/>
                <w:szCs w:val="18"/>
                <w:lang w:val="en-GB"/>
              </w:rPr>
              <w:t>MH-441D</w:t>
            </w:r>
          </w:p>
        </w:tc>
        <w:tc>
          <w:tcPr>
            <w:tcW w:w="992" w:type="dxa"/>
            <w:tcBorders>
              <w:left w:val="single" w:sz="4" w:space="0" w:color="auto"/>
              <w:bottom w:val="single" w:sz="12" w:space="0" w:color="008000"/>
              <w:right w:val="single" w:sz="4" w:space="0" w:color="auto"/>
            </w:tcBorders>
            <w:shd w:val="clear" w:color="auto" w:fill="FFFFFF"/>
            <w:vAlign w:val="center"/>
          </w:tcPr>
          <w:p w14:paraId="4AF824C0" w14:textId="77A72E72" w:rsidR="00327FEE" w:rsidRPr="00B57B36" w:rsidRDefault="006A69B8" w:rsidP="001B46D9">
            <w:pPr>
              <w:pStyle w:val="CETBodytext"/>
              <w:ind w:right="-1"/>
              <w:jc w:val="center"/>
              <w:rPr>
                <w:rFonts w:cs="Arial"/>
                <w:szCs w:val="18"/>
                <w:lang w:val="en-GB"/>
              </w:rPr>
            </w:pPr>
            <w:r>
              <w:rPr>
                <w:rFonts w:cs="Arial"/>
                <w:szCs w:val="18"/>
                <w:lang w:val="en-GB"/>
              </w:rPr>
              <w:t>90 €</w:t>
            </w:r>
          </w:p>
        </w:tc>
        <w:tc>
          <w:tcPr>
            <w:tcW w:w="2835" w:type="dxa"/>
            <w:tcBorders>
              <w:left w:val="single" w:sz="4" w:space="0" w:color="auto"/>
              <w:bottom w:val="single" w:sz="12" w:space="0" w:color="008000"/>
              <w:right w:val="single" w:sz="4" w:space="0" w:color="auto"/>
            </w:tcBorders>
            <w:shd w:val="clear" w:color="auto" w:fill="FFFFFF"/>
            <w:vAlign w:val="center"/>
          </w:tcPr>
          <w:p w14:paraId="79D97E79" w14:textId="77777777" w:rsidR="00327FEE" w:rsidRDefault="00671DC7" w:rsidP="001B46D9">
            <w:pPr>
              <w:pStyle w:val="CETBodytext"/>
              <w:ind w:right="-1"/>
              <w:jc w:val="center"/>
              <w:rPr>
                <w:rFonts w:cs="Arial"/>
                <w:szCs w:val="18"/>
                <w:lang w:val="en-GB"/>
              </w:rPr>
            </w:pPr>
            <w:r>
              <w:rPr>
                <w:rFonts w:cs="Arial"/>
                <w:szCs w:val="18"/>
                <w:lang w:val="en-GB"/>
              </w:rPr>
              <w:t>I</w:t>
            </w:r>
            <w:r w:rsidRPr="00671DC7">
              <w:rPr>
                <w:rFonts w:cs="Arial"/>
                <w:szCs w:val="18"/>
                <w:lang w:val="en-GB"/>
              </w:rPr>
              <w:t>ntelligent infrared gas sensor</w:t>
            </w:r>
            <w:r>
              <w:rPr>
                <w:rFonts w:cs="Arial"/>
                <w:szCs w:val="18"/>
                <w:lang w:val="en-GB"/>
              </w:rPr>
              <w:t xml:space="preserve"> to detect CH4 in air; it </w:t>
            </w:r>
            <w:r w:rsidRPr="00671DC7">
              <w:rPr>
                <w:rFonts w:cs="Arial"/>
                <w:szCs w:val="18"/>
                <w:lang w:val="en-GB"/>
              </w:rPr>
              <w:t>has the advantages of no oxygen dependence and good selectivity</w:t>
            </w:r>
            <w:r>
              <w:rPr>
                <w:rFonts w:cs="Arial"/>
                <w:szCs w:val="18"/>
                <w:lang w:val="en-GB"/>
              </w:rPr>
              <w:t>.</w:t>
            </w:r>
          </w:p>
          <w:p w14:paraId="27D5E696" w14:textId="77777777" w:rsidR="00671DC7" w:rsidRPr="00A840B2" w:rsidRDefault="00671DC7" w:rsidP="001B46D9">
            <w:pPr>
              <w:pStyle w:val="CETBodytext"/>
              <w:ind w:right="-1"/>
              <w:jc w:val="center"/>
              <w:rPr>
                <w:rFonts w:cs="Arial"/>
                <w:szCs w:val="18"/>
                <w:lang w:val="en-GB"/>
              </w:rPr>
            </w:pPr>
            <w:r w:rsidRPr="00A840B2">
              <w:rPr>
                <w:rFonts w:cs="Arial"/>
                <w:szCs w:val="18"/>
                <w:lang w:val="en-GB"/>
              </w:rPr>
              <w:t>Operating ranges:</w:t>
            </w:r>
          </w:p>
          <w:p w14:paraId="53FBE16E" w14:textId="1F7702F8" w:rsidR="00671DC7" w:rsidRPr="00A840B2" w:rsidRDefault="00671DC7" w:rsidP="001B46D9">
            <w:pPr>
              <w:pStyle w:val="CETBodytext"/>
              <w:ind w:right="-1"/>
              <w:jc w:val="center"/>
              <w:rPr>
                <w:rFonts w:cs="Arial"/>
                <w:szCs w:val="18"/>
                <w:lang w:val="en-GB"/>
              </w:rPr>
            </w:pPr>
            <w:r w:rsidRPr="00A840B2">
              <w:rPr>
                <w:rFonts w:cs="Arial"/>
                <w:szCs w:val="18"/>
                <w:lang w:val="en-GB"/>
              </w:rPr>
              <w:t xml:space="preserve">T = -20 to </w:t>
            </w:r>
            <w:r>
              <w:rPr>
                <w:rFonts w:cs="Arial"/>
                <w:szCs w:val="18"/>
                <w:lang w:val="en-GB"/>
              </w:rPr>
              <w:t>60</w:t>
            </w:r>
            <w:r w:rsidRPr="00A840B2">
              <w:rPr>
                <w:rFonts w:cs="Arial"/>
                <w:szCs w:val="18"/>
                <w:lang w:val="en-GB"/>
              </w:rPr>
              <w:t>°C</w:t>
            </w:r>
          </w:p>
          <w:p w14:paraId="2CA6A8A7" w14:textId="7760045F" w:rsidR="00671DC7" w:rsidRPr="00B57B36" w:rsidRDefault="00671DC7" w:rsidP="001B46D9">
            <w:pPr>
              <w:pStyle w:val="CETBodytext"/>
              <w:ind w:right="-1"/>
              <w:jc w:val="center"/>
              <w:rPr>
                <w:rFonts w:cs="Arial"/>
                <w:szCs w:val="18"/>
                <w:lang w:val="en-GB"/>
              </w:rPr>
            </w:pPr>
            <w:r w:rsidRPr="00A840B2">
              <w:rPr>
                <w:rFonts w:cs="Arial"/>
                <w:szCs w:val="18"/>
                <w:lang w:val="en-GB"/>
              </w:rPr>
              <w:t>RH = 0 to 9</w:t>
            </w:r>
            <w:r>
              <w:rPr>
                <w:rFonts w:cs="Arial"/>
                <w:szCs w:val="18"/>
                <w:lang w:val="en-GB"/>
              </w:rPr>
              <w:t>5</w:t>
            </w:r>
            <w:r w:rsidRPr="00A840B2">
              <w:rPr>
                <w:rFonts w:cs="Arial"/>
                <w:szCs w:val="18"/>
                <w:lang w:val="en-GB"/>
              </w:rPr>
              <w:t>%</w:t>
            </w:r>
            <w:r>
              <w:rPr>
                <w:rFonts w:cs="Arial"/>
                <w:szCs w:val="18"/>
                <w:lang w:val="en-GB"/>
              </w:rPr>
              <w:t xml:space="preserve"> (no condensation)</w:t>
            </w:r>
          </w:p>
        </w:tc>
        <w:tc>
          <w:tcPr>
            <w:tcW w:w="1559" w:type="dxa"/>
            <w:tcBorders>
              <w:left w:val="single" w:sz="4" w:space="0" w:color="auto"/>
              <w:bottom w:val="single" w:sz="12" w:space="0" w:color="008000"/>
            </w:tcBorders>
            <w:shd w:val="clear" w:color="auto" w:fill="FFFFFF"/>
            <w:vAlign w:val="center"/>
          </w:tcPr>
          <w:p w14:paraId="3BA15002" w14:textId="3118E02D" w:rsidR="00327FEE" w:rsidRPr="00B57B36" w:rsidRDefault="00592D7C" w:rsidP="001B46D9">
            <w:pPr>
              <w:pStyle w:val="CETBodytext"/>
              <w:ind w:right="-1"/>
              <w:jc w:val="center"/>
              <w:rPr>
                <w:rFonts w:cs="Arial"/>
                <w:szCs w:val="18"/>
                <w:lang w:val="en-GB"/>
              </w:rPr>
            </w:pPr>
            <w:r>
              <w:rPr>
                <w:rFonts w:cs="Arial"/>
                <w:szCs w:val="18"/>
                <w:lang w:val="en-GB"/>
              </w:rPr>
              <w:t>100-100,000 ppm</w:t>
            </w:r>
          </w:p>
        </w:tc>
      </w:tr>
    </w:tbl>
    <w:p w14:paraId="51CA5F3F" w14:textId="77777777" w:rsidR="00CA2F9B" w:rsidRDefault="00CA2F9B" w:rsidP="00327FEE">
      <w:pPr>
        <w:pStyle w:val="CETBodytext"/>
        <w:jc w:val="left"/>
        <w:rPr>
          <w:lang w:val="en-GB"/>
        </w:rPr>
      </w:pPr>
    </w:p>
    <w:p w14:paraId="212C5078" w14:textId="703DDB79" w:rsidR="003D55BB" w:rsidRDefault="00403077" w:rsidP="003D55BB">
      <w:pPr>
        <w:pStyle w:val="CETHeading1"/>
      </w:pPr>
      <w:r>
        <w:lastRenderedPageBreak/>
        <w:t>Laboratory tests for preliminary sensors’ screening</w:t>
      </w:r>
    </w:p>
    <w:p w14:paraId="57E5A297" w14:textId="47474B7F" w:rsidR="00403077" w:rsidRPr="00B57B36" w:rsidRDefault="00403077" w:rsidP="00403077">
      <w:pPr>
        <w:pStyle w:val="CETheadingx"/>
      </w:pPr>
      <w:r>
        <w:t>Objectives</w:t>
      </w:r>
    </w:p>
    <w:p w14:paraId="2399D215" w14:textId="0DA65A64" w:rsidR="00007351" w:rsidRPr="00007351" w:rsidRDefault="00403077" w:rsidP="00600535">
      <w:pPr>
        <w:pStyle w:val="CETBodytext"/>
        <w:rPr>
          <w:lang w:val="en-GB"/>
        </w:rPr>
      </w:pPr>
      <w:r>
        <w:t>After selection of a first set of sensors based on their characteristics of sensitivity to CH</w:t>
      </w:r>
      <w:r w:rsidR="00311170" w:rsidRPr="00311170">
        <w:rPr>
          <w:vertAlign w:val="subscript"/>
        </w:rPr>
        <w:t>4</w:t>
      </w:r>
      <w:r>
        <w:t xml:space="preserve"> and cost retrieved in the scientific literature and technical documentation</w:t>
      </w:r>
      <w:r w:rsidR="00311170">
        <w:t>, as described in the previous paragraph, we decided to carry out some preliminary tests in the lab to experimentally assess their response to CH</w:t>
      </w:r>
      <w:r w:rsidR="00311170" w:rsidRPr="00311170">
        <w:rPr>
          <w:vertAlign w:val="subscript"/>
        </w:rPr>
        <w:t>4</w:t>
      </w:r>
      <w:r w:rsidR="00311170">
        <w:t xml:space="preserve"> under controlled conditions. Since</w:t>
      </w:r>
      <w:r w:rsidR="00007351">
        <w:t xml:space="preserve"> </w:t>
      </w:r>
      <w:r w:rsidR="00311170">
        <w:t>the other main component of landfill gas is</w:t>
      </w:r>
      <w:r w:rsidR="00311170" w:rsidRPr="004E17B1">
        <w:rPr>
          <w:lang w:val="en-GB"/>
        </w:rPr>
        <w:t xml:space="preserve"> </w:t>
      </w:r>
      <w:r w:rsidR="00311170">
        <w:rPr>
          <w:lang w:val="en-GB"/>
        </w:rPr>
        <w:t>CO</w:t>
      </w:r>
      <w:r w:rsidR="00311170" w:rsidRPr="004E17B1">
        <w:rPr>
          <w:vertAlign w:val="subscript"/>
          <w:lang w:val="en-GB"/>
        </w:rPr>
        <w:t>2</w:t>
      </w:r>
      <w:r w:rsidR="00007351">
        <w:rPr>
          <w:lang w:val="en-GB"/>
        </w:rPr>
        <w:t>, which is typically present in comparable concentrations as CH</w:t>
      </w:r>
      <w:r w:rsidR="00007351" w:rsidRPr="004E17B1">
        <w:rPr>
          <w:vertAlign w:val="subscript"/>
          <w:lang w:val="en-GB"/>
        </w:rPr>
        <w:t>4</w:t>
      </w:r>
      <w:r w:rsidR="00D54BA5">
        <w:rPr>
          <w:lang w:val="en-GB"/>
        </w:rPr>
        <w:t xml:space="preserve"> (</w:t>
      </w:r>
      <w:proofErr w:type="spellStart"/>
      <w:r w:rsidR="00D54BA5">
        <w:rPr>
          <w:lang w:val="en-GB"/>
        </w:rPr>
        <w:t>Aghdam</w:t>
      </w:r>
      <w:proofErr w:type="spellEnd"/>
      <w:r w:rsidR="00D54BA5">
        <w:rPr>
          <w:lang w:val="en-GB"/>
        </w:rPr>
        <w:t xml:space="preserve"> et al., 2019; IPCC, 2013; </w:t>
      </w:r>
      <w:proofErr w:type="spellStart"/>
      <w:r w:rsidR="00D54BA5">
        <w:rPr>
          <w:lang w:val="en-GB"/>
        </w:rPr>
        <w:t>Lucernoni</w:t>
      </w:r>
      <w:proofErr w:type="spellEnd"/>
      <w:r w:rsidR="00D54BA5">
        <w:rPr>
          <w:lang w:val="en-GB"/>
        </w:rPr>
        <w:t xml:space="preserve"> et al., 2016)</w:t>
      </w:r>
      <w:r w:rsidR="00007351">
        <w:rPr>
          <w:lang w:val="en-GB"/>
        </w:rPr>
        <w:t>, we decided to include also CO</w:t>
      </w:r>
      <w:r w:rsidR="00007351" w:rsidRPr="004E17B1">
        <w:rPr>
          <w:vertAlign w:val="subscript"/>
          <w:lang w:val="en-GB"/>
        </w:rPr>
        <w:t>2</w:t>
      </w:r>
      <w:r w:rsidR="00007351">
        <w:rPr>
          <w:lang w:val="en-GB"/>
        </w:rPr>
        <w:t xml:space="preserve"> in this preliminary testing phase.</w:t>
      </w:r>
    </w:p>
    <w:p w14:paraId="7128CD40" w14:textId="6DDE0FE8" w:rsidR="00007351" w:rsidRPr="00B57B36" w:rsidRDefault="00007351" w:rsidP="00007351">
      <w:pPr>
        <w:pStyle w:val="CETheadingx"/>
      </w:pPr>
      <w:r>
        <w:t>Hardware</w:t>
      </w:r>
    </w:p>
    <w:p w14:paraId="44C5429B" w14:textId="20BEF108" w:rsidR="00403077" w:rsidRDefault="00AA2CF5" w:rsidP="00600535">
      <w:pPr>
        <w:pStyle w:val="CETBodytext"/>
      </w:pPr>
      <w:r>
        <w:t xml:space="preserve">The 6 sensors selected (Table 1) were </w:t>
      </w:r>
      <w:r w:rsidRPr="00AA2CF5">
        <w:t>hosted in a custom-made 3D-printed parallelepipedal case together with a fan</w:t>
      </w:r>
      <w:r>
        <w:t xml:space="preserve">, which has the function of </w:t>
      </w:r>
      <w:r w:rsidRPr="00AA2CF5">
        <w:t>improving gas homogeneity</w:t>
      </w:r>
      <w:r>
        <w:t xml:space="preserve"> within the case (Figure 1).</w:t>
      </w:r>
      <w:r w:rsidR="005F4BF8">
        <w:t xml:space="preserve"> A microcontroller (NUCLEO FE411RE</w:t>
      </w:r>
      <w:r w:rsidR="00C157E0">
        <w:t xml:space="preserve"> by </w:t>
      </w:r>
      <w:r w:rsidR="005F4BF8">
        <w:t>ST Microelectronics</w:t>
      </w:r>
      <w:r w:rsidR="00C157E0">
        <w:t>, Italy</w:t>
      </w:r>
      <w:r w:rsidR="005F4BF8">
        <w:t xml:space="preserve">) was used to acquire the sensors synchronously and a </w:t>
      </w:r>
      <w:proofErr w:type="spellStart"/>
      <w:r w:rsidR="005F4BF8">
        <w:t>Labview</w:t>
      </w:r>
      <w:proofErr w:type="spellEnd"/>
      <w:r w:rsidR="005F4BF8">
        <w:t xml:space="preserve"> interface was developed to acquire and visualize data in real time.</w:t>
      </w:r>
    </w:p>
    <w:p w14:paraId="29F54F41" w14:textId="14FC9001" w:rsidR="00AA2CF5" w:rsidRPr="008A27D9" w:rsidRDefault="0061225A" w:rsidP="00DB3C13">
      <w:pPr>
        <w:pStyle w:val="CETCaption"/>
        <w:jc w:val="left"/>
        <w:rPr>
          <w:lang w:val="en-US"/>
        </w:rPr>
      </w:pPr>
      <w:r>
        <w:rPr>
          <w:noProof/>
          <w:lang w:val="en-US"/>
        </w:rPr>
        <w:drawing>
          <wp:inline distT="0" distB="0" distL="0" distR="0" wp14:anchorId="382D2BCA" wp14:editId="59B918C1">
            <wp:extent cx="1896924" cy="2751767"/>
            <wp:effectExtent l="0" t="8255"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rotWithShape="1">
                    <a:blip r:embed="rId10"/>
                    <a:srcRect r="8087"/>
                    <a:stretch/>
                  </pic:blipFill>
                  <pic:spPr bwMode="auto">
                    <a:xfrm rot="16200000">
                      <a:off x="0" y="0"/>
                      <a:ext cx="1923534" cy="2790369"/>
                    </a:xfrm>
                    <a:prstGeom prst="rect">
                      <a:avLst/>
                    </a:prstGeom>
                    <a:ln>
                      <a:noFill/>
                    </a:ln>
                    <a:extLst>
                      <a:ext uri="{53640926-AAD7-44D8-BBD7-CCE9431645EC}">
                        <a14:shadowObscured xmlns:a14="http://schemas.microsoft.com/office/drawing/2010/main"/>
                      </a:ext>
                    </a:extLst>
                  </pic:spPr>
                </pic:pic>
              </a:graphicData>
            </a:graphic>
          </wp:inline>
        </w:drawing>
      </w:r>
    </w:p>
    <w:p w14:paraId="3FF00295" w14:textId="4DAE4F70" w:rsidR="00403077" w:rsidRPr="003D55BB" w:rsidRDefault="00AA2CF5" w:rsidP="00AA2CF5">
      <w:pPr>
        <w:pStyle w:val="CETCaption"/>
      </w:pPr>
      <w:r>
        <w:t xml:space="preserve">Figure 1. </w:t>
      </w:r>
      <w:r w:rsidR="008958B8">
        <w:t xml:space="preserve">Custom-made sensor chamber for the preliminary laboratory tests with </w:t>
      </w:r>
      <w:r w:rsidR="004011BA">
        <w:t>CH</w:t>
      </w:r>
      <w:r w:rsidR="004011BA" w:rsidRPr="004011BA">
        <w:rPr>
          <w:vertAlign w:val="subscript"/>
        </w:rPr>
        <w:t>4</w:t>
      </w:r>
      <w:r w:rsidR="004011BA">
        <w:t xml:space="preserve"> and CO</w:t>
      </w:r>
      <w:r w:rsidR="004011BA" w:rsidRPr="004011BA">
        <w:rPr>
          <w:vertAlign w:val="subscript"/>
        </w:rPr>
        <w:t>2</w:t>
      </w:r>
    </w:p>
    <w:p w14:paraId="6D4332EB" w14:textId="63F83224" w:rsidR="00380F6C" w:rsidRDefault="00C958B7" w:rsidP="00600535">
      <w:pPr>
        <w:pStyle w:val="CETBodytext"/>
        <w:rPr>
          <w:lang w:val="en-GB"/>
        </w:rPr>
      </w:pPr>
      <w:r>
        <w:rPr>
          <w:lang w:val="en-GB"/>
        </w:rPr>
        <w:t>We also realized a dedicated sample delivery system enabling the alternate injection</w:t>
      </w:r>
      <w:r w:rsidR="00290AA0">
        <w:rPr>
          <w:lang w:val="en-GB"/>
        </w:rPr>
        <w:t xml:space="preserve"> into the sensor chamber</w:t>
      </w:r>
      <w:r>
        <w:rPr>
          <w:lang w:val="en-GB"/>
        </w:rPr>
        <w:t xml:space="preserve"> of </w:t>
      </w:r>
      <w:r w:rsidR="00290AA0">
        <w:rPr>
          <w:lang w:val="en-GB"/>
        </w:rPr>
        <w:t xml:space="preserve">the </w:t>
      </w:r>
      <w:r>
        <w:rPr>
          <w:lang w:val="en-GB"/>
        </w:rPr>
        <w:t>target gas sample and air at a controlled humidity level,</w:t>
      </w:r>
      <w:r w:rsidR="00290AA0">
        <w:rPr>
          <w:lang w:val="en-GB"/>
        </w:rPr>
        <w:t xml:space="preserve"> avoiding any contact of the target gas samples with mechanical parts or pumps. The system consists </w:t>
      </w:r>
      <w:r w:rsidR="00290AA0" w:rsidRPr="008A27D9">
        <w:rPr>
          <w:lang w:val="en-GB"/>
        </w:rPr>
        <w:t xml:space="preserve">of a sealed cylinder and an </w:t>
      </w:r>
      <w:proofErr w:type="spellStart"/>
      <w:r w:rsidR="00290AA0" w:rsidRPr="008A27D9">
        <w:rPr>
          <w:lang w:val="en-GB"/>
        </w:rPr>
        <w:t>air</w:t>
      </w:r>
      <w:r w:rsidR="00290AA0">
        <w:rPr>
          <w:lang w:val="en-GB"/>
        </w:rPr>
        <w:t xml:space="preserve"> </w:t>
      </w:r>
      <w:r w:rsidR="00290AA0" w:rsidRPr="008A27D9">
        <w:rPr>
          <w:lang w:val="en-GB"/>
        </w:rPr>
        <w:t>line</w:t>
      </w:r>
      <w:proofErr w:type="spellEnd"/>
      <w:r w:rsidR="00290AA0" w:rsidRPr="008A27D9">
        <w:rPr>
          <w:lang w:val="en-GB"/>
        </w:rPr>
        <w:t xml:space="preserve"> </w:t>
      </w:r>
      <w:r w:rsidR="00290AA0">
        <w:rPr>
          <w:lang w:val="en-GB"/>
        </w:rPr>
        <w:t xml:space="preserve">(Figure 2). </w:t>
      </w:r>
      <w:r w:rsidR="008A27D9" w:rsidRPr="008A27D9">
        <w:rPr>
          <w:lang w:val="en-GB"/>
        </w:rPr>
        <w:t xml:space="preserve">The cylinder contains the target sample, which </w:t>
      </w:r>
      <w:r w:rsidR="00290AA0">
        <w:rPr>
          <w:lang w:val="en-GB"/>
        </w:rPr>
        <w:t>is</w:t>
      </w:r>
      <w:r w:rsidR="008A27D9" w:rsidRPr="008A27D9">
        <w:rPr>
          <w:lang w:val="en-GB"/>
        </w:rPr>
        <w:t xml:space="preserve"> stored in </w:t>
      </w:r>
      <w:r w:rsidR="00290AA0">
        <w:rPr>
          <w:lang w:val="en-GB"/>
        </w:rPr>
        <w:t xml:space="preserve">a </w:t>
      </w:r>
      <w:proofErr w:type="spellStart"/>
      <w:r w:rsidR="008A27D9" w:rsidRPr="008A27D9">
        <w:rPr>
          <w:lang w:val="en-GB"/>
        </w:rPr>
        <w:t>Nalophan</w:t>
      </w:r>
      <w:r w:rsidR="008A27D9" w:rsidRPr="00290AA0">
        <w:rPr>
          <w:vertAlign w:val="superscript"/>
          <w:lang w:val="en-GB"/>
        </w:rPr>
        <w:t>TM</w:t>
      </w:r>
      <w:proofErr w:type="spellEnd"/>
      <w:r w:rsidR="008A27D9" w:rsidRPr="008A27D9">
        <w:rPr>
          <w:lang w:val="en-GB"/>
        </w:rPr>
        <w:t xml:space="preserve"> bag. Compressed air </w:t>
      </w:r>
      <w:r w:rsidR="00290AA0">
        <w:rPr>
          <w:lang w:val="en-GB"/>
        </w:rPr>
        <w:t>is</w:t>
      </w:r>
      <w:r w:rsidR="008A27D9" w:rsidRPr="008A27D9">
        <w:rPr>
          <w:lang w:val="en-GB"/>
        </w:rPr>
        <w:t xml:space="preserve"> injected to pressurize the cylinder (in red in </w:t>
      </w:r>
      <w:r w:rsidR="00290AA0">
        <w:rPr>
          <w:lang w:val="en-GB"/>
        </w:rPr>
        <w:t>Figure 2</w:t>
      </w:r>
      <w:r w:rsidR="008A27D9" w:rsidRPr="008A27D9">
        <w:rPr>
          <w:lang w:val="en-GB"/>
        </w:rPr>
        <w:t xml:space="preserve">) by opening valve V1, allowing for the release of the sample into the chamber. Before and </w:t>
      </w:r>
      <w:r w:rsidR="00290AA0">
        <w:rPr>
          <w:lang w:val="en-GB"/>
        </w:rPr>
        <w:t>after</w:t>
      </w:r>
      <w:r w:rsidR="008A27D9" w:rsidRPr="008A27D9">
        <w:rPr>
          <w:lang w:val="en-GB"/>
        </w:rPr>
        <w:t xml:space="preserve"> every injection of the sample, air is </w:t>
      </w:r>
      <w:r w:rsidR="00290AA0">
        <w:rPr>
          <w:lang w:val="en-GB"/>
        </w:rPr>
        <w:t>injected</w:t>
      </w:r>
      <w:r w:rsidR="008A27D9" w:rsidRPr="008A27D9">
        <w:rPr>
          <w:lang w:val="en-GB"/>
        </w:rPr>
        <w:t xml:space="preserve"> into the sensor chamber </w:t>
      </w:r>
      <w:r w:rsidR="00290AA0">
        <w:rPr>
          <w:lang w:val="en-GB"/>
        </w:rPr>
        <w:t xml:space="preserve">from the air line </w:t>
      </w:r>
      <w:r w:rsidR="00290AA0" w:rsidRPr="008A27D9">
        <w:rPr>
          <w:lang w:val="en-GB"/>
        </w:rPr>
        <w:t>in parallel with the cylinder</w:t>
      </w:r>
      <w:r w:rsidR="008A27D9" w:rsidRPr="008A27D9">
        <w:rPr>
          <w:lang w:val="en-GB"/>
        </w:rPr>
        <w:t xml:space="preserve">. The air from the air line can be deviated to a humidifier, thus ensuring that it is injected into the chamber at </w:t>
      </w:r>
      <w:r w:rsidR="00290AA0">
        <w:rPr>
          <w:lang w:val="en-GB"/>
        </w:rPr>
        <w:t xml:space="preserve">a constant value of </w:t>
      </w:r>
      <w:r w:rsidR="008A27D9" w:rsidRPr="008A27D9">
        <w:rPr>
          <w:lang w:val="en-GB"/>
        </w:rPr>
        <w:t>the relative humidity</w:t>
      </w:r>
      <w:r w:rsidR="00290AA0">
        <w:rPr>
          <w:lang w:val="en-GB"/>
        </w:rPr>
        <w:t>, equal to those of the target sample.</w:t>
      </w:r>
    </w:p>
    <w:p w14:paraId="56B99EF1" w14:textId="4139D147" w:rsidR="00380F6C" w:rsidRDefault="00F551E4" w:rsidP="00DB3C13">
      <w:pPr>
        <w:pStyle w:val="CETCaption"/>
        <w:jc w:val="left"/>
      </w:pPr>
      <w:r>
        <w:rPr>
          <w:noProof/>
        </w:rPr>
        <w:drawing>
          <wp:inline distT="0" distB="0" distL="0" distR="0" wp14:anchorId="621E739F" wp14:editId="2E6B4679">
            <wp:extent cx="5041424" cy="1356107"/>
            <wp:effectExtent l="0" t="0" r="6985" b="0"/>
            <wp:docPr id="86673322" name="Immagine 86673322" descr="Immagine che contiene diagramma, testo, line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3322" name="Immagine 86673322" descr="Immagine che contiene diagramma, testo, linea, schermata&#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6766" cy="1381753"/>
                    </a:xfrm>
                    <a:prstGeom prst="rect">
                      <a:avLst/>
                    </a:prstGeom>
                    <a:noFill/>
                    <a:ln>
                      <a:noFill/>
                    </a:ln>
                  </pic:spPr>
                </pic:pic>
              </a:graphicData>
            </a:graphic>
          </wp:inline>
        </w:drawing>
      </w:r>
    </w:p>
    <w:p w14:paraId="44A93884" w14:textId="12D7E8A7" w:rsidR="00B53B8F" w:rsidRPr="003D55BB" w:rsidRDefault="00B53B8F" w:rsidP="00B53B8F">
      <w:pPr>
        <w:pStyle w:val="CETCaption"/>
      </w:pPr>
      <w:r>
        <w:t>Figure 2. Sampling delivery system for the alternate injection of sample and air at controlled humidity</w:t>
      </w:r>
    </w:p>
    <w:p w14:paraId="5C7208A1" w14:textId="72384FBA" w:rsidR="00B53B8F" w:rsidRPr="00B57B36" w:rsidRDefault="00B53B8F" w:rsidP="00B53B8F">
      <w:pPr>
        <w:pStyle w:val="CETheadingx"/>
      </w:pPr>
      <w:r>
        <w:t xml:space="preserve">Tests with </w:t>
      </w:r>
      <w:r w:rsidR="00EC46D8">
        <w:t>CH</w:t>
      </w:r>
      <w:r w:rsidR="00EC46D8" w:rsidRPr="00EC46D8">
        <w:rPr>
          <w:vertAlign w:val="subscript"/>
        </w:rPr>
        <w:t>4</w:t>
      </w:r>
      <w:r w:rsidR="00EC46D8">
        <w:t xml:space="preserve"> and CO</w:t>
      </w:r>
      <w:r w:rsidR="00EC46D8" w:rsidRPr="00EC46D8">
        <w:rPr>
          <w:vertAlign w:val="subscript"/>
        </w:rPr>
        <w:t>2</w:t>
      </w:r>
    </w:p>
    <w:p w14:paraId="6A89D5C4" w14:textId="4F49805D" w:rsidR="00CA695D" w:rsidRDefault="00003D0F" w:rsidP="00600535">
      <w:pPr>
        <w:pStyle w:val="CETBodytext"/>
        <w:rPr>
          <w:lang w:val="en-GB"/>
        </w:rPr>
      </w:pPr>
      <w:r>
        <w:rPr>
          <w:lang w:val="en-GB"/>
        </w:rPr>
        <w:t xml:space="preserve">Tests were carried out with </w:t>
      </w:r>
      <w:r w:rsidR="004A34C5">
        <w:rPr>
          <w:lang w:val="en-GB"/>
        </w:rPr>
        <w:t xml:space="preserve">five </w:t>
      </w:r>
      <w:r>
        <w:rPr>
          <w:lang w:val="en-GB"/>
        </w:rPr>
        <w:t>different concentrations (</w:t>
      </w:r>
      <w:r w:rsidR="00015675">
        <w:rPr>
          <w:lang w:val="en-GB"/>
        </w:rPr>
        <w:t>i.e.,</w:t>
      </w:r>
      <w:r>
        <w:rPr>
          <w:lang w:val="en-GB"/>
        </w:rPr>
        <w:t xml:space="preserve"> 10, 100, 1,000 and 10,000 ppm) of </w:t>
      </w:r>
      <w:r w:rsidR="005C4E42">
        <w:t>CH</w:t>
      </w:r>
      <w:r w:rsidR="005C4E42" w:rsidRPr="004011BA">
        <w:rPr>
          <w:vertAlign w:val="subscript"/>
        </w:rPr>
        <w:t>4</w:t>
      </w:r>
      <w:r w:rsidR="005C4E42">
        <w:t xml:space="preserve"> and CO</w:t>
      </w:r>
      <w:r w:rsidR="005C4E42" w:rsidRPr="004011BA">
        <w:rPr>
          <w:vertAlign w:val="subscript"/>
        </w:rPr>
        <w:t>2</w:t>
      </w:r>
      <w:r w:rsidR="005C4E42">
        <w:t xml:space="preserve">, respectively. </w:t>
      </w:r>
      <w:r w:rsidRPr="00003D0F">
        <w:rPr>
          <w:lang w:val="en-GB"/>
        </w:rPr>
        <w:t xml:space="preserve">Tests were conducted over several days while maintaining the </w:t>
      </w:r>
      <w:r w:rsidR="00FB30FF">
        <w:rPr>
          <w:lang w:val="en-GB"/>
        </w:rPr>
        <w:t>absolute</w:t>
      </w:r>
      <w:r w:rsidRPr="00003D0F">
        <w:rPr>
          <w:lang w:val="en-GB"/>
        </w:rPr>
        <w:t xml:space="preserve"> humidity of the samples at a constant value (</w:t>
      </w:r>
      <w:r w:rsidR="008676B0">
        <w:rPr>
          <w:lang w:val="en-GB"/>
        </w:rPr>
        <w:t>10 g/m</w:t>
      </w:r>
      <w:r w:rsidR="008676B0" w:rsidRPr="008676B0">
        <w:rPr>
          <w:vertAlign w:val="superscript"/>
          <w:lang w:val="en-GB"/>
        </w:rPr>
        <w:t>3</w:t>
      </w:r>
      <w:r w:rsidRPr="00003D0F">
        <w:rPr>
          <w:lang w:val="en-GB"/>
        </w:rPr>
        <w:t xml:space="preserve"> </w:t>
      </w:r>
      <w:r w:rsidR="00D450FD">
        <w:rPr>
          <w:lang w:val="en-GB"/>
        </w:rPr>
        <w:t>A</w:t>
      </w:r>
      <w:r w:rsidRPr="00003D0F">
        <w:rPr>
          <w:lang w:val="en-GB"/>
        </w:rPr>
        <w:t>H), to have consistency in the testing conditions.</w:t>
      </w:r>
    </w:p>
    <w:p w14:paraId="0B5F791A" w14:textId="0A158DCF" w:rsidR="00F551E4" w:rsidRDefault="009351F6" w:rsidP="00600535">
      <w:pPr>
        <w:pStyle w:val="CETBodytext"/>
      </w:pPr>
      <w:r>
        <w:rPr>
          <w:lang w:val="en-GB"/>
        </w:rPr>
        <w:lastRenderedPageBreak/>
        <w:t xml:space="preserve">As an example, Figure 3 </w:t>
      </w:r>
      <w:r w:rsidR="005F4BF8">
        <w:rPr>
          <w:lang w:val="en-GB"/>
        </w:rPr>
        <w:t>shows some</w:t>
      </w:r>
      <w:r>
        <w:rPr>
          <w:lang w:val="en-GB"/>
        </w:rPr>
        <w:t xml:space="preserve"> </w:t>
      </w:r>
      <w:r w:rsidR="005F4BF8">
        <w:rPr>
          <w:lang w:val="en-GB"/>
        </w:rPr>
        <w:t>responses of the 5 MOX sensors</w:t>
      </w:r>
      <w:r w:rsidR="00543863">
        <w:rPr>
          <w:lang w:val="en-GB"/>
        </w:rPr>
        <w:t xml:space="preserve"> (i.e.</w:t>
      </w:r>
      <w:r w:rsidR="009915B7">
        <w:rPr>
          <w:lang w:val="en-GB"/>
        </w:rPr>
        <w:t>,</w:t>
      </w:r>
      <w:r w:rsidR="00543863">
        <w:rPr>
          <w:lang w:val="en-GB"/>
        </w:rPr>
        <w:t xml:space="preserve"> SGP40, BME688, ENS160, TGS2611 and MQ4)</w:t>
      </w:r>
      <w:r w:rsidR="005F4BF8">
        <w:rPr>
          <w:lang w:val="en-GB"/>
        </w:rPr>
        <w:t xml:space="preserve"> to 10 (Figure 3a), 100 (Figure 3b) and 1,000 ppm Figure 3c) of </w:t>
      </w:r>
      <w:r w:rsidR="005F4BF8">
        <w:t>CH</w:t>
      </w:r>
      <w:r w:rsidR="005F4BF8" w:rsidRPr="004011BA">
        <w:rPr>
          <w:vertAlign w:val="subscript"/>
        </w:rPr>
        <w:t>4</w:t>
      </w:r>
      <w:r w:rsidR="005F4BF8">
        <w:t xml:space="preserve"> and CO</w:t>
      </w:r>
      <w:r w:rsidR="005F4BF8" w:rsidRPr="004011BA">
        <w:rPr>
          <w:vertAlign w:val="subscript"/>
        </w:rPr>
        <w:t>2</w:t>
      </w:r>
      <w:r w:rsidR="005F4BF8">
        <w:t>, respectively.</w:t>
      </w:r>
      <w:r w:rsidR="00E848BE">
        <w:t xml:space="preserve"> The response curves relevant to the analysis of the CH</w:t>
      </w:r>
      <w:r w:rsidR="00E848BE" w:rsidRPr="004011BA">
        <w:rPr>
          <w:vertAlign w:val="subscript"/>
        </w:rPr>
        <w:t>4</w:t>
      </w:r>
      <w:r w:rsidR="00E848BE">
        <w:t xml:space="preserve"> and CO</w:t>
      </w:r>
      <w:r w:rsidR="00E848BE" w:rsidRPr="004011BA">
        <w:rPr>
          <w:vertAlign w:val="subscript"/>
        </w:rPr>
        <w:t>2</w:t>
      </w:r>
      <w:r w:rsidR="00E848BE">
        <w:t xml:space="preserve"> sample have been superimposed for the 3 different levels of concentration in order to compare the sensors’ sensitivity to the two compounds. In consideration of the final application, a reduced sensitivity towards the CO</w:t>
      </w:r>
      <w:r w:rsidR="00E848BE" w:rsidRPr="004011BA">
        <w:rPr>
          <w:vertAlign w:val="subscript"/>
        </w:rPr>
        <w:t>2</w:t>
      </w:r>
      <w:r w:rsidR="00E848BE">
        <w:t xml:space="preserve"> would ensure a better selectivity to the CH</w:t>
      </w:r>
      <w:r w:rsidR="00E848BE" w:rsidRPr="004011BA">
        <w:rPr>
          <w:vertAlign w:val="subscript"/>
        </w:rPr>
        <w:t>4</w:t>
      </w:r>
      <w:r w:rsidR="00E848BE">
        <w:t xml:space="preserve">, which is preferable, although not </w:t>
      </w:r>
      <w:r w:rsidR="00543863">
        <w:t>indispensable.</w:t>
      </w:r>
    </w:p>
    <w:p w14:paraId="03A1F3EE" w14:textId="4855F3C3" w:rsidR="00543863" w:rsidRPr="00E848BE" w:rsidRDefault="00543863" w:rsidP="00600535">
      <w:pPr>
        <w:pStyle w:val="CETBodytext"/>
        <w:rPr>
          <w:lang w:val="en-GB"/>
        </w:rPr>
      </w:pPr>
      <w:r w:rsidRPr="00592D7C">
        <w:rPr>
          <w:lang w:val="en-GB"/>
        </w:rPr>
        <w:t>The MH441D responses are not shown, because this sensor turned out to be substantially insensitive to concentrations &lt;1</w:t>
      </w:r>
      <w:r w:rsidR="00A14EEC" w:rsidRPr="00592D7C">
        <w:rPr>
          <w:lang w:val="en-GB"/>
        </w:rPr>
        <w:t>,</w:t>
      </w:r>
      <w:r w:rsidRPr="00592D7C">
        <w:rPr>
          <w:lang w:val="en-GB"/>
        </w:rPr>
        <w:t>000 ppm</w:t>
      </w:r>
      <w:r w:rsidR="00C87FCE" w:rsidRPr="00592D7C">
        <w:rPr>
          <w:lang w:val="en-GB"/>
        </w:rPr>
        <w:t xml:space="preserve">, despite the information contained in the sensor’s datasheet, claiming a </w:t>
      </w:r>
      <w:r w:rsidR="00592D7C" w:rsidRPr="00592D7C">
        <w:rPr>
          <w:lang w:val="en-GB"/>
        </w:rPr>
        <w:t>lower detection threshold of 100 ppm.</w:t>
      </w:r>
    </w:p>
    <w:p w14:paraId="57814426" w14:textId="3EBDF241" w:rsidR="005F4BF8" w:rsidRDefault="00EA039D" w:rsidP="00DB3C13">
      <w:pPr>
        <w:pStyle w:val="CETCaption"/>
        <w:jc w:val="left"/>
      </w:pPr>
      <w:r w:rsidRPr="00EA039D">
        <w:rPr>
          <w:noProof/>
        </w:rPr>
        <w:drawing>
          <wp:inline distT="0" distB="0" distL="0" distR="0" wp14:anchorId="18038C52" wp14:editId="2D8F8AD0">
            <wp:extent cx="5691773" cy="2184211"/>
            <wp:effectExtent l="0" t="0" r="4445"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57944" cy="2247979"/>
                    </a:xfrm>
                    <a:prstGeom prst="rect">
                      <a:avLst/>
                    </a:prstGeom>
                  </pic:spPr>
                </pic:pic>
              </a:graphicData>
            </a:graphic>
          </wp:inline>
        </w:drawing>
      </w:r>
    </w:p>
    <w:p w14:paraId="14302C58" w14:textId="5AAD8373" w:rsidR="005F4BF8" w:rsidRDefault="005F4BF8" w:rsidP="005F4BF8">
      <w:pPr>
        <w:pStyle w:val="CETCaption"/>
      </w:pPr>
      <w:r>
        <w:t xml:space="preserve">Figure 3. </w:t>
      </w:r>
      <w:r w:rsidR="00543863">
        <w:t xml:space="preserve">Example of response curves of the </w:t>
      </w:r>
      <w:r w:rsidR="004B1743">
        <w:t xml:space="preserve">5 </w:t>
      </w:r>
      <w:r w:rsidR="00543863">
        <w:t xml:space="preserve">MOX sensors </w:t>
      </w:r>
      <w:r w:rsidR="004B1743">
        <w:t>to CH</w:t>
      </w:r>
      <w:r w:rsidR="004B1743" w:rsidRPr="004B1743">
        <w:rPr>
          <w:vertAlign w:val="subscript"/>
        </w:rPr>
        <w:t>4</w:t>
      </w:r>
      <w:r w:rsidR="004B1743">
        <w:t xml:space="preserve"> and CO</w:t>
      </w:r>
      <w:r w:rsidR="004B1743" w:rsidRPr="004B1743">
        <w:rPr>
          <w:vertAlign w:val="subscript"/>
        </w:rPr>
        <w:t>2</w:t>
      </w:r>
      <w:r w:rsidR="004B1743">
        <w:t xml:space="preserve"> at </w:t>
      </w:r>
      <w:r w:rsidR="00F75D77">
        <w:t xml:space="preserve">a) </w:t>
      </w:r>
      <w:r w:rsidR="004B1743">
        <w:t xml:space="preserve">10, </w:t>
      </w:r>
      <w:r w:rsidR="00F75D77">
        <w:t xml:space="preserve">b) </w:t>
      </w:r>
      <w:r w:rsidR="004B1743">
        <w:t xml:space="preserve">100 and </w:t>
      </w:r>
      <w:r w:rsidR="00F75D77">
        <w:t xml:space="preserve">c) </w:t>
      </w:r>
      <w:r w:rsidR="004B1743">
        <w:t>1’000 ppm, respectively</w:t>
      </w:r>
    </w:p>
    <w:p w14:paraId="506B80F8" w14:textId="3B28EAD7" w:rsidR="005F4BF8" w:rsidRPr="00F071D8" w:rsidRDefault="00B131F0" w:rsidP="00600535">
      <w:pPr>
        <w:pStyle w:val="CETBodytext"/>
        <w:rPr>
          <w:lang w:val="en-GB"/>
        </w:rPr>
      </w:pPr>
      <w:r>
        <w:rPr>
          <w:lang w:val="en-GB"/>
        </w:rPr>
        <w:t xml:space="preserve">The results show that all sensors tested, except the MQ4, are sensitive to </w:t>
      </w:r>
      <w:r w:rsidRPr="00B131F0">
        <w:rPr>
          <w:lang w:val="en-GB"/>
        </w:rPr>
        <w:t>CH</w:t>
      </w:r>
      <w:r w:rsidRPr="00B131F0">
        <w:rPr>
          <w:vertAlign w:val="subscript"/>
          <w:lang w:val="en-GB"/>
        </w:rPr>
        <w:t>4</w:t>
      </w:r>
      <w:r>
        <w:rPr>
          <w:lang w:val="en-GB"/>
        </w:rPr>
        <w:t xml:space="preserve"> even at low concentrations </w:t>
      </w:r>
      <w:r w:rsidR="004A34C5">
        <w:rPr>
          <w:lang w:val="en-GB"/>
        </w:rPr>
        <w:t>i.e.,</w:t>
      </w:r>
      <w:r>
        <w:rPr>
          <w:lang w:val="en-GB"/>
        </w:rPr>
        <w:t xml:space="preserve"> 10 ppm. </w:t>
      </w:r>
      <w:r w:rsidR="00F071D8">
        <w:rPr>
          <w:lang w:val="en-GB"/>
        </w:rPr>
        <w:t xml:space="preserve">The TGS2611 is the sensor performing best, showing clear responses at all concentrations tested, with an increasing amplitude as a function of the </w:t>
      </w:r>
      <w:r w:rsidR="00F071D8" w:rsidRPr="00B131F0">
        <w:rPr>
          <w:lang w:val="en-GB"/>
        </w:rPr>
        <w:t>CH</w:t>
      </w:r>
      <w:r w:rsidR="00F071D8" w:rsidRPr="00B131F0">
        <w:rPr>
          <w:vertAlign w:val="subscript"/>
          <w:lang w:val="en-GB"/>
        </w:rPr>
        <w:t>4</w:t>
      </w:r>
      <w:r w:rsidR="00F071D8">
        <w:rPr>
          <w:lang w:val="en-GB"/>
        </w:rPr>
        <w:t xml:space="preserve"> concentration analysed, and substantially no response to the CO</w:t>
      </w:r>
      <w:r w:rsidR="00F071D8" w:rsidRPr="00F071D8">
        <w:rPr>
          <w:vertAlign w:val="subscript"/>
          <w:lang w:val="en-GB"/>
        </w:rPr>
        <w:t>2</w:t>
      </w:r>
      <w:r w:rsidR="00F071D8">
        <w:rPr>
          <w:lang w:val="en-GB"/>
        </w:rPr>
        <w:t xml:space="preserve">. Among the digital MOX sensors, the SGP40 and the BME688 proved to be more sensitive to the </w:t>
      </w:r>
      <w:r w:rsidR="00F071D8" w:rsidRPr="00B131F0">
        <w:rPr>
          <w:lang w:val="en-GB"/>
        </w:rPr>
        <w:t>CH</w:t>
      </w:r>
      <w:r w:rsidR="00F071D8" w:rsidRPr="00B131F0">
        <w:rPr>
          <w:vertAlign w:val="subscript"/>
          <w:lang w:val="en-GB"/>
        </w:rPr>
        <w:t>4</w:t>
      </w:r>
      <w:r w:rsidR="00F071D8">
        <w:rPr>
          <w:lang w:val="en-GB"/>
        </w:rPr>
        <w:t xml:space="preserve"> and also less sensitive to the CO</w:t>
      </w:r>
      <w:r w:rsidR="00F071D8" w:rsidRPr="00F071D8">
        <w:rPr>
          <w:vertAlign w:val="subscript"/>
          <w:lang w:val="en-GB"/>
        </w:rPr>
        <w:t>2</w:t>
      </w:r>
      <w:r w:rsidR="00F071D8">
        <w:rPr>
          <w:lang w:val="en-GB"/>
        </w:rPr>
        <w:t xml:space="preserve"> than the ENS160, making them more suitable for the final application</w:t>
      </w:r>
      <w:r w:rsidR="00820684">
        <w:rPr>
          <w:lang w:val="en-GB"/>
        </w:rPr>
        <w:t xml:space="preserve">, even though </w:t>
      </w:r>
      <w:r w:rsidR="00B31154">
        <w:rPr>
          <w:lang w:val="en-GB"/>
        </w:rPr>
        <w:t>t</w:t>
      </w:r>
      <w:r w:rsidR="00F071D8">
        <w:rPr>
          <w:lang w:val="en-GB"/>
        </w:rPr>
        <w:t>he SGP40 shows some cross-sensitivity to the CO</w:t>
      </w:r>
      <w:r w:rsidR="00F071D8" w:rsidRPr="00F071D8">
        <w:rPr>
          <w:vertAlign w:val="subscript"/>
          <w:lang w:val="en-GB"/>
        </w:rPr>
        <w:t>2</w:t>
      </w:r>
      <w:r w:rsidR="00820684">
        <w:rPr>
          <w:lang w:val="en-GB"/>
        </w:rPr>
        <w:t>. Regarding the SGP40,</w:t>
      </w:r>
      <w:r w:rsidR="00F071D8">
        <w:rPr>
          <w:lang w:val="en-GB"/>
        </w:rPr>
        <w:t xml:space="preserve"> it should be</w:t>
      </w:r>
      <w:r w:rsidR="00820684">
        <w:rPr>
          <w:lang w:val="en-GB"/>
        </w:rPr>
        <w:t xml:space="preserve"> further</w:t>
      </w:r>
      <w:r w:rsidR="00F071D8">
        <w:rPr>
          <w:lang w:val="en-GB"/>
        </w:rPr>
        <w:t xml:space="preserve"> considered that in these experiments the </w:t>
      </w:r>
      <w:r w:rsidR="00820684">
        <w:rPr>
          <w:lang w:val="en-GB"/>
        </w:rPr>
        <w:t>sensor</w:t>
      </w:r>
      <w:r w:rsidR="00F071D8">
        <w:rPr>
          <w:lang w:val="en-GB"/>
        </w:rPr>
        <w:t xml:space="preserve"> was set to work with an internal humidity correction fixed at a constant RH of 50%. </w:t>
      </w:r>
      <w:r w:rsidR="00820684">
        <w:rPr>
          <w:lang w:val="en-GB"/>
        </w:rPr>
        <w:t>Future tests should optimise the sensor’s settings to apply the humidity correction at the actual RH value measured by a RH sensor placed inside the sensors’ chamber, which could potentially result in further improvement of the SGP40 sensitivity and selectivity.</w:t>
      </w:r>
    </w:p>
    <w:p w14:paraId="2F803262" w14:textId="77777777" w:rsidR="00EC46D8" w:rsidRPr="00B57B36" w:rsidRDefault="00EC46D8" w:rsidP="00EC46D8">
      <w:pPr>
        <w:pStyle w:val="CETHeading1"/>
        <w:rPr>
          <w:lang w:val="en-GB"/>
        </w:rPr>
      </w:pPr>
      <w:r w:rsidRPr="00B57B36">
        <w:rPr>
          <w:lang w:val="en-GB"/>
        </w:rPr>
        <w:t>Conclusions</w:t>
      </w:r>
    </w:p>
    <w:p w14:paraId="61177BB2" w14:textId="3F550578" w:rsidR="000E091F" w:rsidRDefault="000E091F" w:rsidP="00EC46D8">
      <w:pPr>
        <w:pStyle w:val="CETBodytext"/>
        <w:rPr>
          <w:lang w:val="en-GB"/>
        </w:rPr>
      </w:pPr>
      <w:r>
        <w:rPr>
          <w:lang w:val="en-GB"/>
        </w:rPr>
        <w:t xml:space="preserve">Based on the results of the activities of technology scouting and preliminary lab testing, we were able to </w:t>
      </w:r>
      <w:r w:rsidR="00594898">
        <w:rPr>
          <w:lang w:val="en-GB"/>
        </w:rPr>
        <w:t>identify</w:t>
      </w:r>
      <w:r>
        <w:rPr>
          <w:lang w:val="en-GB"/>
        </w:rPr>
        <w:t xml:space="preserve"> the subset of sensors to be considered for the development of the </w:t>
      </w:r>
      <w:r w:rsidR="00594898">
        <w:rPr>
          <w:lang w:val="en-GB"/>
        </w:rPr>
        <w:t xml:space="preserve">portable Sensors Toolbox to be used for </w:t>
      </w:r>
      <w:r w:rsidR="00594898" w:rsidRPr="00B131F0">
        <w:rPr>
          <w:lang w:val="en-GB"/>
        </w:rPr>
        <w:t>CH</w:t>
      </w:r>
      <w:r w:rsidR="00594898" w:rsidRPr="00B131F0">
        <w:rPr>
          <w:vertAlign w:val="subscript"/>
          <w:lang w:val="en-GB"/>
        </w:rPr>
        <w:t>4</w:t>
      </w:r>
      <w:r w:rsidR="00594898">
        <w:rPr>
          <w:lang w:val="en-GB"/>
        </w:rPr>
        <w:t xml:space="preserve"> emission monitoring over landfill surfaces, i.e., the TGS2611, the SGP40 and the BME688.</w:t>
      </w:r>
      <w:r w:rsidR="00A14EEC">
        <w:rPr>
          <w:lang w:val="en-GB"/>
        </w:rPr>
        <w:t xml:space="preserve"> Despite not being able to detect CH</w:t>
      </w:r>
      <w:r w:rsidR="00A14EEC" w:rsidRPr="003B5A14">
        <w:rPr>
          <w:vertAlign w:val="subscript"/>
          <w:lang w:val="en-GB"/>
        </w:rPr>
        <w:t>4</w:t>
      </w:r>
      <w:r w:rsidR="00A14EEC">
        <w:rPr>
          <w:lang w:val="en-GB"/>
        </w:rPr>
        <w:t xml:space="preserve"> concentrations below 1,000 ppm, we decided to include also the optical sensor MH-441D in the </w:t>
      </w:r>
      <w:r w:rsidR="004A34C5">
        <w:rPr>
          <w:lang w:val="en-GB"/>
        </w:rPr>
        <w:t xml:space="preserve">sensor </w:t>
      </w:r>
      <w:r w:rsidR="00A14EEC">
        <w:rPr>
          <w:lang w:val="en-GB"/>
        </w:rPr>
        <w:t xml:space="preserve">Toolbox, because it is the only sensor selective to </w:t>
      </w:r>
      <w:r w:rsidR="003B5A14">
        <w:rPr>
          <w:lang w:val="en-GB"/>
        </w:rPr>
        <w:t>CH</w:t>
      </w:r>
      <w:r w:rsidR="003B5A14" w:rsidRPr="003B5A14">
        <w:rPr>
          <w:vertAlign w:val="subscript"/>
          <w:lang w:val="en-GB"/>
        </w:rPr>
        <w:t>4</w:t>
      </w:r>
      <w:r w:rsidR="003B5A14">
        <w:rPr>
          <w:lang w:val="en-GB"/>
        </w:rPr>
        <w:t xml:space="preserve">, making it useful in order to identify potential “false-positives” due to cross-sensitivities of the non-selective MOX sensors to other VOCs that might be present over the landfill surface. Moreover, </w:t>
      </w:r>
      <w:r w:rsidR="00A14AEF">
        <w:rPr>
          <w:lang w:val="en-GB"/>
        </w:rPr>
        <w:t>because of its selectivity, the MH-441D</w:t>
      </w:r>
      <w:r w:rsidR="003B5A14">
        <w:rPr>
          <w:lang w:val="en-GB"/>
        </w:rPr>
        <w:t xml:space="preserve"> could </w:t>
      </w:r>
      <w:r w:rsidR="00A14AEF">
        <w:rPr>
          <w:lang w:val="en-GB"/>
        </w:rPr>
        <w:t xml:space="preserve">potentially </w:t>
      </w:r>
      <w:r w:rsidR="003B5A14">
        <w:rPr>
          <w:lang w:val="en-GB"/>
        </w:rPr>
        <w:t>be used as a reference for internal calibration and drift correction of the other sensors.</w:t>
      </w:r>
    </w:p>
    <w:p w14:paraId="04B7AF14" w14:textId="0699CD08" w:rsidR="003B5A14" w:rsidRPr="003B5A14" w:rsidRDefault="00333DFD" w:rsidP="00EC46D8">
      <w:pPr>
        <w:pStyle w:val="CETBodytext"/>
        <w:rPr>
          <w:lang w:val="en-GB"/>
        </w:rPr>
      </w:pPr>
      <w:r>
        <w:rPr>
          <w:lang w:val="en-GB"/>
        </w:rPr>
        <w:t>In the next future, a</w:t>
      </w:r>
      <w:r w:rsidR="003B5A14">
        <w:rPr>
          <w:lang w:val="en-GB"/>
        </w:rPr>
        <w:t xml:space="preserve">s soon as a preliminary version of the </w:t>
      </w:r>
      <w:r w:rsidR="004A34C5">
        <w:rPr>
          <w:lang w:val="en-GB"/>
        </w:rPr>
        <w:t xml:space="preserve">sensor </w:t>
      </w:r>
      <w:r w:rsidR="003B5A14">
        <w:rPr>
          <w:lang w:val="en-GB"/>
        </w:rPr>
        <w:t>Toolbox hardware will be available, systematic laboratory tests will be carried out in order to asse</w:t>
      </w:r>
      <w:r w:rsidR="00D57735">
        <w:rPr>
          <w:lang w:val="en-GB"/>
        </w:rPr>
        <w:t>s</w:t>
      </w:r>
      <w:r w:rsidR="003B5A14">
        <w:rPr>
          <w:lang w:val="en-GB"/>
        </w:rPr>
        <w:t>s the sensors’ performance in more complex environments, i.e., with varying RH and T conditions, a</w:t>
      </w:r>
      <w:r>
        <w:rPr>
          <w:lang w:val="en-GB"/>
        </w:rPr>
        <w:t>s well as</w:t>
      </w:r>
      <w:r w:rsidR="003B5A14">
        <w:rPr>
          <w:lang w:val="en-GB"/>
        </w:rPr>
        <w:t xml:space="preserve"> in presence of other interfering compounds</w:t>
      </w:r>
      <w:r w:rsidR="006F73B8">
        <w:rPr>
          <w:lang w:val="en-GB"/>
        </w:rPr>
        <w:t xml:space="preserve">, and </w:t>
      </w:r>
      <w:r>
        <w:rPr>
          <w:lang w:val="en-GB"/>
        </w:rPr>
        <w:t xml:space="preserve">thus </w:t>
      </w:r>
      <w:r w:rsidR="006F73B8">
        <w:rPr>
          <w:lang w:val="en-GB"/>
        </w:rPr>
        <w:t xml:space="preserve">consider the </w:t>
      </w:r>
      <w:r>
        <w:rPr>
          <w:lang w:val="en-GB"/>
        </w:rPr>
        <w:t>opportunity</w:t>
      </w:r>
      <w:r w:rsidR="006F73B8">
        <w:rPr>
          <w:lang w:val="en-GB"/>
        </w:rPr>
        <w:t xml:space="preserve"> to develop suitable compensation algorithms</w:t>
      </w:r>
      <w:r>
        <w:rPr>
          <w:lang w:val="en-GB"/>
        </w:rPr>
        <w:t>.</w:t>
      </w:r>
    </w:p>
    <w:p w14:paraId="7096A113" w14:textId="77777777" w:rsidR="009C2908" w:rsidRPr="00B57B36" w:rsidRDefault="009C2908" w:rsidP="009C2908">
      <w:pPr>
        <w:pStyle w:val="CETAcknowledgementstitle"/>
      </w:pPr>
      <w:r w:rsidRPr="00B57B36">
        <w:t>Acknowledgments</w:t>
      </w:r>
    </w:p>
    <w:p w14:paraId="5DAE45D8" w14:textId="2AC31D41" w:rsidR="009C2908" w:rsidRPr="00B57B36" w:rsidRDefault="009C2908" w:rsidP="009C2908">
      <w:pPr>
        <w:pStyle w:val="CETBodytext"/>
        <w:rPr>
          <w:lang w:val="en-GB"/>
        </w:rPr>
      </w:pPr>
      <w:r w:rsidRPr="009A223C">
        <w:rPr>
          <w:lang w:val="en-GB"/>
        </w:rPr>
        <w:t xml:space="preserve">This project has received funding from the Eureka </w:t>
      </w:r>
      <w:proofErr w:type="spellStart"/>
      <w:r w:rsidRPr="009A223C">
        <w:rPr>
          <w:lang w:val="en-GB"/>
        </w:rPr>
        <w:t>Eurostars</w:t>
      </w:r>
      <w:proofErr w:type="spellEnd"/>
      <w:r w:rsidRPr="009A223C">
        <w:rPr>
          <w:lang w:val="en-GB"/>
        </w:rPr>
        <w:t xml:space="preserve"> Funding Framework under Project ID agreement N.2204</w:t>
      </w:r>
    </w:p>
    <w:p w14:paraId="01BA57B3" w14:textId="77777777" w:rsidR="009C2908" w:rsidRPr="00B57B36" w:rsidRDefault="009C2908" w:rsidP="009C2908">
      <w:pPr>
        <w:pStyle w:val="CETReference"/>
      </w:pPr>
      <w:r w:rsidRPr="00B57B36">
        <w:lastRenderedPageBreak/>
        <w:t>References</w:t>
      </w:r>
    </w:p>
    <w:p w14:paraId="79CB169A" w14:textId="17B1A6DE" w:rsidR="00C01796" w:rsidRDefault="00C01796" w:rsidP="00ED632A">
      <w:pPr>
        <w:pStyle w:val="CETReferencetext"/>
        <w:rPr>
          <w:lang w:val="en-US"/>
        </w:rPr>
      </w:pPr>
      <w:proofErr w:type="spellStart"/>
      <w:r w:rsidRPr="00C01796">
        <w:rPr>
          <w:lang w:val="en-US"/>
        </w:rPr>
        <w:t>Aghdam</w:t>
      </w:r>
      <w:proofErr w:type="spellEnd"/>
      <w:r w:rsidRPr="00C01796">
        <w:rPr>
          <w:lang w:val="en-US"/>
        </w:rPr>
        <w:t xml:space="preserve"> E.F., </w:t>
      </w:r>
      <w:proofErr w:type="spellStart"/>
      <w:r w:rsidRPr="00C01796">
        <w:rPr>
          <w:lang w:val="en-US"/>
        </w:rPr>
        <w:t>Scheutz</w:t>
      </w:r>
      <w:proofErr w:type="spellEnd"/>
      <w:r w:rsidRPr="00C01796">
        <w:rPr>
          <w:lang w:val="en-US"/>
        </w:rPr>
        <w:t xml:space="preserve"> C., Kjeldsen P., 2019, Impact of meteorological parameters on extracted landfill gas composition and flow</w:t>
      </w:r>
      <w:r>
        <w:rPr>
          <w:lang w:val="en-US"/>
        </w:rPr>
        <w:t>,</w:t>
      </w:r>
      <w:r w:rsidRPr="00C01796">
        <w:rPr>
          <w:lang w:val="en-US"/>
        </w:rPr>
        <w:t xml:space="preserve"> Waste management, 87, 905-914.</w:t>
      </w:r>
    </w:p>
    <w:p w14:paraId="086F3520" w14:textId="25459753" w:rsidR="00FD3AA6" w:rsidRDefault="00FD3AA6" w:rsidP="00ED632A">
      <w:pPr>
        <w:pStyle w:val="CETReferencetext"/>
        <w:rPr>
          <w:lang w:val="en-US"/>
        </w:rPr>
      </w:pPr>
      <w:r w:rsidRPr="00FD3AA6">
        <w:rPr>
          <w:lang w:val="en-US"/>
        </w:rPr>
        <w:t>Arroyo P., Meléndez F., Suárez J.I., Herrero J.L., Rodríguez S., Lozano J.</w:t>
      </w:r>
      <w:r w:rsidR="00170F43">
        <w:rPr>
          <w:lang w:val="en-US"/>
        </w:rPr>
        <w:t>,</w:t>
      </w:r>
      <w:r w:rsidRPr="00FD3AA6">
        <w:rPr>
          <w:lang w:val="en-US"/>
        </w:rPr>
        <w:t xml:space="preserve"> 2020</w:t>
      </w:r>
      <w:r w:rsidR="00170F43">
        <w:rPr>
          <w:lang w:val="en-US"/>
        </w:rPr>
        <w:t>,</w:t>
      </w:r>
      <w:r w:rsidRPr="00FD3AA6">
        <w:rPr>
          <w:lang w:val="en-US"/>
        </w:rPr>
        <w:t xml:space="preserve"> Electronic nose with digital gas sensors connected via </w:t>
      </w:r>
      <w:proofErr w:type="spellStart"/>
      <w:r w:rsidRPr="00FD3AA6">
        <w:rPr>
          <w:lang w:val="en-US"/>
        </w:rPr>
        <w:t>bluetooth</w:t>
      </w:r>
      <w:proofErr w:type="spellEnd"/>
      <w:r w:rsidRPr="00FD3AA6">
        <w:rPr>
          <w:lang w:val="en-US"/>
        </w:rPr>
        <w:t xml:space="preserve"> to a smartphone for air quality measurements</w:t>
      </w:r>
      <w:r w:rsidR="00170F43">
        <w:rPr>
          <w:lang w:val="en-US"/>
        </w:rPr>
        <w:t>,</w:t>
      </w:r>
      <w:r w:rsidRPr="00FD3AA6">
        <w:rPr>
          <w:lang w:val="en-US"/>
        </w:rPr>
        <w:t xml:space="preserve"> Sensors, 20</w:t>
      </w:r>
      <w:r w:rsidR="00170F43">
        <w:rPr>
          <w:lang w:val="en-US"/>
        </w:rPr>
        <w:t xml:space="preserve">, </w:t>
      </w:r>
      <w:r w:rsidRPr="00FD3AA6">
        <w:rPr>
          <w:lang w:val="en-US"/>
        </w:rPr>
        <w:t>3, 786.</w:t>
      </w:r>
    </w:p>
    <w:p w14:paraId="4F5B243C" w14:textId="659B07B8" w:rsidR="00FD3AA6" w:rsidRDefault="003C25BF" w:rsidP="00ED632A">
      <w:pPr>
        <w:pStyle w:val="CETReferencetext"/>
      </w:pPr>
      <w:proofErr w:type="spellStart"/>
      <w:r w:rsidRPr="003C25BF">
        <w:rPr>
          <w:lang w:val="en-US"/>
        </w:rPr>
        <w:t>Dengel</w:t>
      </w:r>
      <w:proofErr w:type="spellEnd"/>
      <w:r w:rsidRPr="003C25BF">
        <w:rPr>
          <w:lang w:val="en-US"/>
        </w:rPr>
        <w:t xml:space="preserve"> S., Levy P.E., Grace J., Jones S.K., Skiba U.M., 2011</w:t>
      </w:r>
      <w:r>
        <w:rPr>
          <w:lang w:val="en-US"/>
        </w:rPr>
        <w:t>,</w:t>
      </w:r>
      <w:r w:rsidRPr="003C25BF">
        <w:rPr>
          <w:lang w:val="en-US"/>
        </w:rPr>
        <w:t xml:space="preserve"> </w:t>
      </w:r>
      <w:r w:rsidRPr="003C25BF">
        <w:t>Methane emissions from sheep pasture, measured with an open</w:t>
      </w:r>
      <w:r w:rsidRPr="003C25BF">
        <w:rPr>
          <w:rFonts w:ascii="Cambria Math" w:hAnsi="Cambria Math" w:cs="Cambria Math"/>
        </w:rPr>
        <w:t>‐</w:t>
      </w:r>
      <w:r w:rsidRPr="003C25BF">
        <w:t>path eddy covariance system. Global Change Biology, 17</w:t>
      </w:r>
      <w:r w:rsidR="0042554E">
        <w:t xml:space="preserve">, </w:t>
      </w:r>
      <w:r w:rsidRPr="003C25BF">
        <w:t>12, 3524-3533.</w:t>
      </w:r>
    </w:p>
    <w:p w14:paraId="58A2C8D6" w14:textId="2D55CB0B" w:rsidR="001B31CD" w:rsidRDefault="001B31CD" w:rsidP="00ED632A">
      <w:pPr>
        <w:pStyle w:val="CETReferencetext"/>
      </w:pPr>
      <w:r w:rsidRPr="001B31CD">
        <w:rPr>
          <w:lang w:val="en-US"/>
        </w:rPr>
        <w:t xml:space="preserve">Duan Z., </w:t>
      </w:r>
      <w:proofErr w:type="spellStart"/>
      <w:r w:rsidRPr="001B31CD">
        <w:rPr>
          <w:lang w:val="en-US"/>
        </w:rPr>
        <w:t>Scheutz</w:t>
      </w:r>
      <w:proofErr w:type="spellEnd"/>
      <w:r w:rsidRPr="001B31CD">
        <w:rPr>
          <w:lang w:val="en-US"/>
        </w:rPr>
        <w:t xml:space="preserve"> C., Kjeldsen P., 2021, </w:t>
      </w:r>
      <w:r w:rsidRPr="001B31CD">
        <w:t>Trace Gas Emissions from Municipal Solid Waste Landfills: A Review</w:t>
      </w:r>
      <w:r>
        <w:t>,</w:t>
      </w:r>
      <w:r w:rsidRPr="001B31CD">
        <w:t xml:space="preserve"> Waste Management</w:t>
      </w:r>
      <w:r>
        <w:t>,</w:t>
      </w:r>
      <w:r w:rsidRPr="001B31CD">
        <w:t xml:space="preserve"> 119</w:t>
      </w:r>
      <w:r>
        <w:t>,</w:t>
      </w:r>
      <w:r w:rsidRPr="001B31CD">
        <w:t xml:space="preserve"> 39–62.</w:t>
      </w:r>
    </w:p>
    <w:p w14:paraId="35DB3207" w14:textId="0498848E" w:rsidR="00F65589" w:rsidRDefault="00F65589" w:rsidP="00ED632A">
      <w:pPr>
        <w:pStyle w:val="CETReferencetext"/>
      </w:pPr>
      <w:r w:rsidRPr="00F65589">
        <w:rPr>
          <w:lang w:val="en-US"/>
        </w:rPr>
        <w:t xml:space="preserve">Gonzalez-Valencia R., Magana-Rodriguez F., Maldonado E., Salinas J., </w:t>
      </w:r>
      <w:proofErr w:type="spellStart"/>
      <w:r w:rsidRPr="00F65589">
        <w:rPr>
          <w:lang w:val="en-US"/>
        </w:rPr>
        <w:t>Thalasso</w:t>
      </w:r>
      <w:proofErr w:type="spellEnd"/>
      <w:r w:rsidRPr="00F65589">
        <w:rPr>
          <w:lang w:val="en-US"/>
        </w:rPr>
        <w:t xml:space="preserve"> F., 2015</w:t>
      </w:r>
      <w:r>
        <w:rPr>
          <w:lang w:val="en-US"/>
        </w:rPr>
        <w:t>,</w:t>
      </w:r>
      <w:r w:rsidRPr="00F65589">
        <w:rPr>
          <w:lang w:val="en-US"/>
        </w:rPr>
        <w:t xml:space="preserve"> </w:t>
      </w:r>
      <w:r w:rsidRPr="00F65589">
        <w:t>Detection of hotspots and rapid determination of methane emissions from landfills via a ground-surface method</w:t>
      </w:r>
      <w:r w:rsidR="00A24AF6">
        <w:t>,</w:t>
      </w:r>
      <w:r w:rsidRPr="00F65589">
        <w:t xml:space="preserve"> Environmental monitoring and assessment, 187, 1-8.</w:t>
      </w:r>
    </w:p>
    <w:p w14:paraId="6A21E0AC" w14:textId="6A316251" w:rsidR="00311170" w:rsidRDefault="00311170" w:rsidP="00ED632A">
      <w:pPr>
        <w:pStyle w:val="CETReferencetext"/>
      </w:pPr>
      <w:r w:rsidRPr="00311170">
        <w:t>IPCC, 2013</w:t>
      </w:r>
      <w:r>
        <w:t>,</w:t>
      </w:r>
      <w:r w:rsidRPr="00311170">
        <w:t xml:space="preserve"> Climate Change 2013: The Physical Science Basis. Contribution of Working Group I to the Fifth Assessment Report of the Intergovernmental Panel on Climate Change</w:t>
      </w:r>
      <w:r>
        <w:t>, T</w:t>
      </w:r>
      <w:r w:rsidR="00C01796">
        <w:t>.F.</w:t>
      </w:r>
      <w:r w:rsidR="00C01796" w:rsidRPr="00C01796">
        <w:t xml:space="preserve"> Stocker, D. Qin, G.-K. Plattner, M. </w:t>
      </w:r>
      <w:proofErr w:type="spellStart"/>
      <w:r w:rsidR="00C01796" w:rsidRPr="00C01796">
        <w:t>Tignor</w:t>
      </w:r>
      <w:proofErr w:type="spellEnd"/>
      <w:r w:rsidR="00C01796" w:rsidRPr="00C01796">
        <w:t xml:space="preserve">, S.K. Allen, J. </w:t>
      </w:r>
      <w:proofErr w:type="spellStart"/>
      <w:r w:rsidR="00C01796" w:rsidRPr="00C01796">
        <w:t>Boschung</w:t>
      </w:r>
      <w:proofErr w:type="spellEnd"/>
      <w:r w:rsidR="00C01796" w:rsidRPr="00C01796">
        <w:t xml:space="preserve">, A. </w:t>
      </w:r>
      <w:proofErr w:type="spellStart"/>
      <w:r w:rsidR="00C01796" w:rsidRPr="00C01796">
        <w:t>Nauels</w:t>
      </w:r>
      <w:proofErr w:type="spellEnd"/>
      <w:r w:rsidR="00C01796" w:rsidRPr="00C01796">
        <w:t>, Y. Xia, V. Bex</w:t>
      </w:r>
      <w:r w:rsidR="00C01796">
        <w:t>,</w:t>
      </w:r>
      <w:r w:rsidR="00C01796" w:rsidRPr="00C01796">
        <w:t xml:space="preserve"> P.M. Midgley (</w:t>
      </w:r>
      <w:r w:rsidR="00C01796">
        <w:t>E</w:t>
      </w:r>
      <w:r w:rsidR="00C01796" w:rsidRPr="00C01796">
        <w:t>ds.)</w:t>
      </w:r>
      <w:r w:rsidR="00C01796">
        <w:t>,</w:t>
      </w:r>
      <w:r w:rsidRPr="00311170">
        <w:t xml:space="preserve"> Cambridge University Press, Cambridge, United Kingdom and New York, NY, USA.</w:t>
      </w:r>
    </w:p>
    <w:p w14:paraId="073F32FE" w14:textId="05E2A38C" w:rsidR="00103EE9" w:rsidRDefault="00103EE9" w:rsidP="00172A09">
      <w:pPr>
        <w:pStyle w:val="CETReferencetext"/>
      </w:pPr>
      <w:proofErr w:type="spellStart"/>
      <w:r w:rsidRPr="00103EE9">
        <w:t>Kormi</w:t>
      </w:r>
      <w:proofErr w:type="spellEnd"/>
      <w:r w:rsidRPr="00103EE9">
        <w:t xml:space="preserve"> T., </w:t>
      </w:r>
      <w:proofErr w:type="spellStart"/>
      <w:r w:rsidRPr="00103EE9">
        <w:t>Mhadhebi</w:t>
      </w:r>
      <w:proofErr w:type="spellEnd"/>
      <w:r w:rsidRPr="00103EE9">
        <w:t xml:space="preserve"> S., Ali N.B.H., </w:t>
      </w:r>
      <w:proofErr w:type="spellStart"/>
      <w:r w:rsidRPr="00103EE9">
        <w:t>Abichou</w:t>
      </w:r>
      <w:proofErr w:type="spellEnd"/>
      <w:r w:rsidRPr="00103EE9">
        <w:t xml:space="preserve"> T., </w:t>
      </w:r>
      <w:r>
        <w:t>G</w:t>
      </w:r>
      <w:r w:rsidRPr="00103EE9">
        <w:t>reen R.</w:t>
      </w:r>
      <w:r>
        <w:t>,</w:t>
      </w:r>
      <w:r w:rsidRPr="00103EE9">
        <w:t xml:space="preserve"> 2018</w:t>
      </w:r>
      <w:r>
        <w:t>,</w:t>
      </w:r>
      <w:r w:rsidRPr="00103EE9">
        <w:t xml:space="preserve"> Estimation of fugitive landfill methane emissions using surface emission monitoring and Genetic Algorithms optimization</w:t>
      </w:r>
      <w:r>
        <w:t>,</w:t>
      </w:r>
      <w:r w:rsidRPr="00103EE9">
        <w:t xml:space="preserve"> Waste </w:t>
      </w:r>
      <w:r w:rsidR="005F6027">
        <w:t>M</w:t>
      </w:r>
      <w:r w:rsidRPr="00103EE9">
        <w:t>anagement, 72, 313-328.</w:t>
      </w:r>
    </w:p>
    <w:p w14:paraId="4FF4A1CD" w14:textId="1A0CE7C5" w:rsidR="005F2905" w:rsidRDefault="00773BE8" w:rsidP="00172A09">
      <w:pPr>
        <w:pStyle w:val="CETReferencetext"/>
        <w:rPr>
          <w:lang w:val="en-US"/>
        </w:rPr>
      </w:pPr>
      <w:r w:rsidRPr="00773BE8">
        <w:rPr>
          <w:lang w:val="en-US"/>
        </w:rPr>
        <w:t xml:space="preserve">Lotesoriere, B. J., Invernizzi, M., </w:t>
      </w:r>
      <w:proofErr w:type="spellStart"/>
      <w:r w:rsidRPr="00773BE8">
        <w:rPr>
          <w:lang w:val="en-US"/>
        </w:rPr>
        <w:t>Panzitta</w:t>
      </w:r>
      <w:proofErr w:type="spellEnd"/>
      <w:r w:rsidRPr="00773BE8">
        <w:rPr>
          <w:lang w:val="en-US"/>
        </w:rPr>
        <w:t xml:space="preserve">, A., </w:t>
      </w:r>
      <w:proofErr w:type="spellStart"/>
      <w:r w:rsidRPr="00773BE8">
        <w:rPr>
          <w:lang w:val="en-US"/>
        </w:rPr>
        <w:t>Uvezzi</w:t>
      </w:r>
      <w:proofErr w:type="spellEnd"/>
      <w:r w:rsidRPr="00773BE8">
        <w:rPr>
          <w:lang w:val="en-US"/>
        </w:rPr>
        <w:t xml:space="preserve">, G., </w:t>
      </w:r>
      <w:proofErr w:type="spellStart"/>
      <w:r w:rsidRPr="00773BE8">
        <w:rPr>
          <w:lang w:val="en-US"/>
        </w:rPr>
        <w:t>Sozzi</w:t>
      </w:r>
      <w:proofErr w:type="spellEnd"/>
      <w:r w:rsidRPr="00773BE8">
        <w:rPr>
          <w:lang w:val="en-US"/>
        </w:rPr>
        <w:t>, R., Sironi, S., &amp; Capelli, L. (2022). Micrometeorological methods for the indirect estimation of odorous emissions. Critical Reviews in Analytical Chemistry, 53(7), 1531–1560.</w:t>
      </w:r>
    </w:p>
    <w:p w14:paraId="62A8F1B2" w14:textId="5F1551EC" w:rsidR="00007351" w:rsidRDefault="00007351" w:rsidP="00172A09">
      <w:pPr>
        <w:pStyle w:val="CETReferencetext"/>
      </w:pPr>
      <w:proofErr w:type="spellStart"/>
      <w:r w:rsidRPr="00007351">
        <w:rPr>
          <w:lang w:val="en-US"/>
        </w:rPr>
        <w:t>Lucernoni</w:t>
      </w:r>
      <w:proofErr w:type="spellEnd"/>
      <w:r w:rsidRPr="00007351">
        <w:rPr>
          <w:lang w:val="en-US"/>
        </w:rPr>
        <w:t xml:space="preserve"> F., </w:t>
      </w:r>
      <w:proofErr w:type="spellStart"/>
      <w:r w:rsidRPr="00007351">
        <w:rPr>
          <w:lang w:val="en-US"/>
        </w:rPr>
        <w:t>Tapparo</w:t>
      </w:r>
      <w:proofErr w:type="spellEnd"/>
      <w:r w:rsidRPr="00007351">
        <w:rPr>
          <w:lang w:val="en-US"/>
        </w:rPr>
        <w:t xml:space="preserve"> F., Capelli L., Sironi S., 2016, </w:t>
      </w:r>
      <w:r w:rsidRPr="00007351">
        <w:t>Evaluation of an Odour Emission Factor (OEF) to estimate odour emissions from landfill surfaces</w:t>
      </w:r>
      <w:r>
        <w:t>,</w:t>
      </w:r>
      <w:r w:rsidRPr="00007351">
        <w:t xml:space="preserve"> Atmospheric environment, 144, 87-99.</w:t>
      </w:r>
    </w:p>
    <w:p w14:paraId="00B3B85F" w14:textId="26E61DCE" w:rsidR="009C2908" w:rsidRDefault="002B5A68" w:rsidP="002F6C6E">
      <w:pPr>
        <w:pStyle w:val="CETReferencetext"/>
      </w:pPr>
      <w:proofErr w:type="spellStart"/>
      <w:r w:rsidRPr="002B5A68">
        <w:t>Maasakkers</w:t>
      </w:r>
      <w:proofErr w:type="spellEnd"/>
      <w:r w:rsidRPr="002B5A68">
        <w:t xml:space="preserve"> J.D., Jacob D.J., </w:t>
      </w:r>
      <w:proofErr w:type="spellStart"/>
      <w:r w:rsidRPr="002B5A68">
        <w:t>Sulprizio</w:t>
      </w:r>
      <w:proofErr w:type="spellEnd"/>
      <w:r w:rsidRPr="002B5A68">
        <w:t xml:space="preserve"> M.P., </w:t>
      </w:r>
      <w:proofErr w:type="spellStart"/>
      <w:r w:rsidRPr="002B5A68">
        <w:t>Scarpelli</w:t>
      </w:r>
      <w:proofErr w:type="spellEnd"/>
      <w:r w:rsidRPr="002B5A68">
        <w:t xml:space="preserve"> T.R., </w:t>
      </w:r>
      <w:proofErr w:type="spellStart"/>
      <w:r w:rsidRPr="002B5A68">
        <w:t>Nesser</w:t>
      </w:r>
      <w:proofErr w:type="spellEnd"/>
      <w:r w:rsidRPr="002B5A68">
        <w:t xml:space="preserve"> H., Sheng J.X.,</w:t>
      </w:r>
      <w:r w:rsidR="009F5711">
        <w:t xml:space="preserve"> </w:t>
      </w:r>
      <w:r w:rsidR="009F5711" w:rsidRPr="009F5711">
        <w:t>Zhang</w:t>
      </w:r>
      <w:r w:rsidR="009F5711">
        <w:t xml:space="preserve"> Y.</w:t>
      </w:r>
      <w:r w:rsidR="009F5711" w:rsidRPr="009F5711">
        <w:t xml:space="preserve">, </w:t>
      </w:r>
      <w:proofErr w:type="spellStart"/>
      <w:r w:rsidR="009F5711" w:rsidRPr="009F5711">
        <w:t>Hersher</w:t>
      </w:r>
      <w:proofErr w:type="spellEnd"/>
      <w:r w:rsidR="009F5711">
        <w:t xml:space="preserve"> M.</w:t>
      </w:r>
      <w:r w:rsidR="009F5711" w:rsidRPr="009F5711">
        <w:t>, Bloom</w:t>
      </w:r>
      <w:r w:rsidR="009F5711">
        <w:t xml:space="preserve"> A.A.</w:t>
      </w:r>
      <w:r w:rsidR="009F5711" w:rsidRPr="009F5711">
        <w:t>, Bowman</w:t>
      </w:r>
      <w:r w:rsidR="009F5711">
        <w:t xml:space="preserve"> K.W.</w:t>
      </w:r>
      <w:r w:rsidR="009F5711" w:rsidRPr="009F5711">
        <w:t>, Worden</w:t>
      </w:r>
      <w:r w:rsidR="009F5711">
        <w:t xml:space="preserve"> J.R.</w:t>
      </w:r>
      <w:r w:rsidR="009F5711" w:rsidRPr="009F5711">
        <w:t>, Janssens-</w:t>
      </w:r>
      <w:proofErr w:type="spellStart"/>
      <w:r w:rsidR="009F5711" w:rsidRPr="009F5711">
        <w:t>Maenhout</w:t>
      </w:r>
      <w:proofErr w:type="spellEnd"/>
      <w:r w:rsidR="009F5711">
        <w:t xml:space="preserve"> G.,</w:t>
      </w:r>
      <w:r w:rsidRPr="002B5A68">
        <w:t xml:space="preserve"> Parker R.J.</w:t>
      </w:r>
      <w:r>
        <w:t>,</w:t>
      </w:r>
      <w:r w:rsidRPr="002B5A68">
        <w:t xml:space="preserve"> 2019</w:t>
      </w:r>
      <w:r w:rsidR="009F5711">
        <w:t>,</w:t>
      </w:r>
      <w:r w:rsidRPr="002B5A68">
        <w:t xml:space="preserve"> Global distribution of methane emissions, emission trends, and OH concentrations and trends inferred from an inversion of GOSAT satellite data for 2010–2015</w:t>
      </w:r>
      <w:r w:rsidR="005F6027">
        <w:t>,</w:t>
      </w:r>
      <w:r w:rsidRPr="002B5A68">
        <w:t xml:space="preserve"> Atmospheric Chemistry and Physics, 19</w:t>
      </w:r>
      <w:r w:rsidR="00673193">
        <w:t xml:space="preserve">, </w:t>
      </w:r>
      <w:r w:rsidRPr="002B5A68">
        <w:t>11, 7859-7881.</w:t>
      </w:r>
    </w:p>
    <w:p w14:paraId="76B91CBC" w14:textId="4BBE1202" w:rsidR="00DB6670" w:rsidRDefault="00DB6670" w:rsidP="002F6C6E">
      <w:pPr>
        <w:pStyle w:val="CETReferencetext"/>
      </w:pPr>
      <w:proofErr w:type="spellStart"/>
      <w:r w:rsidRPr="00DB6670">
        <w:t>Maasakkers</w:t>
      </w:r>
      <w:proofErr w:type="spellEnd"/>
      <w:r w:rsidRPr="00DB6670">
        <w:t xml:space="preserve"> J.D., </w:t>
      </w:r>
      <w:proofErr w:type="spellStart"/>
      <w:r w:rsidRPr="00DB6670">
        <w:t>Varon</w:t>
      </w:r>
      <w:proofErr w:type="spellEnd"/>
      <w:r w:rsidRPr="00DB6670">
        <w:t xml:space="preserve"> D.J., </w:t>
      </w:r>
      <w:proofErr w:type="spellStart"/>
      <w:r w:rsidRPr="00DB6670">
        <w:t>Elfarsdóttir</w:t>
      </w:r>
      <w:proofErr w:type="spellEnd"/>
      <w:r w:rsidRPr="00DB6670">
        <w:t xml:space="preserve"> A., McKeever J., Jervis D., Mahapatra G.,</w:t>
      </w:r>
      <w:r w:rsidR="00463EDA">
        <w:t xml:space="preserve"> </w:t>
      </w:r>
      <w:r w:rsidR="00463EDA" w:rsidRPr="00463EDA">
        <w:t>Pandey</w:t>
      </w:r>
      <w:r w:rsidR="00463EDA">
        <w:t xml:space="preserve"> S.</w:t>
      </w:r>
      <w:r w:rsidR="00463EDA" w:rsidRPr="00463EDA">
        <w:t xml:space="preserve">, </w:t>
      </w:r>
      <w:proofErr w:type="spellStart"/>
      <w:r w:rsidR="00463EDA" w:rsidRPr="00463EDA">
        <w:t>Lorente</w:t>
      </w:r>
      <w:proofErr w:type="spellEnd"/>
      <w:r w:rsidR="00463EDA">
        <w:t xml:space="preserve"> A.</w:t>
      </w:r>
      <w:r w:rsidR="00463EDA" w:rsidRPr="00463EDA">
        <w:t xml:space="preserve">, </w:t>
      </w:r>
      <w:proofErr w:type="spellStart"/>
      <w:r w:rsidR="00463EDA" w:rsidRPr="00463EDA">
        <w:t>Borsdorff</w:t>
      </w:r>
      <w:proofErr w:type="spellEnd"/>
      <w:r w:rsidR="00463EDA">
        <w:t xml:space="preserve"> T.</w:t>
      </w:r>
      <w:r w:rsidR="00463EDA" w:rsidRPr="00463EDA">
        <w:t xml:space="preserve">, </w:t>
      </w:r>
      <w:proofErr w:type="spellStart"/>
      <w:r w:rsidR="00463EDA" w:rsidRPr="00463EDA">
        <w:t>Foorthuis</w:t>
      </w:r>
      <w:proofErr w:type="spellEnd"/>
      <w:r w:rsidR="00463EDA">
        <w:t xml:space="preserve"> L.R.</w:t>
      </w:r>
      <w:r w:rsidR="00463EDA" w:rsidRPr="00463EDA">
        <w:t>,</w:t>
      </w:r>
      <w:r w:rsidR="00463EDA">
        <w:t xml:space="preserve"> </w:t>
      </w:r>
      <w:proofErr w:type="spellStart"/>
      <w:r w:rsidR="00463EDA" w:rsidRPr="00463EDA">
        <w:t>Schuit</w:t>
      </w:r>
      <w:proofErr w:type="spellEnd"/>
      <w:r w:rsidR="00463EDA">
        <w:t xml:space="preserve"> B.J.</w:t>
      </w:r>
      <w:r w:rsidR="00463EDA" w:rsidRPr="00463EDA">
        <w:t>, Tol</w:t>
      </w:r>
      <w:r w:rsidR="00463EDA">
        <w:t xml:space="preserve"> P.</w:t>
      </w:r>
      <w:r w:rsidR="00463EDA" w:rsidRPr="00463EDA">
        <w:t xml:space="preserve">, van </w:t>
      </w:r>
      <w:proofErr w:type="spellStart"/>
      <w:r w:rsidR="00463EDA" w:rsidRPr="00463EDA">
        <w:t>Kempen</w:t>
      </w:r>
      <w:proofErr w:type="spellEnd"/>
      <w:r w:rsidR="00463EDA">
        <w:t xml:space="preserve"> T.A.</w:t>
      </w:r>
      <w:r w:rsidR="00463EDA" w:rsidRPr="00463EDA">
        <w:t xml:space="preserve">, van </w:t>
      </w:r>
      <w:proofErr w:type="spellStart"/>
      <w:r w:rsidR="00463EDA" w:rsidRPr="00463EDA">
        <w:t>Hees</w:t>
      </w:r>
      <w:proofErr w:type="spellEnd"/>
      <w:r w:rsidR="00463EDA">
        <w:t xml:space="preserve"> R.</w:t>
      </w:r>
      <w:r w:rsidR="00463EDA" w:rsidRPr="00463EDA">
        <w:t>,</w:t>
      </w:r>
      <w:r w:rsidRPr="00DB6670">
        <w:t xml:space="preserve"> </w:t>
      </w:r>
      <w:proofErr w:type="spellStart"/>
      <w:r w:rsidRPr="00DB6670">
        <w:t>Aben</w:t>
      </w:r>
      <w:proofErr w:type="spellEnd"/>
      <w:r w:rsidRPr="00DB6670">
        <w:t xml:space="preserve"> I</w:t>
      </w:r>
      <w:r w:rsidR="00463EDA">
        <w:t xml:space="preserve">., </w:t>
      </w:r>
      <w:r w:rsidRPr="00DB6670">
        <w:t>2022</w:t>
      </w:r>
      <w:r w:rsidR="00463EDA">
        <w:t>,</w:t>
      </w:r>
      <w:r w:rsidRPr="00DB6670">
        <w:t xml:space="preserve"> Using satellites to uncover large methane emissions from landfills</w:t>
      </w:r>
      <w:r w:rsidR="00463EDA">
        <w:t>,</w:t>
      </w:r>
      <w:r w:rsidRPr="00DB6670">
        <w:t xml:space="preserve"> Science Advances, 8</w:t>
      </w:r>
      <w:r w:rsidR="00463EDA">
        <w:t xml:space="preserve">, </w:t>
      </w:r>
      <w:r w:rsidRPr="00DB6670">
        <w:t>31, eabn9683.</w:t>
      </w:r>
    </w:p>
    <w:p w14:paraId="55C5AFAA" w14:textId="123F5393" w:rsidR="00172A09" w:rsidRPr="00172A09" w:rsidRDefault="00172A09" w:rsidP="00172A09">
      <w:pPr>
        <w:pStyle w:val="CETReferencetext"/>
        <w:rPr>
          <w:lang w:val="en-US"/>
        </w:rPr>
      </w:pPr>
      <w:r w:rsidRPr="00172A09">
        <w:rPr>
          <w:lang w:val="en-US"/>
        </w:rPr>
        <w:t>Metz B., Davidson O., Bosch P., Dave R., Meyer L., 2007, Climate Change 2007 Mitigation.</w:t>
      </w:r>
      <w:r>
        <w:rPr>
          <w:lang w:val="en-US"/>
        </w:rPr>
        <w:t xml:space="preserve"> </w:t>
      </w:r>
    </w:p>
    <w:p w14:paraId="1369BB02" w14:textId="1538956A" w:rsidR="009A223C" w:rsidRDefault="009C2908" w:rsidP="0052398E">
      <w:pPr>
        <w:pStyle w:val="CETReferencetext"/>
      </w:pPr>
      <w:proofErr w:type="spellStart"/>
      <w:r w:rsidRPr="001A1913">
        <w:rPr>
          <w:lang w:val="en-US"/>
        </w:rPr>
        <w:t>Mønster</w:t>
      </w:r>
      <w:proofErr w:type="spellEnd"/>
      <w:r w:rsidR="0052398E" w:rsidRPr="001A1913">
        <w:rPr>
          <w:lang w:val="en-US"/>
        </w:rPr>
        <w:t xml:space="preserve"> J.</w:t>
      </w:r>
      <w:r w:rsidRPr="001A1913">
        <w:rPr>
          <w:lang w:val="en-US"/>
        </w:rPr>
        <w:t>, Kjeldsen</w:t>
      </w:r>
      <w:r w:rsidR="0052398E" w:rsidRPr="001A1913">
        <w:rPr>
          <w:lang w:val="en-US"/>
        </w:rPr>
        <w:t xml:space="preserve"> P.</w:t>
      </w:r>
      <w:r w:rsidRPr="001A1913">
        <w:rPr>
          <w:lang w:val="en-US"/>
        </w:rPr>
        <w:t xml:space="preserve">, </w:t>
      </w:r>
      <w:proofErr w:type="spellStart"/>
      <w:r w:rsidRPr="001A1913">
        <w:rPr>
          <w:lang w:val="en-US"/>
        </w:rPr>
        <w:t>Scheutz</w:t>
      </w:r>
      <w:proofErr w:type="spellEnd"/>
      <w:r w:rsidR="001A1913" w:rsidRPr="001A1913">
        <w:rPr>
          <w:lang w:val="en-US"/>
        </w:rPr>
        <w:t xml:space="preserve"> C.,</w:t>
      </w:r>
      <w:r w:rsidRPr="001A1913">
        <w:rPr>
          <w:lang w:val="en-US"/>
        </w:rPr>
        <w:t xml:space="preserve"> 2019</w:t>
      </w:r>
      <w:r w:rsidR="001A1913" w:rsidRPr="001A1913">
        <w:rPr>
          <w:lang w:val="en-US"/>
        </w:rPr>
        <w:t>,</w:t>
      </w:r>
      <w:r w:rsidRPr="001A1913">
        <w:rPr>
          <w:lang w:val="en-US"/>
        </w:rPr>
        <w:t xml:space="preserve"> </w:t>
      </w:r>
      <w:r w:rsidRPr="009C2908">
        <w:t>Methodologies for Measuring Fugitive Methane Emissions from Landfills – A Review</w:t>
      </w:r>
      <w:r w:rsidR="001A1913">
        <w:t>,</w:t>
      </w:r>
      <w:r w:rsidRPr="009C2908">
        <w:t xml:space="preserve"> Waste Management</w:t>
      </w:r>
      <w:r w:rsidR="001A1913">
        <w:t>,</w:t>
      </w:r>
      <w:r w:rsidRPr="009C2908">
        <w:t xml:space="preserve"> 87</w:t>
      </w:r>
      <w:r w:rsidR="001A1913">
        <w:t>,</w:t>
      </w:r>
      <w:r w:rsidRPr="009C2908">
        <w:t xml:space="preserve"> 835–</w:t>
      </w:r>
      <w:r w:rsidR="001A1913">
        <w:t>8</w:t>
      </w:r>
      <w:r w:rsidRPr="009C2908">
        <w:t>59.</w:t>
      </w:r>
    </w:p>
    <w:p w14:paraId="36C8AEF8" w14:textId="741D466C" w:rsidR="005A36C0" w:rsidRDefault="005A36C0" w:rsidP="0052398E">
      <w:pPr>
        <w:pStyle w:val="CETReferencetext"/>
      </w:pPr>
      <w:r w:rsidRPr="005A36C0">
        <w:t>Mosher B</w:t>
      </w:r>
      <w:r>
        <w:t>.</w:t>
      </w:r>
      <w:r w:rsidRPr="005A36C0">
        <w:t xml:space="preserve">W., </w:t>
      </w:r>
      <w:proofErr w:type="spellStart"/>
      <w:r w:rsidRPr="005A36C0">
        <w:t>Czepiel</w:t>
      </w:r>
      <w:proofErr w:type="spellEnd"/>
      <w:r w:rsidRPr="005A36C0">
        <w:t xml:space="preserve"> P.M., </w:t>
      </w:r>
      <w:proofErr w:type="spellStart"/>
      <w:r w:rsidRPr="005A36C0">
        <w:t>Harriss</w:t>
      </w:r>
      <w:proofErr w:type="spellEnd"/>
      <w:r w:rsidRPr="005A36C0">
        <w:t xml:space="preserve"> R.C., Shorter J.H., Kolb C.E., McManus J.B., </w:t>
      </w:r>
      <w:proofErr w:type="spellStart"/>
      <w:r>
        <w:t>Allwine</w:t>
      </w:r>
      <w:proofErr w:type="spellEnd"/>
      <w:r>
        <w:t xml:space="preserve"> E.,</w:t>
      </w:r>
      <w:r w:rsidRPr="005A36C0">
        <w:t xml:space="preserve"> Lamb B.K.</w:t>
      </w:r>
      <w:r>
        <w:t>,</w:t>
      </w:r>
      <w:r w:rsidRPr="005A36C0">
        <w:t xml:space="preserve"> 1999</w:t>
      </w:r>
      <w:r>
        <w:t>,</w:t>
      </w:r>
      <w:r w:rsidRPr="005A36C0">
        <w:t xml:space="preserve"> Methane emissions at nine landfill sites in the </w:t>
      </w:r>
      <w:proofErr w:type="spellStart"/>
      <w:r w:rsidRPr="005A36C0">
        <w:t>northeastern</w:t>
      </w:r>
      <w:proofErr w:type="spellEnd"/>
      <w:r w:rsidRPr="005A36C0">
        <w:t xml:space="preserve"> United States</w:t>
      </w:r>
      <w:r>
        <w:t>,</w:t>
      </w:r>
      <w:r w:rsidRPr="005A36C0">
        <w:t xml:space="preserve"> Environmental </w:t>
      </w:r>
      <w:r>
        <w:t>S</w:t>
      </w:r>
      <w:r w:rsidRPr="005A36C0">
        <w:t xml:space="preserve">cience &amp; </w:t>
      </w:r>
      <w:r>
        <w:t>T</w:t>
      </w:r>
      <w:r w:rsidRPr="005A36C0">
        <w:t>echnology, 33</w:t>
      </w:r>
      <w:r>
        <w:t xml:space="preserve">, </w:t>
      </w:r>
      <w:r w:rsidRPr="005A36C0">
        <w:t>12, 2088-2094.</w:t>
      </w:r>
    </w:p>
    <w:p w14:paraId="1964A7B8" w14:textId="2F7406BE" w:rsidR="001B31CD" w:rsidRDefault="001B31CD" w:rsidP="0052398E">
      <w:pPr>
        <w:pStyle w:val="CETReferencetext"/>
      </w:pPr>
      <w:r w:rsidRPr="001B31CD">
        <w:rPr>
          <w:lang w:val="en-US"/>
        </w:rPr>
        <w:t xml:space="preserve">Polvara E., </w:t>
      </w:r>
      <w:proofErr w:type="spellStart"/>
      <w:r w:rsidRPr="001B31CD">
        <w:rPr>
          <w:lang w:val="en-US"/>
        </w:rPr>
        <w:t>Ashari</w:t>
      </w:r>
      <w:proofErr w:type="spellEnd"/>
      <w:r w:rsidRPr="001B31CD">
        <w:rPr>
          <w:lang w:val="en-US"/>
        </w:rPr>
        <w:t xml:space="preserve"> B.E., Capelli L., Sironi S., 2021</w:t>
      </w:r>
      <w:r>
        <w:rPr>
          <w:lang w:val="en-US"/>
        </w:rPr>
        <w:t xml:space="preserve">, </w:t>
      </w:r>
      <w:r w:rsidRPr="001B31CD">
        <w:t xml:space="preserve">Evaluation of Occupational Exposure Risk for Employees Working in Dynamic Olfactometry: Focus </w:t>
      </w:r>
      <w:r w:rsidR="00155A45">
        <w:t>o</w:t>
      </w:r>
      <w:r w:rsidRPr="001B31CD">
        <w:t>n Non-Carcinogenic Effects Correlated with Exposure to Landfill Emissions</w:t>
      </w:r>
      <w:r>
        <w:t>,</w:t>
      </w:r>
      <w:r w:rsidRPr="001B31CD">
        <w:t xml:space="preserve"> Atmosphere</w:t>
      </w:r>
      <w:r>
        <w:t>,</w:t>
      </w:r>
      <w:r w:rsidRPr="001B31CD">
        <w:t xml:space="preserve"> 12</w:t>
      </w:r>
      <w:r>
        <w:t xml:space="preserve">, </w:t>
      </w:r>
      <w:r w:rsidRPr="001B31CD">
        <w:t>10</w:t>
      </w:r>
      <w:r>
        <w:t>,</w:t>
      </w:r>
      <w:r w:rsidRPr="001B31CD">
        <w:t xml:space="preserve"> 1325.</w:t>
      </w:r>
    </w:p>
    <w:p w14:paraId="11337F11" w14:textId="4F61E324" w:rsidR="007E7E4A" w:rsidRDefault="007E7E4A" w:rsidP="0052398E">
      <w:pPr>
        <w:pStyle w:val="CETReferencetext"/>
      </w:pPr>
      <w:r w:rsidRPr="007E7E4A">
        <w:rPr>
          <w:lang w:val="en-US"/>
        </w:rPr>
        <w:t xml:space="preserve">van den </w:t>
      </w:r>
      <w:proofErr w:type="spellStart"/>
      <w:r w:rsidRPr="007E7E4A">
        <w:rPr>
          <w:lang w:val="en-US"/>
        </w:rPr>
        <w:t>Bossche</w:t>
      </w:r>
      <w:proofErr w:type="spellEnd"/>
      <w:r w:rsidRPr="007E7E4A">
        <w:rPr>
          <w:lang w:val="en-US"/>
        </w:rPr>
        <w:t xml:space="preserve"> M., Rose N.T., De </w:t>
      </w:r>
      <w:proofErr w:type="spellStart"/>
      <w:r w:rsidRPr="007E7E4A">
        <w:rPr>
          <w:lang w:val="en-US"/>
        </w:rPr>
        <w:t>Wekker</w:t>
      </w:r>
      <w:proofErr w:type="spellEnd"/>
      <w:r w:rsidRPr="007E7E4A">
        <w:rPr>
          <w:lang w:val="en-US"/>
        </w:rPr>
        <w:t xml:space="preserve"> S.F.J., 2017</w:t>
      </w:r>
      <w:r>
        <w:rPr>
          <w:lang w:val="en-US"/>
        </w:rPr>
        <w:t>,</w:t>
      </w:r>
      <w:r w:rsidRPr="007E7E4A">
        <w:rPr>
          <w:lang w:val="en-US"/>
        </w:rPr>
        <w:t xml:space="preserve"> </w:t>
      </w:r>
      <w:r w:rsidRPr="007E7E4A">
        <w:t>Potential of a low-cost gas sensor for atmospheric methane monitoring</w:t>
      </w:r>
      <w:r>
        <w:t>,</w:t>
      </w:r>
      <w:r w:rsidRPr="007E7E4A">
        <w:t xml:space="preserve"> Sensors and Actuators B: Chemical, 238, 501-509.</w:t>
      </w:r>
    </w:p>
    <w:p w14:paraId="0214789A" w14:textId="5382B550" w:rsidR="00082359" w:rsidRDefault="00082359" w:rsidP="0052398E">
      <w:pPr>
        <w:pStyle w:val="CETReferencetext"/>
      </w:pPr>
      <w:r w:rsidRPr="00082359">
        <w:t xml:space="preserve">You Y., </w:t>
      </w:r>
      <w:proofErr w:type="spellStart"/>
      <w:r w:rsidRPr="00082359">
        <w:t>Staebler</w:t>
      </w:r>
      <w:proofErr w:type="spellEnd"/>
      <w:r w:rsidRPr="00082359">
        <w:t xml:space="preserve"> R.M., Moussa S.G., Beck J., Mittermeier R.L.</w:t>
      </w:r>
      <w:r>
        <w:t>,</w:t>
      </w:r>
      <w:r w:rsidRPr="00082359">
        <w:t xml:space="preserve"> 2021</w:t>
      </w:r>
      <w:r>
        <w:t>,</w:t>
      </w:r>
      <w:r w:rsidRPr="00082359">
        <w:t xml:space="preserve"> Methane emissions from an oil sands tailings pond: a quantitative comparison of fluxes derived by different methods</w:t>
      </w:r>
      <w:r>
        <w:t>,</w:t>
      </w:r>
      <w:r w:rsidRPr="00082359">
        <w:t xml:space="preserve"> Atmospheric Measurement Techniques, 14</w:t>
      </w:r>
      <w:r>
        <w:t xml:space="preserve">, </w:t>
      </w:r>
      <w:r w:rsidRPr="00082359">
        <w:t>3, 1879-1892.</w:t>
      </w:r>
    </w:p>
    <w:p w14:paraId="3F08D62E" w14:textId="32275F80" w:rsidR="00155A45" w:rsidRDefault="00155A45" w:rsidP="00EC46D8">
      <w:pPr>
        <w:pStyle w:val="CETReferencetext"/>
      </w:pPr>
      <w:r w:rsidRPr="00155A45">
        <w:rPr>
          <w:lang w:val="en-US"/>
        </w:rPr>
        <w:t xml:space="preserve">Zhang C., Xu T., Feng H., Chen S., 2019, </w:t>
      </w:r>
      <w:r w:rsidRPr="00155A45">
        <w:t>Greenhouse Gas Emissions from Landfills: A Review and Bibliometric Analysis</w:t>
      </w:r>
      <w:r>
        <w:t>,</w:t>
      </w:r>
      <w:r w:rsidRPr="00155A45">
        <w:t xml:space="preserve"> Sustainability</w:t>
      </w:r>
      <w:r w:rsidR="005F6027">
        <w:t>,</w:t>
      </w:r>
      <w:r w:rsidRPr="00155A45">
        <w:t xml:space="preserve"> 1</w:t>
      </w:r>
      <w:r>
        <w:t xml:space="preserve">, </w:t>
      </w:r>
      <w:r w:rsidRPr="00155A45">
        <w:t>8</w:t>
      </w:r>
      <w:r>
        <w:t>,</w:t>
      </w:r>
      <w:r w:rsidRPr="00155A45">
        <w:t xml:space="preserve"> 2282</w:t>
      </w:r>
      <w:r>
        <w:t>.</w:t>
      </w:r>
    </w:p>
    <w:sectPr w:rsidR="00155A45" w:rsidSect="00083EA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8B35" w14:textId="77777777" w:rsidR="00312CE6" w:rsidRDefault="00312CE6" w:rsidP="004F5E36">
      <w:r>
        <w:separator/>
      </w:r>
    </w:p>
  </w:endnote>
  <w:endnote w:type="continuationSeparator" w:id="0">
    <w:p w14:paraId="4D88A252" w14:textId="77777777" w:rsidR="00312CE6" w:rsidRDefault="00312CE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20007A87" w:usb1="80000000" w:usb2="00000008" w:usb3="00000000" w:csb0="000001F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03618" w14:textId="77777777" w:rsidR="00312CE6" w:rsidRDefault="00312CE6" w:rsidP="004F5E36">
      <w:r>
        <w:separator/>
      </w:r>
    </w:p>
  </w:footnote>
  <w:footnote w:type="continuationSeparator" w:id="0">
    <w:p w14:paraId="2C7BCB2B" w14:textId="77777777" w:rsidR="00312CE6" w:rsidRDefault="00312CE6"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D0F"/>
    <w:rsid w:val="000052FB"/>
    <w:rsid w:val="00007185"/>
    <w:rsid w:val="00007351"/>
    <w:rsid w:val="00010BCA"/>
    <w:rsid w:val="000117CB"/>
    <w:rsid w:val="00013785"/>
    <w:rsid w:val="00015675"/>
    <w:rsid w:val="00026CD2"/>
    <w:rsid w:val="0003148D"/>
    <w:rsid w:val="00031EEC"/>
    <w:rsid w:val="0003562E"/>
    <w:rsid w:val="00051566"/>
    <w:rsid w:val="000578D9"/>
    <w:rsid w:val="000608BE"/>
    <w:rsid w:val="00062A9A"/>
    <w:rsid w:val="00065058"/>
    <w:rsid w:val="00074B1E"/>
    <w:rsid w:val="0007600B"/>
    <w:rsid w:val="00077CEC"/>
    <w:rsid w:val="00082359"/>
    <w:rsid w:val="00083EAE"/>
    <w:rsid w:val="00084B43"/>
    <w:rsid w:val="00084B7F"/>
    <w:rsid w:val="00086C39"/>
    <w:rsid w:val="000A03B2"/>
    <w:rsid w:val="000A469E"/>
    <w:rsid w:val="000A5F93"/>
    <w:rsid w:val="000B4694"/>
    <w:rsid w:val="000D0268"/>
    <w:rsid w:val="000D34BE"/>
    <w:rsid w:val="000D58C3"/>
    <w:rsid w:val="000E091F"/>
    <w:rsid w:val="000E102F"/>
    <w:rsid w:val="000E36F1"/>
    <w:rsid w:val="000E3A73"/>
    <w:rsid w:val="000E414A"/>
    <w:rsid w:val="000E61B1"/>
    <w:rsid w:val="000F093C"/>
    <w:rsid w:val="000F787B"/>
    <w:rsid w:val="00103EE9"/>
    <w:rsid w:val="0012091F"/>
    <w:rsid w:val="00121060"/>
    <w:rsid w:val="00126BC2"/>
    <w:rsid w:val="00126FCD"/>
    <w:rsid w:val="001308B6"/>
    <w:rsid w:val="0013121F"/>
    <w:rsid w:val="00131FE6"/>
    <w:rsid w:val="0013263F"/>
    <w:rsid w:val="001331DF"/>
    <w:rsid w:val="00134DE4"/>
    <w:rsid w:val="0013500F"/>
    <w:rsid w:val="0014034D"/>
    <w:rsid w:val="00144D16"/>
    <w:rsid w:val="00150E59"/>
    <w:rsid w:val="00152DE3"/>
    <w:rsid w:val="00155A45"/>
    <w:rsid w:val="00164CF9"/>
    <w:rsid w:val="001667A6"/>
    <w:rsid w:val="00170F43"/>
    <w:rsid w:val="00172A09"/>
    <w:rsid w:val="00180829"/>
    <w:rsid w:val="00184AD6"/>
    <w:rsid w:val="001A0376"/>
    <w:rsid w:val="001A1913"/>
    <w:rsid w:val="001A4AF7"/>
    <w:rsid w:val="001B0349"/>
    <w:rsid w:val="001B1E93"/>
    <w:rsid w:val="001B31CD"/>
    <w:rsid w:val="001B46D9"/>
    <w:rsid w:val="001B65C1"/>
    <w:rsid w:val="001C684B"/>
    <w:rsid w:val="001D0CFB"/>
    <w:rsid w:val="001D21AF"/>
    <w:rsid w:val="001D53FC"/>
    <w:rsid w:val="001F42A5"/>
    <w:rsid w:val="001F7B9D"/>
    <w:rsid w:val="00200D7F"/>
    <w:rsid w:val="00201C93"/>
    <w:rsid w:val="002177E9"/>
    <w:rsid w:val="002224B4"/>
    <w:rsid w:val="002341C8"/>
    <w:rsid w:val="002366F9"/>
    <w:rsid w:val="002447EF"/>
    <w:rsid w:val="00251550"/>
    <w:rsid w:val="00263B05"/>
    <w:rsid w:val="0027221A"/>
    <w:rsid w:val="00275361"/>
    <w:rsid w:val="00275B61"/>
    <w:rsid w:val="00280FAF"/>
    <w:rsid w:val="00282656"/>
    <w:rsid w:val="002901F4"/>
    <w:rsid w:val="00290AA0"/>
    <w:rsid w:val="00296B83"/>
    <w:rsid w:val="002A1629"/>
    <w:rsid w:val="002B4015"/>
    <w:rsid w:val="002B5A68"/>
    <w:rsid w:val="002B78CE"/>
    <w:rsid w:val="002C205B"/>
    <w:rsid w:val="002C2FB6"/>
    <w:rsid w:val="002C3EDC"/>
    <w:rsid w:val="002D233B"/>
    <w:rsid w:val="002E5FA7"/>
    <w:rsid w:val="002F3309"/>
    <w:rsid w:val="002F38E2"/>
    <w:rsid w:val="002F6C6E"/>
    <w:rsid w:val="003008CE"/>
    <w:rsid w:val="003009B7"/>
    <w:rsid w:val="00300E56"/>
    <w:rsid w:val="0030469C"/>
    <w:rsid w:val="00311170"/>
    <w:rsid w:val="00312CE6"/>
    <w:rsid w:val="00321CA6"/>
    <w:rsid w:val="00323763"/>
    <w:rsid w:val="00323C5F"/>
    <w:rsid w:val="00327FEE"/>
    <w:rsid w:val="00333DFD"/>
    <w:rsid w:val="00334C09"/>
    <w:rsid w:val="00340077"/>
    <w:rsid w:val="003444D7"/>
    <w:rsid w:val="00357FC7"/>
    <w:rsid w:val="003723D4"/>
    <w:rsid w:val="00380F6C"/>
    <w:rsid w:val="00381905"/>
    <w:rsid w:val="00383E58"/>
    <w:rsid w:val="00384CC8"/>
    <w:rsid w:val="003871FD"/>
    <w:rsid w:val="0039275E"/>
    <w:rsid w:val="003A1E30"/>
    <w:rsid w:val="003A2829"/>
    <w:rsid w:val="003A7D1C"/>
    <w:rsid w:val="003B304B"/>
    <w:rsid w:val="003B3146"/>
    <w:rsid w:val="003B5A14"/>
    <w:rsid w:val="003C25BF"/>
    <w:rsid w:val="003D55BB"/>
    <w:rsid w:val="003F015E"/>
    <w:rsid w:val="003F3FE9"/>
    <w:rsid w:val="003F479D"/>
    <w:rsid w:val="00400414"/>
    <w:rsid w:val="004011BA"/>
    <w:rsid w:val="004019E1"/>
    <w:rsid w:val="00403077"/>
    <w:rsid w:val="0041446B"/>
    <w:rsid w:val="0042554E"/>
    <w:rsid w:val="0044071E"/>
    <w:rsid w:val="0044329C"/>
    <w:rsid w:val="00453E24"/>
    <w:rsid w:val="0045558C"/>
    <w:rsid w:val="00457456"/>
    <w:rsid w:val="004577FE"/>
    <w:rsid w:val="00457B9C"/>
    <w:rsid w:val="0046164A"/>
    <w:rsid w:val="004628D2"/>
    <w:rsid w:val="00462DCD"/>
    <w:rsid w:val="00463EDA"/>
    <w:rsid w:val="004648AD"/>
    <w:rsid w:val="004703A9"/>
    <w:rsid w:val="004760DE"/>
    <w:rsid w:val="004763D7"/>
    <w:rsid w:val="00481EAA"/>
    <w:rsid w:val="004972BE"/>
    <w:rsid w:val="004A004E"/>
    <w:rsid w:val="004A24CF"/>
    <w:rsid w:val="004A34C5"/>
    <w:rsid w:val="004A7383"/>
    <w:rsid w:val="004B1743"/>
    <w:rsid w:val="004C3D1D"/>
    <w:rsid w:val="004C3D84"/>
    <w:rsid w:val="004C67EF"/>
    <w:rsid w:val="004C7913"/>
    <w:rsid w:val="004D2840"/>
    <w:rsid w:val="004E17B1"/>
    <w:rsid w:val="004E4DD6"/>
    <w:rsid w:val="004F0216"/>
    <w:rsid w:val="004F5E36"/>
    <w:rsid w:val="00507B47"/>
    <w:rsid w:val="00507BEF"/>
    <w:rsid w:val="00507CC9"/>
    <w:rsid w:val="005119A5"/>
    <w:rsid w:val="0052398E"/>
    <w:rsid w:val="005278B7"/>
    <w:rsid w:val="00532016"/>
    <w:rsid w:val="005346C8"/>
    <w:rsid w:val="00543863"/>
    <w:rsid w:val="00543E7D"/>
    <w:rsid w:val="00547A68"/>
    <w:rsid w:val="005531C9"/>
    <w:rsid w:val="00570C43"/>
    <w:rsid w:val="005711B7"/>
    <w:rsid w:val="00574C9B"/>
    <w:rsid w:val="00592D7C"/>
    <w:rsid w:val="00594898"/>
    <w:rsid w:val="005968E3"/>
    <w:rsid w:val="005A3323"/>
    <w:rsid w:val="005A36C0"/>
    <w:rsid w:val="005B2110"/>
    <w:rsid w:val="005B61E6"/>
    <w:rsid w:val="005C4E42"/>
    <w:rsid w:val="005C77E1"/>
    <w:rsid w:val="005D1A98"/>
    <w:rsid w:val="005D668A"/>
    <w:rsid w:val="005D6A2F"/>
    <w:rsid w:val="005E1A82"/>
    <w:rsid w:val="005E794C"/>
    <w:rsid w:val="005F0A28"/>
    <w:rsid w:val="005F0E5E"/>
    <w:rsid w:val="005F2905"/>
    <w:rsid w:val="005F2974"/>
    <w:rsid w:val="005F4BF8"/>
    <w:rsid w:val="005F6027"/>
    <w:rsid w:val="00600535"/>
    <w:rsid w:val="006063C2"/>
    <w:rsid w:val="00610CD6"/>
    <w:rsid w:val="00611156"/>
    <w:rsid w:val="0061225A"/>
    <w:rsid w:val="00620DEE"/>
    <w:rsid w:val="00621F92"/>
    <w:rsid w:val="0062280A"/>
    <w:rsid w:val="00625639"/>
    <w:rsid w:val="0062679A"/>
    <w:rsid w:val="00627047"/>
    <w:rsid w:val="00631B33"/>
    <w:rsid w:val="0064184D"/>
    <w:rsid w:val="006422CC"/>
    <w:rsid w:val="0064611C"/>
    <w:rsid w:val="006473FB"/>
    <w:rsid w:val="00657304"/>
    <w:rsid w:val="00660E3E"/>
    <w:rsid w:val="006621A7"/>
    <w:rsid w:val="00662E74"/>
    <w:rsid w:val="00671DC7"/>
    <w:rsid w:val="00673193"/>
    <w:rsid w:val="00680C23"/>
    <w:rsid w:val="006875AB"/>
    <w:rsid w:val="00691B47"/>
    <w:rsid w:val="00693766"/>
    <w:rsid w:val="00697092"/>
    <w:rsid w:val="006A3281"/>
    <w:rsid w:val="006A69B8"/>
    <w:rsid w:val="006B4888"/>
    <w:rsid w:val="006B5269"/>
    <w:rsid w:val="006C2E45"/>
    <w:rsid w:val="006C359C"/>
    <w:rsid w:val="006C5579"/>
    <w:rsid w:val="006D6E8B"/>
    <w:rsid w:val="006E737D"/>
    <w:rsid w:val="006E73C1"/>
    <w:rsid w:val="006F730F"/>
    <w:rsid w:val="006F73B8"/>
    <w:rsid w:val="006F7E0B"/>
    <w:rsid w:val="00704C15"/>
    <w:rsid w:val="007123C1"/>
    <w:rsid w:val="00713973"/>
    <w:rsid w:val="0071667D"/>
    <w:rsid w:val="00720A24"/>
    <w:rsid w:val="007218FE"/>
    <w:rsid w:val="00732386"/>
    <w:rsid w:val="0073514D"/>
    <w:rsid w:val="0074059C"/>
    <w:rsid w:val="007447F3"/>
    <w:rsid w:val="0075499F"/>
    <w:rsid w:val="007661C8"/>
    <w:rsid w:val="00770932"/>
    <w:rsid w:val="0077098D"/>
    <w:rsid w:val="00773BE8"/>
    <w:rsid w:val="007931FA"/>
    <w:rsid w:val="00797130"/>
    <w:rsid w:val="007A4861"/>
    <w:rsid w:val="007A7BBA"/>
    <w:rsid w:val="007B0C50"/>
    <w:rsid w:val="007B48F9"/>
    <w:rsid w:val="007C1A43"/>
    <w:rsid w:val="007E7E4A"/>
    <w:rsid w:val="0080013E"/>
    <w:rsid w:val="00807FB2"/>
    <w:rsid w:val="00813288"/>
    <w:rsid w:val="008168FC"/>
    <w:rsid w:val="00820684"/>
    <w:rsid w:val="00830996"/>
    <w:rsid w:val="008345F1"/>
    <w:rsid w:val="00844085"/>
    <w:rsid w:val="00847293"/>
    <w:rsid w:val="00865B07"/>
    <w:rsid w:val="008667EA"/>
    <w:rsid w:val="00866AD0"/>
    <w:rsid w:val="008676B0"/>
    <w:rsid w:val="0087637F"/>
    <w:rsid w:val="008816AC"/>
    <w:rsid w:val="00890BDF"/>
    <w:rsid w:val="00892AD5"/>
    <w:rsid w:val="008958B8"/>
    <w:rsid w:val="0089633E"/>
    <w:rsid w:val="008A1512"/>
    <w:rsid w:val="008A27D9"/>
    <w:rsid w:val="008D32B9"/>
    <w:rsid w:val="008D433B"/>
    <w:rsid w:val="008D4A16"/>
    <w:rsid w:val="008E566E"/>
    <w:rsid w:val="008E7DD6"/>
    <w:rsid w:val="0090161A"/>
    <w:rsid w:val="00901EB6"/>
    <w:rsid w:val="00904C62"/>
    <w:rsid w:val="00922BA8"/>
    <w:rsid w:val="00924DAC"/>
    <w:rsid w:val="00927058"/>
    <w:rsid w:val="009351F6"/>
    <w:rsid w:val="00942750"/>
    <w:rsid w:val="009450CE"/>
    <w:rsid w:val="00947179"/>
    <w:rsid w:val="0095164B"/>
    <w:rsid w:val="00954090"/>
    <w:rsid w:val="00956090"/>
    <w:rsid w:val="009573E7"/>
    <w:rsid w:val="00963E05"/>
    <w:rsid w:val="00964A45"/>
    <w:rsid w:val="00967843"/>
    <w:rsid w:val="00967D54"/>
    <w:rsid w:val="00971028"/>
    <w:rsid w:val="00971C82"/>
    <w:rsid w:val="00990D19"/>
    <w:rsid w:val="009915B7"/>
    <w:rsid w:val="0099186A"/>
    <w:rsid w:val="009923CE"/>
    <w:rsid w:val="00993B84"/>
    <w:rsid w:val="00996483"/>
    <w:rsid w:val="00996F5A"/>
    <w:rsid w:val="009A223C"/>
    <w:rsid w:val="009B041A"/>
    <w:rsid w:val="009B5CE7"/>
    <w:rsid w:val="009C2908"/>
    <w:rsid w:val="009C37C3"/>
    <w:rsid w:val="009C7C86"/>
    <w:rsid w:val="009D2FF7"/>
    <w:rsid w:val="009D681B"/>
    <w:rsid w:val="009E7884"/>
    <w:rsid w:val="009E788A"/>
    <w:rsid w:val="009F0E08"/>
    <w:rsid w:val="009F5711"/>
    <w:rsid w:val="00A12097"/>
    <w:rsid w:val="00A14AEF"/>
    <w:rsid w:val="00A14EEC"/>
    <w:rsid w:val="00A1763D"/>
    <w:rsid w:val="00A17CEC"/>
    <w:rsid w:val="00A24AF6"/>
    <w:rsid w:val="00A27EF0"/>
    <w:rsid w:val="00A42361"/>
    <w:rsid w:val="00A434A9"/>
    <w:rsid w:val="00A50B20"/>
    <w:rsid w:val="00A51390"/>
    <w:rsid w:val="00A60D13"/>
    <w:rsid w:val="00A664E7"/>
    <w:rsid w:val="00A7223D"/>
    <w:rsid w:val="00A72745"/>
    <w:rsid w:val="00A754C5"/>
    <w:rsid w:val="00A76EFC"/>
    <w:rsid w:val="00A840B2"/>
    <w:rsid w:val="00A91010"/>
    <w:rsid w:val="00A97F29"/>
    <w:rsid w:val="00AA2CF5"/>
    <w:rsid w:val="00AA584F"/>
    <w:rsid w:val="00AA702E"/>
    <w:rsid w:val="00AB0964"/>
    <w:rsid w:val="00AB5011"/>
    <w:rsid w:val="00AC7368"/>
    <w:rsid w:val="00AD16B9"/>
    <w:rsid w:val="00AE377D"/>
    <w:rsid w:val="00AE4F82"/>
    <w:rsid w:val="00AF0EBA"/>
    <w:rsid w:val="00B02C8A"/>
    <w:rsid w:val="00B035E2"/>
    <w:rsid w:val="00B131F0"/>
    <w:rsid w:val="00B149A4"/>
    <w:rsid w:val="00B17FBD"/>
    <w:rsid w:val="00B31154"/>
    <w:rsid w:val="00B315A6"/>
    <w:rsid w:val="00B31813"/>
    <w:rsid w:val="00B33365"/>
    <w:rsid w:val="00B35149"/>
    <w:rsid w:val="00B53B8F"/>
    <w:rsid w:val="00B57B36"/>
    <w:rsid w:val="00B57E6F"/>
    <w:rsid w:val="00B722FF"/>
    <w:rsid w:val="00B77B98"/>
    <w:rsid w:val="00B8686D"/>
    <w:rsid w:val="00B93F69"/>
    <w:rsid w:val="00BB1DDC"/>
    <w:rsid w:val="00BC30C9"/>
    <w:rsid w:val="00BD077D"/>
    <w:rsid w:val="00BE3E58"/>
    <w:rsid w:val="00BE5FAF"/>
    <w:rsid w:val="00C01616"/>
    <w:rsid w:val="00C0162B"/>
    <w:rsid w:val="00C01796"/>
    <w:rsid w:val="00C04C11"/>
    <w:rsid w:val="00C068ED"/>
    <w:rsid w:val="00C157E0"/>
    <w:rsid w:val="00C2079B"/>
    <w:rsid w:val="00C22E0C"/>
    <w:rsid w:val="00C345B1"/>
    <w:rsid w:val="00C40142"/>
    <w:rsid w:val="00C515E4"/>
    <w:rsid w:val="00C52C3C"/>
    <w:rsid w:val="00C55515"/>
    <w:rsid w:val="00C57182"/>
    <w:rsid w:val="00C57199"/>
    <w:rsid w:val="00C57863"/>
    <w:rsid w:val="00C57F5F"/>
    <w:rsid w:val="00C640AF"/>
    <w:rsid w:val="00C655FD"/>
    <w:rsid w:val="00C75407"/>
    <w:rsid w:val="00C83B98"/>
    <w:rsid w:val="00C870A8"/>
    <w:rsid w:val="00C87FCE"/>
    <w:rsid w:val="00C94434"/>
    <w:rsid w:val="00C958B7"/>
    <w:rsid w:val="00CA0D75"/>
    <w:rsid w:val="00CA1C95"/>
    <w:rsid w:val="00CA2F9B"/>
    <w:rsid w:val="00CA5A9C"/>
    <w:rsid w:val="00CA695D"/>
    <w:rsid w:val="00CB3FEF"/>
    <w:rsid w:val="00CC4C20"/>
    <w:rsid w:val="00CD3517"/>
    <w:rsid w:val="00CD5FE2"/>
    <w:rsid w:val="00CD799C"/>
    <w:rsid w:val="00CE2584"/>
    <w:rsid w:val="00CE4544"/>
    <w:rsid w:val="00CE7C68"/>
    <w:rsid w:val="00D02B4C"/>
    <w:rsid w:val="00D040C4"/>
    <w:rsid w:val="00D056E5"/>
    <w:rsid w:val="00D06672"/>
    <w:rsid w:val="00D07BE4"/>
    <w:rsid w:val="00D20AD1"/>
    <w:rsid w:val="00D24615"/>
    <w:rsid w:val="00D414BE"/>
    <w:rsid w:val="00D425E8"/>
    <w:rsid w:val="00D450FD"/>
    <w:rsid w:val="00D46B7E"/>
    <w:rsid w:val="00D54BA5"/>
    <w:rsid w:val="00D57735"/>
    <w:rsid w:val="00D57C84"/>
    <w:rsid w:val="00D6057D"/>
    <w:rsid w:val="00D7101C"/>
    <w:rsid w:val="00D71640"/>
    <w:rsid w:val="00D72E15"/>
    <w:rsid w:val="00D75369"/>
    <w:rsid w:val="00D836C5"/>
    <w:rsid w:val="00D84576"/>
    <w:rsid w:val="00DA1399"/>
    <w:rsid w:val="00DA24C6"/>
    <w:rsid w:val="00DA369E"/>
    <w:rsid w:val="00DA42C0"/>
    <w:rsid w:val="00DA4D7B"/>
    <w:rsid w:val="00DB104D"/>
    <w:rsid w:val="00DB3C13"/>
    <w:rsid w:val="00DB6670"/>
    <w:rsid w:val="00DD271C"/>
    <w:rsid w:val="00DE0465"/>
    <w:rsid w:val="00DE264A"/>
    <w:rsid w:val="00DF1CB6"/>
    <w:rsid w:val="00DF5072"/>
    <w:rsid w:val="00E02D18"/>
    <w:rsid w:val="00E041E7"/>
    <w:rsid w:val="00E23CA1"/>
    <w:rsid w:val="00E409A8"/>
    <w:rsid w:val="00E50C12"/>
    <w:rsid w:val="00E65B91"/>
    <w:rsid w:val="00E66442"/>
    <w:rsid w:val="00E7209D"/>
    <w:rsid w:val="00E72EAD"/>
    <w:rsid w:val="00E74522"/>
    <w:rsid w:val="00E77223"/>
    <w:rsid w:val="00E848BE"/>
    <w:rsid w:val="00E8528B"/>
    <w:rsid w:val="00E85AC1"/>
    <w:rsid w:val="00E85B94"/>
    <w:rsid w:val="00E93D47"/>
    <w:rsid w:val="00E978D0"/>
    <w:rsid w:val="00EA039D"/>
    <w:rsid w:val="00EA4613"/>
    <w:rsid w:val="00EA7F91"/>
    <w:rsid w:val="00EB1523"/>
    <w:rsid w:val="00EC0E49"/>
    <w:rsid w:val="00EC101F"/>
    <w:rsid w:val="00EC1D9F"/>
    <w:rsid w:val="00EC46D8"/>
    <w:rsid w:val="00ED632A"/>
    <w:rsid w:val="00EE0131"/>
    <w:rsid w:val="00EE0F02"/>
    <w:rsid w:val="00EE17B0"/>
    <w:rsid w:val="00EE4610"/>
    <w:rsid w:val="00EE57D2"/>
    <w:rsid w:val="00EF06D9"/>
    <w:rsid w:val="00EF697F"/>
    <w:rsid w:val="00EF7CA4"/>
    <w:rsid w:val="00F071D8"/>
    <w:rsid w:val="00F2223A"/>
    <w:rsid w:val="00F30C64"/>
    <w:rsid w:val="00F32B1C"/>
    <w:rsid w:val="00F32BA2"/>
    <w:rsid w:val="00F32CDB"/>
    <w:rsid w:val="00F551E4"/>
    <w:rsid w:val="00F565FE"/>
    <w:rsid w:val="00F63A70"/>
    <w:rsid w:val="00F63D8C"/>
    <w:rsid w:val="00F65589"/>
    <w:rsid w:val="00F706F6"/>
    <w:rsid w:val="00F7534E"/>
    <w:rsid w:val="00F75D77"/>
    <w:rsid w:val="00F7624F"/>
    <w:rsid w:val="00FA1802"/>
    <w:rsid w:val="00FA21D0"/>
    <w:rsid w:val="00FA5F5F"/>
    <w:rsid w:val="00FB30FF"/>
    <w:rsid w:val="00FB65BE"/>
    <w:rsid w:val="00FB730C"/>
    <w:rsid w:val="00FC0F58"/>
    <w:rsid w:val="00FC2695"/>
    <w:rsid w:val="00FC3E03"/>
    <w:rsid w:val="00FC3FC1"/>
    <w:rsid w:val="00FD3AA6"/>
    <w:rsid w:val="00FE1667"/>
    <w:rsid w:val="00FF6847"/>
  </w:rsids>
  <m:mathPr>
    <m:mathFont m:val="Cambria Math"/>
    <m:brkBin m:val="before"/>
    <m:brkBinSub m:val="--"/>
    <m:smallFrac m:val="0"/>
    <m:dispDef/>
    <m:lMargin m:val="0"/>
    <m:rMargin m:val="0"/>
    <m:defJc m:val="centerGroup"/>
    <m:wrapIndent m:val="1440"/>
    <m:intLim m:val="subSup"/>
    <m:naryLim m:val="undOvr"/>
  </m:mathPr>
  <w:themeFontLang w:val="it-IT" w:eastAsia="zh-CN"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styleId="Menzionenonrisolta">
    <w:name w:val="Unresolved Mention"/>
    <w:basedOn w:val="Carpredefinitoparagrafo"/>
    <w:uiPriority w:val="99"/>
    <w:semiHidden/>
    <w:unhideWhenUsed/>
    <w:rsid w:val="00A434A9"/>
    <w:rPr>
      <w:color w:val="605E5C"/>
      <w:shd w:val="clear" w:color="auto" w:fill="E1DFDD"/>
    </w:rPr>
  </w:style>
  <w:style w:type="paragraph" w:customStyle="1" w:styleId="Tit">
    <w:name w:val="Tit"/>
    <w:basedOn w:val="Normale"/>
    <w:rsid w:val="004019E1"/>
    <w:pPr>
      <w:tabs>
        <w:tab w:val="clear" w:pos="7100"/>
      </w:tabs>
      <w:spacing w:line="240" w:lineRule="exact"/>
      <w:jc w:val="center"/>
    </w:pPr>
    <w:rPr>
      <w:rFonts w:ascii="Times New (W1)" w:hAnsi="Times New (W1)"/>
      <w:b/>
      <w:sz w:val="4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7904-6FB5-4C80-B98D-DBE905FC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3382</TotalTime>
  <Pages>6</Pages>
  <Words>3330</Words>
  <Characters>18986</Characters>
  <Application>Microsoft Office Word</Application>
  <DocSecurity>0</DocSecurity>
  <Lines>158</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Veronica Villa</cp:lastModifiedBy>
  <cp:revision>187</cp:revision>
  <cp:lastPrinted>2015-05-12T18:31:00Z</cp:lastPrinted>
  <dcterms:created xsi:type="dcterms:W3CDTF">2024-05-19T10:01:00Z</dcterms:created>
  <dcterms:modified xsi:type="dcterms:W3CDTF">2024-07-15T15:26:00Z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