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E50936">
        <w:trPr>
          <w:trHeight w:val="852"/>
          <w:jc w:val="center"/>
        </w:trPr>
        <w:tc>
          <w:tcPr>
            <w:tcW w:w="6940" w:type="dxa"/>
            <w:vMerge w:val="restart"/>
            <w:tcBorders>
              <w:right w:val="single" w:sz="4" w:space="0" w:color="auto"/>
            </w:tcBorders>
          </w:tcPr>
          <w:p w14:paraId="38C3D2BA" w14:textId="038E5330"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5570670"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323C5F">
              <w:rPr>
                <w:rFonts w:cs="Arial"/>
                <w:b/>
                <w:bCs/>
                <w:i/>
                <w:iCs/>
                <w:color w:val="000066"/>
                <w:sz w:val="22"/>
                <w:szCs w:val="22"/>
                <w:lang w:eastAsia="it-IT"/>
              </w:rPr>
              <w:t>5</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E50936">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E50936">
        <w:trPr>
          <w:trHeight w:val="68"/>
          <w:jc w:val="center"/>
        </w:trPr>
        <w:tc>
          <w:tcPr>
            <w:tcW w:w="8782" w:type="dxa"/>
            <w:gridSpan w:val="2"/>
          </w:tcPr>
          <w:p w14:paraId="4B0BB442" w14:textId="1EC8AE73"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323C5F">
              <w:rPr>
                <w:sz w:val="14"/>
                <w:szCs w:val="14"/>
                <w:lang w:val="it-IT"/>
              </w:rPr>
              <w:t>Selena Sironi, Laura Capelli</w:t>
            </w:r>
          </w:p>
          <w:p w14:paraId="1B0F1814" w14:textId="1C3DE831"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323C5F">
              <w:rPr>
                <w:rFonts w:ascii="Tahoma" w:hAnsi="Tahoma" w:cs="Tahoma"/>
                <w:sz w:val="14"/>
                <w:szCs w:val="14"/>
              </w:rPr>
              <w:t>4</w:t>
            </w:r>
            <w:r w:rsidR="00D46B7E">
              <w:rPr>
                <w:rFonts w:ascii="Tahoma" w:hAnsi="Tahoma" w:cs="Tahoma"/>
                <w:sz w:val="14"/>
                <w:szCs w:val="14"/>
              </w:rPr>
              <w:t>-</w:t>
            </w:r>
            <w:r w:rsidR="00323C5F">
              <w:rPr>
                <w:rFonts w:ascii="Tahoma" w:hAnsi="Tahoma" w:cs="Tahoma"/>
                <w:sz w:val="14"/>
                <w:szCs w:val="14"/>
              </w:rPr>
              <w:t>5</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9A4335B" w14:textId="77777777" w:rsidR="00E50936" w:rsidRDefault="00E50936" w:rsidP="00E50936">
      <w:pPr>
        <w:rPr>
          <w:rFonts w:cs="Arial"/>
          <w:b/>
          <w:bCs/>
          <w:sz w:val="32"/>
          <w:szCs w:val="32"/>
        </w:rPr>
      </w:pPr>
    </w:p>
    <w:p w14:paraId="6D9E6AA5" w14:textId="68CBFADC" w:rsidR="00E50936" w:rsidRPr="00B658A4" w:rsidRDefault="00E50936" w:rsidP="00420E02">
      <w:pPr>
        <w:jc w:val="center"/>
        <w:rPr>
          <w:rFonts w:cs="Arial"/>
          <w:sz w:val="32"/>
          <w:szCs w:val="32"/>
        </w:rPr>
      </w:pPr>
      <w:r w:rsidRPr="00420E02">
        <w:rPr>
          <w:rFonts w:cs="Arial"/>
          <w:sz w:val="32"/>
          <w:szCs w:val="32"/>
        </w:rPr>
        <w:t>Expeditious calibration method for quantification of odorous mixtures via GC</w:t>
      </w:r>
    </w:p>
    <w:p w14:paraId="64D88029" w14:textId="455191F8" w:rsidR="001953CD" w:rsidRPr="00420E02" w:rsidRDefault="00277451" w:rsidP="006E4790">
      <w:pPr>
        <w:pStyle w:val="MDPI13authornames"/>
        <w:spacing w:before="240"/>
        <w:rPr>
          <w:rFonts w:ascii="Arial" w:hAnsi="Arial" w:cs="Arial"/>
          <w:b w:val="0"/>
          <w:i/>
          <w:sz w:val="24"/>
          <w:szCs w:val="24"/>
          <w:vertAlign w:val="superscript"/>
          <w:lang w:val="it-IT"/>
        </w:rPr>
      </w:pPr>
      <w:bookmarkStart w:id="0" w:name="_Hlk99535729"/>
      <w:r w:rsidRPr="00420E02">
        <w:rPr>
          <w:rFonts w:ascii="Arial" w:hAnsi="Arial" w:cs="Arial"/>
          <w:b w:val="0"/>
          <w:sz w:val="24"/>
          <w:szCs w:val="24"/>
          <w:lang w:val="it-IT"/>
        </w:rPr>
        <w:t>Elisa Polvara</w:t>
      </w:r>
      <w:r>
        <w:rPr>
          <w:rFonts w:ascii="Arial" w:hAnsi="Arial" w:cs="Arial"/>
          <w:b w:val="0"/>
          <w:sz w:val="24"/>
          <w:szCs w:val="24"/>
          <w:lang w:val="it-IT"/>
        </w:rPr>
        <w:t>,</w:t>
      </w:r>
      <w:r w:rsidRPr="00420E02">
        <w:rPr>
          <w:rFonts w:ascii="Arial" w:hAnsi="Arial" w:cs="Arial"/>
          <w:b w:val="0"/>
          <w:sz w:val="24"/>
          <w:szCs w:val="24"/>
          <w:lang w:val="it-IT"/>
        </w:rPr>
        <w:t xml:space="preserve"> </w:t>
      </w:r>
      <w:r w:rsidR="001953CD" w:rsidRPr="00420E02">
        <w:rPr>
          <w:rFonts w:ascii="Arial" w:hAnsi="Arial" w:cs="Arial"/>
          <w:b w:val="0"/>
          <w:sz w:val="24"/>
          <w:szCs w:val="24"/>
          <w:lang w:val="it-IT"/>
        </w:rPr>
        <w:t>Lorenzo Sartore, Marzio Invernizzi* and Selena Sironi</w:t>
      </w:r>
    </w:p>
    <w:bookmarkEnd w:id="0"/>
    <w:p w14:paraId="6B2D21B3" w14:textId="1AFB00AC" w:rsidR="00B57E6F" w:rsidRPr="00C2098A" w:rsidRDefault="001953CD" w:rsidP="00B57E6F">
      <w:pPr>
        <w:pStyle w:val="CETAddress"/>
        <w:rPr>
          <w:lang w:val="it-IT"/>
        </w:rPr>
      </w:pPr>
      <w:r w:rsidRPr="00A06811">
        <w:rPr>
          <w:lang w:val="it-IT"/>
        </w:rPr>
        <w:t>Politecnico di Milano, Department of Chemistry, Materials and Chemical Engineering “Giulio Natta”, Piazza Leonardo da Vinci 32, 20133, Milano, Italy</w:t>
      </w:r>
      <w:r w:rsidRPr="00C2098A">
        <w:rPr>
          <w:lang w:val="it-IT"/>
        </w:rPr>
        <w:t xml:space="preserve"> </w:t>
      </w:r>
    </w:p>
    <w:p w14:paraId="73F1267A" w14:textId="14BEB0E9" w:rsidR="00B57E6F" w:rsidRPr="00B57B36" w:rsidRDefault="001953CD" w:rsidP="00B57E6F">
      <w:pPr>
        <w:pStyle w:val="CETemail"/>
      </w:pPr>
      <w:r w:rsidRPr="006B4CB5">
        <w:t>marzio.invernizzi@polimi.it</w:t>
      </w:r>
      <w:r w:rsidRPr="00B57B36">
        <w:t xml:space="preserve"> </w:t>
      </w:r>
    </w:p>
    <w:p w14:paraId="7D161BB0" w14:textId="77777777" w:rsidR="002832B3" w:rsidRPr="00A07572" w:rsidRDefault="002832B3" w:rsidP="002832B3">
      <w:pPr>
        <w:rPr>
          <w:rFonts w:cs="Arial"/>
          <w:szCs w:val="18"/>
        </w:rPr>
      </w:pPr>
      <w:r w:rsidRPr="00FC46E2">
        <w:rPr>
          <w:rFonts w:cs="Arial"/>
          <w:szCs w:val="18"/>
        </w:rPr>
        <w:t>A</w:t>
      </w:r>
      <w:r w:rsidRPr="00A07572">
        <w:rPr>
          <w:rFonts w:cs="Arial"/>
          <w:szCs w:val="18"/>
        </w:rPr>
        <w:t>n odour sample is</w:t>
      </w:r>
      <w:r w:rsidRPr="00FC46E2">
        <w:rPr>
          <w:rFonts w:cs="Arial"/>
          <w:szCs w:val="18"/>
        </w:rPr>
        <w:t xml:space="preserve"> generally</w:t>
      </w:r>
      <w:r w:rsidRPr="00A07572">
        <w:rPr>
          <w:rFonts w:cs="Arial"/>
          <w:szCs w:val="18"/>
        </w:rPr>
        <w:t xml:space="preserve"> a complex matrix consisting of numerous molecules (mostly volatile organic compounds, VOCs) chemically different from </w:t>
      </w:r>
      <w:r w:rsidRPr="00FC46E2">
        <w:rPr>
          <w:rFonts w:cs="Arial"/>
          <w:szCs w:val="18"/>
        </w:rPr>
        <w:t>each other,</w:t>
      </w:r>
      <w:r w:rsidRPr="00A07572">
        <w:rPr>
          <w:rFonts w:cs="Arial"/>
          <w:szCs w:val="18"/>
        </w:rPr>
        <w:t xml:space="preserve"> and which can be perceived by the human nose. </w:t>
      </w:r>
    </w:p>
    <w:p w14:paraId="3ED64E42" w14:textId="3956E741" w:rsidR="00E50936" w:rsidRPr="00E50936" w:rsidRDefault="00E50936" w:rsidP="00E50936">
      <w:pPr>
        <w:pStyle w:val="CETBodytext"/>
        <w:rPr>
          <w:lang w:val="en-GB"/>
        </w:rPr>
      </w:pPr>
      <w:r w:rsidRPr="00E50936">
        <w:rPr>
          <w:lang w:val="en-GB"/>
        </w:rPr>
        <w:t xml:space="preserve">In order to chemically characterize this complex gaseous matrix, </w:t>
      </w:r>
      <w:r w:rsidR="0068669F">
        <w:rPr>
          <w:lang w:val="en-GB"/>
        </w:rPr>
        <w:t>gas-</w:t>
      </w:r>
      <w:r w:rsidR="005303F5" w:rsidRPr="00E50936">
        <w:rPr>
          <w:lang w:val="en-GB"/>
        </w:rPr>
        <w:t>chromatography (</w:t>
      </w:r>
      <w:r w:rsidRPr="00E50936">
        <w:rPr>
          <w:lang w:val="en-GB"/>
        </w:rPr>
        <w:t xml:space="preserve">GC) is commonly used. By this analytical technique, it is possible to obtain the resolution of odour gaseous mixtures </w:t>
      </w:r>
      <w:r w:rsidR="00106494">
        <w:rPr>
          <w:lang w:val="en-GB"/>
        </w:rPr>
        <w:t xml:space="preserve">in order to </w:t>
      </w:r>
      <w:r w:rsidRPr="00E50936">
        <w:rPr>
          <w:lang w:val="en-GB"/>
        </w:rPr>
        <w:t xml:space="preserve">qualify and quantify the compounds. </w:t>
      </w:r>
      <w:r w:rsidR="0068669F">
        <w:rPr>
          <w:lang w:val="en-GB"/>
        </w:rPr>
        <w:t>However, t</w:t>
      </w:r>
      <w:r w:rsidRPr="00E50936">
        <w:rPr>
          <w:lang w:val="en-GB"/>
        </w:rPr>
        <w:t>he quantification is</w:t>
      </w:r>
      <w:r w:rsidR="0068669F">
        <w:rPr>
          <w:lang w:val="en-GB"/>
        </w:rPr>
        <w:t xml:space="preserve"> </w:t>
      </w:r>
      <w:r w:rsidRPr="00E50936">
        <w:rPr>
          <w:lang w:val="en-GB"/>
        </w:rPr>
        <w:t>a tricky operation based on the comparison of the sample under examination with purpose-made gas mixtures containing a compound, chosen as a standard, at known concentration. Commonly, these mixtures are obtained from cylinders of compressed gases, the use of which involves problems relating to their management</w:t>
      </w:r>
      <w:r w:rsidR="00601A4F">
        <w:rPr>
          <w:lang w:val="en-GB"/>
        </w:rPr>
        <w:t>,</w:t>
      </w:r>
      <w:r w:rsidRPr="00E50936">
        <w:rPr>
          <w:lang w:val="en-GB"/>
        </w:rPr>
        <w:t xml:space="preserve"> </w:t>
      </w:r>
      <w:r w:rsidR="00106494">
        <w:rPr>
          <w:lang w:val="en-GB"/>
        </w:rPr>
        <w:t xml:space="preserve">thermodynamic equilibrium feasibility, </w:t>
      </w:r>
      <w:r w:rsidRPr="00E50936">
        <w:rPr>
          <w:lang w:val="en-GB"/>
        </w:rPr>
        <w:t>considerable economic outlay</w:t>
      </w:r>
      <w:r w:rsidR="00601A4F">
        <w:rPr>
          <w:lang w:val="en-GB"/>
        </w:rPr>
        <w:t xml:space="preserve"> and not-negligible procurement times</w:t>
      </w:r>
      <w:r w:rsidRPr="00E50936">
        <w:rPr>
          <w:lang w:val="en-GB"/>
        </w:rPr>
        <w:t xml:space="preserve">. </w:t>
      </w:r>
    </w:p>
    <w:p w14:paraId="25C66867" w14:textId="01A07AB5" w:rsidR="00760EA3" w:rsidRPr="00C55E06" w:rsidRDefault="00E50936" w:rsidP="00C55E06">
      <w:pPr>
        <w:pStyle w:val="CETBodytext"/>
        <w:rPr>
          <w:lang w:val="en-GB"/>
        </w:rPr>
      </w:pPr>
      <w:r w:rsidRPr="00E50936">
        <w:rPr>
          <w:lang w:val="en-GB"/>
        </w:rPr>
        <w:t xml:space="preserve">This paper describes a method, proposed as a versatile and simple alternative to the use of such cylinders, for preparing gaseous calibration standards at known concentration. The method involves the continuous injection of </w:t>
      </w:r>
      <w:r w:rsidR="00662DD3">
        <w:rPr>
          <w:lang w:val="en-GB"/>
        </w:rPr>
        <w:t>VOC</w:t>
      </w:r>
      <w:r w:rsidRPr="00E50936">
        <w:rPr>
          <w:lang w:val="en-GB"/>
        </w:rPr>
        <w:t xml:space="preserve"> in liquid form, by means of a syringe pump, into a stream of </w:t>
      </w:r>
      <w:r w:rsidR="00601A4F">
        <w:rPr>
          <w:lang w:val="en-GB"/>
        </w:rPr>
        <w:t>neutral</w:t>
      </w:r>
      <w:r w:rsidR="00601A4F" w:rsidRPr="00E50936">
        <w:rPr>
          <w:lang w:val="en-GB"/>
        </w:rPr>
        <w:t xml:space="preserve"> </w:t>
      </w:r>
      <w:r w:rsidRPr="00E50936">
        <w:rPr>
          <w:lang w:val="en-GB"/>
        </w:rPr>
        <w:t xml:space="preserve">gas, such as air or nitrogen, which acts as diluent gas, controlled by a mass flow meter. Exploiting the volatility of the compounds used, it is possible to generate a continuous gas stream, exiting the system, containing the </w:t>
      </w:r>
      <w:r w:rsidR="00C63CA2" w:rsidRPr="00E50936">
        <w:rPr>
          <w:lang w:val="en-GB"/>
        </w:rPr>
        <w:t>selected</w:t>
      </w:r>
      <w:r w:rsidRPr="00E50936">
        <w:rPr>
          <w:lang w:val="en-GB"/>
        </w:rPr>
        <w:t xml:space="preserve"> VOC at the desired concentration, which can be directly used as calibration standar</w:t>
      </w:r>
      <w:r w:rsidR="00A5506E">
        <w:rPr>
          <w:lang w:val="en-GB"/>
        </w:rPr>
        <w:t>d</w:t>
      </w:r>
      <w:r w:rsidRPr="00E50936">
        <w:rPr>
          <w:lang w:val="en-GB"/>
        </w:rPr>
        <w:t>.</w:t>
      </w:r>
    </w:p>
    <w:p w14:paraId="3F19689B" w14:textId="58C87A47" w:rsidR="00760EA3" w:rsidRPr="00760EA3" w:rsidRDefault="00760EA3" w:rsidP="00760EA3">
      <w:pPr>
        <w:pStyle w:val="CETHeading1"/>
      </w:pPr>
      <w:r w:rsidRPr="00760EA3">
        <w:t>Introduction</w:t>
      </w:r>
    </w:p>
    <w:p w14:paraId="3071CBBB" w14:textId="2D87AB1E" w:rsidR="00D46CE9" w:rsidRDefault="00D46CE9" w:rsidP="0097168A">
      <w:pPr>
        <w:pStyle w:val="CETBodytext"/>
      </w:pPr>
      <w:r>
        <w:t>An odorous sample is generally a complex matrix consisting of many different molecules, characterized by specific chemical-physical properties</w:t>
      </w:r>
      <w:r w:rsidR="00C63CA2">
        <w:t xml:space="preserve"> and</w:t>
      </w:r>
      <w:r>
        <w:t xml:space="preserve"> capable of being perceived by the human nose.</w:t>
      </w:r>
    </w:p>
    <w:p w14:paraId="2590D600" w14:textId="23F166D9" w:rsidR="0097168A" w:rsidRDefault="0097168A" w:rsidP="0097168A">
      <w:pPr>
        <w:pStyle w:val="CETBodytext"/>
      </w:pPr>
      <w:r>
        <w:t xml:space="preserve">Although </w:t>
      </w:r>
      <w:proofErr w:type="spellStart"/>
      <w:r>
        <w:t>odour</w:t>
      </w:r>
      <w:proofErr w:type="spellEnd"/>
      <w:r>
        <w:t xml:space="preserve"> nuisance is linked to the sensory perception of a </w:t>
      </w:r>
      <w:r w:rsidR="00C63CA2">
        <w:t>smell</w:t>
      </w:r>
      <w:r>
        <w:t xml:space="preserve">, generated </w:t>
      </w:r>
      <w:r w:rsidR="00C25C66">
        <w:t xml:space="preserve">often </w:t>
      </w:r>
      <w:r>
        <w:t>by volatile substances</w:t>
      </w:r>
      <w:r w:rsidR="00700E97">
        <w:t xml:space="preserve"> (VOCs</w:t>
      </w:r>
      <w:r w:rsidR="00AE3B2C">
        <w:t xml:space="preserve">) </w:t>
      </w:r>
      <w:r w:rsidR="003E7307">
        <w:fldChar w:fldCharType="begin" w:fldLock="1"/>
      </w:r>
      <w:r w:rsidR="00AF7564">
        <w:instrText>ADDIN CSL_CITATION {"citationItems":[{"id":"ITEM-1","itemData":{"DOI":"10.1016/b978-0-12-401735-1.00013-1","ISSN":"0752-5370","abstract":"Sensory analysis provides the whisky industry with a means of measuring and controlling flavour and associated characteristics that are central to the success of a product in the marketplace. Whiskies contain a complex range of naturally occurring compounds that give aroma, taste, mouthfeel, colour, and appearance, with different flavours being created through variations in the raw materials and production process. Sensory analysis involves aroma and taste tests carried out by trained assessors. These give a full representation of flavour, whereas instruments can currently only provide data on aspects of flavour through the measurement of levels of known flavour compounds. Sensory analysis can be time consuming, and the data produced can be subject to external influences. Therefore, it is vital to identify the points in the process where flavour control is required and then to use suitable tests, under carefully controlled conditions, in order to obtain the information required.","author":[{"dropping-particle":"","family":"EN ISO 5492","given":"","non-dropping-particle":"","parse-names":false,"suffix":""}],"id":"ITEM-1","issued":{"date-parts":[["2017"]]},"title":"Sensory analysis","type":"article"},"uris":["http://www.mendeley.com/documents/?uuid=21d2024d-7cd8-4fe3-96e3-aa62500ba09a"]}],"mendeley":{"formattedCitation":"(EN ISO 5492, 2017)","plainTextFormattedCitation":"(EN ISO 5492, 2017)","previouslyFormattedCitation":"(EN ISO 5492, 2017)"},"properties":{"noteIndex":0},"schema":"https://github.com/citation-style-language/schema/raw/master/csl-citation.json"}</w:instrText>
      </w:r>
      <w:r w:rsidR="003E7307">
        <w:fldChar w:fldCharType="separate"/>
      </w:r>
      <w:r w:rsidR="003E7307" w:rsidRPr="003E7307">
        <w:rPr>
          <w:noProof/>
        </w:rPr>
        <w:t>(EN ISO 5492, 2017)</w:t>
      </w:r>
      <w:r w:rsidR="003E7307">
        <w:fldChar w:fldCharType="end"/>
      </w:r>
      <w:r w:rsidR="00CD461B">
        <w:t xml:space="preserve">, </w:t>
      </w:r>
      <w:r w:rsidR="00700E97">
        <w:t xml:space="preserve">characterized </w:t>
      </w:r>
      <w:r w:rsidR="00C25C66">
        <w:t xml:space="preserve">mainly </w:t>
      </w:r>
      <w:r w:rsidR="00700E97">
        <w:t xml:space="preserve">by high volatility and low molecular weight </w:t>
      </w:r>
      <w:r w:rsidR="00700E97">
        <w:fldChar w:fldCharType="begin" w:fldLock="1"/>
      </w:r>
      <w:r w:rsidR="00700E97">
        <w:instrText>ADDIN CSL_CITATION {"citationItems":[{"id":"ITEM-1","itemData":{"author":[{"dropping-particle":"","family":"Ruddigkeit","given":"Lars","non-dropping-particle":"","parse-names":false,"suffix":""},{"dropping-particle":"","family":"Awale","given":"Mahendra","non-dropping-particle":"","parse-names":false,"suffix":""},{"dropping-particle":"","family":"Reymond","given":"Jean-Louis","non-dropping-particle":"","parse-names":false,"suffix":""}],"container-title":"Journal of Cheminformatics","id":"ITEM-1","issued":{"date-parts":[["2014"]]},"title":"Expanding the fragrance chemical space for virtual screening","type":"article-journal"},"uris":["http://www.mendeley.com/documents/?uuid=17948f2a-5535-4c25-aab5-b09b147747b2","http://www.mendeley.com/documents/?uuid=4a96ca08-cbaf-43d1-815b-6d3404e3380e"]}],"mendeley":{"formattedCitation":"(Ruddigkeit et al., 2014)","plainTextFormattedCitation":"(Ruddigkeit et al., 2014)","previouslyFormattedCitation":"(Ruddigkeit et al., 2014)"},"properties":{"noteIndex":0},"schema":"https://github.com/citation-style-language/schema/raw/master/csl-citation.json"}</w:instrText>
      </w:r>
      <w:r w:rsidR="00700E97">
        <w:fldChar w:fldCharType="separate"/>
      </w:r>
      <w:r w:rsidR="00700E97" w:rsidRPr="00322FEF">
        <w:rPr>
          <w:noProof/>
        </w:rPr>
        <w:t>(Ruddigkeit et al., 2014)</w:t>
      </w:r>
      <w:r w:rsidR="00700E97">
        <w:fldChar w:fldCharType="end"/>
      </w:r>
      <w:r w:rsidR="00E20384">
        <w:t>,</w:t>
      </w:r>
      <w:r w:rsidR="00C63CA2">
        <w:t xml:space="preserve"> t</w:t>
      </w:r>
      <w:r>
        <w:t xml:space="preserve">o identify and quantify the molecules responsible for this perception, it is necessary to conduct detailed chemical analysis of the </w:t>
      </w:r>
      <w:proofErr w:type="spellStart"/>
      <w:r>
        <w:t>odour</w:t>
      </w:r>
      <w:proofErr w:type="spellEnd"/>
      <w:r>
        <w:t xml:space="preserve"> sample under examination.</w:t>
      </w:r>
    </w:p>
    <w:p w14:paraId="38505EEC" w14:textId="033A4DA4" w:rsidR="00760EA3" w:rsidRPr="00760EA3" w:rsidRDefault="0097168A" w:rsidP="008E149F">
      <w:pPr>
        <w:pStyle w:val="CETBodytext"/>
        <w:rPr>
          <w:noProof/>
        </w:rPr>
      </w:pPr>
      <w:r>
        <w:t xml:space="preserve">The complexity of the matrix under investigation implies the need to separate the different species present within the sample to allow </w:t>
      </w:r>
      <w:r w:rsidR="00C25C66">
        <w:t>a compound-specific</w:t>
      </w:r>
      <w:r>
        <w:t xml:space="preserve"> chemical characterization. Among the analytical techniques capable of performing this operation, </w:t>
      </w:r>
      <w:r w:rsidR="001750BB">
        <w:t>gas chromatography</w:t>
      </w:r>
      <w:r>
        <w:t xml:space="preserve"> (GC) is commonly the most </w:t>
      </w:r>
      <w:r w:rsidR="006150E7">
        <w:t>diffuse</w:t>
      </w:r>
      <w:r>
        <w:t xml:space="preserve">. </w:t>
      </w:r>
      <w:r w:rsidR="00760EA3" w:rsidRPr="00760EA3">
        <w:t>The response of GC, however, is not absolute</w:t>
      </w:r>
      <w:r w:rsidR="006150E7">
        <w:t>:</w:t>
      </w:r>
      <w:r w:rsidR="002832B3">
        <w:t xml:space="preserve"> </w:t>
      </w:r>
      <w:r w:rsidR="006150E7">
        <w:t>the output of a GC analysis is a</w:t>
      </w:r>
      <w:r w:rsidR="00760EA3" w:rsidRPr="00760EA3">
        <w:t xml:space="preserve"> </w:t>
      </w:r>
      <w:r w:rsidR="00760EA3" w:rsidRPr="00C2098A">
        <w:rPr>
          <w:i/>
          <w:iCs/>
        </w:rPr>
        <w:t>chromatogram</w:t>
      </w:r>
      <w:r w:rsidR="00760EA3" w:rsidRPr="00760EA3">
        <w:t xml:space="preserve">, a graph characterized by peaks of different areas and heights, proportional to the concentration of the analytes </w:t>
      </w:r>
      <w:r w:rsidR="00760EA3" w:rsidRPr="00760EA3">
        <w:rPr>
          <w:vertAlign w:val="superscript"/>
        </w:rPr>
        <w:fldChar w:fldCharType="begin" w:fldLock="1"/>
      </w:r>
      <w:r w:rsidR="005303F5">
        <w:instrText>ADDIN CSL_CITATION {"citationItems":[{"id":"ITEM-1","itemData":{"ISBN":"9780123736284","abstract":"The second edition of Gas Chromatography and Mass Spectrometry: A Practical Guide follows the highly successful first edition by F.G. Kitson, B.S. Larsen, and C.N. McEwen (1996), which was designed as an indispensible resource for GC/MS practitioners regardless of whether they are a novice or well experienced. The Fundamentals section has been extensively reworked from the original edition to give more depth of an understanding of the techniques and science involved with GC/MS. Even with this expansion, the original brevity and simple didactic style has been retained. Information on chromatographic peak deconvolution has been added along with a more in-depth understanding of the use of mass spectral databases in the identification of unknowns. Since the last edition, a number of advances in GC inlet systems and sample introduction techniques have occurred, and they are included in the new edition. Other updates include a discussion on fast GC and options for combining GC detectors with mass spectrometry. The section regarding GC Conditions, Derivatization, and Mass Spectral Interpretation of Specific Compound Types has the same number of compound types as the original edition, but the information in each section has been expanded to not only explain some of the spectra but to also explain why certain fragmentations take place. The number of Appendices has been increased from 12 to 17. The Appendix on Atomic Masses and Isotope Abundances has been expanded to provide tools to aid in determination of elemental composition from isotope peak intensity ratios. An appendix with examples on \"Steps to follow in the determination of elemental compositions based on isotope peak intensities\" has been added. Appendices on whether to use GC/MS or LC/MS, third-party software for use in data analysis, list of information required in reporting GC/MS data, X+1 and X+2 peak relative intensities based on the number of atoms of carbon in an ion, and list of available EI mass spectral databases have been added. Others such as the ones on derivatization, isotope peak patterns for ions with Cl and/or Br, terms used in GC and in mass spectrometry, and tips on setting up, maintaining and troubleshooting a GC/MS system have all been expanded and updated. © 2011 Elsevier Inc. All rights reserved.","author":[{"dropping-particle":"","family":"Sparkman","given":"O. David","non-dropping-particle":"","parse-names":false,"suffix":""},{"dropping-particle":"","family":"Penton","given":"Zelda","non-dropping-particle":"","parse-names":false,"suffix":""},{"dropping-particle":"","family":"Kitson","given":"Fulton G.","non-dropping-particle":"","parse-names":false,"suffix":""}],"container-title":"Gas Chromatography and Mass Spectrometry: A Practical Guide","id":"ITEM-1","issued":{"date-parts":[["2011"]]},"publisher":"Elsevier Inc.","title":"Gas Chromatography and Mass Spectrometry: A Practical Guide","type":"book"},"uris":["http://www.mendeley.com/documents/?uuid=ee721bcf-f10f-31b0-87c3-06c9e3f51178","http://www.mendeley.com/documents/?uuid=18b073ce-166a-4779-830a-440c0e065300"]}],"mendeley":{"formattedCitation":"(Sparkman et al., 2011)","plainTextFormattedCitation":"(Sparkman et al., 2011)","previouslyFormattedCitation":"(Sparkman et al., 2011)"},"properties":{"noteIndex":0},"schema":"https://github.com/citation-style-language/schema/raw/master/csl-citation.json"}</w:instrText>
      </w:r>
      <w:r w:rsidR="00760EA3" w:rsidRPr="00760EA3">
        <w:rPr>
          <w:vertAlign w:val="superscript"/>
        </w:rPr>
        <w:fldChar w:fldCharType="separate"/>
      </w:r>
      <w:r w:rsidR="00322FEF" w:rsidRPr="00322FEF">
        <w:rPr>
          <w:noProof/>
        </w:rPr>
        <w:t>(Sparkman et al., 2011)</w:t>
      </w:r>
      <w:r w:rsidR="00760EA3" w:rsidRPr="00760EA3">
        <w:fldChar w:fldCharType="end"/>
      </w:r>
      <w:r w:rsidR="00760EA3" w:rsidRPr="00760EA3">
        <w:t>.  A general technique</w:t>
      </w:r>
      <w:r w:rsidR="00760EA3">
        <w:t xml:space="preserve"> t</w:t>
      </w:r>
      <w:r w:rsidR="00760EA3" w:rsidRPr="00760EA3">
        <w:t>o obtain the molecule</w:t>
      </w:r>
      <w:r w:rsidR="006150E7">
        <w:t>s’</w:t>
      </w:r>
      <w:r w:rsidR="00760EA3" w:rsidRPr="00760EA3">
        <w:t xml:space="preserve"> quantification relies on the comparison of  the unknown sample under examination with an</w:t>
      </w:r>
      <w:r w:rsidR="00760EA3">
        <w:t xml:space="preserve"> </w:t>
      </w:r>
      <w:r w:rsidR="00760EA3" w:rsidRPr="00760EA3">
        <w:t xml:space="preserve">external standard at known concentration </w:t>
      </w:r>
      <w:r w:rsidR="00760EA3" w:rsidRPr="00760EA3">
        <w:rPr>
          <w:vertAlign w:val="superscript"/>
        </w:rPr>
        <w:fldChar w:fldCharType="begin" w:fldLock="1"/>
      </w:r>
      <w:r w:rsidR="006E2376">
        <w:instrText>ADDIN CSL_CITATION {"citationItems":[{"id":"ITEM-1","itemData":{"ISBN":"9783642546396","author":[{"dropping-particle":"","family":"Dettmer-Wilde","given":"Katja","non-dropping-particle":"","parse-names":false,"suffix":""},{"dropping-particle":"","family":"Engewald","given":"Werner","non-dropping-particle":"","parse-names":false,"suffix":""}],"id":"ITEM-1","issued":{"date-parts":[["2014"]]},"publisher":"Springer","title":"Practical Gas Chromatography","type":"book"},"uris":["http://www.mendeley.com/documents/?uuid=bb0d16ba-8cad-427c-92c1-597762f83d81"]},{"id":"ITEM-2","itemData":{"author":[{"dropping-particle":"","family":"ASTM D7360","given":"","non-dropping-particle":"","parse-names":false,"suffix":""}],"id":"ITEM-2","issued":{"date-parts":[["2016"]]},"title":"Standard Test Method for Analysis of Benzene by Gas Chromatography with External Calibration","type":"article"},"uris":["http://www.mendeley.com/documents/?uuid=15550997-cb17-458e-82bf-60fd36ced18a","http://www.mendeley.com/documents/?uuid=2fbac6a2-26d6-4506-989e-8cb94b89a37a"]}],"mendeley":{"formattedCitation":"(ASTM D7360, 2016; Dettmer-Wilde &amp; Engewald, 2014)","plainTextFormattedCitation":"(ASTM D7360, 2016; Dettmer-Wilde &amp; Engewald, 2014)","previouslyFormattedCitation":"(ASTM D7360, 2016; Dettmer-Wilde &amp; Engewald, 2014)"},"properties":{"noteIndex":0},"schema":"https://github.com/citation-style-language/schema/raw/master/csl-citation.json"}</w:instrText>
      </w:r>
      <w:r w:rsidR="00760EA3" w:rsidRPr="00760EA3">
        <w:rPr>
          <w:vertAlign w:val="superscript"/>
        </w:rPr>
        <w:fldChar w:fldCharType="separate"/>
      </w:r>
      <w:r w:rsidR="006E2376" w:rsidRPr="006E2376">
        <w:rPr>
          <w:noProof/>
        </w:rPr>
        <w:t>(ASTM D7360, 2016; Dettmer-Wilde &amp; Engewald, 2014)</w:t>
      </w:r>
      <w:r w:rsidR="00760EA3" w:rsidRPr="00760EA3">
        <w:fldChar w:fldCharType="end"/>
      </w:r>
      <w:r w:rsidR="000C46F7">
        <w:rPr>
          <w:rStyle w:val="Rimandocommento"/>
          <w:lang w:val="en-GB"/>
        </w:rPr>
        <w:t xml:space="preserve"> </w:t>
      </w:r>
      <w:r w:rsidR="00760EA3" w:rsidRPr="00760EA3">
        <w:t>.</w:t>
      </w:r>
      <w:r w:rsidR="001D4E3F">
        <w:t xml:space="preserve"> </w:t>
      </w:r>
    </w:p>
    <w:p w14:paraId="7E5666B6" w14:textId="56A89F96" w:rsidR="00760EA3" w:rsidRPr="00760EA3" w:rsidRDefault="00760EA3" w:rsidP="008E149F">
      <w:pPr>
        <w:pStyle w:val="CETBodytext"/>
      </w:pPr>
      <w:r w:rsidRPr="00760EA3">
        <w:t xml:space="preserve">In particular, this procedure is recommended for analysis of air mixtures sampled in polymer bags (mainly </w:t>
      </w:r>
      <w:r w:rsidR="00C63CA2">
        <w:t xml:space="preserve">constituted by </w:t>
      </w:r>
      <w:proofErr w:type="spellStart"/>
      <w:r w:rsidRPr="00760EA3">
        <w:t>Tedlar</w:t>
      </w:r>
      <w:proofErr w:type="spellEnd"/>
      <w:r w:rsidRPr="00760EA3">
        <w:t xml:space="preserve">™ or </w:t>
      </w:r>
      <w:proofErr w:type="spellStart"/>
      <w:r w:rsidRPr="00760EA3">
        <w:t>Nalophan</w:t>
      </w:r>
      <w:proofErr w:type="spellEnd"/>
      <w:r w:rsidRPr="00760EA3">
        <w:t xml:space="preserve">™) and  directly </w:t>
      </w:r>
      <w:r w:rsidR="000C39F0" w:rsidRPr="00760EA3">
        <w:t>analyzed</w:t>
      </w:r>
      <w:r w:rsidRPr="00760EA3">
        <w:t xml:space="preserve">, as in the case of </w:t>
      </w:r>
      <w:proofErr w:type="spellStart"/>
      <w:r w:rsidRPr="00760EA3">
        <w:t>odour</w:t>
      </w:r>
      <w:proofErr w:type="spellEnd"/>
      <w:r w:rsidRPr="00760EA3">
        <w:t xml:space="preserve"> samples </w:t>
      </w:r>
      <w:r w:rsidRPr="00760EA3">
        <w:fldChar w:fldCharType="begin" w:fldLock="1"/>
      </w:r>
      <w:r w:rsidR="00AF7564">
        <w:instrText>ADDIN CSL_CITATION {"citationItems":[{"id":"ITEM-1","itemData":{"author":[{"dropping-particle":"","family":"EN 13725","given":"","non-dropping-particle":"","parse-names":false,"suffix":""}],"id":"ITEM-1","issue":"March","issued":{"date-parts":[["2022"]]},"title":"EN 13725 : 2022 — Determination of odour concentration by dynamic olfactometry and odour emission rate","type":"article"},"uris":["http://www.mendeley.com/documents/?uuid=18f5aeb0-3d4e-4a29-9654-182edcf2839f","http://www.mendeley.com/documents/?uuid=01600575-3b61-4e25-8183-a66b893d315d"]}],"mendeley":{"formattedCitation":"(EN 13725, 2022)","plainTextFormattedCitation":"(EN 13725, 2022)","previouslyFormattedCitation":"(EN 13725, 2022)"},"properties":{"noteIndex":0},"schema":"https://github.com/citation-style-language/schema/raw/master/csl-citation.json"}</w:instrText>
      </w:r>
      <w:r w:rsidRPr="00760EA3">
        <w:fldChar w:fldCharType="separate"/>
      </w:r>
      <w:r w:rsidR="006E2376" w:rsidRPr="006E2376">
        <w:rPr>
          <w:noProof/>
        </w:rPr>
        <w:t>(EN 13725, 2022)</w:t>
      </w:r>
      <w:r w:rsidRPr="00760EA3">
        <w:fldChar w:fldCharType="end"/>
      </w:r>
      <w:r w:rsidRPr="00760EA3">
        <w:t xml:space="preserve">. In this case, bags containing mixtures at known concentrations are required to be used as external standards </w:t>
      </w:r>
      <w:r w:rsidRPr="00760EA3">
        <w:rPr>
          <w:vertAlign w:val="superscript"/>
        </w:rPr>
        <w:fldChar w:fldCharType="begin" w:fldLock="1"/>
      </w:r>
      <w:r w:rsidR="005303F5">
        <w:instrText>ADDIN CSL_CITATION {"citationItems":[{"id":"ITEM-1","itemData":{"DOI":"10.1016/j.ijms.2018.12.008","ISSN":"13873806","abstract":"Trace compound stability is crucial for real time gas analysis and for high efficiency energy generators, where part per billion concentrations have a high impact. In this context, the container type chosen for the gas analysis becomes important. Several types of containers, such as stainless-steel canisters, glass bulbs, gas tight syringes and sampling bags can be adopted for sampling and storing such samples. Sampling bags are cheap and easy to manage, for these reasons other solutions are rarely used. Literature studies have showed how nalophan™ bags represent the best choice for the collection of samples due to the extremely low cost, the good sample stability and the low background interaction. No studies have considered the biogas trace constituents, especially at an ultra-low concentration level. Most of the studies relating to trace compound detection, use a GC–MS instrument and focus on few compounds of interest. In this paper, one of the most rapid and reliable direct injection mass spectrometry techniques was used. PTR-QMS was adopted to investigate the real biogas mixture stability. The concentration losses were studied continuously during 24 h from the sampling. These losses may be related to the wall adsorption and/or through the wall diffusion phenomena. The most stable compounds detected were acetone, methanol and formaldehyde with a concentration loss below 5%. Terpenes and sulphur compounds had a concentration loss of around 50%, while hydrocarbons and aromatic compounds showed concentration losses around 60%. The stability of the compounds monitored with acceptable losses (below 5%), was achieved within the first 3 h after the sampling was carried out.","author":[{"dropping-particle":"","family":"Papurello","given":"Davide","non-dropping-particle":"","parse-names":false,"suffix":""}],"container-title":"International Journal of Mass Spectrometry","id":"ITEM-1","issued":{"date-parts":[["2019"]]},"page":"137-146","publisher":"Elsevier B.V.","title":"Direct injection mass spectrometry technique for the odorant losses at ppb(v) level from nalophan™ sampling bags","type":"article-journal","volume":"436"},"uris":["http://www.mendeley.com/documents/?uuid=065f4436-aa41-4c18-8da6-bc3e7b3bec5f"]}],"mendeley":{"formattedCitation":"(Papurello, 2019)","plainTextFormattedCitation":"(Papurello, 2019)","previouslyFormattedCitation":"(Papurello, 2019)"},"properties":{"noteIndex":0},"schema":"https://github.com/citation-style-language/schema/raw/master/csl-citation.json"}</w:instrText>
      </w:r>
      <w:r w:rsidRPr="00760EA3">
        <w:rPr>
          <w:vertAlign w:val="superscript"/>
        </w:rPr>
        <w:fldChar w:fldCharType="separate"/>
      </w:r>
      <w:r w:rsidR="00322FEF" w:rsidRPr="00322FEF">
        <w:rPr>
          <w:noProof/>
        </w:rPr>
        <w:t>(Papurello, 2019)</w:t>
      </w:r>
      <w:r w:rsidRPr="00760EA3">
        <w:fldChar w:fldCharType="end"/>
      </w:r>
      <w:r w:rsidRPr="00760EA3">
        <w:t>.</w:t>
      </w:r>
    </w:p>
    <w:p w14:paraId="53AF524C" w14:textId="415D98FE" w:rsidR="00760EA3" w:rsidRPr="00760EA3" w:rsidRDefault="00760EA3" w:rsidP="008E149F">
      <w:pPr>
        <w:pStyle w:val="CETBodytext"/>
      </w:pPr>
      <w:r w:rsidRPr="00760EA3">
        <w:t>Commonly, compressed gas cylinders are used as external standards</w:t>
      </w:r>
      <w:r w:rsidR="003D725F">
        <w:t xml:space="preserve"> </w:t>
      </w:r>
      <w:r w:rsidRPr="00760EA3">
        <w:rPr>
          <w:vertAlign w:val="superscript"/>
        </w:rPr>
        <w:fldChar w:fldCharType="begin" w:fldLock="1"/>
      </w:r>
      <w:r w:rsidR="005303F5">
        <w:instrText>ADDIN CSL_CITATION {"citationItems":[{"id":"ITEM-1","itemData":{"DOI":"10.1016/j.jpowsour.2018.03.034","ISSN":"03787753","abstract":"As hazardous situations can occur during the life of a Li-ion battery, it is of great importance to understand its behavior under abusive conditions (mechanical, thermal or electrical). In particular, the study of overcharge, which consists of forcing a current through the cell, can be very helpful in improving battery safety. Very few studies in the literature have focused on the chemical reaction mechanism responsible for failure during overcharge. This is, however, of great interest because a Li-ion battery can produce reactions in a sealed container and is thus a highly reactive system. Here, experimental approaches are employed to understand the reaction mechanisms that occur during overcharge testing. Experiments consist of studying the overcharge kinetics of a commercial battery at an initial state of charge of 100%. The battery is maintained in a known volume and gaseous samples are withdrawn both at the end of the test and continuously during the test. The main gaseous species are then identified and quantified by gas phase chromatography coupled with mass spectrometry and FTIR spectroscopy. This experimental study is completed by a numerical investigation to determine the combustion parameters of the exhaust gases using a detailed reaction mechanism associated with a numerical code.","author":[{"dropping-particle":"","family":"Fernandes","given":"Y.","non-dropping-particle":"","parse-names":false,"suffix":""},{"dropping-particle":"","family":"Bry","given":"A.","non-dropping-particle":"","parse-names":false,"suffix":""},{"dropping-particle":"","family":"Persis","given":"S.","non-dropping-particle":"de","parse-names":false,"suffix":""}],"container-title":"Journal of Power Sources","id":"ITEM-1","issue":"January","issued":{"date-parts":[["2018"]]},"page":"106-119","title":"Identification and quantification of gases emitted during abuse tests by overcharge of a commercial Li-ion battery","type":"article-journal","volume":"389"},"uris":["http://www.mendeley.com/documents/?uuid=b336f9f2-8636-49d2-9d2c-78c599eea2f5","http://www.mendeley.com/documents/?uuid=cda09835-289e-49bf-b734-dc19f5c7074a"]},{"id":"ITEM-2","itemData":{"DOI":"10.1016/j.scitotenv.2018.05.149","ISSN":"18791026","PMID":"29929277","abstract":"Volatile organic compounds (VOC) and hydrogen sulfide are emitted from land spreading of manure slurry to the atmosphere and contribute to odour nuisance, particle formation and tropospheric ozone formation. Data on emissions is almost non-existing partly due to lack of suitable quantitative methods for measuring emissions in full scale. Here we present a method based on application of wind tunnels for simulation of air exchange combined with the use of online mass spectrometry (PTR-MS). The focus was on odorous VOC but all relevant VOC were included. A method for quantification of VOC emission based on calculated proton-transfer reaction rate constants was validated by comparison to reference concentrations for typical VOC emitted from pig manure slurry. Wall losses of volatile sulfur compounds in the wind tunnels were assessed to be insignificant and recoveries &gt;95% were observed for these compounds. An influence of air exchange rate was clearly observed highlighting the need to identify realistic air exchange rates for future application of the method. Emission data was obtained for spreading of pig manure slurry as an example of an important source of gases. Emissions were monitored for ~37 h following land spreading and time-resolved emission data was presented for the first time. Highest emissions were observed for short-chain volatile carboxylic acids (C2–C6) with acetic acid being the most abundant compound. Emission peaks were observed immediately following application and were followed by declining emissions until the second day at which emissions reached a second peak for several compounds. This second emission peak was speculated to be caused by a temperature-induced diurnal effect. Emissions of volatile sulfur compounds occurred on a short time-scale and ceased shortly after application. Odour activity values were dominated by C4–C5 carboxylic acids and 4-methylphenol with a less pronounced influence of 4-methylphenol on day 2.","author":[{"dropping-particle":"","family":"Liu","given":"Dezhao","non-dropping-particle":"","parse-names":false,"suffix":""},{"dropping-particle":"","family":"Nyord","given":"Tavs","non-dropping-particle":"","parse-names":false,"suffix":""},{"dropping-particle":"","family":"Rong","given":"Li","non-dropping-particle":"","parse-names":false,"suffix":""},{"dropping-particle":"","family":"Feilberg","given":"Anders","non-dropping-particle":"","parse-names":false,"suffix":""}],"container-title":"Science of the Total Environment","id":"ITEM-2","issued":{"date-parts":[["2018"]]},"page":"1079-1087","publisher":"Elsevier B.V.","title":"Real-time quantification of emissions of volatile organic compounds from land spreading of pig slurry measured by PTR-MS and wind tunnels","type":"article-journal","volume":"639"},"uris":["http://www.mendeley.com/documents/?uuid=aee17e05-3902-47a9-b88a-987df7bdf09f","http://www.mendeley.com/documents/?uuid=4b7395e6-965d-448f-8901-c95802b1721c"]}],"mendeley":{"formattedCitation":"(Fernandes et al., 2018; Liu et al., 2018)","plainTextFormattedCitation":"(Fernandes et al., 2018; Liu et al., 2018)","previouslyFormattedCitation":"(Fernandes et al., 2018; Liu et al., 2018)"},"properties":{"noteIndex":0},"schema":"https://github.com/citation-style-language/schema/raw/master/csl-citation.json"}</w:instrText>
      </w:r>
      <w:r w:rsidRPr="00760EA3">
        <w:rPr>
          <w:vertAlign w:val="superscript"/>
        </w:rPr>
        <w:fldChar w:fldCharType="separate"/>
      </w:r>
      <w:r w:rsidR="00322FEF" w:rsidRPr="00322FEF">
        <w:rPr>
          <w:noProof/>
        </w:rPr>
        <w:t>(Fernandes et al., 2018; Liu et al., 2018)</w:t>
      </w:r>
      <w:r w:rsidRPr="00760EA3">
        <w:fldChar w:fldCharType="end"/>
      </w:r>
      <w:r w:rsidRPr="00760EA3">
        <w:t>.</w:t>
      </w:r>
    </w:p>
    <w:p w14:paraId="5D7F2035" w14:textId="083251BD" w:rsidR="00760EA3" w:rsidRPr="00760EA3" w:rsidRDefault="00760EA3" w:rsidP="008E149F">
      <w:pPr>
        <w:pStyle w:val="CETBodytext"/>
      </w:pPr>
      <w:r w:rsidRPr="00760EA3">
        <w:lastRenderedPageBreak/>
        <w:t xml:space="preserve">However, the use of gas cylinders involves critical issues, mainly due to the management and storage aspects of the cylinders themselves </w:t>
      </w:r>
      <w:r w:rsidRPr="00760EA3">
        <w:rPr>
          <w:vertAlign w:val="superscript"/>
        </w:rPr>
        <w:fldChar w:fldCharType="begin" w:fldLock="1"/>
      </w:r>
      <w:r w:rsidR="005303F5">
        <w:instrText>ADDIN CSL_CITATION {"citationItems":[{"id":"ITEM-1","itemData":{"author":[{"dropping-particle":"","family":"EN ISO 144470","given":"","non-dropping-particle":"","parse-names":false,"suffix":""}],"container-title":"Fire safety storage cabinets","id":"ITEM-1","issued":{"date-parts":[["2006"]]},"title":"Fire safety storage cabinets —","type":"report","volume":"3"},"uris":["http://www.mendeley.com/documents/?uuid=9353f044-967c-4494-bbaa-c9f13190fae4","http://www.mendeley.com/documents/?uuid=f0961352-92fb-447b-a59b-0d9bb6990607"]}],"mendeley":{"formattedCitation":"(EN ISO 144470, 2006)","plainTextFormattedCitation":"(EN ISO 144470, 2006)","previouslyFormattedCitation":"(EN ISO 144470, 2006)"},"properties":{"noteIndex":0},"schema":"https://github.com/citation-style-language/schema/raw/master/csl-citation.json"}</w:instrText>
      </w:r>
      <w:r w:rsidRPr="00760EA3">
        <w:rPr>
          <w:vertAlign w:val="superscript"/>
        </w:rPr>
        <w:fldChar w:fldCharType="separate"/>
      </w:r>
      <w:r w:rsidR="00322FEF" w:rsidRPr="00322FEF">
        <w:rPr>
          <w:noProof/>
        </w:rPr>
        <w:t>(EN ISO 144470, 2006)</w:t>
      </w:r>
      <w:r w:rsidRPr="00760EA3">
        <w:fldChar w:fldCharType="end"/>
      </w:r>
      <w:r w:rsidRPr="00760EA3">
        <w:t>.</w:t>
      </w:r>
      <w:r w:rsidR="006150E7">
        <w:t xml:space="preserve"> </w:t>
      </w:r>
      <w:r w:rsidRPr="00760EA3">
        <w:t xml:space="preserve">Another problem inherent in the use of cylinders is their low versatility </w:t>
      </w:r>
      <w:r w:rsidR="004F14B2" w:rsidRPr="00760EA3">
        <w:t>since</w:t>
      </w:r>
      <w:r w:rsidRPr="00760EA3">
        <w:t xml:space="preserve"> they can provide a gaseous sample only at one concentration. </w:t>
      </w:r>
      <w:r w:rsidR="006B7377" w:rsidRPr="006B7377">
        <w:t>This would involve large numbers of cylinders being purchased or being diluted, resulting in relative errors and, in the case of high-precision dilution instruments, in potentially expensive costs.</w:t>
      </w:r>
      <w:r w:rsidR="003D725F">
        <w:t xml:space="preserve"> Moreover, due to pressurization, </w:t>
      </w:r>
      <w:r w:rsidR="003D725F" w:rsidRPr="003D725F">
        <w:t>there are limitations determined by the equilibrium conditions of the mixture</w:t>
      </w:r>
      <w:r w:rsidR="003D725F">
        <w:t xml:space="preserve">. </w:t>
      </w:r>
    </w:p>
    <w:p w14:paraId="71037BB9" w14:textId="7B46D18B" w:rsidR="00760EA3" w:rsidRPr="00760EA3" w:rsidRDefault="006150E7" w:rsidP="008E149F">
      <w:pPr>
        <w:pStyle w:val="CETBodytext"/>
      </w:pPr>
      <w:r>
        <w:t>Therefore, this study aims to</w:t>
      </w:r>
      <w:r w:rsidR="00C2098A">
        <w:t xml:space="preserve"> </w:t>
      </w:r>
      <w:r w:rsidR="00760EA3" w:rsidRPr="00760EA3">
        <w:t>describe an expeditious and versatile system alternative to the gas cylinders, based on the vaporization of pure liquid VOCs, taking advantage of their high vapor pressure</w:t>
      </w:r>
      <w:r>
        <w:t>, to be applied in quantification analysis of odorous samples</w:t>
      </w:r>
      <w:r w:rsidR="00760EA3" w:rsidRPr="00760EA3">
        <w:t>.</w:t>
      </w:r>
    </w:p>
    <w:p w14:paraId="2DAE6CAF" w14:textId="6E546F7A" w:rsidR="00760EA3" w:rsidRPr="00760EA3" w:rsidRDefault="00760EA3" w:rsidP="008E149F">
      <w:pPr>
        <w:pStyle w:val="CETBodytext"/>
      </w:pPr>
      <w:r w:rsidRPr="00760EA3">
        <w:t xml:space="preserve">In particular, a </w:t>
      </w:r>
      <w:r w:rsidRPr="00760EA3">
        <w:rPr>
          <w:i/>
          <w:iCs/>
        </w:rPr>
        <w:t xml:space="preserve">dynamic method for injection </w:t>
      </w:r>
      <w:r w:rsidRPr="00760EA3">
        <w:t xml:space="preserve">was investigated </w:t>
      </w:r>
      <w:r w:rsidRPr="00760EA3">
        <w:rPr>
          <w:vertAlign w:val="superscript"/>
        </w:rPr>
        <w:fldChar w:fldCharType="begin" w:fldLock="1"/>
      </w:r>
      <w:r w:rsidR="003E7307">
        <w:instrText>ADDIN CSL_CITATION {"citationItems":[{"id":"ITEM-1","itemData":{"DOI":"10.1134/S1061934818020090","ISSN":"10619348","abstract":"A review of methods for the preparation of standard gas mixtures (SGMs) with the known concentrations of organic and inorganic gases and vapors is presented. The classification of methods is proposed and their advantages and disadvantages are compared. Along with the widely known thermal diffusion and gas-extraction methods and devices for the preparation of SGMs functioning on their basis, i.e., sources of gas and vapor microflows and vapor-phase sources of gas mixtures, the review considers and discusses metrological possibilities proposed by Russian researchers of chromatomembrane and chromato-desorption methods of SGM preparation and corresponding instrumentation.","author":[{"dropping-particle":"","family":"Platonov","given":"I. A.","non-dropping-particle":"","parse-names":false,"suffix":""},{"dropping-particle":"V.","family":"Rodinkov","given":"O.","non-dropping-particle":"","parse-names":false,"suffix":""},{"dropping-particle":"","family":"Gorbacheva","given":"A. R.","non-dropping-particle":"","parse-names":false,"suffix":""},{"dropping-particle":"","family":"Moskvin","given":"L. N.","non-dropping-particle":"","parse-names":false,"suffix":""},{"dropping-particle":"","family":"Kolesnichenko","given":"I. N.","non-dropping-particle":"","parse-names":false,"suffix":""}],"container-title":"Journal of Analytical Chemistry","id":"ITEM-1","issue":"2","issued":{"date-parts":[["2018"]]},"page":"109-127","title":"Methods and devices for the preparation of standard gas mixtures","type":"article-journal","volume":"73"},"uris":["http://www.mendeley.com/documents/?uuid=221c4e1b-9026-41e7-86bd-a6f5591edccd","http://www.mendeley.com/documents/?uuid=f4a657fe-0b24-4619-b171-de96fc2cded8"]},{"id":"ITEM-2","itemData":{"DOI":"10.1039/AN9810600817","ISSN":"00032654","author":[{"dropping-particle":"","family":"Barratt","given":"R. S.","non-dropping-particle":"","parse-names":false,"suffix":""}],"container-title":"The Analyst","id":"ITEM-2","issue":"1265","issued":{"date-parts":[["1981"]]},"page":"817-849","title":"The preparation of standard gas mixtures a review","type":"article-journal","volume":"106"},"uris":["http://www.mendeley.com/documents/?uuid=64af31f7-0ca0-4e31-a95c-026638e799b1","http://www.mendeley.com/documents/?uuid=b15e796f-e472-4e21-898a-ffe24ab87209"]},{"id":"ITEM-3","itemData":{"author":[{"dropping-particle":"","family":"EN ISO 6145-4","given":"","non-dropping-particle":"","parse-names":false,"suffix":""}],"id":"ITEM-3","issued":{"date-parts":[["2008"]]},"page":"6145","title":"Gas analysis — Preparation of calibration gas mixtures using dynamic volumetric methods —","type":"article","volume":"3"},"uris":["http://www.mendeley.com/documents/?uuid=7f29d8b5-2551-4b25-8f14-214b2694d7a4","http://www.mendeley.com/documents/?uuid=1441a327-025d-4849-8871-1274ea808c77"]}],"mendeley":{"formattedCitation":"(Barratt, 1981; EN ISO 6145-4, 2008; Platonov et al., 2018)","plainTextFormattedCitation":"(Barratt, 1981; EN ISO 6145-4, 2008; Platonov et al., 2018)","previouslyFormattedCitation":"(Barratt, 1981; EN ISO 6145-4, 2008; Platonov et al., 2018)"},"properties":{"noteIndex":0},"schema":"https://github.com/citation-style-language/schema/raw/master/csl-citation.json"}</w:instrText>
      </w:r>
      <w:r w:rsidRPr="00760EA3">
        <w:rPr>
          <w:vertAlign w:val="superscript"/>
        </w:rPr>
        <w:fldChar w:fldCharType="separate"/>
      </w:r>
      <w:r w:rsidR="00475808" w:rsidRPr="00475808">
        <w:rPr>
          <w:noProof/>
        </w:rPr>
        <w:t>(Barratt, 1981; EN ISO 6145-4, 2008; Platonov et al., 2018)</w:t>
      </w:r>
      <w:r w:rsidRPr="00760EA3">
        <w:fldChar w:fldCharType="end"/>
      </w:r>
      <w:r w:rsidRPr="00760EA3">
        <w:t xml:space="preserve">. This method is based on the introduction of a dosed liquid into a dilution gas flow, such as air or nitrogen, and it produces a continuous gas flow of gas mixture at known concentration. </w:t>
      </w:r>
    </w:p>
    <w:p w14:paraId="178C2E73" w14:textId="77777777" w:rsidR="00760EA3" w:rsidRPr="00760EA3" w:rsidRDefault="00760EA3" w:rsidP="00760EA3">
      <w:pPr>
        <w:pStyle w:val="CETHeading1"/>
      </w:pPr>
      <w:bookmarkStart w:id="1" w:name="_Toc94003695"/>
      <w:r w:rsidRPr="00760EA3">
        <w:t>Materials and methods</w:t>
      </w:r>
      <w:bookmarkEnd w:id="1"/>
    </w:p>
    <w:p w14:paraId="77DEA014" w14:textId="1EA1DC0F" w:rsidR="00760EA3" w:rsidRDefault="00760EA3" w:rsidP="00420E02">
      <w:pPr>
        <w:pStyle w:val="CETBodytext"/>
        <w:spacing w:after="240"/>
        <w:rPr>
          <w:snapToGrid w:val="0"/>
          <w:szCs w:val="22"/>
          <w:lang w:val="en-GB" w:eastAsia="de-DE" w:bidi="en-US"/>
        </w:rPr>
      </w:pPr>
      <w:bookmarkStart w:id="2" w:name="_Hlk99536615"/>
      <w:r w:rsidRPr="00760EA3">
        <w:t>The implemented dynamic method under investigation requires the use of</w:t>
      </w:r>
      <w:r w:rsidR="00FA382C">
        <w:t xml:space="preserve"> a </w:t>
      </w:r>
      <w:r w:rsidRPr="00760EA3">
        <w:t xml:space="preserve">syringe pump </w:t>
      </w:r>
      <w:r w:rsidR="001B310C">
        <w:t>for</w:t>
      </w:r>
      <w:r w:rsidRPr="00760EA3">
        <w:t xml:space="preserve"> the liquid flow and a mass flow meter for the gaseous flow</w:t>
      </w:r>
      <w:r w:rsidR="00E24D4B" w:rsidRPr="00760EA3">
        <w:t xml:space="preserve"> </w:t>
      </w:r>
      <w:r w:rsidR="00E24D4B">
        <w:t>(</w:t>
      </w:r>
      <w:r w:rsidR="00E24D4B" w:rsidRPr="00760EA3">
        <w:fldChar w:fldCharType="begin"/>
      </w:r>
      <w:r w:rsidR="00E24D4B" w:rsidRPr="00760EA3">
        <w:instrText xml:space="preserve"> REF _Ref92873846 \h  \* MERGEFORMAT </w:instrText>
      </w:r>
      <w:r w:rsidR="00E24D4B" w:rsidRPr="00760EA3">
        <w:fldChar w:fldCharType="separate"/>
      </w:r>
      <w:r w:rsidR="00E24D4B" w:rsidRPr="00760EA3">
        <w:t>Figure 1</w:t>
      </w:r>
      <w:r w:rsidR="00E24D4B" w:rsidRPr="00760EA3">
        <w:fldChar w:fldCharType="end"/>
      </w:r>
      <w:r w:rsidR="00E24D4B">
        <w:t>)</w:t>
      </w:r>
      <w:r w:rsidRPr="00760EA3">
        <w:t>,</w:t>
      </w:r>
      <w:r w:rsidR="001B310C">
        <w:t xml:space="preserve"> </w:t>
      </w:r>
      <w:r w:rsidR="001B310C">
        <w:rPr>
          <w:snapToGrid w:val="0"/>
          <w:szCs w:val="22"/>
          <w:lang w:val="en-GB" w:eastAsia="de-DE" w:bidi="en-US"/>
        </w:rPr>
        <w:t>to ensure</w:t>
      </w:r>
      <w:r w:rsidR="001B310C" w:rsidRPr="00FA363E">
        <w:rPr>
          <w:snapToGrid w:val="0"/>
          <w:szCs w:val="22"/>
          <w:lang w:val="en-GB" w:eastAsia="de-DE" w:bidi="en-US"/>
        </w:rPr>
        <w:t xml:space="preserve"> controlled</w:t>
      </w:r>
      <w:r w:rsidR="00E24D4B">
        <w:rPr>
          <w:snapToGrid w:val="0"/>
          <w:szCs w:val="22"/>
          <w:lang w:val="en-GB" w:eastAsia="de-DE" w:bidi="en-US"/>
        </w:rPr>
        <w:t xml:space="preserve"> and constant, which are also easy to vary </w:t>
      </w:r>
      <w:r w:rsidR="00E24D4B" w:rsidRPr="00E24D4B">
        <w:rPr>
          <w:snapToGrid w:val="0"/>
          <w:szCs w:val="22"/>
          <w:lang w:val="en-GB" w:eastAsia="de-DE" w:bidi="en-US"/>
        </w:rPr>
        <w:t>by the setting of the two instrument</w:t>
      </w:r>
      <w:r w:rsidR="00E24D4B">
        <w:rPr>
          <w:snapToGrid w:val="0"/>
          <w:szCs w:val="22"/>
          <w:lang w:val="en-GB" w:eastAsia="de-DE" w:bidi="en-US"/>
        </w:rPr>
        <w:t>, to obtain quickly the desired concentrations.</w:t>
      </w:r>
    </w:p>
    <w:p w14:paraId="0163AC6B" w14:textId="77777777" w:rsidR="002A49AF" w:rsidRDefault="00BE209D" w:rsidP="002A49AF">
      <w:pPr>
        <w:pStyle w:val="CETBodytext"/>
        <w:rPr>
          <w:bCs/>
        </w:rPr>
      </w:pPr>
      <w:r w:rsidRPr="00BE209D">
        <w:rPr>
          <w:noProof/>
          <w:snapToGrid w:val="0"/>
          <w:szCs w:val="22"/>
          <w:lang w:val="en-GB" w:eastAsia="de-DE" w:bidi="en-US"/>
        </w:rPr>
        <w:drawing>
          <wp:inline distT="0" distB="0" distL="0" distR="0" wp14:anchorId="5715A833" wp14:editId="3F8DE05E">
            <wp:extent cx="5417984" cy="2966225"/>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7984" cy="2966225"/>
                    </a:xfrm>
                    <a:prstGeom prst="rect">
                      <a:avLst/>
                    </a:prstGeom>
                  </pic:spPr>
                </pic:pic>
              </a:graphicData>
            </a:graphic>
          </wp:inline>
        </w:drawing>
      </w:r>
      <w:bookmarkStart w:id="3" w:name="_Ref92873846"/>
    </w:p>
    <w:p w14:paraId="2B29BF88" w14:textId="0D18899B" w:rsidR="00760EA3" w:rsidRPr="006A6A3E" w:rsidRDefault="00760EA3" w:rsidP="006A6A3E">
      <w:pPr>
        <w:pStyle w:val="CETTabletitle"/>
        <w:jc w:val="both"/>
      </w:pPr>
      <w:r w:rsidRPr="006A6A3E">
        <w:t xml:space="preserve">Figure </w:t>
      </w:r>
      <w:r w:rsidRPr="006A6A3E">
        <w:fldChar w:fldCharType="begin"/>
      </w:r>
      <w:r w:rsidRPr="006A6A3E">
        <w:instrText xml:space="preserve"> SEQ Figure \* ARABIC </w:instrText>
      </w:r>
      <w:r w:rsidRPr="006A6A3E">
        <w:fldChar w:fldCharType="separate"/>
      </w:r>
      <w:r w:rsidR="00D45E85" w:rsidRPr="006A6A3E">
        <w:t>1</w:t>
      </w:r>
      <w:r w:rsidRPr="006A6A3E">
        <w:fldChar w:fldCharType="end"/>
      </w:r>
      <w:bookmarkEnd w:id="3"/>
      <w:r w:rsidRPr="006A6A3E">
        <w:t>. Simplified diagram of</w:t>
      </w:r>
      <w:r w:rsidRPr="00760EA3">
        <w:t xml:space="preserve"> the system.</w:t>
      </w:r>
    </w:p>
    <w:p w14:paraId="7BA57FBF" w14:textId="4A1EDD2B" w:rsidR="00760EA3" w:rsidRDefault="00760EA3" w:rsidP="00DA111F">
      <w:pPr>
        <w:pStyle w:val="CETheadingx"/>
      </w:pPr>
      <w:r w:rsidRPr="00760EA3">
        <w:t xml:space="preserve"> </w:t>
      </w:r>
      <w:bookmarkStart w:id="4" w:name="_Toc94003696"/>
      <w:r w:rsidRPr="00760EA3">
        <w:t>Equations</w:t>
      </w:r>
      <w:bookmarkEnd w:id="4"/>
    </w:p>
    <w:p w14:paraId="1722BD32" w14:textId="670980F8" w:rsidR="00760EA3" w:rsidRPr="00760EA3" w:rsidRDefault="009B3FB2" w:rsidP="00FA382C">
      <w:pPr>
        <w:pStyle w:val="CETBodytext"/>
      </w:pPr>
      <w:r w:rsidRPr="009B3FB2">
        <w:t xml:space="preserve">The concentration of </w:t>
      </w:r>
      <w:r w:rsidR="00CC1E7B">
        <w:t>VOCs</w:t>
      </w:r>
      <w:r>
        <w:t xml:space="preserve">, </w:t>
      </w:r>
      <m:oMath>
        <m:sSub>
          <m:sSubPr>
            <m:ctrlPr>
              <w:rPr>
                <w:rFonts w:ascii="Cambria Math" w:hAnsi="Cambria Math"/>
              </w:rPr>
            </m:ctrlPr>
          </m:sSubPr>
          <m:e>
            <m:r>
              <m:rPr>
                <m:sty m:val="p"/>
              </m:rPr>
              <w:rPr>
                <w:rFonts w:ascii="Cambria Math" w:hAnsi="Cambria Math"/>
              </w:rPr>
              <m:t>C</m:t>
            </m:r>
          </m:e>
          <m:sub>
            <m:r>
              <w:rPr>
                <w:rFonts w:ascii="Cambria Math" w:hAnsi="Cambria Math"/>
              </w:rPr>
              <m:t xml:space="preserve">VOC </m:t>
            </m:r>
          </m:sub>
        </m:sSub>
        <m:r>
          <w:rPr>
            <w:rFonts w:ascii="Cambria Math" w:hAnsi="Cambria Math"/>
          </w:rPr>
          <m:t>[ppm]</m:t>
        </m:r>
      </m:oMath>
      <w:r>
        <w:t>,</w:t>
      </w:r>
      <w:r w:rsidRPr="009B3FB2">
        <w:t xml:space="preserve"> in the </w:t>
      </w:r>
      <w:r>
        <w:t>stream</w:t>
      </w:r>
      <w:r w:rsidRPr="009B3FB2">
        <w:t xml:space="preserve"> exiting the system can be determined </w:t>
      </w:r>
      <w:r>
        <w:t>by</w:t>
      </w:r>
      <w:r w:rsidRPr="009B3FB2">
        <w:t xml:space="preserve"> the </w:t>
      </w:r>
      <w:r w:rsidR="00045510">
        <w:t xml:space="preserve">Eq. 1: </w:t>
      </w:r>
    </w:p>
    <w:tbl>
      <w:tblPr>
        <w:tblStyle w:val="Grigliatabel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560"/>
      </w:tblGrid>
      <w:tr w:rsidR="00045510" w:rsidRPr="00760EA3" w14:paraId="6925DBD7" w14:textId="24629C7B" w:rsidTr="00EE224D">
        <w:trPr>
          <w:jc w:val="center"/>
        </w:trPr>
        <w:tc>
          <w:tcPr>
            <w:tcW w:w="8217" w:type="dxa"/>
            <w:vAlign w:val="center"/>
          </w:tcPr>
          <w:p w14:paraId="2AC0F5EA" w14:textId="38ECF204" w:rsidR="00045510" w:rsidRPr="007C4678" w:rsidRDefault="005951EF" w:rsidP="007C4678">
            <w:pPr>
              <w:pStyle w:val="CETEquation"/>
            </w:pPr>
            <m:oMathPara>
              <m:oMath>
                <m:sSub>
                  <m:sSubPr>
                    <m:ctrlPr>
                      <w:rPr>
                        <w:rFonts w:ascii="Cambria Math" w:hAnsi="Cambria Math"/>
                      </w:rPr>
                    </m:ctrlPr>
                  </m:sSubPr>
                  <m:e>
                    <m:r>
                      <m:rPr>
                        <m:sty m:val="p"/>
                      </m:rPr>
                      <w:rPr>
                        <w:rFonts w:ascii="Cambria Math" w:hAnsi="Cambria Math"/>
                      </w:rPr>
                      <m:t>C</m:t>
                    </m:r>
                  </m:e>
                  <m:sub>
                    <m:r>
                      <w:rPr>
                        <w:rFonts w:ascii="Cambria Math" w:hAnsi="Cambria Math"/>
                      </w:rPr>
                      <m:t>VOC</m:t>
                    </m:r>
                  </m:sub>
                </m:sSub>
                <m:r>
                  <m:rPr>
                    <m:sty m:val="p"/>
                  </m:rPr>
                  <w:rPr>
                    <w:rFonts w:ascii="Cambria Math" w:hAnsi="Cambria Math"/>
                  </w:rPr>
                  <m:t>[ppm]=</m:t>
                </m:r>
                <m:f>
                  <m:fPr>
                    <m:ctrlPr>
                      <w:rPr>
                        <w:rFonts w:ascii="Cambria Math" w:hAnsi="Cambria Math"/>
                      </w:rPr>
                    </m:ctrlPr>
                  </m:fPr>
                  <m:num>
                    <m:r>
                      <w:rPr>
                        <w:rFonts w:ascii="Cambria Math" w:hAnsi="Cambria Math"/>
                      </w:rPr>
                      <m:t>Liquid molar flow rate [</m:t>
                    </m:r>
                    <m:f>
                      <m:fPr>
                        <m:ctrlPr>
                          <w:rPr>
                            <w:rFonts w:ascii="Cambria Math" w:hAnsi="Cambria Math"/>
                            <w:i/>
                          </w:rPr>
                        </m:ctrlPr>
                      </m:fPr>
                      <m:num>
                        <m:r>
                          <w:rPr>
                            <w:rFonts w:ascii="Cambria Math" w:hAnsi="Cambria Math"/>
                          </w:rPr>
                          <m:t>mol</m:t>
                        </m:r>
                      </m:num>
                      <m:den>
                        <m:r>
                          <w:rPr>
                            <w:rFonts w:ascii="Cambria Math" w:hAnsi="Cambria Math"/>
                          </w:rPr>
                          <m:t>h</m:t>
                        </m:r>
                      </m:den>
                    </m:f>
                    <m:r>
                      <w:rPr>
                        <w:rFonts w:ascii="Cambria Math" w:hAnsi="Cambria Math"/>
                      </w:rPr>
                      <m:t>]</m:t>
                    </m:r>
                  </m:num>
                  <m:den>
                    <m:r>
                      <w:rPr>
                        <w:rFonts w:ascii="Cambria Math" w:hAnsi="Cambria Math"/>
                      </w:rPr>
                      <m:t xml:space="preserve">Liquid molar flow rate </m:t>
                    </m:r>
                    <m:d>
                      <m:dPr>
                        <m:begChr m:val="["/>
                        <m:endChr m:val="]"/>
                        <m:ctrlPr>
                          <w:rPr>
                            <w:rFonts w:ascii="Cambria Math" w:hAnsi="Cambria Math"/>
                            <w:i/>
                          </w:rPr>
                        </m:ctrlPr>
                      </m:dPr>
                      <m:e>
                        <m:f>
                          <m:fPr>
                            <m:ctrlPr>
                              <w:rPr>
                                <w:rFonts w:ascii="Cambria Math" w:hAnsi="Cambria Math"/>
                                <w:i/>
                              </w:rPr>
                            </m:ctrlPr>
                          </m:fPr>
                          <m:num>
                            <m:r>
                              <w:rPr>
                                <w:rFonts w:ascii="Cambria Math" w:hAnsi="Cambria Math"/>
                              </w:rPr>
                              <m:t>mol</m:t>
                            </m:r>
                          </m:num>
                          <m:den>
                            <m:r>
                              <w:rPr>
                                <w:rFonts w:ascii="Cambria Math" w:hAnsi="Cambria Math"/>
                              </w:rPr>
                              <m:t>h</m:t>
                            </m:r>
                          </m:den>
                        </m:f>
                      </m:e>
                    </m:d>
                    <m:r>
                      <m:rPr>
                        <m:sty m:val="p"/>
                      </m:rPr>
                      <w:rPr>
                        <w:rFonts w:ascii="Cambria Math" w:hAnsi="Cambria Math"/>
                      </w:rPr>
                      <m:t xml:space="preserve">+ </m:t>
                    </m:r>
                    <m:r>
                      <w:rPr>
                        <w:rFonts w:ascii="Cambria Math" w:hAnsi="Cambria Math"/>
                      </w:rPr>
                      <m:t>Inlet gas molar flow rate[</m:t>
                    </m:r>
                    <m:f>
                      <m:fPr>
                        <m:ctrlPr>
                          <w:rPr>
                            <w:rFonts w:ascii="Cambria Math" w:hAnsi="Cambria Math"/>
                            <w:i/>
                          </w:rPr>
                        </m:ctrlPr>
                      </m:fPr>
                      <m:num>
                        <m:r>
                          <w:rPr>
                            <w:rFonts w:ascii="Cambria Math" w:hAnsi="Cambria Math"/>
                          </w:rPr>
                          <m:t>mol</m:t>
                        </m:r>
                      </m:num>
                      <m:den>
                        <m:r>
                          <w:rPr>
                            <w:rFonts w:ascii="Cambria Math" w:hAnsi="Cambria Math"/>
                          </w:rPr>
                          <m:t>h</m:t>
                        </m:r>
                      </m:den>
                    </m:f>
                    <m:r>
                      <w:rPr>
                        <w:rFonts w:ascii="Cambria Math" w:hAnsi="Cambria Math"/>
                      </w:rPr>
                      <m:t>]</m:t>
                    </m:r>
                  </m:den>
                </m:f>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r>
                  <m:rPr>
                    <m:sty m:val="p"/>
                  </m:rPr>
                  <w:rPr>
                    <w:rFonts w:ascii="Cambria Math" w:hAnsi="Cambria Math"/>
                  </w:rPr>
                  <m:t xml:space="preserve"> </m:t>
                </m:r>
              </m:oMath>
            </m:oMathPara>
          </w:p>
        </w:tc>
        <w:tc>
          <w:tcPr>
            <w:tcW w:w="560" w:type="dxa"/>
            <w:vAlign w:val="center"/>
          </w:tcPr>
          <w:p w14:paraId="7619E3D0" w14:textId="23EB3888" w:rsidR="00045510" w:rsidRPr="00EE224D" w:rsidRDefault="00045510" w:rsidP="00EE224D">
            <w:pPr>
              <w:pStyle w:val="CETEquation"/>
              <w:jc w:val="right"/>
              <w:rPr>
                <w:rFonts w:cs="Arial"/>
              </w:rPr>
            </w:pPr>
            <w:r w:rsidRPr="00EE224D">
              <w:rPr>
                <w:rFonts w:cs="Arial"/>
              </w:rPr>
              <w:t>(1)</w:t>
            </w:r>
          </w:p>
        </w:tc>
      </w:tr>
    </w:tbl>
    <w:p w14:paraId="2F589F59" w14:textId="6DF0335A" w:rsidR="00760EA3" w:rsidRPr="00760EA3" w:rsidRDefault="003E200A" w:rsidP="003E200A">
      <w:pPr>
        <w:pStyle w:val="CETnumberingbullets"/>
        <w:numPr>
          <w:ilvl w:val="0"/>
          <w:numId w:val="0"/>
        </w:numPr>
        <w:rPr>
          <w:b/>
          <w:bCs/>
        </w:rPr>
      </w:pPr>
      <w:r w:rsidRPr="003B5316">
        <w:t>For this study, a flow rate of 1</w:t>
      </w:r>
      <w:r>
        <w:t>80</w:t>
      </w:r>
      <w:r w:rsidRPr="003B5316">
        <w:t xml:space="preserve">0 </w:t>
      </w:r>
      <w:r w:rsidR="00DA111F">
        <w:t>S</w:t>
      </w:r>
      <w:r w:rsidRPr="003B5316">
        <w:t>L/h was set</w:t>
      </w:r>
      <w:r>
        <w:t xml:space="preserve"> and </w:t>
      </w:r>
      <w:r w:rsidRPr="003E200A">
        <w:t>kept constant throughout the tests</w:t>
      </w:r>
      <w:r>
        <w:t>.</w:t>
      </w:r>
    </w:p>
    <w:p w14:paraId="75E5F6B1" w14:textId="7C8E6263" w:rsidR="00760EA3" w:rsidRPr="00760EA3" w:rsidRDefault="002832B3" w:rsidP="00DA111F">
      <w:pPr>
        <w:pStyle w:val="CETheadingx"/>
      </w:pPr>
      <w:bookmarkStart w:id="5" w:name="_Toc94003697"/>
      <w:r>
        <w:t>Set-up</w:t>
      </w:r>
      <w:r w:rsidR="00760EA3" w:rsidRPr="00760EA3">
        <w:t xml:space="preserve"> </w:t>
      </w:r>
      <w:r>
        <w:t>m</w:t>
      </w:r>
      <w:r w:rsidR="00760EA3" w:rsidRPr="00760EA3">
        <w:t>aterials</w:t>
      </w:r>
      <w:bookmarkEnd w:id="5"/>
    </w:p>
    <w:p w14:paraId="1235D615" w14:textId="6C5723CF" w:rsidR="00760EA3" w:rsidRPr="00760EA3" w:rsidRDefault="00760EA3" w:rsidP="0022131D">
      <w:pPr>
        <w:pStyle w:val="CETnumberingbullets"/>
      </w:pPr>
      <w:r w:rsidRPr="00760EA3">
        <w:t xml:space="preserve">Syringes: Hamilton™ 80384: glass liquid syringe with a capacity of 10 µL, </w:t>
      </w:r>
      <w:r w:rsidR="00A875EE">
        <w:t>to be installed on the</w:t>
      </w:r>
      <w:r w:rsidRPr="00760EA3">
        <w:t xml:space="preserve"> syringe pump.</w:t>
      </w:r>
    </w:p>
    <w:p w14:paraId="1899C9ED" w14:textId="1653FB5D" w:rsidR="00760EA3" w:rsidRPr="00760EA3" w:rsidRDefault="00760EA3" w:rsidP="0022131D">
      <w:pPr>
        <w:pStyle w:val="CETnumberingbullets"/>
      </w:pPr>
      <w:r w:rsidRPr="00760EA3">
        <w:t xml:space="preserve">Mass flow meter: </w:t>
      </w:r>
      <w:proofErr w:type="spellStart"/>
      <w:r w:rsidRPr="00760EA3">
        <w:t>Alicat</w:t>
      </w:r>
      <w:proofErr w:type="spellEnd"/>
      <w:r w:rsidRPr="00760EA3">
        <w:t>™ Portable Calibration Unit Mass Flow Meters</w:t>
      </w:r>
      <w:r w:rsidR="00F80BD6">
        <w:t xml:space="preserve"> </w:t>
      </w:r>
      <w:r w:rsidR="00F80BD6" w:rsidRPr="00F80BD6">
        <w:t>with a measurement range of</w:t>
      </w:r>
      <w:r w:rsidR="00C20221">
        <w:t xml:space="preserve"> </w:t>
      </w:r>
      <w:r w:rsidR="00C20221" w:rsidRPr="00C20221">
        <w:t xml:space="preserve">0.5 SCCM </w:t>
      </w:r>
      <w:r w:rsidR="00F80BD6">
        <w:t>-</w:t>
      </w:r>
      <w:r w:rsidR="00C20221" w:rsidRPr="00C20221">
        <w:t xml:space="preserve"> 5,000 SL</w:t>
      </w:r>
      <w:r w:rsidR="00C20221">
        <w:t>PM</w:t>
      </w:r>
      <w:r w:rsidR="00A875EE">
        <w:t>.</w:t>
      </w:r>
    </w:p>
    <w:p w14:paraId="5EE448C9" w14:textId="1FD7090C" w:rsidR="00760EA3" w:rsidRPr="00760EA3" w:rsidRDefault="00760EA3" w:rsidP="0022131D">
      <w:pPr>
        <w:pStyle w:val="CETnumberingbullets"/>
      </w:pPr>
      <w:r w:rsidRPr="00760EA3">
        <w:t xml:space="preserve">Pump-syringe: NE-300 Just Infusion™ Syringe Pump. </w:t>
      </w:r>
    </w:p>
    <w:p w14:paraId="76C93B7E" w14:textId="2AC6EC10" w:rsidR="00760EA3" w:rsidRPr="00760EA3" w:rsidRDefault="00760EA3" w:rsidP="0022131D">
      <w:pPr>
        <w:pStyle w:val="CETnumberingbullets"/>
      </w:pPr>
      <w:proofErr w:type="spellStart"/>
      <w:r w:rsidRPr="00760EA3">
        <w:t>Nalophan</w:t>
      </w:r>
      <w:proofErr w:type="spellEnd"/>
      <w:r w:rsidRPr="00760EA3">
        <w:t xml:space="preserve">™: constituent material of the bags used to sample the gaseous mixture flows </w:t>
      </w:r>
      <w:r w:rsidRPr="00760EA3">
        <w:fldChar w:fldCharType="begin" w:fldLock="1"/>
      </w:r>
      <w:r w:rsidR="00AF7564">
        <w:instrText>ADDIN CSL_CITATION {"citationItems":[{"id":"ITEM-1","itemData":{"author":[{"dropping-particle":"","family":"EN 13725","given":"","non-dropping-particle":"","parse-names":false,"suffix":""}],"id":"ITEM-1","issue":"March","issued":{"date-parts":[["2022"]]},"title":"EN 13725 : 2022 — Determination of odour concentration by dynamic olfactometry and odour emission rate","type":"article"},"uris":["http://www.mendeley.com/documents/?uuid=01600575-3b61-4e25-8183-a66b893d315d","http://www.mendeley.com/documents/?uuid=18f5aeb0-3d4e-4a29-9654-182edcf2839f"]}],"mendeley":{"formattedCitation":"(EN 13725, 2022)","plainTextFormattedCitation":"(EN 13725, 2022)","previouslyFormattedCitation":"(EN 13725, 2022)"},"properties":{"noteIndex":0},"schema":"https://github.com/citation-style-language/schema/raw/master/csl-citation.json"}</w:instrText>
      </w:r>
      <w:r w:rsidRPr="00760EA3">
        <w:fldChar w:fldCharType="separate"/>
      </w:r>
      <w:r w:rsidR="006E2376" w:rsidRPr="006E2376">
        <w:rPr>
          <w:noProof/>
        </w:rPr>
        <w:t>(EN 13725, 2022)</w:t>
      </w:r>
      <w:r w:rsidRPr="00760EA3">
        <w:fldChar w:fldCharType="end"/>
      </w:r>
      <w:r w:rsidRPr="00760EA3">
        <w:t xml:space="preserve">. </w:t>
      </w:r>
    </w:p>
    <w:p w14:paraId="20FC4BA8" w14:textId="77777777" w:rsidR="00760EA3" w:rsidRPr="00760EA3" w:rsidRDefault="00760EA3" w:rsidP="00DA111F">
      <w:pPr>
        <w:pStyle w:val="CETheadingx"/>
      </w:pPr>
      <w:bookmarkStart w:id="6" w:name="_Toc94003698"/>
      <w:bookmarkEnd w:id="2"/>
      <w:r w:rsidRPr="00760EA3">
        <w:rPr>
          <w:lang w:bidi="en-US"/>
        </w:rPr>
        <w:lastRenderedPageBreak/>
        <w:t>Analysis</w:t>
      </w:r>
      <w:bookmarkEnd w:id="6"/>
    </w:p>
    <w:p w14:paraId="3AB754ED" w14:textId="557EBFC0" w:rsidR="00760EA3" w:rsidRPr="00760EA3" w:rsidRDefault="00760EA3" w:rsidP="00FA382C">
      <w:pPr>
        <w:pStyle w:val="CETBodytext"/>
      </w:pPr>
      <w:r w:rsidRPr="00760EA3">
        <w:t>To evaluate the effectiveness of the method, a photoionization detector (PID) TIGER Ion Science® sensor, equipped with a 10.6 eV UV lamp, was used to assess the concentration</w:t>
      </w:r>
      <w:r w:rsidR="00945F29">
        <w:t xml:space="preserve"> of VOC present in the prepared </w:t>
      </w:r>
      <w:r w:rsidR="00945F29" w:rsidRPr="00945F29">
        <w:t>single-component</w:t>
      </w:r>
      <w:r w:rsidR="00945F29">
        <w:t xml:space="preserve"> mixture.</w:t>
      </w:r>
      <w:r w:rsidR="00EE224D">
        <w:t xml:space="preserve"> </w:t>
      </w:r>
      <w:r w:rsidRPr="00760EA3">
        <w:t xml:space="preserve">This detector </w:t>
      </w:r>
      <w:r w:rsidR="00F17283" w:rsidRPr="00F17283">
        <w:t xml:space="preserve">measures the concentration </w:t>
      </w:r>
      <w:r w:rsidRPr="00760EA3">
        <w:t xml:space="preserve">expressed in ppm of isobutylene. </w:t>
      </w:r>
      <w:r w:rsidR="00D86B76">
        <w:t>The quantification of each compound has been base</w:t>
      </w:r>
      <w:r w:rsidR="00945F29">
        <w:t>d</w:t>
      </w:r>
      <w:r w:rsidR="00D86B76">
        <w:t xml:space="preserve"> on a proper response factor, tabulated by the manufacturer of the instrument</w:t>
      </w:r>
      <w:r w:rsidR="00A4295B">
        <w:t>.</w:t>
      </w:r>
    </w:p>
    <w:p w14:paraId="2641E217" w14:textId="2C99700B" w:rsidR="00760EA3" w:rsidRDefault="00760EA3" w:rsidP="00760EA3">
      <w:pPr>
        <w:pStyle w:val="CETHeading1"/>
      </w:pPr>
      <w:bookmarkStart w:id="7" w:name="_Toc94003699"/>
      <w:r w:rsidRPr="00760EA3">
        <w:t>Results</w:t>
      </w:r>
      <w:bookmarkEnd w:id="7"/>
      <w:r w:rsidRPr="00760EA3">
        <w:t xml:space="preserve"> and discussion</w:t>
      </w:r>
    </w:p>
    <w:p w14:paraId="156C335C" w14:textId="7B94478F" w:rsidR="00E50936" w:rsidRPr="00E50936" w:rsidRDefault="00E50936" w:rsidP="00DA111F">
      <w:pPr>
        <w:pStyle w:val="CETheadingx"/>
      </w:pPr>
      <w:r>
        <w:t>Gross results</w:t>
      </w:r>
    </w:p>
    <w:p w14:paraId="0D62C5B2" w14:textId="176AD290" w:rsidR="00760EA3" w:rsidRPr="00760EA3" w:rsidRDefault="00760EA3" w:rsidP="008E149F">
      <w:pPr>
        <w:pStyle w:val="CETBodytext"/>
      </w:pPr>
      <w:r w:rsidRPr="00760EA3">
        <w:t xml:space="preserve">For each of the </w:t>
      </w:r>
      <w:r w:rsidR="003C551B" w:rsidRPr="00760EA3">
        <w:t xml:space="preserve">examined </w:t>
      </w:r>
      <w:r w:rsidRPr="00760EA3">
        <w:t xml:space="preserve">compounds, </w:t>
      </w:r>
      <w:r w:rsidR="000B108C">
        <w:t>preliminary</w:t>
      </w:r>
      <w:r w:rsidR="000B108C" w:rsidRPr="00760EA3">
        <w:t xml:space="preserve"> </w:t>
      </w:r>
      <w:r w:rsidRPr="00760EA3">
        <w:t xml:space="preserve">tests, performed in duplicate, were carried out by setting three different concentrations of the mixture exiting the system, equal to 5 ppm, 10 ppm and 15 </w:t>
      </w:r>
      <w:r w:rsidR="00FA382C" w:rsidRPr="00760EA3">
        <w:t xml:space="preserve">ppm, </w:t>
      </w:r>
      <w:r w:rsidR="003C551B">
        <w:t xml:space="preserve">and </w:t>
      </w:r>
      <w:r w:rsidR="00FA382C" w:rsidRPr="00760EA3">
        <w:t>subsequently</w:t>
      </w:r>
      <w:r w:rsidRPr="00760EA3">
        <w:t xml:space="preserve"> analyzed by PID.</w:t>
      </w:r>
      <w:r w:rsidR="00FA382C">
        <w:t xml:space="preserve"> </w:t>
      </w:r>
      <w:r w:rsidRPr="00760EA3">
        <w:t>The results of these tests</w:t>
      </w:r>
      <w:r w:rsidR="00240F70">
        <w:t>,</w:t>
      </w:r>
      <w:r w:rsidRPr="00760EA3">
        <w:t xml:space="preserve"> in terms of the </w:t>
      </w:r>
      <w:r w:rsidR="005C2F49">
        <w:t xml:space="preserve">mean </w:t>
      </w:r>
      <w:r w:rsidRPr="00760EA3">
        <w:t>ratio between expected and measured concentration values for all the compounds</w:t>
      </w:r>
      <w:r w:rsidR="00240F70">
        <w:t xml:space="preserve">, </w:t>
      </w:r>
      <w:r w:rsidR="00240F70" w:rsidRPr="00760EA3">
        <w:t xml:space="preserve">are shown in </w:t>
      </w:r>
      <w:r w:rsidR="00240F70" w:rsidRPr="00760EA3">
        <w:fldChar w:fldCharType="begin"/>
      </w:r>
      <w:r w:rsidR="00240F70" w:rsidRPr="00760EA3">
        <w:instrText xml:space="preserve"> REF _Ref93652685 \h  \* MERGEFORMAT </w:instrText>
      </w:r>
      <w:r w:rsidR="00240F70" w:rsidRPr="00760EA3">
        <w:fldChar w:fldCharType="separate"/>
      </w:r>
      <w:r w:rsidR="00240F70" w:rsidRPr="00760EA3">
        <w:t>Figure 2</w:t>
      </w:r>
      <w:r w:rsidR="00240F70" w:rsidRPr="00760EA3">
        <w:fldChar w:fldCharType="end"/>
      </w:r>
      <w:r w:rsidRPr="00760EA3">
        <w:t>.</w:t>
      </w:r>
      <w:r w:rsidR="000B108C">
        <w:t xml:space="preserve"> </w:t>
      </w:r>
      <w:r w:rsidRPr="00760EA3">
        <w:t xml:space="preserve">All the mixtures </w:t>
      </w:r>
      <w:r w:rsidR="000C39F0" w:rsidRPr="00760EA3">
        <w:t>analyzed</w:t>
      </w:r>
      <w:r w:rsidRPr="00760EA3">
        <w:t xml:space="preserve"> were prepared at </w:t>
      </w:r>
      <w:r w:rsidR="00FA382C" w:rsidRPr="00760EA3">
        <w:t>the</w:t>
      </w:r>
      <w:r w:rsidRPr="00760EA3">
        <w:t xml:space="preserve"> working temperature were 293 °K ± 1 °K</w:t>
      </w:r>
      <w:r w:rsidR="000C39F0">
        <w:t>.</w:t>
      </w:r>
    </w:p>
    <w:p w14:paraId="21470260" w14:textId="77777777" w:rsidR="00760EA3" w:rsidRPr="00760EA3" w:rsidRDefault="00760EA3" w:rsidP="00760EA3">
      <w:pPr>
        <w:pStyle w:val="CETListbullets"/>
      </w:pPr>
    </w:p>
    <w:p w14:paraId="3C32E601" w14:textId="0CE4709B" w:rsidR="00760EA3" w:rsidRPr="00760EA3" w:rsidRDefault="00642C44" w:rsidP="005303F5">
      <w:pPr>
        <w:pStyle w:val="CETListbullets"/>
      </w:pPr>
      <w:r>
        <w:rPr>
          <w:noProof/>
        </w:rPr>
        <w:drawing>
          <wp:inline distT="0" distB="0" distL="0" distR="0" wp14:anchorId="5E0BD729" wp14:editId="784FAD18">
            <wp:extent cx="5478966" cy="3315629"/>
            <wp:effectExtent l="0" t="0" r="7620" b="18415"/>
            <wp:docPr id="4" name="Grafico 4">
              <a:extLst xmlns:a="http://schemas.openxmlformats.org/drawingml/2006/main">
                <a:ext uri="{FF2B5EF4-FFF2-40B4-BE49-F238E27FC236}">
                  <a16:creationId xmlns:a16="http://schemas.microsoft.com/office/drawing/2014/main" id="{150D41BB-09D1-4946-9211-894F15713C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AE98FF" w14:textId="4BBCDF73" w:rsidR="00760EA3" w:rsidRPr="00760EA3" w:rsidRDefault="00760EA3" w:rsidP="00F17283">
      <w:pPr>
        <w:pStyle w:val="CETTabletitle"/>
        <w:jc w:val="both"/>
      </w:pPr>
      <w:bookmarkStart w:id="8" w:name="_Ref93652685"/>
      <w:bookmarkStart w:id="9" w:name="_Ref95743596"/>
      <w:bookmarkStart w:id="10" w:name="_Ref101876108"/>
      <w:r w:rsidRPr="001444F0">
        <w:rPr>
          <w:bCs/>
        </w:rPr>
        <w:t xml:space="preserve">Figure </w:t>
      </w:r>
      <w:r w:rsidRPr="001444F0">
        <w:rPr>
          <w:bCs/>
          <w:lang w:bidi="en-US"/>
        </w:rPr>
        <w:fldChar w:fldCharType="begin"/>
      </w:r>
      <w:r w:rsidRPr="001444F0">
        <w:rPr>
          <w:bCs/>
        </w:rPr>
        <w:instrText xml:space="preserve"> SEQ Figure \* ARABIC </w:instrText>
      </w:r>
      <w:r w:rsidRPr="001444F0">
        <w:rPr>
          <w:bCs/>
          <w:lang w:bidi="en-US"/>
        </w:rPr>
        <w:fldChar w:fldCharType="separate"/>
      </w:r>
      <w:r w:rsidR="00D45E85">
        <w:rPr>
          <w:bCs/>
          <w:noProof/>
        </w:rPr>
        <w:t>2</w:t>
      </w:r>
      <w:r w:rsidRPr="001444F0">
        <w:rPr>
          <w:bCs/>
        </w:rPr>
        <w:fldChar w:fldCharType="end"/>
      </w:r>
      <w:bookmarkEnd w:id="8"/>
      <w:r w:rsidRPr="001444F0">
        <w:rPr>
          <w:bCs/>
        </w:rPr>
        <w:t>.</w:t>
      </w:r>
      <w:r w:rsidRPr="00760EA3">
        <w:t xml:space="preserve"> </w:t>
      </w:r>
      <w:r w:rsidR="00240F70">
        <w:t>Ratio value (RV): m</w:t>
      </w:r>
      <w:r w:rsidRPr="00760EA3">
        <w:t xml:space="preserve">easured values </w:t>
      </w:r>
      <w:r w:rsidR="00847639">
        <w:t>vs</w:t>
      </w:r>
      <w:r w:rsidR="00847639" w:rsidRPr="00760EA3">
        <w:t xml:space="preserve"> </w:t>
      </w:r>
      <w:r w:rsidRPr="00760EA3">
        <w:t>expected values</w:t>
      </w:r>
      <w:bookmarkEnd w:id="9"/>
      <w:bookmarkEnd w:id="10"/>
    </w:p>
    <w:p w14:paraId="4BDA8085" w14:textId="2FC6B84C" w:rsidR="00FA382C" w:rsidRDefault="00760EA3">
      <w:pPr>
        <w:pStyle w:val="CETBodytext"/>
        <w:spacing w:before="240"/>
      </w:pPr>
      <w:r w:rsidRPr="00760EA3">
        <w:t xml:space="preserve">From </w:t>
      </w:r>
      <w:r w:rsidR="00240F70">
        <w:t>the</w:t>
      </w:r>
      <w:r w:rsidR="00240F70" w:rsidRPr="00760EA3">
        <w:t xml:space="preserve"> </w:t>
      </w:r>
      <w:r w:rsidRPr="00760EA3">
        <w:t>graph</w:t>
      </w:r>
      <w:r w:rsidR="00B95EB2">
        <w:t>,</w:t>
      </w:r>
      <w:r w:rsidRPr="00760EA3">
        <w:t xml:space="preserve"> </w:t>
      </w:r>
      <w:r w:rsidR="006E4D25" w:rsidRPr="00760EA3">
        <w:t>the</w:t>
      </w:r>
      <w:r w:rsidR="00240F70">
        <w:t xml:space="preserve"> volatile</w:t>
      </w:r>
      <w:r w:rsidRPr="00760EA3">
        <w:t xml:space="preserve"> compounds under examination show </w:t>
      </w:r>
      <w:r w:rsidR="00240F70">
        <w:t>RVs</w:t>
      </w:r>
      <w:r w:rsidRPr="00760EA3">
        <w:t xml:space="preserve"> </w:t>
      </w:r>
      <w:r w:rsidR="000B108C">
        <w:t xml:space="preserve">close </w:t>
      </w:r>
      <w:r w:rsidR="001B12DB">
        <w:t xml:space="preserve">to the ideal </w:t>
      </w:r>
      <w:r w:rsidRPr="00760EA3">
        <w:t xml:space="preserve">value </w:t>
      </w:r>
      <w:r w:rsidR="00BC5445">
        <w:t>equal to</w:t>
      </w:r>
      <w:r w:rsidR="001B12DB">
        <w:t xml:space="preserve"> </w:t>
      </w:r>
      <w:r w:rsidRPr="00760EA3">
        <w:t>1, except for dodecane</w:t>
      </w:r>
      <w:r w:rsidR="005A064E">
        <w:t>,</w:t>
      </w:r>
      <w:r w:rsidRPr="00760EA3">
        <w:t xml:space="preserve"> characterized by ratios lower than </w:t>
      </w:r>
      <w:r w:rsidR="005212C2">
        <w:t>0.5</w:t>
      </w:r>
      <w:r w:rsidR="005A064E">
        <w:t>,</w:t>
      </w:r>
      <w:r w:rsidRPr="00760EA3">
        <w:t xml:space="preserve"> DMS and pentane</w:t>
      </w:r>
      <w:r w:rsidR="005A064E">
        <w:t>,</w:t>
      </w:r>
      <w:r w:rsidRPr="00760EA3">
        <w:t xml:space="preserve"> with ratios</w:t>
      </w:r>
      <w:r w:rsidR="00CC0481">
        <w:t xml:space="preserve"> up to 3</w:t>
      </w:r>
      <w:r w:rsidRPr="00760EA3">
        <w:t>.</w:t>
      </w:r>
      <w:r w:rsidR="00240F70">
        <w:t xml:space="preserve"> </w:t>
      </w:r>
      <w:r w:rsidRPr="00760EA3">
        <w:t xml:space="preserve">These anomalous </w:t>
      </w:r>
      <w:r w:rsidR="008E76F4" w:rsidRPr="00760EA3">
        <w:t>behaviors</w:t>
      </w:r>
      <w:r w:rsidRPr="00760EA3">
        <w:t xml:space="preserve"> can be explained by examining the vapor pressure </w:t>
      </w:r>
      <w:r w:rsidR="008E4838">
        <w:t xml:space="preserve">(reported in </w:t>
      </w:r>
      <w:r w:rsidR="00C640D8">
        <w:fldChar w:fldCharType="begin"/>
      </w:r>
      <w:r w:rsidR="00C640D8">
        <w:instrText xml:space="preserve"> REF _Ref103764023 \h </w:instrText>
      </w:r>
      <w:r w:rsidR="00C640D8">
        <w:fldChar w:fldCharType="separate"/>
      </w:r>
      <w:r w:rsidR="00C640D8">
        <w:t xml:space="preserve">Table </w:t>
      </w:r>
      <w:r w:rsidR="00C640D8">
        <w:rPr>
          <w:noProof/>
        </w:rPr>
        <w:t>1</w:t>
      </w:r>
      <w:r w:rsidR="00C640D8">
        <w:fldChar w:fldCharType="end"/>
      </w:r>
      <w:r w:rsidR="008E4838">
        <w:t xml:space="preserve">) </w:t>
      </w:r>
      <w:r w:rsidRPr="00760EA3">
        <w:t xml:space="preserve">of </w:t>
      </w:r>
      <w:r w:rsidR="008E76F4">
        <w:t>these</w:t>
      </w:r>
      <w:r w:rsidRPr="00760EA3">
        <w:t xml:space="preserve"> VOCs at the working</w:t>
      </w:r>
      <w:r w:rsidR="008E4838">
        <w:t xml:space="preserve"> conditions</w:t>
      </w:r>
      <w:r w:rsidRPr="00760EA3">
        <w:t>, which are comprised between 0.1 kPa and 3</w:t>
      </w:r>
      <w:r w:rsidR="0058298B">
        <w:t>7</w:t>
      </w:r>
      <w:r w:rsidRPr="00760EA3">
        <w:t xml:space="preserve"> kPa for all the compound with the exception of dodecane (the least volatile), DMS and pentane (the</w:t>
      </w:r>
      <w:r w:rsidR="00C97CC0">
        <w:t xml:space="preserve"> two</w:t>
      </w:r>
      <w:r w:rsidRPr="00760EA3">
        <w:t xml:space="preserve"> most volatile), are respectively 0.01 kPa, 53 kPa and 5</w:t>
      </w:r>
      <w:r w:rsidR="0058298B">
        <w:t>7</w:t>
      </w:r>
      <w:r w:rsidRPr="00760EA3">
        <w:t xml:space="preserve"> kPa.</w:t>
      </w:r>
      <w:r w:rsidR="00BC2276">
        <w:t xml:space="preserve"> </w:t>
      </w:r>
    </w:p>
    <w:p w14:paraId="4EB15CA0" w14:textId="117DCC01" w:rsidR="0037154F" w:rsidRDefault="0037154F" w:rsidP="00C2098A">
      <w:pPr>
        <w:pStyle w:val="CETTabletitle"/>
      </w:pPr>
      <w:bookmarkStart w:id="11" w:name="_Ref103764023"/>
      <w:r>
        <w:t xml:space="preserve">Table </w:t>
      </w:r>
      <w:r>
        <w:fldChar w:fldCharType="begin"/>
      </w:r>
      <w:r>
        <w:instrText xml:space="preserve"> SEQ Table \* ARABIC </w:instrText>
      </w:r>
      <w:r>
        <w:fldChar w:fldCharType="separate"/>
      </w:r>
      <w:r w:rsidR="004304F6">
        <w:t>1</w:t>
      </w:r>
      <w:r>
        <w:fldChar w:fldCharType="end"/>
      </w:r>
      <w:bookmarkEnd w:id="11"/>
      <w:r w:rsidR="00D325BA">
        <w:t xml:space="preserve">. Compounds and vapor pressure values at 273 </w:t>
      </w:r>
      <w:r w:rsidR="003C551B">
        <w:t>°</w:t>
      </w:r>
      <w:r w:rsidR="00D325BA">
        <w:t>K</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701"/>
        <w:gridCol w:w="1276"/>
        <w:gridCol w:w="1240"/>
      </w:tblGrid>
      <w:tr w:rsidR="00A4295B" w:rsidRPr="00B57B36" w14:paraId="2E88E776" w14:textId="77777777" w:rsidTr="00A4295B">
        <w:tc>
          <w:tcPr>
            <w:tcW w:w="1701" w:type="dxa"/>
            <w:tcBorders>
              <w:top w:val="single" w:sz="12" w:space="0" w:color="008000"/>
              <w:bottom w:val="single" w:sz="6" w:space="0" w:color="008000"/>
            </w:tcBorders>
            <w:shd w:val="clear" w:color="auto" w:fill="FFFFFF"/>
          </w:tcPr>
          <w:p w14:paraId="020DEEB4" w14:textId="34F3021D" w:rsidR="00A4295B" w:rsidRPr="00B57B36" w:rsidRDefault="00A4295B" w:rsidP="00A4295B">
            <w:pPr>
              <w:pStyle w:val="CETBodytext"/>
              <w:rPr>
                <w:lang w:val="en-GB"/>
              </w:rPr>
            </w:pPr>
            <w:r>
              <w:rPr>
                <w:lang w:val="en-GB"/>
              </w:rPr>
              <w:t>Compound</w:t>
            </w:r>
          </w:p>
        </w:tc>
        <w:tc>
          <w:tcPr>
            <w:tcW w:w="1276" w:type="dxa"/>
            <w:tcBorders>
              <w:top w:val="single" w:sz="12" w:space="0" w:color="008000"/>
              <w:bottom w:val="single" w:sz="6" w:space="0" w:color="008000"/>
            </w:tcBorders>
            <w:shd w:val="clear" w:color="auto" w:fill="FFFFFF"/>
          </w:tcPr>
          <w:p w14:paraId="6B8B1A2C" w14:textId="77F5C611" w:rsidR="00A4295B" w:rsidRPr="00B57B36" w:rsidRDefault="00A4295B" w:rsidP="00A4295B">
            <w:pPr>
              <w:pStyle w:val="CETBodytext"/>
              <w:rPr>
                <w:lang w:val="en-GB"/>
              </w:rPr>
            </w:pPr>
            <w:r>
              <w:rPr>
                <w:lang w:val="en-GB"/>
              </w:rPr>
              <w:t>CAS</w:t>
            </w:r>
          </w:p>
        </w:tc>
        <w:tc>
          <w:tcPr>
            <w:tcW w:w="1240" w:type="dxa"/>
            <w:tcBorders>
              <w:top w:val="single" w:sz="12" w:space="0" w:color="008000"/>
              <w:bottom w:val="single" w:sz="6" w:space="0" w:color="008000"/>
            </w:tcBorders>
            <w:shd w:val="clear" w:color="auto" w:fill="FFFFFF"/>
          </w:tcPr>
          <w:p w14:paraId="5277FF53" w14:textId="1D563A0D" w:rsidR="00A4295B" w:rsidRPr="00B57B36" w:rsidRDefault="00A4295B" w:rsidP="00A4295B">
            <w:pPr>
              <w:pStyle w:val="CETBodytext"/>
              <w:rPr>
                <w:lang w:val="en-GB"/>
              </w:rPr>
            </w:pPr>
            <w:r>
              <w:rPr>
                <w:lang w:val="en-GB"/>
              </w:rPr>
              <w:t>Vapor pressure [Pa]</w:t>
            </w:r>
          </w:p>
        </w:tc>
      </w:tr>
      <w:tr w:rsidR="00A4295B" w:rsidRPr="00B57B36" w14:paraId="7D1D76E9" w14:textId="77777777" w:rsidTr="00A4295B">
        <w:tc>
          <w:tcPr>
            <w:tcW w:w="1701" w:type="dxa"/>
            <w:shd w:val="clear" w:color="auto" w:fill="FFFFFF"/>
          </w:tcPr>
          <w:p w14:paraId="552471D5" w14:textId="5C7F45BA" w:rsidR="00A4295B" w:rsidRPr="00B57B36" w:rsidRDefault="00A4295B" w:rsidP="00A4295B">
            <w:pPr>
              <w:pStyle w:val="CETBodytext"/>
              <w:rPr>
                <w:lang w:val="en-GB"/>
              </w:rPr>
            </w:pPr>
            <w:r w:rsidRPr="00BB0D90">
              <w:t xml:space="preserve">n-Butanol </w:t>
            </w:r>
          </w:p>
        </w:tc>
        <w:tc>
          <w:tcPr>
            <w:tcW w:w="1276" w:type="dxa"/>
            <w:shd w:val="clear" w:color="auto" w:fill="FFFFFF"/>
          </w:tcPr>
          <w:p w14:paraId="722FDBA8" w14:textId="14DA3437" w:rsidR="00A4295B" w:rsidRPr="00B57B36" w:rsidRDefault="00A4295B" w:rsidP="00A4295B">
            <w:pPr>
              <w:pStyle w:val="CETBodytext"/>
              <w:rPr>
                <w:lang w:val="en-GB"/>
              </w:rPr>
            </w:pPr>
            <w:r w:rsidRPr="00632A67">
              <w:rPr>
                <w:lang w:val="en-GB"/>
              </w:rPr>
              <w:t>71-36-3</w:t>
            </w:r>
          </w:p>
        </w:tc>
        <w:tc>
          <w:tcPr>
            <w:tcW w:w="1240" w:type="dxa"/>
            <w:shd w:val="clear" w:color="auto" w:fill="FFFFFF"/>
            <w:vAlign w:val="center"/>
          </w:tcPr>
          <w:p w14:paraId="310AAFB9" w14:textId="54E590C2" w:rsidR="00A4295B" w:rsidRPr="00B57B36" w:rsidRDefault="00A4295B" w:rsidP="00A4295B">
            <w:pPr>
              <w:pStyle w:val="CETBodytext"/>
              <w:rPr>
                <w:lang w:val="en-GB"/>
              </w:rPr>
            </w:pPr>
            <w:r>
              <w:rPr>
                <w:lang w:val="en-GB"/>
              </w:rPr>
              <w:t>625</w:t>
            </w:r>
          </w:p>
        </w:tc>
      </w:tr>
      <w:tr w:rsidR="00A4295B" w:rsidRPr="00B57B36" w14:paraId="17E0DE6E" w14:textId="77777777" w:rsidTr="00A4295B">
        <w:tc>
          <w:tcPr>
            <w:tcW w:w="1701" w:type="dxa"/>
            <w:shd w:val="clear" w:color="auto" w:fill="FFFFFF"/>
          </w:tcPr>
          <w:p w14:paraId="6E67B80F" w14:textId="447F9165" w:rsidR="00A4295B" w:rsidRPr="00B57B36" w:rsidRDefault="00A4295B" w:rsidP="00A4295B">
            <w:pPr>
              <w:pStyle w:val="CETBodytext"/>
              <w:ind w:right="-1"/>
              <w:rPr>
                <w:rFonts w:cs="Arial"/>
                <w:szCs w:val="18"/>
                <w:lang w:val="en-GB"/>
              </w:rPr>
            </w:pPr>
            <w:r w:rsidRPr="00BB0D90">
              <w:t>Cyclohexane</w:t>
            </w:r>
          </w:p>
        </w:tc>
        <w:tc>
          <w:tcPr>
            <w:tcW w:w="1276" w:type="dxa"/>
            <w:shd w:val="clear" w:color="auto" w:fill="FFFFFF"/>
          </w:tcPr>
          <w:p w14:paraId="1C0D1B8D" w14:textId="3E2C37A2" w:rsidR="00A4295B" w:rsidRPr="00B57B36" w:rsidRDefault="00A4295B" w:rsidP="00A4295B">
            <w:pPr>
              <w:pStyle w:val="CETBodytext"/>
              <w:ind w:right="-1"/>
              <w:rPr>
                <w:rFonts w:cs="Arial"/>
                <w:szCs w:val="18"/>
                <w:lang w:val="en-GB"/>
              </w:rPr>
            </w:pPr>
            <w:r w:rsidRPr="00632A67">
              <w:rPr>
                <w:lang w:val="en-GB"/>
              </w:rPr>
              <w:t>110-82-7</w:t>
            </w:r>
          </w:p>
        </w:tc>
        <w:tc>
          <w:tcPr>
            <w:tcW w:w="1240" w:type="dxa"/>
            <w:shd w:val="clear" w:color="auto" w:fill="FFFFFF"/>
            <w:vAlign w:val="center"/>
          </w:tcPr>
          <w:p w14:paraId="3DE6ACB1" w14:textId="79E11985" w:rsidR="00A4295B" w:rsidRPr="00B57B36" w:rsidRDefault="00A4295B" w:rsidP="00A4295B">
            <w:pPr>
              <w:pStyle w:val="CETBodytext"/>
              <w:ind w:right="-1"/>
              <w:rPr>
                <w:rFonts w:cs="Arial"/>
                <w:szCs w:val="18"/>
                <w:lang w:val="en-GB"/>
              </w:rPr>
            </w:pPr>
            <w:r>
              <w:rPr>
                <w:lang w:val="en-GB"/>
              </w:rPr>
              <w:t>10 384</w:t>
            </w:r>
          </w:p>
        </w:tc>
      </w:tr>
      <w:tr w:rsidR="00A4295B" w:rsidRPr="00B57B36" w14:paraId="7098DCE7" w14:textId="77777777" w:rsidTr="00A4295B">
        <w:tc>
          <w:tcPr>
            <w:tcW w:w="1701" w:type="dxa"/>
            <w:shd w:val="clear" w:color="auto" w:fill="FFFFFF"/>
          </w:tcPr>
          <w:p w14:paraId="0555BAD1" w14:textId="608EA338" w:rsidR="00A4295B" w:rsidRPr="00B57B36" w:rsidRDefault="00A4295B" w:rsidP="00A4295B">
            <w:pPr>
              <w:pStyle w:val="CETBodytext"/>
              <w:ind w:right="-1"/>
              <w:rPr>
                <w:rFonts w:cs="Arial"/>
                <w:szCs w:val="18"/>
                <w:lang w:val="en-GB"/>
              </w:rPr>
            </w:pPr>
            <w:r>
              <w:t>Cyclopentane</w:t>
            </w:r>
          </w:p>
        </w:tc>
        <w:tc>
          <w:tcPr>
            <w:tcW w:w="1276" w:type="dxa"/>
            <w:shd w:val="clear" w:color="auto" w:fill="FFFFFF"/>
          </w:tcPr>
          <w:p w14:paraId="44EC990D" w14:textId="55DE2C07" w:rsidR="00A4295B" w:rsidRPr="00B57B36" w:rsidRDefault="00A4295B" w:rsidP="00A4295B">
            <w:pPr>
              <w:pStyle w:val="CETBodytext"/>
              <w:ind w:right="-1"/>
              <w:rPr>
                <w:rFonts w:cs="Arial"/>
                <w:szCs w:val="18"/>
                <w:lang w:val="en-GB"/>
              </w:rPr>
            </w:pPr>
            <w:r w:rsidRPr="00632A67">
              <w:rPr>
                <w:snapToGrid w:val="0"/>
                <w:lang w:val="en-GB"/>
              </w:rPr>
              <w:t>287-92-3</w:t>
            </w:r>
          </w:p>
        </w:tc>
        <w:tc>
          <w:tcPr>
            <w:tcW w:w="1240" w:type="dxa"/>
            <w:shd w:val="clear" w:color="auto" w:fill="FFFFFF"/>
            <w:vAlign w:val="center"/>
          </w:tcPr>
          <w:p w14:paraId="43B8593F" w14:textId="46C8294C" w:rsidR="00A4295B" w:rsidRPr="00B57B36" w:rsidRDefault="00A4295B" w:rsidP="00A4295B">
            <w:pPr>
              <w:pStyle w:val="CETBodytext"/>
              <w:ind w:right="-1"/>
              <w:rPr>
                <w:rFonts w:cs="Arial"/>
                <w:szCs w:val="18"/>
                <w:lang w:val="en-GB"/>
              </w:rPr>
            </w:pPr>
            <w:r>
              <w:rPr>
                <w:snapToGrid w:val="0"/>
                <w:lang w:val="en-GB"/>
              </w:rPr>
              <w:t>36 660</w:t>
            </w:r>
          </w:p>
        </w:tc>
      </w:tr>
      <w:tr w:rsidR="00A4295B" w:rsidRPr="00B57B36" w14:paraId="68FCE97E" w14:textId="77777777" w:rsidTr="00A4295B">
        <w:tc>
          <w:tcPr>
            <w:tcW w:w="1701" w:type="dxa"/>
            <w:shd w:val="clear" w:color="auto" w:fill="FFFFFF"/>
          </w:tcPr>
          <w:p w14:paraId="335F8361" w14:textId="7CBAC3B2" w:rsidR="00A4295B" w:rsidRPr="00B57B36" w:rsidRDefault="00A4295B" w:rsidP="00A4295B">
            <w:pPr>
              <w:pStyle w:val="CETBodytext"/>
              <w:ind w:right="-1"/>
              <w:rPr>
                <w:rFonts w:cs="Arial"/>
                <w:szCs w:val="18"/>
                <w:lang w:val="en-GB"/>
              </w:rPr>
            </w:pPr>
            <w:r>
              <w:t>Decane</w:t>
            </w:r>
          </w:p>
        </w:tc>
        <w:tc>
          <w:tcPr>
            <w:tcW w:w="1276" w:type="dxa"/>
            <w:shd w:val="clear" w:color="auto" w:fill="FFFFFF"/>
          </w:tcPr>
          <w:p w14:paraId="723FE4A5" w14:textId="28FED5E1" w:rsidR="00A4295B" w:rsidRPr="00B57B36" w:rsidRDefault="00A4295B" w:rsidP="00A4295B">
            <w:pPr>
              <w:pStyle w:val="CETBodytext"/>
              <w:ind w:right="-1"/>
              <w:rPr>
                <w:rFonts w:cs="Arial"/>
                <w:szCs w:val="18"/>
                <w:lang w:val="en-GB"/>
              </w:rPr>
            </w:pPr>
            <w:r w:rsidRPr="00632A67">
              <w:rPr>
                <w:snapToGrid w:val="0"/>
                <w:lang w:val="en-GB"/>
              </w:rPr>
              <w:t>124-18-5</w:t>
            </w:r>
          </w:p>
        </w:tc>
        <w:tc>
          <w:tcPr>
            <w:tcW w:w="1240" w:type="dxa"/>
            <w:shd w:val="clear" w:color="auto" w:fill="FFFFFF"/>
            <w:vAlign w:val="center"/>
          </w:tcPr>
          <w:p w14:paraId="183387ED" w14:textId="1F15B58A" w:rsidR="00A4295B" w:rsidRPr="00B57B36" w:rsidRDefault="00A4295B" w:rsidP="00A4295B">
            <w:pPr>
              <w:pStyle w:val="CETBodytext"/>
              <w:ind w:right="-1"/>
              <w:rPr>
                <w:rFonts w:cs="Arial"/>
                <w:szCs w:val="18"/>
                <w:lang w:val="en-GB"/>
              </w:rPr>
            </w:pPr>
            <w:r>
              <w:rPr>
                <w:snapToGrid w:val="0"/>
                <w:lang w:val="en-GB"/>
              </w:rPr>
              <w:t>127</w:t>
            </w:r>
          </w:p>
        </w:tc>
      </w:tr>
      <w:tr w:rsidR="00A4295B" w:rsidRPr="00B57B36" w14:paraId="7D7B82B6" w14:textId="77777777" w:rsidTr="00A4295B">
        <w:tc>
          <w:tcPr>
            <w:tcW w:w="1701" w:type="dxa"/>
            <w:shd w:val="clear" w:color="auto" w:fill="FFFFFF"/>
          </w:tcPr>
          <w:p w14:paraId="3D8AD01D" w14:textId="67E5C358" w:rsidR="00A4295B" w:rsidRPr="00B57B36" w:rsidRDefault="00A4295B" w:rsidP="00A4295B">
            <w:pPr>
              <w:pStyle w:val="CETBodytext"/>
              <w:ind w:right="-1"/>
              <w:rPr>
                <w:rFonts w:cs="Arial"/>
                <w:szCs w:val="18"/>
                <w:lang w:val="en-GB"/>
              </w:rPr>
            </w:pPr>
            <w:r>
              <w:t>Dodecane</w:t>
            </w:r>
          </w:p>
        </w:tc>
        <w:tc>
          <w:tcPr>
            <w:tcW w:w="1276" w:type="dxa"/>
            <w:shd w:val="clear" w:color="auto" w:fill="FFFFFF"/>
          </w:tcPr>
          <w:p w14:paraId="115EB591" w14:textId="07B518EE" w:rsidR="00A4295B" w:rsidRPr="00B57B36" w:rsidRDefault="00A4295B" w:rsidP="00A4295B">
            <w:pPr>
              <w:pStyle w:val="CETBodytext"/>
              <w:ind w:right="-1"/>
              <w:rPr>
                <w:rFonts w:cs="Arial"/>
                <w:szCs w:val="18"/>
                <w:lang w:val="en-GB"/>
              </w:rPr>
            </w:pPr>
            <w:r w:rsidRPr="00632A67">
              <w:rPr>
                <w:snapToGrid w:val="0"/>
                <w:lang w:val="en-GB"/>
              </w:rPr>
              <w:t>112-40-3</w:t>
            </w:r>
          </w:p>
        </w:tc>
        <w:tc>
          <w:tcPr>
            <w:tcW w:w="1240" w:type="dxa"/>
            <w:shd w:val="clear" w:color="auto" w:fill="FFFFFF"/>
            <w:vAlign w:val="center"/>
          </w:tcPr>
          <w:p w14:paraId="796824A9" w14:textId="4ECC48A3" w:rsidR="00A4295B" w:rsidRPr="00B57B36" w:rsidRDefault="00A4295B" w:rsidP="00A4295B">
            <w:pPr>
              <w:pStyle w:val="CETBodytext"/>
              <w:ind w:right="-1"/>
              <w:rPr>
                <w:rFonts w:cs="Arial"/>
                <w:szCs w:val="18"/>
                <w:lang w:val="en-GB"/>
              </w:rPr>
            </w:pPr>
            <w:r>
              <w:rPr>
                <w:snapToGrid w:val="0"/>
                <w:lang w:val="en-GB"/>
              </w:rPr>
              <w:t>12</w:t>
            </w:r>
          </w:p>
        </w:tc>
      </w:tr>
      <w:tr w:rsidR="00A4295B" w:rsidRPr="00B57B36" w14:paraId="6578C13F" w14:textId="77777777" w:rsidTr="00A4295B">
        <w:tc>
          <w:tcPr>
            <w:tcW w:w="1701" w:type="dxa"/>
            <w:shd w:val="clear" w:color="auto" w:fill="FFFFFF"/>
          </w:tcPr>
          <w:p w14:paraId="06528AAA" w14:textId="6AE09907" w:rsidR="00A4295B" w:rsidRPr="00B57B36" w:rsidRDefault="00A4295B" w:rsidP="00A4295B">
            <w:pPr>
              <w:pStyle w:val="CETBodytext"/>
              <w:ind w:right="-1"/>
              <w:rPr>
                <w:rFonts w:cs="Arial"/>
                <w:szCs w:val="18"/>
                <w:lang w:val="en-GB"/>
              </w:rPr>
            </w:pPr>
            <w:r>
              <w:lastRenderedPageBreak/>
              <w:t xml:space="preserve">Dimethyl </w:t>
            </w:r>
            <w:proofErr w:type="spellStart"/>
            <w:r>
              <w:t>disulphide</w:t>
            </w:r>
            <w:proofErr w:type="spellEnd"/>
          </w:p>
        </w:tc>
        <w:tc>
          <w:tcPr>
            <w:tcW w:w="1276" w:type="dxa"/>
            <w:shd w:val="clear" w:color="auto" w:fill="FFFFFF"/>
          </w:tcPr>
          <w:p w14:paraId="279E49B1" w14:textId="645C5088" w:rsidR="00A4295B" w:rsidRPr="00B57B36" w:rsidRDefault="00A4295B" w:rsidP="00A4295B">
            <w:pPr>
              <w:pStyle w:val="CETBodytext"/>
              <w:ind w:right="-1"/>
              <w:rPr>
                <w:rFonts w:cs="Arial"/>
                <w:szCs w:val="18"/>
                <w:lang w:val="en-GB"/>
              </w:rPr>
            </w:pPr>
            <w:r w:rsidRPr="00632A67">
              <w:rPr>
                <w:snapToGrid w:val="0"/>
                <w:lang w:val="en-GB"/>
              </w:rPr>
              <w:t>624-92-0</w:t>
            </w:r>
          </w:p>
        </w:tc>
        <w:tc>
          <w:tcPr>
            <w:tcW w:w="1240" w:type="dxa"/>
            <w:shd w:val="clear" w:color="auto" w:fill="FFFFFF"/>
            <w:vAlign w:val="center"/>
          </w:tcPr>
          <w:p w14:paraId="7E7DCC09" w14:textId="0CBCB04A" w:rsidR="00A4295B" w:rsidRPr="00B57B36" w:rsidRDefault="00A4295B" w:rsidP="00A4295B">
            <w:pPr>
              <w:pStyle w:val="CETBodytext"/>
              <w:ind w:right="-1"/>
              <w:rPr>
                <w:rFonts w:cs="Arial"/>
                <w:szCs w:val="18"/>
                <w:lang w:val="en-GB"/>
              </w:rPr>
            </w:pPr>
            <w:r>
              <w:rPr>
                <w:snapToGrid w:val="0"/>
                <w:lang w:val="en-GB"/>
              </w:rPr>
              <w:t>3 000</w:t>
            </w:r>
          </w:p>
        </w:tc>
      </w:tr>
      <w:tr w:rsidR="00A4295B" w:rsidRPr="00B57B36" w14:paraId="4BF2E55E" w14:textId="77777777" w:rsidTr="00A4295B">
        <w:tc>
          <w:tcPr>
            <w:tcW w:w="1701" w:type="dxa"/>
            <w:shd w:val="clear" w:color="auto" w:fill="FFFFFF"/>
          </w:tcPr>
          <w:p w14:paraId="33B5F35C" w14:textId="192A4916" w:rsidR="00A4295B" w:rsidRPr="00B57B36" w:rsidRDefault="00A4295B" w:rsidP="00A4295B">
            <w:pPr>
              <w:pStyle w:val="CETBodytext"/>
              <w:ind w:right="-1"/>
              <w:rPr>
                <w:rFonts w:cs="Arial"/>
                <w:szCs w:val="18"/>
                <w:lang w:val="en-GB"/>
              </w:rPr>
            </w:pPr>
            <w:r>
              <w:t xml:space="preserve">Dimethyl </w:t>
            </w:r>
            <w:proofErr w:type="spellStart"/>
            <w:r>
              <w:t>sulphide</w:t>
            </w:r>
            <w:proofErr w:type="spellEnd"/>
          </w:p>
        </w:tc>
        <w:tc>
          <w:tcPr>
            <w:tcW w:w="1276" w:type="dxa"/>
            <w:shd w:val="clear" w:color="auto" w:fill="FFFFFF"/>
          </w:tcPr>
          <w:p w14:paraId="6645DFB2" w14:textId="44A975AF" w:rsidR="00A4295B" w:rsidRPr="00B57B36" w:rsidRDefault="00A4295B" w:rsidP="00A4295B">
            <w:pPr>
              <w:pStyle w:val="CETBodytext"/>
              <w:ind w:right="-1"/>
              <w:rPr>
                <w:rFonts w:cs="Arial"/>
                <w:szCs w:val="18"/>
                <w:lang w:val="en-GB"/>
              </w:rPr>
            </w:pPr>
            <w:r w:rsidRPr="00632A67">
              <w:rPr>
                <w:snapToGrid w:val="0"/>
                <w:lang w:val="en-GB"/>
              </w:rPr>
              <w:t>75-18-3</w:t>
            </w:r>
          </w:p>
        </w:tc>
        <w:tc>
          <w:tcPr>
            <w:tcW w:w="1240" w:type="dxa"/>
            <w:shd w:val="clear" w:color="auto" w:fill="FFFFFF"/>
            <w:vAlign w:val="center"/>
          </w:tcPr>
          <w:p w14:paraId="21A39040" w14:textId="13552647" w:rsidR="00A4295B" w:rsidRPr="00B57B36" w:rsidRDefault="00A4295B" w:rsidP="00A4295B">
            <w:pPr>
              <w:pStyle w:val="CETBodytext"/>
              <w:ind w:right="-1"/>
              <w:rPr>
                <w:rFonts w:cs="Arial"/>
                <w:szCs w:val="18"/>
                <w:lang w:val="en-GB"/>
              </w:rPr>
            </w:pPr>
            <w:r>
              <w:rPr>
                <w:snapToGrid w:val="0"/>
                <w:lang w:val="en-GB"/>
              </w:rPr>
              <w:t>65 000</w:t>
            </w:r>
          </w:p>
        </w:tc>
      </w:tr>
      <w:tr w:rsidR="00A4295B" w:rsidRPr="00B57B36" w14:paraId="122DF374" w14:textId="77777777" w:rsidTr="00A4295B">
        <w:tc>
          <w:tcPr>
            <w:tcW w:w="1701" w:type="dxa"/>
            <w:shd w:val="clear" w:color="auto" w:fill="FFFFFF"/>
          </w:tcPr>
          <w:p w14:paraId="40562F39" w14:textId="44AA4005" w:rsidR="00A4295B" w:rsidRPr="00B57B36" w:rsidRDefault="00A4295B" w:rsidP="00A4295B">
            <w:pPr>
              <w:pStyle w:val="CETBodytext"/>
              <w:ind w:right="-1"/>
              <w:rPr>
                <w:rFonts w:cs="Arial"/>
                <w:szCs w:val="18"/>
                <w:lang w:val="en-GB"/>
              </w:rPr>
            </w:pPr>
            <w:r>
              <w:t>Heptane</w:t>
            </w:r>
          </w:p>
        </w:tc>
        <w:tc>
          <w:tcPr>
            <w:tcW w:w="1276" w:type="dxa"/>
            <w:shd w:val="clear" w:color="auto" w:fill="FFFFFF"/>
          </w:tcPr>
          <w:p w14:paraId="455E8303" w14:textId="5266CB91" w:rsidR="00A4295B" w:rsidRPr="00B57B36" w:rsidRDefault="00A4295B" w:rsidP="00A4295B">
            <w:pPr>
              <w:pStyle w:val="CETBodytext"/>
              <w:ind w:right="-1"/>
              <w:rPr>
                <w:rFonts w:cs="Arial"/>
                <w:szCs w:val="18"/>
                <w:lang w:val="en-GB"/>
              </w:rPr>
            </w:pPr>
            <w:r w:rsidRPr="00632A67">
              <w:rPr>
                <w:snapToGrid w:val="0"/>
                <w:lang w:val="en-GB"/>
              </w:rPr>
              <w:t>142-82-5</w:t>
            </w:r>
          </w:p>
        </w:tc>
        <w:tc>
          <w:tcPr>
            <w:tcW w:w="1240" w:type="dxa"/>
            <w:shd w:val="clear" w:color="auto" w:fill="FFFFFF"/>
            <w:vAlign w:val="center"/>
          </w:tcPr>
          <w:p w14:paraId="55D4D3BE" w14:textId="4C9C6C04" w:rsidR="00A4295B" w:rsidRPr="00B57B36" w:rsidRDefault="00A4295B" w:rsidP="00A4295B">
            <w:pPr>
              <w:pStyle w:val="CETBodytext"/>
              <w:ind w:right="-1"/>
              <w:rPr>
                <w:rFonts w:cs="Arial"/>
                <w:szCs w:val="18"/>
                <w:lang w:val="en-GB"/>
              </w:rPr>
            </w:pPr>
            <w:r>
              <w:rPr>
                <w:snapToGrid w:val="0"/>
                <w:lang w:val="en-GB"/>
              </w:rPr>
              <w:t>4 703</w:t>
            </w:r>
          </w:p>
        </w:tc>
      </w:tr>
      <w:tr w:rsidR="00A4295B" w:rsidRPr="00B57B36" w14:paraId="3F3D7252" w14:textId="77777777" w:rsidTr="00A4295B">
        <w:tc>
          <w:tcPr>
            <w:tcW w:w="1701" w:type="dxa"/>
            <w:shd w:val="clear" w:color="auto" w:fill="FFFFFF"/>
          </w:tcPr>
          <w:p w14:paraId="09347071" w14:textId="27E8B656" w:rsidR="00A4295B" w:rsidRPr="00B57B36" w:rsidRDefault="00A4295B" w:rsidP="00A4295B">
            <w:pPr>
              <w:pStyle w:val="CETBodytext"/>
              <w:ind w:right="-1"/>
              <w:rPr>
                <w:rFonts w:cs="Arial"/>
                <w:szCs w:val="18"/>
                <w:lang w:val="en-GB"/>
              </w:rPr>
            </w:pPr>
            <w:r>
              <w:t>Hexane</w:t>
            </w:r>
          </w:p>
        </w:tc>
        <w:tc>
          <w:tcPr>
            <w:tcW w:w="1276" w:type="dxa"/>
            <w:shd w:val="clear" w:color="auto" w:fill="FFFFFF"/>
          </w:tcPr>
          <w:p w14:paraId="3BCA5E97" w14:textId="25A7D5C3" w:rsidR="00A4295B" w:rsidRPr="00B57B36" w:rsidRDefault="00A4295B" w:rsidP="00A4295B">
            <w:pPr>
              <w:pStyle w:val="CETBodytext"/>
              <w:ind w:right="-1"/>
              <w:rPr>
                <w:rFonts w:cs="Arial"/>
                <w:szCs w:val="18"/>
                <w:lang w:val="en-GB"/>
              </w:rPr>
            </w:pPr>
            <w:r w:rsidRPr="00632A67">
              <w:rPr>
                <w:snapToGrid w:val="0"/>
                <w:lang w:val="en-GB"/>
              </w:rPr>
              <w:t>110-54-3</w:t>
            </w:r>
          </w:p>
        </w:tc>
        <w:tc>
          <w:tcPr>
            <w:tcW w:w="1240" w:type="dxa"/>
            <w:shd w:val="clear" w:color="auto" w:fill="FFFFFF"/>
            <w:vAlign w:val="center"/>
          </w:tcPr>
          <w:p w14:paraId="5D9BA1E4" w14:textId="32C06F7C" w:rsidR="00A4295B" w:rsidRPr="00B57B36" w:rsidRDefault="00A4295B" w:rsidP="00A4295B">
            <w:pPr>
              <w:pStyle w:val="CETBodytext"/>
              <w:ind w:right="-1"/>
              <w:rPr>
                <w:rFonts w:cs="Arial"/>
                <w:szCs w:val="18"/>
                <w:lang w:val="en-GB"/>
              </w:rPr>
            </w:pPr>
            <w:r>
              <w:rPr>
                <w:snapToGrid w:val="0"/>
                <w:lang w:val="en-GB"/>
              </w:rPr>
              <w:t>16 000</w:t>
            </w:r>
          </w:p>
        </w:tc>
      </w:tr>
      <w:tr w:rsidR="00A4295B" w:rsidRPr="00B57B36" w14:paraId="17684333" w14:textId="77777777" w:rsidTr="00A4295B">
        <w:tc>
          <w:tcPr>
            <w:tcW w:w="1701" w:type="dxa"/>
            <w:shd w:val="clear" w:color="auto" w:fill="FFFFFF"/>
          </w:tcPr>
          <w:p w14:paraId="335793EC" w14:textId="1B81B321" w:rsidR="00A4295B" w:rsidRPr="00B57B36" w:rsidRDefault="00A4295B" w:rsidP="00A4295B">
            <w:pPr>
              <w:pStyle w:val="CETBodytext"/>
              <w:ind w:right="-1"/>
              <w:rPr>
                <w:rFonts w:cs="Arial"/>
                <w:szCs w:val="18"/>
                <w:lang w:val="en-GB"/>
              </w:rPr>
            </w:pPr>
            <w:r>
              <w:t>Isooctane</w:t>
            </w:r>
          </w:p>
        </w:tc>
        <w:tc>
          <w:tcPr>
            <w:tcW w:w="1276" w:type="dxa"/>
            <w:shd w:val="clear" w:color="auto" w:fill="FFFFFF"/>
          </w:tcPr>
          <w:p w14:paraId="41D2A04C" w14:textId="59C1AC9D" w:rsidR="00A4295B" w:rsidRPr="00B57B36" w:rsidRDefault="00A4295B" w:rsidP="00A4295B">
            <w:pPr>
              <w:pStyle w:val="CETBodytext"/>
              <w:ind w:right="-1"/>
              <w:rPr>
                <w:rFonts w:cs="Arial"/>
                <w:szCs w:val="18"/>
                <w:lang w:val="en-GB"/>
              </w:rPr>
            </w:pPr>
            <w:r w:rsidRPr="00632A67">
              <w:rPr>
                <w:snapToGrid w:val="0"/>
                <w:lang w:val="en-GB"/>
              </w:rPr>
              <w:t>540-84-1</w:t>
            </w:r>
          </w:p>
        </w:tc>
        <w:tc>
          <w:tcPr>
            <w:tcW w:w="1240" w:type="dxa"/>
            <w:shd w:val="clear" w:color="auto" w:fill="FFFFFF"/>
            <w:vAlign w:val="center"/>
          </w:tcPr>
          <w:p w14:paraId="485C5C19" w14:textId="7607E2A4" w:rsidR="00A4295B" w:rsidRPr="00B57B36" w:rsidRDefault="00A4295B" w:rsidP="00A4295B">
            <w:pPr>
              <w:pStyle w:val="CETBodytext"/>
              <w:ind w:right="-1"/>
              <w:rPr>
                <w:rFonts w:cs="Arial"/>
                <w:szCs w:val="18"/>
                <w:lang w:val="en-GB"/>
              </w:rPr>
            </w:pPr>
            <w:r>
              <w:rPr>
                <w:snapToGrid w:val="0"/>
                <w:lang w:val="en-GB"/>
              </w:rPr>
              <w:t>5 300</w:t>
            </w:r>
          </w:p>
        </w:tc>
      </w:tr>
      <w:tr w:rsidR="00A4295B" w:rsidRPr="00B57B36" w14:paraId="3B322314" w14:textId="77777777" w:rsidTr="00A4295B">
        <w:tc>
          <w:tcPr>
            <w:tcW w:w="1701" w:type="dxa"/>
            <w:shd w:val="clear" w:color="auto" w:fill="FFFFFF"/>
          </w:tcPr>
          <w:p w14:paraId="612DD922" w14:textId="278EA517" w:rsidR="00A4295B" w:rsidRPr="00B57B36" w:rsidRDefault="00A4295B" w:rsidP="00A4295B">
            <w:pPr>
              <w:pStyle w:val="CETBodytext"/>
              <w:ind w:right="-1"/>
              <w:rPr>
                <w:rFonts w:cs="Arial"/>
                <w:szCs w:val="18"/>
                <w:lang w:val="en-GB"/>
              </w:rPr>
            </w:pPr>
            <w:r>
              <w:t>Methyl ethyl ketone</w:t>
            </w:r>
          </w:p>
        </w:tc>
        <w:tc>
          <w:tcPr>
            <w:tcW w:w="1276" w:type="dxa"/>
            <w:shd w:val="clear" w:color="auto" w:fill="FFFFFF"/>
          </w:tcPr>
          <w:p w14:paraId="36EFCEFC" w14:textId="26603268" w:rsidR="00A4295B" w:rsidRPr="00B57B36" w:rsidRDefault="00A4295B" w:rsidP="00A4295B">
            <w:pPr>
              <w:pStyle w:val="CETBodytext"/>
              <w:ind w:right="-1"/>
              <w:rPr>
                <w:rFonts w:cs="Arial"/>
                <w:szCs w:val="18"/>
                <w:lang w:val="en-GB"/>
              </w:rPr>
            </w:pPr>
            <w:r w:rsidRPr="00632A67">
              <w:rPr>
                <w:snapToGrid w:val="0"/>
                <w:lang w:val="en-GB"/>
              </w:rPr>
              <w:t>78-93-3</w:t>
            </w:r>
          </w:p>
        </w:tc>
        <w:tc>
          <w:tcPr>
            <w:tcW w:w="1240" w:type="dxa"/>
            <w:shd w:val="clear" w:color="auto" w:fill="FFFFFF"/>
            <w:vAlign w:val="center"/>
          </w:tcPr>
          <w:p w14:paraId="28E46706" w14:textId="537A8B75" w:rsidR="00A4295B" w:rsidRPr="00B57B36" w:rsidRDefault="00A4295B" w:rsidP="00A4295B">
            <w:pPr>
              <w:pStyle w:val="CETBodytext"/>
              <w:ind w:right="-1"/>
              <w:rPr>
                <w:rFonts w:cs="Arial"/>
                <w:szCs w:val="18"/>
                <w:lang w:val="en-GB"/>
              </w:rPr>
            </w:pPr>
            <w:r>
              <w:rPr>
                <w:snapToGrid w:val="0"/>
                <w:lang w:val="en-GB"/>
              </w:rPr>
              <w:t>9 867</w:t>
            </w:r>
          </w:p>
        </w:tc>
      </w:tr>
      <w:tr w:rsidR="00A4295B" w:rsidRPr="00B57B36" w14:paraId="3803A993" w14:textId="77777777" w:rsidTr="00A4295B">
        <w:tc>
          <w:tcPr>
            <w:tcW w:w="1701" w:type="dxa"/>
            <w:shd w:val="clear" w:color="auto" w:fill="FFFFFF"/>
          </w:tcPr>
          <w:p w14:paraId="0D7887A4" w14:textId="1F44F2E1" w:rsidR="00A4295B" w:rsidRPr="00B57B36" w:rsidRDefault="00A4295B" w:rsidP="00A4295B">
            <w:pPr>
              <w:pStyle w:val="CETBodytext"/>
              <w:ind w:right="-1"/>
              <w:rPr>
                <w:rFonts w:cs="Arial"/>
                <w:szCs w:val="18"/>
                <w:lang w:val="en-GB"/>
              </w:rPr>
            </w:pPr>
            <w:r>
              <w:t>2-methylpentane</w:t>
            </w:r>
          </w:p>
        </w:tc>
        <w:tc>
          <w:tcPr>
            <w:tcW w:w="1276" w:type="dxa"/>
            <w:shd w:val="clear" w:color="auto" w:fill="FFFFFF"/>
          </w:tcPr>
          <w:p w14:paraId="63F85C18" w14:textId="33266061" w:rsidR="00A4295B" w:rsidRPr="00B57B36" w:rsidRDefault="00A4295B" w:rsidP="00A4295B">
            <w:pPr>
              <w:pStyle w:val="CETBodytext"/>
              <w:ind w:right="-1"/>
              <w:rPr>
                <w:rFonts w:cs="Arial"/>
                <w:szCs w:val="18"/>
                <w:lang w:val="en-GB"/>
              </w:rPr>
            </w:pPr>
            <w:r w:rsidRPr="00B658A4">
              <w:rPr>
                <w:snapToGrid w:val="0"/>
                <w:lang w:val="en-GB"/>
              </w:rPr>
              <w:t>107-83-5</w:t>
            </w:r>
          </w:p>
        </w:tc>
        <w:tc>
          <w:tcPr>
            <w:tcW w:w="1240" w:type="dxa"/>
            <w:shd w:val="clear" w:color="auto" w:fill="FFFFFF"/>
            <w:vAlign w:val="center"/>
          </w:tcPr>
          <w:p w14:paraId="49F1E36E" w14:textId="624C3D62" w:rsidR="00A4295B" w:rsidRPr="00B57B36" w:rsidRDefault="00A4295B" w:rsidP="00A4295B">
            <w:pPr>
              <w:pStyle w:val="CETBodytext"/>
              <w:ind w:right="-1"/>
              <w:rPr>
                <w:rFonts w:cs="Arial"/>
                <w:szCs w:val="18"/>
                <w:lang w:val="en-GB"/>
              </w:rPr>
            </w:pPr>
            <w:r>
              <w:rPr>
                <w:snapToGrid w:val="0"/>
                <w:lang w:val="en-GB"/>
              </w:rPr>
              <w:t>22 700</w:t>
            </w:r>
          </w:p>
        </w:tc>
      </w:tr>
      <w:tr w:rsidR="00A4295B" w:rsidRPr="00B57B36" w14:paraId="7DE09106" w14:textId="77777777" w:rsidTr="00A4295B">
        <w:tc>
          <w:tcPr>
            <w:tcW w:w="1701" w:type="dxa"/>
            <w:shd w:val="clear" w:color="auto" w:fill="FFFFFF"/>
          </w:tcPr>
          <w:p w14:paraId="6BA367AC" w14:textId="21DBB1C5" w:rsidR="00A4295B" w:rsidRPr="00B57B36" w:rsidRDefault="00A4295B" w:rsidP="00A4295B">
            <w:pPr>
              <w:pStyle w:val="CETBodytext"/>
              <w:ind w:right="-1"/>
              <w:rPr>
                <w:rFonts w:cs="Arial"/>
                <w:szCs w:val="18"/>
                <w:lang w:val="en-GB"/>
              </w:rPr>
            </w:pPr>
            <w:r>
              <w:t>Pentane</w:t>
            </w:r>
          </w:p>
        </w:tc>
        <w:tc>
          <w:tcPr>
            <w:tcW w:w="1276" w:type="dxa"/>
            <w:shd w:val="clear" w:color="auto" w:fill="FFFFFF"/>
          </w:tcPr>
          <w:p w14:paraId="76CD1A02" w14:textId="043F8BE4" w:rsidR="00A4295B" w:rsidRPr="00B57B36" w:rsidRDefault="00A4295B" w:rsidP="00A4295B">
            <w:pPr>
              <w:pStyle w:val="CETBodytext"/>
              <w:ind w:right="-1"/>
              <w:rPr>
                <w:rFonts w:cs="Arial"/>
                <w:szCs w:val="18"/>
                <w:lang w:val="en-GB"/>
              </w:rPr>
            </w:pPr>
            <w:r w:rsidRPr="00B658A4">
              <w:rPr>
                <w:snapToGrid w:val="0"/>
                <w:lang w:val="en-GB"/>
              </w:rPr>
              <w:t>109-66-0</w:t>
            </w:r>
          </w:p>
        </w:tc>
        <w:tc>
          <w:tcPr>
            <w:tcW w:w="1240" w:type="dxa"/>
            <w:shd w:val="clear" w:color="auto" w:fill="FFFFFF"/>
            <w:vAlign w:val="center"/>
          </w:tcPr>
          <w:p w14:paraId="356BA78D" w14:textId="14E65B95" w:rsidR="00A4295B" w:rsidRPr="00B57B36" w:rsidRDefault="00A4295B" w:rsidP="00A4295B">
            <w:pPr>
              <w:pStyle w:val="CETBodytext"/>
              <w:ind w:right="-1"/>
              <w:rPr>
                <w:rFonts w:cs="Arial"/>
                <w:szCs w:val="18"/>
                <w:lang w:val="en-GB"/>
              </w:rPr>
            </w:pPr>
            <w:r>
              <w:rPr>
                <w:snapToGrid w:val="0"/>
                <w:lang w:val="en-GB"/>
              </w:rPr>
              <w:t>57 000</w:t>
            </w:r>
          </w:p>
        </w:tc>
      </w:tr>
      <w:tr w:rsidR="00A4295B" w:rsidRPr="00B57B36" w14:paraId="09B8BF68" w14:textId="77777777" w:rsidTr="00A4295B">
        <w:tc>
          <w:tcPr>
            <w:tcW w:w="1701" w:type="dxa"/>
            <w:shd w:val="clear" w:color="auto" w:fill="FFFFFF"/>
          </w:tcPr>
          <w:p w14:paraId="2B2885D2" w14:textId="64542DFB" w:rsidR="00A4295B" w:rsidRPr="00B57B36" w:rsidRDefault="00A4295B" w:rsidP="00A4295B">
            <w:pPr>
              <w:pStyle w:val="CETBodytext"/>
              <w:ind w:right="-1"/>
              <w:rPr>
                <w:rFonts w:cs="Arial"/>
                <w:szCs w:val="18"/>
                <w:lang w:val="en-GB"/>
              </w:rPr>
            </w:pPr>
            <w:r w:rsidRPr="00A4295B">
              <w:rPr>
                <w:rFonts w:cs="Arial"/>
                <w:szCs w:val="18"/>
                <w:lang w:val="en-GB"/>
              </w:rPr>
              <w:t>Toluene</w:t>
            </w:r>
          </w:p>
        </w:tc>
        <w:tc>
          <w:tcPr>
            <w:tcW w:w="1276" w:type="dxa"/>
            <w:shd w:val="clear" w:color="auto" w:fill="FFFFFF"/>
          </w:tcPr>
          <w:p w14:paraId="4CA29FD5" w14:textId="0C74E1A2" w:rsidR="00A4295B" w:rsidRPr="00B57B36" w:rsidRDefault="00A4295B" w:rsidP="00A4295B">
            <w:pPr>
              <w:pStyle w:val="CETBodytext"/>
              <w:ind w:right="-1"/>
              <w:rPr>
                <w:rFonts w:cs="Arial"/>
                <w:szCs w:val="18"/>
                <w:lang w:val="en-GB"/>
              </w:rPr>
            </w:pPr>
            <w:r w:rsidRPr="00A4295B">
              <w:rPr>
                <w:rFonts w:cs="Arial"/>
                <w:szCs w:val="18"/>
                <w:lang w:val="en-GB"/>
              </w:rPr>
              <w:t>108-88-3</w:t>
            </w:r>
          </w:p>
        </w:tc>
        <w:tc>
          <w:tcPr>
            <w:tcW w:w="1240" w:type="dxa"/>
            <w:shd w:val="clear" w:color="auto" w:fill="FFFFFF"/>
            <w:vAlign w:val="center"/>
          </w:tcPr>
          <w:p w14:paraId="15DA805A" w14:textId="683D83E3" w:rsidR="00A4295B" w:rsidRPr="00B57B36" w:rsidRDefault="00A4295B" w:rsidP="00A4295B">
            <w:pPr>
              <w:pStyle w:val="CETBodytext"/>
              <w:ind w:right="-1"/>
              <w:rPr>
                <w:rFonts w:cs="Arial"/>
                <w:szCs w:val="18"/>
                <w:lang w:val="en-GB"/>
              </w:rPr>
            </w:pPr>
            <w:r w:rsidRPr="00A4295B">
              <w:rPr>
                <w:rFonts w:cs="Arial"/>
                <w:szCs w:val="18"/>
                <w:lang w:val="en-GB"/>
              </w:rPr>
              <w:t>2 900</w:t>
            </w:r>
          </w:p>
        </w:tc>
      </w:tr>
    </w:tbl>
    <w:p w14:paraId="462B4558" w14:textId="1A743A7E" w:rsidR="002E0C2B" w:rsidRDefault="005A064E" w:rsidP="00A4295B">
      <w:pPr>
        <w:pStyle w:val="CETBodytext"/>
        <w:spacing w:before="240" w:after="240"/>
      </w:pPr>
      <w:r>
        <w:t>Focusing also on</w:t>
      </w:r>
      <w:r w:rsidR="003C551B">
        <w:t xml:space="preserve"> direct</w:t>
      </w:r>
      <w:r>
        <w:t xml:space="preserve"> experimental observation</w:t>
      </w:r>
      <w:r w:rsidR="00760EA3" w:rsidRPr="00760EA3">
        <w:t xml:space="preserve">, in the case of dodecane it was observed that the liquid does not </w:t>
      </w:r>
      <w:r w:rsidR="008E76F4">
        <w:t xml:space="preserve">vaporize </w:t>
      </w:r>
      <w:r w:rsidR="003E7307" w:rsidRPr="00760EA3">
        <w:t>completely,</w:t>
      </w:r>
      <w:r w:rsidR="00760EA3" w:rsidRPr="00760EA3">
        <w:t xml:space="preserve"> and an accumulation of liquid</w:t>
      </w:r>
      <w:r w:rsidR="003C551B">
        <w:t xml:space="preserve"> drops</w:t>
      </w:r>
      <w:r w:rsidR="00760EA3" w:rsidRPr="00760EA3">
        <w:t xml:space="preserve"> was observed at the mixing point between the gas and the liquid streams, preventing the proper operation of the system.</w:t>
      </w:r>
      <w:r w:rsidR="008E4838">
        <w:t xml:space="preserve"> </w:t>
      </w:r>
      <w:r w:rsidR="00760EA3" w:rsidRPr="00760EA3">
        <w:t>Otherwise, in the case of DMS and pentane, the main problem is related to a</w:t>
      </w:r>
      <w:r w:rsidR="003C551B">
        <w:t xml:space="preserve"> possible</w:t>
      </w:r>
      <w:r w:rsidR="00760EA3" w:rsidRPr="00760EA3">
        <w:t xml:space="preserve"> non-optimal seal of the liquid in the syringe </w:t>
      </w:r>
      <w:r w:rsidR="00760EA3" w:rsidRPr="00760EA3">
        <w:rPr>
          <w:vertAlign w:val="superscript"/>
        </w:rPr>
        <w:fldChar w:fldCharType="begin" w:fldLock="1"/>
      </w:r>
      <w:r w:rsidR="005303F5">
        <w:instrText>ADDIN CSL_CITATION {"citationItems":[{"id":"ITEM-1","itemData":{"ISBN":"3527298797","abstract":"This comprehensive and unique handbook of split and splitless injection techniques has been completely revised and updated. This new edition offers: - New insights concerning sample evaporation in the injector - Information about matrix effects - A new chapter on injector design The real processes within the injector are for the first time visualized and explained by the CD-ROM included in the book. Furthermore the reader will understand the concepts of injection techniques and get a knowledge of the sources of error. The handbook also includes many practical guidelines. From reviews of former editions: \"This substantial book is on injection techniques alone, which ... demonstrates this can have many pitfalls ... no one should be allowed to direct a laboratory doing quantitative analysis by GC without first being thoroughly familar with this book ...\" The Analyst \"This is a detailed reference volume filled with practical suggestions and techniques for managing split and splitless injection in the day-to-day world of the working gas chromatographer. It will be useful ... for anyone who must work hands-on with GC.\" Journal of High Resolution Chromatography","author":[{"dropping-particle":"","family":"Grob","given":"Konrad","non-dropping-particle":"","parse-names":false,"suffix":""}],"container-title":"Split and Splitless Injection for Quantitative Gas Chromatography","id":"ITEM-1","issued":{"date-parts":[["2001"]]},"title":"Split and Splitless Injection for Quantitative Gas Chromatography","type":"book"},"uris":["http://www.mendeley.com/documents/?uuid=2046dc24-820e-4bd1-a3b7-f1eefc6948a5","http://www.mendeley.com/documents/?uuid=d6b3faf0-f587-478a-a669-1f2288432511"]}],"mendeley":{"formattedCitation":"(Grob, 2001)","plainTextFormattedCitation":"(Grob, 2001)","previouslyFormattedCitation":"(Grob, 2001)"},"properties":{"noteIndex":0},"schema":"https://github.com/citation-style-language/schema/raw/master/csl-citation.json"}</w:instrText>
      </w:r>
      <w:r w:rsidR="00760EA3" w:rsidRPr="00760EA3">
        <w:rPr>
          <w:vertAlign w:val="superscript"/>
        </w:rPr>
        <w:fldChar w:fldCharType="separate"/>
      </w:r>
      <w:r w:rsidR="00322FEF" w:rsidRPr="00322FEF">
        <w:rPr>
          <w:noProof/>
        </w:rPr>
        <w:t>(Grob, 2001)</w:t>
      </w:r>
      <w:r w:rsidR="00760EA3" w:rsidRPr="00760EA3">
        <w:fldChar w:fldCharType="end"/>
      </w:r>
      <w:r w:rsidR="00760EA3" w:rsidRPr="00760EA3">
        <w:t xml:space="preserve">, resulting in the spontaneous </w:t>
      </w:r>
      <w:r w:rsidR="00053DC1">
        <w:t xml:space="preserve">and uncontrolled </w:t>
      </w:r>
      <w:r w:rsidR="00760EA3" w:rsidRPr="00760EA3">
        <w:t xml:space="preserve">evaporation of the liquid </w:t>
      </w:r>
      <w:r w:rsidR="008E76F4">
        <w:t xml:space="preserve">compounds </w:t>
      </w:r>
      <w:r w:rsidR="00760EA3" w:rsidRPr="00760EA3">
        <w:t>from the syringe needle.</w:t>
      </w:r>
      <w:r w:rsidR="00133D83">
        <w:t xml:space="preserve"> </w:t>
      </w:r>
      <w:r w:rsidR="00133D83" w:rsidRPr="00133D83">
        <w:t xml:space="preserve">In addition, </w:t>
      </w:r>
      <w:r w:rsidR="00133D83">
        <w:t xml:space="preserve">for these two compounds, </w:t>
      </w:r>
      <w:r w:rsidR="00133D83" w:rsidRPr="00133D83">
        <w:t xml:space="preserve">a clear </w:t>
      </w:r>
      <w:r w:rsidR="001B12DB">
        <w:t>decreasing</w:t>
      </w:r>
      <w:r w:rsidR="00133D83" w:rsidRPr="00133D83">
        <w:t xml:space="preserve"> trend in the ratio </w:t>
      </w:r>
      <w:r w:rsidR="00133D83">
        <w:t xml:space="preserve">values </w:t>
      </w:r>
      <w:r w:rsidR="00053DC1" w:rsidRPr="00133D83">
        <w:t xml:space="preserve">increases </w:t>
      </w:r>
      <w:r w:rsidR="00133D83" w:rsidRPr="00133D83">
        <w:t>can be observed</w:t>
      </w:r>
      <w:r w:rsidR="008E76F4">
        <w:t xml:space="preserve"> </w:t>
      </w:r>
      <w:r w:rsidR="008E76F4" w:rsidRPr="00133D83">
        <w:t>as the concentration</w:t>
      </w:r>
      <w:r w:rsidR="00B95EB2">
        <w:t xml:space="preserve"> increases</w:t>
      </w:r>
      <w:r w:rsidR="00133D83" w:rsidRPr="00133D83">
        <w:t>,</w:t>
      </w:r>
      <w:r w:rsidR="008E76F4">
        <w:t xml:space="preserve"> this</w:t>
      </w:r>
      <w:r w:rsidR="00053DC1" w:rsidRPr="00053DC1">
        <w:t xml:space="preserve"> is the result of increasing the imparted thrust from the syringe pump,</w:t>
      </w:r>
      <w:r w:rsidR="00133D83" w:rsidRPr="00133D83">
        <w:t xml:space="preserve"> </w:t>
      </w:r>
      <w:r w:rsidR="00E07066">
        <w:t xml:space="preserve">condition for which </w:t>
      </w:r>
      <w:r w:rsidR="00053DC1" w:rsidRPr="00053DC1">
        <w:t xml:space="preserve">the thrust itself </w:t>
      </w:r>
      <w:r w:rsidR="00202F68">
        <w:t xml:space="preserve">tends to </w:t>
      </w:r>
      <w:r w:rsidR="00053DC1">
        <w:t>become</w:t>
      </w:r>
      <w:r w:rsidR="00053DC1" w:rsidRPr="00053DC1">
        <w:t xml:space="preserve"> the driving force of the system</w:t>
      </w:r>
      <w:r w:rsidR="00202F68">
        <w:t>,</w:t>
      </w:r>
      <w:r w:rsidR="00053DC1" w:rsidRPr="00053DC1">
        <w:t xml:space="preserve"> rather than </w:t>
      </w:r>
      <w:r w:rsidR="00B95EB2">
        <w:t xml:space="preserve">the </w:t>
      </w:r>
      <w:r w:rsidR="00053DC1" w:rsidRPr="00053DC1">
        <w:t>uncontrolled release due to poor sealing</w:t>
      </w:r>
      <w:r w:rsidR="00053DC1">
        <w:t>.</w:t>
      </w:r>
      <w:r w:rsidR="006A6A3E">
        <w:t xml:space="preserve"> </w:t>
      </w:r>
      <w:r w:rsidR="005B077F">
        <w:t>F</w:t>
      </w:r>
      <w:r w:rsidR="005B077F" w:rsidRPr="005B077F">
        <w:t xml:space="preserve">or each compound, triplicate tests were carried out at </w:t>
      </w:r>
      <w:r w:rsidR="005B077F">
        <w:t>the considered</w:t>
      </w:r>
      <w:r w:rsidR="005B077F" w:rsidRPr="005B077F">
        <w:t xml:space="preserve"> concentration</w:t>
      </w:r>
      <w:r w:rsidR="005B077F">
        <w:t>s</w:t>
      </w:r>
      <w:r w:rsidR="00DA111F">
        <w:t xml:space="preserve"> (5 -10 -15 ppm)</w:t>
      </w:r>
      <w:r w:rsidR="005B077F" w:rsidRPr="005B077F">
        <w:t xml:space="preserve"> and a standard deviation value of less than 10% was</w:t>
      </w:r>
      <w:r w:rsidR="005B077F">
        <w:t xml:space="preserve"> always</w:t>
      </w:r>
      <w:r w:rsidR="005B077F" w:rsidRPr="005B077F">
        <w:t xml:space="preserve"> estimated, </w:t>
      </w:r>
      <w:r w:rsidR="009F208B">
        <w:t>demonstrating</w:t>
      </w:r>
      <w:r w:rsidR="009F208B" w:rsidRPr="009F208B">
        <w:t xml:space="preserve"> the method's good reproducibility</w:t>
      </w:r>
      <w:r w:rsidR="00AF7564" w:rsidRPr="00CD7694">
        <w:t xml:space="preserve">. </w:t>
      </w:r>
      <w:r w:rsidR="00AF7564">
        <w:t>F</w:t>
      </w:r>
      <w:r w:rsidR="00AF7564" w:rsidRPr="00CD7694">
        <w:t>urthermore, this result is consistent with that reported in a similar study</w:t>
      </w:r>
      <w:r w:rsidR="00AF7564">
        <w:t xml:space="preserve"> </w:t>
      </w:r>
      <w:r w:rsidR="00AF7564" w:rsidRPr="00617DB8">
        <w:t>focused on the preparation of gaseous mixtures</w:t>
      </w:r>
      <w:r w:rsidR="00AF7564">
        <w:t xml:space="preserve"> analyzed by PTR-MS, applied to t</w:t>
      </w:r>
      <w:r w:rsidR="00AF7564" w:rsidRPr="00AF7564">
        <w:t>oluene</w:t>
      </w:r>
      <w:r w:rsidR="00AF7564">
        <w:t>,</w:t>
      </w:r>
      <w:r w:rsidR="00AF7564" w:rsidRPr="00AF7564">
        <w:t xml:space="preserve"> 1,2,4-trimethylbenzene </w:t>
      </w:r>
      <w:r w:rsidR="00AF7564">
        <w:t xml:space="preserve">and </w:t>
      </w:r>
      <w:r w:rsidR="00AF7564" w:rsidRPr="00AF7564">
        <w:t>α-Pinene</w:t>
      </w:r>
      <w:r w:rsidR="00AF7564">
        <w:t xml:space="preserve"> </w:t>
      </w:r>
      <w:r w:rsidR="00AF7564">
        <w:fldChar w:fldCharType="begin" w:fldLock="1"/>
      </w:r>
      <w:r w:rsidR="00AF7564">
        <w:instrText>ADDIN CSL_CITATION {"citationItems":[{"id":"ITEM-1","itemData":{"DOI":"10.5194/amt-5-1911-2012","ISSN":"18671381","abstract":"Biogenic volatile organic compounds (BVOCs) are emitted into the atmosphere by plants and include isoprene, monoterpenes, sesquiterpenes, and their oxygenated derivatives. These BVOCs are among the principal factors influencing the oxidative capacity of the atmosphere in forested regions. BVOC emission rates are often measured by collecting samples onto adsorptive cartridges in the field and then transporting these samples to the laboratory for chromatographic analysis. One of the most commonly used detectors in chromatographic analysis is the flame ionization detector (FID). For quantitative analysis with an FID, relative response factors may be estimated using the effective carbon number (ECN) concept. The purpose of this study was to determine the ECN for a variety of terpenoid compounds to enable improved quantification of BVOC measurements. A dynamic dilution system was developed to make quantitative gas standards of VOCs with mixing ratios from 20&amp;ndash;55 ppb. For each experiment using this system, one terpene standard was co-injected with an internal reference, n-octane, and analyzed via an automated cryofocusing system interfaced to a gas chromatograph flame ionization detector and mass spectrometer (GC/MS/FID). The ECNs of 16 compounds (14 BVOCs) were evaluated with this approach, with each test compound analyzed at least three times. The difference between the actual carbon number and measured ECN ranged from-24% to-2%. The difference between theoretical ECN and measured ECN ranged from-22% to 9%. Measured ECN values were within 10% of theoretical ECN values for most terpenoid compounds. © 2012 Author(s).","author":[{"dropping-particle":"","family":"Faiola","given":"C. L.","non-dropping-particle":"","parse-names":false,"suffix":""},{"dropping-particle":"","family":"Erickson","given":"M. H.","non-dropping-particle":"","parse-names":false,"suffix":""},{"dropping-particle":"","family":"Fricaud","given":"V. L.","non-dropping-particle":"","parse-names":false,"suffix":""},{"dropping-particle":"","family":"Jobson","given":"B. T.","non-dropping-particle":"","parse-names":false,"suffix":""},{"dropping-particle":"","family":"Vanreken","given":"T. M.","non-dropping-particle":"","parse-names":false,"suffix":""}],"container-title":"Atmospheric Measurement Techniques","id":"ITEM-1","issue":"8","issued":{"date-parts":[["2012"]]},"page":"1911-1923","title":"Quantification of biogenic volatile organic compounds with a flame ionization detector using the effective carbon number concept","type":"article-journal","volume":"5"},"uris":["http://www.mendeley.com/documents/?uuid=13eac831-a9ba-455f-b0d7-f32a0f4ed161"]}],"mendeley":{"formattedCitation":"(Faiola et al., 2012)","plainTextFormattedCitation":"(Faiola et al., 2012)"},"properties":{"noteIndex":0},"schema":"https://github.com/citation-style-language/schema/raw/master/csl-citation.json"}</w:instrText>
      </w:r>
      <w:r w:rsidR="00AF7564">
        <w:fldChar w:fldCharType="separate"/>
      </w:r>
      <w:r w:rsidR="00AF7564" w:rsidRPr="00AF7564">
        <w:rPr>
          <w:noProof/>
        </w:rPr>
        <w:t>(Faiola et al., 2012)</w:t>
      </w:r>
      <w:r w:rsidR="00AF7564">
        <w:fldChar w:fldCharType="end"/>
      </w:r>
      <w:r w:rsidR="00AF7564">
        <w:t>.</w:t>
      </w:r>
    </w:p>
    <w:p w14:paraId="6319FCA2" w14:textId="4BA76282" w:rsidR="00EB2781" w:rsidRDefault="00EB2781" w:rsidP="00DA111F">
      <w:pPr>
        <w:pStyle w:val="CETheadingx"/>
      </w:pPr>
      <w:r>
        <w:t>Comparison with known concentration gas cylinders</w:t>
      </w:r>
    </w:p>
    <w:p w14:paraId="6EAD7932" w14:textId="49FBDF68" w:rsidR="00A873A1" w:rsidRDefault="00EB2781" w:rsidP="00B70B8D">
      <w:pPr>
        <w:pStyle w:val="CETBodytext"/>
        <w:spacing w:after="240"/>
        <w:rPr>
          <w:lang w:bidi="en-US"/>
        </w:rPr>
      </w:pPr>
      <w:r>
        <w:t>I</w:t>
      </w:r>
      <w:r w:rsidR="0077526C" w:rsidRPr="0077526C">
        <w:t xml:space="preserve">n order to </w:t>
      </w:r>
      <w:r w:rsidR="00140272">
        <w:t xml:space="preserve">compare </w:t>
      </w:r>
      <w:r w:rsidR="00CD2F58">
        <w:t xml:space="preserve">the </w:t>
      </w:r>
      <w:r w:rsidR="00140272">
        <w:t xml:space="preserve">dynamic method </w:t>
      </w:r>
      <w:r w:rsidR="00CD2F58">
        <w:t xml:space="preserve">described </w:t>
      </w:r>
      <w:r w:rsidR="0077526C" w:rsidRPr="0077526C">
        <w:t xml:space="preserve">with </w:t>
      </w:r>
      <w:r w:rsidR="00CD2F58">
        <w:t xml:space="preserve">gas </w:t>
      </w:r>
      <w:r w:rsidR="0077526C" w:rsidRPr="0077526C">
        <w:t>cylinders, toluene was chose</w:t>
      </w:r>
      <w:r w:rsidR="0077526C">
        <w:t>n</w:t>
      </w:r>
      <w:r w:rsidR="00A873A1">
        <w:rPr>
          <w:lang w:bidi="en-US"/>
        </w:rPr>
        <w:t xml:space="preserve"> as reference compound</w:t>
      </w:r>
      <w:r w:rsidR="00140272">
        <w:rPr>
          <w:lang w:bidi="en-US"/>
        </w:rPr>
        <w:t>,</w:t>
      </w:r>
      <w:r w:rsidR="00A873A1">
        <w:rPr>
          <w:lang w:bidi="en-US"/>
        </w:rPr>
        <w:t xml:space="preserve"> </w:t>
      </w:r>
      <w:r w:rsidR="00CD2F58">
        <w:rPr>
          <w:lang w:bidi="en-US"/>
        </w:rPr>
        <w:t xml:space="preserve">due to its frequent </w:t>
      </w:r>
      <w:r w:rsidR="00A873A1" w:rsidRPr="00636D22">
        <w:t>presence in odor</w:t>
      </w:r>
      <w:r w:rsidR="00A873A1">
        <w:t>ous</w:t>
      </w:r>
      <w:r w:rsidR="00A873A1" w:rsidRPr="00636D22">
        <w:t xml:space="preserve"> compounds</w:t>
      </w:r>
      <w:r w:rsidR="00A873A1">
        <w:t xml:space="preserve"> </w:t>
      </w:r>
      <w:r w:rsidR="00140272" w:rsidRPr="00140272">
        <w:t xml:space="preserve">and </w:t>
      </w:r>
      <w:r w:rsidR="00CD2F58">
        <w:t>it</w:t>
      </w:r>
      <w:r w:rsidR="00F17283">
        <w:t>s</w:t>
      </w:r>
      <w:r w:rsidR="00CD2F58">
        <w:t xml:space="preserve"> volatility’s properties (</w:t>
      </w:r>
      <w:proofErr w:type="gramStart"/>
      <w:r w:rsidR="00CD2F58">
        <w:t>i.e.</w:t>
      </w:r>
      <w:proofErr w:type="gramEnd"/>
      <w:r w:rsidR="00CD2F58">
        <w:t xml:space="preserve"> value of vapor pressure in the middle of the </w:t>
      </w:r>
      <w:r w:rsidR="00202F68">
        <w:t xml:space="preserve">selected </w:t>
      </w:r>
      <w:r w:rsidR="003E7307">
        <w:t>range)</w:t>
      </w:r>
      <w:r w:rsidR="00140272">
        <w:t xml:space="preserve">. </w:t>
      </w:r>
      <w:r w:rsidR="00140272">
        <w:rPr>
          <w:lang w:bidi="en-US"/>
        </w:rPr>
        <w:t xml:space="preserve">In </w:t>
      </w:r>
      <w:r w:rsidR="00140272">
        <w:rPr>
          <w:lang w:bidi="en-US"/>
        </w:rPr>
        <w:fldChar w:fldCharType="begin"/>
      </w:r>
      <w:r w:rsidR="00140272">
        <w:rPr>
          <w:lang w:bidi="en-US"/>
        </w:rPr>
        <w:instrText xml:space="preserve"> REF _Ref103240626 \h </w:instrText>
      </w:r>
      <w:r w:rsidR="00140272">
        <w:rPr>
          <w:lang w:bidi="en-US"/>
        </w:rPr>
      </w:r>
      <w:r w:rsidR="00140272">
        <w:rPr>
          <w:lang w:bidi="en-US"/>
        </w:rPr>
        <w:fldChar w:fldCharType="separate"/>
      </w:r>
      <w:r w:rsidR="00140272">
        <w:t xml:space="preserve">Figure </w:t>
      </w:r>
      <w:r w:rsidR="00140272">
        <w:rPr>
          <w:noProof/>
        </w:rPr>
        <w:t>3</w:t>
      </w:r>
      <w:r w:rsidR="00140272">
        <w:rPr>
          <w:lang w:bidi="en-US"/>
        </w:rPr>
        <w:fldChar w:fldCharType="end"/>
      </w:r>
      <w:r w:rsidR="008E062B">
        <w:rPr>
          <w:lang w:bidi="en-US"/>
        </w:rPr>
        <w:t xml:space="preserve">, the comparison </w:t>
      </w:r>
      <w:r w:rsidR="00D94C76">
        <w:rPr>
          <w:lang w:bidi="en-US"/>
        </w:rPr>
        <w:t>among</w:t>
      </w:r>
      <w:r w:rsidR="008E062B">
        <w:rPr>
          <w:lang w:bidi="en-US"/>
        </w:rPr>
        <w:t xml:space="preserve"> th</w:t>
      </w:r>
      <w:r w:rsidR="00D94C76">
        <w:rPr>
          <w:lang w:bidi="en-US"/>
        </w:rPr>
        <w:t xml:space="preserve">e </w:t>
      </w:r>
      <w:r w:rsidR="008E062B">
        <w:rPr>
          <w:lang w:bidi="en-US"/>
        </w:rPr>
        <w:t xml:space="preserve">mixtures </w:t>
      </w:r>
      <w:r w:rsidR="00D94C76">
        <w:rPr>
          <w:lang w:bidi="en-US"/>
        </w:rPr>
        <w:t xml:space="preserve">obtained </w:t>
      </w:r>
      <w:r w:rsidR="008E062B">
        <w:rPr>
          <w:lang w:bidi="en-US"/>
        </w:rPr>
        <w:t>at</w:t>
      </w:r>
      <w:r w:rsidR="00140272">
        <w:rPr>
          <w:lang w:bidi="en-US"/>
        </w:rPr>
        <w:t xml:space="preserve"> </w:t>
      </w:r>
      <w:r w:rsidR="008E062B">
        <w:rPr>
          <w:lang w:bidi="en-US"/>
        </w:rPr>
        <w:t>3</w:t>
      </w:r>
      <w:r w:rsidR="00745ABF">
        <w:rPr>
          <w:lang w:bidi="en-US"/>
        </w:rPr>
        <w:t xml:space="preserve"> ppm</w:t>
      </w:r>
      <w:r w:rsidR="00BB1693">
        <w:rPr>
          <w:lang w:bidi="en-US"/>
        </w:rPr>
        <w:t>,</w:t>
      </w:r>
      <w:r w:rsidR="00745ABF">
        <w:rPr>
          <w:lang w:bidi="en-US"/>
        </w:rPr>
        <w:t xml:space="preserve"> 6 ppm and 13 ppm</w:t>
      </w:r>
      <w:r w:rsidR="00D619FB">
        <w:rPr>
          <w:lang w:bidi="en-US"/>
        </w:rPr>
        <w:t xml:space="preserve"> both with the dynamic method and a compressed gas</w:t>
      </w:r>
      <w:r w:rsidR="008E062B">
        <w:rPr>
          <w:lang w:bidi="en-US"/>
        </w:rPr>
        <w:t xml:space="preserve"> </w:t>
      </w:r>
      <w:r w:rsidR="00D619FB">
        <w:rPr>
          <w:lang w:bidi="en-US"/>
        </w:rPr>
        <w:t xml:space="preserve">cylinder </w:t>
      </w:r>
      <w:r w:rsidR="007A2E20">
        <w:rPr>
          <w:lang w:bidi="en-US"/>
        </w:rPr>
        <w:t xml:space="preserve">diluted </w:t>
      </w:r>
      <w:r w:rsidR="007A2E20" w:rsidRPr="007A2E20">
        <w:rPr>
          <w:lang w:bidi="en-US"/>
        </w:rPr>
        <w:t>to the three concentrations of interest</w:t>
      </w:r>
      <w:r w:rsidR="007A2E20">
        <w:rPr>
          <w:lang w:bidi="en-US"/>
        </w:rPr>
        <w:t xml:space="preserve">, </w:t>
      </w:r>
      <w:r w:rsidR="008E062B">
        <w:rPr>
          <w:lang w:bidi="en-US"/>
        </w:rPr>
        <w:t>are shown.</w:t>
      </w:r>
    </w:p>
    <w:p w14:paraId="70AC718A" w14:textId="2AFD6278" w:rsidR="00D45E85" w:rsidRDefault="001F543A" w:rsidP="00B70B8D">
      <w:pPr>
        <w:pStyle w:val="CETBodytext"/>
      </w:pPr>
      <w:r>
        <w:rPr>
          <w:noProof/>
        </w:rPr>
        <w:drawing>
          <wp:inline distT="0" distB="0" distL="0" distR="0" wp14:anchorId="7F0FD36B" wp14:editId="392DE688">
            <wp:extent cx="4145280" cy="3603413"/>
            <wp:effectExtent l="0" t="0" r="7620" b="16510"/>
            <wp:docPr id="7" name="Grafico 7">
              <a:extLst xmlns:a="http://schemas.openxmlformats.org/drawingml/2006/main">
                <a:ext uri="{FF2B5EF4-FFF2-40B4-BE49-F238E27FC236}">
                  <a16:creationId xmlns:a16="http://schemas.microsoft.com/office/drawing/2014/main" id="{44534D94-12B5-43FF-EABD-22CF334FE8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D3E794" w14:textId="1D5C9BD4" w:rsidR="00277451" w:rsidRDefault="00D45E85" w:rsidP="006A6A3E">
      <w:pPr>
        <w:pStyle w:val="CETCaption"/>
        <w:jc w:val="left"/>
      </w:pPr>
      <w:bookmarkStart w:id="12" w:name="_Ref103240626"/>
      <w:r w:rsidRPr="00C55E06">
        <w:t>Figure</w:t>
      </w:r>
      <w:r>
        <w:t xml:space="preserve"> </w:t>
      </w:r>
      <w:r>
        <w:fldChar w:fldCharType="begin"/>
      </w:r>
      <w:r>
        <w:instrText xml:space="preserve"> SEQ Figure \* ARABIC </w:instrText>
      </w:r>
      <w:r>
        <w:fldChar w:fldCharType="separate"/>
      </w:r>
      <w:r>
        <w:rPr>
          <w:noProof/>
        </w:rPr>
        <w:t>3</w:t>
      </w:r>
      <w:r>
        <w:fldChar w:fldCharType="end"/>
      </w:r>
      <w:bookmarkEnd w:id="12"/>
      <w:r w:rsidR="00C55E06">
        <w:t xml:space="preserve">. Dynamic injection </w:t>
      </w:r>
      <w:r w:rsidR="00847639">
        <w:t>v</w:t>
      </w:r>
      <w:r w:rsidR="003B5E62">
        <w:t>s</w:t>
      </w:r>
      <w:r w:rsidR="00C55E06">
        <w:t xml:space="preserve"> known concentration gas cylinder</w:t>
      </w:r>
      <w:r w:rsidR="00277451">
        <w:t xml:space="preserve"> at medium concentration - toluene</w:t>
      </w:r>
    </w:p>
    <w:p w14:paraId="1CD8CB32" w14:textId="00001643" w:rsidR="004304F6" w:rsidRDefault="00A873A1" w:rsidP="00021DAB">
      <w:pPr>
        <w:pStyle w:val="CETBodytext"/>
        <w:spacing w:after="240"/>
      </w:pPr>
      <w:r w:rsidRPr="00021DAB">
        <w:lastRenderedPageBreak/>
        <w:t xml:space="preserve">In </w:t>
      </w:r>
      <w:r w:rsidRPr="00021DAB">
        <w:fldChar w:fldCharType="begin"/>
      </w:r>
      <w:r w:rsidRPr="00021DAB">
        <w:instrText xml:space="preserve"> REF _Ref103240729 \h </w:instrText>
      </w:r>
      <w:r w:rsidR="00A8206B" w:rsidRPr="00021DAB">
        <w:instrText xml:space="preserve"> \* MERGEFORMAT </w:instrText>
      </w:r>
      <w:r w:rsidRPr="00021DAB">
        <w:fldChar w:fldCharType="separate"/>
      </w:r>
      <w:r w:rsidR="002832B3" w:rsidRPr="00021DAB">
        <w:t>Table 2</w:t>
      </w:r>
      <w:r w:rsidRPr="00021DAB">
        <w:fldChar w:fldCharType="end"/>
      </w:r>
      <w:r w:rsidRPr="00021DAB">
        <w:t xml:space="preserve"> </w:t>
      </w:r>
      <w:r w:rsidR="00E51054">
        <w:t xml:space="preserve">the </w:t>
      </w:r>
      <w:r w:rsidRPr="00021DAB">
        <w:t>RSD</w:t>
      </w:r>
      <w:r w:rsidR="00FA34E0" w:rsidRPr="00021DAB">
        <w:t xml:space="preserve">% value of the dynamic method and </w:t>
      </w:r>
      <w:r w:rsidR="00510CF4" w:rsidRPr="00021DAB">
        <w:t xml:space="preserve">its </w:t>
      </w:r>
      <w:r w:rsidR="00FA34E0" w:rsidRPr="00021DAB">
        <w:t>relative error with respect to the</w:t>
      </w:r>
      <w:r w:rsidR="00745ABF" w:rsidRPr="00021DAB">
        <w:t xml:space="preserve"> certified</w:t>
      </w:r>
      <w:r w:rsidR="00FA34E0" w:rsidRPr="00021DAB">
        <w:t xml:space="preserve"> gas cylinder</w:t>
      </w:r>
      <w:r w:rsidR="00745ABF" w:rsidRPr="00021DAB">
        <w:t xml:space="preserve"> at known concentration</w:t>
      </w:r>
      <w:r w:rsidR="00510CF4" w:rsidRPr="00021DAB">
        <w:t xml:space="preserve"> are shown.</w:t>
      </w:r>
      <w:r w:rsidRPr="00021DAB">
        <w:t xml:space="preserve"> </w:t>
      </w:r>
      <w:r w:rsidRPr="00021DAB">
        <w:fldChar w:fldCharType="begin" w:fldLock="1"/>
      </w:r>
      <w:r w:rsidR="00B00D2F" w:rsidRPr="00021DAB">
        <w:instrText>ADDIN CSL_CITATION {"citationItems":[{"id":"ITEM-1","itemData":{"abstract":"This document describes a procedure for sampling and analysis of volatile organic compounds (VOCs) in ambient air. The method was originally based on collection of whole air samples in SUMMA® passivated stainless steel canisters, but has now been generalized to other specially prepared canisters (see Section 7.1.1.2). The VOCs are separated by gas chromatography and measured by a mass spectrometer or by multidetector techniques. This method presents procedures for sampling into canisters to final pressures both above and below atmospheric pressure (respectively referred to as pressurized and subatmospheric pressure sampling).","author":[{"dropping-particle":"","family":"U.S. Environmental Protection Agency (EPA)","given":"","non-dropping-particle":"","parse-names":false,"suffix":""}],"container-title":"Compendium of Methods for the Determination of Toxic Organic Compounds in Ambient Air Second Edition","id":"ITEM-1","issued":{"date-parts":[["1999"]]},"title":"Compendium Method TO-14A Determination Of Volatile Organic Compounds ( VOCs ) In Ambient Air Using Specially Prepared Canisters With Subsequent Analysis B","type":"article-journal"},"uris":["http://www.mendeley.com/documents/?uuid=ccbc9ed8-051e-4e78-8ed2-88a7956c3d18"]}],"mendeley":{"formattedCitation":"(U.S. Environmental Protection Agency (EPA), 1999)","plainTextFormattedCitation":"(U.S. Environmental Protection Agency (EPA), 1999)","previouslyFormattedCitation":"(U.S. Environmental Protection Agency (EPA), 1999)"},"properties":{"noteIndex":0},"schema":"https://github.com/citation-style-language/schema/raw/master/csl-citation.json"}</w:instrText>
      </w:r>
      <w:r w:rsidRPr="00021DAB">
        <w:fldChar w:fldCharType="separate"/>
      </w:r>
      <w:r w:rsidR="00322FEF" w:rsidRPr="00021DAB">
        <w:rPr>
          <w:noProof/>
        </w:rPr>
        <w:t>(U.S. Environmental Protection Agency (EPA), 1999)</w:t>
      </w:r>
      <w:r w:rsidRPr="00021DAB">
        <w:fldChar w:fldCharType="end"/>
      </w:r>
      <w:r>
        <w:t>.</w:t>
      </w:r>
    </w:p>
    <w:p w14:paraId="2D2C6F2D" w14:textId="01E09367" w:rsidR="004304F6" w:rsidRPr="00021DAB" w:rsidRDefault="004304F6" w:rsidP="00021DAB">
      <w:pPr>
        <w:pStyle w:val="Didascalia"/>
        <w:keepNext/>
        <w:rPr>
          <w:b w:val="0"/>
          <w:bCs w:val="0"/>
          <w:i/>
          <w:color w:val="auto"/>
          <w:szCs w:val="20"/>
        </w:rPr>
      </w:pPr>
      <w:r w:rsidRPr="00021DAB">
        <w:rPr>
          <w:b w:val="0"/>
          <w:bCs w:val="0"/>
          <w:i/>
          <w:color w:val="auto"/>
          <w:szCs w:val="20"/>
        </w:rPr>
        <w:t xml:space="preserve">Table </w:t>
      </w:r>
      <w:r w:rsidRPr="00021DAB">
        <w:rPr>
          <w:b w:val="0"/>
          <w:bCs w:val="0"/>
          <w:i/>
          <w:color w:val="auto"/>
          <w:szCs w:val="20"/>
        </w:rPr>
        <w:fldChar w:fldCharType="begin"/>
      </w:r>
      <w:r w:rsidRPr="00021DAB">
        <w:rPr>
          <w:b w:val="0"/>
          <w:bCs w:val="0"/>
          <w:i/>
          <w:color w:val="auto"/>
          <w:szCs w:val="20"/>
        </w:rPr>
        <w:instrText xml:space="preserve"> SEQ Table \* ARABIC </w:instrText>
      </w:r>
      <w:r w:rsidRPr="00021DAB">
        <w:rPr>
          <w:b w:val="0"/>
          <w:bCs w:val="0"/>
          <w:i/>
          <w:color w:val="auto"/>
          <w:szCs w:val="20"/>
        </w:rPr>
        <w:fldChar w:fldCharType="separate"/>
      </w:r>
      <w:r w:rsidRPr="00021DAB">
        <w:rPr>
          <w:b w:val="0"/>
          <w:bCs w:val="0"/>
          <w:i/>
          <w:color w:val="auto"/>
          <w:szCs w:val="20"/>
        </w:rPr>
        <w:t>2</w:t>
      </w:r>
      <w:r w:rsidRPr="00021DAB">
        <w:rPr>
          <w:b w:val="0"/>
          <w:bCs w:val="0"/>
          <w:i/>
          <w:color w:val="auto"/>
          <w:szCs w:val="20"/>
        </w:rPr>
        <w:fldChar w:fldCharType="end"/>
      </w:r>
      <w:r>
        <w:rPr>
          <w:b w:val="0"/>
          <w:bCs w:val="0"/>
          <w:i/>
          <w:color w:val="auto"/>
          <w:szCs w:val="20"/>
        </w:rPr>
        <w:t>. RSD % and relative error (%)</w:t>
      </w:r>
      <w:r w:rsidR="00F224E8">
        <w:rPr>
          <w:b w:val="0"/>
          <w:bCs w:val="0"/>
          <w:i/>
          <w:color w:val="auto"/>
          <w:szCs w:val="20"/>
        </w:rPr>
        <w:t xml:space="preserve"> with</w:t>
      </w:r>
      <w:r>
        <w:rPr>
          <w:b w:val="0"/>
          <w:bCs w:val="0"/>
          <w:i/>
          <w:color w:val="auto"/>
          <w:szCs w:val="20"/>
        </w:rPr>
        <w:t xml:space="preserve"> respect to gas cylinder</w:t>
      </w:r>
    </w:p>
    <w:tbl>
      <w:tblPr>
        <w:tblW w:w="510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2976"/>
      </w:tblGrid>
      <w:tr w:rsidR="008E74AB" w:rsidRPr="008E74AB" w14:paraId="7F2AA895" w14:textId="77777777" w:rsidTr="00C2098A">
        <w:tc>
          <w:tcPr>
            <w:tcW w:w="2127" w:type="dxa"/>
            <w:tcBorders>
              <w:top w:val="single" w:sz="12" w:space="0" w:color="008000"/>
              <w:bottom w:val="single" w:sz="6" w:space="0" w:color="008000"/>
            </w:tcBorders>
            <w:shd w:val="clear" w:color="auto" w:fill="FFFFFF"/>
            <w:vAlign w:val="center"/>
          </w:tcPr>
          <w:p w14:paraId="0140C8EC" w14:textId="7CC47481" w:rsidR="008E74AB" w:rsidRPr="008E74AB" w:rsidRDefault="008E74AB" w:rsidP="00C2098A">
            <w:pPr>
              <w:jc w:val="center"/>
            </w:pPr>
            <w:r>
              <w:t>RSD %</w:t>
            </w:r>
          </w:p>
        </w:tc>
        <w:tc>
          <w:tcPr>
            <w:tcW w:w="2976" w:type="dxa"/>
            <w:tcBorders>
              <w:top w:val="single" w:sz="12" w:space="0" w:color="008000"/>
              <w:bottom w:val="single" w:sz="6" w:space="0" w:color="008000"/>
            </w:tcBorders>
            <w:shd w:val="clear" w:color="auto" w:fill="FFFFFF"/>
            <w:vAlign w:val="center"/>
          </w:tcPr>
          <w:p w14:paraId="2D68C9C5" w14:textId="5591D21A" w:rsidR="008E74AB" w:rsidRPr="008E74AB" w:rsidRDefault="008E74AB" w:rsidP="00C2098A">
            <w:pPr>
              <w:jc w:val="center"/>
            </w:pPr>
            <w:r>
              <w:t>Relative error   %</w:t>
            </w:r>
          </w:p>
        </w:tc>
      </w:tr>
      <w:tr w:rsidR="008E74AB" w:rsidRPr="008E74AB" w14:paraId="2DA85BC2" w14:textId="77777777" w:rsidTr="00C2098A">
        <w:tc>
          <w:tcPr>
            <w:tcW w:w="2127" w:type="dxa"/>
            <w:shd w:val="clear" w:color="auto" w:fill="FFFFFF"/>
            <w:vAlign w:val="center"/>
          </w:tcPr>
          <w:p w14:paraId="22925D62" w14:textId="08CA49ED" w:rsidR="008E74AB" w:rsidRPr="008E74AB" w:rsidRDefault="005B5710" w:rsidP="00C2098A">
            <w:pPr>
              <w:jc w:val="center"/>
            </w:pPr>
            <w:r>
              <w:t>&lt;5%</w:t>
            </w:r>
          </w:p>
        </w:tc>
        <w:tc>
          <w:tcPr>
            <w:tcW w:w="2976" w:type="dxa"/>
            <w:shd w:val="clear" w:color="auto" w:fill="FFFFFF"/>
            <w:vAlign w:val="center"/>
          </w:tcPr>
          <w:p w14:paraId="641538D0" w14:textId="5A7BC92C" w:rsidR="008E74AB" w:rsidRPr="008E74AB" w:rsidRDefault="005B5710" w:rsidP="00C2098A">
            <w:pPr>
              <w:jc w:val="center"/>
            </w:pPr>
            <w:r>
              <w:t>&lt;14%</w:t>
            </w:r>
          </w:p>
        </w:tc>
      </w:tr>
    </w:tbl>
    <w:p w14:paraId="742070F7" w14:textId="77777777" w:rsidR="00F224E8" w:rsidRDefault="00F224E8" w:rsidP="00A873A1">
      <w:pPr>
        <w:pStyle w:val="CETBodytext"/>
        <w:rPr>
          <w:lang w:bidi="en-US"/>
        </w:rPr>
      </w:pPr>
    </w:p>
    <w:p w14:paraId="25CA26BB" w14:textId="3F293437" w:rsidR="00760EA3" w:rsidRDefault="00D83E90" w:rsidP="00DA111F">
      <w:pPr>
        <w:pStyle w:val="CETheadingx"/>
      </w:pPr>
      <w:r>
        <w:t>Limits</w:t>
      </w:r>
      <w:r w:rsidR="00322FEF">
        <w:t xml:space="preserve"> of dynamic method – low concentration</w:t>
      </w:r>
    </w:p>
    <w:p w14:paraId="146BF9E6" w14:textId="0D8B6917" w:rsidR="00636D22" w:rsidRDefault="00CD2F58" w:rsidP="00636D22">
      <w:pPr>
        <w:pStyle w:val="CETBodytext"/>
      </w:pPr>
      <w:r>
        <w:t>Considering</w:t>
      </w:r>
      <w:r w:rsidRPr="00636D22">
        <w:t xml:space="preserve"> </w:t>
      </w:r>
      <w:r w:rsidR="00636D22" w:rsidRPr="00636D22">
        <w:t xml:space="preserve">toluene as reference, whose functioning seems to be optimal, </w:t>
      </w:r>
      <w:r w:rsidR="0058298B">
        <w:t>it was tried</w:t>
      </w:r>
      <w:r w:rsidR="00636D22" w:rsidRPr="00636D22">
        <w:t xml:space="preserve"> to verify the </w:t>
      </w:r>
      <w:r w:rsidR="00343197">
        <w:t>behavior</w:t>
      </w:r>
      <w:r w:rsidR="00636D22" w:rsidRPr="00636D22">
        <w:t xml:space="preserve"> of the method at low</w:t>
      </w:r>
      <w:r w:rsidR="0058298B">
        <w:t>er</w:t>
      </w:r>
      <w:r w:rsidR="00636D22" w:rsidRPr="00636D22">
        <w:t xml:space="preserve"> concentrations</w:t>
      </w:r>
      <w:r w:rsidR="0058298B">
        <w:t xml:space="preserve">. </w:t>
      </w:r>
    </w:p>
    <w:p w14:paraId="7CC2C6A4" w14:textId="7DEC57D9" w:rsidR="00636D22" w:rsidRPr="00636D22" w:rsidRDefault="00DD3BBF" w:rsidP="00636D22">
      <w:pPr>
        <w:pStyle w:val="CETBodytext"/>
      </w:pPr>
      <w:r w:rsidRPr="00DD3BBF">
        <w:t>Considering that the</w:t>
      </w:r>
      <w:r>
        <w:t xml:space="preserve"> odor</w:t>
      </w:r>
      <w:r w:rsidRPr="00DD3BBF">
        <w:t xml:space="preserve"> threshold value</w:t>
      </w:r>
      <w:r w:rsidR="00CD2F58">
        <w:t xml:space="preserve"> (OT</w:t>
      </w:r>
      <w:r w:rsidR="00202F68">
        <w:t>V</w:t>
      </w:r>
      <w:r w:rsidR="00CD2F58">
        <w:t>)</w:t>
      </w:r>
      <w:r w:rsidRPr="00DD3BBF">
        <w:t xml:space="preserve"> for toluene is </w:t>
      </w:r>
      <w:r>
        <w:t>0.3 ppm</w:t>
      </w:r>
      <w:r w:rsidR="005303F5">
        <w:t xml:space="preserve"> </w:t>
      </w:r>
      <w:r w:rsidR="005303F5">
        <w:fldChar w:fldCharType="begin" w:fldLock="1"/>
      </w:r>
      <w:r w:rsidR="000C46F7">
        <w:instrText>ADDIN CSL_CITATION {"citationItems":[{"id":"ITEM-1","itemData":{"abstract":"The detection thresholds of odor substances analyzed in field investigations were measured by the triangle odor bag method1). The number of substances used for the experiment is 223. The experiment was carried out from 1976 to 1988. As the results of the experiments, the odor thresholds were distributed over the concentration of large range depending on the odor substances. Isoamyl mercaptane exhibited the lowest threshold (0.77ppt), and propane exhibited the highest threshold (1500ppm). The distribution of thresholds expresses the normal distribution. Sulfur compounds with the exception of sulfur dioxide and carbon disulfide have the comparatively low threshold. It is showed the tendency that threshold becomes low as the increase of molecular weight in a certain range of molecular weight. When the dispersion of odor thresholds for the same substance was shown at the ratio of the highest to the lowest odor threshold tested, the dispersion of odor thresholds was about 5 at the maximum. The thresholds of 223 substances measured by our laboratory were considered to be the average values with small bias comparatively.","author":[{"dropping-particle":"","family":"Nagata","given":"Yoshio","non-dropping-particle":"","parse-names":false,"suffix":""}],"container-title":"Odor Measurement Review","id":"ITEM-1","issued":{"date-parts":[["2003"]]},"page":"118-127","title":"Measurement of Odor Threshold by Triangle Odor Bag Method","type":"article-journal"},"uris":["http://www.mendeley.com/documents/?uuid=476d9158-4c97-4f52-8582-5bd7cbac8e9e"]}],"mendeley":{"formattedCitation":"(Nagata, 2003)","plainTextFormattedCitation":"(Nagata, 2003)","previouslyFormattedCitation":"(Nagata, 2003)"},"properties":{"noteIndex":0},"schema":"https://github.com/citation-style-language/schema/raw/master/csl-citation.json"}</w:instrText>
      </w:r>
      <w:r w:rsidR="005303F5">
        <w:fldChar w:fldCharType="separate"/>
      </w:r>
      <w:r w:rsidR="005303F5" w:rsidRPr="005303F5">
        <w:rPr>
          <w:noProof/>
        </w:rPr>
        <w:t>(Nagata, 2003)</w:t>
      </w:r>
      <w:r w:rsidR="005303F5">
        <w:fldChar w:fldCharType="end"/>
      </w:r>
      <w:r w:rsidRPr="00DD3BBF">
        <w:t xml:space="preserve">, </w:t>
      </w:r>
      <w:r>
        <w:t>tests</w:t>
      </w:r>
      <w:r w:rsidRPr="00DD3BBF">
        <w:t xml:space="preserve"> were </w:t>
      </w:r>
      <w:r w:rsidR="00CD2F58">
        <w:t>conducted</w:t>
      </w:r>
      <w:r w:rsidR="00CD2F58" w:rsidRPr="00DD3BBF">
        <w:t xml:space="preserve"> </w:t>
      </w:r>
      <w:r w:rsidRPr="00DD3BBF">
        <w:t>at concentrations</w:t>
      </w:r>
      <w:r>
        <w:t xml:space="preserve"> </w:t>
      </w:r>
      <w:r w:rsidRPr="00DD3BBF">
        <w:t xml:space="preserve">in a range </w:t>
      </w:r>
      <w:r>
        <w:t xml:space="preserve">comprised </w:t>
      </w:r>
      <w:r w:rsidRPr="00DD3BBF">
        <w:t xml:space="preserve">between </w:t>
      </w:r>
      <w:r>
        <w:t>0.</w:t>
      </w:r>
      <w:r w:rsidR="00CD2F58">
        <w:t>1</w:t>
      </w:r>
      <w:r>
        <w:t xml:space="preserve"> ppm</w:t>
      </w:r>
      <w:r w:rsidRPr="00DD3BBF">
        <w:t xml:space="preserve"> and </w:t>
      </w:r>
      <w:r>
        <w:t>0.</w:t>
      </w:r>
      <w:r w:rsidR="00CD2F58">
        <w:t>8</w:t>
      </w:r>
      <w:r>
        <w:t xml:space="preserve"> ppm</w:t>
      </w:r>
      <w:r w:rsidR="00522B31">
        <w:t xml:space="preserve">, in order to include </w:t>
      </w:r>
      <w:r w:rsidR="00CD2F58">
        <w:t>its OT</w:t>
      </w:r>
      <w:r w:rsidR="00202F68">
        <w:t>V</w:t>
      </w:r>
      <w:r w:rsidR="00522B31">
        <w:t>.</w:t>
      </w:r>
    </w:p>
    <w:p w14:paraId="29EE095F" w14:textId="7E6BDEAC" w:rsidR="005C0145" w:rsidRDefault="00760EA3" w:rsidP="00760EA3">
      <w:pPr>
        <w:pStyle w:val="CETListbullets"/>
        <w:ind w:left="0" w:firstLine="0"/>
      </w:pPr>
      <w:r w:rsidRPr="00760EA3">
        <w:t>Mixtures containing toluene at 0.</w:t>
      </w:r>
      <w:r w:rsidR="00CD2F58">
        <w:t>2</w:t>
      </w:r>
      <w:r w:rsidRPr="00760EA3">
        <w:t xml:space="preserve"> ppm, 0.4 ppm and 0.</w:t>
      </w:r>
      <w:r w:rsidR="00CD2F58">
        <w:t>8</w:t>
      </w:r>
      <w:r w:rsidRPr="00760EA3">
        <w:t xml:space="preserve"> ppm were prepared</w:t>
      </w:r>
      <w:r w:rsidR="003D75A5">
        <w:t xml:space="preserve"> </w:t>
      </w:r>
      <w:r w:rsidR="00202F68">
        <w:t xml:space="preserve">via dynamic injection method, </w:t>
      </w:r>
      <w:r w:rsidR="003D75A5">
        <w:t>and compared to a compress</w:t>
      </w:r>
      <w:r w:rsidR="00202F68">
        <w:t>ed</w:t>
      </w:r>
      <w:r w:rsidR="003D75A5">
        <w:t xml:space="preserve"> gas cylinder, containing nitrogen and toluene, diluted at the same concentration. </w:t>
      </w:r>
      <w:r w:rsidRPr="00760EA3">
        <w:t>The analyses were carried out using PID sensor and the results are sho</w:t>
      </w:r>
      <w:r w:rsidR="008D17CF">
        <w:t xml:space="preserve">wn in </w:t>
      </w:r>
      <w:r w:rsidR="008E76F4">
        <w:fldChar w:fldCharType="begin"/>
      </w:r>
      <w:r w:rsidR="008E76F4">
        <w:instrText xml:space="preserve"> REF _Ref102462417 \h </w:instrText>
      </w:r>
      <w:r w:rsidR="008E76F4">
        <w:fldChar w:fldCharType="separate"/>
      </w:r>
      <w:r w:rsidR="008E76F4">
        <w:t xml:space="preserve">Figure </w:t>
      </w:r>
      <w:r w:rsidR="008E76F4">
        <w:rPr>
          <w:noProof/>
        </w:rPr>
        <w:t>3</w:t>
      </w:r>
      <w:r w:rsidR="008E76F4">
        <w:fldChar w:fldCharType="end"/>
      </w:r>
      <w:r w:rsidR="008E76F4">
        <w:t>.</w:t>
      </w:r>
    </w:p>
    <w:p w14:paraId="0B124EEB" w14:textId="77777777" w:rsidR="000C39F0" w:rsidRDefault="000C39F0" w:rsidP="00760EA3">
      <w:pPr>
        <w:pStyle w:val="CETListbullets"/>
        <w:ind w:left="0" w:firstLine="0"/>
      </w:pPr>
    </w:p>
    <w:p w14:paraId="46800618" w14:textId="22D0A196" w:rsidR="003C4A3D" w:rsidRDefault="00E51054" w:rsidP="001C4E05">
      <w:pPr>
        <w:pStyle w:val="CETListbullets"/>
        <w:keepNext/>
        <w:ind w:left="0" w:firstLine="0"/>
        <w:jc w:val="left"/>
      </w:pPr>
      <w:r>
        <w:rPr>
          <w:noProof/>
        </w:rPr>
        <w:drawing>
          <wp:inline distT="0" distB="0" distL="0" distR="0" wp14:anchorId="388F3326" wp14:editId="105B5CC9">
            <wp:extent cx="4147200" cy="3106800"/>
            <wp:effectExtent l="0" t="0" r="5715" b="17780"/>
            <wp:docPr id="3" name="Grafico 3">
              <a:extLst xmlns:a="http://schemas.openxmlformats.org/drawingml/2006/main">
                <a:ext uri="{FF2B5EF4-FFF2-40B4-BE49-F238E27FC236}">
                  <a16:creationId xmlns:a16="http://schemas.microsoft.com/office/drawing/2014/main" id="{C2A70274-FC64-42E2-BB0F-5C43D17AB1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05CC72" w14:textId="0FE1C3F4" w:rsidR="000F31AA" w:rsidRDefault="008D17CF" w:rsidP="00B70B8D">
      <w:pPr>
        <w:pStyle w:val="CETCaption"/>
        <w:jc w:val="left"/>
      </w:pPr>
      <w:bookmarkStart w:id="13" w:name="_Ref102462417"/>
      <w:r>
        <w:t xml:space="preserve">Figure </w:t>
      </w:r>
      <w:r>
        <w:fldChar w:fldCharType="begin"/>
      </w:r>
      <w:r>
        <w:instrText xml:space="preserve"> SEQ Figure \* ARABIC </w:instrText>
      </w:r>
      <w:r>
        <w:fldChar w:fldCharType="separate"/>
      </w:r>
      <w:r w:rsidR="00D45E85">
        <w:rPr>
          <w:noProof/>
        </w:rPr>
        <w:t>4</w:t>
      </w:r>
      <w:r>
        <w:fldChar w:fldCharType="end"/>
      </w:r>
      <w:bookmarkEnd w:id="13"/>
      <w:r w:rsidR="008E76F4">
        <w:t xml:space="preserve">. </w:t>
      </w:r>
      <w:r w:rsidR="00277451">
        <w:t>Dynamic injection vs known concentration gas cylinder</w:t>
      </w:r>
      <w:r w:rsidR="00277451" w:rsidDel="00277451">
        <w:t xml:space="preserve"> </w:t>
      </w:r>
      <w:r w:rsidR="00322FEF">
        <w:t>at low concentration</w:t>
      </w:r>
      <w:r w:rsidR="002E6E04">
        <w:t xml:space="preserve"> - toluene</w:t>
      </w:r>
    </w:p>
    <w:p w14:paraId="0EA7805F" w14:textId="68C9A3E1" w:rsidR="00760EA3" w:rsidRDefault="0039109A" w:rsidP="00760EA3">
      <w:pPr>
        <w:pStyle w:val="CETListbullets"/>
        <w:ind w:left="0" w:firstLine="0"/>
      </w:pPr>
      <w:r>
        <w:t>R</w:t>
      </w:r>
      <w:r w:rsidRPr="0039109A">
        <w:t>esults confirm th</w:t>
      </w:r>
      <w:r>
        <w:t>at</w:t>
      </w:r>
      <w:r w:rsidR="003B5E62">
        <w:t>,</w:t>
      </w:r>
      <w:r>
        <w:t xml:space="preserve"> </w:t>
      </w:r>
      <w:r w:rsidRPr="0039109A">
        <w:t xml:space="preserve">at </w:t>
      </w:r>
      <w:r w:rsidR="003B5E62">
        <w:t xml:space="preserve">considered </w:t>
      </w:r>
      <w:r w:rsidRPr="0039109A">
        <w:t>concentrations</w:t>
      </w:r>
      <w:r w:rsidR="00322FEF">
        <w:t xml:space="preserve"> (0.2</w:t>
      </w:r>
      <w:r w:rsidR="003B5E62">
        <w:t xml:space="preserve"> </w:t>
      </w:r>
      <w:r w:rsidR="00322FEF">
        <w:t>-</w:t>
      </w:r>
      <w:r w:rsidR="003B5E62">
        <w:t xml:space="preserve"> </w:t>
      </w:r>
      <w:r w:rsidR="00322FEF">
        <w:t>0.8 ppm)</w:t>
      </w:r>
      <w:r w:rsidR="003B5E62">
        <w:t>,</w:t>
      </w:r>
      <w:r w:rsidRPr="0039109A">
        <w:t xml:space="preserve"> the </w:t>
      </w:r>
      <w:r w:rsidR="00202F68">
        <w:t>injection-</w:t>
      </w:r>
      <w:r w:rsidRPr="0039109A">
        <w:t>prepared mixtures show good accuracy with respect to the expected value</w:t>
      </w:r>
      <w:r>
        <w:t xml:space="preserve"> with a </w:t>
      </w:r>
      <w:r w:rsidRPr="0039109A">
        <w:t>measured error, compared to</w:t>
      </w:r>
      <w:r w:rsidR="002E6E04">
        <w:t xml:space="preserve"> cylinder mixture</w:t>
      </w:r>
      <w:r w:rsidRPr="0039109A">
        <w:t>,</w:t>
      </w:r>
      <w:r w:rsidR="00202F68">
        <w:t xml:space="preserve"> that</w:t>
      </w:r>
      <w:r w:rsidRPr="0039109A">
        <w:t xml:space="preserve"> is always</w:t>
      </w:r>
      <w:r w:rsidR="00D325BA">
        <w:t xml:space="preserve"> less</w:t>
      </w:r>
      <w:r w:rsidR="00322FEF" w:rsidRPr="0039109A">
        <w:t xml:space="preserve"> </w:t>
      </w:r>
      <w:r w:rsidRPr="0039109A">
        <w:t>than 5%</w:t>
      </w:r>
      <w:r>
        <w:t>.</w:t>
      </w:r>
      <w:r w:rsidR="00322FEF">
        <w:t xml:space="preserve"> </w:t>
      </w:r>
      <w:r w:rsidR="0016094A">
        <w:t xml:space="preserve">In the present investigation, </w:t>
      </w:r>
      <w:r w:rsidR="00433003">
        <w:t>0.2 ppm</w:t>
      </w:r>
      <w:r w:rsidR="00433003" w:rsidRPr="00433003">
        <w:t xml:space="preserve"> has also been identified as the minimum concentration achievable by this method</w:t>
      </w:r>
      <w:r w:rsidR="00322FEF">
        <w:t>: indeed,</w:t>
      </w:r>
      <w:r w:rsidR="00433003">
        <w:t xml:space="preserve"> </w:t>
      </w:r>
      <w:r w:rsidR="00433003" w:rsidRPr="00433003">
        <w:t>tests conducted at a concentration of 0.1 ppm</w:t>
      </w:r>
      <w:r w:rsidR="00433003">
        <w:t>, showed a generated mixtures with no</w:t>
      </w:r>
      <w:r w:rsidR="00A16C4C">
        <w:t xml:space="preserve"> detectable</w:t>
      </w:r>
      <w:r w:rsidR="00433003">
        <w:t xml:space="preserve"> presence of toluene. </w:t>
      </w:r>
    </w:p>
    <w:p w14:paraId="4AF4789B" w14:textId="41356A21" w:rsidR="00760EA3" w:rsidRDefault="00BC3112" w:rsidP="00760EA3">
      <w:pPr>
        <w:pStyle w:val="CETListbullets"/>
        <w:ind w:left="0" w:firstLine="0"/>
      </w:pPr>
      <w:r w:rsidRPr="00BC3112">
        <w:t>Below this concentration</w:t>
      </w:r>
      <w:r w:rsidR="0016094A">
        <w:t xml:space="preserve">, </w:t>
      </w:r>
      <w:r w:rsidR="00674389">
        <w:t xml:space="preserve">by the present investigation, </w:t>
      </w:r>
      <w:r w:rsidR="0016094A">
        <w:t>it appears that</w:t>
      </w:r>
      <w:r w:rsidRPr="00BC3112">
        <w:t xml:space="preserve"> there are operational limits due to the</w:t>
      </w:r>
      <w:r w:rsidR="002E6E04" w:rsidRPr="00BC3112">
        <w:t xml:space="preserve"> low</w:t>
      </w:r>
      <w:r w:rsidRPr="00BC3112">
        <w:t xml:space="preserve"> pump-syringe injection speed and/or</w:t>
      </w:r>
      <w:r w:rsidR="002E6E04">
        <w:t xml:space="preserve"> to the</w:t>
      </w:r>
      <w:r w:rsidRPr="00BC3112">
        <w:t xml:space="preserve"> </w:t>
      </w:r>
      <w:r w:rsidR="00847639">
        <w:t>highest</w:t>
      </w:r>
      <w:r w:rsidRPr="00BC3112">
        <w:t xml:space="preserve"> gas flow rate to be supplied.</w:t>
      </w:r>
      <w:r>
        <w:t xml:space="preserve"> </w:t>
      </w:r>
    </w:p>
    <w:p w14:paraId="167B5C51" w14:textId="77777777" w:rsidR="00760EA3" w:rsidRPr="00760EA3" w:rsidRDefault="00760EA3" w:rsidP="00760EA3">
      <w:pPr>
        <w:pStyle w:val="CETHeading1"/>
      </w:pPr>
      <w:bookmarkStart w:id="14" w:name="_Toc94003706"/>
      <w:r w:rsidRPr="00760EA3">
        <w:t>Conclusion</w:t>
      </w:r>
      <w:bookmarkEnd w:id="14"/>
    </w:p>
    <w:p w14:paraId="2E810E79" w14:textId="2A7F358E" w:rsidR="00D94C76" w:rsidRDefault="00847639" w:rsidP="0050626C">
      <w:pPr>
        <w:pStyle w:val="CETListbullets"/>
        <w:ind w:left="0" w:firstLine="0"/>
      </w:pPr>
      <w:r>
        <w:t>In this study, a</w:t>
      </w:r>
      <w:r w:rsidR="002E6E04">
        <w:t xml:space="preserve"> method</w:t>
      </w:r>
      <w:r w:rsidR="0050626C">
        <w:t xml:space="preserve"> </w:t>
      </w:r>
      <w:r>
        <w:t>for the</w:t>
      </w:r>
      <w:r w:rsidR="00674389">
        <w:t xml:space="preserve"> quick and flexible</w:t>
      </w:r>
      <w:r>
        <w:t xml:space="preserve"> preparation of gaseous</w:t>
      </w:r>
      <w:r w:rsidR="00674389">
        <w:t xml:space="preserve"> VOC</w:t>
      </w:r>
      <w:r>
        <w:t xml:space="preserve"> standards at known concentration </w:t>
      </w:r>
      <w:r w:rsidR="00B81959" w:rsidRPr="00B81959">
        <w:t>was</w:t>
      </w:r>
      <w:r>
        <w:t xml:space="preserve"> proposed and</w:t>
      </w:r>
      <w:r w:rsidR="00B81959" w:rsidRPr="00B81959">
        <w:t xml:space="preserve"> tested on 13 </w:t>
      </w:r>
      <w:r w:rsidR="00B81959">
        <w:t xml:space="preserve">different </w:t>
      </w:r>
      <w:r w:rsidR="00B81959" w:rsidRPr="00B81959">
        <w:t>compounds</w:t>
      </w:r>
      <w:r>
        <w:t>.</w:t>
      </w:r>
      <w:r w:rsidR="00B81959">
        <w:t xml:space="preserve"> </w:t>
      </w:r>
      <w:r>
        <w:t>From the obtained results, the method</w:t>
      </w:r>
      <w:r w:rsidR="00B81959">
        <w:t xml:space="preserve"> shows</w:t>
      </w:r>
      <w:r w:rsidR="0050626C">
        <w:t xml:space="preserve"> limitations related mainly to the volatility of the compound used. </w:t>
      </w:r>
      <w:proofErr w:type="gramStart"/>
      <w:r w:rsidR="0050626C">
        <w:t>In particular</w:t>
      </w:r>
      <w:r w:rsidR="0053091C">
        <w:t xml:space="preserve">, </w:t>
      </w:r>
      <w:r w:rsidR="009E6AEB">
        <w:t>among</w:t>
      </w:r>
      <w:proofErr w:type="gramEnd"/>
      <w:r w:rsidR="009E6AEB">
        <w:t xml:space="preserve"> the considered </w:t>
      </w:r>
      <w:r w:rsidR="0050626C">
        <w:t>compounds</w:t>
      </w:r>
      <w:r w:rsidR="009E6AEB">
        <w:t>,</w:t>
      </w:r>
      <w:r w:rsidR="0050626C">
        <w:t xml:space="preserve"> </w:t>
      </w:r>
      <w:r w:rsidR="00674389">
        <w:t xml:space="preserve">for the assessed method </w:t>
      </w:r>
      <w:r w:rsidR="0050626C">
        <w:t xml:space="preserve">pentane and DMS </w:t>
      </w:r>
      <w:r w:rsidR="009E6AEB">
        <w:t>were</w:t>
      </w:r>
      <w:r w:rsidR="0050626C">
        <w:t xml:space="preserve"> </w:t>
      </w:r>
      <w:r>
        <w:t>characterized by a</w:t>
      </w:r>
      <w:r w:rsidR="00495B83">
        <w:t xml:space="preserve"> too</w:t>
      </w:r>
      <w:r w:rsidR="00343197">
        <w:t xml:space="preserve"> </w:t>
      </w:r>
      <w:r>
        <w:t>high volatility</w:t>
      </w:r>
      <w:r w:rsidR="00495B83">
        <w:t xml:space="preserve">. On the other hand, </w:t>
      </w:r>
      <w:r w:rsidR="0050626C">
        <w:t>dodecane</w:t>
      </w:r>
      <w:r w:rsidR="00495B83">
        <w:t xml:space="preserve"> shows a too low</w:t>
      </w:r>
      <w:r w:rsidR="001E6D07">
        <w:t xml:space="preserve"> </w:t>
      </w:r>
      <w:r w:rsidR="00343197">
        <w:t>volatility.</w:t>
      </w:r>
      <w:r w:rsidR="001E6D07">
        <w:t xml:space="preserve"> These difference </w:t>
      </w:r>
      <w:r w:rsidR="0050626C">
        <w:t>lead</w:t>
      </w:r>
      <w:r w:rsidR="001E6D07">
        <w:t>,</w:t>
      </w:r>
      <w:r w:rsidR="0050626C">
        <w:t xml:space="preserve"> in the first case</w:t>
      </w:r>
      <w:r w:rsidR="001E6D07">
        <w:t>,</w:t>
      </w:r>
      <w:r w:rsidR="0050626C">
        <w:t xml:space="preserve"> to</w:t>
      </w:r>
      <w:r w:rsidR="004F14B2">
        <w:t xml:space="preserve"> an</w:t>
      </w:r>
      <w:r w:rsidR="0050626C">
        <w:t xml:space="preserve"> uncontrolled vaporisation of the liquid </w:t>
      </w:r>
      <w:r w:rsidR="004F14B2">
        <w:t>caused by</w:t>
      </w:r>
      <w:r w:rsidR="0050626C">
        <w:t xml:space="preserve"> a non-optimal syringe seal</w:t>
      </w:r>
      <w:r w:rsidR="002E6E04">
        <w:t>,</w:t>
      </w:r>
      <w:r w:rsidR="00E56977">
        <w:t xml:space="preserve"> </w:t>
      </w:r>
      <w:r w:rsidR="002E6E04">
        <w:t xml:space="preserve">mainly </w:t>
      </w:r>
      <w:r w:rsidR="00E56977">
        <w:t xml:space="preserve">clear at low </w:t>
      </w:r>
      <w:r w:rsidR="00343197">
        <w:t>concentration; in</w:t>
      </w:r>
      <w:r w:rsidR="0050626C">
        <w:t xml:space="preserve"> the second case</w:t>
      </w:r>
      <w:r w:rsidR="001E6D07">
        <w:t>,</w:t>
      </w:r>
      <w:r w:rsidR="0050626C">
        <w:t xml:space="preserve"> to an accumulation of liquid which does not </w:t>
      </w:r>
      <w:r w:rsidR="002E6E04">
        <w:t>vaporise.</w:t>
      </w:r>
    </w:p>
    <w:p w14:paraId="1B68CA02" w14:textId="5CCA080D" w:rsidR="0038171A" w:rsidRDefault="0038171A" w:rsidP="0050626C">
      <w:pPr>
        <w:pStyle w:val="CETListbullets"/>
        <w:ind w:left="0" w:firstLine="0"/>
      </w:pPr>
      <w:r w:rsidRPr="0038171A">
        <w:lastRenderedPageBreak/>
        <w:t xml:space="preserve">Comparing the operation of the method with cylinders of known concentration, </w:t>
      </w:r>
      <w:r>
        <w:t xml:space="preserve">it </w:t>
      </w:r>
      <w:r w:rsidRPr="0038171A">
        <w:t>shows a relative error</w:t>
      </w:r>
      <w:r>
        <w:t xml:space="preserve"> </w:t>
      </w:r>
      <w:r w:rsidRPr="0038171A">
        <w:t>less than 15</w:t>
      </w:r>
      <w:r>
        <w:t>%</w:t>
      </w:r>
      <w:r w:rsidR="00300A8A">
        <w:t xml:space="preserve"> and a</w:t>
      </w:r>
      <w:r w:rsidR="00522B31" w:rsidRPr="00522B31">
        <w:t>nalysing the lower limits of applicability, the method is reliable and accurate up to conce</w:t>
      </w:r>
      <w:r w:rsidR="00522B31">
        <w:t>n</w:t>
      </w:r>
      <w:r w:rsidR="00522B31" w:rsidRPr="00522B31">
        <w:t xml:space="preserve">trations of 0.2 ppm, </w:t>
      </w:r>
      <w:r w:rsidR="005F1E05">
        <w:t>(</w:t>
      </w:r>
      <w:r w:rsidR="00522B31" w:rsidRPr="00522B31">
        <w:t>taking toluene as a reference</w:t>
      </w:r>
      <w:r w:rsidR="005F1E05">
        <w:t>)</w:t>
      </w:r>
      <w:r>
        <w:t>.</w:t>
      </w:r>
    </w:p>
    <w:p w14:paraId="4FAA003C" w14:textId="494F7B02" w:rsidR="0050626C" w:rsidRDefault="0038171A" w:rsidP="0050626C">
      <w:pPr>
        <w:pStyle w:val="CETListbullets"/>
        <w:ind w:left="0" w:firstLine="0"/>
      </w:pPr>
      <w:r>
        <w:t xml:space="preserve">To conclude, this method </w:t>
      </w:r>
      <w:r w:rsidR="00522B31" w:rsidRPr="00522B31">
        <w:t xml:space="preserve">can be considered a </w:t>
      </w:r>
      <w:r w:rsidR="00495B83">
        <w:t>low-impact</w:t>
      </w:r>
      <w:r w:rsidR="00495B83" w:rsidRPr="00522B31">
        <w:t xml:space="preserve"> </w:t>
      </w:r>
      <w:r w:rsidR="00522B31" w:rsidRPr="00522B31">
        <w:t>alternative to compressed gas cylinders, much more versatile and expeditious</w:t>
      </w:r>
      <w:r w:rsidR="00495B83">
        <w:t>,</w:t>
      </w:r>
      <w:r w:rsidR="00300A8A">
        <w:t xml:space="preserve"> </w:t>
      </w:r>
      <w:r w:rsidR="00300A8A" w:rsidRPr="00300A8A">
        <w:t xml:space="preserve">and </w:t>
      </w:r>
      <w:r w:rsidR="00300A8A">
        <w:t xml:space="preserve">it </w:t>
      </w:r>
      <w:r w:rsidR="00300A8A" w:rsidRPr="00300A8A">
        <w:t xml:space="preserve">allows to overcome all the limitations associated with the use of </w:t>
      </w:r>
      <w:r w:rsidR="00495B83">
        <w:t>compressed gas bottles</w:t>
      </w:r>
      <w:r w:rsidR="00D325BA">
        <w:t>.</w:t>
      </w:r>
      <w:r w:rsidR="00E54D82">
        <w:t xml:space="preserve"> </w:t>
      </w:r>
    </w:p>
    <w:p w14:paraId="4673DE4D" w14:textId="77777777" w:rsidR="00760EA3" w:rsidRPr="00760EA3" w:rsidRDefault="00760EA3" w:rsidP="00C2098A">
      <w:pPr>
        <w:pStyle w:val="CETHeading1"/>
        <w:numPr>
          <w:ilvl w:val="0"/>
          <w:numId w:val="0"/>
        </w:numPr>
      </w:pPr>
      <w:r w:rsidRPr="00760EA3">
        <w:t>References</w:t>
      </w:r>
    </w:p>
    <w:p w14:paraId="6623FCC6" w14:textId="77777777" w:rsidR="00760EA3" w:rsidRPr="00760EA3" w:rsidRDefault="00760EA3" w:rsidP="00760EA3">
      <w:pPr>
        <w:pStyle w:val="CETListbullets"/>
      </w:pPr>
    </w:p>
    <w:p w14:paraId="2C6C229C" w14:textId="475B222B" w:rsidR="00AF7564" w:rsidRPr="00AF7564" w:rsidRDefault="00760EA3" w:rsidP="00AF7564">
      <w:pPr>
        <w:widowControl w:val="0"/>
        <w:autoSpaceDE w:val="0"/>
        <w:autoSpaceDN w:val="0"/>
        <w:adjustRightInd w:val="0"/>
        <w:spacing w:line="240" w:lineRule="auto"/>
        <w:ind w:left="480" w:hanging="480"/>
        <w:rPr>
          <w:rFonts w:cs="Arial"/>
          <w:noProof/>
          <w:szCs w:val="24"/>
        </w:rPr>
      </w:pPr>
      <w:r w:rsidRPr="00760EA3">
        <w:fldChar w:fldCharType="begin" w:fldLock="1"/>
      </w:r>
      <w:r w:rsidRPr="00760EA3">
        <w:instrText xml:space="preserve">ADDIN Mendeley Bibliography CSL_BIBLIOGRAPHY </w:instrText>
      </w:r>
      <w:r w:rsidRPr="00760EA3">
        <w:fldChar w:fldCharType="separate"/>
      </w:r>
      <w:r w:rsidR="00AF7564" w:rsidRPr="00AF7564">
        <w:rPr>
          <w:rFonts w:cs="Arial"/>
          <w:noProof/>
          <w:szCs w:val="24"/>
        </w:rPr>
        <w:t>ASTM D7360, 2016,</w:t>
      </w:r>
      <w:r w:rsidR="00AF7564" w:rsidRPr="00AF7564">
        <w:rPr>
          <w:rFonts w:cs="Arial"/>
          <w:i/>
          <w:iCs/>
          <w:noProof/>
          <w:szCs w:val="24"/>
        </w:rPr>
        <w:t>Standard Test Method for Analysis of Benzene by Gas Chromatography with External Calibration</w:t>
      </w:r>
      <w:r w:rsidR="00AF7564" w:rsidRPr="00AF7564">
        <w:rPr>
          <w:rFonts w:cs="Arial"/>
          <w:noProof/>
          <w:szCs w:val="24"/>
        </w:rPr>
        <w:t>.</w:t>
      </w:r>
    </w:p>
    <w:p w14:paraId="4B789256" w14:textId="77777777" w:rsidR="00AF7564" w:rsidRPr="00AF7564" w:rsidRDefault="00AF7564" w:rsidP="00AF7564">
      <w:pPr>
        <w:widowControl w:val="0"/>
        <w:autoSpaceDE w:val="0"/>
        <w:autoSpaceDN w:val="0"/>
        <w:adjustRightInd w:val="0"/>
        <w:spacing w:line="240" w:lineRule="auto"/>
        <w:ind w:left="480" w:hanging="480"/>
        <w:rPr>
          <w:rFonts w:cs="Arial"/>
          <w:noProof/>
          <w:szCs w:val="24"/>
        </w:rPr>
      </w:pPr>
      <w:r w:rsidRPr="00AF7564">
        <w:rPr>
          <w:rFonts w:cs="Arial"/>
          <w:noProof/>
          <w:szCs w:val="24"/>
        </w:rPr>
        <w:t xml:space="preserve">Barratt, R. S., 1981, The preparation of standard gas mixtures a review, The Analyst, </w:t>
      </w:r>
      <w:r w:rsidRPr="00AF7564">
        <w:rPr>
          <w:rFonts w:cs="Arial"/>
          <w:i/>
          <w:iCs/>
          <w:noProof/>
          <w:szCs w:val="24"/>
        </w:rPr>
        <w:t>106</w:t>
      </w:r>
      <w:r w:rsidRPr="00AF7564">
        <w:rPr>
          <w:rFonts w:cs="Arial"/>
          <w:noProof/>
          <w:szCs w:val="24"/>
        </w:rPr>
        <w:t>(1265), 817–849.</w:t>
      </w:r>
    </w:p>
    <w:p w14:paraId="6B92DB03" w14:textId="48D47350" w:rsidR="00AF7564" w:rsidRPr="00AF7564" w:rsidRDefault="00AF7564" w:rsidP="00AF7564">
      <w:pPr>
        <w:widowControl w:val="0"/>
        <w:autoSpaceDE w:val="0"/>
        <w:autoSpaceDN w:val="0"/>
        <w:adjustRightInd w:val="0"/>
        <w:spacing w:line="240" w:lineRule="auto"/>
        <w:ind w:left="480" w:hanging="480"/>
        <w:rPr>
          <w:rFonts w:cs="Arial"/>
          <w:noProof/>
          <w:szCs w:val="24"/>
        </w:rPr>
      </w:pPr>
      <w:r w:rsidRPr="00AF7564">
        <w:rPr>
          <w:rFonts w:cs="Arial"/>
          <w:noProof/>
          <w:szCs w:val="24"/>
        </w:rPr>
        <w:t>Dettmer-Wilde, K., Engewald, W., 2014,</w:t>
      </w:r>
      <w:r w:rsidRPr="00AF7564">
        <w:rPr>
          <w:rFonts w:cs="Arial"/>
          <w:i/>
          <w:iCs/>
          <w:noProof/>
          <w:szCs w:val="24"/>
        </w:rPr>
        <w:t>Practical Gas Chromatography</w:t>
      </w:r>
      <w:r w:rsidRPr="00AF7564">
        <w:rPr>
          <w:rFonts w:cs="Arial"/>
          <w:noProof/>
          <w:szCs w:val="24"/>
        </w:rPr>
        <w:t>,Springer.</w:t>
      </w:r>
    </w:p>
    <w:p w14:paraId="7BE8DFE6" w14:textId="77777777" w:rsidR="00AF7564" w:rsidRPr="00AF7564" w:rsidRDefault="00AF7564" w:rsidP="00AF7564">
      <w:pPr>
        <w:widowControl w:val="0"/>
        <w:autoSpaceDE w:val="0"/>
        <w:autoSpaceDN w:val="0"/>
        <w:adjustRightInd w:val="0"/>
        <w:spacing w:line="240" w:lineRule="auto"/>
        <w:ind w:left="480" w:hanging="480"/>
        <w:rPr>
          <w:rFonts w:cs="Arial"/>
          <w:noProof/>
          <w:szCs w:val="24"/>
        </w:rPr>
      </w:pPr>
      <w:r w:rsidRPr="00AF7564">
        <w:rPr>
          <w:rFonts w:cs="Arial"/>
          <w:noProof/>
          <w:szCs w:val="24"/>
        </w:rPr>
        <w:t>EN 13725, 2022,</w:t>
      </w:r>
      <w:r w:rsidRPr="00AF7564">
        <w:rPr>
          <w:rFonts w:cs="Arial"/>
          <w:i/>
          <w:iCs/>
          <w:noProof/>
          <w:szCs w:val="24"/>
        </w:rPr>
        <w:t>EN 13725 : 2022 — Determination of odour concentration by dynamic olfactometry and odour emission rate</w:t>
      </w:r>
      <w:r w:rsidRPr="00AF7564">
        <w:rPr>
          <w:rFonts w:cs="Arial"/>
          <w:noProof/>
          <w:szCs w:val="24"/>
        </w:rPr>
        <w:t xml:space="preserve"> (Issue March).</w:t>
      </w:r>
    </w:p>
    <w:p w14:paraId="2FE26448" w14:textId="77777777" w:rsidR="00AF7564" w:rsidRPr="00AF7564" w:rsidRDefault="00AF7564" w:rsidP="00AF7564">
      <w:pPr>
        <w:widowControl w:val="0"/>
        <w:autoSpaceDE w:val="0"/>
        <w:autoSpaceDN w:val="0"/>
        <w:adjustRightInd w:val="0"/>
        <w:spacing w:line="240" w:lineRule="auto"/>
        <w:ind w:left="480" w:hanging="480"/>
        <w:rPr>
          <w:rFonts w:cs="Arial"/>
          <w:noProof/>
          <w:szCs w:val="24"/>
        </w:rPr>
      </w:pPr>
      <w:r w:rsidRPr="00AF7564">
        <w:rPr>
          <w:rFonts w:cs="Arial"/>
          <w:noProof/>
          <w:szCs w:val="24"/>
        </w:rPr>
        <w:t xml:space="preserve">EN ISO 144470, 2006, Fire safety storage cabinets —,In </w:t>
      </w:r>
      <w:r w:rsidRPr="00AF7564">
        <w:rPr>
          <w:rFonts w:cs="Arial"/>
          <w:i/>
          <w:iCs/>
          <w:noProof/>
          <w:szCs w:val="24"/>
        </w:rPr>
        <w:t>Fire safety storage cabinets</w:t>
      </w:r>
      <w:r w:rsidRPr="00AF7564">
        <w:rPr>
          <w:rFonts w:cs="Arial"/>
          <w:noProof/>
          <w:szCs w:val="24"/>
        </w:rPr>
        <w:t xml:space="preserve"> (Vol. 3).</w:t>
      </w:r>
    </w:p>
    <w:p w14:paraId="1B2DDD06" w14:textId="77777777" w:rsidR="00AF7564" w:rsidRPr="00AF7564" w:rsidRDefault="00AF7564" w:rsidP="00AF7564">
      <w:pPr>
        <w:widowControl w:val="0"/>
        <w:autoSpaceDE w:val="0"/>
        <w:autoSpaceDN w:val="0"/>
        <w:adjustRightInd w:val="0"/>
        <w:spacing w:line="240" w:lineRule="auto"/>
        <w:ind w:left="480" w:hanging="480"/>
        <w:rPr>
          <w:rFonts w:cs="Arial"/>
          <w:noProof/>
          <w:szCs w:val="24"/>
        </w:rPr>
      </w:pPr>
      <w:r w:rsidRPr="00AF7564">
        <w:rPr>
          <w:rFonts w:cs="Arial"/>
          <w:noProof/>
          <w:szCs w:val="24"/>
        </w:rPr>
        <w:t>EN ISO 5492, 2017,</w:t>
      </w:r>
      <w:r w:rsidRPr="00AF7564">
        <w:rPr>
          <w:rFonts w:cs="Arial"/>
          <w:i/>
          <w:iCs/>
          <w:noProof/>
          <w:szCs w:val="24"/>
        </w:rPr>
        <w:t>Sensory analysis</w:t>
      </w:r>
      <w:r w:rsidRPr="00AF7564">
        <w:rPr>
          <w:rFonts w:cs="Arial"/>
          <w:noProof/>
          <w:szCs w:val="24"/>
        </w:rPr>
        <w:t>.</w:t>
      </w:r>
    </w:p>
    <w:p w14:paraId="4984F1DE" w14:textId="77777777" w:rsidR="00AF7564" w:rsidRPr="00AF7564" w:rsidRDefault="00AF7564" w:rsidP="00AF7564">
      <w:pPr>
        <w:widowControl w:val="0"/>
        <w:autoSpaceDE w:val="0"/>
        <w:autoSpaceDN w:val="0"/>
        <w:adjustRightInd w:val="0"/>
        <w:spacing w:line="240" w:lineRule="auto"/>
        <w:ind w:left="480" w:hanging="480"/>
        <w:rPr>
          <w:rFonts w:cs="Arial"/>
          <w:noProof/>
          <w:szCs w:val="24"/>
        </w:rPr>
      </w:pPr>
      <w:r w:rsidRPr="00AF7564">
        <w:rPr>
          <w:rFonts w:cs="Arial"/>
          <w:noProof/>
          <w:szCs w:val="24"/>
        </w:rPr>
        <w:t>EN ISO 6145-4, 2008,</w:t>
      </w:r>
      <w:r w:rsidRPr="00AF7564">
        <w:rPr>
          <w:rFonts w:cs="Arial"/>
          <w:i/>
          <w:iCs/>
          <w:noProof/>
          <w:szCs w:val="24"/>
        </w:rPr>
        <w:t>Gas analysis — Preparation of calibration gas mixtures using dynamic volumetric methods —</w:t>
      </w:r>
      <w:r w:rsidRPr="00AF7564">
        <w:rPr>
          <w:rFonts w:cs="Arial"/>
          <w:noProof/>
          <w:szCs w:val="24"/>
        </w:rPr>
        <w:t xml:space="preserve"> (Vol. 3, p. 6145).</w:t>
      </w:r>
    </w:p>
    <w:p w14:paraId="0C3F9E74" w14:textId="1958ACAA" w:rsidR="00AF7564" w:rsidRPr="00AF7564" w:rsidRDefault="00AF7564" w:rsidP="00AF7564">
      <w:pPr>
        <w:widowControl w:val="0"/>
        <w:autoSpaceDE w:val="0"/>
        <w:autoSpaceDN w:val="0"/>
        <w:adjustRightInd w:val="0"/>
        <w:spacing w:line="240" w:lineRule="auto"/>
        <w:ind w:left="480" w:hanging="480"/>
        <w:rPr>
          <w:rFonts w:cs="Arial"/>
          <w:noProof/>
          <w:szCs w:val="24"/>
        </w:rPr>
      </w:pPr>
      <w:r w:rsidRPr="00AF7564">
        <w:rPr>
          <w:rFonts w:cs="Arial"/>
          <w:noProof/>
          <w:szCs w:val="24"/>
        </w:rPr>
        <w:t xml:space="preserve">Faiola, C. L., Erickson, M. H., Fricaud, V. L., Jobson, B. T., Vanreken, T. M., 2012, Quantification of biogenic volatile organic compounds with a flame ionization detector using the effective carbon number concept, Atmospheric Measurement Techniques, </w:t>
      </w:r>
      <w:r w:rsidRPr="00AF7564">
        <w:rPr>
          <w:rFonts w:cs="Arial"/>
          <w:i/>
          <w:iCs/>
          <w:noProof/>
          <w:szCs w:val="24"/>
        </w:rPr>
        <w:t>5</w:t>
      </w:r>
      <w:r w:rsidRPr="00AF7564">
        <w:rPr>
          <w:rFonts w:cs="Arial"/>
          <w:noProof/>
          <w:szCs w:val="24"/>
        </w:rPr>
        <w:t>(8), 1911–1923.</w:t>
      </w:r>
    </w:p>
    <w:p w14:paraId="7FAE8295" w14:textId="79E4BF1C" w:rsidR="00AF7564" w:rsidRPr="00AF7564" w:rsidRDefault="00AF7564" w:rsidP="00AF7564">
      <w:pPr>
        <w:widowControl w:val="0"/>
        <w:autoSpaceDE w:val="0"/>
        <w:autoSpaceDN w:val="0"/>
        <w:adjustRightInd w:val="0"/>
        <w:spacing w:line="240" w:lineRule="auto"/>
        <w:ind w:left="480" w:hanging="480"/>
        <w:rPr>
          <w:rFonts w:cs="Arial"/>
          <w:noProof/>
          <w:szCs w:val="24"/>
        </w:rPr>
      </w:pPr>
      <w:r w:rsidRPr="00AF7564">
        <w:rPr>
          <w:rFonts w:cs="Arial"/>
          <w:noProof/>
          <w:szCs w:val="24"/>
        </w:rPr>
        <w:t xml:space="preserve">Fernandes, Y., Bry, A., de Persis, S., 2018, Identification and quantification of gases emitted during abuse tests by overcharge of a commercial Li-ion battery, Journal of Power Sources, </w:t>
      </w:r>
      <w:r w:rsidRPr="00AF7564">
        <w:rPr>
          <w:rFonts w:cs="Arial"/>
          <w:i/>
          <w:iCs/>
          <w:noProof/>
          <w:szCs w:val="24"/>
        </w:rPr>
        <w:t>389</w:t>
      </w:r>
      <w:r w:rsidRPr="00AF7564">
        <w:rPr>
          <w:rFonts w:cs="Arial"/>
          <w:noProof/>
          <w:szCs w:val="24"/>
        </w:rPr>
        <w:t>(January), 106–119.</w:t>
      </w:r>
    </w:p>
    <w:p w14:paraId="64D4820B" w14:textId="77777777" w:rsidR="00AF7564" w:rsidRPr="00AF7564" w:rsidRDefault="00AF7564" w:rsidP="00AF7564">
      <w:pPr>
        <w:widowControl w:val="0"/>
        <w:autoSpaceDE w:val="0"/>
        <w:autoSpaceDN w:val="0"/>
        <w:adjustRightInd w:val="0"/>
        <w:spacing w:line="240" w:lineRule="auto"/>
        <w:ind w:left="480" w:hanging="480"/>
        <w:rPr>
          <w:rFonts w:cs="Arial"/>
          <w:noProof/>
          <w:szCs w:val="24"/>
        </w:rPr>
      </w:pPr>
      <w:r w:rsidRPr="00AF7564">
        <w:rPr>
          <w:rFonts w:cs="Arial"/>
          <w:noProof/>
          <w:szCs w:val="24"/>
        </w:rPr>
        <w:t xml:space="preserve">Grob, K., 2001, Split and Splitless Injection for Quantitative Gas Chromatography,In </w:t>
      </w:r>
      <w:r w:rsidRPr="00AF7564">
        <w:rPr>
          <w:rFonts w:cs="Arial"/>
          <w:i/>
          <w:iCs/>
          <w:noProof/>
          <w:szCs w:val="24"/>
        </w:rPr>
        <w:t>Split and Splitless Injection for Quantitative Gas Chromatography</w:t>
      </w:r>
      <w:r w:rsidRPr="00AF7564">
        <w:rPr>
          <w:rFonts w:cs="Arial"/>
          <w:noProof/>
          <w:szCs w:val="24"/>
        </w:rPr>
        <w:t>.</w:t>
      </w:r>
    </w:p>
    <w:p w14:paraId="478DB9D6" w14:textId="57848EB4" w:rsidR="00AF7564" w:rsidRPr="00AF7564" w:rsidRDefault="00AF7564" w:rsidP="00AF7564">
      <w:pPr>
        <w:widowControl w:val="0"/>
        <w:autoSpaceDE w:val="0"/>
        <w:autoSpaceDN w:val="0"/>
        <w:adjustRightInd w:val="0"/>
        <w:spacing w:line="240" w:lineRule="auto"/>
        <w:ind w:left="480" w:hanging="480"/>
        <w:rPr>
          <w:rFonts w:cs="Arial"/>
          <w:noProof/>
          <w:szCs w:val="24"/>
        </w:rPr>
      </w:pPr>
      <w:r w:rsidRPr="00AF7564">
        <w:rPr>
          <w:rFonts w:cs="Arial"/>
          <w:noProof/>
          <w:szCs w:val="24"/>
        </w:rPr>
        <w:t xml:space="preserve">Liu, D., Nyord, T., Rong, L., Feilberg, A., 2018, Real-time quantification of emissions of volatile organic compounds from land spreading of pig slurry measured by PTR-MS and wind tunnels, Science of the Total Environment, </w:t>
      </w:r>
      <w:r w:rsidRPr="00AF7564">
        <w:rPr>
          <w:rFonts w:cs="Arial"/>
          <w:i/>
          <w:iCs/>
          <w:noProof/>
          <w:szCs w:val="24"/>
        </w:rPr>
        <w:t>639</w:t>
      </w:r>
      <w:r w:rsidRPr="00AF7564">
        <w:rPr>
          <w:rFonts w:cs="Arial"/>
          <w:noProof/>
          <w:szCs w:val="24"/>
        </w:rPr>
        <w:t>, 1079–1087.</w:t>
      </w:r>
    </w:p>
    <w:p w14:paraId="231F186B" w14:textId="77777777" w:rsidR="00AF7564" w:rsidRPr="00AF7564" w:rsidRDefault="00AF7564" w:rsidP="00AF7564">
      <w:pPr>
        <w:widowControl w:val="0"/>
        <w:autoSpaceDE w:val="0"/>
        <w:autoSpaceDN w:val="0"/>
        <w:adjustRightInd w:val="0"/>
        <w:spacing w:line="240" w:lineRule="auto"/>
        <w:ind w:left="480" w:hanging="480"/>
        <w:rPr>
          <w:rFonts w:cs="Arial"/>
          <w:noProof/>
          <w:szCs w:val="24"/>
        </w:rPr>
      </w:pPr>
      <w:r w:rsidRPr="00AF7564">
        <w:rPr>
          <w:rFonts w:cs="Arial"/>
          <w:noProof/>
          <w:szCs w:val="24"/>
        </w:rPr>
        <w:t>Nagata, Y., 2003, Measurement of Odor Threshold by Triangle Odor Bag Method, Odor Measurement Review, 118–127.</w:t>
      </w:r>
    </w:p>
    <w:p w14:paraId="7AF873E5" w14:textId="77777777" w:rsidR="00AF7564" w:rsidRPr="00AF7564" w:rsidRDefault="00AF7564" w:rsidP="00AF7564">
      <w:pPr>
        <w:widowControl w:val="0"/>
        <w:autoSpaceDE w:val="0"/>
        <w:autoSpaceDN w:val="0"/>
        <w:adjustRightInd w:val="0"/>
        <w:spacing w:line="240" w:lineRule="auto"/>
        <w:ind w:left="480" w:hanging="480"/>
        <w:rPr>
          <w:rFonts w:cs="Arial"/>
          <w:noProof/>
          <w:szCs w:val="24"/>
        </w:rPr>
      </w:pPr>
      <w:r w:rsidRPr="00AF7564">
        <w:rPr>
          <w:rFonts w:cs="Arial"/>
          <w:noProof/>
          <w:szCs w:val="24"/>
        </w:rPr>
        <w:t>Papurello, D., 2019, Direct injection mass spectrometry technique for the odorant losses at ppb(v) level from nalophan</w:t>
      </w:r>
      <w:r w:rsidRPr="00AF7564">
        <w:rPr>
          <w:rFonts w:cs="Arial"/>
          <w:noProof/>
          <w:szCs w:val="24"/>
          <w:vertAlign w:val="superscript"/>
        </w:rPr>
        <w:t>TM</w:t>
      </w:r>
      <w:r w:rsidRPr="00AF7564">
        <w:rPr>
          <w:rFonts w:cs="Arial"/>
          <w:noProof/>
          <w:szCs w:val="24"/>
        </w:rPr>
        <w:t xml:space="preserve"> sampling bags, International Journal of Mass Spectrometry, </w:t>
      </w:r>
      <w:r w:rsidRPr="00AF7564">
        <w:rPr>
          <w:rFonts w:cs="Arial"/>
          <w:i/>
          <w:iCs/>
          <w:noProof/>
          <w:szCs w:val="24"/>
        </w:rPr>
        <w:t>436</w:t>
      </w:r>
      <w:r w:rsidRPr="00AF7564">
        <w:rPr>
          <w:rFonts w:cs="Arial"/>
          <w:noProof/>
          <w:szCs w:val="24"/>
        </w:rPr>
        <w:t>, 137–146.</w:t>
      </w:r>
    </w:p>
    <w:p w14:paraId="28830CC8" w14:textId="13638136" w:rsidR="00AF7564" w:rsidRPr="00AF7564" w:rsidRDefault="00AF7564" w:rsidP="00AF7564">
      <w:pPr>
        <w:widowControl w:val="0"/>
        <w:autoSpaceDE w:val="0"/>
        <w:autoSpaceDN w:val="0"/>
        <w:adjustRightInd w:val="0"/>
        <w:spacing w:line="240" w:lineRule="auto"/>
        <w:ind w:left="480" w:hanging="480"/>
        <w:rPr>
          <w:rFonts w:cs="Arial"/>
          <w:noProof/>
          <w:szCs w:val="24"/>
        </w:rPr>
      </w:pPr>
      <w:r w:rsidRPr="00AF7564">
        <w:rPr>
          <w:rFonts w:cs="Arial"/>
          <w:noProof/>
          <w:szCs w:val="24"/>
        </w:rPr>
        <w:t xml:space="preserve">Platonov, I. A., Rodinkov, O. V., Gorbacheva, A. R., Moskvin, L. N., Kolesnichenko, I. N., 2018, Methods and devices for the preparation of standard gas mixtures, Journal of Analytical Chemistry, </w:t>
      </w:r>
      <w:r w:rsidRPr="00AF7564">
        <w:rPr>
          <w:rFonts w:cs="Arial"/>
          <w:i/>
          <w:iCs/>
          <w:noProof/>
          <w:szCs w:val="24"/>
        </w:rPr>
        <w:t>73</w:t>
      </w:r>
      <w:r w:rsidRPr="00AF7564">
        <w:rPr>
          <w:rFonts w:cs="Arial"/>
          <w:noProof/>
          <w:szCs w:val="24"/>
        </w:rPr>
        <w:t>(2), 109–127.</w:t>
      </w:r>
    </w:p>
    <w:p w14:paraId="468E2069" w14:textId="77777777" w:rsidR="00AF7564" w:rsidRPr="00AF7564" w:rsidRDefault="00AF7564" w:rsidP="00AF7564">
      <w:pPr>
        <w:widowControl w:val="0"/>
        <w:autoSpaceDE w:val="0"/>
        <w:autoSpaceDN w:val="0"/>
        <w:adjustRightInd w:val="0"/>
        <w:spacing w:line="240" w:lineRule="auto"/>
        <w:ind w:left="480" w:hanging="480"/>
        <w:rPr>
          <w:rFonts w:cs="Arial"/>
          <w:noProof/>
          <w:szCs w:val="24"/>
        </w:rPr>
      </w:pPr>
      <w:r w:rsidRPr="00AF7564">
        <w:rPr>
          <w:rFonts w:cs="Arial"/>
          <w:noProof/>
          <w:szCs w:val="24"/>
        </w:rPr>
        <w:t>Ruddigkeit, L., Awale, M., &amp; Reymond, J.-L., 2014, Expanding the fragrance chemical space for virtual screening, Journal of Cheminformatics.</w:t>
      </w:r>
    </w:p>
    <w:p w14:paraId="557E281F" w14:textId="6B60A4B8" w:rsidR="00AF7564" w:rsidRPr="00AF7564" w:rsidRDefault="00AF7564" w:rsidP="00AF7564">
      <w:pPr>
        <w:widowControl w:val="0"/>
        <w:autoSpaceDE w:val="0"/>
        <w:autoSpaceDN w:val="0"/>
        <w:adjustRightInd w:val="0"/>
        <w:spacing w:line="240" w:lineRule="auto"/>
        <w:ind w:left="480" w:hanging="480"/>
        <w:rPr>
          <w:rFonts w:cs="Arial"/>
          <w:noProof/>
          <w:szCs w:val="24"/>
        </w:rPr>
      </w:pPr>
      <w:r w:rsidRPr="00AF7564">
        <w:rPr>
          <w:rFonts w:cs="Arial"/>
          <w:noProof/>
          <w:szCs w:val="24"/>
        </w:rPr>
        <w:t xml:space="preserve">Sparkman, O. D., Penton, Z., Kitson, F. G., 2011, Gas Chromatography and Mass Spectrometry: A Practical Guide,In </w:t>
      </w:r>
      <w:r w:rsidRPr="00AF7564">
        <w:rPr>
          <w:rFonts w:cs="Arial"/>
          <w:i/>
          <w:iCs/>
          <w:noProof/>
          <w:szCs w:val="24"/>
        </w:rPr>
        <w:t>Gas Chromatography and Mass Spectrometry: A Practical Guide</w:t>
      </w:r>
      <w:r w:rsidRPr="00AF7564">
        <w:rPr>
          <w:rFonts w:cs="Arial"/>
          <w:noProof/>
          <w:szCs w:val="24"/>
        </w:rPr>
        <w:t>,Elsevier Inc.</w:t>
      </w:r>
    </w:p>
    <w:p w14:paraId="63D60E24" w14:textId="77777777" w:rsidR="00AF7564" w:rsidRPr="00AF7564" w:rsidRDefault="00AF7564" w:rsidP="00AF7564">
      <w:pPr>
        <w:widowControl w:val="0"/>
        <w:autoSpaceDE w:val="0"/>
        <w:autoSpaceDN w:val="0"/>
        <w:adjustRightInd w:val="0"/>
        <w:spacing w:line="240" w:lineRule="auto"/>
        <w:ind w:left="480" w:hanging="480"/>
        <w:rPr>
          <w:rFonts w:cs="Arial"/>
          <w:noProof/>
        </w:rPr>
      </w:pPr>
      <w:r w:rsidRPr="00AF7564">
        <w:rPr>
          <w:rFonts w:cs="Arial"/>
          <w:noProof/>
          <w:szCs w:val="24"/>
        </w:rPr>
        <w:t>U.S. Environmental Protection Agency (EPA), 1999, Compendium Method TO-14A Determination Of Volatile Organic Compounds ( VOCs ) In Ambient Air Using Specially Prepared Canisters With Subsequent Analysis B, Compendium of Methods for the Determination of Toxic Organic Compounds in Ambient Air Second Edition.</w:t>
      </w:r>
    </w:p>
    <w:p w14:paraId="36EA4DF1" w14:textId="77777777" w:rsidR="00760EA3" w:rsidRPr="00760EA3" w:rsidRDefault="00760EA3" w:rsidP="00760EA3">
      <w:pPr>
        <w:pStyle w:val="CETListbullets"/>
        <w:rPr>
          <w:b/>
          <w:lang w:bidi="en-US"/>
        </w:rPr>
      </w:pPr>
      <w:r w:rsidRPr="00760EA3">
        <w:fldChar w:fldCharType="end"/>
      </w:r>
    </w:p>
    <w:p w14:paraId="53795F88" w14:textId="355A4FDD" w:rsidR="00760EA3" w:rsidRDefault="00760EA3" w:rsidP="00760EA3">
      <w:pPr>
        <w:pStyle w:val="CETListbullets"/>
        <w:ind w:left="0" w:firstLine="0"/>
      </w:pPr>
    </w:p>
    <w:p w14:paraId="6AABFCA1" w14:textId="77777777" w:rsidR="00760EA3" w:rsidRDefault="00760EA3" w:rsidP="00760EA3">
      <w:pPr>
        <w:pStyle w:val="CETListbullets"/>
        <w:ind w:left="0" w:firstLine="0"/>
      </w:pPr>
    </w:p>
    <w:sectPr w:rsidR="00760EA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577D8" w14:textId="77777777" w:rsidR="005951EF" w:rsidRDefault="005951EF" w:rsidP="004F5E36">
      <w:r>
        <w:separator/>
      </w:r>
    </w:p>
  </w:endnote>
  <w:endnote w:type="continuationSeparator" w:id="0">
    <w:p w14:paraId="41A2C11B" w14:textId="77777777" w:rsidR="005951EF" w:rsidRDefault="005951E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A2FB3" w14:textId="77777777" w:rsidR="005951EF" w:rsidRDefault="005951EF" w:rsidP="004F5E36">
      <w:r>
        <w:separator/>
      </w:r>
    </w:p>
  </w:footnote>
  <w:footnote w:type="continuationSeparator" w:id="0">
    <w:p w14:paraId="132D19EA" w14:textId="77777777" w:rsidR="005951EF" w:rsidRDefault="005951E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8B468F5"/>
    <w:multiLevelType w:val="hybridMultilevel"/>
    <w:tmpl w:val="3FB688F2"/>
    <w:lvl w:ilvl="0" w:tplc="4858CE4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66122"/>
    <w:multiLevelType w:val="hybridMultilevel"/>
    <w:tmpl w:val="FD986F3E"/>
    <w:lvl w:ilvl="0" w:tplc="FDA65CD0">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8217E"/>
    <w:multiLevelType w:val="multilevel"/>
    <w:tmpl w:val="8B2486E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E31ADB60"/>
    <w:lvl w:ilvl="0" w:tplc="14B0F7A8">
      <w:start w:val="1"/>
      <w:numFmt w:val="bullet"/>
      <w:pStyle w:val="CETnumberingbullets"/>
      <w:lvlText w:val=""/>
      <w:lvlJc w:val="left"/>
      <w:pPr>
        <w:ind w:left="340" w:hanging="227"/>
      </w:pPr>
      <w:rPr>
        <w:rFonts w:ascii="Symbol" w:hAnsi="Symbol" w:hint="default"/>
      </w:rPr>
    </w:lvl>
    <w:lvl w:ilvl="1" w:tplc="6972A22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172AF"/>
    <w:multiLevelType w:val="hybridMultilevel"/>
    <w:tmpl w:val="17BCEA46"/>
    <w:lvl w:ilvl="0" w:tplc="AB2649D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6C01A51"/>
    <w:multiLevelType w:val="hybridMultilevel"/>
    <w:tmpl w:val="8D4042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B777DBA"/>
    <w:multiLevelType w:val="hybridMultilevel"/>
    <w:tmpl w:val="687AA282"/>
    <w:lvl w:ilvl="0" w:tplc="19EE473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16cid:durableId="1011882266">
    <w:abstractNumId w:val="12"/>
  </w:num>
  <w:num w:numId="2" w16cid:durableId="2033875780">
    <w:abstractNumId w:val="8"/>
  </w:num>
  <w:num w:numId="3" w16cid:durableId="695276778">
    <w:abstractNumId w:val="3"/>
  </w:num>
  <w:num w:numId="4" w16cid:durableId="111631741">
    <w:abstractNumId w:val="2"/>
  </w:num>
  <w:num w:numId="5" w16cid:durableId="1227032210">
    <w:abstractNumId w:val="1"/>
  </w:num>
  <w:num w:numId="6" w16cid:durableId="2001343621">
    <w:abstractNumId w:val="0"/>
  </w:num>
  <w:num w:numId="7" w16cid:durableId="1804349762">
    <w:abstractNumId w:val="9"/>
  </w:num>
  <w:num w:numId="8" w16cid:durableId="1654213396">
    <w:abstractNumId w:val="7"/>
  </w:num>
  <w:num w:numId="9" w16cid:durableId="1166439295">
    <w:abstractNumId w:val="6"/>
  </w:num>
  <w:num w:numId="10" w16cid:durableId="1570574171">
    <w:abstractNumId w:val="5"/>
  </w:num>
  <w:num w:numId="11" w16cid:durableId="1748724186">
    <w:abstractNumId w:val="4"/>
  </w:num>
  <w:num w:numId="12" w16cid:durableId="1950502316">
    <w:abstractNumId w:val="14"/>
  </w:num>
  <w:num w:numId="13" w16cid:durableId="1454523654">
    <w:abstractNumId w:val="17"/>
  </w:num>
  <w:num w:numId="14" w16cid:durableId="414324668">
    <w:abstractNumId w:val="20"/>
  </w:num>
  <w:num w:numId="15" w16cid:durableId="1909146412">
    <w:abstractNumId w:val="18"/>
  </w:num>
  <w:num w:numId="16" w16cid:durableId="210263384">
    <w:abstractNumId w:val="13"/>
  </w:num>
  <w:num w:numId="17" w16cid:durableId="2029870276">
    <w:abstractNumId w:val="15"/>
  </w:num>
  <w:num w:numId="18" w16cid:durableId="616109807">
    <w:abstractNumId w:val="10"/>
  </w:num>
  <w:num w:numId="19" w16cid:durableId="909004159">
    <w:abstractNumId w:val="11"/>
  </w:num>
  <w:num w:numId="20" w16cid:durableId="1179194289">
    <w:abstractNumId w:val="21"/>
  </w:num>
  <w:num w:numId="21" w16cid:durableId="871192546">
    <w:abstractNumId w:val="16"/>
  </w:num>
  <w:num w:numId="22" w16cid:durableId="158618261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kFAG6qifgtAAAA"/>
  </w:docVars>
  <w:rsids>
    <w:rsidRoot w:val="000E414A"/>
    <w:rsid w:val="0000088A"/>
    <w:rsid w:val="000027C0"/>
    <w:rsid w:val="000052FB"/>
    <w:rsid w:val="00005AAB"/>
    <w:rsid w:val="000117CB"/>
    <w:rsid w:val="0001416D"/>
    <w:rsid w:val="00021DAB"/>
    <w:rsid w:val="000254AA"/>
    <w:rsid w:val="0003148D"/>
    <w:rsid w:val="00031EEC"/>
    <w:rsid w:val="00045510"/>
    <w:rsid w:val="00051566"/>
    <w:rsid w:val="00053DC1"/>
    <w:rsid w:val="00062A9A"/>
    <w:rsid w:val="00065058"/>
    <w:rsid w:val="00066954"/>
    <w:rsid w:val="0008661C"/>
    <w:rsid w:val="00086C39"/>
    <w:rsid w:val="0009201B"/>
    <w:rsid w:val="000A03B2"/>
    <w:rsid w:val="000A38E0"/>
    <w:rsid w:val="000B108C"/>
    <w:rsid w:val="000B5C07"/>
    <w:rsid w:val="000C39F0"/>
    <w:rsid w:val="000C4039"/>
    <w:rsid w:val="000C46F7"/>
    <w:rsid w:val="000C7F07"/>
    <w:rsid w:val="000D0268"/>
    <w:rsid w:val="000D132A"/>
    <w:rsid w:val="000D34BE"/>
    <w:rsid w:val="000E102F"/>
    <w:rsid w:val="000E36F1"/>
    <w:rsid w:val="000E3A73"/>
    <w:rsid w:val="000E414A"/>
    <w:rsid w:val="000F093C"/>
    <w:rsid w:val="000F31AA"/>
    <w:rsid w:val="000F787B"/>
    <w:rsid w:val="00106494"/>
    <w:rsid w:val="00110BB5"/>
    <w:rsid w:val="001135FC"/>
    <w:rsid w:val="0012091F"/>
    <w:rsid w:val="0012635F"/>
    <w:rsid w:val="00126BC2"/>
    <w:rsid w:val="001308B6"/>
    <w:rsid w:val="0013121F"/>
    <w:rsid w:val="00131FE6"/>
    <w:rsid w:val="0013263F"/>
    <w:rsid w:val="001331DF"/>
    <w:rsid w:val="00133D83"/>
    <w:rsid w:val="00134DE4"/>
    <w:rsid w:val="001377D8"/>
    <w:rsid w:val="00140272"/>
    <w:rsid w:val="0014034D"/>
    <w:rsid w:val="001409DA"/>
    <w:rsid w:val="001444F0"/>
    <w:rsid w:val="00144D16"/>
    <w:rsid w:val="00145922"/>
    <w:rsid w:val="00150E59"/>
    <w:rsid w:val="00152DE3"/>
    <w:rsid w:val="0016094A"/>
    <w:rsid w:val="00164CF9"/>
    <w:rsid w:val="001667A6"/>
    <w:rsid w:val="0017296D"/>
    <w:rsid w:val="001750BB"/>
    <w:rsid w:val="00177F2D"/>
    <w:rsid w:val="00184AD6"/>
    <w:rsid w:val="001953CD"/>
    <w:rsid w:val="001A4AF7"/>
    <w:rsid w:val="001B0349"/>
    <w:rsid w:val="001B12DB"/>
    <w:rsid w:val="001B144D"/>
    <w:rsid w:val="001B1E93"/>
    <w:rsid w:val="001B310C"/>
    <w:rsid w:val="001B5318"/>
    <w:rsid w:val="001B65C1"/>
    <w:rsid w:val="001C4E05"/>
    <w:rsid w:val="001C684B"/>
    <w:rsid w:val="001D0CFB"/>
    <w:rsid w:val="001D21AF"/>
    <w:rsid w:val="001D4E3F"/>
    <w:rsid w:val="001D53FC"/>
    <w:rsid w:val="001E2414"/>
    <w:rsid w:val="001E6D07"/>
    <w:rsid w:val="001F32DD"/>
    <w:rsid w:val="001F42A5"/>
    <w:rsid w:val="001F543A"/>
    <w:rsid w:val="001F7B9D"/>
    <w:rsid w:val="00201C93"/>
    <w:rsid w:val="00202F68"/>
    <w:rsid w:val="00212FCF"/>
    <w:rsid w:val="002130E3"/>
    <w:rsid w:val="002148AD"/>
    <w:rsid w:val="00216168"/>
    <w:rsid w:val="0022131D"/>
    <w:rsid w:val="00222038"/>
    <w:rsid w:val="002224B4"/>
    <w:rsid w:val="00227ABB"/>
    <w:rsid w:val="00235EA1"/>
    <w:rsid w:val="00236010"/>
    <w:rsid w:val="00240F70"/>
    <w:rsid w:val="002447EF"/>
    <w:rsid w:val="00251550"/>
    <w:rsid w:val="00263B05"/>
    <w:rsid w:val="0027221A"/>
    <w:rsid w:val="00275B61"/>
    <w:rsid w:val="00277451"/>
    <w:rsid w:val="00280FAF"/>
    <w:rsid w:val="00282656"/>
    <w:rsid w:val="002832B3"/>
    <w:rsid w:val="002844DA"/>
    <w:rsid w:val="00296B83"/>
    <w:rsid w:val="002A3B55"/>
    <w:rsid w:val="002A49AF"/>
    <w:rsid w:val="002B4015"/>
    <w:rsid w:val="002B78CE"/>
    <w:rsid w:val="002C2FB6"/>
    <w:rsid w:val="002D0273"/>
    <w:rsid w:val="002D3C02"/>
    <w:rsid w:val="002E0C2B"/>
    <w:rsid w:val="002E5FA7"/>
    <w:rsid w:val="002E6E04"/>
    <w:rsid w:val="002E72D7"/>
    <w:rsid w:val="002F0468"/>
    <w:rsid w:val="002F3130"/>
    <w:rsid w:val="002F3309"/>
    <w:rsid w:val="003008CE"/>
    <w:rsid w:val="003009B7"/>
    <w:rsid w:val="00300A8A"/>
    <w:rsid w:val="00300E56"/>
    <w:rsid w:val="0030469C"/>
    <w:rsid w:val="00321CA6"/>
    <w:rsid w:val="00322731"/>
    <w:rsid w:val="00322FEF"/>
    <w:rsid w:val="00323763"/>
    <w:rsid w:val="00323C5F"/>
    <w:rsid w:val="003252EB"/>
    <w:rsid w:val="00331443"/>
    <w:rsid w:val="00334C09"/>
    <w:rsid w:val="00343197"/>
    <w:rsid w:val="0037154F"/>
    <w:rsid w:val="003723D4"/>
    <w:rsid w:val="0038171A"/>
    <w:rsid w:val="00381905"/>
    <w:rsid w:val="00384CC8"/>
    <w:rsid w:val="003871FD"/>
    <w:rsid w:val="0039109A"/>
    <w:rsid w:val="003A1E30"/>
    <w:rsid w:val="003A2829"/>
    <w:rsid w:val="003A4910"/>
    <w:rsid w:val="003A7D1C"/>
    <w:rsid w:val="003B304B"/>
    <w:rsid w:val="003B3146"/>
    <w:rsid w:val="003B5E62"/>
    <w:rsid w:val="003C4A3D"/>
    <w:rsid w:val="003C551B"/>
    <w:rsid w:val="003D725F"/>
    <w:rsid w:val="003D75A5"/>
    <w:rsid w:val="003E200A"/>
    <w:rsid w:val="003E7307"/>
    <w:rsid w:val="003F015E"/>
    <w:rsid w:val="00400414"/>
    <w:rsid w:val="0041446B"/>
    <w:rsid w:val="00420E02"/>
    <w:rsid w:val="004304F6"/>
    <w:rsid w:val="00433003"/>
    <w:rsid w:val="0044071E"/>
    <w:rsid w:val="0044329C"/>
    <w:rsid w:val="00453E24"/>
    <w:rsid w:val="00457456"/>
    <w:rsid w:val="004577FE"/>
    <w:rsid w:val="00457B9C"/>
    <w:rsid w:val="0046164A"/>
    <w:rsid w:val="00461F03"/>
    <w:rsid w:val="004628D2"/>
    <w:rsid w:val="00462DCD"/>
    <w:rsid w:val="004648AD"/>
    <w:rsid w:val="004703A9"/>
    <w:rsid w:val="004734A3"/>
    <w:rsid w:val="00475808"/>
    <w:rsid w:val="004760DE"/>
    <w:rsid w:val="004763D7"/>
    <w:rsid w:val="004865C6"/>
    <w:rsid w:val="00490DBB"/>
    <w:rsid w:val="00495B83"/>
    <w:rsid w:val="004A004E"/>
    <w:rsid w:val="004A01F1"/>
    <w:rsid w:val="004A24CF"/>
    <w:rsid w:val="004B1736"/>
    <w:rsid w:val="004C2312"/>
    <w:rsid w:val="004C3A08"/>
    <w:rsid w:val="004C3D1D"/>
    <w:rsid w:val="004C3D84"/>
    <w:rsid w:val="004C7913"/>
    <w:rsid w:val="004E1354"/>
    <w:rsid w:val="004E4DD6"/>
    <w:rsid w:val="004F14B2"/>
    <w:rsid w:val="004F5E36"/>
    <w:rsid w:val="005017B4"/>
    <w:rsid w:val="0050626C"/>
    <w:rsid w:val="00507B47"/>
    <w:rsid w:val="00507BEF"/>
    <w:rsid w:val="00507CC9"/>
    <w:rsid w:val="00510CF4"/>
    <w:rsid w:val="005119A5"/>
    <w:rsid w:val="005212C2"/>
    <w:rsid w:val="00522B31"/>
    <w:rsid w:val="005278B7"/>
    <w:rsid w:val="005303F5"/>
    <w:rsid w:val="00530654"/>
    <w:rsid w:val="0053091C"/>
    <w:rsid w:val="00532016"/>
    <w:rsid w:val="005342D6"/>
    <w:rsid w:val="005346C8"/>
    <w:rsid w:val="00535D6C"/>
    <w:rsid w:val="00543E7D"/>
    <w:rsid w:val="00547A68"/>
    <w:rsid w:val="005531C9"/>
    <w:rsid w:val="00570C43"/>
    <w:rsid w:val="00576E28"/>
    <w:rsid w:val="0058298B"/>
    <w:rsid w:val="00593E96"/>
    <w:rsid w:val="005951EF"/>
    <w:rsid w:val="005A064E"/>
    <w:rsid w:val="005B077F"/>
    <w:rsid w:val="005B2110"/>
    <w:rsid w:val="005B5710"/>
    <w:rsid w:val="005B61E6"/>
    <w:rsid w:val="005B7AA8"/>
    <w:rsid w:val="005C0145"/>
    <w:rsid w:val="005C2F49"/>
    <w:rsid w:val="005C3FB1"/>
    <w:rsid w:val="005C77E1"/>
    <w:rsid w:val="005D668A"/>
    <w:rsid w:val="005D6A2F"/>
    <w:rsid w:val="005E1A82"/>
    <w:rsid w:val="005E794C"/>
    <w:rsid w:val="005F0A28"/>
    <w:rsid w:val="005F0E5E"/>
    <w:rsid w:val="005F1E05"/>
    <w:rsid w:val="005F33B7"/>
    <w:rsid w:val="00600535"/>
    <w:rsid w:val="00601A4F"/>
    <w:rsid w:val="00610CD6"/>
    <w:rsid w:val="006150E7"/>
    <w:rsid w:val="00617DB8"/>
    <w:rsid w:val="00620DEE"/>
    <w:rsid w:val="00621F92"/>
    <w:rsid w:val="0062280A"/>
    <w:rsid w:val="00625639"/>
    <w:rsid w:val="00631B33"/>
    <w:rsid w:val="00632A67"/>
    <w:rsid w:val="00636D22"/>
    <w:rsid w:val="0064184D"/>
    <w:rsid w:val="006422CC"/>
    <w:rsid w:val="00642C44"/>
    <w:rsid w:val="00660E3E"/>
    <w:rsid w:val="00662DD3"/>
    <w:rsid w:val="00662E74"/>
    <w:rsid w:val="006717FE"/>
    <w:rsid w:val="00671CE1"/>
    <w:rsid w:val="00674389"/>
    <w:rsid w:val="00675063"/>
    <w:rsid w:val="00680C23"/>
    <w:rsid w:val="0068669F"/>
    <w:rsid w:val="00693766"/>
    <w:rsid w:val="006A30C3"/>
    <w:rsid w:val="006A3281"/>
    <w:rsid w:val="006A6A3E"/>
    <w:rsid w:val="006B4888"/>
    <w:rsid w:val="006B7377"/>
    <w:rsid w:val="006C176A"/>
    <w:rsid w:val="006C2E45"/>
    <w:rsid w:val="006C359C"/>
    <w:rsid w:val="006C5579"/>
    <w:rsid w:val="006D6E8B"/>
    <w:rsid w:val="006E2376"/>
    <w:rsid w:val="006E4790"/>
    <w:rsid w:val="006E4D25"/>
    <w:rsid w:val="006E737D"/>
    <w:rsid w:val="00700E97"/>
    <w:rsid w:val="00701B4B"/>
    <w:rsid w:val="00713973"/>
    <w:rsid w:val="0071786A"/>
    <w:rsid w:val="00720A24"/>
    <w:rsid w:val="007226A9"/>
    <w:rsid w:val="00732386"/>
    <w:rsid w:val="0073514D"/>
    <w:rsid w:val="007447F3"/>
    <w:rsid w:val="00745ABF"/>
    <w:rsid w:val="0075499F"/>
    <w:rsid w:val="0075739E"/>
    <w:rsid w:val="00760EA3"/>
    <w:rsid w:val="007654AB"/>
    <w:rsid w:val="007661C8"/>
    <w:rsid w:val="0077098D"/>
    <w:rsid w:val="007720F2"/>
    <w:rsid w:val="0077526C"/>
    <w:rsid w:val="007753F5"/>
    <w:rsid w:val="007904CB"/>
    <w:rsid w:val="007931FA"/>
    <w:rsid w:val="007A2E20"/>
    <w:rsid w:val="007A4861"/>
    <w:rsid w:val="007A7BBA"/>
    <w:rsid w:val="007B0C50"/>
    <w:rsid w:val="007B48F9"/>
    <w:rsid w:val="007C1A43"/>
    <w:rsid w:val="007C4678"/>
    <w:rsid w:val="007E6C51"/>
    <w:rsid w:val="0080013E"/>
    <w:rsid w:val="00813288"/>
    <w:rsid w:val="008168FC"/>
    <w:rsid w:val="008305F1"/>
    <w:rsid w:val="00830996"/>
    <w:rsid w:val="008345F1"/>
    <w:rsid w:val="00847639"/>
    <w:rsid w:val="00853834"/>
    <w:rsid w:val="008563B2"/>
    <w:rsid w:val="00865B07"/>
    <w:rsid w:val="008667EA"/>
    <w:rsid w:val="00867168"/>
    <w:rsid w:val="0087637F"/>
    <w:rsid w:val="00890F26"/>
    <w:rsid w:val="00892AD5"/>
    <w:rsid w:val="008A1512"/>
    <w:rsid w:val="008B4A77"/>
    <w:rsid w:val="008C6638"/>
    <w:rsid w:val="008D17CF"/>
    <w:rsid w:val="008D253A"/>
    <w:rsid w:val="008D32B9"/>
    <w:rsid w:val="008D3AA1"/>
    <w:rsid w:val="008D433B"/>
    <w:rsid w:val="008D4A16"/>
    <w:rsid w:val="008E062B"/>
    <w:rsid w:val="008E149F"/>
    <w:rsid w:val="008E4838"/>
    <w:rsid w:val="008E566E"/>
    <w:rsid w:val="008E74AB"/>
    <w:rsid w:val="008E76F4"/>
    <w:rsid w:val="008F4F68"/>
    <w:rsid w:val="0090161A"/>
    <w:rsid w:val="00901EB6"/>
    <w:rsid w:val="00904C62"/>
    <w:rsid w:val="009064C4"/>
    <w:rsid w:val="0091009B"/>
    <w:rsid w:val="00922BA8"/>
    <w:rsid w:val="00924DAC"/>
    <w:rsid w:val="00927058"/>
    <w:rsid w:val="00942750"/>
    <w:rsid w:val="00943F69"/>
    <w:rsid w:val="009450CE"/>
    <w:rsid w:val="00945F29"/>
    <w:rsid w:val="00946876"/>
    <w:rsid w:val="00947179"/>
    <w:rsid w:val="0095164B"/>
    <w:rsid w:val="00954090"/>
    <w:rsid w:val="009573E7"/>
    <w:rsid w:val="00963E05"/>
    <w:rsid w:val="00964A45"/>
    <w:rsid w:val="00967843"/>
    <w:rsid w:val="00967D54"/>
    <w:rsid w:val="00971028"/>
    <w:rsid w:val="0097168A"/>
    <w:rsid w:val="00971CAB"/>
    <w:rsid w:val="00971EF0"/>
    <w:rsid w:val="00974F3C"/>
    <w:rsid w:val="00993B84"/>
    <w:rsid w:val="0099482B"/>
    <w:rsid w:val="00996483"/>
    <w:rsid w:val="00996AF8"/>
    <w:rsid w:val="00996F5A"/>
    <w:rsid w:val="009A43A3"/>
    <w:rsid w:val="009B041A"/>
    <w:rsid w:val="009B3FB2"/>
    <w:rsid w:val="009C37C3"/>
    <w:rsid w:val="009C7C86"/>
    <w:rsid w:val="009D2FF7"/>
    <w:rsid w:val="009D6741"/>
    <w:rsid w:val="009E1A47"/>
    <w:rsid w:val="009E42B4"/>
    <w:rsid w:val="009E6AEB"/>
    <w:rsid w:val="009E7884"/>
    <w:rsid w:val="009E788A"/>
    <w:rsid w:val="009F0E08"/>
    <w:rsid w:val="009F208B"/>
    <w:rsid w:val="009F28C0"/>
    <w:rsid w:val="00A06325"/>
    <w:rsid w:val="00A16C4C"/>
    <w:rsid w:val="00A1763D"/>
    <w:rsid w:val="00A17CEC"/>
    <w:rsid w:val="00A204D8"/>
    <w:rsid w:val="00A27EF0"/>
    <w:rsid w:val="00A42361"/>
    <w:rsid w:val="00A4295B"/>
    <w:rsid w:val="00A46AC4"/>
    <w:rsid w:val="00A50B20"/>
    <w:rsid w:val="00A50C15"/>
    <w:rsid w:val="00A51390"/>
    <w:rsid w:val="00A5506E"/>
    <w:rsid w:val="00A60D13"/>
    <w:rsid w:val="00A7223D"/>
    <w:rsid w:val="00A72745"/>
    <w:rsid w:val="00A76EFC"/>
    <w:rsid w:val="00A77162"/>
    <w:rsid w:val="00A8206B"/>
    <w:rsid w:val="00A84670"/>
    <w:rsid w:val="00A873A1"/>
    <w:rsid w:val="00A875EE"/>
    <w:rsid w:val="00A91010"/>
    <w:rsid w:val="00A95046"/>
    <w:rsid w:val="00A97F29"/>
    <w:rsid w:val="00AA2F7A"/>
    <w:rsid w:val="00AA702E"/>
    <w:rsid w:val="00AA7936"/>
    <w:rsid w:val="00AB0964"/>
    <w:rsid w:val="00AB5011"/>
    <w:rsid w:val="00AC6928"/>
    <w:rsid w:val="00AC7368"/>
    <w:rsid w:val="00AD0930"/>
    <w:rsid w:val="00AD16B9"/>
    <w:rsid w:val="00AE2172"/>
    <w:rsid w:val="00AE377D"/>
    <w:rsid w:val="00AE3B2C"/>
    <w:rsid w:val="00AF0EBA"/>
    <w:rsid w:val="00AF7564"/>
    <w:rsid w:val="00B00D2F"/>
    <w:rsid w:val="00B02C8A"/>
    <w:rsid w:val="00B17FBD"/>
    <w:rsid w:val="00B22FAC"/>
    <w:rsid w:val="00B315A6"/>
    <w:rsid w:val="00B31813"/>
    <w:rsid w:val="00B33365"/>
    <w:rsid w:val="00B42D82"/>
    <w:rsid w:val="00B43A19"/>
    <w:rsid w:val="00B544A4"/>
    <w:rsid w:val="00B575F2"/>
    <w:rsid w:val="00B57B36"/>
    <w:rsid w:val="00B57E6F"/>
    <w:rsid w:val="00B658A4"/>
    <w:rsid w:val="00B70B8D"/>
    <w:rsid w:val="00B72D65"/>
    <w:rsid w:val="00B81959"/>
    <w:rsid w:val="00B8686D"/>
    <w:rsid w:val="00B93F69"/>
    <w:rsid w:val="00B95EB2"/>
    <w:rsid w:val="00BA3FD7"/>
    <w:rsid w:val="00BB1693"/>
    <w:rsid w:val="00BB1DDC"/>
    <w:rsid w:val="00BB3070"/>
    <w:rsid w:val="00BC0C75"/>
    <w:rsid w:val="00BC2276"/>
    <w:rsid w:val="00BC30C9"/>
    <w:rsid w:val="00BC3112"/>
    <w:rsid w:val="00BC5326"/>
    <w:rsid w:val="00BC5445"/>
    <w:rsid w:val="00BD077D"/>
    <w:rsid w:val="00BD2A01"/>
    <w:rsid w:val="00BE209D"/>
    <w:rsid w:val="00BE3E58"/>
    <w:rsid w:val="00BE63B6"/>
    <w:rsid w:val="00C01616"/>
    <w:rsid w:val="00C0162B"/>
    <w:rsid w:val="00C068ED"/>
    <w:rsid w:val="00C07F60"/>
    <w:rsid w:val="00C20221"/>
    <w:rsid w:val="00C2098A"/>
    <w:rsid w:val="00C22E0C"/>
    <w:rsid w:val="00C25C66"/>
    <w:rsid w:val="00C34179"/>
    <w:rsid w:val="00C345B1"/>
    <w:rsid w:val="00C40142"/>
    <w:rsid w:val="00C40C90"/>
    <w:rsid w:val="00C41D94"/>
    <w:rsid w:val="00C52C3C"/>
    <w:rsid w:val="00C55CB8"/>
    <w:rsid w:val="00C55E06"/>
    <w:rsid w:val="00C57182"/>
    <w:rsid w:val="00C57863"/>
    <w:rsid w:val="00C629E0"/>
    <w:rsid w:val="00C63CA2"/>
    <w:rsid w:val="00C640AF"/>
    <w:rsid w:val="00C640D8"/>
    <w:rsid w:val="00C655FD"/>
    <w:rsid w:val="00C75407"/>
    <w:rsid w:val="00C870A8"/>
    <w:rsid w:val="00C914E0"/>
    <w:rsid w:val="00C93473"/>
    <w:rsid w:val="00C94434"/>
    <w:rsid w:val="00C97CC0"/>
    <w:rsid w:val="00CA0D75"/>
    <w:rsid w:val="00CA1C95"/>
    <w:rsid w:val="00CA33E3"/>
    <w:rsid w:val="00CA5A9C"/>
    <w:rsid w:val="00CB6D7E"/>
    <w:rsid w:val="00CC0481"/>
    <w:rsid w:val="00CC1E7B"/>
    <w:rsid w:val="00CC4C20"/>
    <w:rsid w:val="00CD2F58"/>
    <w:rsid w:val="00CD3517"/>
    <w:rsid w:val="00CD461B"/>
    <w:rsid w:val="00CD5B37"/>
    <w:rsid w:val="00CD5FE2"/>
    <w:rsid w:val="00CD74C2"/>
    <w:rsid w:val="00CD7694"/>
    <w:rsid w:val="00CD7921"/>
    <w:rsid w:val="00CE7C68"/>
    <w:rsid w:val="00CF6BE4"/>
    <w:rsid w:val="00D02B4C"/>
    <w:rsid w:val="00D040C4"/>
    <w:rsid w:val="00D147C8"/>
    <w:rsid w:val="00D1690A"/>
    <w:rsid w:val="00D20AD1"/>
    <w:rsid w:val="00D325BA"/>
    <w:rsid w:val="00D45E85"/>
    <w:rsid w:val="00D46B7E"/>
    <w:rsid w:val="00D46CE9"/>
    <w:rsid w:val="00D53980"/>
    <w:rsid w:val="00D57C84"/>
    <w:rsid w:val="00D6057D"/>
    <w:rsid w:val="00D619FB"/>
    <w:rsid w:val="00D71640"/>
    <w:rsid w:val="00D836C5"/>
    <w:rsid w:val="00D83E90"/>
    <w:rsid w:val="00D84576"/>
    <w:rsid w:val="00D846CF"/>
    <w:rsid w:val="00D84CA4"/>
    <w:rsid w:val="00D86B76"/>
    <w:rsid w:val="00D94C76"/>
    <w:rsid w:val="00DA111F"/>
    <w:rsid w:val="00DA1399"/>
    <w:rsid w:val="00DA24C6"/>
    <w:rsid w:val="00DA4D7B"/>
    <w:rsid w:val="00DB164C"/>
    <w:rsid w:val="00DB4D1F"/>
    <w:rsid w:val="00DD271C"/>
    <w:rsid w:val="00DD3793"/>
    <w:rsid w:val="00DD3BBF"/>
    <w:rsid w:val="00DE1334"/>
    <w:rsid w:val="00DE264A"/>
    <w:rsid w:val="00DF5072"/>
    <w:rsid w:val="00E02D18"/>
    <w:rsid w:val="00E0383C"/>
    <w:rsid w:val="00E041E7"/>
    <w:rsid w:val="00E07066"/>
    <w:rsid w:val="00E10142"/>
    <w:rsid w:val="00E107B2"/>
    <w:rsid w:val="00E12E28"/>
    <w:rsid w:val="00E20384"/>
    <w:rsid w:val="00E23CA1"/>
    <w:rsid w:val="00E24D4B"/>
    <w:rsid w:val="00E409A8"/>
    <w:rsid w:val="00E449E9"/>
    <w:rsid w:val="00E50936"/>
    <w:rsid w:val="00E50C12"/>
    <w:rsid w:val="00E51054"/>
    <w:rsid w:val="00E54D82"/>
    <w:rsid w:val="00E56458"/>
    <w:rsid w:val="00E56977"/>
    <w:rsid w:val="00E65B91"/>
    <w:rsid w:val="00E7209D"/>
    <w:rsid w:val="00E72EAD"/>
    <w:rsid w:val="00E77223"/>
    <w:rsid w:val="00E8514C"/>
    <w:rsid w:val="00E8528B"/>
    <w:rsid w:val="00E85B94"/>
    <w:rsid w:val="00E978D0"/>
    <w:rsid w:val="00EA4613"/>
    <w:rsid w:val="00EA7F91"/>
    <w:rsid w:val="00EB1523"/>
    <w:rsid w:val="00EB17A0"/>
    <w:rsid w:val="00EB2781"/>
    <w:rsid w:val="00EB477A"/>
    <w:rsid w:val="00EC0E49"/>
    <w:rsid w:val="00EC101F"/>
    <w:rsid w:val="00EC1D9F"/>
    <w:rsid w:val="00EE0131"/>
    <w:rsid w:val="00EE17B0"/>
    <w:rsid w:val="00EE224D"/>
    <w:rsid w:val="00EF06D9"/>
    <w:rsid w:val="00EF2469"/>
    <w:rsid w:val="00F06CCF"/>
    <w:rsid w:val="00F1038F"/>
    <w:rsid w:val="00F13212"/>
    <w:rsid w:val="00F17283"/>
    <w:rsid w:val="00F224E8"/>
    <w:rsid w:val="00F30C64"/>
    <w:rsid w:val="00F32BA2"/>
    <w:rsid w:val="00F32CDB"/>
    <w:rsid w:val="00F565FE"/>
    <w:rsid w:val="00F6308E"/>
    <w:rsid w:val="00F63A70"/>
    <w:rsid w:val="00F63D8C"/>
    <w:rsid w:val="00F7534E"/>
    <w:rsid w:val="00F80B31"/>
    <w:rsid w:val="00F80BD6"/>
    <w:rsid w:val="00FA1802"/>
    <w:rsid w:val="00FA21D0"/>
    <w:rsid w:val="00FA34E0"/>
    <w:rsid w:val="00FA382C"/>
    <w:rsid w:val="00FA5F5F"/>
    <w:rsid w:val="00FB730C"/>
    <w:rsid w:val="00FC2695"/>
    <w:rsid w:val="00FC3E03"/>
    <w:rsid w:val="00FC3FC1"/>
    <w:rsid w:val="00FD0D2B"/>
    <w:rsid w:val="00FE70DB"/>
    <w:rsid w:val="00FF4B4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37154F"/>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qFormat/>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DA111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A111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nhideWhenUsed/>
    <w:rsid w:val="004577FE"/>
    <w:rPr>
      <w:sz w:val="16"/>
      <w:szCs w:val="16"/>
    </w:rPr>
  </w:style>
  <w:style w:type="paragraph" w:styleId="Testofumetto">
    <w:name w:val="Balloon Text"/>
    <w:basedOn w:val="Normale"/>
    <w:link w:val="TestofumettoCarattere"/>
    <w:uiPriority w:val="99"/>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nhideWhenUsed/>
    <w:rsid w:val="0003148D"/>
    <w:pPr>
      <w:spacing w:after="120"/>
    </w:pPr>
  </w:style>
  <w:style w:type="character" w:customStyle="1" w:styleId="CorpotestoCarattere">
    <w:name w:val="Corpo testo Carattere"/>
    <w:basedOn w:val="Carpredefinitoparagrafo"/>
    <w:link w:val="Corpotesto"/>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nhideWhenUsed/>
    <w:rsid w:val="0003148D"/>
    <w:pPr>
      <w:spacing w:line="240" w:lineRule="auto"/>
    </w:pPr>
  </w:style>
  <w:style w:type="character" w:customStyle="1" w:styleId="TestocommentoCarattere">
    <w:name w:val="Testo commento Carattere"/>
    <w:basedOn w:val="Carpredefinitoparagrafo"/>
    <w:link w:val="Testocommento"/>
    <w:rsid w:val="0003148D"/>
    <w:rPr>
      <w:sz w:val="20"/>
      <w:szCs w:val="20"/>
    </w:rPr>
  </w:style>
  <w:style w:type="paragraph" w:styleId="Soggettocommento">
    <w:name w:val="annotation subject"/>
    <w:basedOn w:val="Testocommento"/>
    <w:next w:val="Testocommento"/>
    <w:link w:val="SoggettocommentoCarattere"/>
    <w:unhideWhenUsed/>
    <w:rsid w:val="0003148D"/>
    <w:rPr>
      <w:b/>
      <w:bCs/>
    </w:rPr>
  </w:style>
  <w:style w:type="character" w:customStyle="1" w:styleId="SoggettocommentoCarattere">
    <w:name w:val="Soggetto commento Carattere"/>
    <w:basedOn w:val="TestocommentoCarattere"/>
    <w:link w:val="Soggettocommento"/>
    <w:rsid w:val="0003148D"/>
    <w:rPr>
      <w:b/>
      <w:bCs/>
      <w:sz w:val="20"/>
      <w:szCs w:val="20"/>
    </w:rPr>
  </w:style>
  <w:style w:type="paragraph" w:styleId="Sommario1">
    <w:name w:val="toc 1"/>
    <w:basedOn w:val="Normale"/>
    <w:next w:val="Normale"/>
    <w:autoRedefine/>
    <w:uiPriority w:val="39"/>
    <w:unhideWhenUsed/>
    <w:rsid w:val="0003148D"/>
    <w:pPr>
      <w:spacing w:after="100"/>
    </w:pPr>
  </w:style>
  <w:style w:type="paragraph" w:styleId="Sommario2">
    <w:name w:val="toc 2"/>
    <w:basedOn w:val="Normale"/>
    <w:next w:val="Normale"/>
    <w:autoRedefine/>
    <w:uiPriority w:val="39"/>
    <w:unhideWhenUsed/>
    <w:rsid w:val="0003148D"/>
    <w:pPr>
      <w:spacing w:after="100"/>
      <w:ind w:left="220"/>
    </w:pPr>
  </w:style>
  <w:style w:type="paragraph" w:styleId="Sommario3">
    <w:name w:val="toc 3"/>
    <w:basedOn w:val="Normale"/>
    <w:next w:val="Normale"/>
    <w:autoRedefine/>
    <w:uiPriority w:val="39"/>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semiHidden/>
    <w:rsid w:val="0003148D"/>
    <w:rPr>
      <w:sz w:val="20"/>
      <w:szCs w:val="20"/>
    </w:rPr>
  </w:style>
  <w:style w:type="paragraph" w:styleId="Testonotadichiusura">
    <w:name w:val="endnote text"/>
    <w:basedOn w:val="Normale"/>
    <w:link w:val="TestonotadichiusuraCarattere"/>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2"/>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3"/>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4"/>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paragraph" w:customStyle="1" w:styleId="MDPI11articletype">
    <w:name w:val="MDPI_1.1_article_type"/>
    <w:next w:val="Normale"/>
    <w:qFormat/>
    <w:rsid w:val="00760EA3"/>
    <w:pPr>
      <w:adjustRightInd w:val="0"/>
      <w:snapToGrid w:val="0"/>
      <w:spacing w:before="240" w:after="0" w:line="240" w:lineRule="auto"/>
    </w:pPr>
    <w:rPr>
      <w:rFonts w:ascii="Palatino Linotype" w:eastAsia="Times New Roman" w:hAnsi="Palatino Linotype" w:cs="Times New Roman"/>
      <w:i/>
      <w:snapToGrid w:val="0"/>
      <w:color w:val="000000"/>
      <w:sz w:val="20"/>
      <w:lang w:val="en-US" w:eastAsia="de-DE" w:bidi="en-US"/>
    </w:rPr>
  </w:style>
  <w:style w:type="paragraph" w:customStyle="1" w:styleId="MDPI12title">
    <w:name w:val="MDPI_1.2_title"/>
    <w:next w:val="Normale"/>
    <w:qFormat/>
    <w:rsid w:val="00760EA3"/>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next w:val="Normale"/>
    <w:qFormat/>
    <w:rsid w:val="00760EA3"/>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14history">
    <w:name w:val="MDPI_1.4_history"/>
    <w:basedOn w:val="Normale"/>
    <w:next w:val="Normale"/>
    <w:qFormat/>
    <w:rsid w:val="00760EA3"/>
    <w:pPr>
      <w:tabs>
        <w:tab w:val="clear" w:pos="7100"/>
      </w:tabs>
      <w:adjustRightInd w:val="0"/>
      <w:snapToGrid w:val="0"/>
      <w:spacing w:line="240" w:lineRule="atLeast"/>
      <w:ind w:right="113"/>
      <w:jc w:val="left"/>
    </w:pPr>
    <w:rPr>
      <w:rFonts w:ascii="Palatino Linotype" w:hAnsi="Palatino Linotype"/>
      <w:color w:val="000000"/>
      <w:sz w:val="14"/>
      <w:lang w:val="en-US" w:eastAsia="de-DE" w:bidi="en-US"/>
    </w:rPr>
  </w:style>
  <w:style w:type="paragraph" w:customStyle="1" w:styleId="MDPI16affiliation">
    <w:name w:val="MDPI_1.6_affiliation"/>
    <w:qFormat/>
    <w:rsid w:val="00760EA3"/>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17abstract">
    <w:name w:val="MDPI_1.7_abstract"/>
    <w:next w:val="Normale"/>
    <w:qFormat/>
    <w:rsid w:val="00760EA3"/>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 w:type="paragraph" w:customStyle="1" w:styleId="MDPI18keywords">
    <w:name w:val="MDPI_1.8_keywords"/>
    <w:next w:val="Normale"/>
    <w:qFormat/>
    <w:rsid w:val="00760EA3"/>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val="en-US" w:eastAsia="de-DE" w:bidi="en-US"/>
    </w:rPr>
  </w:style>
  <w:style w:type="paragraph" w:customStyle="1" w:styleId="MDPI19line">
    <w:name w:val="MDPI_1.9_line"/>
    <w:qFormat/>
    <w:rsid w:val="00760EA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 w:val="20"/>
      <w:szCs w:val="24"/>
      <w:lang w:val="en-US" w:eastAsia="de-DE" w:bidi="en-US"/>
    </w:rPr>
  </w:style>
  <w:style w:type="table" w:customStyle="1" w:styleId="Mdeck5tablebodythreelines">
    <w:name w:val="M_deck_5_table_body_three_lines"/>
    <w:basedOn w:val="Tabellanormale"/>
    <w:uiPriority w:val="99"/>
    <w:rsid w:val="00760EA3"/>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headerjournallogo">
    <w:name w:val="MDPI_header_journal_logo"/>
    <w:qFormat/>
    <w:rsid w:val="00760EA3"/>
    <w:pPr>
      <w:adjustRightInd w:val="0"/>
      <w:snapToGrid w:val="0"/>
      <w:spacing w:after="0" w:line="260" w:lineRule="atLeast"/>
      <w:jc w:val="both"/>
    </w:pPr>
    <w:rPr>
      <w:rFonts w:ascii="Palatino Linotype" w:eastAsia="Times New Roman" w:hAnsi="Palatino Linotype" w:cs="Times New Roman"/>
      <w:i/>
      <w:color w:val="000000"/>
      <w:sz w:val="24"/>
      <w:lang w:val="en-US" w:eastAsia="de-CH"/>
    </w:rPr>
  </w:style>
  <w:style w:type="paragraph" w:customStyle="1" w:styleId="MDPI32textnoindent">
    <w:name w:val="MDPI_3.2_text_no_indent"/>
    <w:basedOn w:val="MDPI31text"/>
    <w:qFormat/>
    <w:rsid w:val="00760EA3"/>
    <w:pPr>
      <w:ind w:firstLine="0"/>
    </w:pPr>
  </w:style>
  <w:style w:type="paragraph" w:customStyle="1" w:styleId="MDPI31text">
    <w:name w:val="MDPI_3.1_text"/>
    <w:qFormat/>
    <w:rsid w:val="00760EA3"/>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3textspaceafter">
    <w:name w:val="MDPI_3.3_text_space_after"/>
    <w:qFormat/>
    <w:rsid w:val="00760EA3"/>
    <w:pPr>
      <w:adjustRightInd w:val="0"/>
      <w:snapToGrid w:val="0"/>
      <w:spacing w:after="24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34textspacebefore">
    <w:name w:val="MDPI_3.4_text_space_before"/>
    <w:qFormat/>
    <w:rsid w:val="00760EA3"/>
    <w:pPr>
      <w:adjustRightInd w:val="0"/>
      <w:snapToGrid w:val="0"/>
      <w:spacing w:before="240"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35textbeforelist">
    <w:name w:val="MDPI_3.5_text_before_list"/>
    <w:qFormat/>
    <w:rsid w:val="00760EA3"/>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6textafterlist">
    <w:name w:val="MDPI_3.6_text_after_list"/>
    <w:qFormat/>
    <w:rsid w:val="00760EA3"/>
    <w:pPr>
      <w:adjustRightInd w:val="0"/>
      <w:snapToGrid w:val="0"/>
      <w:spacing w:before="120"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37itemize">
    <w:name w:val="MDPI_3.7_itemize"/>
    <w:qFormat/>
    <w:rsid w:val="00760EA3"/>
    <w:pPr>
      <w:numPr>
        <w:numId w:val="20"/>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8bullet">
    <w:name w:val="MDPI_3.8_bullet"/>
    <w:qFormat/>
    <w:rsid w:val="00760EA3"/>
    <w:pPr>
      <w:numPr>
        <w:numId w:val="18"/>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9equation">
    <w:name w:val="MDPI_3.9_equation"/>
    <w:qFormat/>
    <w:rsid w:val="00760EA3"/>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MDPI3aequationnumber">
    <w:name w:val="MDPI_3.a_equation_number"/>
    <w:qFormat/>
    <w:rsid w:val="00760EA3"/>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 w:type="paragraph" w:customStyle="1" w:styleId="MDPI41tablecaption">
    <w:name w:val="MDPI_4.1_table_caption"/>
    <w:qFormat/>
    <w:rsid w:val="00760EA3"/>
    <w:pPr>
      <w:adjustRightInd w:val="0"/>
      <w:snapToGrid w:val="0"/>
      <w:spacing w:before="240" w:after="120" w:line="228" w:lineRule="auto"/>
      <w:ind w:left="2608"/>
      <w:jc w:val="both"/>
    </w:pPr>
    <w:rPr>
      <w:rFonts w:ascii="Palatino Linotype" w:eastAsia="Times New Roman" w:hAnsi="Palatino Linotype" w:cs="Cordia New"/>
      <w:color w:val="000000"/>
      <w:sz w:val="18"/>
      <w:lang w:val="en-US" w:eastAsia="de-DE" w:bidi="en-US"/>
    </w:rPr>
  </w:style>
  <w:style w:type="paragraph" w:customStyle="1" w:styleId="MDPI42tablebody">
    <w:name w:val="MDPI_4.2_table_body"/>
    <w:qFormat/>
    <w:rsid w:val="00760EA3"/>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MDPI31text"/>
    <w:qFormat/>
    <w:rsid w:val="00760EA3"/>
    <w:pPr>
      <w:adjustRightInd w:val="0"/>
      <w:snapToGrid w:val="0"/>
      <w:spacing w:after="0" w:line="228" w:lineRule="auto"/>
      <w:ind w:left="2608"/>
      <w:jc w:val="both"/>
    </w:pPr>
    <w:rPr>
      <w:rFonts w:ascii="Palatino Linotype" w:eastAsia="Times New Roman" w:hAnsi="Palatino Linotype" w:cs="Cordia New"/>
      <w:color w:val="000000"/>
      <w:sz w:val="18"/>
      <w:lang w:val="en-US" w:eastAsia="de-DE" w:bidi="en-US"/>
    </w:rPr>
  </w:style>
  <w:style w:type="paragraph" w:customStyle="1" w:styleId="MDPI51figurecaption">
    <w:name w:val="MDPI_5.1_figure_caption"/>
    <w:qFormat/>
    <w:rsid w:val="00760EA3"/>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760EA3"/>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81theorem">
    <w:name w:val="MDPI_8.1_theorem"/>
    <w:qFormat/>
    <w:rsid w:val="00760EA3"/>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val="en-US" w:eastAsia="de-DE" w:bidi="en-US"/>
    </w:rPr>
  </w:style>
  <w:style w:type="paragraph" w:customStyle="1" w:styleId="MDPI82proof">
    <w:name w:val="MDPI_8.2_proof"/>
    <w:qFormat/>
    <w:rsid w:val="00760EA3"/>
    <w:pPr>
      <w:adjustRightInd w:val="0"/>
      <w:snapToGrid w:val="0"/>
      <w:spacing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footerfirstpage">
    <w:name w:val="MDPI_footer_firstpage"/>
    <w:qFormat/>
    <w:rsid w:val="00760EA3"/>
    <w:pPr>
      <w:tabs>
        <w:tab w:val="right" w:pos="8845"/>
      </w:tabs>
      <w:spacing w:after="0" w:line="160" w:lineRule="exact"/>
    </w:pPr>
    <w:rPr>
      <w:rFonts w:ascii="Palatino Linotype" w:eastAsia="Times New Roman" w:hAnsi="Palatino Linotype" w:cs="Times New Roman"/>
      <w:color w:val="000000"/>
      <w:sz w:val="16"/>
      <w:szCs w:val="20"/>
      <w:lang w:val="en-US" w:eastAsia="de-DE"/>
    </w:rPr>
  </w:style>
  <w:style w:type="paragraph" w:customStyle="1" w:styleId="MDPI23heading3">
    <w:name w:val="MDPI_2.3_heading3"/>
    <w:qFormat/>
    <w:rsid w:val="00760EA3"/>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val="en-US" w:eastAsia="de-DE" w:bidi="en-US"/>
    </w:rPr>
  </w:style>
  <w:style w:type="paragraph" w:customStyle="1" w:styleId="MDPI21heading1">
    <w:name w:val="MDPI_2.1_heading1"/>
    <w:qFormat/>
    <w:rsid w:val="00760EA3"/>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 w:type="paragraph" w:customStyle="1" w:styleId="MDPI22heading2">
    <w:name w:val="MDPI_2.2_heading2"/>
    <w:qFormat/>
    <w:rsid w:val="00760EA3"/>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MDPI71References">
    <w:name w:val="MDPI_7.1_References"/>
    <w:qFormat/>
    <w:rsid w:val="00760EA3"/>
    <w:pPr>
      <w:numPr>
        <w:numId w:val="21"/>
      </w:num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 w:type="character" w:styleId="Numeroriga">
    <w:name w:val="line number"/>
    <w:uiPriority w:val="99"/>
    <w:rsid w:val="00760EA3"/>
    <w:rPr>
      <w:rFonts w:ascii="Palatino Linotype" w:hAnsi="Palatino Linotype"/>
      <w:sz w:val="16"/>
    </w:rPr>
  </w:style>
  <w:style w:type="table" w:customStyle="1" w:styleId="MDPI41threelinetable">
    <w:name w:val="MDPI_4.1_three_line_table"/>
    <w:basedOn w:val="Tabellanormale"/>
    <w:uiPriority w:val="99"/>
    <w:rsid w:val="00760EA3"/>
    <w:pPr>
      <w:adjustRightInd w:val="0"/>
      <w:snapToGrid w:val="0"/>
      <w:spacing w:after="0" w:line="240" w:lineRule="auto"/>
      <w:jc w:val="center"/>
    </w:pPr>
    <w:rPr>
      <w:rFonts w:ascii="Palatino Linotype" w:eastAsia="SimSun" w:hAnsi="Palatino Linotype" w:cs="Times New Roman"/>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customStyle="1" w:styleId="Menzionenonrisolta1">
    <w:name w:val="Menzione non risolta1"/>
    <w:uiPriority w:val="99"/>
    <w:semiHidden/>
    <w:unhideWhenUsed/>
    <w:rsid w:val="00760EA3"/>
    <w:rPr>
      <w:color w:val="605E5C"/>
      <w:shd w:val="clear" w:color="auto" w:fill="E1DFDD"/>
    </w:rPr>
  </w:style>
  <w:style w:type="table" w:styleId="Tabellasemplice4">
    <w:name w:val="Plain Table 4"/>
    <w:basedOn w:val="Tabellanormale"/>
    <w:uiPriority w:val="44"/>
    <w:rsid w:val="00760EA3"/>
    <w:pPr>
      <w:spacing w:after="0" w:line="240" w:lineRule="auto"/>
    </w:pPr>
    <w:rPr>
      <w:rFonts w:ascii="Calibri" w:eastAsia="SimSun" w:hAnsi="Calibri" w:cs="Times New Roman"/>
      <w:sz w:val="20"/>
      <w:szCs w:val="20"/>
      <w:lang w:val="en-US"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760EA3"/>
    <w:pPr>
      <w:adjustRightInd w:val="0"/>
      <w:snapToGrid w:val="0"/>
      <w:spacing w:after="0" w:line="240" w:lineRule="atLeast"/>
      <w:ind w:right="113"/>
    </w:pPr>
    <w:rPr>
      <w:rFonts w:ascii="Palatino Linotype" w:eastAsia="SimSun" w:hAnsi="Palatino Linotype" w:cs="Cordia New"/>
      <w:sz w:val="14"/>
      <w:lang w:val="en-US" w:eastAsia="zh-CN"/>
    </w:rPr>
  </w:style>
  <w:style w:type="paragraph" w:customStyle="1" w:styleId="MDPI62BackMatter">
    <w:name w:val="MDPI_6.2_BackMatter"/>
    <w:qFormat/>
    <w:rsid w:val="00760EA3"/>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paragraph" w:customStyle="1" w:styleId="MDPI63Notes">
    <w:name w:val="MDPI_6.3_Notes"/>
    <w:qFormat/>
    <w:rsid w:val="00760EA3"/>
    <w:pPr>
      <w:adjustRightInd w:val="0"/>
      <w:snapToGrid w:val="0"/>
      <w:spacing w:after="120" w:line="240" w:lineRule="atLeast"/>
      <w:ind w:right="113"/>
    </w:pPr>
    <w:rPr>
      <w:rFonts w:ascii="Palatino Linotype" w:eastAsia="SimSun" w:hAnsi="Palatino Linotype" w:cs="Times New Roman"/>
      <w:snapToGrid w:val="0"/>
      <w:color w:val="000000"/>
      <w:sz w:val="14"/>
      <w:szCs w:val="20"/>
      <w:lang w:val="en-US" w:bidi="en-US"/>
    </w:rPr>
  </w:style>
  <w:style w:type="paragraph" w:customStyle="1" w:styleId="MDPI15academiceditor">
    <w:name w:val="MDPI_1.5_academic_editor"/>
    <w:qFormat/>
    <w:rsid w:val="00760EA3"/>
    <w:pPr>
      <w:adjustRightInd w:val="0"/>
      <w:snapToGrid w:val="0"/>
      <w:spacing w:before="120" w:after="0" w:line="240" w:lineRule="atLeast"/>
      <w:ind w:right="113"/>
    </w:pPr>
    <w:rPr>
      <w:rFonts w:ascii="Palatino Linotype" w:eastAsia="Times New Roman" w:hAnsi="Palatino Linotype" w:cs="Times New Roman"/>
      <w:color w:val="000000"/>
      <w:sz w:val="14"/>
      <w:lang w:val="en-US" w:eastAsia="de-DE" w:bidi="en-US"/>
    </w:rPr>
  </w:style>
  <w:style w:type="paragraph" w:customStyle="1" w:styleId="MDPI19classification">
    <w:name w:val="MDPI_1.9_classification"/>
    <w:qFormat/>
    <w:rsid w:val="00760EA3"/>
    <w:pPr>
      <w:spacing w:before="240" w:after="0" w:line="260" w:lineRule="atLeast"/>
      <w:ind w:left="113"/>
      <w:jc w:val="both"/>
    </w:pPr>
    <w:rPr>
      <w:rFonts w:ascii="Palatino Linotype" w:eastAsia="Times New Roman" w:hAnsi="Palatino Linotype" w:cs="Times New Roman"/>
      <w:b/>
      <w:color w:val="000000"/>
      <w:sz w:val="20"/>
      <w:lang w:val="en-US" w:eastAsia="de-DE" w:bidi="en-US"/>
    </w:rPr>
  </w:style>
  <w:style w:type="paragraph" w:customStyle="1" w:styleId="MDPI411onetablecaption">
    <w:name w:val="MDPI_4.1.1_one_table_caption"/>
    <w:qFormat/>
    <w:rsid w:val="00760EA3"/>
    <w:pPr>
      <w:adjustRightInd w:val="0"/>
      <w:snapToGrid w:val="0"/>
      <w:spacing w:before="240" w:after="120" w:line="260" w:lineRule="atLeast"/>
      <w:jc w:val="center"/>
    </w:pPr>
    <w:rPr>
      <w:rFonts w:ascii="Palatino Linotype" w:eastAsia="SimSun" w:hAnsi="Palatino Linotype" w:cs="Cordia New"/>
      <w:noProof/>
      <w:color w:val="000000"/>
      <w:sz w:val="18"/>
      <w:lang w:val="en-US" w:eastAsia="zh-CN" w:bidi="en-US"/>
    </w:rPr>
  </w:style>
  <w:style w:type="paragraph" w:customStyle="1" w:styleId="MDPI511onefigurecaption">
    <w:name w:val="MDPI_5.1.1_one_figure_caption"/>
    <w:qFormat/>
    <w:rsid w:val="00760EA3"/>
    <w:pPr>
      <w:adjustRightInd w:val="0"/>
      <w:snapToGrid w:val="0"/>
      <w:spacing w:before="240" w:after="120" w:line="260" w:lineRule="atLeast"/>
      <w:jc w:val="center"/>
    </w:pPr>
    <w:rPr>
      <w:rFonts w:ascii="Palatino Linotype" w:eastAsia="SimSun" w:hAnsi="Palatino Linotype" w:cs="Times New Roman"/>
      <w:noProof/>
      <w:color w:val="000000"/>
      <w:sz w:val="18"/>
      <w:szCs w:val="20"/>
      <w:lang w:val="en-US" w:eastAsia="zh-CN" w:bidi="en-US"/>
    </w:rPr>
  </w:style>
  <w:style w:type="paragraph" w:customStyle="1" w:styleId="MDPI72Copyright">
    <w:name w:val="MDPI_7.2_Copyright"/>
    <w:qFormat/>
    <w:rsid w:val="00760EA3"/>
    <w:pPr>
      <w:adjustRightInd w:val="0"/>
      <w:snapToGrid w:val="0"/>
      <w:spacing w:before="240" w:after="0" w:line="240" w:lineRule="atLeast"/>
      <w:ind w:right="113"/>
    </w:pPr>
    <w:rPr>
      <w:rFonts w:ascii="Palatino Linotype" w:eastAsia="Times New Roman" w:hAnsi="Palatino Linotype" w:cs="Times New Roman"/>
      <w:noProof/>
      <w:snapToGrid w:val="0"/>
      <w:color w:val="000000"/>
      <w:spacing w:val="-2"/>
      <w:sz w:val="14"/>
      <w:szCs w:val="20"/>
      <w:lang w:val="en-GB" w:eastAsia="en-GB"/>
    </w:rPr>
  </w:style>
  <w:style w:type="paragraph" w:customStyle="1" w:styleId="MDPI73CopyrightImage">
    <w:name w:val="MDPI_7.3_CopyrightImage"/>
    <w:rsid w:val="00760EA3"/>
    <w:pPr>
      <w:adjustRightInd w:val="0"/>
      <w:snapToGrid w:val="0"/>
      <w:spacing w:after="100" w:line="260" w:lineRule="atLeast"/>
      <w:jc w:val="right"/>
    </w:pPr>
    <w:rPr>
      <w:rFonts w:ascii="Palatino Linotype" w:eastAsia="Times New Roman" w:hAnsi="Palatino Linotype" w:cs="Times New Roman"/>
      <w:color w:val="000000"/>
      <w:sz w:val="20"/>
      <w:szCs w:val="20"/>
      <w:lang w:val="en-US" w:eastAsia="de-CH"/>
    </w:rPr>
  </w:style>
  <w:style w:type="paragraph" w:customStyle="1" w:styleId="MDPIequationFram">
    <w:name w:val="MDPI_equationFram"/>
    <w:qFormat/>
    <w:rsid w:val="00760EA3"/>
    <w:pPr>
      <w:adjustRightInd w:val="0"/>
      <w:snapToGrid w:val="0"/>
      <w:spacing w:before="120" w:after="120" w:line="240" w:lineRule="auto"/>
      <w:jc w:val="center"/>
    </w:pPr>
    <w:rPr>
      <w:rFonts w:ascii="Palatino Linotype" w:eastAsia="Times New Roman" w:hAnsi="Palatino Linotype" w:cs="Times New Roman"/>
      <w:snapToGrid w:val="0"/>
      <w:color w:val="000000"/>
      <w:sz w:val="20"/>
      <w:lang w:val="en-US" w:eastAsia="de-DE" w:bidi="en-US"/>
    </w:rPr>
  </w:style>
  <w:style w:type="paragraph" w:customStyle="1" w:styleId="MDPIfooter">
    <w:name w:val="MDPI_footer"/>
    <w:qFormat/>
    <w:rsid w:val="00760EA3"/>
    <w:pPr>
      <w:adjustRightInd w:val="0"/>
      <w:snapToGrid w:val="0"/>
      <w:spacing w:before="120" w:after="0" w:line="260" w:lineRule="atLeast"/>
      <w:jc w:val="center"/>
    </w:pPr>
    <w:rPr>
      <w:rFonts w:ascii="Palatino Linotype" w:eastAsia="Times New Roman" w:hAnsi="Palatino Linotype" w:cs="Times New Roman"/>
      <w:color w:val="000000"/>
      <w:sz w:val="20"/>
      <w:szCs w:val="20"/>
      <w:lang w:val="en-US" w:eastAsia="de-DE"/>
    </w:rPr>
  </w:style>
  <w:style w:type="paragraph" w:customStyle="1" w:styleId="MDPIheader">
    <w:name w:val="MDPI_header"/>
    <w:qFormat/>
    <w:rsid w:val="00760EA3"/>
    <w:pPr>
      <w:adjustRightInd w:val="0"/>
      <w:snapToGrid w:val="0"/>
      <w:spacing w:after="240" w:line="260" w:lineRule="atLeast"/>
      <w:jc w:val="both"/>
    </w:pPr>
    <w:rPr>
      <w:rFonts w:ascii="Palatino Linotype" w:eastAsia="Times New Roman" w:hAnsi="Palatino Linotype" w:cs="Times New Roman"/>
      <w:iCs/>
      <w:color w:val="000000"/>
      <w:sz w:val="16"/>
      <w:szCs w:val="20"/>
      <w:lang w:val="en-US" w:eastAsia="de-DE"/>
    </w:rPr>
  </w:style>
  <w:style w:type="paragraph" w:customStyle="1" w:styleId="MDPIheadercitation">
    <w:name w:val="MDPI_header_citation"/>
    <w:rsid w:val="00760EA3"/>
    <w:pPr>
      <w:spacing w:after="240" w:line="240" w:lineRule="auto"/>
    </w:pPr>
    <w:rPr>
      <w:rFonts w:ascii="Palatino Linotype" w:eastAsia="Times New Roman" w:hAnsi="Palatino Linotype" w:cs="Times New Roman"/>
      <w:snapToGrid w:val="0"/>
      <w:color w:val="000000"/>
      <w:sz w:val="18"/>
      <w:szCs w:val="20"/>
      <w:lang w:val="en-US" w:eastAsia="de-DE" w:bidi="en-US"/>
    </w:rPr>
  </w:style>
  <w:style w:type="paragraph" w:customStyle="1" w:styleId="MDPIheadermdpilogo">
    <w:name w:val="MDPI_header_mdpi_logo"/>
    <w:qFormat/>
    <w:rsid w:val="00760EA3"/>
    <w:pPr>
      <w:adjustRightInd w:val="0"/>
      <w:snapToGrid w:val="0"/>
      <w:spacing w:after="0" w:line="260" w:lineRule="atLeast"/>
      <w:jc w:val="right"/>
    </w:pPr>
    <w:rPr>
      <w:rFonts w:ascii="Palatino Linotype" w:eastAsia="Times New Roman" w:hAnsi="Palatino Linotype" w:cs="Times New Roman"/>
      <w:color w:val="000000"/>
      <w:sz w:val="24"/>
      <w:lang w:val="en-US" w:eastAsia="de-CH"/>
    </w:rPr>
  </w:style>
  <w:style w:type="table" w:customStyle="1" w:styleId="MDPITable">
    <w:name w:val="MDPI_Table"/>
    <w:basedOn w:val="Tabellanormale"/>
    <w:uiPriority w:val="99"/>
    <w:rsid w:val="00760EA3"/>
    <w:pPr>
      <w:spacing w:after="0" w:line="240" w:lineRule="auto"/>
    </w:pPr>
    <w:rPr>
      <w:rFonts w:ascii="Palatino Linotype" w:eastAsia="SimSun" w:hAnsi="Palatino Linotype" w:cs="Times New Roman"/>
      <w:color w:val="000000"/>
      <w:sz w:val="20"/>
      <w:szCs w:val="20"/>
      <w:lang w:val="en-CA"/>
    </w:rPr>
    <w:tblPr>
      <w:tblCellMar>
        <w:left w:w="0" w:type="dxa"/>
        <w:right w:w="0" w:type="dxa"/>
      </w:tblCellMar>
    </w:tblPr>
  </w:style>
  <w:style w:type="paragraph" w:customStyle="1" w:styleId="MDPItext">
    <w:name w:val="MDPI_text"/>
    <w:qFormat/>
    <w:rsid w:val="00760EA3"/>
    <w:pPr>
      <w:spacing w:after="0" w:line="260" w:lineRule="atLeast"/>
      <w:ind w:left="425" w:right="425" w:firstLine="284"/>
      <w:jc w:val="both"/>
    </w:pPr>
    <w:rPr>
      <w:rFonts w:ascii="Times New Roman" w:eastAsia="Times New Roman" w:hAnsi="Times New Roman" w:cs="Times New Roman"/>
      <w:noProof/>
      <w:snapToGrid w:val="0"/>
      <w:color w:val="000000"/>
      <w:lang w:val="en-US" w:eastAsia="de-DE" w:bidi="en-US"/>
    </w:rPr>
  </w:style>
  <w:style w:type="paragraph" w:customStyle="1" w:styleId="MDPItitle">
    <w:name w:val="MDPI_title"/>
    <w:qFormat/>
    <w:rsid w:val="00760EA3"/>
    <w:pPr>
      <w:adjustRightInd w:val="0"/>
      <w:snapToGrid w:val="0"/>
      <w:spacing w:after="240" w:line="260" w:lineRule="atLeast"/>
      <w:jc w:val="both"/>
    </w:pPr>
    <w:rPr>
      <w:rFonts w:ascii="Palatino Linotype" w:eastAsia="Times New Roman" w:hAnsi="Palatino Linotype" w:cs="Times New Roman"/>
      <w:b/>
      <w:snapToGrid w:val="0"/>
      <w:color w:val="000000"/>
      <w:sz w:val="36"/>
      <w:szCs w:val="20"/>
      <w:lang w:val="en-US" w:eastAsia="de-DE" w:bidi="en-US"/>
    </w:rPr>
  </w:style>
  <w:style w:type="character" w:customStyle="1" w:styleId="apple-converted-space">
    <w:name w:val="apple-converted-space"/>
    <w:rsid w:val="00760EA3"/>
  </w:style>
  <w:style w:type="character" w:styleId="Rimandonotadichiusura">
    <w:name w:val="endnote reference"/>
    <w:rsid w:val="00760EA3"/>
    <w:rPr>
      <w:vertAlign w:val="superscript"/>
    </w:rPr>
  </w:style>
  <w:style w:type="character" w:styleId="Collegamentovisitato">
    <w:name w:val="FollowedHyperlink"/>
    <w:rsid w:val="00760EA3"/>
    <w:rPr>
      <w:color w:val="954F72"/>
      <w:u w:val="single"/>
    </w:rPr>
  </w:style>
  <w:style w:type="paragraph" w:customStyle="1" w:styleId="MsoFootnoteText0">
    <w:name w:val="MsoFootnoteText"/>
    <w:basedOn w:val="NormaleWeb"/>
    <w:qFormat/>
    <w:rsid w:val="00760EA3"/>
    <w:pPr>
      <w:tabs>
        <w:tab w:val="clear" w:pos="7100"/>
      </w:tabs>
      <w:spacing w:line="260" w:lineRule="atLeast"/>
    </w:pPr>
    <w:rPr>
      <w:rFonts w:ascii="Times New Roman" w:eastAsia="SimSun" w:hAnsi="Times New Roman"/>
      <w:noProof/>
      <w:color w:val="000000"/>
      <w:sz w:val="20"/>
      <w:lang w:val="en-US" w:eastAsia="zh-CN"/>
    </w:rPr>
  </w:style>
  <w:style w:type="character" w:styleId="Numeropagina">
    <w:name w:val="page number"/>
    <w:rsid w:val="00760EA3"/>
  </w:style>
  <w:style w:type="character" w:styleId="Testosegnaposto">
    <w:name w:val="Placeholder Text"/>
    <w:uiPriority w:val="99"/>
    <w:semiHidden/>
    <w:rsid w:val="00760EA3"/>
    <w:rPr>
      <w:color w:val="808080"/>
    </w:rPr>
  </w:style>
  <w:style w:type="paragraph" w:customStyle="1" w:styleId="MDPI71FootNotes">
    <w:name w:val="MDPI_7.1_FootNotes"/>
    <w:qFormat/>
    <w:rsid w:val="00760EA3"/>
    <w:pPr>
      <w:numPr>
        <w:numId w:val="19"/>
      </w:numPr>
      <w:adjustRightInd w:val="0"/>
      <w:snapToGrid w:val="0"/>
      <w:spacing w:after="0" w:line="228" w:lineRule="auto"/>
    </w:pPr>
    <w:rPr>
      <w:rFonts w:ascii="Palatino Linotype" w:eastAsiaTheme="minorEastAsia" w:hAnsi="Palatino Linotype" w:cs="Times New Roman"/>
      <w:noProof/>
      <w:color w:val="000000"/>
      <w:sz w:val="18"/>
      <w:szCs w:val="20"/>
      <w:lang w:val="en-US" w:eastAsia="zh-CN"/>
    </w:rPr>
  </w:style>
  <w:style w:type="paragraph" w:customStyle="1" w:styleId="Titolo11">
    <w:name w:val="Titolo 11"/>
    <w:basedOn w:val="Normale"/>
    <w:next w:val="Normale"/>
    <w:uiPriority w:val="9"/>
    <w:qFormat/>
    <w:rsid w:val="00760EA3"/>
    <w:pPr>
      <w:keepNext/>
      <w:keepLines/>
      <w:tabs>
        <w:tab w:val="clear" w:pos="7100"/>
      </w:tabs>
      <w:spacing w:before="480" w:after="240" w:line="260" w:lineRule="atLeast"/>
      <w:ind w:left="432" w:hanging="432"/>
      <w:outlineLvl w:val="0"/>
    </w:pPr>
    <w:rPr>
      <w:rFonts w:ascii="Calibri Light" w:hAnsi="Calibri Light"/>
      <w:b/>
      <w:sz w:val="28"/>
      <w:szCs w:val="32"/>
      <w:lang w:val="en-US" w:eastAsia="zh-CN"/>
    </w:rPr>
  </w:style>
  <w:style w:type="paragraph" w:customStyle="1" w:styleId="Titolo31">
    <w:name w:val="Titolo 31"/>
    <w:basedOn w:val="Titolo1"/>
    <w:next w:val="Titolo1"/>
    <w:uiPriority w:val="9"/>
    <w:unhideWhenUsed/>
    <w:qFormat/>
    <w:rsid w:val="00760EA3"/>
    <w:pPr>
      <w:keepLines/>
      <w:numPr>
        <w:ilvl w:val="0"/>
        <w:numId w:val="0"/>
      </w:numPr>
      <w:tabs>
        <w:tab w:val="clear" w:pos="7100"/>
      </w:tabs>
      <w:suppressAutoHyphens w:val="0"/>
      <w:spacing w:before="40" w:after="0" w:line="260" w:lineRule="atLeast"/>
      <w:ind w:left="4768" w:hanging="360"/>
      <w:outlineLvl w:val="2"/>
    </w:pPr>
    <w:rPr>
      <w:rFonts w:asciiTheme="majorHAnsi" w:eastAsiaTheme="majorEastAsia" w:hAnsiTheme="majorHAnsi" w:cstheme="majorBidi"/>
      <w:noProof/>
      <w:color w:val="1F3763"/>
      <w:sz w:val="24"/>
      <w:szCs w:val="24"/>
      <w:lang w:val="en-US" w:eastAsia="zh-CN"/>
    </w:rPr>
  </w:style>
  <w:style w:type="paragraph" w:customStyle="1" w:styleId="Titolo41">
    <w:name w:val="Titolo 41"/>
    <w:basedOn w:val="Normale"/>
    <w:next w:val="Normale"/>
    <w:uiPriority w:val="9"/>
    <w:semiHidden/>
    <w:unhideWhenUsed/>
    <w:qFormat/>
    <w:rsid w:val="00760EA3"/>
    <w:pPr>
      <w:keepNext/>
      <w:keepLines/>
      <w:tabs>
        <w:tab w:val="clear" w:pos="7100"/>
      </w:tabs>
      <w:spacing w:before="40" w:line="260" w:lineRule="atLeast"/>
      <w:ind w:left="5488" w:hanging="360"/>
      <w:outlineLvl w:val="3"/>
    </w:pPr>
    <w:rPr>
      <w:rFonts w:ascii="Calibri Light" w:hAnsi="Calibri Light"/>
      <w:i/>
      <w:iCs/>
      <w:noProof/>
      <w:color w:val="2F5496"/>
      <w:sz w:val="20"/>
      <w:lang w:val="en-US" w:eastAsia="zh-CN"/>
    </w:rPr>
  </w:style>
  <w:style w:type="paragraph" w:customStyle="1" w:styleId="Titolo51">
    <w:name w:val="Titolo 51"/>
    <w:basedOn w:val="Normale"/>
    <w:next w:val="Normale"/>
    <w:uiPriority w:val="9"/>
    <w:semiHidden/>
    <w:unhideWhenUsed/>
    <w:qFormat/>
    <w:rsid w:val="00760EA3"/>
    <w:pPr>
      <w:keepNext/>
      <w:keepLines/>
      <w:tabs>
        <w:tab w:val="clear" w:pos="7100"/>
      </w:tabs>
      <w:spacing w:before="40" w:line="260" w:lineRule="atLeast"/>
      <w:ind w:left="6208" w:hanging="360"/>
      <w:outlineLvl w:val="4"/>
    </w:pPr>
    <w:rPr>
      <w:rFonts w:ascii="Calibri Light" w:hAnsi="Calibri Light"/>
      <w:noProof/>
      <w:color w:val="2F5496"/>
      <w:sz w:val="20"/>
      <w:lang w:val="en-US" w:eastAsia="zh-CN"/>
    </w:rPr>
  </w:style>
  <w:style w:type="paragraph" w:customStyle="1" w:styleId="Titolo61">
    <w:name w:val="Titolo 61"/>
    <w:basedOn w:val="Normale"/>
    <w:next w:val="Normale"/>
    <w:uiPriority w:val="9"/>
    <w:semiHidden/>
    <w:unhideWhenUsed/>
    <w:qFormat/>
    <w:rsid w:val="00760EA3"/>
    <w:pPr>
      <w:keepNext/>
      <w:keepLines/>
      <w:tabs>
        <w:tab w:val="clear" w:pos="7100"/>
      </w:tabs>
      <w:spacing w:before="40" w:line="260" w:lineRule="atLeast"/>
      <w:ind w:left="6928" w:hanging="360"/>
      <w:outlineLvl w:val="5"/>
    </w:pPr>
    <w:rPr>
      <w:rFonts w:ascii="Calibri Light" w:hAnsi="Calibri Light"/>
      <w:noProof/>
      <w:color w:val="1F3763"/>
      <w:sz w:val="20"/>
      <w:lang w:val="en-US" w:eastAsia="zh-CN"/>
    </w:rPr>
  </w:style>
  <w:style w:type="paragraph" w:customStyle="1" w:styleId="Titolo71">
    <w:name w:val="Titolo 71"/>
    <w:basedOn w:val="Normale"/>
    <w:next w:val="Normale"/>
    <w:uiPriority w:val="9"/>
    <w:semiHidden/>
    <w:unhideWhenUsed/>
    <w:qFormat/>
    <w:rsid w:val="00760EA3"/>
    <w:pPr>
      <w:keepNext/>
      <w:keepLines/>
      <w:tabs>
        <w:tab w:val="clear" w:pos="7100"/>
      </w:tabs>
      <w:spacing w:before="40" w:line="260" w:lineRule="atLeast"/>
      <w:ind w:left="7648" w:hanging="360"/>
      <w:outlineLvl w:val="6"/>
    </w:pPr>
    <w:rPr>
      <w:rFonts w:ascii="Calibri Light" w:hAnsi="Calibri Light"/>
      <w:i/>
      <w:iCs/>
      <w:noProof/>
      <w:color w:val="1F3763"/>
      <w:sz w:val="20"/>
      <w:lang w:val="en-US" w:eastAsia="zh-CN"/>
    </w:rPr>
  </w:style>
  <w:style w:type="paragraph" w:customStyle="1" w:styleId="Titolo81">
    <w:name w:val="Titolo 81"/>
    <w:basedOn w:val="Normale"/>
    <w:next w:val="Normale"/>
    <w:uiPriority w:val="9"/>
    <w:semiHidden/>
    <w:unhideWhenUsed/>
    <w:qFormat/>
    <w:rsid w:val="00760EA3"/>
    <w:pPr>
      <w:keepNext/>
      <w:keepLines/>
      <w:tabs>
        <w:tab w:val="clear" w:pos="7100"/>
      </w:tabs>
      <w:spacing w:before="40" w:line="260" w:lineRule="atLeast"/>
      <w:ind w:left="8368" w:hanging="360"/>
      <w:outlineLvl w:val="7"/>
    </w:pPr>
    <w:rPr>
      <w:rFonts w:ascii="Calibri Light" w:hAnsi="Calibri Light"/>
      <w:noProof/>
      <w:color w:val="272727"/>
      <w:sz w:val="21"/>
      <w:szCs w:val="21"/>
      <w:lang w:val="en-US" w:eastAsia="zh-CN"/>
    </w:rPr>
  </w:style>
  <w:style w:type="paragraph" w:customStyle="1" w:styleId="Titolo91">
    <w:name w:val="Titolo 91"/>
    <w:basedOn w:val="Normale"/>
    <w:next w:val="Normale"/>
    <w:uiPriority w:val="9"/>
    <w:semiHidden/>
    <w:unhideWhenUsed/>
    <w:qFormat/>
    <w:rsid w:val="00760EA3"/>
    <w:pPr>
      <w:keepNext/>
      <w:keepLines/>
      <w:tabs>
        <w:tab w:val="clear" w:pos="7100"/>
      </w:tabs>
      <w:spacing w:before="40" w:line="260" w:lineRule="atLeast"/>
      <w:ind w:left="9088" w:hanging="360"/>
      <w:outlineLvl w:val="8"/>
    </w:pPr>
    <w:rPr>
      <w:rFonts w:ascii="Calibri Light" w:hAnsi="Calibri Light"/>
      <w:i/>
      <w:iCs/>
      <w:noProof/>
      <w:color w:val="272727"/>
      <w:sz w:val="21"/>
      <w:szCs w:val="21"/>
      <w:lang w:val="en-US" w:eastAsia="zh-CN"/>
    </w:rPr>
  </w:style>
  <w:style w:type="numbering" w:customStyle="1" w:styleId="Nessunelenco1">
    <w:name w:val="Nessun elenco1"/>
    <w:next w:val="Nessunelenco"/>
    <w:uiPriority w:val="99"/>
    <w:semiHidden/>
    <w:unhideWhenUsed/>
    <w:rsid w:val="00760EA3"/>
  </w:style>
  <w:style w:type="table" w:customStyle="1" w:styleId="Grigliatabella1">
    <w:name w:val="Griglia tabella1"/>
    <w:basedOn w:val="Tabellanormale"/>
    <w:next w:val="Grigliatabella"/>
    <w:uiPriority w:val="59"/>
    <w:rsid w:val="00760EA3"/>
    <w:pPr>
      <w:spacing w:after="0" w:line="260" w:lineRule="atLeast"/>
      <w:jc w:val="both"/>
    </w:pPr>
    <w:rPr>
      <w:rFonts w:ascii="Palatino Linotype" w:eastAsia="SimSun" w:hAnsi="Palatino Linotype" w:cs="Times New Roman"/>
      <w:color w:val="000000"/>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1">
    <w:name w:val="Titolo 1 Carattere1"/>
    <w:basedOn w:val="Carpredefinitoparagrafo"/>
    <w:uiPriority w:val="9"/>
    <w:rsid w:val="00760EA3"/>
    <w:rPr>
      <w:rFonts w:asciiTheme="majorHAnsi" w:eastAsiaTheme="majorEastAsia" w:hAnsiTheme="majorHAnsi" w:cstheme="majorBidi"/>
      <w:noProof/>
      <w:color w:val="365F91" w:themeColor="accent1" w:themeShade="BF"/>
      <w:sz w:val="32"/>
      <w:szCs w:val="32"/>
    </w:rPr>
  </w:style>
  <w:style w:type="paragraph" w:styleId="Revisione">
    <w:name w:val="Revision"/>
    <w:hidden/>
    <w:uiPriority w:val="99"/>
    <w:semiHidden/>
    <w:rsid w:val="00760EA3"/>
    <w:pPr>
      <w:spacing w:after="0" w:line="240" w:lineRule="auto"/>
    </w:pPr>
    <w:rPr>
      <w:rFonts w:ascii="Calibri" w:eastAsia="Calibri" w:hAnsi="Calibri" w:cs="Times New Roman"/>
    </w:rPr>
  </w:style>
  <w:style w:type="character" w:customStyle="1" w:styleId="Menzionenonrisolta2">
    <w:name w:val="Menzione non risolta2"/>
    <w:basedOn w:val="Carpredefinitoparagrafo"/>
    <w:uiPriority w:val="99"/>
    <w:semiHidden/>
    <w:unhideWhenUsed/>
    <w:rsid w:val="00760EA3"/>
    <w:rPr>
      <w:color w:val="605E5C"/>
      <w:shd w:val="clear" w:color="auto" w:fill="E1DFDD"/>
    </w:rPr>
  </w:style>
  <w:style w:type="character" w:styleId="Rimandonotaapidipagina">
    <w:name w:val="footnote reference"/>
    <w:basedOn w:val="Carpredefinitoparagrafo"/>
    <w:uiPriority w:val="99"/>
    <w:semiHidden/>
    <w:unhideWhenUsed/>
    <w:rsid w:val="00760EA3"/>
    <w:rPr>
      <w:vertAlign w:val="superscript"/>
    </w:rPr>
  </w:style>
  <w:style w:type="paragraph" w:styleId="Nessunaspaziatura">
    <w:name w:val="No Spacing"/>
    <w:uiPriority w:val="1"/>
    <w:qFormat/>
    <w:rsid w:val="00760EA3"/>
    <w:pPr>
      <w:spacing w:after="0" w:line="360" w:lineRule="auto"/>
      <w:jc w:val="both"/>
    </w:pPr>
    <w:rPr>
      <w:rFonts w:ascii="Arial" w:eastAsia="Calibri" w:hAnsi="Arial" w:cs="Times New Roman"/>
    </w:rPr>
  </w:style>
  <w:style w:type="table" w:customStyle="1" w:styleId="Mdeck5tablebodythreelines1">
    <w:name w:val="M_deck_5_table_body_three_lines1"/>
    <w:basedOn w:val="Tabellanormale"/>
    <w:uiPriority w:val="99"/>
    <w:rsid w:val="00760EA3"/>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MDPI41threelinetable1">
    <w:name w:val="MDPI_4.1_three_line_table1"/>
    <w:basedOn w:val="Tabellanormale"/>
    <w:uiPriority w:val="99"/>
    <w:rsid w:val="00760EA3"/>
    <w:pPr>
      <w:adjustRightInd w:val="0"/>
      <w:snapToGrid w:val="0"/>
      <w:spacing w:after="0" w:line="240" w:lineRule="auto"/>
      <w:jc w:val="center"/>
    </w:pPr>
    <w:rPr>
      <w:rFonts w:ascii="Palatino Linotype" w:eastAsia="SimSun" w:hAnsi="Palatino Linotype" w:cs="Times New Roman"/>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table" w:customStyle="1" w:styleId="MDPITable1">
    <w:name w:val="MDPI_Table1"/>
    <w:basedOn w:val="Tabellanormale"/>
    <w:uiPriority w:val="99"/>
    <w:rsid w:val="00760EA3"/>
    <w:pPr>
      <w:spacing w:after="0" w:line="240" w:lineRule="auto"/>
    </w:pPr>
    <w:rPr>
      <w:rFonts w:ascii="Palatino Linotype" w:eastAsia="SimSun" w:hAnsi="Palatino Linotype" w:cs="Times New Roman"/>
      <w:color w:val="000000"/>
      <w:sz w:val="20"/>
      <w:szCs w:val="20"/>
      <w:lang w:val="en-CA"/>
    </w:rPr>
    <w:tblPr>
      <w:tblCellMar>
        <w:left w:w="0" w:type="dxa"/>
        <w:right w:w="0" w:type="dxa"/>
      </w:tblCellMar>
    </w:tblPr>
  </w:style>
  <w:style w:type="table" w:customStyle="1" w:styleId="Tabellasemplice41">
    <w:name w:val="Tabella semplice 41"/>
    <w:basedOn w:val="Tabellanormale"/>
    <w:next w:val="Tabellasemplice4"/>
    <w:uiPriority w:val="44"/>
    <w:rsid w:val="00760EA3"/>
    <w:pPr>
      <w:spacing w:after="0" w:line="240" w:lineRule="auto"/>
    </w:pPr>
    <w:rPr>
      <w:rFonts w:ascii="Calibri" w:eastAsia="SimSun" w:hAnsi="Calibri" w:cs="Times New Roman"/>
      <w:sz w:val="20"/>
      <w:szCs w:val="20"/>
      <w:lang w:val="en-US"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itolo3Carattere1">
    <w:name w:val="Titolo 3 Carattere1"/>
    <w:basedOn w:val="Carpredefinitoparagrafo"/>
    <w:uiPriority w:val="9"/>
    <w:semiHidden/>
    <w:rsid w:val="00760EA3"/>
    <w:rPr>
      <w:rFonts w:asciiTheme="majorHAnsi" w:eastAsiaTheme="majorEastAsia" w:hAnsiTheme="majorHAnsi" w:cstheme="majorBidi"/>
      <w:noProof/>
      <w:color w:val="243F60" w:themeColor="accent1" w:themeShade="7F"/>
      <w:sz w:val="24"/>
      <w:szCs w:val="24"/>
    </w:rPr>
  </w:style>
  <w:style w:type="character" w:customStyle="1" w:styleId="Titolo4Carattere1">
    <w:name w:val="Titolo 4 Carattere1"/>
    <w:basedOn w:val="Carpredefinitoparagrafo"/>
    <w:uiPriority w:val="9"/>
    <w:semiHidden/>
    <w:rsid w:val="00760EA3"/>
    <w:rPr>
      <w:rFonts w:asciiTheme="majorHAnsi" w:eastAsiaTheme="majorEastAsia" w:hAnsiTheme="majorHAnsi" w:cstheme="majorBidi"/>
      <w:i/>
      <w:iCs/>
      <w:noProof/>
      <w:color w:val="365F91" w:themeColor="accent1" w:themeShade="BF"/>
    </w:rPr>
  </w:style>
  <w:style w:type="character" w:customStyle="1" w:styleId="Titolo5Carattere1">
    <w:name w:val="Titolo 5 Carattere1"/>
    <w:basedOn w:val="Carpredefinitoparagrafo"/>
    <w:uiPriority w:val="9"/>
    <w:semiHidden/>
    <w:rsid w:val="00760EA3"/>
    <w:rPr>
      <w:rFonts w:asciiTheme="majorHAnsi" w:eastAsiaTheme="majorEastAsia" w:hAnsiTheme="majorHAnsi" w:cstheme="majorBidi"/>
      <w:noProof/>
      <w:color w:val="365F91" w:themeColor="accent1" w:themeShade="BF"/>
    </w:rPr>
  </w:style>
  <w:style w:type="character" w:customStyle="1" w:styleId="Titolo6Carattere1">
    <w:name w:val="Titolo 6 Carattere1"/>
    <w:basedOn w:val="Carpredefinitoparagrafo"/>
    <w:uiPriority w:val="9"/>
    <w:semiHidden/>
    <w:rsid w:val="00760EA3"/>
    <w:rPr>
      <w:rFonts w:asciiTheme="majorHAnsi" w:eastAsiaTheme="majorEastAsia" w:hAnsiTheme="majorHAnsi" w:cstheme="majorBidi"/>
      <w:noProof/>
      <w:color w:val="243F60" w:themeColor="accent1" w:themeShade="7F"/>
    </w:rPr>
  </w:style>
  <w:style w:type="character" w:customStyle="1" w:styleId="Titolo7Carattere1">
    <w:name w:val="Titolo 7 Carattere1"/>
    <w:basedOn w:val="Carpredefinitoparagrafo"/>
    <w:uiPriority w:val="9"/>
    <w:semiHidden/>
    <w:rsid w:val="00760EA3"/>
    <w:rPr>
      <w:rFonts w:asciiTheme="majorHAnsi" w:eastAsiaTheme="majorEastAsia" w:hAnsiTheme="majorHAnsi" w:cstheme="majorBidi"/>
      <w:i/>
      <w:iCs/>
      <w:noProof/>
      <w:color w:val="243F60" w:themeColor="accent1" w:themeShade="7F"/>
    </w:rPr>
  </w:style>
  <w:style w:type="character" w:customStyle="1" w:styleId="Titolo8Carattere1">
    <w:name w:val="Titolo 8 Carattere1"/>
    <w:basedOn w:val="Carpredefinitoparagrafo"/>
    <w:uiPriority w:val="9"/>
    <w:semiHidden/>
    <w:rsid w:val="00760EA3"/>
    <w:rPr>
      <w:rFonts w:asciiTheme="majorHAnsi" w:eastAsiaTheme="majorEastAsia" w:hAnsiTheme="majorHAnsi" w:cstheme="majorBidi"/>
      <w:noProof/>
      <w:color w:val="272727" w:themeColor="text1" w:themeTint="D8"/>
      <w:sz w:val="21"/>
      <w:szCs w:val="21"/>
    </w:rPr>
  </w:style>
  <w:style w:type="character" w:customStyle="1" w:styleId="Titolo9Carattere1">
    <w:name w:val="Titolo 9 Carattere1"/>
    <w:basedOn w:val="Carpredefinitoparagrafo"/>
    <w:uiPriority w:val="9"/>
    <w:semiHidden/>
    <w:rsid w:val="00760EA3"/>
    <w:rPr>
      <w:rFonts w:asciiTheme="majorHAnsi" w:eastAsiaTheme="majorEastAsia" w:hAnsiTheme="majorHAnsi" w:cstheme="majorBidi"/>
      <w:i/>
      <w:iCs/>
      <w:noProof/>
      <w:color w:val="272727" w:themeColor="text1" w:themeTint="D8"/>
      <w:sz w:val="21"/>
      <w:szCs w:val="21"/>
    </w:rPr>
  </w:style>
  <w:style w:type="character" w:styleId="Menzionenonrisolta">
    <w:name w:val="Unresolved Mention"/>
    <w:basedOn w:val="Carpredefinitoparagrafo"/>
    <w:uiPriority w:val="99"/>
    <w:semiHidden/>
    <w:unhideWhenUsed/>
    <w:rsid w:val="00760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494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6094090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1768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sartore\Documents\Politecnico\universit&#224;\laurea%20magistrale\tesi\excel\pompa%20siringa\prove%20pompa%20siringa%20(version%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sartore\Documents\Politecnico\universit&#224;\laurea%20magistrale\tesi\excel\pompa%20siringa\confronto%20toluen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sartore\Documents\Politecnico\universit&#224;\laurea%20magistrale\tesi\excel\pompa%20siringa\confronto%20toluen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5 ppm</c:v>
          </c:tx>
          <c:spPr>
            <a:solidFill>
              <a:schemeClr val="accent1"/>
            </a:solidFill>
            <a:ln>
              <a:noFill/>
            </a:ln>
            <a:effectLst/>
          </c:spPr>
          <c:invertIfNegative val="0"/>
          <c:cat>
            <c:strRef>
              <c:f>CET!$B$3:$B$16</c:f>
              <c:strCache>
                <c:ptCount val="14"/>
                <c:pt idx="0">
                  <c:v>n-Butanol</c:v>
                </c:pt>
                <c:pt idx="1">
                  <c:v>Cyclohexane</c:v>
                </c:pt>
                <c:pt idx="2">
                  <c:v>Cyclopentane</c:v>
                </c:pt>
                <c:pt idx="3">
                  <c:v>Decane</c:v>
                </c:pt>
                <c:pt idx="4">
                  <c:v>Dodecane</c:v>
                </c:pt>
                <c:pt idx="5">
                  <c:v>Dimethyl disulphide</c:v>
                </c:pt>
                <c:pt idx="6">
                  <c:v>Dimethyl sulphide</c:v>
                </c:pt>
                <c:pt idx="7">
                  <c:v>Heptane</c:v>
                </c:pt>
                <c:pt idx="8">
                  <c:v>Hexane</c:v>
                </c:pt>
                <c:pt idx="9">
                  <c:v>Isooctane</c:v>
                </c:pt>
                <c:pt idx="10">
                  <c:v>Methyl ethyl ketone</c:v>
                </c:pt>
                <c:pt idx="11">
                  <c:v>2-methylpentane</c:v>
                </c:pt>
                <c:pt idx="12">
                  <c:v>Pentane</c:v>
                </c:pt>
                <c:pt idx="13">
                  <c:v>Toluene</c:v>
                </c:pt>
              </c:strCache>
            </c:strRef>
          </c:cat>
          <c:val>
            <c:numRef>
              <c:f>CET!$C$3:$C$16</c:f>
              <c:numCache>
                <c:formatCode>0.0</c:formatCode>
                <c:ptCount val="14"/>
                <c:pt idx="0">
                  <c:v>1.47</c:v>
                </c:pt>
                <c:pt idx="1">
                  <c:v>1.45</c:v>
                </c:pt>
                <c:pt idx="2">
                  <c:v>1.0666666666666667</c:v>
                </c:pt>
                <c:pt idx="3">
                  <c:v>1.0899999999999999</c:v>
                </c:pt>
                <c:pt idx="4">
                  <c:v>0.45333333333333342</c:v>
                </c:pt>
                <c:pt idx="5">
                  <c:v>0.93</c:v>
                </c:pt>
                <c:pt idx="6">
                  <c:v>3.17</c:v>
                </c:pt>
                <c:pt idx="7">
                  <c:v>1.56</c:v>
                </c:pt>
                <c:pt idx="8">
                  <c:v>1.56</c:v>
                </c:pt>
                <c:pt idx="9">
                  <c:v>1.33</c:v>
                </c:pt>
                <c:pt idx="10">
                  <c:v>1.4600000000000002</c:v>
                </c:pt>
                <c:pt idx="11">
                  <c:v>1.32</c:v>
                </c:pt>
                <c:pt idx="12">
                  <c:v>3.04</c:v>
                </c:pt>
                <c:pt idx="13">
                  <c:v>1.2866666666666666</c:v>
                </c:pt>
              </c:numCache>
            </c:numRef>
          </c:val>
          <c:extLst>
            <c:ext xmlns:c16="http://schemas.microsoft.com/office/drawing/2014/chart" uri="{C3380CC4-5D6E-409C-BE32-E72D297353CC}">
              <c16:uniqueId val="{00000000-69E3-4084-ACA6-B85B44B19C65}"/>
            </c:ext>
          </c:extLst>
        </c:ser>
        <c:ser>
          <c:idx val="1"/>
          <c:order val="1"/>
          <c:tx>
            <c:v>10 ppm</c:v>
          </c:tx>
          <c:spPr>
            <a:solidFill>
              <a:schemeClr val="accent2"/>
            </a:solidFill>
            <a:ln>
              <a:noFill/>
            </a:ln>
            <a:effectLst/>
          </c:spPr>
          <c:invertIfNegative val="0"/>
          <c:cat>
            <c:strRef>
              <c:f>CET!$B$3:$B$16</c:f>
              <c:strCache>
                <c:ptCount val="14"/>
                <c:pt idx="0">
                  <c:v>n-Butanol</c:v>
                </c:pt>
                <c:pt idx="1">
                  <c:v>Cyclohexane</c:v>
                </c:pt>
                <c:pt idx="2">
                  <c:v>Cyclopentane</c:v>
                </c:pt>
                <c:pt idx="3">
                  <c:v>Decane</c:v>
                </c:pt>
                <c:pt idx="4">
                  <c:v>Dodecane</c:v>
                </c:pt>
                <c:pt idx="5">
                  <c:v>Dimethyl disulphide</c:v>
                </c:pt>
                <c:pt idx="6">
                  <c:v>Dimethyl sulphide</c:v>
                </c:pt>
                <c:pt idx="7">
                  <c:v>Heptane</c:v>
                </c:pt>
                <c:pt idx="8">
                  <c:v>Hexane</c:v>
                </c:pt>
                <c:pt idx="9">
                  <c:v>Isooctane</c:v>
                </c:pt>
                <c:pt idx="10">
                  <c:v>Methyl ethyl ketone</c:v>
                </c:pt>
                <c:pt idx="11">
                  <c:v>2-methylpentane</c:v>
                </c:pt>
                <c:pt idx="12">
                  <c:v>Pentane</c:v>
                </c:pt>
                <c:pt idx="13">
                  <c:v>Toluene</c:v>
                </c:pt>
              </c:strCache>
            </c:strRef>
          </c:cat>
          <c:val>
            <c:numRef>
              <c:f>CET!$D$3:$D$16</c:f>
              <c:numCache>
                <c:formatCode>0.0</c:formatCode>
                <c:ptCount val="14"/>
                <c:pt idx="0">
                  <c:v>1.4550000000000001</c:v>
                </c:pt>
                <c:pt idx="1">
                  <c:v>1.355</c:v>
                </c:pt>
                <c:pt idx="2">
                  <c:v>1.0766666666666667</c:v>
                </c:pt>
                <c:pt idx="3">
                  <c:v>1.1149999999999998</c:v>
                </c:pt>
                <c:pt idx="4">
                  <c:v>0.30333333333333334</c:v>
                </c:pt>
                <c:pt idx="5">
                  <c:v>1</c:v>
                </c:pt>
                <c:pt idx="6">
                  <c:v>2.2649999999999997</c:v>
                </c:pt>
                <c:pt idx="7">
                  <c:v>1.3599999999999999</c:v>
                </c:pt>
                <c:pt idx="8">
                  <c:v>1.3066666666666669</c:v>
                </c:pt>
                <c:pt idx="9">
                  <c:v>1.2050000000000001</c:v>
                </c:pt>
                <c:pt idx="10">
                  <c:v>1.4449999999999998</c:v>
                </c:pt>
                <c:pt idx="11">
                  <c:v>1.1199999999999997</c:v>
                </c:pt>
                <c:pt idx="12">
                  <c:v>2.14</c:v>
                </c:pt>
                <c:pt idx="13">
                  <c:v>1.1499999999999999</c:v>
                </c:pt>
              </c:numCache>
            </c:numRef>
          </c:val>
          <c:extLst>
            <c:ext xmlns:c16="http://schemas.microsoft.com/office/drawing/2014/chart" uri="{C3380CC4-5D6E-409C-BE32-E72D297353CC}">
              <c16:uniqueId val="{00000001-69E3-4084-ACA6-B85B44B19C65}"/>
            </c:ext>
          </c:extLst>
        </c:ser>
        <c:ser>
          <c:idx val="2"/>
          <c:order val="2"/>
          <c:tx>
            <c:v>15 ppm</c:v>
          </c:tx>
          <c:spPr>
            <a:solidFill>
              <a:schemeClr val="accent3"/>
            </a:solidFill>
            <a:ln>
              <a:noFill/>
            </a:ln>
            <a:effectLst/>
          </c:spPr>
          <c:invertIfNegative val="0"/>
          <c:cat>
            <c:strRef>
              <c:f>CET!$B$3:$B$16</c:f>
              <c:strCache>
                <c:ptCount val="14"/>
                <c:pt idx="0">
                  <c:v>n-Butanol</c:v>
                </c:pt>
                <c:pt idx="1">
                  <c:v>Cyclohexane</c:v>
                </c:pt>
                <c:pt idx="2">
                  <c:v>Cyclopentane</c:v>
                </c:pt>
                <c:pt idx="3">
                  <c:v>Decane</c:v>
                </c:pt>
                <c:pt idx="4">
                  <c:v>Dodecane</c:v>
                </c:pt>
                <c:pt idx="5">
                  <c:v>Dimethyl disulphide</c:v>
                </c:pt>
                <c:pt idx="6">
                  <c:v>Dimethyl sulphide</c:v>
                </c:pt>
                <c:pt idx="7">
                  <c:v>Heptane</c:v>
                </c:pt>
                <c:pt idx="8">
                  <c:v>Hexane</c:v>
                </c:pt>
                <c:pt idx="9">
                  <c:v>Isooctane</c:v>
                </c:pt>
                <c:pt idx="10">
                  <c:v>Methyl ethyl ketone</c:v>
                </c:pt>
                <c:pt idx="11">
                  <c:v>2-methylpentane</c:v>
                </c:pt>
                <c:pt idx="12">
                  <c:v>Pentane</c:v>
                </c:pt>
                <c:pt idx="13">
                  <c:v>Toluene</c:v>
                </c:pt>
              </c:strCache>
            </c:strRef>
          </c:cat>
          <c:val>
            <c:numRef>
              <c:f>CET!$E$3:$E$16</c:f>
              <c:numCache>
                <c:formatCode>0.0</c:formatCode>
                <c:ptCount val="14"/>
                <c:pt idx="0">
                  <c:v>1.3244444444444445</c:v>
                </c:pt>
                <c:pt idx="1">
                  <c:v>1.2166666666666666</c:v>
                </c:pt>
                <c:pt idx="2">
                  <c:v>0.98888888888888893</c:v>
                </c:pt>
                <c:pt idx="3">
                  <c:v>1.0766666666666667</c:v>
                </c:pt>
                <c:pt idx="4">
                  <c:v>0.19777777777777777</c:v>
                </c:pt>
                <c:pt idx="5">
                  <c:v>0.93333333333333335</c:v>
                </c:pt>
                <c:pt idx="6">
                  <c:v>1.8166666666666667</c:v>
                </c:pt>
                <c:pt idx="7">
                  <c:v>1.2366666666666668</c:v>
                </c:pt>
                <c:pt idx="8">
                  <c:v>1.2133333333333334</c:v>
                </c:pt>
                <c:pt idx="9">
                  <c:v>1.1666666666666667</c:v>
                </c:pt>
                <c:pt idx="10">
                  <c:v>1.2933333333333332</c:v>
                </c:pt>
                <c:pt idx="11">
                  <c:v>1.1266666666666667</c:v>
                </c:pt>
                <c:pt idx="12">
                  <c:v>1.68</c:v>
                </c:pt>
                <c:pt idx="13">
                  <c:v>1.0644444444444445</c:v>
                </c:pt>
              </c:numCache>
            </c:numRef>
          </c:val>
          <c:extLst>
            <c:ext xmlns:c16="http://schemas.microsoft.com/office/drawing/2014/chart" uri="{C3380CC4-5D6E-409C-BE32-E72D297353CC}">
              <c16:uniqueId val="{00000002-69E3-4084-ACA6-B85B44B19C65}"/>
            </c:ext>
          </c:extLst>
        </c:ser>
        <c:dLbls>
          <c:showLegendKey val="0"/>
          <c:showVal val="0"/>
          <c:showCatName val="0"/>
          <c:showSerName val="0"/>
          <c:showPercent val="0"/>
          <c:showBubbleSize val="0"/>
        </c:dLbls>
        <c:gapWidth val="219"/>
        <c:overlap val="-27"/>
        <c:axId val="953071016"/>
        <c:axId val="953071672"/>
        <c:extLst>
          <c:ext xmlns:c15="http://schemas.microsoft.com/office/drawing/2012/chart" uri="{02D57815-91ED-43cb-92C2-25804820EDAC}">
            <c15:filteredBarSeries>
              <c15:ser>
                <c:idx val="3"/>
                <c:order val="3"/>
                <c:spPr>
                  <a:solidFill>
                    <a:schemeClr val="accent4"/>
                  </a:solidFill>
                  <a:ln>
                    <a:noFill/>
                  </a:ln>
                  <a:effectLst/>
                </c:spPr>
                <c:invertIfNegative val="0"/>
                <c:cat>
                  <c:strRef>
                    <c:extLst>
                      <c:ext uri="{02D57815-91ED-43cb-92C2-25804820EDAC}">
                        <c15:formulaRef>
                          <c15:sqref>CET!$B$3:$B$16</c15:sqref>
                        </c15:formulaRef>
                      </c:ext>
                    </c:extLst>
                    <c:strCache>
                      <c:ptCount val="14"/>
                      <c:pt idx="0">
                        <c:v>n-Butanol</c:v>
                      </c:pt>
                      <c:pt idx="1">
                        <c:v>Cyclohexane</c:v>
                      </c:pt>
                      <c:pt idx="2">
                        <c:v>Cyclopentane</c:v>
                      </c:pt>
                      <c:pt idx="3">
                        <c:v>Decane</c:v>
                      </c:pt>
                      <c:pt idx="4">
                        <c:v>Dodecane</c:v>
                      </c:pt>
                      <c:pt idx="5">
                        <c:v>Dimethyl disulphide</c:v>
                      </c:pt>
                      <c:pt idx="6">
                        <c:v>Dimethyl sulphide</c:v>
                      </c:pt>
                      <c:pt idx="7">
                        <c:v>Heptane</c:v>
                      </c:pt>
                      <c:pt idx="8">
                        <c:v>Hexane</c:v>
                      </c:pt>
                      <c:pt idx="9">
                        <c:v>Isooctane</c:v>
                      </c:pt>
                      <c:pt idx="10">
                        <c:v>Methyl ethyl ketone</c:v>
                      </c:pt>
                      <c:pt idx="11">
                        <c:v>2-methylpentane</c:v>
                      </c:pt>
                      <c:pt idx="12">
                        <c:v>Pentane</c:v>
                      </c:pt>
                      <c:pt idx="13">
                        <c:v>Toluene</c:v>
                      </c:pt>
                    </c:strCache>
                  </c:strRef>
                </c:cat>
                <c:val>
                  <c:numRef>
                    <c:extLst>
                      <c:ext uri="{02D57815-91ED-43cb-92C2-25804820EDAC}">
                        <c15:formulaRef>
                          <c15:sqref>CET!$F$3:$F$16</c15:sqref>
                        </c15:formulaRef>
                      </c:ext>
                    </c:extLst>
                    <c:numCache>
                      <c:formatCode>0.0</c:formatCode>
                      <c:ptCount val="14"/>
                      <c:pt idx="0">
                        <c:v>1.4164814814814815</c:v>
                      </c:pt>
                      <c:pt idx="1">
                        <c:v>1.3405555555555555</c:v>
                      </c:pt>
                      <c:pt idx="2">
                        <c:v>1.0440740740740742</c:v>
                      </c:pt>
                      <c:pt idx="3">
                        <c:v>1.0938888888888887</c:v>
                      </c:pt>
                      <c:pt idx="4">
                        <c:v>0.31814814814814824</c:v>
                      </c:pt>
                      <c:pt idx="5">
                        <c:v>0.95444444444444443</c:v>
                      </c:pt>
                      <c:pt idx="6">
                        <c:v>2.4172222222222222</c:v>
                      </c:pt>
                      <c:pt idx="7">
                        <c:v>1.3855555555555554</c:v>
                      </c:pt>
                      <c:pt idx="8">
                        <c:v>1.36</c:v>
                      </c:pt>
                      <c:pt idx="9">
                        <c:v>1.233888888888889</c:v>
                      </c:pt>
                      <c:pt idx="10">
                        <c:v>1.3994444444444445</c:v>
                      </c:pt>
                      <c:pt idx="11">
                        <c:v>1.1888888888888889</c:v>
                      </c:pt>
                      <c:pt idx="12">
                        <c:v>2.2866666666666666</c:v>
                      </c:pt>
                      <c:pt idx="13">
                        <c:v>1.1670370370370371</c:v>
                      </c:pt>
                    </c:numCache>
                  </c:numRef>
                </c:val>
                <c:extLst>
                  <c:ext xmlns:c16="http://schemas.microsoft.com/office/drawing/2014/chart" uri="{C3380CC4-5D6E-409C-BE32-E72D297353CC}">
                    <c16:uniqueId val="{00000003-69E3-4084-ACA6-B85B44B19C65}"/>
                  </c:ext>
                </c:extLst>
              </c15:ser>
            </c15:filteredBarSeries>
          </c:ext>
        </c:extLst>
      </c:barChart>
      <c:catAx>
        <c:axId val="953071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953071672"/>
        <c:crosses val="autoZero"/>
        <c:auto val="1"/>
        <c:lblAlgn val="ctr"/>
        <c:lblOffset val="100"/>
        <c:noMultiLvlLbl val="0"/>
      </c:catAx>
      <c:valAx>
        <c:axId val="953071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RV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9530710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COMPRESSED GAS CYLINDER</c:v>
          </c:tx>
          <c:spPr>
            <a:ln w="25400" cap="rnd">
              <a:noFill/>
              <a:round/>
            </a:ln>
            <a:effectLst/>
          </c:spPr>
          <c:marker>
            <c:symbol val="circle"/>
            <c:size val="5"/>
            <c:spPr>
              <a:solidFill>
                <a:srgbClr val="FFC000"/>
              </a:solidFill>
              <a:ln w="9525">
                <a:noFill/>
              </a:ln>
              <a:effectLst/>
            </c:spPr>
          </c:marker>
          <c:xVal>
            <c:numRef>
              <c:f>(Foglio1!$A$62,Foglio1!$A$66,Foglio1!$A$70)</c:f>
              <c:numCache>
                <c:formatCode>General</c:formatCode>
                <c:ptCount val="3"/>
                <c:pt idx="0">
                  <c:v>3</c:v>
                </c:pt>
                <c:pt idx="1">
                  <c:v>6</c:v>
                </c:pt>
                <c:pt idx="2">
                  <c:v>13</c:v>
                </c:pt>
              </c:numCache>
            </c:numRef>
          </c:xVal>
          <c:yVal>
            <c:numRef>
              <c:f>(Foglio1!$B$65,Foglio1!$B$69,Foglio1!$B$73)</c:f>
              <c:numCache>
                <c:formatCode>General</c:formatCode>
                <c:ptCount val="3"/>
                <c:pt idx="0">
                  <c:v>3.2999999999999994</c:v>
                </c:pt>
                <c:pt idx="1">
                  <c:v>6.9000000000000012</c:v>
                </c:pt>
                <c:pt idx="2">
                  <c:v>14.699999999999998</c:v>
                </c:pt>
              </c:numCache>
            </c:numRef>
          </c:yVal>
          <c:smooth val="0"/>
          <c:extLst>
            <c:ext xmlns:c16="http://schemas.microsoft.com/office/drawing/2014/chart" uri="{C3380CC4-5D6E-409C-BE32-E72D297353CC}">
              <c16:uniqueId val="{00000000-192E-4B15-9438-B069354D90D1}"/>
            </c:ext>
          </c:extLst>
        </c:ser>
        <c:ser>
          <c:idx val="1"/>
          <c:order val="1"/>
          <c:tx>
            <c:v>DYNAMIC INJECTION </c:v>
          </c:tx>
          <c:spPr>
            <a:ln w="19050" cap="rnd">
              <a:noFill/>
              <a:round/>
            </a:ln>
            <a:effectLst/>
          </c:spPr>
          <c:marker>
            <c:symbol val="circle"/>
            <c:size val="5"/>
            <c:spPr>
              <a:solidFill>
                <a:srgbClr val="0070C0"/>
              </a:solidFill>
              <a:ln w="9525">
                <a:noFill/>
              </a:ln>
              <a:effectLst/>
            </c:spPr>
          </c:marker>
          <c:xVal>
            <c:numRef>
              <c:f>(Foglio1!$A$62,Foglio1!$A$66,Foglio1!$A$70)</c:f>
              <c:numCache>
                <c:formatCode>General</c:formatCode>
                <c:ptCount val="3"/>
                <c:pt idx="0">
                  <c:v>3</c:v>
                </c:pt>
                <c:pt idx="1">
                  <c:v>6</c:v>
                </c:pt>
                <c:pt idx="2">
                  <c:v>13</c:v>
                </c:pt>
              </c:numCache>
            </c:numRef>
          </c:xVal>
          <c:yVal>
            <c:numRef>
              <c:f>(Foglio1!$C$65,Foglio1!$C$69,Foglio1!$C$73)</c:f>
              <c:numCache>
                <c:formatCode>General</c:formatCode>
                <c:ptCount val="3"/>
                <c:pt idx="0">
                  <c:v>3.6333333333333333</c:v>
                </c:pt>
                <c:pt idx="1">
                  <c:v>7.666666666666667</c:v>
                </c:pt>
                <c:pt idx="2">
                  <c:v>16.766666666666666</c:v>
                </c:pt>
              </c:numCache>
            </c:numRef>
          </c:yVal>
          <c:smooth val="0"/>
          <c:extLst>
            <c:ext xmlns:c16="http://schemas.microsoft.com/office/drawing/2014/chart" uri="{C3380CC4-5D6E-409C-BE32-E72D297353CC}">
              <c16:uniqueId val="{00000001-192E-4B15-9438-B069354D90D1}"/>
            </c:ext>
          </c:extLst>
        </c:ser>
        <c:ser>
          <c:idx val="2"/>
          <c:order val="2"/>
          <c:spPr>
            <a:ln w="25400" cap="rnd">
              <a:noFill/>
              <a:round/>
            </a:ln>
            <a:effectLst/>
          </c:spPr>
          <c:marker>
            <c:symbol val="none"/>
          </c:marker>
          <c:trendline>
            <c:spPr>
              <a:ln w="19050" cap="rnd">
                <a:solidFill>
                  <a:schemeClr val="tx1"/>
                </a:solidFill>
                <a:prstDash val="sysDot"/>
              </a:ln>
              <a:effectLst/>
            </c:spPr>
            <c:trendlineType val="linear"/>
            <c:forward val="3"/>
            <c:dispRSqr val="0"/>
            <c:dispEq val="0"/>
          </c:trendline>
          <c:xVal>
            <c:numRef>
              <c:f>Foglio1!$H$82:$H$83</c:f>
              <c:numCache>
                <c:formatCode>General</c:formatCode>
                <c:ptCount val="2"/>
                <c:pt idx="0">
                  <c:v>0</c:v>
                </c:pt>
                <c:pt idx="1">
                  <c:v>15</c:v>
                </c:pt>
              </c:numCache>
            </c:numRef>
          </c:xVal>
          <c:yVal>
            <c:numRef>
              <c:f>Foglio1!$H$82:$H$83</c:f>
              <c:numCache>
                <c:formatCode>General</c:formatCode>
                <c:ptCount val="2"/>
                <c:pt idx="0">
                  <c:v>0</c:v>
                </c:pt>
                <c:pt idx="1">
                  <c:v>15</c:v>
                </c:pt>
              </c:numCache>
            </c:numRef>
          </c:yVal>
          <c:smooth val="0"/>
          <c:extLst>
            <c:ext xmlns:c16="http://schemas.microsoft.com/office/drawing/2014/chart" uri="{C3380CC4-5D6E-409C-BE32-E72D297353CC}">
              <c16:uniqueId val="{00000003-192E-4B15-9438-B069354D90D1}"/>
            </c:ext>
          </c:extLst>
        </c:ser>
        <c:dLbls>
          <c:showLegendKey val="0"/>
          <c:showVal val="0"/>
          <c:showCatName val="0"/>
          <c:showSerName val="0"/>
          <c:showPercent val="0"/>
          <c:showBubbleSize val="0"/>
        </c:dLbls>
        <c:axId val="808545224"/>
        <c:axId val="808548504"/>
      </c:scatterChart>
      <c:valAx>
        <c:axId val="808545224"/>
        <c:scaling>
          <c:orientation val="minMax"/>
          <c:max val="18"/>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08548504"/>
        <c:crosses val="autoZero"/>
        <c:crossBetween val="midCat"/>
        <c:majorUnit val="1"/>
      </c:valAx>
      <c:valAx>
        <c:axId val="808548504"/>
        <c:scaling>
          <c:orientation val="minMax"/>
          <c:max val="18"/>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08545224"/>
        <c:crosses val="autoZero"/>
        <c:crossBetween val="midCat"/>
      </c:valAx>
      <c:spPr>
        <a:noFill/>
        <a:ln>
          <a:noFill/>
        </a:ln>
        <a:effectLst/>
      </c:spPr>
    </c:plotArea>
    <c:legend>
      <c:legendPos val="t"/>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886482939632541E-2"/>
          <c:y val="5.0984936268829661E-2"/>
          <c:w val="0.83913582677165355"/>
          <c:h val="0.84149122726982417"/>
        </c:manualLayout>
      </c:layout>
      <c:scatterChart>
        <c:scatterStyle val="lineMarker"/>
        <c:varyColors val="0"/>
        <c:ser>
          <c:idx val="0"/>
          <c:order val="0"/>
          <c:spPr>
            <a:ln w="12700" cap="rnd">
              <a:solidFill>
                <a:schemeClr val="tx1"/>
              </a:solidFill>
              <a:prstDash val="sysDot"/>
              <a:round/>
            </a:ln>
            <a:effectLst/>
          </c:spPr>
          <c:marker>
            <c:symbol val="none"/>
          </c:marker>
          <c:xVal>
            <c:numRef>
              <c:f>Foglio1!$A$84:$A$94</c:f>
              <c:numCache>
                <c:formatCode>General</c:formatCode>
                <c:ptCount val="11"/>
                <c:pt idx="0">
                  <c:v>0</c:v>
                </c:pt>
                <c:pt idx="1">
                  <c:v>0.1</c:v>
                </c:pt>
                <c:pt idx="2">
                  <c:v>0.2</c:v>
                </c:pt>
                <c:pt idx="3">
                  <c:v>0.30000000000000004</c:v>
                </c:pt>
                <c:pt idx="4">
                  <c:v>0.4</c:v>
                </c:pt>
                <c:pt idx="5">
                  <c:v>0.5</c:v>
                </c:pt>
                <c:pt idx="6">
                  <c:v>0.6</c:v>
                </c:pt>
                <c:pt idx="7">
                  <c:v>0.7</c:v>
                </c:pt>
                <c:pt idx="8">
                  <c:v>0.79999999999999993</c:v>
                </c:pt>
                <c:pt idx="9">
                  <c:v>0.89999999999999991</c:v>
                </c:pt>
                <c:pt idx="10">
                  <c:v>0.99999999999999989</c:v>
                </c:pt>
              </c:numCache>
            </c:numRef>
          </c:xVal>
          <c:yVal>
            <c:numRef>
              <c:f>Foglio1!$B$84:$B$94</c:f>
              <c:numCache>
                <c:formatCode>General</c:formatCode>
                <c:ptCount val="11"/>
                <c:pt idx="0">
                  <c:v>0</c:v>
                </c:pt>
                <c:pt idx="1">
                  <c:v>0.1</c:v>
                </c:pt>
                <c:pt idx="2">
                  <c:v>0.2</c:v>
                </c:pt>
                <c:pt idx="3">
                  <c:v>0.30000000000000004</c:v>
                </c:pt>
                <c:pt idx="4">
                  <c:v>0.4</c:v>
                </c:pt>
                <c:pt idx="5">
                  <c:v>0.5</c:v>
                </c:pt>
                <c:pt idx="6">
                  <c:v>0.6</c:v>
                </c:pt>
                <c:pt idx="7">
                  <c:v>0.7</c:v>
                </c:pt>
                <c:pt idx="8">
                  <c:v>0.79999999999999993</c:v>
                </c:pt>
                <c:pt idx="9">
                  <c:v>0.89999999999999991</c:v>
                </c:pt>
                <c:pt idx="10">
                  <c:v>0.99999999999999989</c:v>
                </c:pt>
              </c:numCache>
            </c:numRef>
          </c:yVal>
          <c:smooth val="0"/>
          <c:extLst>
            <c:ext xmlns:c16="http://schemas.microsoft.com/office/drawing/2014/chart" uri="{C3380CC4-5D6E-409C-BE32-E72D297353CC}">
              <c16:uniqueId val="{00000000-E46D-4DF1-9C04-309A9EE48C98}"/>
            </c:ext>
          </c:extLst>
        </c:ser>
        <c:ser>
          <c:idx val="1"/>
          <c:order val="1"/>
          <c:tx>
            <c:v>DYNAMIC INJECTION</c:v>
          </c:tx>
          <c:spPr>
            <a:ln w="25400" cap="rnd">
              <a:noFill/>
              <a:round/>
            </a:ln>
            <a:effectLst/>
          </c:spPr>
          <c:marker>
            <c:symbol val="circle"/>
            <c:size val="5"/>
            <c:spPr>
              <a:solidFill>
                <a:srgbClr val="0070C0"/>
              </a:solidFill>
              <a:ln w="9525">
                <a:noFill/>
              </a:ln>
              <a:effectLst/>
            </c:spPr>
          </c:marker>
          <c:xVal>
            <c:numLit>
              <c:formatCode>General</c:formatCode>
              <c:ptCount val="3"/>
              <c:pt idx="0">
                <c:v>0.2</c:v>
              </c:pt>
              <c:pt idx="1">
                <c:v>0.4</c:v>
              </c:pt>
              <c:pt idx="2">
                <c:v>0.8</c:v>
              </c:pt>
            </c:numLit>
          </c:xVal>
          <c:yVal>
            <c:numRef>
              <c:f>(Foglio1!$E$77,Foglio1!$E$78,Foglio1!$E$79)</c:f>
              <c:numCache>
                <c:formatCode>General</c:formatCode>
                <c:ptCount val="3"/>
                <c:pt idx="0">
                  <c:v>0.18</c:v>
                </c:pt>
                <c:pt idx="1">
                  <c:v>0.3</c:v>
                </c:pt>
                <c:pt idx="2">
                  <c:v>0.73</c:v>
                </c:pt>
              </c:numCache>
            </c:numRef>
          </c:yVal>
          <c:smooth val="0"/>
          <c:extLst>
            <c:ext xmlns:c16="http://schemas.microsoft.com/office/drawing/2014/chart" uri="{C3380CC4-5D6E-409C-BE32-E72D297353CC}">
              <c16:uniqueId val="{00000001-E46D-4DF1-9C04-309A9EE48C98}"/>
            </c:ext>
          </c:extLst>
        </c:ser>
        <c:ser>
          <c:idx val="2"/>
          <c:order val="2"/>
          <c:tx>
            <c:v>COMPRESSED GAS CYLINDER</c:v>
          </c:tx>
          <c:spPr>
            <a:ln w="25400" cap="rnd">
              <a:noFill/>
              <a:round/>
            </a:ln>
            <a:effectLst/>
          </c:spPr>
          <c:marker>
            <c:symbol val="circle"/>
            <c:size val="6"/>
            <c:spPr>
              <a:solidFill>
                <a:srgbClr val="FFC000"/>
              </a:solidFill>
              <a:ln w="9525">
                <a:noFill/>
              </a:ln>
              <a:effectLst/>
            </c:spPr>
          </c:marker>
          <c:xVal>
            <c:numLit>
              <c:formatCode>General</c:formatCode>
              <c:ptCount val="3"/>
              <c:pt idx="0">
                <c:v>0.2</c:v>
              </c:pt>
              <c:pt idx="1">
                <c:v>0.4</c:v>
              </c:pt>
              <c:pt idx="2">
                <c:v>0.8</c:v>
              </c:pt>
            </c:numLit>
          </c:xVal>
          <c:yVal>
            <c:numRef>
              <c:f>Foglio1!$F$77:$F$79</c:f>
              <c:numCache>
                <c:formatCode>General</c:formatCode>
                <c:ptCount val="3"/>
                <c:pt idx="0">
                  <c:v>0.2</c:v>
                </c:pt>
                <c:pt idx="1">
                  <c:v>0.4</c:v>
                </c:pt>
                <c:pt idx="2">
                  <c:v>0.76</c:v>
                </c:pt>
              </c:numCache>
            </c:numRef>
          </c:yVal>
          <c:smooth val="0"/>
          <c:extLst>
            <c:ext xmlns:c16="http://schemas.microsoft.com/office/drawing/2014/chart" uri="{C3380CC4-5D6E-409C-BE32-E72D297353CC}">
              <c16:uniqueId val="{00000002-E46D-4DF1-9C04-309A9EE48C98}"/>
            </c:ext>
          </c:extLst>
        </c:ser>
        <c:dLbls>
          <c:showLegendKey val="0"/>
          <c:showVal val="0"/>
          <c:showCatName val="0"/>
          <c:showSerName val="0"/>
          <c:showPercent val="0"/>
          <c:showBubbleSize val="0"/>
        </c:dLbls>
        <c:axId val="1559420432"/>
        <c:axId val="1559409200"/>
      </c:scatterChart>
      <c:valAx>
        <c:axId val="1559420432"/>
        <c:scaling>
          <c:orientation val="minMax"/>
          <c:max val="1"/>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59409200"/>
        <c:crosses val="autoZero"/>
        <c:crossBetween val="midCat"/>
      </c:valAx>
      <c:valAx>
        <c:axId val="1559409200"/>
        <c:scaling>
          <c:orientation val="minMax"/>
          <c:max val="1"/>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59420432"/>
        <c:crosses val="autoZero"/>
        <c:crossBetween val="midCat"/>
        <c:majorUnit val="0.2"/>
      </c:valAx>
      <c:spPr>
        <a:noFill/>
        <a:ln>
          <a:noFill/>
        </a:ln>
        <a:effectLst/>
      </c:spPr>
    </c:plotArea>
    <c:legend>
      <c:legendPos val="t"/>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7016</Words>
  <Characters>39995</Characters>
  <Application>Microsoft Office Word</Application>
  <DocSecurity>0</DocSecurity>
  <Lines>333</Lines>
  <Paragraphs>93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46918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Lorenzo Sartore</cp:lastModifiedBy>
  <cp:revision>2</cp:revision>
  <cp:lastPrinted>2015-05-12T18:31:00Z</cp:lastPrinted>
  <dcterms:created xsi:type="dcterms:W3CDTF">2022-06-09T13:49:00Z</dcterms:created>
  <dcterms:modified xsi:type="dcterms:W3CDTF">2022-06-09T13:49:00Z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b645fa72-1584-3fbc-abda-41459bdde4fc</vt:lpwstr>
  </property>
  <property fmtid="{D5CDD505-2E9C-101B-9397-08002B2CF9AE}" pid="6" name="Mendeley Citation Style_1">
    <vt:lpwstr>http://csl.mendeley.com/styles/541098131/CET</vt:lpwstr>
  </property>
  <property fmtid="{D5CDD505-2E9C-101B-9397-08002B2CF9AE}" pid="7" name="Mendeley Recent Style Id 0_1">
    <vt:lpwstr>http://www.zotero.org/styles/american-sociological-association</vt:lpwstr>
  </property>
  <property fmtid="{D5CDD505-2E9C-101B-9397-08002B2CF9AE}" pid="8" name="Mendeley Recent Style Name 0_1">
    <vt:lpwstr>American Sociological Association 6th edition</vt:lpwstr>
  </property>
  <property fmtid="{D5CDD505-2E9C-101B-9397-08002B2CF9AE}" pid="9" name="Mendeley Recent Style Id 1_1">
    <vt:lpwstr>http://www.zotero.org/styles/analytical-sciences</vt:lpwstr>
  </property>
  <property fmtid="{D5CDD505-2E9C-101B-9397-08002B2CF9AE}" pid="10" name="Mendeley Recent Style Name 1_1">
    <vt:lpwstr>Analytical Sciences</vt:lpwstr>
  </property>
  <property fmtid="{D5CDD505-2E9C-101B-9397-08002B2CF9AE}" pid="11" name="Mendeley Recent Style Id 2_1">
    <vt:lpwstr>http://csl.mendeley.com/styles/541098131/CET</vt:lpwstr>
  </property>
  <property fmtid="{D5CDD505-2E9C-101B-9397-08002B2CF9AE}" pid="12" name="Mendeley Recent Style Name 2_1">
    <vt:lpwstr>CET - Elisa Polvara</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http://www.zotero.org/styles/chicago-fullnote-bibliography-short-title-subsequent</vt:lpwstr>
  </property>
  <property fmtid="{D5CDD505-2E9C-101B-9397-08002B2CF9AE}" pid="16" name="Mendeley Recent Style Name 4_1">
    <vt:lpwstr>Chicago Manual of Style 17th edition (full note, short title subsequent)</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11th edition - Harvard</vt:lpwstr>
  </property>
  <property fmtid="{D5CDD505-2E9C-101B-9397-08002B2CF9AE}" pid="19" name="Mendeley Recent Style Id 6_1">
    <vt:lpwstr>http://www.zotero.org/styles/elsevier-harvard</vt:lpwstr>
  </property>
  <property fmtid="{D5CDD505-2E9C-101B-9397-08002B2CF9AE}" pid="20" name="Mendeley Recent Style Name 6_1">
    <vt:lpwstr>Elsevier - Harvard (with titles)</vt:lpwstr>
  </property>
  <property fmtid="{D5CDD505-2E9C-101B-9397-08002B2CF9AE}" pid="21" name="Mendeley Recent Style Id 7_1">
    <vt:lpwstr>http://www.zotero.org/styles/ieee</vt:lpwstr>
  </property>
  <property fmtid="{D5CDD505-2E9C-101B-9397-08002B2CF9AE}" pid="22" name="Mendeley Recent Style Name 7_1">
    <vt:lpwstr>IEEE</vt:lpwstr>
  </property>
  <property fmtid="{D5CDD505-2E9C-101B-9397-08002B2CF9AE}" pid="23" name="Mendeley Recent Style Id 8_1">
    <vt:lpwstr>http://www.zotero.org/styles/reviews-of-modern-physics-with-titles</vt:lpwstr>
  </property>
  <property fmtid="{D5CDD505-2E9C-101B-9397-08002B2CF9AE}" pid="24" name="Mendeley Recent Style Name 8_1">
    <vt:lpwstr>Reviews of Modern Physics (with titles)</vt:lpwstr>
  </property>
  <property fmtid="{D5CDD505-2E9C-101B-9397-08002B2CF9AE}" pid="25" name="Mendeley Recent Style Id 9_1">
    <vt:lpwstr>http://www.zotero.org/styles/springer-basic-brackets</vt:lpwstr>
  </property>
  <property fmtid="{D5CDD505-2E9C-101B-9397-08002B2CF9AE}" pid="26" name="Mendeley Recent Style Name 9_1">
    <vt:lpwstr>Springer - Basic (numeric, brackets)</vt:lpwstr>
  </property>
</Properties>
</file>