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5570670"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323C5F">
              <w:rPr>
                <w:rFonts w:cs="Arial"/>
                <w:b/>
                <w:bCs/>
                <w:i/>
                <w:iCs/>
                <w:color w:val="000066"/>
                <w:sz w:val="22"/>
                <w:szCs w:val="22"/>
                <w:lang w:eastAsia="it-IT"/>
              </w:rPr>
              <w:t>5</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EC8AE73"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323C5F">
              <w:rPr>
                <w:sz w:val="14"/>
                <w:szCs w:val="14"/>
                <w:lang w:val="it-IT"/>
              </w:rPr>
              <w:t>Selena Sironi, Laura Capelli</w:t>
            </w:r>
          </w:p>
          <w:p w14:paraId="1B0F1814" w14:textId="1C3DE831"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323C5F">
              <w:rPr>
                <w:rFonts w:ascii="Tahoma" w:hAnsi="Tahoma" w:cs="Tahoma"/>
                <w:sz w:val="14"/>
                <w:szCs w:val="14"/>
              </w:rPr>
              <w:t>4</w:t>
            </w:r>
            <w:r w:rsidR="00D46B7E">
              <w:rPr>
                <w:rFonts w:ascii="Tahoma" w:hAnsi="Tahoma" w:cs="Tahoma"/>
                <w:sz w:val="14"/>
                <w:szCs w:val="14"/>
              </w:rPr>
              <w:t>-</w:t>
            </w:r>
            <w:r w:rsidR="00323C5F">
              <w:rPr>
                <w:rFonts w:ascii="Tahoma" w:hAnsi="Tahoma" w:cs="Tahoma"/>
                <w:sz w:val="14"/>
                <w:szCs w:val="14"/>
              </w:rPr>
              <w:t>5</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292F7D41" w:rsidR="00E978D0" w:rsidRPr="00B57B36" w:rsidRDefault="002C3F26" w:rsidP="00E978D0">
      <w:pPr>
        <w:pStyle w:val="CETTitle"/>
      </w:pPr>
      <w:r>
        <w:t>Development of on-line and field dual TD-GC-FID/MS for automatic and continuous VOCs monitoring in ambient air</w:t>
      </w:r>
    </w:p>
    <w:p w14:paraId="0488FED2" w14:textId="21C08524" w:rsidR="00B57E6F" w:rsidRPr="00C74606" w:rsidRDefault="002C3F26" w:rsidP="00B57E6F">
      <w:pPr>
        <w:pStyle w:val="CETAuthors"/>
        <w:rPr>
          <w:vertAlign w:val="superscript"/>
        </w:rPr>
      </w:pPr>
      <w:r w:rsidRPr="00C74606">
        <w:t>Fanny Bachelier</w:t>
      </w:r>
      <w:r w:rsidR="00B57E6F" w:rsidRPr="00C74606">
        <w:rPr>
          <w:vertAlign w:val="superscript"/>
        </w:rPr>
        <w:t>a</w:t>
      </w:r>
      <w:r w:rsidR="00C74606" w:rsidRPr="00C74606">
        <w:rPr>
          <w:vertAlign w:val="superscript"/>
        </w:rPr>
        <w:t>,b</w:t>
      </w:r>
      <w:r w:rsidR="00B57E6F" w:rsidRPr="00C74606">
        <w:t xml:space="preserve">, </w:t>
      </w:r>
      <w:r w:rsidR="00C74606" w:rsidRPr="00C74606">
        <w:t>Franck Amiet</w:t>
      </w:r>
      <w:r w:rsidR="00B57E6F" w:rsidRPr="00C74606">
        <w:rPr>
          <w:vertAlign w:val="superscript"/>
        </w:rPr>
        <w:t>b</w:t>
      </w:r>
      <w:r w:rsidR="00B57E6F" w:rsidRPr="00C74606">
        <w:t>,</w:t>
      </w:r>
      <w:r w:rsidR="00C74606" w:rsidRPr="00C74606">
        <w:t xml:space="preserve"> Véronique Daële</w:t>
      </w:r>
      <w:r w:rsidR="00C74606" w:rsidRPr="00C74606">
        <w:rPr>
          <w:vertAlign w:val="superscript"/>
        </w:rPr>
        <w:t>a</w:t>
      </w:r>
      <w:r w:rsidR="00C74606" w:rsidRPr="00C74606">
        <w:t>, Damie</w:t>
      </w:r>
      <w:r w:rsidR="00C74606">
        <w:t>n Bazin</w:t>
      </w:r>
      <w:r w:rsidR="00C74606">
        <w:rPr>
          <w:vertAlign w:val="superscript"/>
        </w:rPr>
        <w:t>b*</w:t>
      </w:r>
    </w:p>
    <w:p w14:paraId="6B2D21B3" w14:textId="0E4693F3" w:rsidR="00B57E6F" w:rsidRPr="005E3970" w:rsidRDefault="00B57E6F" w:rsidP="00B57E6F">
      <w:pPr>
        <w:pStyle w:val="CETAddress"/>
        <w:rPr>
          <w:lang w:val="fr-FR"/>
        </w:rPr>
      </w:pPr>
      <w:r w:rsidRPr="005E3970">
        <w:rPr>
          <w:vertAlign w:val="superscript"/>
          <w:lang w:val="fr-FR"/>
        </w:rPr>
        <w:t>a</w:t>
      </w:r>
      <w:r w:rsidR="002C3F26" w:rsidRPr="005E3970">
        <w:rPr>
          <w:lang w:val="fr-FR"/>
        </w:rPr>
        <w:t>ICARE – UPR 3021 – CNRS, 1C, av. De la recherche scientifique CS50060 – 45071 Orléans, France</w:t>
      </w:r>
      <w:r w:rsidRPr="005E3970">
        <w:rPr>
          <w:lang w:val="fr-FR"/>
        </w:rPr>
        <w:t xml:space="preserve"> </w:t>
      </w:r>
    </w:p>
    <w:p w14:paraId="3D72B0B0" w14:textId="31A8C6A9" w:rsidR="00B57E6F" w:rsidRPr="005E3970" w:rsidRDefault="00B57E6F" w:rsidP="00B57E6F">
      <w:pPr>
        <w:pStyle w:val="CETAddress"/>
        <w:rPr>
          <w:lang w:val="fr-FR"/>
        </w:rPr>
      </w:pPr>
      <w:r w:rsidRPr="005E3970">
        <w:rPr>
          <w:vertAlign w:val="superscript"/>
          <w:lang w:val="fr-FR"/>
        </w:rPr>
        <w:t>b</w:t>
      </w:r>
      <w:r w:rsidR="00C74606" w:rsidRPr="005E3970">
        <w:rPr>
          <w:lang w:val="fr-FR"/>
        </w:rPr>
        <w:t>Chromatotec, 15 rue d’Artiguelongue, 33240 Saint-Antoine, France</w:t>
      </w:r>
    </w:p>
    <w:p w14:paraId="73F1267A" w14:textId="5600FBFB" w:rsidR="00B57E6F" w:rsidRPr="006E0D24" w:rsidRDefault="00B57E6F" w:rsidP="00B57E6F">
      <w:pPr>
        <w:pStyle w:val="CETemail"/>
        <w:rPr>
          <w:lang w:val="en-US"/>
        </w:rPr>
      </w:pPr>
      <w:r w:rsidRPr="005E3970">
        <w:rPr>
          <w:lang w:val="fr-FR"/>
        </w:rPr>
        <w:t xml:space="preserve"> </w:t>
      </w:r>
      <w:r w:rsidR="00871892" w:rsidRPr="006E0D24">
        <w:rPr>
          <w:lang w:val="en-US"/>
        </w:rPr>
        <w:t>damien.bazin@chromatotec.com</w:t>
      </w:r>
    </w:p>
    <w:p w14:paraId="3E4CE592" w14:textId="284F5082" w:rsidR="002724C3" w:rsidRDefault="002724C3" w:rsidP="002724C3">
      <w:pPr>
        <w:pStyle w:val="CETBodytext"/>
      </w:pPr>
      <w:r w:rsidRPr="002E6DF5">
        <w:t xml:space="preserve">Odorous </w:t>
      </w:r>
      <w:r>
        <w:t xml:space="preserve">compounds, such as carbonyl substances, </w:t>
      </w:r>
      <w:r w:rsidRPr="002E6DF5">
        <w:t xml:space="preserve">play a major role in ambient air pollution. Monitoring these </w:t>
      </w:r>
      <w:r>
        <w:t>VOCs</w:t>
      </w:r>
      <w:r w:rsidRPr="002E6DF5">
        <w:t xml:space="preserve"> is</w:t>
      </w:r>
      <w:r>
        <w:t xml:space="preserve"> important because some of them have adverse effects on human health and the environment or are, at least, responsible for unpleasant smells. Due to the large number of molecules potentially analyzed, it is difficult to separate and quantify precisely all compounds using a chromatograph equipped with a non-specific detector. The goal of this study i</w:t>
      </w:r>
      <w:r w:rsidRPr="00981576">
        <w:t xml:space="preserve">s to </w:t>
      </w:r>
      <w:r>
        <w:t xml:space="preserve">perform automatic and continuous </w:t>
      </w:r>
      <w:r w:rsidRPr="00981576">
        <w:t>identif</w:t>
      </w:r>
      <w:r>
        <w:t>ication</w:t>
      </w:r>
      <w:r w:rsidRPr="00981576">
        <w:t xml:space="preserve"> and quantif</w:t>
      </w:r>
      <w:r>
        <w:t>ication of odorous VOCs using two different</w:t>
      </w:r>
      <w:r w:rsidR="006E0D24">
        <w:t xml:space="preserve"> </w:t>
      </w:r>
      <w:r w:rsidRPr="00981576">
        <w:t>Thermal-Desor</w:t>
      </w:r>
      <w:r>
        <w:t xml:space="preserve">ption </w:t>
      </w:r>
      <w:r w:rsidRPr="00981576">
        <w:t>Gas Chromatograph</w:t>
      </w:r>
      <w:r>
        <w:t>s</w:t>
      </w:r>
      <w:r w:rsidRPr="00981576">
        <w:t xml:space="preserve"> equipped with </w:t>
      </w:r>
      <w:r>
        <w:t xml:space="preserve">two Flame Ionization Detectors (FID) and one Mass Spectrometer (MS). Each system is designed with its specific analytical conditions, one for monitoring </w:t>
      </w:r>
      <w:r w:rsidRPr="00925E44">
        <w:t xml:space="preserve">light compounds and </w:t>
      </w:r>
      <w:r>
        <w:t xml:space="preserve">the other </w:t>
      </w:r>
      <w:r w:rsidRPr="00925E44">
        <w:t>for heav</w:t>
      </w:r>
      <w:r>
        <w:t>ier</w:t>
      </w:r>
      <w:r w:rsidRPr="00925E44">
        <w:t xml:space="preserve"> compounds</w:t>
      </w:r>
      <w:r>
        <w:t xml:space="preserve">. </w:t>
      </w:r>
      <w:r w:rsidRPr="00925E44">
        <w:t xml:space="preserve">The coupling of two different </w:t>
      </w:r>
      <w:r>
        <w:t xml:space="preserve">TD-GC-FIDs </w:t>
      </w:r>
      <w:r w:rsidRPr="00925E44">
        <w:t>to a Quadr</w:t>
      </w:r>
      <w:r>
        <w:t>u</w:t>
      </w:r>
      <w:r w:rsidRPr="00925E44">
        <w:t>pole MS</w:t>
      </w:r>
      <w:r>
        <w:t xml:space="preserve">, allows the automatic identification </w:t>
      </w:r>
      <w:r w:rsidR="006E0D24">
        <w:t xml:space="preserve">of </w:t>
      </w:r>
      <w:r w:rsidRPr="00925E44">
        <w:t xml:space="preserve">coeluted compounds by MS </w:t>
      </w:r>
      <w:r>
        <w:t xml:space="preserve">and the quantification of the non-coeluted ones by FID. </w:t>
      </w:r>
    </w:p>
    <w:p w14:paraId="1BF95B0B" w14:textId="77777777" w:rsidR="002724C3" w:rsidRPr="002724C3" w:rsidRDefault="002724C3" w:rsidP="002724C3">
      <w:pPr>
        <w:pStyle w:val="CETBodytext"/>
        <w:rPr>
          <w:sz w:val="20"/>
          <w:lang w:val="en-GB"/>
        </w:rPr>
      </w:pPr>
      <w:r>
        <w:t xml:space="preserve">An algorithm has been developed in the software to select the more accurate result between this dual detection. To achieve this automatic reprocessing, the implementation of validation parameters was developed for each identified compound, while remaining adaptable and verifiable if necessary. </w:t>
      </w:r>
      <w:r w:rsidRPr="00751E4A">
        <w:t>This fully automatic system allows non-specialist operators to access expertise level results.</w:t>
      </w:r>
    </w:p>
    <w:p w14:paraId="476B2F2E" w14:textId="70D0F950" w:rsidR="00600535" w:rsidRDefault="00600535" w:rsidP="002724C3">
      <w:pPr>
        <w:pStyle w:val="CETHeading1"/>
        <w:rPr>
          <w:lang w:val="en-GB"/>
        </w:rPr>
      </w:pPr>
      <w:r w:rsidRPr="00B57B36">
        <w:rPr>
          <w:lang w:val="en-GB"/>
        </w:rPr>
        <w:t>Introduction</w:t>
      </w:r>
    </w:p>
    <w:p w14:paraId="526B8B30" w14:textId="14C33C09" w:rsidR="00EF6A73" w:rsidRDefault="0041215D" w:rsidP="003D7B49">
      <w:pPr>
        <w:pStyle w:val="CETBodytext"/>
      </w:pPr>
      <w:r w:rsidRPr="003D7B49">
        <w:t xml:space="preserve">Volatile Organic Compounds (VOCs) are </w:t>
      </w:r>
      <w:r w:rsidR="008A0DD4" w:rsidRPr="003D7B49">
        <w:t>key components of ambient air and are emitted in the atmosphere from anthropogenic (solvent, industry, transport) and biogenic sources</w:t>
      </w:r>
      <w:r w:rsidR="00AE40DD" w:rsidRPr="003D7B49">
        <w:t xml:space="preserve"> (</w:t>
      </w:r>
      <w:r w:rsidR="0034171D" w:rsidRPr="003D7B49">
        <w:t xml:space="preserve">Barletta et al., 2005; </w:t>
      </w:r>
      <w:r w:rsidR="00144617" w:rsidRPr="003D7B49">
        <w:t>Gu et al., 2019)</w:t>
      </w:r>
      <w:r w:rsidR="00CD5596" w:rsidRPr="003D7B49">
        <w:t xml:space="preserve">. </w:t>
      </w:r>
      <w:r w:rsidR="004F73BA">
        <w:t xml:space="preserve">The </w:t>
      </w:r>
      <w:r w:rsidR="00B13B3D">
        <w:t>amount</w:t>
      </w:r>
      <w:r w:rsidR="004F73BA">
        <w:t xml:space="preserve"> of these substances in outdoor air is between 50 and 300 </w:t>
      </w:r>
      <w:r w:rsidR="00CD5596" w:rsidRPr="003D7B49">
        <w:t xml:space="preserve">(Hong et al., 2019) and </w:t>
      </w:r>
      <w:r w:rsidR="00630C4A" w:rsidRPr="003D7B49">
        <w:t>some of them have adverse effects on human health</w:t>
      </w:r>
      <w:r w:rsidR="00867823" w:rsidRPr="003D7B49">
        <w:t xml:space="preserve"> (Abraham et al., 2016; Bari et al., 2018)</w:t>
      </w:r>
      <w:r w:rsidR="00630C4A" w:rsidRPr="003D7B49">
        <w:t>.</w:t>
      </w:r>
      <w:r w:rsidR="00867823" w:rsidRPr="003D7B49">
        <w:t xml:space="preserve"> At </w:t>
      </w:r>
      <w:r w:rsidR="006102F1">
        <w:t xml:space="preserve">a </w:t>
      </w:r>
      <w:r w:rsidR="00867823" w:rsidRPr="003D7B49">
        <w:t xml:space="preserve">significant level of concentrations, their presence has been associated to poor air quality and </w:t>
      </w:r>
      <w:r w:rsidR="00BD2EED" w:rsidRPr="003D7B49">
        <w:t>odorous nuisances</w:t>
      </w:r>
      <w:r w:rsidR="00C858C1" w:rsidRPr="003D7B49">
        <w:t xml:space="preserve"> (</w:t>
      </w:r>
      <w:r w:rsidR="006014AF" w:rsidRPr="003D7B49">
        <w:t xml:space="preserve">Zhu et al., 2016; </w:t>
      </w:r>
      <w:r w:rsidR="00C858C1" w:rsidRPr="003D7B49">
        <w:t>Nie et al., 2019)</w:t>
      </w:r>
      <w:r w:rsidR="00BD2EED" w:rsidRPr="003D7B49">
        <w:t>.</w:t>
      </w:r>
      <w:r w:rsidR="00867823" w:rsidRPr="003D7B49">
        <w:t xml:space="preserve"> </w:t>
      </w:r>
      <w:r w:rsidR="00696F26" w:rsidRPr="003D7B49">
        <w:t xml:space="preserve">Due </w:t>
      </w:r>
      <w:r w:rsidR="00696F26" w:rsidRPr="00903019">
        <w:t>to the short duration of odorous occurrences,</w:t>
      </w:r>
      <w:r w:rsidR="00696F26" w:rsidRPr="003D7B49">
        <w:t xml:space="preserve"> the use of air sensors</w:t>
      </w:r>
      <w:r w:rsidR="00C3118C" w:rsidRPr="003D7B49">
        <w:t xml:space="preserve"> can be very helpful because they are able to </w:t>
      </w:r>
      <w:r w:rsidR="00762B99">
        <w:t>provide</w:t>
      </w:r>
      <w:r w:rsidR="00C3118C" w:rsidRPr="003D7B49">
        <w:t xml:space="preserve"> near-real time VOCs monitoring (Spinelle et al., 2017). However, </w:t>
      </w:r>
      <w:r w:rsidR="00057A18" w:rsidRPr="003D7B49">
        <w:t>some of the</w:t>
      </w:r>
      <w:r w:rsidR="003D7B49" w:rsidRPr="003D7B49">
        <w:t>se</w:t>
      </w:r>
      <w:r w:rsidR="00057A18" w:rsidRPr="003D7B49">
        <w:t xml:space="preserve"> molecules </w:t>
      </w:r>
      <w:r w:rsidR="003D7B49" w:rsidRPr="003D7B49">
        <w:t xml:space="preserve">have </w:t>
      </w:r>
      <w:r w:rsidR="003D7B49">
        <w:t>a</w:t>
      </w:r>
      <w:r w:rsidR="003D7B49" w:rsidRPr="003D7B49">
        <w:t xml:space="preserve"> low odor detection threshold which requires the use of sensitive systems capable of analyzing a wide range of concentrations from ppt to ppm levels</w:t>
      </w:r>
      <w:r w:rsidR="00DA19F0">
        <w:t xml:space="preserve"> (Gallelo et al., 2019)</w:t>
      </w:r>
      <w:r w:rsidR="003D7B49" w:rsidRPr="003D7B49">
        <w:t xml:space="preserve">. </w:t>
      </w:r>
      <w:r w:rsidR="006102F1">
        <w:t>Moreover</w:t>
      </w:r>
      <w:r w:rsidR="003D7B49">
        <w:t>, a</w:t>
      </w:r>
      <w:r w:rsidR="003D7B49" w:rsidRPr="003D7B49">
        <w:t>s odorous compounds are often generated from industrial processes, the specific quantification of molecule is difficult due to the large number of potential interferences. Usually, laboratory gas chromatographs are used to perform identification and quantification of molecules in complex mixtures. Nevertheless, these devices require trained operators and do not allow continuous monitoring (off-line sampling). To improve the accessibility of results and to avoid the risk of losing sample information during transport, there is a need for easy-to-use continuous on-site monitoring systems.</w:t>
      </w:r>
      <w:r w:rsidR="003D7B49">
        <w:t xml:space="preserve"> </w:t>
      </w:r>
    </w:p>
    <w:p w14:paraId="72BAA9A4" w14:textId="26B6F83A" w:rsidR="00144617" w:rsidRPr="00867823" w:rsidRDefault="00664D64" w:rsidP="0041215D">
      <w:pPr>
        <w:pStyle w:val="CETBodytext"/>
      </w:pPr>
      <w:r w:rsidRPr="00EF04D6">
        <w:t>In this study, the performance</w:t>
      </w:r>
      <w:r w:rsidR="006E0D24">
        <w:t>s</w:t>
      </w:r>
      <w:r w:rsidRPr="00EF04D6">
        <w:t xml:space="preserve"> and limitation</w:t>
      </w:r>
      <w:r w:rsidR="006E0D24">
        <w:t>s</w:t>
      </w:r>
      <w:r w:rsidRPr="00EF04D6">
        <w:t xml:space="preserve"> of a dual thermo-desorption gas chromatograph equipped with flame ionization detector and mass spectrometer for the characterization of odorous VOCs</w:t>
      </w:r>
      <w:r w:rsidR="00EF6A73" w:rsidRPr="00EF04D6">
        <w:t xml:space="preserve"> in ambient air</w:t>
      </w:r>
      <w:r w:rsidR="00860C33">
        <w:t xml:space="preserve"> will be presented</w:t>
      </w:r>
      <w:r w:rsidR="00EF6A73" w:rsidRPr="00EF04D6">
        <w:t>.</w:t>
      </w:r>
      <w:r w:rsidR="00EF04D6" w:rsidRPr="00EF04D6">
        <w:t xml:space="preserve"> </w:t>
      </w:r>
      <w:r w:rsidR="00EF04D6">
        <w:t xml:space="preserve">The second objective </w:t>
      </w:r>
      <w:r w:rsidR="00554FC2">
        <w:t xml:space="preserve">is </w:t>
      </w:r>
      <w:r w:rsidR="00EF04D6">
        <w:t>to</w:t>
      </w:r>
      <w:r w:rsidR="00554FC2">
        <w:t xml:space="preserve"> </w:t>
      </w:r>
      <w:r w:rsidR="0080794C">
        <w:t xml:space="preserve">develop </w:t>
      </w:r>
      <w:r w:rsidR="00554FC2">
        <w:t>validation parameters for each compound in order</w:t>
      </w:r>
      <w:r w:rsidR="00762B99">
        <w:t xml:space="preserve"> to</w:t>
      </w:r>
      <w:r w:rsidR="0080794C">
        <w:t xml:space="preserve"> implement them in the software</w:t>
      </w:r>
      <w:r w:rsidR="00554FC2">
        <w:t xml:space="preserve"> to automatically select the more accurate result </w:t>
      </w:r>
      <w:r w:rsidR="006102F1">
        <w:t>of</w:t>
      </w:r>
      <w:r w:rsidR="00554FC2">
        <w:t xml:space="preserve"> this dual detection</w:t>
      </w:r>
      <w:r w:rsidR="0080794C">
        <w:t xml:space="preserve"> </w:t>
      </w:r>
      <w:r w:rsidR="006102F1">
        <w:t xml:space="preserve">FID versus MS </w:t>
      </w:r>
      <w:r w:rsidR="0080794C">
        <w:t>and to provide validated results to the user.</w:t>
      </w:r>
    </w:p>
    <w:p w14:paraId="5741900F" w14:textId="52350401" w:rsidR="00453E24" w:rsidRDefault="00BA6BA5" w:rsidP="00453E24">
      <w:pPr>
        <w:pStyle w:val="CETHeading1"/>
      </w:pPr>
      <w:r>
        <w:lastRenderedPageBreak/>
        <w:t>Material and methods</w:t>
      </w:r>
    </w:p>
    <w:p w14:paraId="0636B784" w14:textId="408E7295" w:rsidR="00453E24" w:rsidRDefault="00BA6BA5" w:rsidP="00453E24">
      <w:pPr>
        <w:pStyle w:val="CETheadingx"/>
      </w:pPr>
      <w:r>
        <w:t>Auto-TD</w:t>
      </w:r>
      <w:r w:rsidR="00B02257">
        <w:t>-</w:t>
      </w:r>
      <w:r>
        <w:t>GC-FID/MS for C</w:t>
      </w:r>
      <w:r w:rsidRPr="007D54D9">
        <w:rPr>
          <w:vertAlign w:val="subscript"/>
        </w:rPr>
        <w:t>2</w:t>
      </w:r>
      <w:r>
        <w:t>C</w:t>
      </w:r>
      <w:r w:rsidRPr="007D54D9">
        <w:rPr>
          <w:vertAlign w:val="subscript"/>
        </w:rPr>
        <w:t>6</w:t>
      </w:r>
      <w:r>
        <w:t xml:space="preserve"> Monitoring</w:t>
      </w:r>
    </w:p>
    <w:p w14:paraId="428DF4AD" w14:textId="6BDEBD96" w:rsidR="00BA6BA5" w:rsidRDefault="00BA6BA5" w:rsidP="0054797F">
      <w:pPr>
        <w:pStyle w:val="CETBodytext"/>
      </w:pPr>
      <w:r>
        <w:t>An automatic gas chromatograph (airmoVOC C2-C6, Chromatotec, France) equipped with a flame ionization detector (FID) and mass spectrometer has been used for the monitoring of non-polar molecules containing from 2 to 6 carbon atoms. For each analysis, 107 mL of ambient air was drawn into the system with a flow rate of 12 mL.min</w:t>
      </w:r>
      <w:r w:rsidRPr="007D54D9">
        <w:rPr>
          <w:vertAlign w:val="superscript"/>
        </w:rPr>
        <w:t>-1</w:t>
      </w:r>
      <w:r>
        <w:t xml:space="preserve"> (air sample is integrated over 10 min). The air sample passed first through a dryer (airmoDry, Chromatotec, France) to remove the humidity and then hydrocarbons were pre-concentrated at -10</w:t>
      </w:r>
      <w:r w:rsidR="00412A93">
        <w:t xml:space="preserve"> </w:t>
      </w:r>
      <w:r>
        <w:t>°C on a trap filled with a mixture of Carboxen and Carbopack. The pre-concentrated air sample was thermally desorbed at 220</w:t>
      </w:r>
      <w:r w:rsidR="00412A93">
        <w:t xml:space="preserve"> </w:t>
      </w:r>
      <w:r>
        <w:t>°C for 4 minutes and directly injected in a 25 m Al</w:t>
      </w:r>
      <w:r w:rsidRPr="00BA6BA5">
        <w:rPr>
          <w:vertAlign w:val="subscript"/>
        </w:rPr>
        <w:t>2</w:t>
      </w:r>
      <w:r>
        <w:t>O</w:t>
      </w:r>
      <w:r w:rsidRPr="00BA6BA5">
        <w:rPr>
          <w:vertAlign w:val="subscript"/>
        </w:rPr>
        <w:t>3</w:t>
      </w:r>
      <w:r>
        <w:t>/Na</w:t>
      </w:r>
      <w:r w:rsidRPr="00BA6BA5">
        <w:rPr>
          <w:vertAlign w:val="subscript"/>
        </w:rPr>
        <w:t>2</w:t>
      </w:r>
      <w:r>
        <w:t>SO</w:t>
      </w:r>
      <w:r w:rsidRPr="00BA6BA5">
        <w:rPr>
          <w:vertAlign w:val="subscript"/>
        </w:rPr>
        <w:t>4</w:t>
      </w:r>
      <w:r>
        <w:t xml:space="preserve"> column (PLOT column, 0.53 mm ID, 10.0 µm dF) located inside the heated oven of the GC. Within the first minute of the analytical procedure, the oven temperature rose from 36</w:t>
      </w:r>
      <w:r w:rsidR="00412A93">
        <w:t xml:space="preserve"> </w:t>
      </w:r>
      <w:r>
        <w:t>°C to 38</w:t>
      </w:r>
      <w:r w:rsidR="00412A93">
        <w:t xml:space="preserve"> </w:t>
      </w:r>
      <w:r>
        <w:t>°C. Afterwards a constant heating rate of 15</w:t>
      </w:r>
      <w:r w:rsidR="00412A93">
        <w:t xml:space="preserve"> </w:t>
      </w:r>
      <w:r>
        <w:t>°C.min</w:t>
      </w:r>
      <w:r w:rsidRPr="00BA6BA5">
        <w:rPr>
          <w:vertAlign w:val="superscript"/>
        </w:rPr>
        <w:t>-1</w:t>
      </w:r>
      <w:r>
        <w:t xml:space="preserve"> was applied and the temperature reached 202</w:t>
      </w:r>
      <w:r w:rsidR="00412A93">
        <w:t xml:space="preserve"> </w:t>
      </w:r>
      <w:r>
        <w:t>°C. Then the temperature is kept at 202</w:t>
      </w:r>
      <w:r w:rsidR="00412A93">
        <w:t xml:space="preserve"> </w:t>
      </w:r>
      <w:r>
        <w:t>°C for 630</w:t>
      </w:r>
      <w:r w:rsidR="00412A93">
        <w:t xml:space="preserve"> </w:t>
      </w:r>
      <w:r>
        <w:t>s before cooling. C</w:t>
      </w:r>
      <w:r w:rsidRPr="007D54D9">
        <w:rPr>
          <w:vertAlign w:val="subscript"/>
        </w:rPr>
        <w:t>2</w:t>
      </w:r>
      <w:r>
        <w:t>–C</w:t>
      </w:r>
      <w:r w:rsidRPr="007D54D9">
        <w:rPr>
          <w:vertAlign w:val="subscript"/>
        </w:rPr>
        <w:t>6</w:t>
      </w:r>
      <w:r>
        <w:t xml:space="preserve"> hydrocarbons were detected by FID and the detection limit has been determined to be 0.065 µg.m</w:t>
      </w:r>
      <w:r w:rsidRPr="00BA6BA5">
        <w:rPr>
          <w:vertAlign w:val="superscript"/>
        </w:rPr>
        <w:t>-3</w:t>
      </w:r>
      <w:r>
        <w:t xml:space="preserve"> for N-butane.</w:t>
      </w:r>
    </w:p>
    <w:p w14:paraId="18BAFA6F" w14:textId="33CE8E27" w:rsidR="00453E24" w:rsidRPr="00B57B36" w:rsidRDefault="007D54D9" w:rsidP="00453E24">
      <w:pPr>
        <w:pStyle w:val="CETheadingx"/>
      </w:pPr>
      <w:r>
        <w:t>Auto-TD</w:t>
      </w:r>
      <w:r w:rsidR="00B02257">
        <w:t>-</w:t>
      </w:r>
      <w:r>
        <w:t>GC-FID/MS for C</w:t>
      </w:r>
      <w:r w:rsidRPr="007D54D9">
        <w:rPr>
          <w:vertAlign w:val="subscript"/>
        </w:rPr>
        <w:t>6</w:t>
      </w:r>
      <w:r>
        <w:t>C</w:t>
      </w:r>
      <w:r w:rsidRPr="007D54D9">
        <w:rPr>
          <w:vertAlign w:val="subscript"/>
        </w:rPr>
        <w:t>12</w:t>
      </w:r>
      <w:r>
        <w:t xml:space="preserve"> monitoring</w:t>
      </w:r>
    </w:p>
    <w:p w14:paraId="677EBFF0" w14:textId="626B57E6" w:rsidR="00600535" w:rsidRPr="007D54D9" w:rsidRDefault="007D54D9" w:rsidP="0054797F">
      <w:pPr>
        <w:pStyle w:val="CETBodytext"/>
      </w:pPr>
      <w:r w:rsidRPr="007D54D9">
        <w:t>For the monitoring of molecules containing from 6 to 12 carbon atoms an automatic gas chromatograph (airmoVOC C6-C12, Chromatotec, France) equipped with FID and mass spectrometer has been used. For each analysis, 440 mL of ambient air was drawn into the system with a flow rate of 20 mL.min</w:t>
      </w:r>
      <w:r w:rsidRPr="007D54D9">
        <w:rPr>
          <w:vertAlign w:val="superscript"/>
        </w:rPr>
        <w:t>-1</w:t>
      </w:r>
      <w:r w:rsidRPr="007D54D9">
        <w:t xml:space="preserve"> (air sample is integrated over 20 min). The compounds were pre-concentrated at room temperature on a trap filled with </w:t>
      </w:r>
      <w:r w:rsidR="00762B99">
        <w:t xml:space="preserve">a </w:t>
      </w:r>
      <w:r w:rsidRPr="007D54D9">
        <w:t>Carbopack mixture. The pre-concentrated air sample was thermally desorbed at 380</w:t>
      </w:r>
      <w:r w:rsidR="00412A93">
        <w:t xml:space="preserve"> </w:t>
      </w:r>
      <w:r w:rsidRPr="007D54D9">
        <w:t>°C for 4 minutes and directly injected in a 60 m MXT 1 column (0.28 mm ID, 1.0 µm dF) located inside the heated oven of the GC. During the first 7 minutes of the analytical procedure, the oven temperature rose from 36</w:t>
      </w:r>
      <w:r w:rsidR="00412A93">
        <w:t xml:space="preserve"> </w:t>
      </w:r>
      <w:r w:rsidRPr="007D54D9">
        <w:t>°C to 50</w:t>
      </w:r>
      <w:r w:rsidR="00412A93">
        <w:t xml:space="preserve"> </w:t>
      </w:r>
      <w:r w:rsidRPr="007D54D9">
        <w:t>°C. Afterwards a constant heating rate of 10 °C.min</w:t>
      </w:r>
      <w:r w:rsidRPr="007D54D9">
        <w:rPr>
          <w:vertAlign w:val="superscript"/>
        </w:rPr>
        <w:t xml:space="preserve">-1 </w:t>
      </w:r>
      <w:r w:rsidRPr="007D54D9">
        <w:t>was applied for 3 minutes followed by a heating rate of 15 °C.min</w:t>
      </w:r>
      <w:r w:rsidRPr="007D54D9">
        <w:rPr>
          <w:vertAlign w:val="superscript"/>
        </w:rPr>
        <w:t>-1</w:t>
      </w:r>
      <w:r w:rsidRPr="007D54D9">
        <w:t xml:space="preserve"> for 8 minutes. The temperature reached 200</w:t>
      </w:r>
      <w:r w:rsidR="00412A93">
        <w:t xml:space="preserve"> </w:t>
      </w:r>
      <w:r w:rsidRPr="007D54D9">
        <w:t>°C by the heating time. Then the temperature is kept at 200</w:t>
      </w:r>
      <w:r w:rsidR="00412A93">
        <w:t xml:space="preserve"> </w:t>
      </w:r>
      <w:r w:rsidRPr="007D54D9">
        <w:t>°C for 240 s before cooling. C</w:t>
      </w:r>
      <w:r w:rsidRPr="007D54D9">
        <w:rPr>
          <w:vertAlign w:val="subscript"/>
        </w:rPr>
        <w:t>6</w:t>
      </w:r>
      <w:r w:rsidRPr="007D54D9">
        <w:t>–C</w:t>
      </w:r>
      <w:r w:rsidRPr="007D54D9">
        <w:rPr>
          <w:vertAlign w:val="subscript"/>
        </w:rPr>
        <w:t>12</w:t>
      </w:r>
      <w:r w:rsidRPr="007D54D9">
        <w:t xml:space="preserve"> compounds were detected by a FID and the detection limit has been determined to be 0.045 µg.m</w:t>
      </w:r>
      <w:r w:rsidRPr="007D54D9">
        <w:rPr>
          <w:vertAlign w:val="superscript"/>
        </w:rPr>
        <w:t>-3</w:t>
      </w:r>
      <w:r w:rsidRPr="007D54D9">
        <w:t xml:space="preserve"> for Benzene.</w:t>
      </w:r>
    </w:p>
    <w:p w14:paraId="04963A06" w14:textId="4B1810CF" w:rsidR="00600535" w:rsidRDefault="007D54D9" w:rsidP="00FA5F5F">
      <w:pPr>
        <w:pStyle w:val="CETheadingx"/>
      </w:pPr>
      <w:r>
        <w:t>Mass spectrometer for C</w:t>
      </w:r>
      <w:r w:rsidRPr="0054797F">
        <w:rPr>
          <w:vertAlign w:val="subscript"/>
        </w:rPr>
        <w:t>2</w:t>
      </w:r>
      <w:r>
        <w:t>C</w:t>
      </w:r>
      <w:r w:rsidRPr="0054797F">
        <w:rPr>
          <w:vertAlign w:val="subscript"/>
        </w:rPr>
        <w:t>12</w:t>
      </w:r>
      <w:r>
        <w:t xml:space="preserve"> monitoring</w:t>
      </w:r>
    </w:p>
    <w:p w14:paraId="0A572C93" w14:textId="50483F5E" w:rsidR="0054797F" w:rsidRPr="00906D22" w:rsidRDefault="0054797F" w:rsidP="0054797F">
      <w:pPr>
        <w:pStyle w:val="CETBodytext"/>
      </w:pPr>
      <w:r w:rsidRPr="00906D22">
        <w:t>Low-resolution mass spectra (MS) were recorded in the electron impact mode (EI, 70 eV) with a single quadrupole mass spectrometer (DET QMS, Chromatotec, France). The system is equipped with a heated multiplexing system for two streams (200</w:t>
      </w:r>
      <w:r w:rsidR="00412A93">
        <w:t xml:space="preserve"> </w:t>
      </w:r>
      <w:r w:rsidRPr="00906D22">
        <w:t>°C) and two heated transfer lines (200</w:t>
      </w:r>
      <w:r w:rsidR="00412A93">
        <w:t xml:space="preserve"> </w:t>
      </w:r>
      <w:r w:rsidRPr="00906D22">
        <w:t xml:space="preserve">°C). The measured intensities were computed using VistaMS software and concentration calculations were performed using </w:t>
      </w:r>
      <w:r w:rsidR="00C447D5" w:rsidRPr="00906D22">
        <w:t>high</w:t>
      </w:r>
      <w:r w:rsidRPr="00906D22">
        <w:t xml:space="preserve"> intensity on selected ion for each species. The determination of validated results was performed with VistaMS. The tuning of the mass spectrometer was performed using Perfluorotributylamine (PFTBA) from Sigma-Aldrich. All electronic parameters were saved and used for the whole time of the experiment.</w:t>
      </w:r>
    </w:p>
    <w:p w14:paraId="1F96CA21" w14:textId="06E7D779" w:rsidR="00600535" w:rsidRDefault="0054797F" w:rsidP="00FA5F5F">
      <w:pPr>
        <w:pStyle w:val="CETheadingx"/>
      </w:pPr>
      <w:r>
        <w:t>Gas supply</w:t>
      </w:r>
    </w:p>
    <w:p w14:paraId="415A6D0E" w14:textId="77777777" w:rsidR="00762B99" w:rsidRDefault="0054797F" w:rsidP="0054797F">
      <w:pPr>
        <w:pStyle w:val="CETBodytext"/>
      </w:pPr>
      <w:r>
        <w:t>Air generators (Airmopure, Chromatotec, France) and Hydrogen generators 99.9999</w:t>
      </w:r>
      <w:r w:rsidR="00412A93">
        <w:t xml:space="preserve"> </w:t>
      </w:r>
      <w:r>
        <w:t>% with dew point below</w:t>
      </w:r>
    </w:p>
    <w:p w14:paraId="09EACA65" w14:textId="163047B6" w:rsidR="0054797F" w:rsidRDefault="00762B99" w:rsidP="0054797F">
      <w:pPr>
        <w:pStyle w:val="CETBodytext"/>
      </w:pPr>
      <w:r>
        <w:t>-</w:t>
      </w:r>
      <w:r w:rsidR="0054797F">
        <w:t>15</w:t>
      </w:r>
      <w:r>
        <w:t> </w:t>
      </w:r>
      <w:r w:rsidR="0054797F">
        <w:t>°C (Hydroxychrom, Chromatotec, France) were used for the flames of FIDs, valve actuations of the auto-TD</w:t>
      </w:r>
      <w:r w:rsidR="00B02257">
        <w:t>-</w:t>
      </w:r>
      <w:r w:rsidR="0054797F">
        <w:t>GC-FIDs and drying of samples for C</w:t>
      </w:r>
      <w:r w:rsidR="0054797F" w:rsidRPr="0054797F">
        <w:rPr>
          <w:vertAlign w:val="subscript"/>
        </w:rPr>
        <w:t>2</w:t>
      </w:r>
      <w:r w:rsidR="0054797F">
        <w:t xml:space="preserve"> to C</w:t>
      </w:r>
      <w:r w:rsidR="0054797F" w:rsidRPr="0054797F">
        <w:rPr>
          <w:vertAlign w:val="subscript"/>
        </w:rPr>
        <w:t xml:space="preserve">6 </w:t>
      </w:r>
      <w:r w:rsidR="0054797F">
        <w:t>analysis. The VOCs content of gas generated by both generators was verified experimentally using auto-TD</w:t>
      </w:r>
      <w:r w:rsidR="00B02257">
        <w:t>-</w:t>
      </w:r>
      <w:r w:rsidR="0054797F">
        <w:t>GC-FID and Non-Methanic Hydrocarbon Concentration (NMTHC) for both analysers was below 0.1 µg.m</w:t>
      </w:r>
      <w:r w:rsidR="0054797F" w:rsidRPr="0054797F">
        <w:rPr>
          <w:vertAlign w:val="superscript"/>
        </w:rPr>
        <w:t>-3</w:t>
      </w:r>
      <w:r w:rsidR="0054797F">
        <w:t>.</w:t>
      </w:r>
    </w:p>
    <w:p w14:paraId="7382C781" w14:textId="4A68B029" w:rsidR="00600535" w:rsidRDefault="0054797F" w:rsidP="00FA5F5F">
      <w:pPr>
        <w:pStyle w:val="CETheadingx"/>
      </w:pPr>
      <w:r>
        <w:t>Calibration setup</w:t>
      </w:r>
    </w:p>
    <w:p w14:paraId="471C6888" w14:textId="68E79C94" w:rsidR="0054797F" w:rsidRDefault="0054797F" w:rsidP="0054797F">
      <w:pPr>
        <w:pStyle w:val="CETBodytext"/>
      </w:pPr>
      <w:r>
        <w:t>Quality controls of the instruments were performed using NIST certified cylinders. TO15 (64 compounds) and PAMS 58 (Takachiho, Japan) were used for the calibration of instruments and response factor calculations.</w:t>
      </w:r>
    </w:p>
    <w:p w14:paraId="694DB9D5" w14:textId="77777777" w:rsidR="004F73BA" w:rsidRDefault="0054797F" w:rsidP="0054797F">
      <w:pPr>
        <w:pStyle w:val="CETBodytext"/>
      </w:pPr>
      <w:r>
        <w:t>For the calibration of VOCs, certified gas mixtures of TO15 and PAMS compounds w</w:t>
      </w:r>
      <w:r w:rsidR="00B02257">
        <w:t>ere</w:t>
      </w:r>
      <w:r>
        <w:t xml:space="preserve"> used at different concentrations in the range 0.5 – 10 ppb</w:t>
      </w:r>
      <w:r w:rsidRPr="00B53B71">
        <w:rPr>
          <w:vertAlign w:val="subscript"/>
        </w:rPr>
        <w:t>v</w:t>
      </w:r>
      <w:r>
        <w:t>. The concentration of each compound in the cylinder is 100 ppb</w:t>
      </w:r>
      <w:r w:rsidRPr="00BF431E">
        <w:rPr>
          <w:vertAlign w:val="subscript"/>
        </w:rPr>
        <w:t>v</w:t>
      </w:r>
      <w:r>
        <w:t xml:space="preserve"> </w:t>
      </w:r>
    </w:p>
    <w:p w14:paraId="186EBB7A" w14:textId="0F69CF98" w:rsidR="0054797F" w:rsidRDefault="0054797F" w:rsidP="0054797F">
      <w:pPr>
        <w:pStyle w:val="CETBodytext"/>
      </w:pPr>
      <w:r>
        <w:t>± 10%. To perform the dilution of the cylinder with zero air, 2 mass flow controllers (MFC) were used. The flow range of the Cylinder MFC was 0-10 mL.min</w:t>
      </w:r>
      <w:r w:rsidRPr="003B7E1E">
        <w:rPr>
          <w:vertAlign w:val="superscript"/>
        </w:rPr>
        <w:t>-1</w:t>
      </w:r>
      <w:r>
        <w:t xml:space="preserve"> and the flow range of Dilution MFC was 0-1 L.min</w:t>
      </w:r>
      <w:r w:rsidRPr="00BF6716">
        <w:rPr>
          <w:vertAlign w:val="superscript"/>
        </w:rPr>
        <w:t>-1</w:t>
      </w:r>
      <w:r>
        <w:t>. The sample flow rate was 30 mL.min</w:t>
      </w:r>
      <w:r w:rsidRPr="00BB4907">
        <w:rPr>
          <w:vertAlign w:val="superscript"/>
        </w:rPr>
        <w:t>-1</w:t>
      </w:r>
      <w:r>
        <w:t>. Calibration curves were performed with 6 different concentrations with 10 replicates for the first calibration point and 6 replicates for the others. Precision and accuracy were evaluated at 4 ppb</w:t>
      </w:r>
      <w:r w:rsidRPr="00BF431E">
        <w:rPr>
          <w:vertAlign w:val="subscript"/>
        </w:rPr>
        <w:t>v</w:t>
      </w:r>
      <w:r>
        <w:t>.</w:t>
      </w:r>
    </w:p>
    <w:p w14:paraId="0C41D816" w14:textId="550B86AE" w:rsidR="00C977DF" w:rsidRDefault="00C977DF" w:rsidP="0054797F">
      <w:pPr>
        <w:pStyle w:val="CETBodytext"/>
      </w:pPr>
    </w:p>
    <w:p w14:paraId="7AC9462B" w14:textId="1631B43E" w:rsidR="00361D90" w:rsidRDefault="00361D90" w:rsidP="00361D90">
      <w:pPr>
        <w:pStyle w:val="CETHeading1"/>
      </w:pPr>
      <w:r>
        <w:lastRenderedPageBreak/>
        <w:t xml:space="preserve">Results and discussion </w:t>
      </w:r>
    </w:p>
    <w:p w14:paraId="38753129" w14:textId="619E2B20" w:rsidR="00507C56" w:rsidRPr="00BF431E" w:rsidRDefault="00507C56" w:rsidP="00507C56">
      <w:pPr>
        <w:pStyle w:val="CETBodytext"/>
        <w:rPr>
          <w:b/>
          <w:bCs/>
        </w:rPr>
      </w:pPr>
      <w:r>
        <w:t xml:space="preserve">The aim of this study was to </w:t>
      </w:r>
      <w:r w:rsidR="003049D2">
        <w:t>characterize</w:t>
      </w:r>
      <w:r>
        <w:t xml:space="preserve"> </w:t>
      </w:r>
      <w:r w:rsidR="009153D1">
        <w:t>odorous</w:t>
      </w:r>
      <w:r>
        <w:t xml:space="preserve"> VOCs in ambient air, using an on-line system including 2 automatic TD</w:t>
      </w:r>
      <w:r w:rsidR="00B02257">
        <w:t>-</w:t>
      </w:r>
      <w:r>
        <w:t>GC-FID coupled to a mass spectrometer</w:t>
      </w:r>
      <w:r w:rsidR="003049D2">
        <w:t>,</w:t>
      </w:r>
      <w:r w:rsidR="00181D8F">
        <w:t xml:space="preserve"> and to develop</w:t>
      </w:r>
      <w:r w:rsidR="00BB74FA">
        <w:t xml:space="preserve"> validation</w:t>
      </w:r>
      <w:r w:rsidR="001639C1">
        <w:t xml:space="preserve"> parameter</w:t>
      </w:r>
      <w:r w:rsidR="00B02257">
        <w:t>s</w:t>
      </w:r>
      <w:r w:rsidR="001639C1">
        <w:t xml:space="preserve"> </w:t>
      </w:r>
      <w:r w:rsidR="00947311">
        <w:t>to optimize automatic reprocessing.</w:t>
      </w:r>
    </w:p>
    <w:p w14:paraId="69125F0B" w14:textId="126EA23D" w:rsidR="001C1AE3" w:rsidRDefault="001C1AE3" w:rsidP="001C1AE3">
      <w:pPr>
        <w:pStyle w:val="CETheadingx"/>
      </w:pPr>
      <w:r>
        <w:t>C2C6 measurement</w:t>
      </w:r>
    </w:p>
    <w:p w14:paraId="3952C03F" w14:textId="0FE411A7" w:rsidR="009153D1" w:rsidRPr="001842F1" w:rsidRDefault="009153D1" w:rsidP="009153D1">
      <w:pPr>
        <w:pStyle w:val="CETBodytext"/>
      </w:pPr>
      <w:r>
        <w:t xml:space="preserve">Light non-polar </w:t>
      </w:r>
      <w:r w:rsidR="001842F1">
        <w:t xml:space="preserve">odorous </w:t>
      </w:r>
      <w:r>
        <w:t xml:space="preserve">VOCs containing 2 to 6 carbons were </w:t>
      </w:r>
      <w:r w:rsidR="001842F1">
        <w:t>analyzed</w:t>
      </w:r>
      <w:r>
        <w:t xml:space="preserve"> using the first on-line auto-TDGC-FID/MS equipped with an Al</w:t>
      </w:r>
      <w:r w:rsidRPr="00EE6F33">
        <w:rPr>
          <w:vertAlign w:val="subscript"/>
        </w:rPr>
        <w:t>2</w:t>
      </w:r>
      <w:r>
        <w:t>O</w:t>
      </w:r>
      <w:r w:rsidRPr="00EE6F33">
        <w:rPr>
          <w:vertAlign w:val="subscript"/>
        </w:rPr>
        <w:t>3</w:t>
      </w:r>
      <w:r>
        <w:t>/Na</w:t>
      </w:r>
      <w:r w:rsidRPr="00EE6F33">
        <w:rPr>
          <w:vertAlign w:val="subscript"/>
        </w:rPr>
        <w:t>2</w:t>
      </w:r>
      <w:r>
        <w:t>SO</w:t>
      </w:r>
      <w:r w:rsidRPr="00EE6F33">
        <w:rPr>
          <w:vertAlign w:val="subscript"/>
        </w:rPr>
        <w:t>4</w:t>
      </w:r>
      <w:r>
        <w:t xml:space="preserve"> PLOT column. The system can </w:t>
      </w:r>
      <w:r w:rsidR="001842F1">
        <w:t>analyze</w:t>
      </w:r>
      <w:r>
        <w:t xml:space="preserve"> all light compounds from PAMS 58 cylinder and some of the molecules included in the TO15 cylinder such as </w:t>
      </w:r>
      <w:r w:rsidR="005E3970">
        <w:t>F</w:t>
      </w:r>
      <w:r>
        <w:t xml:space="preserve">reons, </w:t>
      </w:r>
      <w:r w:rsidR="005E3970">
        <w:t>C</w:t>
      </w:r>
      <w:r>
        <w:t xml:space="preserve">hlorinated compounds and </w:t>
      </w:r>
      <w:r w:rsidR="005E3970">
        <w:t>C</w:t>
      </w:r>
      <w:r>
        <w:t>arbon disulphide</w:t>
      </w:r>
      <w:r w:rsidRPr="00957EAC">
        <w:t>.</w:t>
      </w:r>
      <w:r w:rsidR="003049D2" w:rsidRPr="00957EAC">
        <w:t xml:space="preserve"> </w:t>
      </w:r>
      <w:r w:rsidRPr="00957EAC">
        <w:t xml:space="preserve">Nevertheless, light OVOCs such as Methanol, Formaldehyde and Acetaldehyde cannot be </w:t>
      </w:r>
      <w:r w:rsidR="006A1664" w:rsidRPr="00957EAC">
        <w:t>analyzed</w:t>
      </w:r>
      <w:r w:rsidRPr="00957EAC">
        <w:t xml:space="preserve"> with th</w:t>
      </w:r>
      <w:r w:rsidR="006A1664" w:rsidRPr="00957EAC">
        <w:t>is</w:t>
      </w:r>
      <w:r w:rsidRPr="00957EAC">
        <w:t xml:space="preserve"> </w:t>
      </w:r>
      <w:r w:rsidR="006A1664" w:rsidRPr="00957EAC">
        <w:t>system</w:t>
      </w:r>
      <w:r w:rsidRPr="00957EAC">
        <w:t xml:space="preserve"> because they cannot be eluted from Al</w:t>
      </w:r>
      <w:r w:rsidRPr="00957EAC">
        <w:rPr>
          <w:vertAlign w:val="subscript"/>
        </w:rPr>
        <w:t>2</w:t>
      </w:r>
      <w:r w:rsidRPr="00957EAC">
        <w:t>O</w:t>
      </w:r>
      <w:r w:rsidRPr="00957EAC">
        <w:rPr>
          <w:vertAlign w:val="subscript"/>
        </w:rPr>
        <w:t>3</w:t>
      </w:r>
      <w:r w:rsidRPr="00957EAC">
        <w:t>/Na</w:t>
      </w:r>
      <w:r w:rsidRPr="00957EAC">
        <w:rPr>
          <w:vertAlign w:val="subscript"/>
        </w:rPr>
        <w:t>2</w:t>
      </w:r>
      <w:r w:rsidRPr="00957EAC">
        <w:t>SO</w:t>
      </w:r>
      <w:r w:rsidRPr="00957EAC">
        <w:rPr>
          <w:vertAlign w:val="subscript"/>
        </w:rPr>
        <w:t>4</w:t>
      </w:r>
      <w:r w:rsidRPr="00957EAC">
        <w:t xml:space="preserve"> PLOT column. </w:t>
      </w:r>
    </w:p>
    <w:p w14:paraId="2D3AE2D2" w14:textId="55781B4B" w:rsidR="0054797F" w:rsidRDefault="00C977DF" w:rsidP="00C977DF">
      <w:pPr>
        <w:pStyle w:val="CETheadingx"/>
      </w:pPr>
      <w:r>
        <w:t>C6C12 measurement and performance studies</w:t>
      </w:r>
    </w:p>
    <w:p w14:paraId="743CD73A" w14:textId="0E3A8C3D" w:rsidR="009153D1" w:rsidRDefault="009153D1" w:rsidP="009153D1">
      <w:pPr>
        <w:pStyle w:val="CETBodytext"/>
      </w:pPr>
      <w:r>
        <w:t xml:space="preserve">The second on-line auto-TDGC-FID-MS equipped with an MXT-1 column is designed to </w:t>
      </w:r>
      <w:r w:rsidR="001842F1">
        <w:t>analyze</w:t>
      </w:r>
      <w:r>
        <w:t xml:space="preserve"> molecules containing 6 to 12 carbons and was used f</w:t>
      </w:r>
      <w:r w:rsidRPr="00CE62AA">
        <w:t>or the measurement of</w:t>
      </w:r>
      <w:r>
        <w:t xml:space="preserve"> </w:t>
      </w:r>
      <w:r w:rsidR="00A86423">
        <w:t xml:space="preserve">odorous </w:t>
      </w:r>
      <w:r>
        <w:t>VOCs</w:t>
      </w:r>
      <w:r w:rsidR="00A86423">
        <w:t>.</w:t>
      </w:r>
      <w:r>
        <w:t xml:space="preserve"> </w:t>
      </w:r>
    </w:p>
    <w:p w14:paraId="41174470" w14:textId="19B82563" w:rsidR="00A86423" w:rsidRDefault="009153D1" w:rsidP="009153D1">
      <w:pPr>
        <w:pStyle w:val="CETBodytext"/>
      </w:pPr>
      <w:r>
        <w:t>The TO15 gas mixture</w:t>
      </w:r>
      <w:r w:rsidR="006A1664">
        <w:t xml:space="preserve"> </w:t>
      </w:r>
      <w:r>
        <w:t>contains</w:t>
      </w:r>
      <w:r w:rsidR="00A86423">
        <w:t xml:space="preserve"> </w:t>
      </w:r>
      <w:r w:rsidR="001842F1">
        <w:t xml:space="preserve">mostly </w:t>
      </w:r>
      <w:r w:rsidR="007F3723">
        <w:t>O</w:t>
      </w:r>
      <w:r w:rsidR="00A86423">
        <w:t>xygenated</w:t>
      </w:r>
      <w:r w:rsidR="001842F1">
        <w:t xml:space="preserve"> and </w:t>
      </w:r>
      <w:r w:rsidR="007F3723">
        <w:t>H</w:t>
      </w:r>
      <w:r w:rsidR="001842F1">
        <w:t>alogenated</w:t>
      </w:r>
      <w:r w:rsidR="00A86423">
        <w:t xml:space="preserve"> compound</w:t>
      </w:r>
      <w:r w:rsidR="001842F1">
        <w:t>s, while</w:t>
      </w:r>
      <w:r w:rsidR="00A86423">
        <w:t xml:space="preserve"> PAMS </w:t>
      </w:r>
      <w:r w:rsidR="007F3723">
        <w:t xml:space="preserve">cylinder contains </w:t>
      </w:r>
      <w:r w:rsidR="00A86423">
        <w:t xml:space="preserve">Alkanes &amp; </w:t>
      </w:r>
      <w:r w:rsidR="007F3723">
        <w:t>A</w:t>
      </w:r>
      <w:r w:rsidR="00A86423">
        <w:t>romati</w:t>
      </w:r>
      <w:r w:rsidR="007F3723">
        <w:t>c Hydrocarbons.</w:t>
      </w:r>
    </w:p>
    <w:p w14:paraId="5D3FA808" w14:textId="5D2D55A1" w:rsidR="009153D1" w:rsidRDefault="009153D1" w:rsidP="009153D1">
      <w:pPr>
        <w:pStyle w:val="CETBodytext"/>
      </w:pPr>
      <w:r>
        <w:t>The FID chromatogram</w:t>
      </w:r>
      <w:r w:rsidR="00A86423">
        <w:t>s</w:t>
      </w:r>
      <w:r>
        <w:t xml:space="preserve"> of TO15</w:t>
      </w:r>
      <w:r w:rsidR="00A86423">
        <w:t xml:space="preserve"> and PAMS</w:t>
      </w:r>
      <w:r>
        <w:t xml:space="preserve"> standard mix</w:t>
      </w:r>
      <w:r w:rsidR="00B02257">
        <w:t>tur</w:t>
      </w:r>
      <w:r w:rsidR="00A86423">
        <w:t>es</w:t>
      </w:r>
      <w:r>
        <w:t xml:space="preserve"> at 4ppb </w:t>
      </w:r>
      <w:r w:rsidR="00A86423">
        <w:t>are</w:t>
      </w:r>
      <w:r>
        <w:t xml:space="preserve"> showed in Fig. 1</w:t>
      </w:r>
      <w:r w:rsidR="00A86423">
        <w:t>a and Fig. 1b respectively</w:t>
      </w:r>
      <w:r>
        <w:t>. The VOCs detected were identified with their retention times. To confirm identifications, mass spectrometry detection and NIST database were used.</w:t>
      </w:r>
    </w:p>
    <w:tbl>
      <w:tblPr>
        <w:tblStyle w:val="Grilledutableau"/>
        <w:tblW w:w="92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3"/>
        <w:gridCol w:w="4533"/>
      </w:tblGrid>
      <w:tr w:rsidR="00F71190" w14:paraId="4E43984D" w14:textId="77777777" w:rsidTr="00DA322C">
        <w:tc>
          <w:tcPr>
            <w:tcW w:w="4683" w:type="dxa"/>
          </w:tcPr>
          <w:p w14:paraId="5640948C" w14:textId="5A62246A" w:rsidR="00F71190" w:rsidRDefault="00F71190" w:rsidP="00F71190">
            <w:pPr>
              <w:pStyle w:val="CETBodytext"/>
              <w:keepNext/>
              <w:jc w:val="left"/>
            </w:pPr>
            <w:r w:rsidRPr="00F71190">
              <w:rPr>
                <w:noProof/>
                <w:lang w:val="en-GB"/>
              </w:rPr>
              <w:drawing>
                <wp:inline distT="0" distB="0" distL="0" distR="0" wp14:anchorId="2F94A777" wp14:editId="497F36C2">
                  <wp:extent cx="2884355" cy="1678075"/>
                  <wp:effectExtent l="0" t="0" r="0" b="0"/>
                  <wp:docPr id="10" name="Image 4">
                    <a:extLst xmlns:a="http://schemas.openxmlformats.org/drawingml/2006/main">
                      <a:ext uri="{FF2B5EF4-FFF2-40B4-BE49-F238E27FC236}">
                        <a16:creationId xmlns:a16="http://schemas.microsoft.com/office/drawing/2014/main" id="{96D1981D-89D8-4106-8D15-9BB45CBED2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96D1981D-89D8-4106-8D15-9BB45CBED2A3}"/>
                              </a:ext>
                            </a:extLst>
                          </pic:cNvPr>
                          <pic:cNvPicPr>
                            <a:picLocks noChangeAspect="1"/>
                          </pic:cNvPicPr>
                        </pic:nvPicPr>
                        <pic:blipFill rotWithShape="1">
                          <a:blip r:embed="rId10"/>
                          <a:srcRect t="1522" r="1698" b="-1"/>
                          <a:stretch/>
                        </pic:blipFill>
                        <pic:spPr bwMode="auto">
                          <a:xfrm>
                            <a:off x="0" y="0"/>
                            <a:ext cx="2905321" cy="1690273"/>
                          </a:xfrm>
                          <a:prstGeom prst="rect">
                            <a:avLst/>
                          </a:prstGeom>
                          <a:ln>
                            <a:noFill/>
                          </a:ln>
                          <a:extLst>
                            <a:ext uri="{53640926-AAD7-44D8-BBD7-CCE9431645EC}">
                              <a14:shadowObscured xmlns:a14="http://schemas.microsoft.com/office/drawing/2010/main"/>
                            </a:ext>
                          </a:extLst>
                        </pic:spPr>
                      </pic:pic>
                    </a:graphicData>
                  </a:graphic>
                </wp:inline>
              </w:drawing>
            </w:r>
          </w:p>
        </w:tc>
        <w:tc>
          <w:tcPr>
            <w:tcW w:w="4533" w:type="dxa"/>
          </w:tcPr>
          <w:p w14:paraId="068F9B40" w14:textId="6C1A57DB" w:rsidR="00F71190" w:rsidRDefault="00F71190" w:rsidP="00DA322C">
            <w:pPr>
              <w:pStyle w:val="CETBodytext"/>
              <w:keepNext/>
              <w:jc w:val="left"/>
            </w:pPr>
            <w:r w:rsidRPr="00F71190">
              <w:rPr>
                <w:noProof/>
                <w:lang w:val="en-GB"/>
              </w:rPr>
              <w:drawing>
                <wp:inline distT="0" distB="0" distL="0" distR="0" wp14:anchorId="00F44ECE" wp14:editId="13E94C4A">
                  <wp:extent cx="2693970" cy="1677670"/>
                  <wp:effectExtent l="0" t="0" r="0" b="0"/>
                  <wp:docPr id="11" name="Image 4">
                    <a:extLst xmlns:a="http://schemas.openxmlformats.org/drawingml/2006/main">
                      <a:ext uri="{FF2B5EF4-FFF2-40B4-BE49-F238E27FC236}">
                        <a16:creationId xmlns:a16="http://schemas.microsoft.com/office/drawing/2014/main" id="{37AFA5F8-0AF9-4F83-9C3B-4BCCDFA5C5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37AFA5F8-0AF9-4F83-9C3B-4BCCDFA5C599}"/>
                              </a:ext>
                            </a:extLst>
                          </pic:cNvPr>
                          <pic:cNvPicPr>
                            <a:picLocks noChangeAspect="1"/>
                          </pic:cNvPicPr>
                        </pic:nvPicPr>
                        <pic:blipFill>
                          <a:blip r:embed="rId11"/>
                          <a:stretch>
                            <a:fillRect/>
                          </a:stretch>
                        </pic:blipFill>
                        <pic:spPr>
                          <a:xfrm>
                            <a:off x="0" y="0"/>
                            <a:ext cx="2783736" cy="1733572"/>
                          </a:xfrm>
                          <a:prstGeom prst="rect">
                            <a:avLst/>
                          </a:prstGeom>
                        </pic:spPr>
                      </pic:pic>
                    </a:graphicData>
                  </a:graphic>
                </wp:inline>
              </w:drawing>
            </w:r>
          </w:p>
        </w:tc>
      </w:tr>
      <w:tr w:rsidR="00F71190" w14:paraId="1397A5A6" w14:textId="77777777" w:rsidTr="00DA322C">
        <w:trPr>
          <w:trHeight w:val="743"/>
        </w:trPr>
        <w:tc>
          <w:tcPr>
            <w:tcW w:w="4683" w:type="dxa"/>
          </w:tcPr>
          <w:p w14:paraId="72723638" w14:textId="3DEBCEB6" w:rsidR="00F71190" w:rsidRPr="00F71190" w:rsidRDefault="00F71190" w:rsidP="00F71190">
            <w:pPr>
              <w:pStyle w:val="CETCaption"/>
            </w:pPr>
            <w:r>
              <w:t xml:space="preserve">Figure </w:t>
            </w:r>
            <w:r>
              <w:fldChar w:fldCharType="begin"/>
            </w:r>
            <w:r>
              <w:instrText xml:space="preserve"> SEQ Figure \* ARABIC </w:instrText>
            </w:r>
            <w:r>
              <w:fldChar w:fldCharType="separate"/>
            </w:r>
            <w:r w:rsidR="004B1139">
              <w:rPr>
                <w:noProof/>
              </w:rPr>
              <w:t>1</w:t>
            </w:r>
            <w:r>
              <w:fldChar w:fldCharType="end"/>
            </w:r>
            <w:r>
              <w:t>a: FID chromatogram of a 4 ppb</w:t>
            </w:r>
            <w:r w:rsidR="00DA322C">
              <w:t xml:space="preserve"> </w:t>
            </w:r>
            <w:r>
              <w:t>TO15 standard mix</w:t>
            </w:r>
          </w:p>
        </w:tc>
        <w:tc>
          <w:tcPr>
            <w:tcW w:w="4533" w:type="dxa"/>
          </w:tcPr>
          <w:p w14:paraId="2296F091" w14:textId="01346C12" w:rsidR="00DA322C" w:rsidRPr="00DA322C" w:rsidRDefault="00DA322C" w:rsidP="00DA322C">
            <w:pPr>
              <w:pStyle w:val="CETCaption"/>
            </w:pPr>
            <w:r w:rsidRPr="00DA322C">
              <w:t xml:space="preserve">Figure </w:t>
            </w:r>
            <w:r w:rsidR="003443FE">
              <w:t>1</w:t>
            </w:r>
            <w:r w:rsidRPr="00DA322C">
              <w:t>b: FID chromatogram of a 4 ppb PAMS standard mix</w:t>
            </w:r>
          </w:p>
        </w:tc>
      </w:tr>
    </w:tbl>
    <w:p w14:paraId="30D7DBB7" w14:textId="5807A3AC" w:rsidR="0042785B" w:rsidRDefault="00DA322C" w:rsidP="00DA322C">
      <w:pPr>
        <w:pStyle w:val="CETBodytext"/>
      </w:pPr>
      <w:r w:rsidRPr="00405A37">
        <w:t xml:space="preserve">It is noticeable that coelutions occur </w:t>
      </w:r>
      <w:r>
        <w:t xml:space="preserve">between some VOCs </w:t>
      </w:r>
      <w:r w:rsidR="004748B7">
        <w:t>contained in</w:t>
      </w:r>
      <w:r>
        <w:t xml:space="preserve"> the cylinder</w:t>
      </w:r>
      <w:r w:rsidR="004748B7">
        <w:t xml:space="preserve">s; </w:t>
      </w:r>
      <w:r w:rsidR="00C447D5">
        <w:t>e.g.</w:t>
      </w:r>
      <w:r w:rsidR="004748B7">
        <w:t xml:space="preserve"> in TO15 </w:t>
      </w:r>
      <w:r w:rsidR="00B02F9A">
        <w:t>mix</w:t>
      </w:r>
      <w:r w:rsidR="004748B7">
        <w:t xml:space="preserve">,  </w:t>
      </w:r>
      <w:r>
        <w:t>MTBE</w:t>
      </w:r>
      <w:r w:rsidR="004748B7">
        <w:t>,</w:t>
      </w:r>
      <w:r>
        <w:t xml:space="preserve"> Vinyl acetate </w:t>
      </w:r>
      <w:r w:rsidR="004748B7">
        <w:t xml:space="preserve">and 1.1-Dichloroethane </w:t>
      </w:r>
      <w:r>
        <w:t>are co-eluted, Ethyl acetate is co-eluted with Chloroform and Methyl methacrylate with N-heptane. Fortunately, we can avoid these coelutions with MS detection by select</w:t>
      </w:r>
      <w:r w:rsidR="006E0D24">
        <w:t>ing</w:t>
      </w:r>
      <w:r>
        <w:t xml:space="preserve"> the specific ion for each compound.</w:t>
      </w:r>
    </w:p>
    <w:p w14:paraId="72F867F3" w14:textId="23A793C3" w:rsidR="00957EAC" w:rsidRDefault="00957EAC" w:rsidP="00DA322C">
      <w:pPr>
        <w:pStyle w:val="CETBodytext"/>
      </w:pPr>
    </w:p>
    <w:p w14:paraId="6EDC642C" w14:textId="79122190" w:rsidR="00076A02" w:rsidRDefault="00981C83" w:rsidP="00DA322C">
      <w:pPr>
        <w:pStyle w:val="CETBodytext"/>
      </w:pPr>
      <w:r w:rsidRPr="00A57C0B">
        <w:t>Methyl methacrylate has a fruity odor and an odor threshold of approximatively 340 ppb</w:t>
      </w:r>
      <w:r>
        <w:t xml:space="preserve"> (EPA, 1992),</w:t>
      </w:r>
      <w:r w:rsidRPr="00A57C0B">
        <w:t xml:space="preserve"> Chloroform smell is sweet and ether-like and </w:t>
      </w:r>
      <w:r>
        <w:t>its</w:t>
      </w:r>
      <w:r w:rsidRPr="00A57C0B">
        <w:t xml:space="preserve"> odor threshold </w:t>
      </w:r>
      <w:r>
        <w:t>is around</w:t>
      </w:r>
      <w:r w:rsidRPr="00A57C0B">
        <w:t xml:space="preserve"> </w:t>
      </w:r>
      <w:r>
        <w:t>3800</w:t>
      </w:r>
      <w:r w:rsidRPr="00A57C0B">
        <w:t xml:space="preserve"> ppb</w:t>
      </w:r>
      <w:r>
        <w:t xml:space="preserve"> (Nagata, 2003)</w:t>
      </w:r>
      <w:r w:rsidRPr="00A57C0B">
        <w:t>.</w:t>
      </w:r>
      <w:r w:rsidR="00076A02" w:rsidRPr="00A57C0B">
        <w:t xml:space="preserve"> </w:t>
      </w:r>
      <w:r>
        <w:t>Although</w:t>
      </w:r>
      <w:r w:rsidR="00354961" w:rsidRPr="00A57C0B">
        <w:t>,</w:t>
      </w:r>
      <w:r w:rsidR="00076A02" w:rsidRPr="00A57C0B">
        <w:t xml:space="preserve"> </w:t>
      </w:r>
      <w:r w:rsidR="00B27819" w:rsidRPr="00A57C0B">
        <w:t>these molecules have different organoleptic characteristics</w:t>
      </w:r>
      <w:r>
        <w:t>,</w:t>
      </w:r>
      <w:r w:rsidR="003921CE">
        <w:t xml:space="preserve"> they are coeluted. Thus, the probability to make identification mistakes by olfactometry are significative. The </w:t>
      </w:r>
      <w:r w:rsidR="004B3527">
        <w:t>use of a system equipped with a mass spectrometer is then required.</w:t>
      </w:r>
      <w:r w:rsidR="003921CE">
        <w:t xml:space="preserve"> </w:t>
      </w:r>
      <w:r w:rsidR="00B27819" w:rsidRPr="00A57C0B">
        <w:t xml:space="preserve"> </w:t>
      </w:r>
    </w:p>
    <w:p w14:paraId="0A0D982D" w14:textId="77777777" w:rsidR="00BF24F9" w:rsidRDefault="00BF24F9" w:rsidP="00DA322C">
      <w:pPr>
        <w:pStyle w:val="CETBodytext"/>
      </w:pPr>
    </w:p>
    <w:p w14:paraId="3926C593" w14:textId="139D1CCA" w:rsidR="006A38EE" w:rsidRDefault="006A38EE" w:rsidP="00DA322C">
      <w:pPr>
        <w:pStyle w:val="CETBodytext"/>
      </w:pPr>
      <w:r>
        <w:t xml:space="preserve">The performances studies were </w:t>
      </w:r>
      <w:r w:rsidR="00BF24F9">
        <w:t>evaluated</w:t>
      </w:r>
      <w:r>
        <w:t xml:space="preserve"> for 4 families of VOCs detected in ambient air: Alkanes, Aromatic hydrocarbons, Oxygenated Volatile Organic Compounds (OVOCs) and Halogenated compounds.</w:t>
      </w:r>
    </w:p>
    <w:p w14:paraId="13EBDD5E" w14:textId="736FC41F" w:rsidR="006A38EE" w:rsidRDefault="00BF24F9" w:rsidP="00DA322C">
      <w:pPr>
        <w:pStyle w:val="CETBodytext"/>
      </w:pPr>
      <w:r>
        <w:t>Only w</w:t>
      </w:r>
      <w:r w:rsidR="006A38EE">
        <w:t>ere reported in Table 1, the results of the performance studies</w:t>
      </w:r>
      <w:r>
        <w:t xml:space="preserve"> of </w:t>
      </w:r>
      <w:r w:rsidR="006A38EE" w:rsidRPr="00951D25">
        <w:t>OVOCs.</w:t>
      </w:r>
    </w:p>
    <w:p w14:paraId="21C3D86B" w14:textId="71523DC9" w:rsidR="00A01CA4" w:rsidRDefault="00A01CA4" w:rsidP="00DA322C">
      <w:pPr>
        <w:pStyle w:val="CETBodytext"/>
      </w:pPr>
    </w:p>
    <w:p w14:paraId="7B193BB5" w14:textId="121479FB" w:rsidR="00A01CA4" w:rsidRDefault="00A01CA4" w:rsidP="00DA322C">
      <w:pPr>
        <w:pStyle w:val="CETBodytext"/>
      </w:pPr>
    </w:p>
    <w:p w14:paraId="369842F6" w14:textId="0A4DBABA" w:rsidR="00A01CA4" w:rsidRDefault="00A01CA4" w:rsidP="00DA322C">
      <w:pPr>
        <w:pStyle w:val="CETBodytext"/>
      </w:pPr>
    </w:p>
    <w:p w14:paraId="63011F80" w14:textId="3D22589A" w:rsidR="00A01CA4" w:rsidRDefault="00A01CA4" w:rsidP="00DA322C">
      <w:pPr>
        <w:pStyle w:val="CETBodytext"/>
      </w:pPr>
    </w:p>
    <w:p w14:paraId="69ADE362" w14:textId="4EF925D4" w:rsidR="00A01CA4" w:rsidRDefault="00A01CA4" w:rsidP="00DA322C">
      <w:pPr>
        <w:pStyle w:val="CETBodytext"/>
      </w:pPr>
    </w:p>
    <w:p w14:paraId="472D2030" w14:textId="77777777" w:rsidR="00A01CA4" w:rsidRDefault="00A01CA4" w:rsidP="00DA322C">
      <w:pPr>
        <w:pStyle w:val="CETBodytext"/>
      </w:pPr>
    </w:p>
    <w:p w14:paraId="3382B89B" w14:textId="12D4249B" w:rsidR="006A38EE" w:rsidRDefault="006A38EE" w:rsidP="006A38EE">
      <w:pPr>
        <w:pStyle w:val="CETCaption"/>
      </w:pPr>
      <w:r>
        <w:lastRenderedPageBreak/>
        <w:t xml:space="preserve">Table </w:t>
      </w:r>
      <w:r>
        <w:fldChar w:fldCharType="begin"/>
      </w:r>
      <w:r>
        <w:instrText xml:space="preserve"> SEQ Table \* ARABIC </w:instrText>
      </w:r>
      <w:r>
        <w:fldChar w:fldCharType="separate"/>
      </w:r>
      <w:r>
        <w:rPr>
          <w:noProof/>
        </w:rPr>
        <w:t>1</w:t>
      </w:r>
      <w:r>
        <w:fldChar w:fldCharType="end"/>
      </w:r>
      <w:r>
        <w:t>: Determination coefficients, detection limits and accuracies of 1 family of VOCs (OVOCs) using FID and MS detections</w:t>
      </w:r>
    </w:p>
    <w:tbl>
      <w:tblPr>
        <w:tblpPr w:leftFromText="141" w:rightFromText="141" w:vertAnchor="text" w:horzAnchor="page" w:tblpX="1735" w:tblpY="91"/>
        <w:tblW w:w="9213" w:type="dxa"/>
        <w:tblCellMar>
          <w:left w:w="70" w:type="dxa"/>
          <w:right w:w="70" w:type="dxa"/>
        </w:tblCellMar>
        <w:tblLook w:val="04A0" w:firstRow="1" w:lastRow="0" w:firstColumn="1" w:lastColumn="0" w:noHBand="0" w:noVBand="1"/>
      </w:tblPr>
      <w:tblGrid>
        <w:gridCol w:w="191"/>
        <w:gridCol w:w="1938"/>
        <w:gridCol w:w="916"/>
        <w:gridCol w:w="1305"/>
        <w:gridCol w:w="748"/>
        <w:gridCol w:w="881"/>
        <w:gridCol w:w="191"/>
        <w:gridCol w:w="1305"/>
        <w:gridCol w:w="672"/>
        <w:gridCol w:w="881"/>
        <w:gridCol w:w="191"/>
      </w:tblGrid>
      <w:tr w:rsidR="00BF24F9" w:rsidRPr="00BF24F9" w14:paraId="4A2F969E" w14:textId="77777777" w:rsidTr="00BF24F9">
        <w:trPr>
          <w:trHeight w:val="273"/>
        </w:trPr>
        <w:tc>
          <w:tcPr>
            <w:tcW w:w="185" w:type="dxa"/>
            <w:tcBorders>
              <w:top w:val="single" w:sz="12" w:space="0" w:color="008000"/>
              <w:left w:val="nil"/>
              <w:bottom w:val="nil"/>
              <w:right w:val="nil"/>
            </w:tcBorders>
            <w:shd w:val="clear" w:color="auto" w:fill="auto"/>
            <w:noWrap/>
            <w:vAlign w:val="bottom"/>
            <w:hideMark/>
          </w:tcPr>
          <w:p w14:paraId="43962312" w14:textId="77777777" w:rsidR="006A38EE" w:rsidRPr="00BF24F9" w:rsidRDefault="006A38EE" w:rsidP="00BF24F9">
            <w:pPr>
              <w:pStyle w:val="CETBodytext"/>
            </w:pPr>
            <w:r w:rsidRPr="00BF24F9">
              <w:t> </w:t>
            </w:r>
          </w:p>
        </w:tc>
        <w:tc>
          <w:tcPr>
            <w:tcW w:w="1938" w:type="dxa"/>
            <w:tcBorders>
              <w:top w:val="single" w:sz="12" w:space="0" w:color="008000"/>
              <w:left w:val="nil"/>
              <w:bottom w:val="nil"/>
              <w:right w:val="nil"/>
            </w:tcBorders>
            <w:shd w:val="clear" w:color="auto" w:fill="auto"/>
            <w:noWrap/>
            <w:vAlign w:val="bottom"/>
            <w:hideMark/>
          </w:tcPr>
          <w:p w14:paraId="71CC4C4B" w14:textId="77777777" w:rsidR="006A38EE" w:rsidRPr="00BF24F9" w:rsidRDefault="006A38EE" w:rsidP="00BF24F9">
            <w:pPr>
              <w:pStyle w:val="CETBodytext"/>
            </w:pPr>
            <w:r w:rsidRPr="00BF24F9">
              <w:t>VOCs</w:t>
            </w:r>
          </w:p>
        </w:tc>
        <w:tc>
          <w:tcPr>
            <w:tcW w:w="916" w:type="dxa"/>
            <w:tcBorders>
              <w:top w:val="single" w:sz="12" w:space="0" w:color="008000"/>
              <w:left w:val="nil"/>
              <w:bottom w:val="nil"/>
              <w:right w:val="nil"/>
            </w:tcBorders>
            <w:shd w:val="clear" w:color="auto" w:fill="auto"/>
            <w:noWrap/>
            <w:vAlign w:val="bottom"/>
            <w:hideMark/>
          </w:tcPr>
          <w:p w14:paraId="4597C285" w14:textId="77777777" w:rsidR="006A38EE" w:rsidRPr="00BF24F9" w:rsidRDefault="006A38EE" w:rsidP="00BF24F9">
            <w:pPr>
              <w:pStyle w:val="CETBodytext"/>
            </w:pPr>
            <w:r w:rsidRPr="00BF24F9">
              <w:t> </w:t>
            </w:r>
          </w:p>
        </w:tc>
        <w:tc>
          <w:tcPr>
            <w:tcW w:w="2934" w:type="dxa"/>
            <w:gridSpan w:val="3"/>
            <w:tcBorders>
              <w:top w:val="single" w:sz="12" w:space="0" w:color="008000"/>
              <w:left w:val="nil"/>
              <w:bottom w:val="single" w:sz="12" w:space="0" w:color="008000"/>
              <w:right w:val="nil"/>
            </w:tcBorders>
            <w:shd w:val="clear" w:color="auto" w:fill="auto"/>
            <w:noWrap/>
            <w:vAlign w:val="bottom"/>
            <w:hideMark/>
          </w:tcPr>
          <w:p w14:paraId="6A0E4A18" w14:textId="77777777" w:rsidR="006A38EE" w:rsidRPr="00BF24F9" w:rsidRDefault="006A38EE" w:rsidP="00BF24F9">
            <w:pPr>
              <w:pStyle w:val="CETBodytext"/>
            </w:pPr>
            <w:r w:rsidRPr="00BF24F9">
              <w:t>FID Detection</w:t>
            </w:r>
          </w:p>
        </w:tc>
        <w:tc>
          <w:tcPr>
            <w:tcW w:w="191" w:type="dxa"/>
            <w:tcBorders>
              <w:top w:val="single" w:sz="12" w:space="0" w:color="008000"/>
              <w:left w:val="nil"/>
              <w:bottom w:val="nil"/>
              <w:right w:val="nil"/>
            </w:tcBorders>
            <w:shd w:val="clear" w:color="auto" w:fill="auto"/>
            <w:noWrap/>
            <w:vAlign w:val="bottom"/>
            <w:hideMark/>
          </w:tcPr>
          <w:p w14:paraId="413D7C7F" w14:textId="77777777" w:rsidR="006A38EE" w:rsidRPr="00BF24F9" w:rsidRDefault="006A38EE" w:rsidP="00BF24F9">
            <w:pPr>
              <w:pStyle w:val="CETBodytext"/>
            </w:pPr>
            <w:r w:rsidRPr="00BF24F9">
              <w:t> </w:t>
            </w:r>
          </w:p>
        </w:tc>
        <w:tc>
          <w:tcPr>
            <w:tcW w:w="2858" w:type="dxa"/>
            <w:gridSpan w:val="3"/>
            <w:tcBorders>
              <w:top w:val="single" w:sz="12" w:space="0" w:color="008000"/>
              <w:left w:val="nil"/>
              <w:bottom w:val="single" w:sz="4" w:space="0" w:color="auto"/>
              <w:right w:val="nil"/>
            </w:tcBorders>
            <w:shd w:val="clear" w:color="auto" w:fill="auto"/>
            <w:noWrap/>
            <w:vAlign w:val="bottom"/>
            <w:hideMark/>
          </w:tcPr>
          <w:p w14:paraId="6EDDDEB0" w14:textId="565E26CD" w:rsidR="006A38EE" w:rsidRPr="00BF24F9" w:rsidRDefault="006A38EE" w:rsidP="00BF24F9">
            <w:pPr>
              <w:pStyle w:val="CETBodytext"/>
            </w:pPr>
            <w:r w:rsidRPr="00BF24F9">
              <w:t xml:space="preserve">MS </w:t>
            </w:r>
            <w:r w:rsidR="003960C5">
              <w:t>D</w:t>
            </w:r>
            <w:r w:rsidRPr="00BF24F9">
              <w:t>etection</w:t>
            </w:r>
          </w:p>
        </w:tc>
        <w:tc>
          <w:tcPr>
            <w:tcW w:w="191" w:type="dxa"/>
            <w:tcBorders>
              <w:top w:val="single" w:sz="12" w:space="0" w:color="008000"/>
              <w:left w:val="nil"/>
              <w:bottom w:val="single" w:sz="12" w:space="0" w:color="008000"/>
              <w:right w:val="nil"/>
            </w:tcBorders>
            <w:shd w:val="clear" w:color="auto" w:fill="auto"/>
            <w:noWrap/>
            <w:vAlign w:val="bottom"/>
            <w:hideMark/>
          </w:tcPr>
          <w:p w14:paraId="50B4FBE0" w14:textId="77777777" w:rsidR="006A38EE" w:rsidRPr="00BF24F9" w:rsidRDefault="006A38EE" w:rsidP="00BF24F9">
            <w:pPr>
              <w:pStyle w:val="CETBodytext"/>
            </w:pPr>
            <w:r w:rsidRPr="00BF24F9">
              <w:t> </w:t>
            </w:r>
          </w:p>
        </w:tc>
      </w:tr>
      <w:tr w:rsidR="006A38EE" w:rsidRPr="00BF24F9" w14:paraId="1B8FC43D" w14:textId="77777777" w:rsidTr="00BF24F9">
        <w:trPr>
          <w:trHeight w:val="769"/>
        </w:trPr>
        <w:tc>
          <w:tcPr>
            <w:tcW w:w="185" w:type="dxa"/>
            <w:tcBorders>
              <w:top w:val="nil"/>
              <w:left w:val="nil"/>
              <w:bottom w:val="single" w:sz="12" w:space="0" w:color="008000"/>
              <w:right w:val="nil"/>
            </w:tcBorders>
            <w:shd w:val="clear" w:color="auto" w:fill="auto"/>
            <w:vAlign w:val="bottom"/>
            <w:hideMark/>
          </w:tcPr>
          <w:p w14:paraId="1EB207DD" w14:textId="77777777" w:rsidR="006A38EE" w:rsidRPr="00BF24F9" w:rsidRDefault="006A38EE" w:rsidP="00BF24F9">
            <w:pPr>
              <w:pStyle w:val="CETBodytext"/>
            </w:pPr>
            <w:r w:rsidRPr="00BF24F9">
              <w:t> </w:t>
            </w:r>
          </w:p>
        </w:tc>
        <w:tc>
          <w:tcPr>
            <w:tcW w:w="1938" w:type="dxa"/>
            <w:tcBorders>
              <w:top w:val="nil"/>
              <w:left w:val="nil"/>
              <w:bottom w:val="single" w:sz="12" w:space="0" w:color="008000"/>
              <w:right w:val="nil"/>
            </w:tcBorders>
            <w:shd w:val="clear" w:color="auto" w:fill="auto"/>
            <w:vAlign w:val="bottom"/>
            <w:hideMark/>
          </w:tcPr>
          <w:p w14:paraId="2EE4624F" w14:textId="77777777" w:rsidR="006A38EE" w:rsidRPr="00BF24F9" w:rsidRDefault="006A38EE" w:rsidP="00BF24F9">
            <w:pPr>
              <w:pStyle w:val="CETBodytext"/>
            </w:pPr>
          </w:p>
        </w:tc>
        <w:tc>
          <w:tcPr>
            <w:tcW w:w="916" w:type="dxa"/>
            <w:tcBorders>
              <w:top w:val="nil"/>
              <w:left w:val="nil"/>
              <w:bottom w:val="single" w:sz="12" w:space="0" w:color="008000"/>
              <w:right w:val="nil"/>
            </w:tcBorders>
            <w:shd w:val="clear" w:color="auto" w:fill="auto"/>
            <w:vAlign w:val="bottom"/>
            <w:hideMark/>
          </w:tcPr>
          <w:p w14:paraId="0A9C2CF2" w14:textId="77777777" w:rsidR="006A38EE" w:rsidRPr="00BF24F9" w:rsidRDefault="006A38EE" w:rsidP="00BF24F9">
            <w:pPr>
              <w:pStyle w:val="CETBodytext"/>
            </w:pPr>
            <w:r w:rsidRPr="00BF24F9">
              <w:t>Odor threshold (ppb</w:t>
            </w:r>
            <w:r w:rsidRPr="00BF24F9">
              <w:rPr>
                <w:vertAlign w:val="subscript"/>
              </w:rPr>
              <w:t>v</w:t>
            </w:r>
            <w:r w:rsidRPr="00BF24F9">
              <w:t>)</w:t>
            </w:r>
          </w:p>
        </w:tc>
        <w:tc>
          <w:tcPr>
            <w:tcW w:w="1305" w:type="dxa"/>
            <w:tcBorders>
              <w:top w:val="single" w:sz="12" w:space="0" w:color="008000"/>
              <w:left w:val="nil"/>
              <w:bottom w:val="single" w:sz="12" w:space="0" w:color="008000"/>
              <w:right w:val="nil"/>
            </w:tcBorders>
            <w:shd w:val="clear" w:color="auto" w:fill="auto"/>
            <w:vAlign w:val="bottom"/>
            <w:hideMark/>
          </w:tcPr>
          <w:p w14:paraId="2474F4E4" w14:textId="77777777" w:rsidR="006A38EE" w:rsidRPr="00BF24F9" w:rsidRDefault="006A38EE" w:rsidP="00BF24F9">
            <w:pPr>
              <w:pStyle w:val="CETBodytext"/>
            </w:pPr>
            <w:r w:rsidRPr="00BF24F9">
              <w:t>Determination coefficient (R²)</w:t>
            </w:r>
          </w:p>
        </w:tc>
        <w:tc>
          <w:tcPr>
            <w:tcW w:w="748" w:type="dxa"/>
            <w:tcBorders>
              <w:top w:val="single" w:sz="12" w:space="0" w:color="008000"/>
              <w:left w:val="nil"/>
              <w:bottom w:val="single" w:sz="12" w:space="0" w:color="008000"/>
              <w:right w:val="nil"/>
            </w:tcBorders>
            <w:shd w:val="clear" w:color="auto" w:fill="auto"/>
            <w:vAlign w:val="bottom"/>
            <w:hideMark/>
          </w:tcPr>
          <w:p w14:paraId="35E3926A" w14:textId="77777777" w:rsidR="006A38EE" w:rsidRPr="00BF24F9" w:rsidRDefault="006A38EE" w:rsidP="00BF24F9">
            <w:pPr>
              <w:pStyle w:val="CETBodytext"/>
            </w:pPr>
            <w:r w:rsidRPr="00BF24F9">
              <w:t>LOD (ppb</w:t>
            </w:r>
            <w:r w:rsidRPr="00BF24F9">
              <w:rPr>
                <w:vertAlign w:val="subscript"/>
              </w:rPr>
              <w:t>v</w:t>
            </w:r>
            <w:r w:rsidRPr="00BF24F9">
              <w:t>)</w:t>
            </w:r>
          </w:p>
        </w:tc>
        <w:tc>
          <w:tcPr>
            <w:tcW w:w="881" w:type="dxa"/>
            <w:tcBorders>
              <w:top w:val="single" w:sz="12" w:space="0" w:color="008000"/>
              <w:left w:val="nil"/>
              <w:bottom w:val="single" w:sz="12" w:space="0" w:color="008000"/>
              <w:right w:val="nil"/>
            </w:tcBorders>
            <w:shd w:val="clear" w:color="auto" w:fill="auto"/>
            <w:vAlign w:val="bottom"/>
            <w:hideMark/>
          </w:tcPr>
          <w:p w14:paraId="7674C033" w14:textId="77777777" w:rsidR="006A38EE" w:rsidRPr="00BF24F9" w:rsidRDefault="006A38EE" w:rsidP="00BF24F9">
            <w:pPr>
              <w:pStyle w:val="CETBodytext"/>
            </w:pPr>
            <w:r w:rsidRPr="00BF24F9">
              <w:t>Accuracy at 4 ppb</w:t>
            </w:r>
            <w:r w:rsidRPr="00BF24F9">
              <w:rPr>
                <w:vertAlign w:val="subscript"/>
              </w:rPr>
              <w:t>v</w:t>
            </w:r>
            <w:r w:rsidRPr="00BF24F9">
              <w:t xml:space="preserve"> (%)</w:t>
            </w:r>
          </w:p>
        </w:tc>
        <w:tc>
          <w:tcPr>
            <w:tcW w:w="191" w:type="dxa"/>
            <w:tcBorders>
              <w:top w:val="nil"/>
              <w:left w:val="nil"/>
              <w:bottom w:val="nil"/>
              <w:right w:val="nil"/>
            </w:tcBorders>
            <w:shd w:val="clear" w:color="auto" w:fill="auto"/>
            <w:vAlign w:val="bottom"/>
            <w:hideMark/>
          </w:tcPr>
          <w:p w14:paraId="77FE609B" w14:textId="77777777" w:rsidR="006A38EE" w:rsidRPr="00BF24F9" w:rsidRDefault="006A38EE" w:rsidP="00BF24F9">
            <w:pPr>
              <w:pStyle w:val="CETBodytext"/>
            </w:pPr>
          </w:p>
        </w:tc>
        <w:tc>
          <w:tcPr>
            <w:tcW w:w="1305" w:type="dxa"/>
            <w:tcBorders>
              <w:top w:val="single" w:sz="12" w:space="0" w:color="008000"/>
              <w:left w:val="nil"/>
              <w:bottom w:val="single" w:sz="12" w:space="0" w:color="008000"/>
              <w:right w:val="nil"/>
            </w:tcBorders>
            <w:shd w:val="clear" w:color="auto" w:fill="auto"/>
            <w:vAlign w:val="bottom"/>
            <w:hideMark/>
          </w:tcPr>
          <w:p w14:paraId="74CD12B7" w14:textId="77777777" w:rsidR="006A38EE" w:rsidRPr="00BF24F9" w:rsidRDefault="006A38EE" w:rsidP="00BF24F9">
            <w:pPr>
              <w:pStyle w:val="CETBodytext"/>
            </w:pPr>
            <w:r w:rsidRPr="00BF24F9">
              <w:t>Determination coefficient (R²)</w:t>
            </w:r>
          </w:p>
        </w:tc>
        <w:tc>
          <w:tcPr>
            <w:tcW w:w="672" w:type="dxa"/>
            <w:tcBorders>
              <w:top w:val="single" w:sz="12" w:space="0" w:color="008000"/>
              <w:left w:val="nil"/>
              <w:bottom w:val="single" w:sz="12" w:space="0" w:color="008000"/>
              <w:right w:val="nil"/>
            </w:tcBorders>
            <w:shd w:val="clear" w:color="auto" w:fill="auto"/>
            <w:vAlign w:val="bottom"/>
            <w:hideMark/>
          </w:tcPr>
          <w:p w14:paraId="7A53F2C9" w14:textId="77777777" w:rsidR="006A38EE" w:rsidRPr="00BF24F9" w:rsidRDefault="006A38EE" w:rsidP="00BF24F9">
            <w:pPr>
              <w:pStyle w:val="CETBodytext"/>
            </w:pPr>
            <w:r w:rsidRPr="00BF24F9">
              <w:t>LOD (ppb</w:t>
            </w:r>
            <w:r w:rsidRPr="00BF24F9">
              <w:rPr>
                <w:vertAlign w:val="subscript"/>
              </w:rPr>
              <w:t>v</w:t>
            </w:r>
            <w:r w:rsidRPr="00BF24F9">
              <w:t>)</w:t>
            </w:r>
          </w:p>
        </w:tc>
        <w:tc>
          <w:tcPr>
            <w:tcW w:w="881" w:type="dxa"/>
            <w:tcBorders>
              <w:top w:val="single" w:sz="12" w:space="0" w:color="008000"/>
              <w:left w:val="nil"/>
              <w:bottom w:val="single" w:sz="12" w:space="0" w:color="008000"/>
              <w:right w:val="nil"/>
            </w:tcBorders>
            <w:shd w:val="clear" w:color="auto" w:fill="auto"/>
            <w:vAlign w:val="bottom"/>
            <w:hideMark/>
          </w:tcPr>
          <w:p w14:paraId="0195F00D" w14:textId="2A4D3216" w:rsidR="006A38EE" w:rsidRPr="00BF24F9" w:rsidRDefault="006A38EE" w:rsidP="00BF24F9">
            <w:pPr>
              <w:pStyle w:val="CETBodytext"/>
            </w:pPr>
            <w:r w:rsidRPr="00BF24F9">
              <w:t>Accuracy</w:t>
            </w:r>
            <w:r w:rsidR="00BF24F9">
              <w:t xml:space="preserve"> at 4 ppb</w:t>
            </w:r>
            <w:r w:rsidR="00BF24F9" w:rsidRPr="00BF24F9">
              <w:rPr>
                <w:vertAlign w:val="subscript"/>
              </w:rPr>
              <w:t>v</w:t>
            </w:r>
            <w:r w:rsidRPr="00BF24F9">
              <w:t xml:space="preserve"> (%)</w:t>
            </w:r>
          </w:p>
        </w:tc>
        <w:tc>
          <w:tcPr>
            <w:tcW w:w="191" w:type="dxa"/>
            <w:tcBorders>
              <w:top w:val="single" w:sz="12" w:space="0" w:color="008000"/>
              <w:left w:val="nil"/>
              <w:bottom w:val="nil"/>
              <w:right w:val="nil"/>
            </w:tcBorders>
            <w:shd w:val="clear" w:color="auto" w:fill="auto"/>
            <w:vAlign w:val="bottom"/>
            <w:hideMark/>
          </w:tcPr>
          <w:p w14:paraId="7026CCE8" w14:textId="77777777" w:rsidR="006A38EE" w:rsidRPr="00BF24F9" w:rsidRDefault="006A38EE" w:rsidP="00BF24F9">
            <w:pPr>
              <w:pStyle w:val="CETBodytext"/>
            </w:pPr>
          </w:p>
        </w:tc>
      </w:tr>
      <w:tr w:rsidR="006A38EE" w:rsidRPr="00BF24F9" w14:paraId="2EBE1ED9" w14:textId="77777777" w:rsidTr="006E0D24">
        <w:trPr>
          <w:trHeight w:val="145"/>
        </w:trPr>
        <w:tc>
          <w:tcPr>
            <w:tcW w:w="185" w:type="dxa"/>
            <w:tcBorders>
              <w:top w:val="single" w:sz="12" w:space="0" w:color="008000"/>
              <w:left w:val="nil"/>
              <w:bottom w:val="nil"/>
              <w:right w:val="nil"/>
            </w:tcBorders>
            <w:shd w:val="clear" w:color="auto" w:fill="auto"/>
            <w:noWrap/>
            <w:vAlign w:val="bottom"/>
            <w:hideMark/>
          </w:tcPr>
          <w:p w14:paraId="75682303" w14:textId="77777777" w:rsidR="006A38EE" w:rsidRPr="00BF24F9" w:rsidRDefault="006A38EE" w:rsidP="00BF24F9">
            <w:pPr>
              <w:pStyle w:val="CETBodytext"/>
            </w:pPr>
          </w:p>
        </w:tc>
        <w:tc>
          <w:tcPr>
            <w:tcW w:w="1938" w:type="dxa"/>
            <w:tcBorders>
              <w:top w:val="single" w:sz="12" w:space="0" w:color="008000"/>
              <w:left w:val="nil"/>
              <w:bottom w:val="nil"/>
              <w:right w:val="nil"/>
            </w:tcBorders>
            <w:shd w:val="clear" w:color="auto" w:fill="auto"/>
            <w:noWrap/>
            <w:vAlign w:val="bottom"/>
            <w:hideMark/>
          </w:tcPr>
          <w:p w14:paraId="3714158A" w14:textId="7503707E" w:rsidR="006A38EE" w:rsidRPr="00BF24F9" w:rsidRDefault="006A38EE" w:rsidP="00BF24F9">
            <w:pPr>
              <w:pStyle w:val="CETBodytext"/>
            </w:pPr>
          </w:p>
        </w:tc>
        <w:tc>
          <w:tcPr>
            <w:tcW w:w="916" w:type="dxa"/>
            <w:tcBorders>
              <w:top w:val="single" w:sz="12" w:space="0" w:color="008000"/>
              <w:left w:val="nil"/>
              <w:bottom w:val="nil"/>
              <w:right w:val="nil"/>
            </w:tcBorders>
            <w:shd w:val="clear" w:color="auto" w:fill="auto"/>
            <w:noWrap/>
            <w:vAlign w:val="bottom"/>
            <w:hideMark/>
          </w:tcPr>
          <w:p w14:paraId="188B14E5" w14:textId="77777777" w:rsidR="006A38EE" w:rsidRPr="00BF24F9" w:rsidRDefault="006A38EE" w:rsidP="00BF24F9">
            <w:pPr>
              <w:pStyle w:val="CETBodytext"/>
            </w:pPr>
          </w:p>
        </w:tc>
        <w:tc>
          <w:tcPr>
            <w:tcW w:w="1305" w:type="dxa"/>
            <w:tcBorders>
              <w:top w:val="single" w:sz="12" w:space="0" w:color="008000"/>
              <w:left w:val="nil"/>
              <w:bottom w:val="nil"/>
              <w:right w:val="nil"/>
            </w:tcBorders>
            <w:shd w:val="clear" w:color="auto" w:fill="auto"/>
            <w:noWrap/>
            <w:vAlign w:val="bottom"/>
            <w:hideMark/>
          </w:tcPr>
          <w:p w14:paraId="2AAD4CCA" w14:textId="77777777" w:rsidR="006A38EE" w:rsidRPr="00BF24F9" w:rsidRDefault="006A38EE" w:rsidP="00BF24F9">
            <w:pPr>
              <w:pStyle w:val="CETBodytext"/>
            </w:pPr>
          </w:p>
        </w:tc>
        <w:tc>
          <w:tcPr>
            <w:tcW w:w="748" w:type="dxa"/>
            <w:tcBorders>
              <w:top w:val="single" w:sz="12" w:space="0" w:color="008000"/>
              <w:left w:val="nil"/>
              <w:bottom w:val="nil"/>
              <w:right w:val="nil"/>
            </w:tcBorders>
            <w:shd w:val="clear" w:color="auto" w:fill="auto"/>
            <w:noWrap/>
            <w:vAlign w:val="bottom"/>
            <w:hideMark/>
          </w:tcPr>
          <w:p w14:paraId="5567B2AE" w14:textId="77777777" w:rsidR="006A38EE" w:rsidRPr="00BF24F9" w:rsidRDefault="006A38EE" w:rsidP="00BF24F9">
            <w:pPr>
              <w:pStyle w:val="CETBodytext"/>
            </w:pPr>
          </w:p>
        </w:tc>
        <w:tc>
          <w:tcPr>
            <w:tcW w:w="881" w:type="dxa"/>
            <w:tcBorders>
              <w:top w:val="single" w:sz="12" w:space="0" w:color="008000"/>
              <w:left w:val="nil"/>
              <w:bottom w:val="nil"/>
              <w:right w:val="nil"/>
            </w:tcBorders>
            <w:shd w:val="clear" w:color="auto" w:fill="auto"/>
            <w:noWrap/>
            <w:vAlign w:val="bottom"/>
            <w:hideMark/>
          </w:tcPr>
          <w:p w14:paraId="063E9A20" w14:textId="77777777" w:rsidR="006A38EE" w:rsidRPr="00BF24F9" w:rsidRDefault="006A38EE" w:rsidP="00BF24F9">
            <w:pPr>
              <w:pStyle w:val="CETBodytext"/>
            </w:pPr>
          </w:p>
        </w:tc>
        <w:tc>
          <w:tcPr>
            <w:tcW w:w="191" w:type="dxa"/>
            <w:tcBorders>
              <w:top w:val="nil"/>
              <w:left w:val="nil"/>
              <w:bottom w:val="nil"/>
              <w:right w:val="nil"/>
            </w:tcBorders>
            <w:shd w:val="clear" w:color="auto" w:fill="auto"/>
            <w:noWrap/>
            <w:vAlign w:val="bottom"/>
            <w:hideMark/>
          </w:tcPr>
          <w:p w14:paraId="2AAB7A18" w14:textId="77777777" w:rsidR="006A38EE" w:rsidRPr="00BF24F9" w:rsidRDefault="006A38EE" w:rsidP="00BF24F9">
            <w:pPr>
              <w:pStyle w:val="CETBodytext"/>
            </w:pPr>
          </w:p>
        </w:tc>
        <w:tc>
          <w:tcPr>
            <w:tcW w:w="1305" w:type="dxa"/>
            <w:tcBorders>
              <w:top w:val="single" w:sz="12" w:space="0" w:color="008000"/>
              <w:left w:val="nil"/>
              <w:bottom w:val="nil"/>
              <w:right w:val="nil"/>
            </w:tcBorders>
            <w:shd w:val="clear" w:color="auto" w:fill="auto"/>
            <w:noWrap/>
            <w:vAlign w:val="bottom"/>
            <w:hideMark/>
          </w:tcPr>
          <w:p w14:paraId="0F77B49A" w14:textId="77777777" w:rsidR="006A38EE" w:rsidRPr="00BF24F9" w:rsidRDefault="006A38EE" w:rsidP="00BF24F9">
            <w:pPr>
              <w:pStyle w:val="CETBodytext"/>
            </w:pPr>
          </w:p>
        </w:tc>
        <w:tc>
          <w:tcPr>
            <w:tcW w:w="672" w:type="dxa"/>
            <w:tcBorders>
              <w:top w:val="single" w:sz="12" w:space="0" w:color="008000"/>
              <w:left w:val="nil"/>
              <w:bottom w:val="nil"/>
              <w:right w:val="nil"/>
            </w:tcBorders>
            <w:shd w:val="clear" w:color="auto" w:fill="auto"/>
            <w:noWrap/>
            <w:vAlign w:val="bottom"/>
            <w:hideMark/>
          </w:tcPr>
          <w:p w14:paraId="7E582F2A" w14:textId="77777777" w:rsidR="006A38EE" w:rsidRPr="00BF24F9" w:rsidRDefault="006A38EE" w:rsidP="00BF24F9">
            <w:pPr>
              <w:pStyle w:val="CETBodytext"/>
            </w:pPr>
          </w:p>
        </w:tc>
        <w:tc>
          <w:tcPr>
            <w:tcW w:w="881" w:type="dxa"/>
            <w:tcBorders>
              <w:top w:val="single" w:sz="12" w:space="0" w:color="008000"/>
              <w:left w:val="nil"/>
              <w:bottom w:val="nil"/>
              <w:right w:val="nil"/>
            </w:tcBorders>
            <w:shd w:val="clear" w:color="auto" w:fill="auto"/>
            <w:noWrap/>
            <w:vAlign w:val="bottom"/>
            <w:hideMark/>
          </w:tcPr>
          <w:p w14:paraId="18165971" w14:textId="77777777" w:rsidR="006A38EE" w:rsidRPr="00BF24F9" w:rsidRDefault="006A38EE" w:rsidP="00BF24F9">
            <w:pPr>
              <w:pStyle w:val="CETBodytext"/>
            </w:pPr>
          </w:p>
        </w:tc>
        <w:tc>
          <w:tcPr>
            <w:tcW w:w="191" w:type="dxa"/>
            <w:tcBorders>
              <w:top w:val="nil"/>
              <w:left w:val="nil"/>
              <w:bottom w:val="nil"/>
              <w:right w:val="nil"/>
            </w:tcBorders>
            <w:shd w:val="clear" w:color="auto" w:fill="auto"/>
            <w:noWrap/>
            <w:vAlign w:val="bottom"/>
            <w:hideMark/>
          </w:tcPr>
          <w:p w14:paraId="2C720F35" w14:textId="77777777" w:rsidR="006A38EE" w:rsidRPr="00BF24F9" w:rsidRDefault="006A38EE" w:rsidP="00BF24F9">
            <w:pPr>
              <w:pStyle w:val="CETBodytext"/>
            </w:pPr>
          </w:p>
        </w:tc>
      </w:tr>
      <w:tr w:rsidR="006A38EE" w:rsidRPr="00BF24F9" w14:paraId="38AF4131" w14:textId="77777777" w:rsidTr="00BF24F9">
        <w:trPr>
          <w:trHeight w:val="273"/>
        </w:trPr>
        <w:tc>
          <w:tcPr>
            <w:tcW w:w="185" w:type="dxa"/>
            <w:tcBorders>
              <w:top w:val="nil"/>
              <w:left w:val="nil"/>
              <w:bottom w:val="nil"/>
              <w:right w:val="nil"/>
            </w:tcBorders>
            <w:shd w:val="clear" w:color="auto" w:fill="auto"/>
            <w:noWrap/>
            <w:vAlign w:val="center"/>
            <w:hideMark/>
          </w:tcPr>
          <w:p w14:paraId="4EB24652" w14:textId="77777777" w:rsidR="006A38EE" w:rsidRPr="00BF24F9" w:rsidRDefault="006A38EE" w:rsidP="00BF24F9">
            <w:pPr>
              <w:pStyle w:val="CETBodytext"/>
            </w:pPr>
          </w:p>
        </w:tc>
        <w:tc>
          <w:tcPr>
            <w:tcW w:w="1938" w:type="dxa"/>
            <w:tcBorders>
              <w:top w:val="nil"/>
              <w:left w:val="nil"/>
              <w:bottom w:val="nil"/>
              <w:right w:val="nil"/>
            </w:tcBorders>
            <w:shd w:val="clear" w:color="auto" w:fill="auto"/>
            <w:noWrap/>
            <w:vAlign w:val="center"/>
            <w:hideMark/>
          </w:tcPr>
          <w:p w14:paraId="28408950" w14:textId="77777777" w:rsidR="006A38EE" w:rsidRPr="00BF24F9" w:rsidRDefault="006A38EE" w:rsidP="00BF24F9">
            <w:pPr>
              <w:pStyle w:val="CETBodytext"/>
            </w:pPr>
            <w:r w:rsidRPr="00BF24F9">
              <w:t>Acrolein</w:t>
            </w:r>
          </w:p>
        </w:tc>
        <w:tc>
          <w:tcPr>
            <w:tcW w:w="916" w:type="dxa"/>
            <w:tcBorders>
              <w:top w:val="nil"/>
              <w:left w:val="nil"/>
              <w:bottom w:val="nil"/>
              <w:right w:val="nil"/>
            </w:tcBorders>
            <w:shd w:val="clear" w:color="auto" w:fill="auto"/>
            <w:noWrap/>
            <w:vAlign w:val="center"/>
            <w:hideMark/>
          </w:tcPr>
          <w:p w14:paraId="4EE08D84" w14:textId="77777777" w:rsidR="006A38EE" w:rsidRPr="00BF24F9" w:rsidRDefault="006A38EE" w:rsidP="00BF24F9">
            <w:pPr>
              <w:pStyle w:val="CETBodytext"/>
            </w:pPr>
            <w:r w:rsidRPr="00BF24F9">
              <w:t>1800</w:t>
            </w:r>
          </w:p>
        </w:tc>
        <w:tc>
          <w:tcPr>
            <w:tcW w:w="1305" w:type="dxa"/>
            <w:tcBorders>
              <w:top w:val="nil"/>
              <w:left w:val="nil"/>
              <w:bottom w:val="nil"/>
              <w:right w:val="nil"/>
            </w:tcBorders>
            <w:shd w:val="clear" w:color="auto" w:fill="auto"/>
            <w:noWrap/>
            <w:vAlign w:val="center"/>
            <w:hideMark/>
          </w:tcPr>
          <w:p w14:paraId="17A1D76C" w14:textId="1FFF92CD" w:rsidR="006A38EE" w:rsidRPr="00BF24F9" w:rsidRDefault="006A38EE" w:rsidP="00BF24F9">
            <w:pPr>
              <w:pStyle w:val="CETBodytext"/>
            </w:pPr>
            <w:r w:rsidRPr="00BF24F9">
              <w:t>0</w:t>
            </w:r>
            <w:r w:rsidR="00DC414A">
              <w:t>.</w:t>
            </w:r>
            <w:r w:rsidRPr="00BF24F9">
              <w:t>9992</w:t>
            </w:r>
          </w:p>
        </w:tc>
        <w:tc>
          <w:tcPr>
            <w:tcW w:w="748" w:type="dxa"/>
            <w:tcBorders>
              <w:top w:val="nil"/>
              <w:left w:val="nil"/>
              <w:bottom w:val="nil"/>
              <w:right w:val="nil"/>
            </w:tcBorders>
            <w:shd w:val="clear" w:color="auto" w:fill="auto"/>
            <w:noWrap/>
            <w:vAlign w:val="center"/>
            <w:hideMark/>
          </w:tcPr>
          <w:p w14:paraId="36D2153D" w14:textId="2AAF9439" w:rsidR="006A38EE" w:rsidRPr="00BF24F9" w:rsidRDefault="006A38EE" w:rsidP="00BF24F9">
            <w:pPr>
              <w:pStyle w:val="CETBodytext"/>
            </w:pPr>
            <w:r w:rsidRPr="00BF24F9">
              <w:t>0</w:t>
            </w:r>
            <w:r w:rsidR="00DC414A">
              <w:t>.</w:t>
            </w:r>
            <w:r w:rsidRPr="00BF24F9">
              <w:t>093</w:t>
            </w:r>
          </w:p>
        </w:tc>
        <w:tc>
          <w:tcPr>
            <w:tcW w:w="881" w:type="dxa"/>
            <w:tcBorders>
              <w:top w:val="nil"/>
              <w:left w:val="nil"/>
              <w:bottom w:val="nil"/>
              <w:right w:val="nil"/>
            </w:tcBorders>
            <w:shd w:val="clear" w:color="auto" w:fill="auto"/>
            <w:noWrap/>
            <w:vAlign w:val="center"/>
            <w:hideMark/>
          </w:tcPr>
          <w:p w14:paraId="3485982F" w14:textId="2CD608B4" w:rsidR="006A38EE" w:rsidRPr="00BF24F9" w:rsidRDefault="006A38EE" w:rsidP="00BF24F9">
            <w:pPr>
              <w:pStyle w:val="CETBodytext"/>
            </w:pPr>
            <w:r w:rsidRPr="00BF24F9">
              <w:t>2</w:t>
            </w:r>
            <w:r w:rsidR="00DC414A">
              <w:t>.</w:t>
            </w:r>
            <w:r w:rsidRPr="00BF24F9">
              <w:t>62</w:t>
            </w:r>
          </w:p>
        </w:tc>
        <w:tc>
          <w:tcPr>
            <w:tcW w:w="191" w:type="dxa"/>
            <w:tcBorders>
              <w:top w:val="nil"/>
              <w:left w:val="nil"/>
              <w:bottom w:val="nil"/>
              <w:right w:val="nil"/>
            </w:tcBorders>
            <w:shd w:val="clear" w:color="auto" w:fill="auto"/>
            <w:noWrap/>
            <w:vAlign w:val="center"/>
            <w:hideMark/>
          </w:tcPr>
          <w:p w14:paraId="042C0072" w14:textId="77777777" w:rsidR="006A38EE" w:rsidRPr="00BF24F9" w:rsidRDefault="006A38EE" w:rsidP="00BF24F9">
            <w:pPr>
              <w:pStyle w:val="CETBodytext"/>
            </w:pPr>
          </w:p>
        </w:tc>
        <w:tc>
          <w:tcPr>
            <w:tcW w:w="1305" w:type="dxa"/>
            <w:tcBorders>
              <w:top w:val="nil"/>
              <w:left w:val="nil"/>
              <w:bottom w:val="nil"/>
              <w:right w:val="nil"/>
            </w:tcBorders>
            <w:shd w:val="clear" w:color="auto" w:fill="auto"/>
            <w:noWrap/>
            <w:vAlign w:val="center"/>
            <w:hideMark/>
          </w:tcPr>
          <w:p w14:paraId="2719BFD3" w14:textId="2A18AB7F" w:rsidR="006A38EE" w:rsidRPr="00BF24F9" w:rsidRDefault="006A38EE" w:rsidP="00BF24F9">
            <w:pPr>
              <w:pStyle w:val="CETBodytext"/>
            </w:pPr>
            <w:r w:rsidRPr="00BF24F9">
              <w:t>0</w:t>
            </w:r>
            <w:r w:rsidR="00DC414A">
              <w:t>.</w:t>
            </w:r>
            <w:r w:rsidRPr="00BF24F9">
              <w:t>9990</w:t>
            </w:r>
          </w:p>
        </w:tc>
        <w:tc>
          <w:tcPr>
            <w:tcW w:w="672" w:type="dxa"/>
            <w:tcBorders>
              <w:top w:val="nil"/>
              <w:left w:val="nil"/>
              <w:bottom w:val="nil"/>
              <w:right w:val="nil"/>
            </w:tcBorders>
            <w:shd w:val="clear" w:color="auto" w:fill="auto"/>
            <w:noWrap/>
            <w:vAlign w:val="center"/>
            <w:hideMark/>
          </w:tcPr>
          <w:p w14:paraId="21E0D427" w14:textId="0F77F344" w:rsidR="006A38EE" w:rsidRPr="00BF24F9" w:rsidRDefault="006A38EE" w:rsidP="00BF24F9">
            <w:pPr>
              <w:pStyle w:val="CETBodytext"/>
            </w:pPr>
            <w:r w:rsidRPr="00BF24F9">
              <w:t>0</w:t>
            </w:r>
            <w:r w:rsidR="00DC414A">
              <w:t>.</w:t>
            </w:r>
            <w:r w:rsidRPr="00BF24F9">
              <w:t>277</w:t>
            </w:r>
          </w:p>
        </w:tc>
        <w:tc>
          <w:tcPr>
            <w:tcW w:w="881" w:type="dxa"/>
            <w:tcBorders>
              <w:top w:val="nil"/>
              <w:left w:val="nil"/>
              <w:bottom w:val="nil"/>
              <w:right w:val="nil"/>
            </w:tcBorders>
            <w:shd w:val="clear" w:color="auto" w:fill="auto"/>
            <w:noWrap/>
            <w:vAlign w:val="center"/>
            <w:hideMark/>
          </w:tcPr>
          <w:p w14:paraId="49378F1E" w14:textId="07BC402A" w:rsidR="006A38EE" w:rsidRPr="00BF24F9" w:rsidRDefault="006A38EE" w:rsidP="00BF24F9">
            <w:pPr>
              <w:pStyle w:val="CETBodytext"/>
            </w:pPr>
            <w:r w:rsidRPr="00BF24F9">
              <w:t>1</w:t>
            </w:r>
            <w:r w:rsidR="00DC414A">
              <w:t>.</w:t>
            </w:r>
            <w:r w:rsidRPr="00BF24F9">
              <w:t>67</w:t>
            </w:r>
          </w:p>
        </w:tc>
        <w:tc>
          <w:tcPr>
            <w:tcW w:w="191" w:type="dxa"/>
            <w:tcBorders>
              <w:top w:val="nil"/>
              <w:left w:val="nil"/>
              <w:bottom w:val="nil"/>
              <w:right w:val="nil"/>
            </w:tcBorders>
            <w:shd w:val="clear" w:color="auto" w:fill="auto"/>
            <w:noWrap/>
            <w:vAlign w:val="bottom"/>
            <w:hideMark/>
          </w:tcPr>
          <w:p w14:paraId="737A5F84" w14:textId="77777777" w:rsidR="006A38EE" w:rsidRPr="00BF24F9" w:rsidRDefault="006A38EE" w:rsidP="00BF24F9">
            <w:pPr>
              <w:pStyle w:val="CETBodytext"/>
            </w:pPr>
          </w:p>
        </w:tc>
      </w:tr>
      <w:tr w:rsidR="006A38EE" w:rsidRPr="00BF24F9" w14:paraId="5DC9F0E8" w14:textId="77777777" w:rsidTr="00BF24F9">
        <w:trPr>
          <w:trHeight w:val="273"/>
        </w:trPr>
        <w:tc>
          <w:tcPr>
            <w:tcW w:w="185" w:type="dxa"/>
            <w:tcBorders>
              <w:top w:val="nil"/>
              <w:left w:val="nil"/>
              <w:bottom w:val="nil"/>
              <w:right w:val="nil"/>
            </w:tcBorders>
            <w:shd w:val="clear" w:color="auto" w:fill="auto"/>
            <w:noWrap/>
            <w:vAlign w:val="center"/>
            <w:hideMark/>
          </w:tcPr>
          <w:p w14:paraId="3664C08E" w14:textId="77777777" w:rsidR="006A38EE" w:rsidRPr="00BF24F9" w:rsidRDefault="006A38EE" w:rsidP="00BF24F9">
            <w:pPr>
              <w:pStyle w:val="CETBodytext"/>
            </w:pPr>
          </w:p>
        </w:tc>
        <w:tc>
          <w:tcPr>
            <w:tcW w:w="1938" w:type="dxa"/>
            <w:tcBorders>
              <w:top w:val="nil"/>
              <w:left w:val="nil"/>
              <w:bottom w:val="nil"/>
              <w:right w:val="nil"/>
            </w:tcBorders>
            <w:shd w:val="clear" w:color="auto" w:fill="auto"/>
            <w:noWrap/>
            <w:vAlign w:val="center"/>
            <w:hideMark/>
          </w:tcPr>
          <w:p w14:paraId="523BD390" w14:textId="77777777" w:rsidR="006A38EE" w:rsidRPr="00BF24F9" w:rsidRDefault="006A38EE" w:rsidP="00BF24F9">
            <w:pPr>
              <w:pStyle w:val="CETBodytext"/>
            </w:pPr>
            <w:r w:rsidRPr="00BF24F9">
              <w:t>Acetone</w:t>
            </w:r>
          </w:p>
        </w:tc>
        <w:tc>
          <w:tcPr>
            <w:tcW w:w="916" w:type="dxa"/>
            <w:tcBorders>
              <w:top w:val="nil"/>
              <w:left w:val="nil"/>
              <w:bottom w:val="nil"/>
              <w:right w:val="nil"/>
            </w:tcBorders>
            <w:shd w:val="clear" w:color="auto" w:fill="auto"/>
            <w:noWrap/>
            <w:vAlign w:val="center"/>
            <w:hideMark/>
          </w:tcPr>
          <w:p w14:paraId="5C301C32" w14:textId="77777777" w:rsidR="006A38EE" w:rsidRPr="00BF24F9" w:rsidRDefault="006A38EE" w:rsidP="00BF24F9">
            <w:pPr>
              <w:pStyle w:val="CETBodytext"/>
            </w:pPr>
            <w:r w:rsidRPr="00BF24F9">
              <w:t>100000</w:t>
            </w:r>
          </w:p>
        </w:tc>
        <w:tc>
          <w:tcPr>
            <w:tcW w:w="1305" w:type="dxa"/>
            <w:tcBorders>
              <w:top w:val="nil"/>
              <w:left w:val="nil"/>
              <w:bottom w:val="nil"/>
              <w:right w:val="nil"/>
            </w:tcBorders>
            <w:shd w:val="clear" w:color="auto" w:fill="auto"/>
            <w:noWrap/>
            <w:vAlign w:val="center"/>
            <w:hideMark/>
          </w:tcPr>
          <w:p w14:paraId="3CB67EAF" w14:textId="5BF6312C" w:rsidR="006A38EE" w:rsidRPr="00BF24F9" w:rsidRDefault="006A38EE" w:rsidP="00BF24F9">
            <w:pPr>
              <w:pStyle w:val="CETBodytext"/>
            </w:pPr>
            <w:r w:rsidRPr="00BF24F9">
              <w:t>0</w:t>
            </w:r>
            <w:r w:rsidR="00DC414A">
              <w:t>.</w:t>
            </w:r>
            <w:r w:rsidRPr="00BF24F9">
              <w:t>9960</w:t>
            </w:r>
          </w:p>
        </w:tc>
        <w:tc>
          <w:tcPr>
            <w:tcW w:w="748" w:type="dxa"/>
            <w:tcBorders>
              <w:top w:val="nil"/>
              <w:left w:val="nil"/>
              <w:bottom w:val="nil"/>
              <w:right w:val="nil"/>
            </w:tcBorders>
            <w:shd w:val="clear" w:color="auto" w:fill="auto"/>
            <w:noWrap/>
            <w:vAlign w:val="center"/>
            <w:hideMark/>
          </w:tcPr>
          <w:p w14:paraId="4026D538" w14:textId="0EC93B61" w:rsidR="006A38EE" w:rsidRPr="00BF24F9" w:rsidRDefault="006A38EE" w:rsidP="00BF24F9">
            <w:pPr>
              <w:pStyle w:val="CETBodytext"/>
            </w:pPr>
            <w:r w:rsidRPr="00BF24F9">
              <w:t>0</w:t>
            </w:r>
            <w:r w:rsidR="00DC414A">
              <w:t>.</w:t>
            </w:r>
            <w:r w:rsidRPr="00BF24F9">
              <w:t>065</w:t>
            </w:r>
          </w:p>
        </w:tc>
        <w:tc>
          <w:tcPr>
            <w:tcW w:w="881" w:type="dxa"/>
            <w:tcBorders>
              <w:top w:val="nil"/>
              <w:left w:val="nil"/>
              <w:bottom w:val="nil"/>
              <w:right w:val="nil"/>
            </w:tcBorders>
            <w:shd w:val="clear" w:color="auto" w:fill="auto"/>
            <w:noWrap/>
            <w:vAlign w:val="center"/>
            <w:hideMark/>
          </w:tcPr>
          <w:p w14:paraId="2CCE906C" w14:textId="58F7BC46" w:rsidR="006A38EE" w:rsidRPr="00BF24F9" w:rsidRDefault="006A38EE" w:rsidP="00BF24F9">
            <w:pPr>
              <w:pStyle w:val="CETBodytext"/>
            </w:pPr>
            <w:r w:rsidRPr="00BF24F9">
              <w:t>8</w:t>
            </w:r>
            <w:r w:rsidR="00DC414A">
              <w:t>.</w:t>
            </w:r>
            <w:r w:rsidRPr="00BF24F9">
              <w:t>27</w:t>
            </w:r>
          </w:p>
        </w:tc>
        <w:tc>
          <w:tcPr>
            <w:tcW w:w="191" w:type="dxa"/>
            <w:tcBorders>
              <w:top w:val="nil"/>
              <w:left w:val="nil"/>
              <w:bottom w:val="nil"/>
              <w:right w:val="nil"/>
            </w:tcBorders>
            <w:shd w:val="clear" w:color="auto" w:fill="auto"/>
            <w:noWrap/>
            <w:vAlign w:val="center"/>
            <w:hideMark/>
          </w:tcPr>
          <w:p w14:paraId="0B87593A" w14:textId="77777777" w:rsidR="006A38EE" w:rsidRPr="00BF24F9" w:rsidRDefault="006A38EE" w:rsidP="00BF24F9">
            <w:pPr>
              <w:pStyle w:val="CETBodytext"/>
            </w:pPr>
          </w:p>
        </w:tc>
        <w:tc>
          <w:tcPr>
            <w:tcW w:w="1305" w:type="dxa"/>
            <w:tcBorders>
              <w:top w:val="nil"/>
              <w:left w:val="nil"/>
              <w:bottom w:val="nil"/>
              <w:right w:val="nil"/>
            </w:tcBorders>
            <w:shd w:val="clear" w:color="auto" w:fill="auto"/>
            <w:noWrap/>
            <w:vAlign w:val="center"/>
            <w:hideMark/>
          </w:tcPr>
          <w:p w14:paraId="6276BF50" w14:textId="32FEA093" w:rsidR="006A38EE" w:rsidRPr="00BF24F9" w:rsidRDefault="006A38EE" w:rsidP="00BF24F9">
            <w:pPr>
              <w:pStyle w:val="CETBodytext"/>
            </w:pPr>
            <w:r w:rsidRPr="00BF24F9">
              <w:t>0</w:t>
            </w:r>
            <w:r w:rsidR="00DC414A">
              <w:t>.</w:t>
            </w:r>
            <w:r w:rsidRPr="00BF24F9">
              <w:t>9995</w:t>
            </w:r>
          </w:p>
        </w:tc>
        <w:tc>
          <w:tcPr>
            <w:tcW w:w="672" w:type="dxa"/>
            <w:tcBorders>
              <w:top w:val="nil"/>
              <w:left w:val="nil"/>
              <w:bottom w:val="nil"/>
              <w:right w:val="nil"/>
            </w:tcBorders>
            <w:shd w:val="clear" w:color="auto" w:fill="auto"/>
            <w:noWrap/>
            <w:vAlign w:val="center"/>
            <w:hideMark/>
          </w:tcPr>
          <w:p w14:paraId="00965794" w14:textId="6D62E464" w:rsidR="006A38EE" w:rsidRPr="00BF24F9" w:rsidRDefault="006A38EE" w:rsidP="00BF24F9">
            <w:pPr>
              <w:pStyle w:val="CETBodytext"/>
            </w:pPr>
            <w:r w:rsidRPr="00BF24F9">
              <w:t>0</w:t>
            </w:r>
            <w:r w:rsidR="00DC414A">
              <w:t>.</w:t>
            </w:r>
            <w:r w:rsidRPr="00BF24F9">
              <w:t>253</w:t>
            </w:r>
          </w:p>
        </w:tc>
        <w:tc>
          <w:tcPr>
            <w:tcW w:w="881" w:type="dxa"/>
            <w:tcBorders>
              <w:top w:val="nil"/>
              <w:left w:val="nil"/>
              <w:bottom w:val="nil"/>
              <w:right w:val="nil"/>
            </w:tcBorders>
            <w:shd w:val="clear" w:color="auto" w:fill="auto"/>
            <w:noWrap/>
            <w:vAlign w:val="center"/>
            <w:hideMark/>
          </w:tcPr>
          <w:p w14:paraId="22AA7161" w14:textId="05E0CAFD" w:rsidR="006A38EE" w:rsidRPr="00BF24F9" w:rsidRDefault="006A38EE" w:rsidP="00BF24F9">
            <w:pPr>
              <w:pStyle w:val="CETBodytext"/>
            </w:pPr>
            <w:r w:rsidRPr="00BF24F9">
              <w:t>2</w:t>
            </w:r>
            <w:r w:rsidR="00DC414A">
              <w:t>.</w:t>
            </w:r>
            <w:r w:rsidRPr="00BF24F9">
              <w:t>22</w:t>
            </w:r>
          </w:p>
        </w:tc>
        <w:tc>
          <w:tcPr>
            <w:tcW w:w="191" w:type="dxa"/>
            <w:tcBorders>
              <w:top w:val="nil"/>
              <w:left w:val="nil"/>
              <w:bottom w:val="nil"/>
              <w:right w:val="nil"/>
            </w:tcBorders>
            <w:shd w:val="clear" w:color="auto" w:fill="auto"/>
            <w:noWrap/>
            <w:vAlign w:val="bottom"/>
            <w:hideMark/>
          </w:tcPr>
          <w:p w14:paraId="7FCC5AF2" w14:textId="77777777" w:rsidR="006A38EE" w:rsidRPr="00BF24F9" w:rsidRDefault="006A38EE" w:rsidP="00BF24F9">
            <w:pPr>
              <w:pStyle w:val="CETBodytext"/>
            </w:pPr>
          </w:p>
        </w:tc>
      </w:tr>
      <w:tr w:rsidR="006A38EE" w:rsidRPr="00BF24F9" w14:paraId="34ADD213" w14:textId="77777777" w:rsidTr="00BF24F9">
        <w:trPr>
          <w:trHeight w:val="273"/>
        </w:trPr>
        <w:tc>
          <w:tcPr>
            <w:tcW w:w="185" w:type="dxa"/>
            <w:tcBorders>
              <w:top w:val="nil"/>
              <w:left w:val="nil"/>
              <w:bottom w:val="nil"/>
              <w:right w:val="nil"/>
            </w:tcBorders>
            <w:shd w:val="clear" w:color="auto" w:fill="auto"/>
            <w:noWrap/>
            <w:vAlign w:val="center"/>
            <w:hideMark/>
          </w:tcPr>
          <w:p w14:paraId="272BE799" w14:textId="77777777" w:rsidR="006A38EE" w:rsidRPr="00BF24F9" w:rsidRDefault="006A38EE" w:rsidP="00BF24F9">
            <w:pPr>
              <w:pStyle w:val="CETBodytext"/>
            </w:pPr>
          </w:p>
        </w:tc>
        <w:tc>
          <w:tcPr>
            <w:tcW w:w="1938" w:type="dxa"/>
            <w:tcBorders>
              <w:top w:val="nil"/>
              <w:left w:val="nil"/>
              <w:bottom w:val="nil"/>
              <w:right w:val="nil"/>
            </w:tcBorders>
            <w:shd w:val="clear" w:color="auto" w:fill="auto"/>
            <w:noWrap/>
            <w:vAlign w:val="center"/>
            <w:hideMark/>
          </w:tcPr>
          <w:p w14:paraId="5A60A0F6" w14:textId="77777777" w:rsidR="006A38EE" w:rsidRPr="00BF24F9" w:rsidRDefault="006A38EE" w:rsidP="00BF24F9">
            <w:pPr>
              <w:pStyle w:val="CETBodytext"/>
            </w:pPr>
            <w:r w:rsidRPr="00BF24F9">
              <w:t>Isopropyl alcohol</w:t>
            </w:r>
          </w:p>
        </w:tc>
        <w:tc>
          <w:tcPr>
            <w:tcW w:w="916" w:type="dxa"/>
            <w:tcBorders>
              <w:top w:val="nil"/>
              <w:left w:val="nil"/>
              <w:bottom w:val="nil"/>
              <w:right w:val="nil"/>
            </w:tcBorders>
            <w:shd w:val="clear" w:color="auto" w:fill="auto"/>
            <w:noWrap/>
            <w:vAlign w:val="center"/>
            <w:hideMark/>
          </w:tcPr>
          <w:p w14:paraId="480BE90A" w14:textId="77777777" w:rsidR="006A38EE" w:rsidRPr="00BF24F9" w:rsidRDefault="006A38EE" w:rsidP="00BF24F9">
            <w:pPr>
              <w:pStyle w:val="CETBodytext"/>
            </w:pPr>
            <w:r w:rsidRPr="00BF24F9">
              <w:t xml:space="preserve"> - </w:t>
            </w:r>
          </w:p>
        </w:tc>
        <w:tc>
          <w:tcPr>
            <w:tcW w:w="1305" w:type="dxa"/>
            <w:tcBorders>
              <w:top w:val="nil"/>
              <w:left w:val="nil"/>
              <w:bottom w:val="nil"/>
              <w:right w:val="nil"/>
            </w:tcBorders>
            <w:shd w:val="clear" w:color="auto" w:fill="auto"/>
            <w:noWrap/>
            <w:vAlign w:val="center"/>
            <w:hideMark/>
          </w:tcPr>
          <w:p w14:paraId="0BF7FF26" w14:textId="1BD80CBA" w:rsidR="006A38EE" w:rsidRPr="00BF24F9" w:rsidRDefault="006A38EE" w:rsidP="00BF24F9">
            <w:pPr>
              <w:pStyle w:val="CETBodytext"/>
            </w:pPr>
            <w:r w:rsidRPr="00BF24F9">
              <w:t>0</w:t>
            </w:r>
            <w:r w:rsidR="00DC414A">
              <w:t>.</w:t>
            </w:r>
            <w:r w:rsidRPr="00BF24F9">
              <w:t>9829</w:t>
            </w:r>
          </w:p>
        </w:tc>
        <w:tc>
          <w:tcPr>
            <w:tcW w:w="748" w:type="dxa"/>
            <w:tcBorders>
              <w:top w:val="nil"/>
              <w:left w:val="nil"/>
              <w:bottom w:val="nil"/>
              <w:right w:val="nil"/>
            </w:tcBorders>
            <w:shd w:val="clear" w:color="auto" w:fill="auto"/>
            <w:noWrap/>
            <w:vAlign w:val="center"/>
            <w:hideMark/>
          </w:tcPr>
          <w:p w14:paraId="44041877" w14:textId="4A6CF39E" w:rsidR="006A38EE" w:rsidRPr="00BF24F9" w:rsidRDefault="006A38EE" w:rsidP="00BF24F9">
            <w:pPr>
              <w:pStyle w:val="CETBodytext"/>
            </w:pPr>
            <w:r w:rsidRPr="00BF24F9">
              <w:t>0</w:t>
            </w:r>
            <w:r w:rsidR="00DC414A">
              <w:t>.</w:t>
            </w:r>
            <w:r w:rsidRPr="00BF24F9">
              <w:t>130</w:t>
            </w:r>
          </w:p>
        </w:tc>
        <w:tc>
          <w:tcPr>
            <w:tcW w:w="881" w:type="dxa"/>
            <w:tcBorders>
              <w:top w:val="nil"/>
              <w:left w:val="nil"/>
              <w:bottom w:val="nil"/>
              <w:right w:val="nil"/>
            </w:tcBorders>
            <w:shd w:val="clear" w:color="auto" w:fill="auto"/>
            <w:noWrap/>
            <w:vAlign w:val="center"/>
            <w:hideMark/>
          </w:tcPr>
          <w:p w14:paraId="6C2B67E4" w14:textId="50CAC924" w:rsidR="006A38EE" w:rsidRPr="00BF24F9" w:rsidRDefault="006A38EE" w:rsidP="00BF24F9">
            <w:pPr>
              <w:pStyle w:val="CETBodytext"/>
            </w:pPr>
            <w:r w:rsidRPr="00BF24F9">
              <w:t>13</w:t>
            </w:r>
            <w:r w:rsidR="00DC414A">
              <w:t>.</w:t>
            </w:r>
            <w:r w:rsidRPr="00BF24F9">
              <w:t>6</w:t>
            </w:r>
          </w:p>
        </w:tc>
        <w:tc>
          <w:tcPr>
            <w:tcW w:w="191" w:type="dxa"/>
            <w:tcBorders>
              <w:top w:val="nil"/>
              <w:left w:val="nil"/>
              <w:bottom w:val="nil"/>
              <w:right w:val="nil"/>
            </w:tcBorders>
            <w:shd w:val="clear" w:color="auto" w:fill="auto"/>
            <w:noWrap/>
            <w:vAlign w:val="center"/>
            <w:hideMark/>
          </w:tcPr>
          <w:p w14:paraId="583D8DCA" w14:textId="77777777" w:rsidR="006A38EE" w:rsidRPr="00BF24F9" w:rsidRDefault="006A38EE" w:rsidP="00BF24F9">
            <w:pPr>
              <w:pStyle w:val="CETBodytext"/>
            </w:pPr>
          </w:p>
        </w:tc>
        <w:tc>
          <w:tcPr>
            <w:tcW w:w="1305" w:type="dxa"/>
            <w:tcBorders>
              <w:top w:val="nil"/>
              <w:left w:val="nil"/>
              <w:bottom w:val="nil"/>
              <w:right w:val="nil"/>
            </w:tcBorders>
            <w:shd w:val="clear" w:color="auto" w:fill="auto"/>
            <w:noWrap/>
            <w:vAlign w:val="center"/>
            <w:hideMark/>
          </w:tcPr>
          <w:p w14:paraId="4C7550E1" w14:textId="0E9354A1" w:rsidR="006A38EE" w:rsidRPr="00BF24F9" w:rsidRDefault="006A38EE" w:rsidP="00BF24F9">
            <w:pPr>
              <w:pStyle w:val="CETBodytext"/>
            </w:pPr>
            <w:r w:rsidRPr="00BF24F9">
              <w:t>0</w:t>
            </w:r>
            <w:r w:rsidR="00DC414A">
              <w:t>.</w:t>
            </w:r>
            <w:r w:rsidRPr="00BF24F9">
              <w:t>9871</w:t>
            </w:r>
          </w:p>
        </w:tc>
        <w:tc>
          <w:tcPr>
            <w:tcW w:w="672" w:type="dxa"/>
            <w:tcBorders>
              <w:top w:val="nil"/>
              <w:left w:val="nil"/>
              <w:bottom w:val="nil"/>
              <w:right w:val="nil"/>
            </w:tcBorders>
            <w:shd w:val="clear" w:color="auto" w:fill="auto"/>
            <w:noWrap/>
            <w:vAlign w:val="center"/>
            <w:hideMark/>
          </w:tcPr>
          <w:p w14:paraId="4BACA10D" w14:textId="45226334" w:rsidR="006A38EE" w:rsidRPr="00BF24F9" w:rsidRDefault="006A38EE" w:rsidP="00BF24F9">
            <w:pPr>
              <w:pStyle w:val="CETBodytext"/>
            </w:pPr>
            <w:r w:rsidRPr="00BF24F9">
              <w:t>0</w:t>
            </w:r>
            <w:r w:rsidR="00DC414A">
              <w:t>.</w:t>
            </w:r>
            <w:r w:rsidRPr="00BF24F9">
              <w:t>404</w:t>
            </w:r>
          </w:p>
        </w:tc>
        <w:tc>
          <w:tcPr>
            <w:tcW w:w="881" w:type="dxa"/>
            <w:tcBorders>
              <w:top w:val="nil"/>
              <w:left w:val="nil"/>
              <w:bottom w:val="nil"/>
              <w:right w:val="nil"/>
            </w:tcBorders>
            <w:shd w:val="clear" w:color="auto" w:fill="auto"/>
            <w:noWrap/>
            <w:vAlign w:val="center"/>
            <w:hideMark/>
          </w:tcPr>
          <w:p w14:paraId="38AB5D58" w14:textId="53449D01" w:rsidR="006A38EE" w:rsidRPr="00BF24F9" w:rsidRDefault="006A38EE" w:rsidP="00BF24F9">
            <w:pPr>
              <w:pStyle w:val="CETBodytext"/>
            </w:pPr>
            <w:r w:rsidRPr="00BF24F9">
              <w:t>7</w:t>
            </w:r>
            <w:r w:rsidR="00DC414A">
              <w:t>.</w:t>
            </w:r>
            <w:r w:rsidRPr="00BF24F9">
              <w:t>87</w:t>
            </w:r>
          </w:p>
        </w:tc>
        <w:tc>
          <w:tcPr>
            <w:tcW w:w="191" w:type="dxa"/>
            <w:tcBorders>
              <w:top w:val="nil"/>
              <w:left w:val="nil"/>
              <w:bottom w:val="nil"/>
              <w:right w:val="nil"/>
            </w:tcBorders>
            <w:shd w:val="clear" w:color="auto" w:fill="auto"/>
            <w:noWrap/>
            <w:vAlign w:val="bottom"/>
            <w:hideMark/>
          </w:tcPr>
          <w:p w14:paraId="2128C8D8" w14:textId="77777777" w:rsidR="006A38EE" w:rsidRPr="00BF24F9" w:rsidRDefault="006A38EE" w:rsidP="00BF24F9">
            <w:pPr>
              <w:pStyle w:val="CETBodytext"/>
            </w:pPr>
          </w:p>
        </w:tc>
      </w:tr>
      <w:tr w:rsidR="006A38EE" w:rsidRPr="00BF24F9" w14:paraId="25C44C4F" w14:textId="77777777" w:rsidTr="00BF24F9">
        <w:trPr>
          <w:trHeight w:val="273"/>
        </w:trPr>
        <w:tc>
          <w:tcPr>
            <w:tcW w:w="185" w:type="dxa"/>
            <w:tcBorders>
              <w:top w:val="nil"/>
              <w:left w:val="nil"/>
              <w:bottom w:val="nil"/>
              <w:right w:val="nil"/>
            </w:tcBorders>
            <w:shd w:val="clear" w:color="auto" w:fill="auto"/>
            <w:noWrap/>
            <w:vAlign w:val="center"/>
            <w:hideMark/>
          </w:tcPr>
          <w:p w14:paraId="0B60E0F2" w14:textId="77777777" w:rsidR="006A38EE" w:rsidRPr="00BF24F9" w:rsidRDefault="006A38EE" w:rsidP="00BF24F9">
            <w:pPr>
              <w:pStyle w:val="CETBodytext"/>
            </w:pPr>
          </w:p>
        </w:tc>
        <w:tc>
          <w:tcPr>
            <w:tcW w:w="1938" w:type="dxa"/>
            <w:tcBorders>
              <w:top w:val="nil"/>
              <w:left w:val="nil"/>
              <w:bottom w:val="nil"/>
              <w:right w:val="nil"/>
            </w:tcBorders>
            <w:shd w:val="clear" w:color="auto" w:fill="auto"/>
            <w:noWrap/>
            <w:vAlign w:val="center"/>
            <w:hideMark/>
          </w:tcPr>
          <w:p w14:paraId="1EA266AD" w14:textId="77777777" w:rsidR="006A38EE" w:rsidRPr="00BF24F9" w:rsidRDefault="006A38EE" w:rsidP="00BF24F9">
            <w:pPr>
              <w:pStyle w:val="CETBodytext"/>
            </w:pPr>
            <w:r w:rsidRPr="00BF24F9">
              <w:t>Methyl tert-butyl ether</w:t>
            </w:r>
          </w:p>
        </w:tc>
        <w:tc>
          <w:tcPr>
            <w:tcW w:w="916" w:type="dxa"/>
            <w:tcBorders>
              <w:top w:val="nil"/>
              <w:left w:val="nil"/>
              <w:bottom w:val="nil"/>
              <w:right w:val="nil"/>
            </w:tcBorders>
            <w:shd w:val="clear" w:color="auto" w:fill="auto"/>
            <w:noWrap/>
            <w:vAlign w:val="center"/>
            <w:hideMark/>
          </w:tcPr>
          <w:p w14:paraId="5749CE9E" w14:textId="77777777" w:rsidR="006A38EE" w:rsidRPr="00BF24F9" w:rsidRDefault="006A38EE" w:rsidP="00BF24F9">
            <w:pPr>
              <w:pStyle w:val="CETBodytext"/>
            </w:pPr>
            <w:r w:rsidRPr="00BF24F9">
              <w:t xml:space="preserve"> - </w:t>
            </w:r>
          </w:p>
        </w:tc>
        <w:tc>
          <w:tcPr>
            <w:tcW w:w="1305" w:type="dxa"/>
            <w:tcBorders>
              <w:top w:val="nil"/>
              <w:left w:val="nil"/>
              <w:bottom w:val="nil"/>
              <w:right w:val="nil"/>
            </w:tcBorders>
            <w:shd w:val="clear" w:color="auto" w:fill="auto"/>
            <w:noWrap/>
            <w:vAlign w:val="center"/>
            <w:hideMark/>
          </w:tcPr>
          <w:p w14:paraId="45886016" w14:textId="77777777" w:rsidR="006A38EE" w:rsidRPr="006E0D24" w:rsidRDefault="006A38EE" w:rsidP="00BF24F9">
            <w:pPr>
              <w:pStyle w:val="CETBodytext"/>
              <w:rPr>
                <w:i/>
                <w:iCs/>
              </w:rPr>
            </w:pPr>
            <w:r w:rsidRPr="006E0D24">
              <w:rPr>
                <w:i/>
                <w:iCs/>
              </w:rPr>
              <w:t>Coeluted</w:t>
            </w:r>
          </w:p>
        </w:tc>
        <w:tc>
          <w:tcPr>
            <w:tcW w:w="748" w:type="dxa"/>
            <w:tcBorders>
              <w:top w:val="nil"/>
              <w:left w:val="nil"/>
              <w:bottom w:val="nil"/>
              <w:right w:val="nil"/>
            </w:tcBorders>
            <w:shd w:val="clear" w:color="auto" w:fill="auto"/>
            <w:noWrap/>
            <w:vAlign w:val="center"/>
            <w:hideMark/>
          </w:tcPr>
          <w:p w14:paraId="1BDAF9EC" w14:textId="77777777" w:rsidR="006A38EE" w:rsidRPr="00BF24F9" w:rsidRDefault="006A38EE" w:rsidP="00BF24F9">
            <w:pPr>
              <w:pStyle w:val="CETBodytext"/>
            </w:pPr>
            <w:r w:rsidRPr="00BF24F9">
              <w:t xml:space="preserve"> -</w:t>
            </w:r>
          </w:p>
        </w:tc>
        <w:tc>
          <w:tcPr>
            <w:tcW w:w="881" w:type="dxa"/>
            <w:tcBorders>
              <w:top w:val="nil"/>
              <w:left w:val="nil"/>
              <w:bottom w:val="nil"/>
              <w:right w:val="nil"/>
            </w:tcBorders>
            <w:shd w:val="clear" w:color="auto" w:fill="auto"/>
            <w:noWrap/>
            <w:vAlign w:val="center"/>
            <w:hideMark/>
          </w:tcPr>
          <w:p w14:paraId="3AB2829D" w14:textId="77777777" w:rsidR="006A38EE" w:rsidRPr="00BF24F9" w:rsidRDefault="006A38EE" w:rsidP="00BF24F9">
            <w:pPr>
              <w:pStyle w:val="CETBodytext"/>
            </w:pPr>
            <w:r w:rsidRPr="00BF24F9">
              <w:t xml:space="preserve"> -</w:t>
            </w:r>
          </w:p>
        </w:tc>
        <w:tc>
          <w:tcPr>
            <w:tcW w:w="191" w:type="dxa"/>
            <w:tcBorders>
              <w:top w:val="nil"/>
              <w:left w:val="nil"/>
              <w:bottom w:val="nil"/>
              <w:right w:val="nil"/>
            </w:tcBorders>
            <w:shd w:val="clear" w:color="auto" w:fill="auto"/>
            <w:noWrap/>
            <w:vAlign w:val="center"/>
            <w:hideMark/>
          </w:tcPr>
          <w:p w14:paraId="6D499D7F" w14:textId="77777777" w:rsidR="006A38EE" w:rsidRPr="00BF24F9" w:rsidRDefault="006A38EE" w:rsidP="00BF24F9">
            <w:pPr>
              <w:pStyle w:val="CETBodytext"/>
            </w:pPr>
          </w:p>
        </w:tc>
        <w:tc>
          <w:tcPr>
            <w:tcW w:w="1305" w:type="dxa"/>
            <w:tcBorders>
              <w:top w:val="nil"/>
              <w:left w:val="nil"/>
              <w:bottom w:val="nil"/>
              <w:right w:val="nil"/>
            </w:tcBorders>
            <w:shd w:val="clear" w:color="auto" w:fill="auto"/>
            <w:noWrap/>
            <w:vAlign w:val="center"/>
            <w:hideMark/>
          </w:tcPr>
          <w:p w14:paraId="3C2BF085" w14:textId="0A480469" w:rsidR="006A38EE" w:rsidRPr="00BF24F9" w:rsidRDefault="006A38EE" w:rsidP="00BF24F9">
            <w:pPr>
              <w:pStyle w:val="CETBodytext"/>
            </w:pPr>
            <w:r w:rsidRPr="00BF24F9">
              <w:t>0</w:t>
            </w:r>
            <w:r w:rsidR="00DC414A">
              <w:t>.</w:t>
            </w:r>
            <w:r w:rsidRPr="00BF24F9">
              <w:t>9995</w:t>
            </w:r>
          </w:p>
        </w:tc>
        <w:tc>
          <w:tcPr>
            <w:tcW w:w="672" w:type="dxa"/>
            <w:tcBorders>
              <w:top w:val="nil"/>
              <w:left w:val="nil"/>
              <w:bottom w:val="nil"/>
              <w:right w:val="nil"/>
            </w:tcBorders>
            <w:shd w:val="clear" w:color="auto" w:fill="auto"/>
            <w:noWrap/>
            <w:vAlign w:val="center"/>
            <w:hideMark/>
          </w:tcPr>
          <w:p w14:paraId="7CB700FE" w14:textId="07DDE9D8" w:rsidR="006A38EE" w:rsidRPr="00BF24F9" w:rsidRDefault="006A38EE" w:rsidP="00BF24F9">
            <w:pPr>
              <w:pStyle w:val="CETBodytext"/>
            </w:pPr>
            <w:r w:rsidRPr="00BF24F9">
              <w:t>0</w:t>
            </w:r>
            <w:r w:rsidR="00DC414A">
              <w:t>.</w:t>
            </w:r>
            <w:r w:rsidRPr="00BF24F9">
              <w:t>216</w:t>
            </w:r>
          </w:p>
        </w:tc>
        <w:tc>
          <w:tcPr>
            <w:tcW w:w="881" w:type="dxa"/>
            <w:tcBorders>
              <w:top w:val="nil"/>
              <w:left w:val="nil"/>
              <w:bottom w:val="nil"/>
              <w:right w:val="nil"/>
            </w:tcBorders>
            <w:shd w:val="clear" w:color="auto" w:fill="auto"/>
            <w:noWrap/>
            <w:vAlign w:val="center"/>
            <w:hideMark/>
          </w:tcPr>
          <w:p w14:paraId="13AE18F2" w14:textId="6760B1B3" w:rsidR="006A38EE" w:rsidRPr="00BF24F9" w:rsidRDefault="006A38EE" w:rsidP="00BF24F9">
            <w:pPr>
              <w:pStyle w:val="CETBodytext"/>
            </w:pPr>
            <w:r w:rsidRPr="00BF24F9">
              <w:t>2</w:t>
            </w:r>
            <w:r w:rsidR="00DC414A">
              <w:t>.</w:t>
            </w:r>
            <w:r w:rsidRPr="00BF24F9">
              <w:t>09</w:t>
            </w:r>
          </w:p>
        </w:tc>
        <w:tc>
          <w:tcPr>
            <w:tcW w:w="191" w:type="dxa"/>
            <w:tcBorders>
              <w:top w:val="nil"/>
              <w:left w:val="nil"/>
              <w:bottom w:val="nil"/>
              <w:right w:val="nil"/>
            </w:tcBorders>
            <w:shd w:val="clear" w:color="auto" w:fill="auto"/>
            <w:noWrap/>
            <w:vAlign w:val="bottom"/>
            <w:hideMark/>
          </w:tcPr>
          <w:p w14:paraId="18FFBB62" w14:textId="77777777" w:rsidR="006A38EE" w:rsidRPr="00BF24F9" w:rsidRDefault="006A38EE" w:rsidP="00BF24F9">
            <w:pPr>
              <w:pStyle w:val="CETBodytext"/>
            </w:pPr>
          </w:p>
        </w:tc>
      </w:tr>
      <w:tr w:rsidR="006A38EE" w:rsidRPr="00BF24F9" w14:paraId="4EB825F4" w14:textId="77777777" w:rsidTr="00BF24F9">
        <w:trPr>
          <w:trHeight w:val="273"/>
        </w:trPr>
        <w:tc>
          <w:tcPr>
            <w:tcW w:w="185" w:type="dxa"/>
            <w:tcBorders>
              <w:top w:val="nil"/>
              <w:left w:val="nil"/>
              <w:bottom w:val="nil"/>
              <w:right w:val="nil"/>
            </w:tcBorders>
            <w:shd w:val="clear" w:color="auto" w:fill="auto"/>
            <w:noWrap/>
            <w:vAlign w:val="center"/>
            <w:hideMark/>
          </w:tcPr>
          <w:p w14:paraId="76B044E4" w14:textId="77777777" w:rsidR="006A38EE" w:rsidRPr="00BF24F9" w:rsidRDefault="006A38EE" w:rsidP="00BF24F9">
            <w:pPr>
              <w:pStyle w:val="CETBodytext"/>
            </w:pPr>
          </w:p>
        </w:tc>
        <w:tc>
          <w:tcPr>
            <w:tcW w:w="1938" w:type="dxa"/>
            <w:tcBorders>
              <w:top w:val="nil"/>
              <w:left w:val="nil"/>
              <w:bottom w:val="nil"/>
              <w:right w:val="nil"/>
            </w:tcBorders>
            <w:shd w:val="clear" w:color="auto" w:fill="auto"/>
            <w:noWrap/>
            <w:vAlign w:val="center"/>
            <w:hideMark/>
          </w:tcPr>
          <w:p w14:paraId="634FE8FE" w14:textId="77777777" w:rsidR="006A38EE" w:rsidRPr="00BF24F9" w:rsidRDefault="006A38EE" w:rsidP="00BF24F9">
            <w:pPr>
              <w:pStyle w:val="CETBodytext"/>
            </w:pPr>
            <w:r w:rsidRPr="00BF24F9">
              <w:t>Vinyl acetate</w:t>
            </w:r>
          </w:p>
        </w:tc>
        <w:tc>
          <w:tcPr>
            <w:tcW w:w="916" w:type="dxa"/>
            <w:tcBorders>
              <w:top w:val="nil"/>
              <w:left w:val="nil"/>
              <w:bottom w:val="nil"/>
              <w:right w:val="nil"/>
            </w:tcBorders>
            <w:shd w:val="clear" w:color="auto" w:fill="auto"/>
            <w:noWrap/>
            <w:vAlign w:val="center"/>
            <w:hideMark/>
          </w:tcPr>
          <w:p w14:paraId="0BAA5662" w14:textId="77777777" w:rsidR="006A38EE" w:rsidRPr="00BF24F9" w:rsidRDefault="006A38EE" w:rsidP="00BF24F9">
            <w:pPr>
              <w:pStyle w:val="CETBodytext"/>
            </w:pPr>
            <w:r w:rsidRPr="00BF24F9">
              <w:t>400</w:t>
            </w:r>
          </w:p>
        </w:tc>
        <w:tc>
          <w:tcPr>
            <w:tcW w:w="1305" w:type="dxa"/>
            <w:tcBorders>
              <w:top w:val="nil"/>
              <w:left w:val="nil"/>
              <w:bottom w:val="nil"/>
              <w:right w:val="nil"/>
            </w:tcBorders>
            <w:shd w:val="clear" w:color="auto" w:fill="auto"/>
            <w:noWrap/>
            <w:vAlign w:val="center"/>
            <w:hideMark/>
          </w:tcPr>
          <w:p w14:paraId="20C0959E" w14:textId="7921E688" w:rsidR="006A38EE" w:rsidRPr="006E0D24" w:rsidRDefault="00C20619" w:rsidP="00BF24F9">
            <w:pPr>
              <w:pStyle w:val="CETBodytext"/>
              <w:rPr>
                <w:i/>
                <w:iCs/>
              </w:rPr>
            </w:pPr>
            <w:r w:rsidRPr="006E0D24">
              <w:rPr>
                <w:i/>
                <w:iCs/>
              </w:rPr>
              <w:t>Coeluted</w:t>
            </w:r>
            <w:r w:rsidR="006A38EE" w:rsidRPr="006E0D24">
              <w:rPr>
                <w:i/>
                <w:iCs/>
              </w:rPr>
              <w:t xml:space="preserve"> </w:t>
            </w:r>
          </w:p>
        </w:tc>
        <w:tc>
          <w:tcPr>
            <w:tcW w:w="748" w:type="dxa"/>
            <w:tcBorders>
              <w:top w:val="nil"/>
              <w:left w:val="nil"/>
              <w:bottom w:val="nil"/>
              <w:right w:val="nil"/>
            </w:tcBorders>
            <w:shd w:val="clear" w:color="auto" w:fill="auto"/>
            <w:noWrap/>
            <w:vAlign w:val="center"/>
            <w:hideMark/>
          </w:tcPr>
          <w:p w14:paraId="173881BA" w14:textId="77777777" w:rsidR="006A38EE" w:rsidRPr="00BF24F9" w:rsidRDefault="006A38EE" w:rsidP="00BF24F9">
            <w:pPr>
              <w:pStyle w:val="CETBodytext"/>
            </w:pPr>
            <w:r w:rsidRPr="00BF24F9">
              <w:t xml:space="preserve"> - </w:t>
            </w:r>
          </w:p>
        </w:tc>
        <w:tc>
          <w:tcPr>
            <w:tcW w:w="881" w:type="dxa"/>
            <w:tcBorders>
              <w:top w:val="nil"/>
              <w:left w:val="nil"/>
              <w:bottom w:val="nil"/>
              <w:right w:val="nil"/>
            </w:tcBorders>
            <w:shd w:val="clear" w:color="auto" w:fill="auto"/>
            <w:noWrap/>
            <w:vAlign w:val="center"/>
            <w:hideMark/>
          </w:tcPr>
          <w:p w14:paraId="6DD5804E" w14:textId="77777777" w:rsidR="006A38EE" w:rsidRPr="00BF24F9" w:rsidRDefault="006A38EE" w:rsidP="00BF24F9">
            <w:pPr>
              <w:pStyle w:val="CETBodytext"/>
            </w:pPr>
            <w:r w:rsidRPr="00BF24F9">
              <w:t xml:space="preserve"> - </w:t>
            </w:r>
          </w:p>
        </w:tc>
        <w:tc>
          <w:tcPr>
            <w:tcW w:w="191" w:type="dxa"/>
            <w:tcBorders>
              <w:top w:val="nil"/>
              <w:left w:val="nil"/>
              <w:bottom w:val="nil"/>
              <w:right w:val="nil"/>
            </w:tcBorders>
            <w:shd w:val="clear" w:color="auto" w:fill="auto"/>
            <w:noWrap/>
            <w:vAlign w:val="center"/>
            <w:hideMark/>
          </w:tcPr>
          <w:p w14:paraId="32A811F8" w14:textId="77777777" w:rsidR="006A38EE" w:rsidRPr="00BF24F9" w:rsidRDefault="006A38EE" w:rsidP="00BF24F9">
            <w:pPr>
              <w:pStyle w:val="CETBodytext"/>
            </w:pPr>
          </w:p>
        </w:tc>
        <w:tc>
          <w:tcPr>
            <w:tcW w:w="1305" w:type="dxa"/>
            <w:tcBorders>
              <w:top w:val="nil"/>
              <w:left w:val="nil"/>
              <w:bottom w:val="nil"/>
              <w:right w:val="nil"/>
            </w:tcBorders>
            <w:shd w:val="clear" w:color="auto" w:fill="auto"/>
            <w:noWrap/>
            <w:vAlign w:val="center"/>
            <w:hideMark/>
          </w:tcPr>
          <w:p w14:paraId="74C624A4" w14:textId="77777777" w:rsidR="006A38EE" w:rsidRPr="00BF24F9" w:rsidRDefault="006A38EE" w:rsidP="00BF24F9">
            <w:pPr>
              <w:pStyle w:val="CETBodytext"/>
            </w:pPr>
            <w:r w:rsidRPr="00BF24F9">
              <w:t>0,9992</w:t>
            </w:r>
          </w:p>
        </w:tc>
        <w:tc>
          <w:tcPr>
            <w:tcW w:w="672" w:type="dxa"/>
            <w:tcBorders>
              <w:top w:val="nil"/>
              <w:left w:val="nil"/>
              <w:bottom w:val="nil"/>
              <w:right w:val="nil"/>
            </w:tcBorders>
            <w:shd w:val="clear" w:color="auto" w:fill="auto"/>
            <w:noWrap/>
            <w:vAlign w:val="center"/>
            <w:hideMark/>
          </w:tcPr>
          <w:p w14:paraId="7078A7B4" w14:textId="77777777" w:rsidR="006A38EE" w:rsidRPr="00BF24F9" w:rsidRDefault="006A38EE" w:rsidP="00BF24F9">
            <w:pPr>
              <w:pStyle w:val="CETBodytext"/>
            </w:pPr>
            <w:r w:rsidRPr="00BF24F9">
              <w:t>0,431</w:t>
            </w:r>
          </w:p>
        </w:tc>
        <w:tc>
          <w:tcPr>
            <w:tcW w:w="881" w:type="dxa"/>
            <w:tcBorders>
              <w:top w:val="nil"/>
              <w:left w:val="nil"/>
              <w:bottom w:val="nil"/>
              <w:right w:val="nil"/>
            </w:tcBorders>
            <w:shd w:val="clear" w:color="auto" w:fill="auto"/>
            <w:noWrap/>
            <w:vAlign w:val="center"/>
            <w:hideMark/>
          </w:tcPr>
          <w:p w14:paraId="5FC6959B" w14:textId="77777777" w:rsidR="006A38EE" w:rsidRPr="00BF24F9" w:rsidRDefault="006A38EE" w:rsidP="00BF24F9">
            <w:pPr>
              <w:pStyle w:val="CETBodytext"/>
            </w:pPr>
            <w:r w:rsidRPr="00BF24F9">
              <w:t>0,73</w:t>
            </w:r>
          </w:p>
        </w:tc>
        <w:tc>
          <w:tcPr>
            <w:tcW w:w="191" w:type="dxa"/>
            <w:tcBorders>
              <w:top w:val="nil"/>
              <w:left w:val="nil"/>
              <w:bottom w:val="nil"/>
              <w:right w:val="nil"/>
            </w:tcBorders>
            <w:shd w:val="clear" w:color="auto" w:fill="auto"/>
            <w:noWrap/>
            <w:vAlign w:val="bottom"/>
            <w:hideMark/>
          </w:tcPr>
          <w:p w14:paraId="606646D4" w14:textId="77777777" w:rsidR="006A38EE" w:rsidRPr="00BF24F9" w:rsidRDefault="006A38EE" w:rsidP="00BF24F9">
            <w:pPr>
              <w:pStyle w:val="CETBodytext"/>
            </w:pPr>
          </w:p>
        </w:tc>
      </w:tr>
      <w:tr w:rsidR="006A38EE" w:rsidRPr="00BF24F9" w14:paraId="003E0A90" w14:textId="77777777" w:rsidTr="00BF24F9">
        <w:trPr>
          <w:trHeight w:val="273"/>
        </w:trPr>
        <w:tc>
          <w:tcPr>
            <w:tcW w:w="185" w:type="dxa"/>
            <w:tcBorders>
              <w:top w:val="nil"/>
              <w:left w:val="nil"/>
              <w:bottom w:val="nil"/>
              <w:right w:val="nil"/>
            </w:tcBorders>
            <w:shd w:val="clear" w:color="auto" w:fill="auto"/>
            <w:noWrap/>
            <w:vAlign w:val="center"/>
            <w:hideMark/>
          </w:tcPr>
          <w:p w14:paraId="0994F3E9" w14:textId="77777777" w:rsidR="006A38EE" w:rsidRPr="00BF24F9" w:rsidRDefault="006A38EE" w:rsidP="00BF24F9">
            <w:pPr>
              <w:pStyle w:val="CETBodytext"/>
            </w:pPr>
          </w:p>
        </w:tc>
        <w:tc>
          <w:tcPr>
            <w:tcW w:w="1938" w:type="dxa"/>
            <w:tcBorders>
              <w:top w:val="nil"/>
              <w:left w:val="nil"/>
              <w:bottom w:val="nil"/>
              <w:right w:val="nil"/>
            </w:tcBorders>
            <w:shd w:val="clear" w:color="auto" w:fill="auto"/>
            <w:noWrap/>
            <w:vAlign w:val="center"/>
            <w:hideMark/>
          </w:tcPr>
          <w:p w14:paraId="325DE532" w14:textId="77777777" w:rsidR="006A38EE" w:rsidRPr="00BF24F9" w:rsidRDefault="006A38EE" w:rsidP="00BF24F9">
            <w:pPr>
              <w:pStyle w:val="CETBodytext"/>
            </w:pPr>
            <w:r w:rsidRPr="00BF24F9">
              <w:t>Methyl ethyl ketone</w:t>
            </w:r>
          </w:p>
        </w:tc>
        <w:tc>
          <w:tcPr>
            <w:tcW w:w="916" w:type="dxa"/>
            <w:tcBorders>
              <w:top w:val="nil"/>
              <w:left w:val="nil"/>
              <w:bottom w:val="nil"/>
              <w:right w:val="nil"/>
            </w:tcBorders>
            <w:shd w:val="clear" w:color="auto" w:fill="auto"/>
            <w:noWrap/>
            <w:vAlign w:val="center"/>
            <w:hideMark/>
          </w:tcPr>
          <w:p w14:paraId="572E87CE" w14:textId="77777777" w:rsidR="006A38EE" w:rsidRPr="00BF24F9" w:rsidRDefault="006A38EE" w:rsidP="00BF24F9">
            <w:pPr>
              <w:pStyle w:val="CETBodytext"/>
            </w:pPr>
            <w:r w:rsidRPr="00BF24F9">
              <w:t>5400</w:t>
            </w:r>
          </w:p>
        </w:tc>
        <w:tc>
          <w:tcPr>
            <w:tcW w:w="1305" w:type="dxa"/>
            <w:tcBorders>
              <w:top w:val="nil"/>
              <w:left w:val="nil"/>
              <w:bottom w:val="nil"/>
              <w:right w:val="nil"/>
            </w:tcBorders>
            <w:shd w:val="clear" w:color="auto" w:fill="auto"/>
            <w:noWrap/>
            <w:vAlign w:val="center"/>
            <w:hideMark/>
          </w:tcPr>
          <w:p w14:paraId="2F1CBF1B" w14:textId="2495F023" w:rsidR="006A38EE" w:rsidRPr="00BF24F9" w:rsidRDefault="006A38EE" w:rsidP="00BF24F9">
            <w:pPr>
              <w:pStyle w:val="CETBodytext"/>
            </w:pPr>
            <w:r w:rsidRPr="00BF24F9">
              <w:t>0</w:t>
            </w:r>
            <w:r w:rsidR="00DC414A">
              <w:t>.</w:t>
            </w:r>
            <w:r w:rsidRPr="00BF24F9">
              <w:t>9960</w:t>
            </w:r>
          </w:p>
        </w:tc>
        <w:tc>
          <w:tcPr>
            <w:tcW w:w="748" w:type="dxa"/>
            <w:tcBorders>
              <w:top w:val="nil"/>
              <w:left w:val="nil"/>
              <w:bottom w:val="nil"/>
              <w:right w:val="nil"/>
            </w:tcBorders>
            <w:shd w:val="clear" w:color="auto" w:fill="auto"/>
            <w:noWrap/>
            <w:vAlign w:val="center"/>
            <w:hideMark/>
          </w:tcPr>
          <w:p w14:paraId="7CDC3D68" w14:textId="272A2497" w:rsidR="006A38EE" w:rsidRPr="00BF24F9" w:rsidRDefault="006A38EE" w:rsidP="00BF24F9">
            <w:pPr>
              <w:pStyle w:val="CETBodytext"/>
            </w:pPr>
            <w:r w:rsidRPr="00BF24F9">
              <w:t>0</w:t>
            </w:r>
            <w:r w:rsidR="00DC414A">
              <w:t>.</w:t>
            </w:r>
            <w:r w:rsidRPr="00BF24F9">
              <w:t>124</w:t>
            </w:r>
          </w:p>
        </w:tc>
        <w:tc>
          <w:tcPr>
            <w:tcW w:w="881" w:type="dxa"/>
            <w:tcBorders>
              <w:top w:val="nil"/>
              <w:left w:val="nil"/>
              <w:bottom w:val="nil"/>
              <w:right w:val="nil"/>
            </w:tcBorders>
            <w:shd w:val="clear" w:color="auto" w:fill="auto"/>
            <w:noWrap/>
            <w:vAlign w:val="center"/>
            <w:hideMark/>
          </w:tcPr>
          <w:p w14:paraId="282CAD61" w14:textId="16CA7F56" w:rsidR="006A38EE" w:rsidRPr="00BF24F9" w:rsidRDefault="006A38EE" w:rsidP="00BF24F9">
            <w:pPr>
              <w:pStyle w:val="CETBodytext"/>
            </w:pPr>
            <w:r w:rsidRPr="00BF24F9">
              <w:t>14</w:t>
            </w:r>
            <w:r w:rsidR="00DC414A">
              <w:t>.</w:t>
            </w:r>
            <w:r w:rsidRPr="00BF24F9">
              <w:t>2</w:t>
            </w:r>
          </w:p>
        </w:tc>
        <w:tc>
          <w:tcPr>
            <w:tcW w:w="191" w:type="dxa"/>
            <w:tcBorders>
              <w:top w:val="nil"/>
              <w:left w:val="nil"/>
              <w:bottom w:val="nil"/>
              <w:right w:val="nil"/>
            </w:tcBorders>
            <w:shd w:val="clear" w:color="auto" w:fill="auto"/>
            <w:noWrap/>
            <w:vAlign w:val="center"/>
            <w:hideMark/>
          </w:tcPr>
          <w:p w14:paraId="5504199C" w14:textId="77777777" w:rsidR="006A38EE" w:rsidRPr="00BF24F9" w:rsidRDefault="006A38EE" w:rsidP="00BF24F9">
            <w:pPr>
              <w:pStyle w:val="CETBodytext"/>
            </w:pPr>
          </w:p>
        </w:tc>
        <w:tc>
          <w:tcPr>
            <w:tcW w:w="1305" w:type="dxa"/>
            <w:tcBorders>
              <w:top w:val="nil"/>
              <w:left w:val="nil"/>
              <w:bottom w:val="nil"/>
              <w:right w:val="nil"/>
            </w:tcBorders>
            <w:shd w:val="clear" w:color="auto" w:fill="auto"/>
            <w:noWrap/>
            <w:vAlign w:val="center"/>
            <w:hideMark/>
          </w:tcPr>
          <w:p w14:paraId="1957586E" w14:textId="7183CED8" w:rsidR="006A38EE" w:rsidRPr="00BF24F9" w:rsidRDefault="006A38EE" w:rsidP="00BF24F9">
            <w:pPr>
              <w:pStyle w:val="CETBodytext"/>
            </w:pPr>
            <w:r w:rsidRPr="00BF24F9">
              <w:t>0</w:t>
            </w:r>
            <w:r w:rsidR="00DC414A">
              <w:t>.</w:t>
            </w:r>
            <w:r w:rsidRPr="00BF24F9">
              <w:t>9899</w:t>
            </w:r>
          </w:p>
        </w:tc>
        <w:tc>
          <w:tcPr>
            <w:tcW w:w="672" w:type="dxa"/>
            <w:tcBorders>
              <w:top w:val="nil"/>
              <w:left w:val="nil"/>
              <w:bottom w:val="nil"/>
              <w:right w:val="nil"/>
            </w:tcBorders>
            <w:shd w:val="clear" w:color="auto" w:fill="auto"/>
            <w:noWrap/>
            <w:vAlign w:val="center"/>
            <w:hideMark/>
          </w:tcPr>
          <w:p w14:paraId="46E836DF" w14:textId="68A3350B" w:rsidR="006A38EE" w:rsidRPr="00BF24F9" w:rsidRDefault="006A38EE" w:rsidP="00BF24F9">
            <w:pPr>
              <w:pStyle w:val="CETBodytext"/>
            </w:pPr>
            <w:r w:rsidRPr="00BF24F9">
              <w:t>0</w:t>
            </w:r>
            <w:r w:rsidR="00DC414A">
              <w:t>.</w:t>
            </w:r>
            <w:r w:rsidRPr="00BF24F9">
              <w:t>068</w:t>
            </w:r>
          </w:p>
        </w:tc>
        <w:tc>
          <w:tcPr>
            <w:tcW w:w="881" w:type="dxa"/>
            <w:tcBorders>
              <w:top w:val="nil"/>
              <w:left w:val="nil"/>
              <w:bottom w:val="nil"/>
              <w:right w:val="nil"/>
            </w:tcBorders>
            <w:shd w:val="clear" w:color="auto" w:fill="auto"/>
            <w:noWrap/>
            <w:vAlign w:val="center"/>
            <w:hideMark/>
          </w:tcPr>
          <w:p w14:paraId="558DEAB8" w14:textId="5836DB82" w:rsidR="006A38EE" w:rsidRPr="00BF24F9" w:rsidRDefault="006A38EE" w:rsidP="00BF24F9">
            <w:pPr>
              <w:pStyle w:val="CETBodytext"/>
            </w:pPr>
            <w:r w:rsidRPr="00BF24F9">
              <w:t>19</w:t>
            </w:r>
            <w:r w:rsidR="00DC414A">
              <w:t>.</w:t>
            </w:r>
            <w:r w:rsidRPr="00BF24F9">
              <w:t>8</w:t>
            </w:r>
          </w:p>
        </w:tc>
        <w:tc>
          <w:tcPr>
            <w:tcW w:w="191" w:type="dxa"/>
            <w:tcBorders>
              <w:top w:val="nil"/>
              <w:left w:val="nil"/>
              <w:bottom w:val="nil"/>
              <w:right w:val="nil"/>
            </w:tcBorders>
            <w:shd w:val="clear" w:color="auto" w:fill="auto"/>
            <w:noWrap/>
            <w:vAlign w:val="bottom"/>
            <w:hideMark/>
          </w:tcPr>
          <w:p w14:paraId="4072694A" w14:textId="77777777" w:rsidR="006A38EE" w:rsidRPr="00BF24F9" w:rsidRDefault="006A38EE" w:rsidP="00BF24F9">
            <w:pPr>
              <w:pStyle w:val="CETBodytext"/>
            </w:pPr>
          </w:p>
        </w:tc>
      </w:tr>
      <w:tr w:rsidR="006A38EE" w:rsidRPr="00BF24F9" w14:paraId="733A68E7" w14:textId="77777777" w:rsidTr="00BF24F9">
        <w:trPr>
          <w:trHeight w:val="273"/>
        </w:trPr>
        <w:tc>
          <w:tcPr>
            <w:tcW w:w="185" w:type="dxa"/>
            <w:tcBorders>
              <w:top w:val="nil"/>
              <w:left w:val="nil"/>
              <w:bottom w:val="nil"/>
              <w:right w:val="nil"/>
            </w:tcBorders>
            <w:shd w:val="clear" w:color="auto" w:fill="auto"/>
            <w:noWrap/>
            <w:vAlign w:val="center"/>
            <w:hideMark/>
          </w:tcPr>
          <w:p w14:paraId="6727DF25" w14:textId="77777777" w:rsidR="006A38EE" w:rsidRPr="00BF24F9" w:rsidRDefault="006A38EE" w:rsidP="00BF24F9">
            <w:pPr>
              <w:pStyle w:val="CETBodytext"/>
            </w:pPr>
          </w:p>
        </w:tc>
        <w:tc>
          <w:tcPr>
            <w:tcW w:w="1938" w:type="dxa"/>
            <w:tcBorders>
              <w:top w:val="nil"/>
              <w:left w:val="nil"/>
              <w:bottom w:val="nil"/>
              <w:right w:val="nil"/>
            </w:tcBorders>
            <w:shd w:val="clear" w:color="auto" w:fill="auto"/>
            <w:noWrap/>
            <w:vAlign w:val="center"/>
            <w:hideMark/>
          </w:tcPr>
          <w:p w14:paraId="7FA88E6B" w14:textId="77777777" w:rsidR="006A38EE" w:rsidRPr="00BF24F9" w:rsidRDefault="006A38EE" w:rsidP="00BF24F9">
            <w:pPr>
              <w:pStyle w:val="CETBodytext"/>
            </w:pPr>
            <w:r w:rsidRPr="00BF24F9">
              <w:t>Ethyl acetate</w:t>
            </w:r>
          </w:p>
        </w:tc>
        <w:tc>
          <w:tcPr>
            <w:tcW w:w="916" w:type="dxa"/>
            <w:tcBorders>
              <w:top w:val="nil"/>
              <w:left w:val="nil"/>
              <w:bottom w:val="nil"/>
              <w:right w:val="nil"/>
            </w:tcBorders>
            <w:shd w:val="clear" w:color="auto" w:fill="auto"/>
            <w:noWrap/>
            <w:vAlign w:val="center"/>
            <w:hideMark/>
          </w:tcPr>
          <w:p w14:paraId="006C9064" w14:textId="77777777" w:rsidR="006A38EE" w:rsidRPr="00BF24F9" w:rsidRDefault="006A38EE" w:rsidP="00BF24F9">
            <w:pPr>
              <w:pStyle w:val="CETBodytext"/>
            </w:pPr>
            <w:r w:rsidRPr="00BF24F9">
              <w:t>10000</w:t>
            </w:r>
          </w:p>
        </w:tc>
        <w:tc>
          <w:tcPr>
            <w:tcW w:w="1305" w:type="dxa"/>
            <w:tcBorders>
              <w:top w:val="nil"/>
              <w:left w:val="nil"/>
              <w:bottom w:val="nil"/>
              <w:right w:val="nil"/>
            </w:tcBorders>
            <w:shd w:val="clear" w:color="auto" w:fill="auto"/>
            <w:noWrap/>
            <w:vAlign w:val="center"/>
            <w:hideMark/>
          </w:tcPr>
          <w:p w14:paraId="5FEC06FF" w14:textId="6CC533F9" w:rsidR="006A38EE" w:rsidRPr="006E0D24" w:rsidRDefault="00C20619" w:rsidP="00BF24F9">
            <w:pPr>
              <w:pStyle w:val="CETBodytext"/>
              <w:rPr>
                <w:i/>
                <w:iCs/>
              </w:rPr>
            </w:pPr>
            <w:r w:rsidRPr="006E0D24">
              <w:rPr>
                <w:i/>
                <w:iCs/>
              </w:rPr>
              <w:t>Coeluted</w:t>
            </w:r>
            <w:r w:rsidR="006A38EE" w:rsidRPr="006E0D24">
              <w:rPr>
                <w:i/>
                <w:iCs/>
              </w:rPr>
              <w:t xml:space="preserve"> </w:t>
            </w:r>
          </w:p>
        </w:tc>
        <w:tc>
          <w:tcPr>
            <w:tcW w:w="748" w:type="dxa"/>
            <w:tcBorders>
              <w:top w:val="nil"/>
              <w:left w:val="nil"/>
              <w:bottom w:val="nil"/>
              <w:right w:val="nil"/>
            </w:tcBorders>
            <w:shd w:val="clear" w:color="auto" w:fill="auto"/>
            <w:noWrap/>
            <w:vAlign w:val="center"/>
            <w:hideMark/>
          </w:tcPr>
          <w:p w14:paraId="7CD54717" w14:textId="77777777" w:rsidR="006A38EE" w:rsidRPr="00BF24F9" w:rsidRDefault="006A38EE" w:rsidP="00BF24F9">
            <w:pPr>
              <w:pStyle w:val="CETBodytext"/>
            </w:pPr>
            <w:r w:rsidRPr="00BF24F9">
              <w:t xml:space="preserve"> - </w:t>
            </w:r>
          </w:p>
        </w:tc>
        <w:tc>
          <w:tcPr>
            <w:tcW w:w="881" w:type="dxa"/>
            <w:tcBorders>
              <w:top w:val="nil"/>
              <w:left w:val="nil"/>
              <w:bottom w:val="nil"/>
              <w:right w:val="nil"/>
            </w:tcBorders>
            <w:shd w:val="clear" w:color="auto" w:fill="auto"/>
            <w:noWrap/>
            <w:vAlign w:val="center"/>
            <w:hideMark/>
          </w:tcPr>
          <w:p w14:paraId="1D153C96" w14:textId="77777777" w:rsidR="006A38EE" w:rsidRPr="00BF24F9" w:rsidRDefault="006A38EE" w:rsidP="00BF24F9">
            <w:pPr>
              <w:pStyle w:val="CETBodytext"/>
            </w:pPr>
            <w:r w:rsidRPr="00BF24F9">
              <w:t xml:space="preserve"> - </w:t>
            </w:r>
          </w:p>
        </w:tc>
        <w:tc>
          <w:tcPr>
            <w:tcW w:w="191" w:type="dxa"/>
            <w:tcBorders>
              <w:top w:val="nil"/>
              <w:left w:val="nil"/>
              <w:bottom w:val="nil"/>
              <w:right w:val="nil"/>
            </w:tcBorders>
            <w:shd w:val="clear" w:color="auto" w:fill="auto"/>
            <w:noWrap/>
            <w:vAlign w:val="center"/>
            <w:hideMark/>
          </w:tcPr>
          <w:p w14:paraId="52C20A74" w14:textId="77777777" w:rsidR="006A38EE" w:rsidRPr="00BF24F9" w:rsidRDefault="006A38EE" w:rsidP="00BF24F9">
            <w:pPr>
              <w:pStyle w:val="CETBodytext"/>
            </w:pPr>
          </w:p>
        </w:tc>
        <w:tc>
          <w:tcPr>
            <w:tcW w:w="1305" w:type="dxa"/>
            <w:tcBorders>
              <w:top w:val="nil"/>
              <w:left w:val="nil"/>
              <w:bottom w:val="nil"/>
              <w:right w:val="nil"/>
            </w:tcBorders>
            <w:shd w:val="clear" w:color="auto" w:fill="auto"/>
            <w:noWrap/>
            <w:vAlign w:val="center"/>
            <w:hideMark/>
          </w:tcPr>
          <w:p w14:paraId="7917D450" w14:textId="6467B7F6" w:rsidR="006A38EE" w:rsidRPr="00BF24F9" w:rsidRDefault="006A38EE" w:rsidP="00BF24F9">
            <w:pPr>
              <w:pStyle w:val="CETBodytext"/>
            </w:pPr>
            <w:r w:rsidRPr="00BF24F9">
              <w:t>0</w:t>
            </w:r>
            <w:r w:rsidR="00DC414A">
              <w:t>.</w:t>
            </w:r>
            <w:r w:rsidRPr="00BF24F9">
              <w:t>9</w:t>
            </w:r>
            <w:r w:rsidR="00097C0D">
              <w:t>882</w:t>
            </w:r>
          </w:p>
        </w:tc>
        <w:tc>
          <w:tcPr>
            <w:tcW w:w="672" w:type="dxa"/>
            <w:tcBorders>
              <w:top w:val="nil"/>
              <w:left w:val="nil"/>
              <w:bottom w:val="nil"/>
              <w:right w:val="nil"/>
            </w:tcBorders>
            <w:shd w:val="clear" w:color="auto" w:fill="auto"/>
            <w:noWrap/>
            <w:vAlign w:val="center"/>
            <w:hideMark/>
          </w:tcPr>
          <w:p w14:paraId="2238E88A" w14:textId="7A0956C5" w:rsidR="006A38EE" w:rsidRPr="00BF24F9" w:rsidRDefault="006A38EE" w:rsidP="00BF24F9">
            <w:pPr>
              <w:pStyle w:val="CETBodytext"/>
            </w:pPr>
            <w:r w:rsidRPr="00BF24F9">
              <w:t>2</w:t>
            </w:r>
            <w:r w:rsidR="00DC414A">
              <w:t>.</w:t>
            </w:r>
            <w:r w:rsidRPr="00BF24F9">
              <w:t>092</w:t>
            </w:r>
          </w:p>
        </w:tc>
        <w:tc>
          <w:tcPr>
            <w:tcW w:w="881" w:type="dxa"/>
            <w:tcBorders>
              <w:top w:val="nil"/>
              <w:left w:val="nil"/>
              <w:bottom w:val="nil"/>
              <w:right w:val="nil"/>
            </w:tcBorders>
            <w:shd w:val="clear" w:color="auto" w:fill="auto"/>
            <w:noWrap/>
            <w:vAlign w:val="center"/>
            <w:hideMark/>
          </w:tcPr>
          <w:p w14:paraId="7C3DCA20" w14:textId="5352ADD0" w:rsidR="006A38EE" w:rsidRPr="00BF24F9" w:rsidRDefault="006A38EE" w:rsidP="00BF24F9">
            <w:pPr>
              <w:pStyle w:val="CETBodytext"/>
            </w:pPr>
            <w:r w:rsidRPr="00BF24F9">
              <w:t>21</w:t>
            </w:r>
            <w:r w:rsidR="00DC414A">
              <w:t>.</w:t>
            </w:r>
            <w:r w:rsidRPr="00BF24F9">
              <w:t>4</w:t>
            </w:r>
          </w:p>
        </w:tc>
        <w:tc>
          <w:tcPr>
            <w:tcW w:w="191" w:type="dxa"/>
            <w:tcBorders>
              <w:top w:val="nil"/>
              <w:left w:val="nil"/>
              <w:bottom w:val="nil"/>
              <w:right w:val="nil"/>
            </w:tcBorders>
            <w:shd w:val="clear" w:color="auto" w:fill="auto"/>
            <w:noWrap/>
            <w:vAlign w:val="bottom"/>
            <w:hideMark/>
          </w:tcPr>
          <w:p w14:paraId="69801F37" w14:textId="77777777" w:rsidR="006A38EE" w:rsidRPr="00BF24F9" w:rsidRDefault="006A38EE" w:rsidP="00BF24F9">
            <w:pPr>
              <w:pStyle w:val="CETBodytext"/>
            </w:pPr>
          </w:p>
        </w:tc>
      </w:tr>
      <w:tr w:rsidR="006A38EE" w:rsidRPr="00BF24F9" w14:paraId="4033E960" w14:textId="77777777" w:rsidTr="00BF24F9">
        <w:trPr>
          <w:trHeight w:val="273"/>
        </w:trPr>
        <w:tc>
          <w:tcPr>
            <w:tcW w:w="185" w:type="dxa"/>
            <w:tcBorders>
              <w:top w:val="nil"/>
              <w:left w:val="nil"/>
              <w:bottom w:val="nil"/>
              <w:right w:val="nil"/>
            </w:tcBorders>
            <w:shd w:val="clear" w:color="auto" w:fill="auto"/>
            <w:noWrap/>
            <w:vAlign w:val="center"/>
            <w:hideMark/>
          </w:tcPr>
          <w:p w14:paraId="22D763A6" w14:textId="77777777" w:rsidR="006A38EE" w:rsidRPr="00BF24F9" w:rsidRDefault="006A38EE" w:rsidP="00BF24F9">
            <w:pPr>
              <w:pStyle w:val="CETBodytext"/>
            </w:pPr>
          </w:p>
        </w:tc>
        <w:tc>
          <w:tcPr>
            <w:tcW w:w="1938" w:type="dxa"/>
            <w:tcBorders>
              <w:top w:val="nil"/>
              <w:left w:val="nil"/>
              <w:bottom w:val="nil"/>
              <w:right w:val="nil"/>
            </w:tcBorders>
            <w:shd w:val="clear" w:color="auto" w:fill="auto"/>
            <w:noWrap/>
            <w:vAlign w:val="center"/>
            <w:hideMark/>
          </w:tcPr>
          <w:p w14:paraId="3C16A95A" w14:textId="77777777" w:rsidR="006A38EE" w:rsidRPr="00BF24F9" w:rsidRDefault="006A38EE" w:rsidP="00BF24F9">
            <w:pPr>
              <w:pStyle w:val="CETBodytext"/>
            </w:pPr>
            <w:r w:rsidRPr="00BF24F9">
              <w:t>THF</w:t>
            </w:r>
          </w:p>
        </w:tc>
        <w:tc>
          <w:tcPr>
            <w:tcW w:w="916" w:type="dxa"/>
            <w:tcBorders>
              <w:top w:val="nil"/>
              <w:left w:val="nil"/>
              <w:bottom w:val="nil"/>
              <w:right w:val="nil"/>
            </w:tcBorders>
            <w:shd w:val="clear" w:color="auto" w:fill="auto"/>
            <w:noWrap/>
            <w:vAlign w:val="center"/>
            <w:hideMark/>
          </w:tcPr>
          <w:p w14:paraId="4C6BB790" w14:textId="77777777" w:rsidR="006A38EE" w:rsidRPr="00BF24F9" w:rsidRDefault="006A38EE" w:rsidP="00BF24F9">
            <w:pPr>
              <w:pStyle w:val="CETBodytext"/>
            </w:pPr>
            <w:r w:rsidRPr="00BF24F9">
              <w:t xml:space="preserve"> - </w:t>
            </w:r>
          </w:p>
        </w:tc>
        <w:tc>
          <w:tcPr>
            <w:tcW w:w="1305" w:type="dxa"/>
            <w:tcBorders>
              <w:top w:val="nil"/>
              <w:left w:val="nil"/>
              <w:bottom w:val="nil"/>
              <w:right w:val="nil"/>
            </w:tcBorders>
            <w:shd w:val="clear" w:color="auto" w:fill="auto"/>
            <w:noWrap/>
            <w:vAlign w:val="center"/>
            <w:hideMark/>
          </w:tcPr>
          <w:p w14:paraId="5B6DEF4B" w14:textId="25E2F448" w:rsidR="006A38EE" w:rsidRPr="00BF24F9" w:rsidRDefault="006A38EE" w:rsidP="00BF24F9">
            <w:pPr>
              <w:pStyle w:val="CETBodytext"/>
            </w:pPr>
            <w:r w:rsidRPr="00BF24F9">
              <w:t>0</w:t>
            </w:r>
            <w:r w:rsidR="00DC414A">
              <w:t>.</w:t>
            </w:r>
            <w:r w:rsidRPr="00BF24F9">
              <w:t>9999</w:t>
            </w:r>
          </w:p>
        </w:tc>
        <w:tc>
          <w:tcPr>
            <w:tcW w:w="748" w:type="dxa"/>
            <w:tcBorders>
              <w:top w:val="nil"/>
              <w:left w:val="nil"/>
              <w:bottom w:val="nil"/>
              <w:right w:val="nil"/>
            </w:tcBorders>
            <w:shd w:val="clear" w:color="auto" w:fill="auto"/>
            <w:noWrap/>
            <w:vAlign w:val="center"/>
            <w:hideMark/>
          </w:tcPr>
          <w:p w14:paraId="2382043D" w14:textId="0EC24154" w:rsidR="006A38EE" w:rsidRPr="00BF24F9" w:rsidRDefault="006A38EE" w:rsidP="00BF24F9">
            <w:pPr>
              <w:pStyle w:val="CETBodytext"/>
            </w:pPr>
            <w:r w:rsidRPr="00BF24F9">
              <w:t>0</w:t>
            </w:r>
            <w:r w:rsidR="00DC414A">
              <w:t>.</w:t>
            </w:r>
            <w:r w:rsidRPr="00BF24F9">
              <w:t>140</w:t>
            </w:r>
          </w:p>
        </w:tc>
        <w:tc>
          <w:tcPr>
            <w:tcW w:w="881" w:type="dxa"/>
            <w:tcBorders>
              <w:top w:val="nil"/>
              <w:left w:val="nil"/>
              <w:bottom w:val="nil"/>
              <w:right w:val="nil"/>
            </w:tcBorders>
            <w:shd w:val="clear" w:color="auto" w:fill="auto"/>
            <w:noWrap/>
            <w:vAlign w:val="center"/>
            <w:hideMark/>
          </w:tcPr>
          <w:p w14:paraId="4DE95287" w14:textId="4D50FED1" w:rsidR="006A38EE" w:rsidRPr="00BF24F9" w:rsidRDefault="006A38EE" w:rsidP="00BF24F9">
            <w:pPr>
              <w:pStyle w:val="CETBodytext"/>
            </w:pPr>
            <w:r w:rsidRPr="00BF24F9">
              <w:t>3</w:t>
            </w:r>
            <w:r w:rsidR="00DC414A">
              <w:t>.</w:t>
            </w:r>
            <w:r w:rsidRPr="00BF24F9">
              <w:t>00</w:t>
            </w:r>
          </w:p>
        </w:tc>
        <w:tc>
          <w:tcPr>
            <w:tcW w:w="191" w:type="dxa"/>
            <w:tcBorders>
              <w:top w:val="nil"/>
              <w:left w:val="nil"/>
              <w:bottom w:val="nil"/>
              <w:right w:val="nil"/>
            </w:tcBorders>
            <w:shd w:val="clear" w:color="auto" w:fill="auto"/>
            <w:noWrap/>
            <w:vAlign w:val="center"/>
            <w:hideMark/>
          </w:tcPr>
          <w:p w14:paraId="0B0FF1FE" w14:textId="77777777" w:rsidR="006A38EE" w:rsidRPr="00BF24F9" w:rsidRDefault="006A38EE" w:rsidP="00BF24F9">
            <w:pPr>
              <w:pStyle w:val="CETBodytext"/>
            </w:pPr>
          </w:p>
        </w:tc>
        <w:tc>
          <w:tcPr>
            <w:tcW w:w="1305" w:type="dxa"/>
            <w:tcBorders>
              <w:top w:val="nil"/>
              <w:left w:val="nil"/>
              <w:bottom w:val="nil"/>
              <w:right w:val="nil"/>
            </w:tcBorders>
            <w:shd w:val="clear" w:color="auto" w:fill="auto"/>
            <w:noWrap/>
            <w:vAlign w:val="center"/>
            <w:hideMark/>
          </w:tcPr>
          <w:p w14:paraId="7DC354CB" w14:textId="374C86D2" w:rsidR="006A38EE" w:rsidRPr="00BF24F9" w:rsidRDefault="006A38EE" w:rsidP="00BF24F9">
            <w:pPr>
              <w:pStyle w:val="CETBodytext"/>
            </w:pPr>
            <w:r w:rsidRPr="00BF24F9">
              <w:t>0</w:t>
            </w:r>
            <w:r w:rsidR="00DC414A">
              <w:t>.</w:t>
            </w:r>
            <w:r w:rsidRPr="00BF24F9">
              <w:t>9989</w:t>
            </w:r>
          </w:p>
        </w:tc>
        <w:tc>
          <w:tcPr>
            <w:tcW w:w="672" w:type="dxa"/>
            <w:tcBorders>
              <w:top w:val="nil"/>
              <w:left w:val="nil"/>
              <w:bottom w:val="nil"/>
              <w:right w:val="nil"/>
            </w:tcBorders>
            <w:shd w:val="clear" w:color="auto" w:fill="auto"/>
            <w:noWrap/>
            <w:vAlign w:val="center"/>
            <w:hideMark/>
          </w:tcPr>
          <w:p w14:paraId="4998E070" w14:textId="0DDCF98A" w:rsidR="006A38EE" w:rsidRPr="00BF24F9" w:rsidRDefault="006A38EE" w:rsidP="00BF24F9">
            <w:pPr>
              <w:pStyle w:val="CETBodytext"/>
            </w:pPr>
            <w:r w:rsidRPr="00BF24F9">
              <w:t>0</w:t>
            </w:r>
            <w:r w:rsidR="00DC414A">
              <w:t>.</w:t>
            </w:r>
            <w:r w:rsidRPr="00BF24F9">
              <w:t>087</w:t>
            </w:r>
          </w:p>
        </w:tc>
        <w:tc>
          <w:tcPr>
            <w:tcW w:w="881" w:type="dxa"/>
            <w:tcBorders>
              <w:top w:val="nil"/>
              <w:left w:val="nil"/>
              <w:bottom w:val="nil"/>
              <w:right w:val="nil"/>
            </w:tcBorders>
            <w:shd w:val="clear" w:color="auto" w:fill="auto"/>
            <w:noWrap/>
            <w:vAlign w:val="center"/>
            <w:hideMark/>
          </w:tcPr>
          <w:p w14:paraId="08E709B9" w14:textId="715DCF0A" w:rsidR="006A38EE" w:rsidRPr="00BF24F9" w:rsidRDefault="006A38EE" w:rsidP="00BF24F9">
            <w:pPr>
              <w:pStyle w:val="CETBodytext"/>
            </w:pPr>
            <w:r w:rsidRPr="00BF24F9">
              <w:t>5</w:t>
            </w:r>
            <w:r w:rsidR="00E26D12">
              <w:t>.</w:t>
            </w:r>
            <w:r w:rsidRPr="00BF24F9">
              <w:t>85</w:t>
            </w:r>
          </w:p>
        </w:tc>
        <w:tc>
          <w:tcPr>
            <w:tcW w:w="191" w:type="dxa"/>
            <w:tcBorders>
              <w:top w:val="nil"/>
              <w:left w:val="nil"/>
              <w:bottom w:val="nil"/>
              <w:right w:val="nil"/>
            </w:tcBorders>
            <w:shd w:val="clear" w:color="auto" w:fill="auto"/>
            <w:noWrap/>
            <w:vAlign w:val="bottom"/>
            <w:hideMark/>
          </w:tcPr>
          <w:p w14:paraId="226CBA4D" w14:textId="77777777" w:rsidR="006A38EE" w:rsidRPr="00BF24F9" w:rsidRDefault="006A38EE" w:rsidP="00BF24F9">
            <w:pPr>
              <w:pStyle w:val="CETBodytext"/>
            </w:pPr>
          </w:p>
        </w:tc>
      </w:tr>
      <w:tr w:rsidR="006A38EE" w:rsidRPr="00BF24F9" w14:paraId="29E17179" w14:textId="77777777" w:rsidTr="00BF24F9">
        <w:trPr>
          <w:trHeight w:val="273"/>
        </w:trPr>
        <w:tc>
          <w:tcPr>
            <w:tcW w:w="185" w:type="dxa"/>
            <w:tcBorders>
              <w:top w:val="nil"/>
              <w:left w:val="nil"/>
              <w:bottom w:val="nil"/>
              <w:right w:val="nil"/>
            </w:tcBorders>
            <w:shd w:val="clear" w:color="auto" w:fill="auto"/>
            <w:noWrap/>
            <w:vAlign w:val="center"/>
            <w:hideMark/>
          </w:tcPr>
          <w:p w14:paraId="228CD3B4" w14:textId="77777777" w:rsidR="006A38EE" w:rsidRPr="00BF24F9" w:rsidRDefault="006A38EE" w:rsidP="00BF24F9">
            <w:pPr>
              <w:pStyle w:val="CETBodytext"/>
            </w:pPr>
          </w:p>
        </w:tc>
        <w:tc>
          <w:tcPr>
            <w:tcW w:w="1938" w:type="dxa"/>
            <w:tcBorders>
              <w:top w:val="nil"/>
              <w:left w:val="nil"/>
              <w:bottom w:val="nil"/>
              <w:right w:val="nil"/>
            </w:tcBorders>
            <w:shd w:val="clear" w:color="auto" w:fill="auto"/>
            <w:noWrap/>
            <w:vAlign w:val="center"/>
            <w:hideMark/>
          </w:tcPr>
          <w:p w14:paraId="0FA27357" w14:textId="77777777" w:rsidR="006A38EE" w:rsidRPr="00BF24F9" w:rsidRDefault="006A38EE" w:rsidP="00BF24F9">
            <w:pPr>
              <w:pStyle w:val="CETBodytext"/>
            </w:pPr>
            <w:r w:rsidRPr="00BF24F9">
              <w:t>1,4-Dioxane</w:t>
            </w:r>
          </w:p>
        </w:tc>
        <w:tc>
          <w:tcPr>
            <w:tcW w:w="916" w:type="dxa"/>
            <w:tcBorders>
              <w:top w:val="nil"/>
              <w:left w:val="nil"/>
              <w:bottom w:val="nil"/>
              <w:right w:val="nil"/>
            </w:tcBorders>
            <w:shd w:val="clear" w:color="auto" w:fill="auto"/>
            <w:noWrap/>
            <w:vAlign w:val="center"/>
            <w:hideMark/>
          </w:tcPr>
          <w:p w14:paraId="662F8700" w14:textId="77777777" w:rsidR="006A38EE" w:rsidRPr="00BF24F9" w:rsidRDefault="006A38EE" w:rsidP="00BF24F9">
            <w:pPr>
              <w:pStyle w:val="CETBodytext"/>
            </w:pPr>
            <w:r w:rsidRPr="00BF24F9">
              <w:t>75000</w:t>
            </w:r>
          </w:p>
        </w:tc>
        <w:tc>
          <w:tcPr>
            <w:tcW w:w="1305" w:type="dxa"/>
            <w:tcBorders>
              <w:top w:val="nil"/>
              <w:left w:val="nil"/>
              <w:bottom w:val="nil"/>
              <w:right w:val="nil"/>
            </w:tcBorders>
            <w:shd w:val="clear" w:color="auto" w:fill="auto"/>
            <w:noWrap/>
            <w:vAlign w:val="center"/>
            <w:hideMark/>
          </w:tcPr>
          <w:p w14:paraId="485B0642" w14:textId="36DC9D68" w:rsidR="006A38EE" w:rsidRPr="00BF24F9" w:rsidRDefault="006A38EE" w:rsidP="00BF24F9">
            <w:pPr>
              <w:pStyle w:val="CETBodytext"/>
            </w:pPr>
            <w:r w:rsidRPr="00BF24F9">
              <w:t>0</w:t>
            </w:r>
            <w:r w:rsidR="00DC414A">
              <w:t>.</w:t>
            </w:r>
            <w:r w:rsidRPr="00BF24F9">
              <w:t>9</w:t>
            </w:r>
            <w:r w:rsidR="00DD33F4">
              <w:t>896</w:t>
            </w:r>
          </w:p>
        </w:tc>
        <w:tc>
          <w:tcPr>
            <w:tcW w:w="748" w:type="dxa"/>
            <w:tcBorders>
              <w:top w:val="nil"/>
              <w:left w:val="nil"/>
              <w:bottom w:val="nil"/>
              <w:right w:val="nil"/>
            </w:tcBorders>
            <w:shd w:val="clear" w:color="auto" w:fill="auto"/>
            <w:noWrap/>
            <w:vAlign w:val="center"/>
            <w:hideMark/>
          </w:tcPr>
          <w:p w14:paraId="670BE419" w14:textId="488F727A" w:rsidR="006A38EE" w:rsidRPr="00BF24F9" w:rsidRDefault="006A38EE" w:rsidP="00BF24F9">
            <w:pPr>
              <w:pStyle w:val="CETBodytext"/>
            </w:pPr>
            <w:r w:rsidRPr="00BF24F9">
              <w:t>0</w:t>
            </w:r>
            <w:r w:rsidR="00DC414A">
              <w:t>.</w:t>
            </w:r>
            <w:r w:rsidRPr="00BF24F9">
              <w:t>1</w:t>
            </w:r>
            <w:r w:rsidR="00097C0D">
              <w:t>46</w:t>
            </w:r>
          </w:p>
        </w:tc>
        <w:tc>
          <w:tcPr>
            <w:tcW w:w="881" w:type="dxa"/>
            <w:tcBorders>
              <w:top w:val="nil"/>
              <w:left w:val="nil"/>
              <w:bottom w:val="nil"/>
              <w:right w:val="nil"/>
            </w:tcBorders>
            <w:shd w:val="clear" w:color="auto" w:fill="auto"/>
            <w:noWrap/>
            <w:vAlign w:val="center"/>
            <w:hideMark/>
          </w:tcPr>
          <w:p w14:paraId="4E3A6FEB" w14:textId="4227880A" w:rsidR="006A38EE" w:rsidRPr="00BF24F9" w:rsidRDefault="006A38EE" w:rsidP="00BF24F9">
            <w:pPr>
              <w:pStyle w:val="CETBodytext"/>
            </w:pPr>
            <w:r w:rsidRPr="00BF24F9">
              <w:t>2</w:t>
            </w:r>
            <w:r w:rsidR="00097C0D">
              <w:t>8</w:t>
            </w:r>
            <w:r w:rsidR="00DC414A">
              <w:t>.</w:t>
            </w:r>
            <w:r w:rsidR="00097C0D">
              <w:t>7</w:t>
            </w:r>
          </w:p>
        </w:tc>
        <w:tc>
          <w:tcPr>
            <w:tcW w:w="191" w:type="dxa"/>
            <w:tcBorders>
              <w:top w:val="nil"/>
              <w:left w:val="nil"/>
              <w:bottom w:val="nil"/>
              <w:right w:val="nil"/>
            </w:tcBorders>
            <w:shd w:val="clear" w:color="auto" w:fill="auto"/>
            <w:noWrap/>
            <w:vAlign w:val="center"/>
            <w:hideMark/>
          </w:tcPr>
          <w:p w14:paraId="32E4663C" w14:textId="77777777" w:rsidR="006A38EE" w:rsidRPr="00BF24F9" w:rsidRDefault="006A38EE" w:rsidP="00BF24F9">
            <w:pPr>
              <w:pStyle w:val="CETBodytext"/>
            </w:pPr>
          </w:p>
        </w:tc>
        <w:tc>
          <w:tcPr>
            <w:tcW w:w="1305" w:type="dxa"/>
            <w:tcBorders>
              <w:top w:val="nil"/>
              <w:left w:val="nil"/>
              <w:bottom w:val="nil"/>
              <w:right w:val="nil"/>
            </w:tcBorders>
            <w:shd w:val="clear" w:color="auto" w:fill="auto"/>
            <w:noWrap/>
            <w:vAlign w:val="center"/>
            <w:hideMark/>
          </w:tcPr>
          <w:p w14:paraId="7F32D9CB" w14:textId="019AB9AF" w:rsidR="006A38EE" w:rsidRPr="00BF24F9" w:rsidRDefault="006A38EE" w:rsidP="00BF24F9">
            <w:pPr>
              <w:pStyle w:val="CETBodytext"/>
            </w:pPr>
            <w:r w:rsidRPr="00BF24F9">
              <w:t>0</w:t>
            </w:r>
            <w:r w:rsidR="00DC414A">
              <w:t>.</w:t>
            </w:r>
            <w:r w:rsidRPr="00BF24F9">
              <w:t>9978</w:t>
            </w:r>
          </w:p>
        </w:tc>
        <w:tc>
          <w:tcPr>
            <w:tcW w:w="672" w:type="dxa"/>
            <w:tcBorders>
              <w:top w:val="nil"/>
              <w:left w:val="nil"/>
              <w:bottom w:val="nil"/>
              <w:right w:val="nil"/>
            </w:tcBorders>
            <w:shd w:val="clear" w:color="auto" w:fill="auto"/>
            <w:noWrap/>
            <w:vAlign w:val="center"/>
            <w:hideMark/>
          </w:tcPr>
          <w:p w14:paraId="5CDA4452" w14:textId="27D21E15" w:rsidR="006A38EE" w:rsidRPr="00BF24F9" w:rsidRDefault="006A38EE" w:rsidP="00BF24F9">
            <w:pPr>
              <w:pStyle w:val="CETBodytext"/>
            </w:pPr>
            <w:r w:rsidRPr="00BF24F9">
              <w:t>0</w:t>
            </w:r>
            <w:r w:rsidR="00DC414A">
              <w:t>.</w:t>
            </w:r>
            <w:r w:rsidRPr="00BF24F9">
              <w:t>285</w:t>
            </w:r>
          </w:p>
        </w:tc>
        <w:tc>
          <w:tcPr>
            <w:tcW w:w="881" w:type="dxa"/>
            <w:tcBorders>
              <w:top w:val="nil"/>
              <w:left w:val="nil"/>
              <w:bottom w:val="nil"/>
              <w:right w:val="nil"/>
            </w:tcBorders>
            <w:shd w:val="clear" w:color="auto" w:fill="auto"/>
            <w:noWrap/>
            <w:vAlign w:val="center"/>
            <w:hideMark/>
          </w:tcPr>
          <w:p w14:paraId="3C7BD621" w14:textId="42D8C540" w:rsidR="006A38EE" w:rsidRPr="00BF24F9" w:rsidRDefault="006A38EE" w:rsidP="00BF24F9">
            <w:pPr>
              <w:pStyle w:val="CETBodytext"/>
            </w:pPr>
            <w:r w:rsidRPr="00BF24F9">
              <w:t>14</w:t>
            </w:r>
            <w:r w:rsidR="00E26D12">
              <w:t>.</w:t>
            </w:r>
            <w:r w:rsidRPr="00BF24F9">
              <w:t>9</w:t>
            </w:r>
          </w:p>
        </w:tc>
        <w:tc>
          <w:tcPr>
            <w:tcW w:w="191" w:type="dxa"/>
            <w:tcBorders>
              <w:top w:val="nil"/>
              <w:left w:val="nil"/>
              <w:bottom w:val="nil"/>
              <w:right w:val="nil"/>
            </w:tcBorders>
            <w:shd w:val="clear" w:color="auto" w:fill="auto"/>
            <w:noWrap/>
            <w:vAlign w:val="bottom"/>
            <w:hideMark/>
          </w:tcPr>
          <w:p w14:paraId="75D28FBE" w14:textId="77777777" w:rsidR="006A38EE" w:rsidRPr="00BF24F9" w:rsidRDefault="006A38EE" w:rsidP="00BF24F9">
            <w:pPr>
              <w:pStyle w:val="CETBodytext"/>
            </w:pPr>
          </w:p>
        </w:tc>
      </w:tr>
      <w:tr w:rsidR="006A38EE" w:rsidRPr="00BF24F9" w14:paraId="24BD4A8E" w14:textId="77777777" w:rsidTr="00BF24F9">
        <w:trPr>
          <w:trHeight w:val="273"/>
        </w:trPr>
        <w:tc>
          <w:tcPr>
            <w:tcW w:w="185" w:type="dxa"/>
            <w:tcBorders>
              <w:top w:val="nil"/>
              <w:left w:val="nil"/>
              <w:bottom w:val="nil"/>
              <w:right w:val="nil"/>
            </w:tcBorders>
            <w:shd w:val="clear" w:color="auto" w:fill="auto"/>
            <w:noWrap/>
            <w:vAlign w:val="center"/>
            <w:hideMark/>
          </w:tcPr>
          <w:p w14:paraId="48CAF5C4" w14:textId="77777777" w:rsidR="006A38EE" w:rsidRPr="00BF24F9" w:rsidRDefault="006A38EE" w:rsidP="00BF24F9">
            <w:pPr>
              <w:pStyle w:val="CETBodytext"/>
            </w:pPr>
          </w:p>
        </w:tc>
        <w:tc>
          <w:tcPr>
            <w:tcW w:w="1938" w:type="dxa"/>
            <w:tcBorders>
              <w:top w:val="nil"/>
              <w:left w:val="nil"/>
              <w:bottom w:val="nil"/>
              <w:right w:val="nil"/>
            </w:tcBorders>
            <w:shd w:val="clear" w:color="auto" w:fill="auto"/>
            <w:noWrap/>
            <w:vAlign w:val="center"/>
            <w:hideMark/>
          </w:tcPr>
          <w:p w14:paraId="2D432CA2" w14:textId="77777777" w:rsidR="006A38EE" w:rsidRPr="00BF24F9" w:rsidRDefault="006A38EE" w:rsidP="00BF24F9">
            <w:pPr>
              <w:pStyle w:val="CETBodytext"/>
            </w:pPr>
            <w:r w:rsidRPr="00BF24F9">
              <w:t>Methyl methacrylate</w:t>
            </w:r>
          </w:p>
        </w:tc>
        <w:tc>
          <w:tcPr>
            <w:tcW w:w="916" w:type="dxa"/>
            <w:tcBorders>
              <w:top w:val="nil"/>
              <w:left w:val="nil"/>
              <w:bottom w:val="nil"/>
              <w:right w:val="nil"/>
            </w:tcBorders>
            <w:shd w:val="clear" w:color="auto" w:fill="auto"/>
            <w:noWrap/>
            <w:vAlign w:val="center"/>
            <w:hideMark/>
          </w:tcPr>
          <w:p w14:paraId="051400D2" w14:textId="77777777" w:rsidR="006A38EE" w:rsidRPr="00BF24F9" w:rsidRDefault="006A38EE" w:rsidP="00BF24F9">
            <w:pPr>
              <w:pStyle w:val="CETBodytext"/>
            </w:pPr>
            <w:r w:rsidRPr="00BF24F9">
              <w:t>340</w:t>
            </w:r>
          </w:p>
        </w:tc>
        <w:tc>
          <w:tcPr>
            <w:tcW w:w="1305" w:type="dxa"/>
            <w:tcBorders>
              <w:top w:val="nil"/>
              <w:left w:val="nil"/>
              <w:bottom w:val="nil"/>
              <w:right w:val="nil"/>
            </w:tcBorders>
            <w:shd w:val="clear" w:color="auto" w:fill="auto"/>
            <w:noWrap/>
            <w:vAlign w:val="center"/>
            <w:hideMark/>
          </w:tcPr>
          <w:p w14:paraId="6B703414" w14:textId="11140161" w:rsidR="006A38EE" w:rsidRPr="006E0D24" w:rsidRDefault="00C20619" w:rsidP="00BF24F9">
            <w:pPr>
              <w:pStyle w:val="CETBodytext"/>
              <w:rPr>
                <w:i/>
                <w:iCs/>
              </w:rPr>
            </w:pPr>
            <w:r w:rsidRPr="006E0D24">
              <w:rPr>
                <w:i/>
                <w:iCs/>
              </w:rPr>
              <w:t>Coeluted</w:t>
            </w:r>
          </w:p>
        </w:tc>
        <w:tc>
          <w:tcPr>
            <w:tcW w:w="748" w:type="dxa"/>
            <w:tcBorders>
              <w:top w:val="nil"/>
              <w:left w:val="nil"/>
              <w:bottom w:val="nil"/>
              <w:right w:val="nil"/>
            </w:tcBorders>
            <w:shd w:val="clear" w:color="auto" w:fill="auto"/>
            <w:noWrap/>
            <w:vAlign w:val="center"/>
            <w:hideMark/>
          </w:tcPr>
          <w:p w14:paraId="4A8AE185" w14:textId="4785AF38" w:rsidR="006A38EE" w:rsidRPr="00BF24F9" w:rsidRDefault="006A38EE" w:rsidP="00BF24F9">
            <w:pPr>
              <w:pStyle w:val="CETBodytext"/>
            </w:pPr>
            <w:r w:rsidRPr="00BF24F9">
              <w:t>0</w:t>
            </w:r>
            <w:r w:rsidR="00DC414A">
              <w:t>.</w:t>
            </w:r>
            <w:r w:rsidRPr="00BF24F9">
              <w:t>124</w:t>
            </w:r>
          </w:p>
        </w:tc>
        <w:tc>
          <w:tcPr>
            <w:tcW w:w="881" w:type="dxa"/>
            <w:tcBorders>
              <w:top w:val="nil"/>
              <w:left w:val="nil"/>
              <w:bottom w:val="nil"/>
              <w:right w:val="nil"/>
            </w:tcBorders>
            <w:shd w:val="clear" w:color="auto" w:fill="auto"/>
            <w:noWrap/>
            <w:vAlign w:val="center"/>
            <w:hideMark/>
          </w:tcPr>
          <w:p w14:paraId="4CFA87B4" w14:textId="6E9FCE09" w:rsidR="006A38EE" w:rsidRPr="00BF24F9" w:rsidRDefault="006A38EE" w:rsidP="00BF24F9">
            <w:pPr>
              <w:pStyle w:val="CETBodytext"/>
            </w:pPr>
            <w:r w:rsidRPr="00BF24F9">
              <w:t>15</w:t>
            </w:r>
            <w:r w:rsidR="00DC414A">
              <w:t>.</w:t>
            </w:r>
            <w:r w:rsidRPr="00BF24F9">
              <w:t>3</w:t>
            </w:r>
          </w:p>
        </w:tc>
        <w:tc>
          <w:tcPr>
            <w:tcW w:w="191" w:type="dxa"/>
            <w:tcBorders>
              <w:top w:val="nil"/>
              <w:left w:val="nil"/>
              <w:bottom w:val="nil"/>
              <w:right w:val="nil"/>
            </w:tcBorders>
            <w:shd w:val="clear" w:color="auto" w:fill="auto"/>
            <w:noWrap/>
            <w:vAlign w:val="center"/>
            <w:hideMark/>
          </w:tcPr>
          <w:p w14:paraId="4234DCCE" w14:textId="77777777" w:rsidR="006A38EE" w:rsidRPr="00BF24F9" w:rsidRDefault="006A38EE" w:rsidP="00BF24F9">
            <w:pPr>
              <w:pStyle w:val="CETBodytext"/>
            </w:pPr>
          </w:p>
        </w:tc>
        <w:tc>
          <w:tcPr>
            <w:tcW w:w="1305" w:type="dxa"/>
            <w:tcBorders>
              <w:top w:val="nil"/>
              <w:left w:val="nil"/>
              <w:bottom w:val="nil"/>
              <w:right w:val="nil"/>
            </w:tcBorders>
            <w:shd w:val="clear" w:color="auto" w:fill="auto"/>
            <w:noWrap/>
            <w:vAlign w:val="center"/>
            <w:hideMark/>
          </w:tcPr>
          <w:p w14:paraId="0107B191" w14:textId="03B00F2F" w:rsidR="006A38EE" w:rsidRPr="00BF24F9" w:rsidRDefault="006A38EE" w:rsidP="00BF24F9">
            <w:pPr>
              <w:pStyle w:val="CETBodytext"/>
            </w:pPr>
            <w:r w:rsidRPr="00BF24F9">
              <w:t>0</w:t>
            </w:r>
            <w:r w:rsidR="00DC414A">
              <w:t>.</w:t>
            </w:r>
            <w:r w:rsidRPr="00BF24F9">
              <w:t>9984</w:t>
            </w:r>
          </w:p>
        </w:tc>
        <w:tc>
          <w:tcPr>
            <w:tcW w:w="672" w:type="dxa"/>
            <w:tcBorders>
              <w:top w:val="nil"/>
              <w:left w:val="nil"/>
              <w:bottom w:val="nil"/>
              <w:right w:val="nil"/>
            </w:tcBorders>
            <w:shd w:val="clear" w:color="auto" w:fill="auto"/>
            <w:noWrap/>
            <w:vAlign w:val="center"/>
            <w:hideMark/>
          </w:tcPr>
          <w:p w14:paraId="1F33BC47" w14:textId="14431E5F" w:rsidR="006A38EE" w:rsidRPr="00BF24F9" w:rsidRDefault="006A38EE" w:rsidP="00BF24F9">
            <w:pPr>
              <w:pStyle w:val="CETBodytext"/>
            </w:pPr>
            <w:r w:rsidRPr="00BF24F9">
              <w:t>0</w:t>
            </w:r>
            <w:r w:rsidR="00DC414A">
              <w:t>.</w:t>
            </w:r>
            <w:r w:rsidRPr="00BF24F9">
              <w:t>273</w:t>
            </w:r>
          </w:p>
        </w:tc>
        <w:tc>
          <w:tcPr>
            <w:tcW w:w="881" w:type="dxa"/>
            <w:tcBorders>
              <w:top w:val="nil"/>
              <w:left w:val="nil"/>
              <w:bottom w:val="nil"/>
              <w:right w:val="nil"/>
            </w:tcBorders>
            <w:shd w:val="clear" w:color="auto" w:fill="auto"/>
            <w:noWrap/>
            <w:vAlign w:val="center"/>
            <w:hideMark/>
          </w:tcPr>
          <w:p w14:paraId="1ECAB6E7" w14:textId="6DF0E100" w:rsidR="006A38EE" w:rsidRPr="00BF24F9" w:rsidRDefault="006A38EE" w:rsidP="00BF24F9">
            <w:pPr>
              <w:pStyle w:val="CETBodytext"/>
            </w:pPr>
            <w:r w:rsidRPr="00BF24F9">
              <w:t>5</w:t>
            </w:r>
            <w:r w:rsidR="00E26D12">
              <w:t>.</w:t>
            </w:r>
            <w:r w:rsidRPr="00BF24F9">
              <w:t>92</w:t>
            </w:r>
          </w:p>
        </w:tc>
        <w:tc>
          <w:tcPr>
            <w:tcW w:w="191" w:type="dxa"/>
            <w:tcBorders>
              <w:top w:val="nil"/>
              <w:left w:val="nil"/>
              <w:bottom w:val="nil"/>
              <w:right w:val="nil"/>
            </w:tcBorders>
            <w:shd w:val="clear" w:color="auto" w:fill="auto"/>
            <w:noWrap/>
            <w:vAlign w:val="bottom"/>
            <w:hideMark/>
          </w:tcPr>
          <w:p w14:paraId="61D7895B" w14:textId="77777777" w:rsidR="006A38EE" w:rsidRPr="00BF24F9" w:rsidRDefault="006A38EE" w:rsidP="00BF24F9">
            <w:pPr>
              <w:pStyle w:val="CETBodytext"/>
            </w:pPr>
          </w:p>
        </w:tc>
      </w:tr>
      <w:tr w:rsidR="006A38EE" w:rsidRPr="00BF24F9" w14:paraId="1479680E" w14:textId="77777777" w:rsidTr="00BF24F9">
        <w:trPr>
          <w:trHeight w:val="273"/>
        </w:trPr>
        <w:tc>
          <w:tcPr>
            <w:tcW w:w="185" w:type="dxa"/>
            <w:tcBorders>
              <w:top w:val="nil"/>
              <w:left w:val="nil"/>
              <w:bottom w:val="nil"/>
              <w:right w:val="nil"/>
            </w:tcBorders>
            <w:shd w:val="clear" w:color="auto" w:fill="auto"/>
            <w:noWrap/>
            <w:vAlign w:val="center"/>
            <w:hideMark/>
          </w:tcPr>
          <w:p w14:paraId="0CE1E755" w14:textId="77777777" w:rsidR="006A38EE" w:rsidRPr="00BF24F9" w:rsidRDefault="006A38EE" w:rsidP="00BF24F9">
            <w:pPr>
              <w:pStyle w:val="CETBodytext"/>
            </w:pPr>
          </w:p>
        </w:tc>
        <w:tc>
          <w:tcPr>
            <w:tcW w:w="1938" w:type="dxa"/>
            <w:tcBorders>
              <w:top w:val="nil"/>
              <w:left w:val="nil"/>
              <w:bottom w:val="nil"/>
              <w:right w:val="nil"/>
            </w:tcBorders>
            <w:shd w:val="clear" w:color="auto" w:fill="auto"/>
            <w:noWrap/>
            <w:vAlign w:val="center"/>
            <w:hideMark/>
          </w:tcPr>
          <w:p w14:paraId="51744EC4" w14:textId="77777777" w:rsidR="006A38EE" w:rsidRPr="00BF24F9" w:rsidRDefault="006A38EE" w:rsidP="00BF24F9">
            <w:pPr>
              <w:pStyle w:val="CETBodytext"/>
            </w:pPr>
            <w:r w:rsidRPr="00BF24F9">
              <w:t>Methyl isobutyl ketone</w:t>
            </w:r>
          </w:p>
        </w:tc>
        <w:tc>
          <w:tcPr>
            <w:tcW w:w="916" w:type="dxa"/>
            <w:tcBorders>
              <w:top w:val="nil"/>
              <w:left w:val="nil"/>
              <w:bottom w:val="nil"/>
              <w:right w:val="nil"/>
            </w:tcBorders>
            <w:shd w:val="clear" w:color="auto" w:fill="auto"/>
            <w:noWrap/>
            <w:vAlign w:val="center"/>
            <w:hideMark/>
          </w:tcPr>
          <w:p w14:paraId="75FE9974" w14:textId="77777777" w:rsidR="006A38EE" w:rsidRPr="00BF24F9" w:rsidRDefault="006A38EE" w:rsidP="00BF24F9">
            <w:pPr>
              <w:pStyle w:val="CETBodytext"/>
            </w:pPr>
            <w:r w:rsidRPr="00BF24F9">
              <w:t>270</w:t>
            </w:r>
          </w:p>
        </w:tc>
        <w:tc>
          <w:tcPr>
            <w:tcW w:w="1305" w:type="dxa"/>
            <w:tcBorders>
              <w:top w:val="nil"/>
              <w:left w:val="nil"/>
              <w:bottom w:val="nil"/>
              <w:right w:val="nil"/>
            </w:tcBorders>
            <w:shd w:val="clear" w:color="auto" w:fill="auto"/>
            <w:noWrap/>
            <w:vAlign w:val="center"/>
            <w:hideMark/>
          </w:tcPr>
          <w:p w14:paraId="4351F8B1" w14:textId="4CF4A992" w:rsidR="006A38EE" w:rsidRPr="00BF24F9" w:rsidRDefault="006A38EE" w:rsidP="00BF24F9">
            <w:pPr>
              <w:pStyle w:val="CETBodytext"/>
            </w:pPr>
            <w:r w:rsidRPr="00BF24F9">
              <w:t>0</w:t>
            </w:r>
            <w:r w:rsidR="00DC414A">
              <w:t>.</w:t>
            </w:r>
            <w:r w:rsidRPr="00BF24F9">
              <w:t>9986</w:t>
            </w:r>
          </w:p>
        </w:tc>
        <w:tc>
          <w:tcPr>
            <w:tcW w:w="748" w:type="dxa"/>
            <w:tcBorders>
              <w:top w:val="nil"/>
              <w:left w:val="nil"/>
              <w:bottom w:val="nil"/>
              <w:right w:val="nil"/>
            </w:tcBorders>
            <w:shd w:val="clear" w:color="auto" w:fill="auto"/>
            <w:noWrap/>
            <w:vAlign w:val="center"/>
            <w:hideMark/>
          </w:tcPr>
          <w:p w14:paraId="3ABE7A63" w14:textId="611A2785" w:rsidR="006A38EE" w:rsidRPr="00BF24F9" w:rsidRDefault="006A38EE" w:rsidP="00BF24F9">
            <w:pPr>
              <w:pStyle w:val="CETBodytext"/>
            </w:pPr>
            <w:r w:rsidRPr="00BF24F9">
              <w:t>0</w:t>
            </w:r>
            <w:r w:rsidR="00DC414A">
              <w:t>.</w:t>
            </w:r>
            <w:r w:rsidRPr="00BF24F9">
              <w:t>325</w:t>
            </w:r>
          </w:p>
        </w:tc>
        <w:tc>
          <w:tcPr>
            <w:tcW w:w="881" w:type="dxa"/>
            <w:tcBorders>
              <w:top w:val="nil"/>
              <w:left w:val="nil"/>
              <w:bottom w:val="nil"/>
              <w:right w:val="nil"/>
            </w:tcBorders>
            <w:shd w:val="clear" w:color="auto" w:fill="auto"/>
            <w:noWrap/>
            <w:vAlign w:val="center"/>
            <w:hideMark/>
          </w:tcPr>
          <w:p w14:paraId="386A0ADF" w14:textId="436AFF38" w:rsidR="006A38EE" w:rsidRPr="00BF24F9" w:rsidRDefault="006A38EE" w:rsidP="00BF24F9">
            <w:pPr>
              <w:pStyle w:val="CETBodytext"/>
            </w:pPr>
            <w:r w:rsidRPr="00BF24F9">
              <w:t>7</w:t>
            </w:r>
            <w:r w:rsidR="00DC414A">
              <w:t>.</w:t>
            </w:r>
            <w:r w:rsidRPr="00BF24F9">
              <w:t>36</w:t>
            </w:r>
          </w:p>
        </w:tc>
        <w:tc>
          <w:tcPr>
            <w:tcW w:w="191" w:type="dxa"/>
            <w:tcBorders>
              <w:top w:val="nil"/>
              <w:left w:val="nil"/>
              <w:bottom w:val="nil"/>
              <w:right w:val="nil"/>
            </w:tcBorders>
            <w:shd w:val="clear" w:color="auto" w:fill="auto"/>
            <w:noWrap/>
            <w:vAlign w:val="center"/>
            <w:hideMark/>
          </w:tcPr>
          <w:p w14:paraId="572FDDDC" w14:textId="77777777" w:rsidR="006A38EE" w:rsidRPr="00BF24F9" w:rsidRDefault="006A38EE" w:rsidP="00BF24F9">
            <w:pPr>
              <w:pStyle w:val="CETBodytext"/>
            </w:pPr>
          </w:p>
        </w:tc>
        <w:tc>
          <w:tcPr>
            <w:tcW w:w="1305" w:type="dxa"/>
            <w:tcBorders>
              <w:top w:val="nil"/>
              <w:left w:val="nil"/>
              <w:bottom w:val="nil"/>
              <w:right w:val="nil"/>
            </w:tcBorders>
            <w:shd w:val="clear" w:color="auto" w:fill="auto"/>
            <w:noWrap/>
            <w:vAlign w:val="center"/>
            <w:hideMark/>
          </w:tcPr>
          <w:p w14:paraId="625F1A62" w14:textId="7ACDE261" w:rsidR="006A38EE" w:rsidRPr="00BF24F9" w:rsidRDefault="006A38EE" w:rsidP="00BF24F9">
            <w:pPr>
              <w:pStyle w:val="CETBodytext"/>
            </w:pPr>
            <w:r w:rsidRPr="00BF24F9">
              <w:t>0</w:t>
            </w:r>
            <w:r w:rsidR="00DC414A">
              <w:t>.</w:t>
            </w:r>
            <w:r w:rsidRPr="00BF24F9">
              <w:t>9979</w:t>
            </w:r>
          </w:p>
        </w:tc>
        <w:tc>
          <w:tcPr>
            <w:tcW w:w="672" w:type="dxa"/>
            <w:tcBorders>
              <w:top w:val="nil"/>
              <w:left w:val="nil"/>
              <w:bottom w:val="nil"/>
              <w:right w:val="nil"/>
            </w:tcBorders>
            <w:shd w:val="clear" w:color="auto" w:fill="auto"/>
            <w:noWrap/>
            <w:vAlign w:val="center"/>
            <w:hideMark/>
          </w:tcPr>
          <w:p w14:paraId="75841D28" w14:textId="477297AD" w:rsidR="006A38EE" w:rsidRPr="00BF24F9" w:rsidRDefault="006A38EE" w:rsidP="00BF24F9">
            <w:pPr>
              <w:pStyle w:val="CETBodytext"/>
            </w:pPr>
            <w:r w:rsidRPr="00BF24F9">
              <w:t>0</w:t>
            </w:r>
            <w:r w:rsidR="00E26D12">
              <w:t>.</w:t>
            </w:r>
            <w:r w:rsidRPr="00BF24F9">
              <w:t>760</w:t>
            </w:r>
          </w:p>
        </w:tc>
        <w:tc>
          <w:tcPr>
            <w:tcW w:w="881" w:type="dxa"/>
            <w:tcBorders>
              <w:top w:val="nil"/>
              <w:left w:val="nil"/>
              <w:bottom w:val="nil"/>
              <w:right w:val="nil"/>
            </w:tcBorders>
            <w:shd w:val="clear" w:color="auto" w:fill="auto"/>
            <w:noWrap/>
            <w:vAlign w:val="center"/>
            <w:hideMark/>
          </w:tcPr>
          <w:p w14:paraId="685F7586" w14:textId="1231AC2E" w:rsidR="006A38EE" w:rsidRPr="00BF24F9" w:rsidRDefault="006A38EE" w:rsidP="00BF24F9">
            <w:pPr>
              <w:pStyle w:val="CETBodytext"/>
            </w:pPr>
            <w:r w:rsidRPr="00BF24F9">
              <w:t>2</w:t>
            </w:r>
            <w:r w:rsidR="00E26D12">
              <w:t>.</w:t>
            </w:r>
            <w:r w:rsidRPr="00BF24F9">
              <w:t>34</w:t>
            </w:r>
          </w:p>
        </w:tc>
        <w:tc>
          <w:tcPr>
            <w:tcW w:w="191" w:type="dxa"/>
            <w:tcBorders>
              <w:top w:val="nil"/>
              <w:left w:val="nil"/>
              <w:bottom w:val="nil"/>
              <w:right w:val="nil"/>
            </w:tcBorders>
            <w:shd w:val="clear" w:color="auto" w:fill="auto"/>
            <w:noWrap/>
            <w:vAlign w:val="bottom"/>
            <w:hideMark/>
          </w:tcPr>
          <w:p w14:paraId="312C8865" w14:textId="77777777" w:rsidR="006A38EE" w:rsidRPr="00BF24F9" w:rsidRDefault="006A38EE" w:rsidP="00BF24F9">
            <w:pPr>
              <w:pStyle w:val="CETBodytext"/>
            </w:pPr>
          </w:p>
        </w:tc>
      </w:tr>
      <w:tr w:rsidR="006A38EE" w:rsidRPr="00BF24F9" w14:paraId="3571C40C" w14:textId="77777777" w:rsidTr="00BF24F9">
        <w:trPr>
          <w:trHeight w:val="52"/>
        </w:trPr>
        <w:tc>
          <w:tcPr>
            <w:tcW w:w="185" w:type="dxa"/>
            <w:tcBorders>
              <w:top w:val="nil"/>
              <w:left w:val="nil"/>
              <w:bottom w:val="single" w:sz="12" w:space="0" w:color="008000"/>
              <w:right w:val="nil"/>
            </w:tcBorders>
            <w:shd w:val="clear" w:color="auto" w:fill="auto"/>
            <w:noWrap/>
            <w:vAlign w:val="center"/>
            <w:hideMark/>
          </w:tcPr>
          <w:p w14:paraId="1099A101" w14:textId="77777777" w:rsidR="006A38EE" w:rsidRPr="00BF24F9" w:rsidRDefault="006A38EE" w:rsidP="00BF24F9">
            <w:pPr>
              <w:pStyle w:val="CETBodytext"/>
            </w:pPr>
            <w:r w:rsidRPr="00BF24F9">
              <w:t> </w:t>
            </w:r>
          </w:p>
        </w:tc>
        <w:tc>
          <w:tcPr>
            <w:tcW w:w="1938" w:type="dxa"/>
            <w:tcBorders>
              <w:top w:val="nil"/>
              <w:left w:val="nil"/>
              <w:bottom w:val="single" w:sz="12" w:space="0" w:color="008000"/>
              <w:right w:val="nil"/>
            </w:tcBorders>
            <w:shd w:val="clear" w:color="auto" w:fill="auto"/>
            <w:noWrap/>
            <w:vAlign w:val="center"/>
            <w:hideMark/>
          </w:tcPr>
          <w:p w14:paraId="70C25483" w14:textId="77777777" w:rsidR="006A38EE" w:rsidRPr="00BF24F9" w:rsidRDefault="006A38EE" w:rsidP="00BF24F9">
            <w:pPr>
              <w:pStyle w:val="CETBodytext"/>
            </w:pPr>
            <w:r w:rsidRPr="00BF24F9">
              <w:t>Methyl butyl ketone</w:t>
            </w:r>
          </w:p>
        </w:tc>
        <w:tc>
          <w:tcPr>
            <w:tcW w:w="916" w:type="dxa"/>
            <w:tcBorders>
              <w:top w:val="nil"/>
              <w:left w:val="nil"/>
              <w:bottom w:val="single" w:sz="12" w:space="0" w:color="008000"/>
              <w:right w:val="nil"/>
            </w:tcBorders>
            <w:shd w:val="clear" w:color="auto" w:fill="auto"/>
            <w:noWrap/>
            <w:vAlign w:val="center"/>
            <w:hideMark/>
          </w:tcPr>
          <w:p w14:paraId="6A312BC9" w14:textId="77777777" w:rsidR="006A38EE" w:rsidRPr="00BF24F9" w:rsidRDefault="006A38EE" w:rsidP="00BF24F9">
            <w:pPr>
              <w:pStyle w:val="CETBodytext"/>
            </w:pPr>
            <w:r w:rsidRPr="00BF24F9">
              <w:t>24</w:t>
            </w:r>
          </w:p>
        </w:tc>
        <w:tc>
          <w:tcPr>
            <w:tcW w:w="1305" w:type="dxa"/>
            <w:tcBorders>
              <w:top w:val="nil"/>
              <w:left w:val="nil"/>
              <w:bottom w:val="single" w:sz="12" w:space="0" w:color="008000"/>
              <w:right w:val="nil"/>
            </w:tcBorders>
            <w:shd w:val="clear" w:color="auto" w:fill="auto"/>
            <w:noWrap/>
            <w:vAlign w:val="center"/>
            <w:hideMark/>
          </w:tcPr>
          <w:p w14:paraId="7B69A425" w14:textId="16A71C82" w:rsidR="006A38EE" w:rsidRPr="00BF24F9" w:rsidRDefault="006A38EE" w:rsidP="00BF24F9">
            <w:pPr>
              <w:pStyle w:val="CETBodytext"/>
            </w:pPr>
            <w:r w:rsidRPr="00BF24F9">
              <w:t>0</w:t>
            </w:r>
            <w:r w:rsidR="00DC414A">
              <w:t>.</w:t>
            </w:r>
            <w:r w:rsidRPr="00BF24F9">
              <w:t>9</w:t>
            </w:r>
            <w:r w:rsidR="00DD33F4">
              <w:t>970</w:t>
            </w:r>
          </w:p>
        </w:tc>
        <w:tc>
          <w:tcPr>
            <w:tcW w:w="748" w:type="dxa"/>
            <w:tcBorders>
              <w:top w:val="nil"/>
              <w:left w:val="nil"/>
              <w:bottom w:val="single" w:sz="12" w:space="0" w:color="008000"/>
              <w:right w:val="nil"/>
            </w:tcBorders>
            <w:shd w:val="clear" w:color="auto" w:fill="auto"/>
            <w:noWrap/>
            <w:vAlign w:val="center"/>
            <w:hideMark/>
          </w:tcPr>
          <w:p w14:paraId="1ECB0F63" w14:textId="23FD58C2" w:rsidR="006A38EE" w:rsidRPr="00BF24F9" w:rsidRDefault="006A38EE" w:rsidP="00BF24F9">
            <w:pPr>
              <w:pStyle w:val="CETBodytext"/>
            </w:pPr>
            <w:r w:rsidRPr="00BF24F9">
              <w:t>0</w:t>
            </w:r>
            <w:r w:rsidR="00DC414A">
              <w:t>.</w:t>
            </w:r>
            <w:r w:rsidRPr="00BF24F9">
              <w:t>296</w:t>
            </w:r>
          </w:p>
        </w:tc>
        <w:tc>
          <w:tcPr>
            <w:tcW w:w="881" w:type="dxa"/>
            <w:tcBorders>
              <w:top w:val="nil"/>
              <w:left w:val="nil"/>
              <w:bottom w:val="single" w:sz="12" w:space="0" w:color="008000"/>
              <w:right w:val="nil"/>
            </w:tcBorders>
            <w:shd w:val="clear" w:color="auto" w:fill="auto"/>
            <w:noWrap/>
            <w:vAlign w:val="center"/>
            <w:hideMark/>
          </w:tcPr>
          <w:p w14:paraId="6F1A0AD3" w14:textId="4942C06D" w:rsidR="006A38EE" w:rsidRPr="00BF24F9" w:rsidRDefault="006A38EE" w:rsidP="00BF24F9">
            <w:pPr>
              <w:pStyle w:val="CETBodytext"/>
            </w:pPr>
            <w:r w:rsidRPr="00BF24F9">
              <w:t>18</w:t>
            </w:r>
            <w:r w:rsidR="00DC414A">
              <w:t>.</w:t>
            </w:r>
            <w:r w:rsidRPr="00BF24F9">
              <w:t>2</w:t>
            </w:r>
          </w:p>
        </w:tc>
        <w:tc>
          <w:tcPr>
            <w:tcW w:w="191" w:type="dxa"/>
            <w:tcBorders>
              <w:top w:val="nil"/>
              <w:left w:val="nil"/>
              <w:bottom w:val="single" w:sz="12" w:space="0" w:color="008000"/>
              <w:right w:val="nil"/>
            </w:tcBorders>
            <w:shd w:val="clear" w:color="auto" w:fill="auto"/>
            <w:noWrap/>
            <w:vAlign w:val="center"/>
            <w:hideMark/>
          </w:tcPr>
          <w:p w14:paraId="551E33E4" w14:textId="77777777" w:rsidR="006A38EE" w:rsidRPr="00BF24F9" w:rsidRDefault="006A38EE" w:rsidP="00BF24F9">
            <w:pPr>
              <w:pStyle w:val="CETBodytext"/>
            </w:pPr>
            <w:r w:rsidRPr="00BF24F9">
              <w:t> </w:t>
            </w:r>
          </w:p>
        </w:tc>
        <w:tc>
          <w:tcPr>
            <w:tcW w:w="1305" w:type="dxa"/>
            <w:tcBorders>
              <w:top w:val="nil"/>
              <w:left w:val="nil"/>
              <w:bottom w:val="single" w:sz="12" w:space="0" w:color="008000"/>
              <w:right w:val="nil"/>
            </w:tcBorders>
            <w:shd w:val="clear" w:color="auto" w:fill="auto"/>
            <w:noWrap/>
            <w:vAlign w:val="center"/>
            <w:hideMark/>
          </w:tcPr>
          <w:p w14:paraId="02B999C2" w14:textId="20DCE70C" w:rsidR="006A38EE" w:rsidRPr="00BF24F9" w:rsidRDefault="006A38EE" w:rsidP="00BF24F9">
            <w:pPr>
              <w:pStyle w:val="CETBodytext"/>
            </w:pPr>
            <w:r w:rsidRPr="00BF24F9">
              <w:t>0</w:t>
            </w:r>
            <w:r w:rsidR="00DC414A">
              <w:t>.</w:t>
            </w:r>
            <w:r w:rsidRPr="00BF24F9">
              <w:t>9988</w:t>
            </w:r>
          </w:p>
        </w:tc>
        <w:tc>
          <w:tcPr>
            <w:tcW w:w="672" w:type="dxa"/>
            <w:tcBorders>
              <w:top w:val="nil"/>
              <w:left w:val="nil"/>
              <w:bottom w:val="single" w:sz="12" w:space="0" w:color="008000"/>
              <w:right w:val="nil"/>
            </w:tcBorders>
            <w:shd w:val="clear" w:color="auto" w:fill="auto"/>
            <w:noWrap/>
            <w:vAlign w:val="center"/>
            <w:hideMark/>
          </w:tcPr>
          <w:p w14:paraId="254C587B" w14:textId="55987BD8" w:rsidR="006A38EE" w:rsidRPr="00BF24F9" w:rsidRDefault="006A38EE" w:rsidP="00BF24F9">
            <w:pPr>
              <w:pStyle w:val="CETBodytext"/>
            </w:pPr>
            <w:r w:rsidRPr="00BF24F9">
              <w:t>0</w:t>
            </w:r>
            <w:r w:rsidR="00E26D12">
              <w:t>.</w:t>
            </w:r>
            <w:r w:rsidRPr="00BF24F9">
              <w:t>159</w:t>
            </w:r>
          </w:p>
        </w:tc>
        <w:tc>
          <w:tcPr>
            <w:tcW w:w="881" w:type="dxa"/>
            <w:tcBorders>
              <w:top w:val="nil"/>
              <w:left w:val="nil"/>
              <w:bottom w:val="single" w:sz="12" w:space="0" w:color="008000"/>
              <w:right w:val="nil"/>
            </w:tcBorders>
            <w:shd w:val="clear" w:color="auto" w:fill="auto"/>
            <w:noWrap/>
            <w:vAlign w:val="center"/>
            <w:hideMark/>
          </w:tcPr>
          <w:p w14:paraId="7CEB3894" w14:textId="55D3E80E" w:rsidR="006A38EE" w:rsidRPr="00BF24F9" w:rsidRDefault="006A38EE" w:rsidP="00BF24F9">
            <w:pPr>
              <w:pStyle w:val="CETBodytext"/>
            </w:pPr>
            <w:r w:rsidRPr="00BF24F9">
              <w:t>2</w:t>
            </w:r>
            <w:r w:rsidR="00E26D12">
              <w:t>.</w:t>
            </w:r>
            <w:r w:rsidRPr="00BF24F9">
              <w:t>47</w:t>
            </w:r>
          </w:p>
        </w:tc>
        <w:tc>
          <w:tcPr>
            <w:tcW w:w="191" w:type="dxa"/>
            <w:tcBorders>
              <w:top w:val="nil"/>
              <w:left w:val="nil"/>
              <w:bottom w:val="single" w:sz="12" w:space="0" w:color="008000"/>
              <w:right w:val="nil"/>
            </w:tcBorders>
            <w:shd w:val="clear" w:color="auto" w:fill="auto"/>
            <w:noWrap/>
            <w:vAlign w:val="bottom"/>
            <w:hideMark/>
          </w:tcPr>
          <w:p w14:paraId="66E68B10" w14:textId="77777777" w:rsidR="006A38EE" w:rsidRPr="00BF24F9" w:rsidRDefault="006A38EE" w:rsidP="00BF24F9">
            <w:pPr>
              <w:pStyle w:val="CETBodytext"/>
            </w:pPr>
            <w:r w:rsidRPr="00BF24F9">
              <w:t> </w:t>
            </w:r>
          </w:p>
        </w:tc>
      </w:tr>
    </w:tbl>
    <w:p w14:paraId="2243C13D" w14:textId="77777777" w:rsidR="00C20619" w:rsidRDefault="00C20619" w:rsidP="00DA322C">
      <w:pPr>
        <w:pStyle w:val="CETBodytext"/>
      </w:pPr>
    </w:p>
    <w:p w14:paraId="3DDF8484" w14:textId="6A347B22" w:rsidR="00DA322C" w:rsidRDefault="00DA322C" w:rsidP="00DA322C">
      <w:pPr>
        <w:pStyle w:val="CETBodytext"/>
      </w:pPr>
      <w:r>
        <w:t xml:space="preserve">Calibration curves for each VOCs were performed with six different concentrations of </w:t>
      </w:r>
      <w:r w:rsidR="00B02257">
        <w:t xml:space="preserve">the </w:t>
      </w:r>
      <w:r>
        <w:t xml:space="preserve">standard mixture. The range of concentrations is 0.5 to 10 ppb. The linearity of calibration curves was determined with determination coefficient (R²) for FID and MS detection. </w:t>
      </w:r>
      <w:r w:rsidR="00097C0D">
        <w:t>T</w:t>
      </w:r>
      <w:r>
        <w:t>he determination coefficients varied between 0.9</w:t>
      </w:r>
      <w:r w:rsidR="00097C0D">
        <w:t>750</w:t>
      </w:r>
      <w:r w:rsidR="0086191A">
        <w:t xml:space="preserve"> (Tetrachloroethene)</w:t>
      </w:r>
      <w:r>
        <w:t xml:space="preserve"> and 0.999</w:t>
      </w:r>
      <w:r w:rsidR="00097C0D">
        <w:t>9</w:t>
      </w:r>
      <w:r w:rsidR="0086191A">
        <w:t xml:space="preserve"> (1-2-Dichlorobenzene)</w:t>
      </w:r>
      <w:r>
        <w:t xml:space="preserve"> for FID and 0.9871</w:t>
      </w:r>
      <w:r w:rsidR="0086191A">
        <w:t xml:space="preserve"> (IPA)</w:t>
      </w:r>
      <w:r>
        <w:t xml:space="preserve"> and 0.999</w:t>
      </w:r>
      <w:r w:rsidR="00097C0D">
        <w:t>8</w:t>
      </w:r>
      <w:r w:rsidR="0086191A">
        <w:t xml:space="preserve"> (1.4-Dichlorobenzene)</w:t>
      </w:r>
      <w:r>
        <w:t xml:space="preserve"> for MS</w:t>
      </w:r>
      <w:r w:rsidR="00C20619">
        <w:t>,</w:t>
      </w:r>
      <w:r>
        <w:t xml:space="preserve"> showing linear calibration curves for</w:t>
      </w:r>
      <w:r w:rsidR="00383833">
        <w:t xml:space="preserve"> most of the compounds</w:t>
      </w:r>
    </w:p>
    <w:p w14:paraId="42EB7E7D" w14:textId="055B4C6D" w:rsidR="00DA322C" w:rsidRDefault="00DA322C" w:rsidP="00DA322C">
      <w:pPr>
        <w:pStyle w:val="CETBodytext"/>
      </w:pPr>
      <w:r>
        <w:t xml:space="preserve">The limits of detection (LOD) of the systems were calculated according to the Chinese standard norm for ambient air measurement </w:t>
      </w:r>
      <w:r>
        <w:fldChar w:fldCharType="begin"/>
      </w:r>
      <w:r>
        <w:instrText xml:space="preserve"> ADDIN ZOTERO_ITEM CSL_CITATION {"citationID":"ZsGOMitK","properties":{"formattedCitation":"(HJ 1010-2018, 2019)","plainCitation":"(HJ 1010-2018, 2019)","noteIndex":0},"citationItems":[{"id":167,"uris":["http://zotero.org/users/4881510/items/E643IV2A"],"itemData":{"id":167,"type":"article-newspaper","title":"Specifications and Test Procedures for Ambient Air Quality Continuous Monitoring System with Gas Chromatography for Volatile Organic Compounds","author":[{"family":"HJ 1010-2018","given":""}],"issued":{"date-parts":[["2019",7,1]]}}}],"schema":"https://github.com/citation-style-language/schema/raw/master/csl-citation.json"} </w:instrText>
      </w:r>
      <w:r>
        <w:fldChar w:fldCharType="separate"/>
      </w:r>
      <w:r w:rsidRPr="00D74933">
        <w:t>(HJ 1010-2018, 2019)</w:t>
      </w:r>
      <w:r>
        <w:fldChar w:fldCharType="end"/>
      </w:r>
      <w:r>
        <w:t>. Thus, the LODs were determined with the standard deviation of 10 replicates of the standard gas at 0.5 ppb. The detection limits ranged from 0.0</w:t>
      </w:r>
      <w:r w:rsidR="0086191A">
        <w:t>17 ppb</w:t>
      </w:r>
      <w:r>
        <w:t xml:space="preserve"> </w:t>
      </w:r>
      <w:r w:rsidR="0086191A">
        <w:t xml:space="preserve">(Cyclohexane) </w:t>
      </w:r>
      <w:r>
        <w:t>to 0.</w:t>
      </w:r>
      <w:r w:rsidR="0086191A">
        <w:t>618</w:t>
      </w:r>
      <w:r>
        <w:t xml:space="preserve"> ppb</w:t>
      </w:r>
      <w:r w:rsidR="0086191A">
        <w:t xml:space="preserve"> (CCl</w:t>
      </w:r>
      <w:r w:rsidR="0086191A" w:rsidRPr="0086191A">
        <w:rPr>
          <w:vertAlign w:val="subscript"/>
        </w:rPr>
        <w:t>4</w:t>
      </w:r>
      <w:r w:rsidR="0086191A" w:rsidRPr="0086191A">
        <w:t>)</w:t>
      </w:r>
      <w:r>
        <w:t xml:space="preserve"> and 0.068</w:t>
      </w:r>
      <w:r w:rsidR="000406F5">
        <w:t xml:space="preserve"> ppb (MEK)</w:t>
      </w:r>
      <w:r>
        <w:t xml:space="preserve"> to 2.110 ppb</w:t>
      </w:r>
      <w:r w:rsidR="000406F5">
        <w:t xml:space="preserve"> (Ethyl acetate)</w:t>
      </w:r>
      <w:r>
        <w:t xml:space="preserve"> for FID and MS respectively. </w:t>
      </w:r>
      <w:r w:rsidR="000406F5">
        <w:t>The detection limits are overall higher with MS detection.</w:t>
      </w:r>
    </w:p>
    <w:p w14:paraId="6A4B8366" w14:textId="6FFC8627" w:rsidR="007F3723" w:rsidRDefault="00DA322C" w:rsidP="00DA322C">
      <w:pPr>
        <w:pStyle w:val="CETBodytext"/>
      </w:pPr>
      <w:r>
        <w:t>The precision and accuracy were calculated at 4 ppb according to the Chinese standard method. The majority of the compounds</w:t>
      </w:r>
      <w:r w:rsidR="00A01CA4">
        <w:t xml:space="preserve"> had </w:t>
      </w:r>
      <w:r w:rsidR="001336EF">
        <w:t xml:space="preserve">low </w:t>
      </w:r>
      <w:r>
        <w:t xml:space="preserve">relative standard deviations, but the non-gaussian peak shape of </w:t>
      </w:r>
      <w:r w:rsidR="000406F5">
        <w:t xml:space="preserve">some </w:t>
      </w:r>
      <w:r>
        <w:t>compounds could be responsible of accuracies over 10</w:t>
      </w:r>
      <w:r w:rsidR="00E048AA">
        <w:t xml:space="preserve"> </w:t>
      </w:r>
      <w:r>
        <w:t>%</w:t>
      </w:r>
      <w:r w:rsidR="000406F5">
        <w:t xml:space="preserve">, especially for the oxygenated ones </w:t>
      </w:r>
      <w:r>
        <w:t xml:space="preserve">(Table </w:t>
      </w:r>
      <w:r w:rsidR="00D67CD8">
        <w:t>1</w:t>
      </w:r>
      <w:r>
        <w:t xml:space="preserve">). In comparison, Benzene accuracies are </w:t>
      </w:r>
      <w:r w:rsidR="003D3BE1">
        <w:t xml:space="preserve">1.06 </w:t>
      </w:r>
      <w:r>
        <w:t xml:space="preserve">% and </w:t>
      </w:r>
      <w:r w:rsidR="003D3BE1">
        <w:t>4.70</w:t>
      </w:r>
      <w:r>
        <w:t xml:space="preserve"> % for FID and MS respectively.</w:t>
      </w:r>
    </w:p>
    <w:p w14:paraId="4EFE3B76" w14:textId="77777777" w:rsidR="00507C56" w:rsidRPr="00C977DF" w:rsidRDefault="00507C56" w:rsidP="00C977DF">
      <w:pPr>
        <w:pStyle w:val="CETBodytext"/>
      </w:pPr>
    </w:p>
    <w:p w14:paraId="4112CF20" w14:textId="261AED09" w:rsidR="00C977DF" w:rsidRDefault="00CB7FE7" w:rsidP="00C977DF">
      <w:pPr>
        <w:pStyle w:val="CETheadingx"/>
      </w:pPr>
      <w:r>
        <w:t>Development of automatic reprocess</w:t>
      </w:r>
      <w:r w:rsidR="00721092">
        <w:t>ing</w:t>
      </w:r>
      <w:r>
        <w:t xml:space="preserve"> and v</w:t>
      </w:r>
      <w:r w:rsidR="00C977DF">
        <w:t>alidated data</w:t>
      </w:r>
    </w:p>
    <w:p w14:paraId="7EFEDE1C" w14:textId="50536DD6" w:rsidR="00604196" w:rsidRPr="00651BEF" w:rsidRDefault="00604196" w:rsidP="00651BEF">
      <w:pPr>
        <w:pStyle w:val="CETBodytext"/>
      </w:pPr>
      <w:r w:rsidRPr="00651BEF">
        <w:t xml:space="preserve">Although the LOD and repeatability are overall better for FID than MS, FID detection could not provide analysis </w:t>
      </w:r>
      <w:r w:rsidR="00C20619">
        <w:t xml:space="preserve">of the </w:t>
      </w:r>
      <w:r w:rsidRPr="00651BEF">
        <w:t>co</w:t>
      </w:r>
      <w:r w:rsidR="002E1DEF" w:rsidRPr="00651BEF">
        <w:t>-</w:t>
      </w:r>
      <w:r w:rsidRPr="00651BEF">
        <w:t>elut</w:t>
      </w:r>
      <w:r w:rsidR="002E1DEF" w:rsidRPr="00651BEF">
        <w:t>ed compounds</w:t>
      </w:r>
      <w:r w:rsidRPr="00651BEF">
        <w:t xml:space="preserve">. However, by selecting a specific ion for each species, MS detection allows accurate quantification of these </w:t>
      </w:r>
      <w:r w:rsidR="00651BEF" w:rsidRPr="00651BEF">
        <w:t>substances</w:t>
      </w:r>
      <w:r w:rsidRPr="00651BEF">
        <w:t>.</w:t>
      </w:r>
    </w:p>
    <w:p w14:paraId="0C53B71B" w14:textId="77777777" w:rsidR="00DE7C74" w:rsidRPr="00651BEF" w:rsidRDefault="00DE7C74" w:rsidP="00651BEF">
      <w:pPr>
        <w:pStyle w:val="CETBodytext"/>
      </w:pPr>
    </w:p>
    <w:p w14:paraId="63D470B0" w14:textId="77777777" w:rsidR="00507C56" w:rsidRPr="00651BEF" w:rsidRDefault="00604196" w:rsidP="00651BEF">
      <w:pPr>
        <w:pStyle w:val="CETBodytext"/>
      </w:pPr>
      <w:r w:rsidRPr="00651BEF">
        <w:t>Therefore, in order to make a selection among FID and MS detections, an algorithm has been developed in the VistaMS software to select the most suitable result between this dual detection and to provide validated results. To achieve this automatic reprocessing, the implementation of validation parameters was developed for each identified compound. The algorithm is presented in Eq(1). The validation parameters correspond to</w:t>
      </w:r>
    </w:p>
    <w:p w14:paraId="392425CC" w14:textId="260E3FA6" w:rsidR="00B830CC" w:rsidRDefault="00507C56" w:rsidP="00651BEF">
      <w:pPr>
        <w:pStyle w:val="CETBodytext"/>
      </w:pPr>
      <w:r w:rsidRPr="00651BEF">
        <w:t>CST_C_GAP and PCENT_C_GAP and were optimized for each VOCs.</w:t>
      </w:r>
    </w:p>
    <w:p w14:paraId="0BAC7B94" w14:textId="77777777" w:rsidR="00507C56" w:rsidRDefault="00507C56" w:rsidP="00507C56">
      <w:pPr>
        <w:pStyle w:val="CETBodytext"/>
        <w:jc w:val="left"/>
      </w:pPr>
    </w:p>
    <w:tbl>
      <w:tblPr>
        <w:tblW w:w="5000" w:type="pct"/>
        <w:tblLook w:val="04A0" w:firstRow="1" w:lastRow="0" w:firstColumn="1" w:lastColumn="0" w:noHBand="0" w:noVBand="1"/>
      </w:tblPr>
      <w:tblGrid>
        <w:gridCol w:w="7984"/>
        <w:gridCol w:w="803"/>
      </w:tblGrid>
      <w:tr w:rsidR="00B830CC" w:rsidRPr="00B57B36" w14:paraId="6F5CDE81" w14:textId="77777777" w:rsidTr="007B5DDF">
        <w:tc>
          <w:tcPr>
            <w:tcW w:w="7984" w:type="dxa"/>
            <w:shd w:val="clear" w:color="auto" w:fill="auto"/>
            <w:vAlign w:val="center"/>
          </w:tcPr>
          <w:p w14:paraId="0463B976" w14:textId="77777777" w:rsidR="00721092" w:rsidRDefault="00B830CC" w:rsidP="00507C56">
            <w:pPr>
              <w:pStyle w:val="CETBodytext"/>
              <w:jc w:val="left"/>
            </w:pPr>
            <w:r w:rsidRPr="00050EF2">
              <w:t xml:space="preserve">CST_C_GAP: If </w:t>
            </w:r>
            <m:oMath>
              <m:d>
                <m:dPr>
                  <m:begChr m:val="|"/>
                  <m:endChr m:val="|"/>
                  <m:ctrlPr>
                    <w:rPr>
                      <w:rFonts w:ascii="Cambria Math" w:hAnsi="Cambria Math"/>
                    </w:rPr>
                  </m:ctrlPr>
                </m:dPr>
                <m:e>
                  <m:d>
                    <m:dPr>
                      <m:begChr m:val="["/>
                      <m:endChr m:val="]"/>
                      <m:ctrlPr>
                        <w:rPr>
                          <w:rFonts w:ascii="Cambria Math" w:hAnsi="Cambria Math"/>
                        </w:rPr>
                      </m:ctrlPr>
                    </m:dPr>
                    <m:e>
                      <m:r>
                        <m:rPr>
                          <m:sty m:val="p"/>
                        </m:rPr>
                        <w:rPr>
                          <w:rFonts w:ascii="Cambria Math" w:hAnsi="Cambria Math"/>
                        </w:rPr>
                        <m:t>FID</m:t>
                      </m:r>
                    </m:e>
                  </m:d>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MS</m:t>
                      </m:r>
                    </m:e>
                  </m:d>
                </m:e>
              </m:d>
              <m:r>
                <m:rPr>
                  <m:sty m:val="p"/>
                </m:rPr>
                <w:rPr>
                  <w:rFonts w:ascii="Cambria Math" w:hAnsi="Cambria Math"/>
                </w:rPr>
                <m:t> &lt;CST_C_GAP</m:t>
              </m:r>
            </m:oMath>
            <w:r w:rsidRPr="00050EF2">
              <w:t xml:space="preserve"> </w:t>
            </w:r>
          </w:p>
          <w:p w14:paraId="525961A3" w14:textId="46FF1236" w:rsidR="00721092" w:rsidRDefault="00721092" w:rsidP="00507C56">
            <w:pPr>
              <w:pStyle w:val="CETBodytext"/>
              <w:jc w:val="left"/>
            </w:pPr>
            <w:r>
              <w:t xml:space="preserve">                       </w:t>
            </w:r>
            <w:r w:rsidR="00B830CC" w:rsidRPr="00050EF2">
              <w:t>Then FID value selected</w:t>
            </w:r>
            <w:r>
              <w:t xml:space="preserve"> </w:t>
            </w:r>
          </w:p>
          <w:p w14:paraId="50BC61D2" w14:textId="3CAE307E" w:rsidR="00B830CC" w:rsidRPr="00050EF2" w:rsidRDefault="00721092" w:rsidP="00507C56">
            <w:pPr>
              <w:pStyle w:val="CETBodytext"/>
              <w:jc w:val="left"/>
            </w:pPr>
            <w:r>
              <w:t xml:space="preserve">                       </w:t>
            </w:r>
            <w:r w:rsidR="00B830CC" w:rsidRPr="00050EF2">
              <w:t>Otherwise MS value</w:t>
            </w:r>
          </w:p>
          <w:p w14:paraId="66019E69" w14:textId="287AC115" w:rsidR="00B830CC" w:rsidRPr="00050EF2" w:rsidRDefault="00B830CC" w:rsidP="00507C56">
            <w:pPr>
              <w:pStyle w:val="CETBodytext"/>
              <w:jc w:val="left"/>
            </w:pPr>
            <w:r w:rsidRPr="00050EF2">
              <w:t>Or</w:t>
            </w:r>
          </w:p>
          <w:p w14:paraId="438E1D1F" w14:textId="77777777" w:rsidR="00721092" w:rsidRDefault="00B830CC" w:rsidP="00507C56">
            <w:pPr>
              <w:pStyle w:val="CETBodytext"/>
              <w:jc w:val="left"/>
            </w:pPr>
            <w:r w:rsidRPr="00507C56">
              <w:t>PCENT_C_G</w:t>
            </w:r>
            <w:r w:rsidRPr="00507C56">
              <w:rPr>
                <w:rFonts w:cs="Arial"/>
              </w:rPr>
              <w:t xml:space="preserve">AP: If  </w:t>
            </w:r>
            <m:oMath>
              <m:f>
                <m:fPr>
                  <m:ctrlPr>
                    <w:rPr>
                      <w:rFonts w:ascii="Cambria Math" w:hAnsi="Cambria Math" w:cs="Arial"/>
                    </w:rPr>
                  </m:ctrlPr>
                </m:fPr>
                <m:num>
                  <m:d>
                    <m:dPr>
                      <m:begChr m:val="["/>
                      <m:endChr m:val="]"/>
                      <m:ctrlPr>
                        <w:rPr>
                          <w:rFonts w:ascii="Cambria Math" w:hAnsi="Cambria Math" w:cs="Arial"/>
                        </w:rPr>
                      </m:ctrlPr>
                    </m:dPr>
                    <m:e>
                      <m:r>
                        <m:rPr>
                          <m:sty m:val="p"/>
                        </m:rPr>
                        <w:rPr>
                          <w:rFonts w:ascii="Cambria Math" w:hAnsi="Cambria Math" w:cs="Arial"/>
                        </w:rPr>
                        <m:t>FID</m:t>
                      </m:r>
                    </m:e>
                  </m:d>
                  <m:r>
                    <m:rPr>
                      <m:sty m:val="p"/>
                    </m:rPr>
                    <w:rPr>
                      <w:rFonts w:ascii="Cambria Math" w:hAnsi="Cambria Math" w:cs="Arial"/>
                    </w:rPr>
                    <m:t>-</m:t>
                  </m:r>
                  <m:d>
                    <m:dPr>
                      <m:begChr m:val="["/>
                      <m:endChr m:val="]"/>
                      <m:ctrlPr>
                        <w:rPr>
                          <w:rFonts w:ascii="Cambria Math" w:hAnsi="Cambria Math" w:cs="Arial"/>
                        </w:rPr>
                      </m:ctrlPr>
                    </m:dPr>
                    <m:e>
                      <m:r>
                        <m:rPr>
                          <m:sty m:val="p"/>
                        </m:rPr>
                        <w:rPr>
                          <w:rFonts w:ascii="Cambria Math" w:hAnsi="Cambria Math" w:cs="Arial"/>
                        </w:rPr>
                        <m:t>MS</m:t>
                      </m:r>
                    </m:e>
                  </m:d>
                </m:num>
                <m:den>
                  <m:r>
                    <m:rPr>
                      <m:sty m:val="p"/>
                    </m:rPr>
                    <w:rPr>
                      <w:rFonts w:ascii="Cambria Math" w:hAnsi="Cambria Math" w:cs="Arial"/>
                    </w:rPr>
                    <m:t>[MS]</m:t>
                  </m:r>
                </m:den>
              </m:f>
              <m:r>
                <m:rPr>
                  <m:sty m:val="p"/>
                </m:rPr>
                <w:rPr>
                  <w:rFonts w:ascii="Cambria Math" w:hAnsi="Cambria Math" w:cs="Arial"/>
                </w:rPr>
                <m:t> ×100 &lt;PCENT_C_GAP</m:t>
              </m:r>
            </m:oMath>
            <w:r w:rsidRPr="00507C56">
              <w:t xml:space="preserve"> </w:t>
            </w:r>
          </w:p>
          <w:p w14:paraId="67271C47" w14:textId="426A83D9" w:rsidR="00B830CC" w:rsidRPr="00507C56" w:rsidRDefault="00721092" w:rsidP="00507C56">
            <w:pPr>
              <w:pStyle w:val="CETBodytext"/>
              <w:jc w:val="left"/>
            </w:pPr>
            <w:r>
              <w:t xml:space="preserve">                            </w:t>
            </w:r>
            <w:r w:rsidR="00B830CC" w:rsidRPr="00507C56">
              <w:t>Then FID value selected</w:t>
            </w:r>
          </w:p>
          <w:p w14:paraId="6274AC7A" w14:textId="0B50FAB2" w:rsidR="00B830CC" w:rsidRPr="00507C56" w:rsidRDefault="00507C56" w:rsidP="00507C56">
            <w:pPr>
              <w:pStyle w:val="CETBodytext"/>
              <w:jc w:val="left"/>
            </w:pPr>
            <w:r w:rsidRPr="00507C56">
              <w:t xml:space="preserve">                            </w:t>
            </w:r>
            <w:r w:rsidR="00B830CC" w:rsidRPr="00507C56">
              <w:t>Otherwise MS value</w:t>
            </w:r>
          </w:p>
          <w:p w14:paraId="4387CD27" w14:textId="747C7810" w:rsidR="00721092" w:rsidRPr="00721092" w:rsidRDefault="00721092" w:rsidP="00721092">
            <w:pPr>
              <w:pStyle w:val="CETBodytext"/>
              <w:rPr>
                <w:lang w:val="en-GB"/>
              </w:rPr>
            </w:pPr>
          </w:p>
        </w:tc>
        <w:tc>
          <w:tcPr>
            <w:tcW w:w="803" w:type="dxa"/>
            <w:shd w:val="clear" w:color="auto" w:fill="auto"/>
            <w:vAlign w:val="center"/>
          </w:tcPr>
          <w:p w14:paraId="4BD617D3" w14:textId="77777777" w:rsidR="00B830CC" w:rsidRPr="00B57B36" w:rsidRDefault="00B830CC" w:rsidP="00E24E67">
            <w:pPr>
              <w:pStyle w:val="CETEquation"/>
              <w:jc w:val="right"/>
            </w:pPr>
            <w:r w:rsidRPr="00B57B36">
              <w:lastRenderedPageBreak/>
              <w:t>(1)</w:t>
            </w:r>
          </w:p>
        </w:tc>
      </w:tr>
    </w:tbl>
    <w:p w14:paraId="0084BA36" w14:textId="77777777" w:rsidR="00EC1636" w:rsidRDefault="00EC1636" w:rsidP="000B108F">
      <w:pPr>
        <w:pStyle w:val="CETBodytext"/>
        <w:jc w:val="left"/>
        <w:rPr>
          <w:noProof/>
        </w:rPr>
      </w:pPr>
    </w:p>
    <w:p w14:paraId="3C849378" w14:textId="3D7A5214" w:rsidR="00B72FFD" w:rsidRDefault="00B72FFD" w:rsidP="000B108F">
      <w:pPr>
        <w:pStyle w:val="CETBodytext"/>
        <w:jc w:val="left"/>
        <w:rPr>
          <w:noProof/>
        </w:rPr>
      </w:pPr>
      <w:r>
        <w:rPr>
          <w:noProof/>
        </w:rPr>
        <w:t>After implementation of validation parameters</w:t>
      </w:r>
      <w:r w:rsidR="00504F42">
        <w:rPr>
          <w:noProof/>
        </w:rPr>
        <w:t>, the percentage</w:t>
      </w:r>
      <w:r w:rsidR="002C6EF7">
        <w:rPr>
          <w:noProof/>
        </w:rPr>
        <w:t>s</w:t>
      </w:r>
      <w:r w:rsidR="00504F42">
        <w:rPr>
          <w:noProof/>
        </w:rPr>
        <w:t xml:space="preserve"> of result given by FID and MS detections </w:t>
      </w:r>
      <w:r w:rsidR="00FD4874">
        <w:rPr>
          <w:noProof/>
        </w:rPr>
        <w:t>depending on</w:t>
      </w:r>
      <w:r w:rsidR="003443FE">
        <w:rPr>
          <w:noProof/>
        </w:rPr>
        <w:t xml:space="preserve"> VOCs families </w:t>
      </w:r>
      <w:r w:rsidR="00504F42">
        <w:rPr>
          <w:noProof/>
        </w:rPr>
        <w:t>were evaluated</w:t>
      </w:r>
      <w:r w:rsidR="003443FE">
        <w:rPr>
          <w:noProof/>
        </w:rPr>
        <w:t xml:space="preserve"> and are showed in fig. 2.</w:t>
      </w:r>
      <w:r w:rsidR="002C6EF7">
        <w:rPr>
          <w:noProof/>
        </w:rPr>
        <w:t xml:space="preserve"> As Alkanes have very good responses in FID and no significant interferences, results given by the FID are </w:t>
      </w:r>
      <w:r w:rsidR="004E0A15">
        <w:rPr>
          <w:noProof/>
        </w:rPr>
        <w:t xml:space="preserve">prefered. On the other hand, </w:t>
      </w:r>
      <w:r w:rsidR="009606CE">
        <w:rPr>
          <w:noProof/>
        </w:rPr>
        <w:t xml:space="preserve">most of </w:t>
      </w:r>
      <w:r w:rsidR="004E0A15">
        <w:rPr>
          <w:noProof/>
        </w:rPr>
        <w:t>OVOCs and halogenated compounds</w:t>
      </w:r>
      <w:r w:rsidR="009606CE">
        <w:rPr>
          <w:noProof/>
        </w:rPr>
        <w:t xml:space="preserve"> are coeluted on this GC system. Fortunately, these substances have very specific m/z ions, that allows MS detector </w:t>
      </w:r>
      <w:r w:rsidR="00441F26">
        <w:rPr>
          <w:noProof/>
        </w:rPr>
        <w:t xml:space="preserve">to detect and </w:t>
      </w:r>
      <w:r w:rsidR="00EC1636">
        <w:rPr>
          <w:noProof/>
        </w:rPr>
        <w:t xml:space="preserve">quantify them. As shown in fig. 2, MS detection is </w:t>
      </w:r>
      <w:r w:rsidR="003B41AE">
        <w:rPr>
          <w:noProof/>
        </w:rPr>
        <w:t xml:space="preserve">thus </w:t>
      </w:r>
      <w:r w:rsidR="00EC1636">
        <w:rPr>
          <w:noProof/>
        </w:rPr>
        <w:t>favorized for these families of VOCs.</w:t>
      </w:r>
    </w:p>
    <w:p w14:paraId="4ADABC46" w14:textId="77777777" w:rsidR="004E0A15" w:rsidRDefault="004E0A15" w:rsidP="000B108F">
      <w:pPr>
        <w:pStyle w:val="CETBodytext"/>
        <w:jc w:val="left"/>
        <w:rPr>
          <w:noProof/>
        </w:rPr>
      </w:pPr>
    </w:p>
    <w:p w14:paraId="40BBA645" w14:textId="2490C6CF" w:rsidR="009D2A1E" w:rsidRDefault="00EC1636" w:rsidP="000B108F">
      <w:pPr>
        <w:pStyle w:val="CETBodytext"/>
        <w:jc w:val="left"/>
        <w:rPr>
          <w:noProof/>
        </w:rPr>
      </w:pPr>
      <w:r>
        <w:rPr>
          <w:noProof/>
        </w:rPr>
        <w:drawing>
          <wp:inline distT="0" distB="0" distL="0" distR="0" wp14:anchorId="6127C5D8" wp14:editId="4DDDD6B8">
            <wp:extent cx="2959239" cy="2049864"/>
            <wp:effectExtent l="0" t="0" r="0" b="7620"/>
            <wp:docPr id="1" name="Graphique 1">
              <a:extLst xmlns:a="http://schemas.openxmlformats.org/drawingml/2006/main">
                <a:ext uri="{FF2B5EF4-FFF2-40B4-BE49-F238E27FC236}">
                  <a16:creationId xmlns:a16="http://schemas.microsoft.com/office/drawing/2014/main" id="{9E868DE3-B5C0-4BF0-9B73-A35DE3C872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DE3C013" w14:textId="508EBBDB" w:rsidR="00721092" w:rsidRDefault="003443FE" w:rsidP="003443FE">
      <w:pPr>
        <w:pStyle w:val="CETCaption"/>
      </w:pPr>
      <w:r>
        <w:t xml:space="preserve">Figure </w:t>
      </w:r>
      <w:r>
        <w:fldChar w:fldCharType="begin"/>
      </w:r>
      <w:r>
        <w:instrText xml:space="preserve"> SEQ Figure \* ARABIC </w:instrText>
      </w:r>
      <w:r>
        <w:fldChar w:fldCharType="separate"/>
      </w:r>
      <w:r w:rsidR="004B1139">
        <w:rPr>
          <w:noProof/>
        </w:rPr>
        <w:t>2</w:t>
      </w:r>
      <w:r>
        <w:fldChar w:fldCharType="end"/>
      </w:r>
      <w:r>
        <w:t>: P</w:t>
      </w:r>
      <w:r w:rsidRPr="00F9689C">
        <w:t>ercentage of result</w:t>
      </w:r>
      <w:r>
        <w:t>s</w:t>
      </w:r>
      <w:r w:rsidRPr="00F9689C">
        <w:t xml:space="preserve"> given by FID </w:t>
      </w:r>
      <w:r>
        <w:t>or</w:t>
      </w:r>
      <w:r w:rsidRPr="00F9689C">
        <w:t xml:space="preserve"> MS detection </w:t>
      </w:r>
      <w:r>
        <w:t>depending on the</w:t>
      </w:r>
      <w:r w:rsidRPr="00F9689C">
        <w:t xml:space="preserve"> VOCs families</w:t>
      </w:r>
    </w:p>
    <w:p w14:paraId="306EB6C8" w14:textId="6672EC3B" w:rsidR="006F3382" w:rsidRDefault="00441F26" w:rsidP="00441F26">
      <w:pPr>
        <w:pStyle w:val="CETBodytext"/>
      </w:pPr>
      <w:r>
        <w:t xml:space="preserve">To verify if the algorithm is efficient to deliver </w:t>
      </w:r>
      <w:r w:rsidR="004B1139">
        <w:t>reliable</w:t>
      </w:r>
      <w:r>
        <w:t xml:space="preserve"> results,</w:t>
      </w:r>
      <w:r w:rsidR="004B1139">
        <w:t xml:space="preserve"> the accuracies at 4 ppb for FID, MS and validated data were compared</w:t>
      </w:r>
      <w:r w:rsidR="00AC634F">
        <w:t xml:space="preserve"> for every identified compound</w:t>
      </w:r>
      <w:r w:rsidR="00F035F9">
        <w:t xml:space="preserve"> and are represented in fig. </w:t>
      </w:r>
      <w:r w:rsidR="006F3382">
        <w:t>3</w:t>
      </w:r>
      <w:r w:rsidR="00F035F9">
        <w:t xml:space="preserve">. </w:t>
      </w:r>
    </w:p>
    <w:p w14:paraId="25D7280B" w14:textId="77777777" w:rsidR="006F3997" w:rsidRDefault="00AC634F" w:rsidP="00441F26">
      <w:pPr>
        <w:pStyle w:val="CETBodytext"/>
      </w:pPr>
      <w:r>
        <w:t xml:space="preserve">The Relative Standard Deviations </w:t>
      </w:r>
      <w:r w:rsidR="000D16E7">
        <w:t>that reached 100 % correspond to the coeluted compounds not detected by the FID</w:t>
      </w:r>
      <w:r w:rsidR="006F3382">
        <w:t>.</w:t>
      </w:r>
    </w:p>
    <w:p w14:paraId="09B888AF" w14:textId="52A6BBA1" w:rsidR="000D16E7" w:rsidRPr="00441F26" w:rsidRDefault="006F3382" w:rsidP="00441F26">
      <w:pPr>
        <w:pStyle w:val="CETBodytext"/>
      </w:pPr>
      <w:r>
        <w:t xml:space="preserve">Fig. 3 show that after the implementation of </w:t>
      </w:r>
      <w:r w:rsidR="006F3997">
        <w:t xml:space="preserve">the </w:t>
      </w:r>
      <w:r>
        <w:t xml:space="preserve">validation parameters, </w:t>
      </w:r>
      <w:r w:rsidR="006F3997">
        <w:t xml:space="preserve">the results with better accuracies are mostly selected. Therefore, </w:t>
      </w:r>
      <w:r w:rsidR="00371F3F">
        <w:t>by</w:t>
      </w:r>
      <w:r w:rsidR="000D16E7">
        <w:t xml:space="preserve"> selecting M</w:t>
      </w:r>
      <w:r w:rsidR="00F035F9">
        <w:t>S</w:t>
      </w:r>
      <w:r w:rsidR="000D16E7">
        <w:t xml:space="preserve"> or FID result, the RSD percentage</w:t>
      </w:r>
      <w:r>
        <w:t>s</w:t>
      </w:r>
      <w:r w:rsidR="000D16E7">
        <w:t xml:space="preserve"> of the validated data</w:t>
      </w:r>
      <w:r>
        <w:t xml:space="preserve"> </w:t>
      </w:r>
      <w:r w:rsidR="00371F3F">
        <w:t>range from</w:t>
      </w:r>
      <w:r>
        <w:t xml:space="preserve"> 0.07 %</w:t>
      </w:r>
      <w:r w:rsidR="000D16E7">
        <w:t xml:space="preserve"> </w:t>
      </w:r>
      <w:r w:rsidR="00371F3F">
        <w:t>to</w:t>
      </w:r>
      <w:r w:rsidR="000D16E7">
        <w:t xml:space="preserve"> 21.4</w:t>
      </w:r>
      <w:r w:rsidR="00E048AA">
        <w:t xml:space="preserve"> </w:t>
      </w:r>
      <w:r w:rsidR="000D16E7">
        <w:t>%</w:t>
      </w:r>
      <w:r w:rsidR="006F3997">
        <w:t xml:space="preserve"> </w:t>
      </w:r>
      <w:r w:rsidR="00371F3F">
        <w:t>demonstrating very good overall accuracy.</w:t>
      </w:r>
    </w:p>
    <w:p w14:paraId="06E72B3A" w14:textId="21A7EE75" w:rsidR="00604196" w:rsidRPr="003443FE" w:rsidRDefault="00604196" w:rsidP="00050EF2">
      <w:pPr>
        <w:pStyle w:val="CETBodytext"/>
      </w:pPr>
    </w:p>
    <w:p w14:paraId="10519410" w14:textId="77777777" w:rsidR="004B1139" w:rsidRDefault="00DE7C74" w:rsidP="004B1139">
      <w:pPr>
        <w:pStyle w:val="CETBodytext"/>
        <w:keepNext/>
      </w:pPr>
      <w:r>
        <w:rPr>
          <w:noProof/>
        </w:rPr>
        <w:drawing>
          <wp:inline distT="0" distB="0" distL="0" distR="0" wp14:anchorId="7D313B43" wp14:editId="78290C2E">
            <wp:extent cx="4635500" cy="2679700"/>
            <wp:effectExtent l="0" t="0" r="0" b="6350"/>
            <wp:docPr id="9" name="Graphique 9">
              <a:extLst xmlns:a="http://schemas.openxmlformats.org/drawingml/2006/main">
                <a:ext uri="{FF2B5EF4-FFF2-40B4-BE49-F238E27FC236}">
                  <a16:creationId xmlns:a16="http://schemas.microsoft.com/office/drawing/2014/main" id="{D3B36237-2F3F-4D60-AE1F-22254B5BB3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273CE14" w14:textId="4A89A1CE" w:rsidR="0000337E" w:rsidRPr="00AC634F" w:rsidRDefault="004B1139" w:rsidP="004B1139">
      <w:pPr>
        <w:pStyle w:val="CETCaption"/>
        <w:rPr>
          <w:lang w:val="en-US"/>
        </w:rPr>
      </w:pPr>
      <w:r>
        <w:t xml:space="preserve">Figure </w:t>
      </w:r>
      <w:r>
        <w:fldChar w:fldCharType="begin"/>
      </w:r>
      <w:r>
        <w:instrText xml:space="preserve"> SEQ Figure \* ARABIC </w:instrText>
      </w:r>
      <w:r>
        <w:fldChar w:fldCharType="separate"/>
      </w:r>
      <w:r>
        <w:rPr>
          <w:noProof/>
        </w:rPr>
        <w:t>3</w:t>
      </w:r>
      <w:r>
        <w:fldChar w:fldCharType="end"/>
      </w:r>
      <w:r>
        <w:t>: FID, MS and validated data accuracies at 4 ppb of every identified compounds</w:t>
      </w:r>
    </w:p>
    <w:p w14:paraId="52737605" w14:textId="312E3276" w:rsidR="00361D90" w:rsidRDefault="00600535" w:rsidP="00361D90">
      <w:pPr>
        <w:pStyle w:val="CETHeading1"/>
        <w:rPr>
          <w:lang w:val="en-GB"/>
        </w:rPr>
      </w:pPr>
      <w:r w:rsidRPr="00B57B36">
        <w:rPr>
          <w:lang w:val="en-GB"/>
        </w:rPr>
        <w:lastRenderedPageBreak/>
        <w:t>Conclusions</w:t>
      </w:r>
    </w:p>
    <w:p w14:paraId="19B7A357" w14:textId="0C707585" w:rsidR="00394B58" w:rsidRDefault="00394B58" w:rsidP="00394B58">
      <w:pPr>
        <w:pStyle w:val="CETBodytext"/>
      </w:pPr>
      <w:r w:rsidRPr="00566D85">
        <w:t>In this work,</w:t>
      </w:r>
      <w:r>
        <w:t xml:space="preserve"> the performances and limitations of detection of VOCs in ambient air by dual thermo-desorption gas chromatograph equipped with flame ionisation detector and mass spectrometer were described. Using TO15 </w:t>
      </w:r>
      <w:r w:rsidR="00442305">
        <w:t xml:space="preserve">and PAMS </w:t>
      </w:r>
      <w:r>
        <w:t>standard gas mixture</w:t>
      </w:r>
      <w:r w:rsidR="00442305">
        <w:t>s</w:t>
      </w:r>
      <w:r>
        <w:t xml:space="preserve">, </w:t>
      </w:r>
      <w:r w:rsidR="00442305">
        <w:t xml:space="preserve">more than 70 </w:t>
      </w:r>
      <w:r>
        <w:t xml:space="preserve">VOCs were identified and accurately quantified on the C6C12 system with </w:t>
      </w:r>
      <w:r w:rsidR="00442305">
        <w:t xml:space="preserve">FID and </w:t>
      </w:r>
      <w:r>
        <w:t>MS detection.</w:t>
      </w:r>
      <w:r w:rsidR="006B5DD1">
        <w:t xml:space="preserve"> To select the </w:t>
      </w:r>
      <w:r w:rsidR="00C001CA">
        <w:t>best</w:t>
      </w:r>
      <w:r w:rsidR="006B5DD1">
        <w:t xml:space="preserve"> result between this dual detection, validation parameters have been </w:t>
      </w:r>
      <w:r w:rsidR="00C001CA">
        <w:t>optimized</w:t>
      </w:r>
      <w:r w:rsidR="006B5DD1">
        <w:t xml:space="preserve"> </w:t>
      </w:r>
      <w:r w:rsidR="00C001CA">
        <w:t>for each identified compound and gave accurate concentrations at 4 ppb.</w:t>
      </w:r>
    </w:p>
    <w:p w14:paraId="459D05E6" w14:textId="77777777" w:rsidR="00600535" w:rsidRPr="00B57B36" w:rsidRDefault="00600535" w:rsidP="00600535">
      <w:pPr>
        <w:pStyle w:val="CETAcknowledgementstitle"/>
      </w:pPr>
      <w:r w:rsidRPr="00B57B36">
        <w:t>Acknowledgments</w:t>
      </w:r>
    </w:p>
    <w:p w14:paraId="33F8138F" w14:textId="6A8A532C" w:rsidR="00600535" w:rsidRPr="00B57B36" w:rsidRDefault="00871892" w:rsidP="00600535">
      <w:pPr>
        <w:pStyle w:val="CETBodytext"/>
        <w:rPr>
          <w:lang w:val="en-GB"/>
        </w:rPr>
      </w:pPr>
      <w:r>
        <w:rPr>
          <w:lang w:val="en-GB"/>
        </w:rPr>
        <w:t>This work was carried out as part of a thesis with a CIFRE agreement from the National Association for Technical Research (ANRT)</w:t>
      </w:r>
      <w:r w:rsidR="00146F49">
        <w:rPr>
          <w:lang w:val="en-GB"/>
        </w:rPr>
        <w:t xml:space="preserve">   </w:t>
      </w:r>
    </w:p>
    <w:p w14:paraId="4F1327F8" w14:textId="77777777" w:rsidR="00600535" w:rsidRPr="00B57B36" w:rsidRDefault="00600535" w:rsidP="00600535">
      <w:pPr>
        <w:pStyle w:val="CETReference"/>
      </w:pPr>
      <w:r w:rsidRPr="00B57B36">
        <w:t>References</w:t>
      </w:r>
    </w:p>
    <w:p w14:paraId="032677B3" w14:textId="5432F195" w:rsidR="006E7326" w:rsidRDefault="006E7326" w:rsidP="006E7326">
      <w:pPr>
        <w:pStyle w:val="CETReferencetext"/>
        <w:rPr>
          <w:lang w:val="en-US"/>
        </w:rPr>
      </w:pPr>
      <w:r w:rsidRPr="006E7326">
        <w:rPr>
          <w:lang w:val="en-US"/>
        </w:rPr>
        <w:t>Abraham M. H., Gola J. M.R., Cometto-Mu</w:t>
      </w:r>
      <w:r w:rsidRPr="006E7326">
        <w:rPr>
          <w:rFonts w:eastAsiaTheme="minorHAnsi"/>
          <w:lang w:val="en-US"/>
        </w:rPr>
        <w:t>ñiz</w:t>
      </w:r>
      <w:r w:rsidRPr="006E7326">
        <w:rPr>
          <w:lang w:val="en-US"/>
        </w:rPr>
        <w:t xml:space="preserve"> J. E., </w:t>
      </w:r>
      <w:r>
        <w:rPr>
          <w:lang w:val="en-US"/>
        </w:rPr>
        <w:t xml:space="preserve">(2016), </w:t>
      </w:r>
      <w:r w:rsidRPr="006E7326">
        <w:rPr>
          <w:lang w:val="en-US"/>
        </w:rPr>
        <w:t>An assessment of</w:t>
      </w:r>
      <w:r>
        <w:rPr>
          <w:lang w:val="en-US"/>
        </w:rPr>
        <w:t xml:space="preserve"> air quality reflecting the chemosensory irritation impact of mixtures of volatile organic compounds, Environment International 86, 84 – 91.</w:t>
      </w:r>
    </w:p>
    <w:p w14:paraId="2FF5DDC5" w14:textId="686A61B3" w:rsidR="00657969" w:rsidRPr="00657969" w:rsidRDefault="00657969" w:rsidP="006E7326">
      <w:pPr>
        <w:pStyle w:val="CETReferencetext"/>
        <w:rPr>
          <w:lang w:val="en-US"/>
        </w:rPr>
      </w:pPr>
      <w:r w:rsidRPr="00657969">
        <w:rPr>
          <w:lang w:val="en-US"/>
        </w:rPr>
        <w:t>Bari Md. A., Kindzierski W. B., (2018), Ambient volatile organic compounds</w:t>
      </w:r>
      <w:r>
        <w:rPr>
          <w:lang w:val="en-US"/>
        </w:rPr>
        <w:t xml:space="preserve"> (VOCs) in Calgary, Alberta: Sources and screening health risk assessment, Science of the Total Environment 631 – 632, 627 – 640.</w:t>
      </w:r>
    </w:p>
    <w:p w14:paraId="16094898" w14:textId="5DCFFB0B" w:rsidR="002174C9" w:rsidRDefault="002174C9" w:rsidP="002174C9">
      <w:pPr>
        <w:pStyle w:val="CETReferencetext"/>
        <w:rPr>
          <w:lang w:val="en-US"/>
        </w:rPr>
      </w:pPr>
      <w:r w:rsidRPr="002174C9">
        <w:rPr>
          <w:lang w:val="en-US"/>
        </w:rPr>
        <w:t>Barletta B., Meinardi S., Sherwood Rowland</w:t>
      </w:r>
      <w:r>
        <w:rPr>
          <w:lang w:val="en-US"/>
        </w:rPr>
        <w:t xml:space="preserve"> F., </w:t>
      </w:r>
      <w:r w:rsidR="006405A8">
        <w:rPr>
          <w:lang w:val="en-US"/>
        </w:rPr>
        <w:t>Chan C.Y., Wang X., Zou S., Chan L. Y., Blake D. R., (2005), Volatile organic compounds in 43 Chinese cities, Atmospheric Environment</w:t>
      </w:r>
      <w:r w:rsidR="0047784B">
        <w:rPr>
          <w:lang w:val="en-US"/>
        </w:rPr>
        <w:t xml:space="preserve"> 39, 5979 – 5990.</w:t>
      </w:r>
    </w:p>
    <w:p w14:paraId="0EDEC0BF" w14:textId="32A77D3E" w:rsidR="00A7301F" w:rsidRDefault="00A7301F" w:rsidP="002174C9">
      <w:pPr>
        <w:pStyle w:val="CETReferencetext"/>
        <w:rPr>
          <w:lang w:val="en-US"/>
        </w:rPr>
      </w:pPr>
      <w:r>
        <w:rPr>
          <w:lang w:val="en-US"/>
        </w:rPr>
        <w:t>EPA, (1992), Reference guide to odor thresholds for hazardous air pollutants listed in the clean air act amendments of 1990 [R]. Washington, DC.</w:t>
      </w:r>
    </w:p>
    <w:p w14:paraId="52D1F675" w14:textId="1EAC6BB6" w:rsidR="00147911" w:rsidRPr="000A36F8" w:rsidRDefault="000A36F8" w:rsidP="002174C9">
      <w:pPr>
        <w:pStyle w:val="CETReferencetext"/>
        <w:rPr>
          <w:lang w:val="en-US"/>
        </w:rPr>
      </w:pPr>
      <w:r w:rsidRPr="000A36F8">
        <w:rPr>
          <w:lang w:val="en-US"/>
        </w:rPr>
        <w:t>Gallego E., Folch J., Teixdor P., Roca F. J., Perales J. F., (2019), Out</w:t>
      </w:r>
      <w:r>
        <w:rPr>
          <w:lang w:val="en-US"/>
        </w:rPr>
        <w:t xml:space="preserve">door air monitoring: Performance evaluation of a gas sensor to assess episodic nuisance/odorous events using active multi-sorbent bed tube sampling coupled to TD-GC/MS analysis, Science of the Total Environment 694, 133752. </w:t>
      </w:r>
    </w:p>
    <w:p w14:paraId="00BA3D4F" w14:textId="66ECACA2" w:rsidR="00C52C3C" w:rsidRDefault="00DE1FFB" w:rsidP="002174C9">
      <w:pPr>
        <w:pStyle w:val="CETReferencetext"/>
      </w:pPr>
      <w:r w:rsidRPr="002174C9">
        <w:t xml:space="preserve">Gu Y., Li Q., Wei D., Gao L., Tan L., Su G., </w:t>
      </w:r>
      <w:r w:rsidR="002174C9" w:rsidRPr="002174C9">
        <w:t>Liu G., Liu W., Li C., Wang Q</w:t>
      </w:r>
      <w:r w:rsidR="002174C9">
        <w:t>., (2019), Emission characteristics of 99 NMVOCs in different seasonal days and the relationship with air quality parameters in Beijing, China, Ecotoxicology and Environmental Safety 169, 797 – 806.</w:t>
      </w:r>
    </w:p>
    <w:p w14:paraId="20A7B651" w14:textId="6BDEDCBE" w:rsidR="00A7301F" w:rsidRDefault="00A7301F" w:rsidP="002174C9">
      <w:pPr>
        <w:pStyle w:val="CETReferencetext"/>
      </w:pPr>
      <w:r>
        <w:t>HJ 1010-2018, (2019), Specifications and Test Procedures for Ambient Air Quality Continuous Monitoring System with Gas Chromatography for Volatile Organic Compounds.</w:t>
      </w:r>
    </w:p>
    <w:p w14:paraId="5A183B63" w14:textId="3B85E2FC" w:rsidR="0047784B" w:rsidRDefault="0047784B" w:rsidP="002174C9">
      <w:pPr>
        <w:pStyle w:val="CETReferencetext"/>
      </w:pPr>
      <w:r w:rsidRPr="0047784B">
        <w:t>Hong Z., Li M., Wang H., Xu L., Hong Y., Chen J., Chen J., Zhang H., Wu X., Hu B., Li M., (2019), Charact</w:t>
      </w:r>
      <w:r>
        <w:t>eristics of atmospheric volatile organic compounds (VOCs) at a mountainous forest site and two urban sites in the southeast of China, Science of the Total Environment 657, 1491 – 1500.</w:t>
      </w:r>
    </w:p>
    <w:p w14:paraId="1A61BF4B" w14:textId="3C331C30" w:rsidR="005E3970" w:rsidRDefault="005E3970" w:rsidP="002174C9">
      <w:pPr>
        <w:pStyle w:val="CETReferencetext"/>
      </w:pPr>
      <w:r>
        <w:t>Nagata Y., (2003), Measurement of odor threshold by triangle odor bag method, Tokyo Japan, Japan Ministry of the Environment.</w:t>
      </w:r>
    </w:p>
    <w:p w14:paraId="6D55B129" w14:textId="58309B27" w:rsidR="002911A1" w:rsidRDefault="002911A1" w:rsidP="002174C9">
      <w:pPr>
        <w:pStyle w:val="CETReferencetext"/>
        <w:rPr>
          <w:lang w:val="en-US"/>
        </w:rPr>
      </w:pPr>
      <w:r w:rsidRPr="002911A1">
        <w:rPr>
          <w:lang w:val="en-US"/>
        </w:rPr>
        <w:t>Nie E., Zheng G., Gao D., Chen T., Yang J., Wang Y., Wang X., (2019), Emission characteristics of VOCs a</w:t>
      </w:r>
      <w:r>
        <w:rPr>
          <w:lang w:val="en-US"/>
        </w:rPr>
        <w:t>nd potential ozone formation from a full-scale sewage sludge composting plant</w:t>
      </w:r>
      <w:r w:rsidR="00147911">
        <w:rPr>
          <w:lang w:val="en-US"/>
        </w:rPr>
        <w:t>, Science of the Total Environment 659, 664 – 672.</w:t>
      </w:r>
    </w:p>
    <w:p w14:paraId="5BBD15C3" w14:textId="3EE84E6B" w:rsidR="00147911" w:rsidRPr="00147911" w:rsidRDefault="00147911" w:rsidP="002174C9">
      <w:pPr>
        <w:pStyle w:val="CETReferencetext"/>
        <w:rPr>
          <w:lang w:val="en-US"/>
        </w:rPr>
      </w:pPr>
      <w:r w:rsidRPr="00147911">
        <w:rPr>
          <w:lang w:val="en-US"/>
        </w:rPr>
        <w:t>Spinelle L., Gerboles M., Kok G., Persijn S., Sauerwald T., (2017), Review of Po</w:t>
      </w:r>
      <w:r>
        <w:rPr>
          <w:lang w:val="en-US"/>
        </w:rPr>
        <w:t>rtable and Low-Cost Sensors for the Ambient Air Monitoring of Benzene and Other Volatile Organic Compounds, Sensors 17, 1520.</w:t>
      </w:r>
    </w:p>
    <w:p w14:paraId="46E0EB15" w14:textId="3DA759E6" w:rsidR="00147911" w:rsidRPr="002911A1" w:rsidRDefault="002911A1" w:rsidP="00147911">
      <w:pPr>
        <w:pStyle w:val="CETReferencetext"/>
      </w:pPr>
      <w:r w:rsidRPr="002911A1">
        <w:t>Zhu Y.L., Zheng G.D., Gao D., Chen T.B</w:t>
      </w:r>
      <w:r>
        <w:t>., Wu F.K., Niu M.J., Zou K.H., (2016), Odor composition analysis and odor indicator selection during sewage sludge composting, Journal of the air &amp; waste management association 66, 930 – 940.</w:t>
      </w:r>
    </w:p>
    <w:p w14:paraId="4CCBDC0A" w14:textId="77777777" w:rsidR="006E7326" w:rsidRPr="002911A1" w:rsidRDefault="006E7326" w:rsidP="002174C9">
      <w:pPr>
        <w:pStyle w:val="CETReferencetext"/>
      </w:pPr>
    </w:p>
    <w:p w14:paraId="7BC33928" w14:textId="77777777" w:rsidR="002174C9" w:rsidRPr="002911A1" w:rsidRDefault="002174C9" w:rsidP="002174C9">
      <w:pPr>
        <w:pStyle w:val="CETReferencetext"/>
      </w:pPr>
    </w:p>
    <w:p w14:paraId="03CEA04C" w14:textId="77777777" w:rsidR="00C52C3C" w:rsidRPr="002911A1" w:rsidRDefault="00C52C3C" w:rsidP="00E65B91">
      <w:pPr>
        <w:pStyle w:val="CETReferencetext"/>
      </w:pPr>
    </w:p>
    <w:p w14:paraId="28E8379D" w14:textId="77777777" w:rsidR="00C52C3C" w:rsidRPr="002911A1" w:rsidRDefault="00C52C3C" w:rsidP="00E65B91">
      <w:pPr>
        <w:pStyle w:val="CETReferencetext"/>
      </w:pPr>
    </w:p>
    <w:p w14:paraId="6FAA4342" w14:textId="77777777" w:rsidR="00C52C3C" w:rsidRPr="002911A1" w:rsidRDefault="00C52C3C" w:rsidP="00E65B91">
      <w:pPr>
        <w:pStyle w:val="CETReferencetext"/>
      </w:pPr>
    </w:p>
    <w:p w14:paraId="5A13856B" w14:textId="77777777" w:rsidR="006B4888" w:rsidRPr="002911A1" w:rsidRDefault="006B4888" w:rsidP="006B4888">
      <w:pPr>
        <w:pStyle w:val="CETReferencetext"/>
      </w:pPr>
    </w:p>
    <w:p w14:paraId="19C4FC68" w14:textId="77777777" w:rsidR="004628D2" w:rsidRPr="002911A1" w:rsidRDefault="004628D2" w:rsidP="00FA5F5F">
      <w:pPr>
        <w:pStyle w:val="CETHeading1"/>
        <w:numPr>
          <w:ilvl w:val="0"/>
          <w:numId w:val="0"/>
        </w:numPr>
        <w:rPr>
          <w:lang w:val="en-GB"/>
        </w:rPr>
      </w:pPr>
    </w:p>
    <w:sectPr w:rsidR="004628D2" w:rsidRPr="002911A1" w:rsidSect="00EF06D9">
      <w:footerReference w:type="default" r:id="rId14"/>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DA05D" w14:textId="77777777" w:rsidR="00391630" w:rsidRDefault="00391630" w:rsidP="004F5E36">
      <w:r>
        <w:separator/>
      </w:r>
    </w:p>
  </w:endnote>
  <w:endnote w:type="continuationSeparator" w:id="0">
    <w:p w14:paraId="44EF8051" w14:textId="77777777" w:rsidR="00391630" w:rsidRDefault="0039163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E24D4" w14:textId="6A848177" w:rsidR="00D37EA0" w:rsidRDefault="00D37EA0">
    <w:pPr>
      <w:pStyle w:val="Pieddepage"/>
      <w:jc w:val="center"/>
    </w:pPr>
  </w:p>
  <w:p w14:paraId="64CB6652" w14:textId="77777777" w:rsidR="00D37EA0" w:rsidRDefault="00D37E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DD5AF" w14:textId="77777777" w:rsidR="00391630" w:rsidRDefault="00391630" w:rsidP="004F5E36">
      <w:r>
        <w:separator/>
      </w:r>
    </w:p>
  </w:footnote>
  <w:footnote w:type="continuationSeparator" w:id="0">
    <w:p w14:paraId="589C3BC9" w14:textId="77777777" w:rsidR="00391630" w:rsidRDefault="0039163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709"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63687891">
    <w:abstractNumId w:val="10"/>
  </w:num>
  <w:num w:numId="2" w16cid:durableId="1426002753">
    <w:abstractNumId w:val="8"/>
  </w:num>
  <w:num w:numId="3" w16cid:durableId="1830977195">
    <w:abstractNumId w:val="3"/>
  </w:num>
  <w:num w:numId="4" w16cid:durableId="2006860873">
    <w:abstractNumId w:val="2"/>
  </w:num>
  <w:num w:numId="5" w16cid:durableId="264849901">
    <w:abstractNumId w:val="1"/>
  </w:num>
  <w:num w:numId="6" w16cid:durableId="570896265">
    <w:abstractNumId w:val="0"/>
  </w:num>
  <w:num w:numId="7" w16cid:durableId="1357123542">
    <w:abstractNumId w:val="9"/>
  </w:num>
  <w:num w:numId="8" w16cid:durableId="1382703877">
    <w:abstractNumId w:val="7"/>
  </w:num>
  <w:num w:numId="9" w16cid:durableId="968246643">
    <w:abstractNumId w:val="6"/>
  </w:num>
  <w:num w:numId="10" w16cid:durableId="1340231478">
    <w:abstractNumId w:val="5"/>
  </w:num>
  <w:num w:numId="11" w16cid:durableId="1452091586">
    <w:abstractNumId w:val="4"/>
  </w:num>
  <w:num w:numId="12" w16cid:durableId="1592396215">
    <w:abstractNumId w:val="17"/>
  </w:num>
  <w:num w:numId="13" w16cid:durableId="1166433649">
    <w:abstractNumId w:val="12"/>
  </w:num>
  <w:num w:numId="14" w16cid:durableId="1521385364">
    <w:abstractNumId w:val="18"/>
  </w:num>
  <w:num w:numId="15" w16cid:durableId="1225289912">
    <w:abstractNumId w:val="20"/>
  </w:num>
  <w:num w:numId="16" w16cid:durableId="94834728">
    <w:abstractNumId w:val="19"/>
  </w:num>
  <w:num w:numId="17" w16cid:durableId="1259101417">
    <w:abstractNumId w:val="11"/>
  </w:num>
  <w:num w:numId="18" w16cid:durableId="269822387">
    <w:abstractNumId w:val="12"/>
    <w:lvlOverride w:ilvl="0">
      <w:startOverride w:val="1"/>
    </w:lvlOverride>
  </w:num>
  <w:num w:numId="19" w16cid:durableId="1619485281">
    <w:abstractNumId w:val="16"/>
  </w:num>
  <w:num w:numId="20" w16cid:durableId="849222203">
    <w:abstractNumId w:val="15"/>
  </w:num>
  <w:num w:numId="21" w16cid:durableId="250359560">
    <w:abstractNumId w:val="14"/>
  </w:num>
  <w:num w:numId="22" w16cid:durableId="9005969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37E"/>
    <w:rsid w:val="000052FB"/>
    <w:rsid w:val="00007BEF"/>
    <w:rsid w:val="000117CB"/>
    <w:rsid w:val="0003148D"/>
    <w:rsid w:val="00031EEC"/>
    <w:rsid w:val="00040259"/>
    <w:rsid w:val="000406F5"/>
    <w:rsid w:val="00050EF2"/>
    <w:rsid w:val="00051566"/>
    <w:rsid w:val="00057A18"/>
    <w:rsid w:val="00062A9A"/>
    <w:rsid w:val="00065058"/>
    <w:rsid w:val="00074826"/>
    <w:rsid w:val="00076A02"/>
    <w:rsid w:val="00086C39"/>
    <w:rsid w:val="00097C0D"/>
    <w:rsid w:val="000A03B2"/>
    <w:rsid w:val="000A36F8"/>
    <w:rsid w:val="000A5D0D"/>
    <w:rsid w:val="000B108F"/>
    <w:rsid w:val="000D0268"/>
    <w:rsid w:val="000D16E7"/>
    <w:rsid w:val="000D34BE"/>
    <w:rsid w:val="000E102F"/>
    <w:rsid w:val="000E36F1"/>
    <w:rsid w:val="000E3A73"/>
    <w:rsid w:val="000E414A"/>
    <w:rsid w:val="000E7801"/>
    <w:rsid w:val="000F093C"/>
    <w:rsid w:val="000F787B"/>
    <w:rsid w:val="0012091F"/>
    <w:rsid w:val="00126BC2"/>
    <w:rsid w:val="001308B6"/>
    <w:rsid w:val="0013121F"/>
    <w:rsid w:val="00131FE6"/>
    <w:rsid w:val="0013263F"/>
    <w:rsid w:val="001331DF"/>
    <w:rsid w:val="001336EF"/>
    <w:rsid w:val="00134DE4"/>
    <w:rsid w:val="0014034D"/>
    <w:rsid w:val="00144617"/>
    <w:rsid w:val="00144D16"/>
    <w:rsid w:val="00146F49"/>
    <w:rsid w:val="00147911"/>
    <w:rsid w:val="00150E59"/>
    <w:rsid w:val="00152DE3"/>
    <w:rsid w:val="001639C1"/>
    <w:rsid w:val="00164CF9"/>
    <w:rsid w:val="001667A6"/>
    <w:rsid w:val="00181D8F"/>
    <w:rsid w:val="00183931"/>
    <w:rsid w:val="001842F1"/>
    <w:rsid w:val="00184AD6"/>
    <w:rsid w:val="001A4AF7"/>
    <w:rsid w:val="001B0349"/>
    <w:rsid w:val="001B1E93"/>
    <w:rsid w:val="001B65C1"/>
    <w:rsid w:val="001C1AE3"/>
    <w:rsid w:val="001C684B"/>
    <w:rsid w:val="001D0CFB"/>
    <w:rsid w:val="001D21AF"/>
    <w:rsid w:val="001D53FC"/>
    <w:rsid w:val="001F42A5"/>
    <w:rsid w:val="001F7B9D"/>
    <w:rsid w:val="00201C93"/>
    <w:rsid w:val="00205E76"/>
    <w:rsid w:val="002174C9"/>
    <w:rsid w:val="002224B4"/>
    <w:rsid w:val="002447EF"/>
    <w:rsid w:val="00251550"/>
    <w:rsid w:val="00263B05"/>
    <w:rsid w:val="0027221A"/>
    <w:rsid w:val="002724C3"/>
    <w:rsid w:val="00275B61"/>
    <w:rsid w:val="00280FAF"/>
    <w:rsid w:val="00282656"/>
    <w:rsid w:val="002911A1"/>
    <w:rsid w:val="00296B83"/>
    <w:rsid w:val="002B4015"/>
    <w:rsid w:val="002B78CE"/>
    <w:rsid w:val="002C2FB6"/>
    <w:rsid w:val="002C3F26"/>
    <w:rsid w:val="002C6EF7"/>
    <w:rsid w:val="002E1DEF"/>
    <w:rsid w:val="002E5FA7"/>
    <w:rsid w:val="002F3309"/>
    <w:rsid w:val="003008CE"/>
    <w:rsid w:val="003009B7"/>
    <w:rsid w:val="00300E56"/>
    <w:rsid w:val="0030469C"/>
    <w:rsid w:val="003049D2"/>
    <w:rsid w:val="00311F5F"/>
    <w:rsid w:val="00321CA6"/>
    <w:rsid w:val="00323763"/>
    <w:rsid w:val="00323C5F"/>
    <w:rsid w:val="00334C09"/>
    <w:rsid w:val="0034171D"/>
    <w:rsid w:val="003443FE"/>
    <w:rsid w:val="00354961"/>
    <w:rsid w:val="00361D90"/>
    <w:rsid w:val="00371F3F"/>
    <w:rsid w:val="003723D4"/>
    <w:rsid w:val="00381905"/>
    <w:rsid w:val="003823B6"/>
    <w:rsid w:val="00383833"/>
    <w:rsid w:val="00384CC8"/>
    <w:rsid w:val="003871FD"/>
    <w:rsid w:val="00391630"/>
    <w:rsid w:val="003921CE"/>
    <w:rsid w:val="00394B58"/>
    <w:rsid w:val="003960C5"/>
    <w:rsid w:val="003A1E30"/>
    <w:rsid w:val="003A2829"/>
    <w:rsid w:val="003A7D1C"/>
    <w:rsid w:val="003B304B"/>
    <w:rsid w:val="003B3146"/>
    <w:rsid w:val="003B41AE"/>
    <w:rsid w:val="003C729B"/>
    <w:rsid w:val="003D3BE1"/>
    <w:rsid w:val="003D7B49"/>
    <w:rsid w:val="003E20C2"/>
    <w:rsid w:val="003F015E"/>
    <w:rsid w:val="00400414"/>
    <w:rsid w:val="0041215D"/>
    <w:rsid w:val="00412A93"/>
    <w:rsid w:val="0041446B"/>
    <w:rsid w:val="0042785B"/>
    <w:rsid w:val="00435042"/>
    <w:rsid w:val="00437566"/>
    <w:rsid w:val="0044071E"/>
    <w:rsid w:val="00441F26"/>
    <w:rsid w:val="00442305"/>
    <w:rsid w:val="0044329C"/>
    <w:rsid w:val="00453E24"/>
    <w:rsid w:val="00457456"/>
    <w:rsid w:val="004577FE"/>
    <w:rsid w:val="00457B9C"/>
    <w:rsid w:val="0046164A"/>
    <w:rsid w:val="004628D2"/>
    <w:rsid w:val="00462DCD"/>
    <w:rsid w:val="004648AD"/>
    <w:rsid w:val="004703A9"/>
    <w:rsid w:val="00471B3D"/>
    <w:rsid w:val="004748B7"/>
    <w:rsid w:val="004760DE"/>
    <w:rsid w:val="004763D7"/>
    <w:rsid w:val="0047784B"/>
    <w:rsid w:val="004A004E"/>
    <w:rsid w:val="004A24CF"/>
    <w:rsid w:val="004B1139"/>
    <w:rsid w:val="004B3527"/>
    <w:rsid w:val="004C3D1D"/>
    <w:rsid w:val="004C3D84"/>
    <w:rsid w:val="004C7913"/>
    <w:rsid w:val="004E0A15"/>
    <w:rsid w:val="004E4DD6"/>
    <w:rsid w:val="004F4D78"/>
    <w:rsid w:val="004F5E36"/>
    <w:rsid w:val="004F73BA"/>
    <w:rsid w:val="00504F42"/>
    <w:rsid w:val="00507B47"/>
    <w:rsid w:val="00507BEF"/>
    <w:rsid w:val="00507C56"/>
    <w:rsid w:val="00507CC9"/>
    <w:rsid w:val="005119A5"/>
    <w:rsid w:val="005278B7"/>
    <w:rsid w:val="00532016"/>
    <w:rsid w:val="005346C8"/>
    <w:rsid w:val="00543E7D"/>
    <w:rsid w:val="0054797F"/>
    <w:rsid w:val="00547A68"/>
    <w:rsid w:val="005531C9"/>
    <w:rsid w:val="00554FC2"/>
    <w:rsid w:val="00570C43"/>
    <w:rsid w:val="005A62F5"/>
    <w:rsid w:val="005B2110"/>
    <w:rsid w:val="005B61E6"/>
    <w:rsid w:val="005C77E1"/>
    <w:rsid w:val="005D60F3"/>
    <w:rsid w:val="005D668A"/>
    <w:rsid w:val="005D6A2F"/>
    <w:rsid w:val="005E1A82"/>
    <w:rsid w:val="005E3970"/>
    <w:rsid w:val="005E794C"/>
    <w:rsid w:val="005F0A28"/>
    <w:rsid w:val="005F0E5E"/>
    <w:rsid w:val="00600535"/>
    <w:rsid w:val="006014AF"/>
    <w:rsid w:val="00604196"/>
    <w:rsid w:val="006102F1"/>
    <w:rsid w:val="00610CD6"/>
    <w:rsid w:val="00620DEE"/>
    <w:rsid w:val="00621F92"/>
    <w:rsid w:val="0062280A"/>
    <w:rsid w:val="00625639"/>
    <w:rsid w:val="00630C4A"/>
    <w:rsid w:val="00631B33"/>
    <w:rsid w:val="006405A8"/>
    <w:rsid w:val="0064184D"/>
    <w:rsid w:val="006422CC"/>
    <w:rsid w:val="00651BEF"/>
    <w:rsid w:val="00657969"/>
    <w:rsid w:val="00660E3E"/>
    <w:rsid w:val="00662E74"/>
    <w:rsid w:val="00664D64"/>
    <w:rsid w:val="00680C23"/>
    <w:rsid w:val="00693766"/>
    <w:rsid w:val="00696F26"/>
    <w:rsid w:val="006A1664"/>
    <w:rsid w:val="006A3281"/>
    <w:rsid w:val="006A38EE"/>
    <w:rsid w:val="006B4888"/>
    <w:rsid w:val="006B5DD1"/>
    <w:rsid w:val="006C2E45"/>
    <w:rsid w:val="006C359C"/>
    <w:rsid w:val="006C5579"/>
    <w:rsid w:val="006D6E8B"/>
    <w:rsid w:val="006E0D24"/>
    <w:rsid w:val="006E7326"/>
    <w:rsid w:val="006E737D"/>
    <w:rsid w:val="006F3382"/>
    <w:rsid w:val="006F3997"/>
    <w:rsid w:val="00713973"/>
    <w:rsid w:val="00720A24"/>
    <w:rsid w:val="00721092"/>
    <w:rsid w:val="00732386"/>
    <w:rsid w:val="0073514D"/>
    <w:rsid w:val="007447F3"/>
    <w:rsid w:val="0075499F"/>
    <w:rsid w:val="00762B99"/>
    <w:rsid w:val="007661C8"/>
    <w:rsid w:val="0077098D"/>
    <w:rsid w:val="00771EE8"/>
    <w:rsid w:val="007931FA"/>
    <w:rsid w:val="007A4861"/>
    <w:rsid w:val="007A7BBA"/>
    <w:rsid w:val="007B0C50"/>
    <w:rsid w:val="007B48F9"/>
    <w:rsid w:val="007B5DDF"/>
    <w:rsid w:val="007C1A43"/>
    <w:rsid w:val="007D54D9"/>
    <w:rsid w:val="007F3723"/>
    <w:rsid w:val="0080013E"/>
    <w:rsid w:val="0080794C"/>
    <w:rsid w:val="00813288"/>
    <w:rsid w:val="008168FC"/>
    <w:rsid w:val="00822668"/>
    <w:rsid w:val="00830996"/>
    <w:rsid w:val="008345F1"/>
    <w:rsid w:val="008433EC"/>
    <w:rsid w:val="00850B0B"/>
    <w:rsid w:val="00860C33"/>
    <w:rsid w:val="0086191A"/>
    <w:rsid w:val="00865B07"/>
    <w:rsid w:val="008667EA"/>
    <w:rsid w:val="00867823"/>
    <w:rsid w:val="00871892"/>
    <w:rsid w:val="0087637F"/>
    <w:rsid w:val="00892AD5"/>
    <w:rsid w:val="008A0DD4"/>
    <w:rsid w:val="008A1512"/>
    <w:rsid w:val="008C38E6"/>
    <w:rsid w:val="008D32B9"/>
    <w:rsid w:val="008D433B"/>
    <w:rsid w:val="008D4A16"/>
    <w:rsid w:val="008E566E"/>
    <w:rsid w:val="0090161A"/>
    <w:rsid w:val="00901EB6"/>
    <w:rsid w:val="00903019"/>
    <w:rsid w:val="00904C62"/>
    <w:rsid w:val="009153D1"/>
    <w:rsid w:val="00922BA8"/>
    <w:rsid w:val="00924DAC"/>
    <w:rsid w:val="00927058"/>
    <w:rsid w:val="00935146"/>
    <w:rsid w:val="00942750"/>
    <w:rsid w:val="009450CE"/>
    <w:rsid w:val="00947179"/>
    <w:rsid w:val="00947311"/>
    <w:rsid w:val="0095164B"/>
    <w:rsid w:val="00951D25"/>
    <w:rsid w:val="00954090"/>
    <w:rsid w:val="009573E7"/>
    <w:rsid w:val="00957EAC"/>
    <w:rsid w:val="009606CE"/>
    <w:rsid w:val="00963E05"/>
    <w:rsid w:val="00964A45"/>
    <w:rsid w:val="00967843"/>
    <w:rsid w:val="00967D54"/>
    <w:rsid w:val="00971028"/>
    <w:rsid w:val="00981C83"/>
    <w:rsid w:val="00993B84"/>
    <w:rsid w:val="00996483"/>
    <w:rsid w:val="00996F5A"/>
    <w:rsid w:val="009B041A"/>
    <w:rsid w:val="009C37C3"/>
    <w:rsid w:val="009C7C86"/>
    <w:rsid w:val="009D2A1E"/>
    <w:rsid w:val="009D2FF7"/>
    <w:rsid w:val="009E7884"/>
    <w:rsid w:val="009E788A"/>
    <w:rsid w:val="009F0E08"/>
    <w:rsid w:val="009F122C"/>
    <w:rsid w:val="009F6272"/>
    <w:rsid w:val="00A01CA4"/>
    <w:rsid w:val="00A16462"/>
    <w:rsid w:val="00A1763D"/>
    <w:rsid w:val="00A17CEC"/>
    <w:rsid w:val="00A22D01"/>
    <w:rsid w:val="00A27EF0"/>
    <w:rsid w:val="00A42361"/>
    <w:rsid w:val="00A50B20"/>
    <w:rsid w:val="00A51390"/>
    <w:rsid w:val="00A57C0B"/>
    <w:rsid w:val="00A60D13"/>
    <w:rsid w:val="00A7223D"/>
    <w:rsid w:val="00A72745"/>
    <w:rsid w:val="00A7301F"/>
    <w:rsid w:val="00A76EFC"/>
    <w:rsid w:val="00A86423"/>
    <w:rsid w:val="00A91010"/>
    <w:rsid w:val="00A96AC0"/>
    <w:rsid w:val="00A97F29"/>
    <w:rsid w:val="00AA6CDD"/>
    <w:rsid w:val="00AA702E"/>
    <w:rsid w:val="00AB0964"/>
    <w:rsid w:val="00AB5011"/>
    <w:rsid w:val="00AC634F"/>
    <w:rsid w:val="00AC7368"/>
    <w:rsid w:val="00AD16B9"/>
    <w:rsid w:val="00AE377D"/>
    <w:rsid w:val="00AE40DD"/>
    <w:rsid w:val="00AF0EBA"/>
    <w:rsid w:val="00B02257"/>
    <w:rsid w:val="00B02C8A"/>
    <w:rsid w:val="00B02F9A"/>
    <w:rsid w:val="00B13B3D"/>
    <w:rsid w:val="00B17FBD"/>
    <w:rsid w:val="00B27819"/>
    <w:rsid w:val="00B315A6"/>
    <w:rsid w:val="00B31813"/>
    <w:rsid w:val="00B33365"/>
    <w:rsid w:val="00B57B36"/>
    <w:rsid w:val="00B57E6F"/>
    <w:rsid w:val="00B67D66"/>
    <w:rsid w:val="00B72FFD"/>
    <w:rsid w:val="00B830CC"/>
    <w:rsid w:val="00B834D0"/>
    <w:rsid w:val="00B8686D"/>
    <w:rsid w:val="00B93F69"/>
    <w:rsid w:val="00BA6BA5"/>
    <w:rsid w:val="00BB1DDC"/>
    <w:rsid w:val="00BB74FA"/>
    <w:rsid w:val="00BC30C9"/>
    <w:rsid w:val="00BD077D"/>
    <w:rsid w:val="00BD2EED"/>
    <w:rsid w:val="00BE3E58"/>
    <w:rsid w:val="00BF24F9"/>
    <w:rsid w:val="00C001CA"/>
    <w:rsid w:val="00C01616"/>
    <w:rsid w:val="00C0162B"/>
    <w:rsid w:val="00C068ED"/>
    <w:rsid w:val="00C20619"/>
    <w:rsid w:val="00C22E0C"/>
    <w:rsid w:val="00C3118C"/>
    <w:rsid w:val="00C32A8E"/>
    <w:rsid w:val="00C345B1"/>
    <w:rsid w:val="00C40142"/>
    <w:rsid w:val="00C447D5"/>
    <w:rsid w:val="00C52C3C"/>
    <w:rsid w:val="00C57182"/>
    <w:rsid w:val="00C57863"/>
    <w:rsid w:val="00C640AF"/>
    <w:rsid w:val="00C655FD"/>
    <w:rsid w:val="00C74606"/>
    <w:rsid w:val="00C75407"/>
    <w:rsid w:val="00C858C1"/>
    <w:rsid w:val="00C870A8"/>
    <w:rsid w:val="00C94434"/>
    <w:rsid w:val="00C977DF"/>
    <w:rsid w:val="00CA0D75"/>
    <w:rsid w:val="00CA1C95"/>
    <w:rsid w:val="00CA2B6A"/>
    <w:rsid w:val="00CA5A9C"/>
    <w:rsid w:val="00CB7FE7"/>
    <w:rsid w:val="00CC4C20"/>
    <w:rsid w:val="00CD3517"/>
    <w:rsid w:val="00CD5596"/>
    <w:rsid w:val="00CD5FE2"/>
    <w:rsid w:val="00CE7C68"/>
    <w:rsid w:val="00D02B4C"/>
    <w:rsid w:val="00D040C4"/>
    <w:rsid w:val="00D20AD1"/>
    <w:rsid w:val="00D37EA0"/>
    <w:rsid w:val="00D46B7E"/>
    <w:rsid w:val="00D57C84"/>
    <w:rsid w:val="00D6057D"/>
    <w:rsid w:val="00D67CD8"/>
    <w:rsid w:val="00D71640"/>
    <w:rsid w:val="00D836C5"/>
    <w:rsid w:val="00D84576"/>
    <w:rsid w:val="00D851C7"/>
    <w:rsid w:val="00DA1399"/>
    <w:rsid w:val="00DA19F0"/>
    <w:rsid w:val="00DA24C6"/>
    <w:rsid w:val="00DA322C"/>
    <w:rsid w:val="00DA4D7B"/>
    <w:rsid w:val="00DC414A"/>
    <w:rsid w:val="00DC5C65"/>
    <w:rsid w:val="00DD271C"/>
    <w:rsid w:val="00DD33F4"/>
    <w:rsid w:val="00DE1FFB"/>
    <w:rsid w:val="00DE264A"/>
    <w:rsid w:val="00DE7C74"/>
    <w:rsid w:val="00DF5072"/>
    <w:rsid w:val="00E02D18"/>
    <w:rsid w:val="00E041E7"/>
    <w:rsid w:val="00E048AA"/>
    <w:rsid w:val="00E07492"/>
    <w:rsid w:val="00E23CA1"/>
    <w:rsid w:val="00E26D12"/>
    <w:rsid w:val="00E409A8"/>
    <w:rsid w:val="00E50C12"/>
    <w:rsid w:val="00E65B91"/>
    <w:rsid w:val="00E7209D"/>
    <w:rsid w:val="00E72EAD"/>
    <w:rsid w:val="00E77223"/>
    <w:rsid w:val="00E80EC1"/>
    <w:rsid w:val="00E8528B"/>
    <w:rsid w:val="00E85B94"/>
    <w:rsid w:val="00E978D0"/>
    <w:rsid w:val="00EA4613"/>
    <w:rsid w:val="00EA7F91"/>
    <w:rsid w:val="00EB1523"/>
    <w:rsid w:val="00EB35F9"/>
    <w:rsid w:val="00EC0E49"/>
    <w:rsid w:val="00EC101F"/>
    <w:rsid w:val="00EC1636"/>
    <w:rsid w:val="00EC1D9F"/>
    <w:rsid w:val="00EE0131"/>
    <w:rsid w:val="00EE17B0"/>
    <w:rsid w:val="00EF04D6"/>
    <w:rsid w:val="00EF06D9"/>
    <w:rsid w:val="00EF6A73"/>
    <w:rsid w:val="00F035F9"/>
    <w:rsid w:val="00F25EF5"/>
    <w:rsid w:val="00F270A3"/>
    <w:rsid w:val="00F30C64"/>
    <w:rsid w:val="00F32BA2"/>
    <w:rsid w:val="00F32CDB"/>
    <w:rsid w:val="00F565FE"/>
    <w:rsid w:val="00F63A70"/>
    <w:rsid w:val="00F63D8C"/>
    <w:rsid w:val="00F71190"/>
    <w:rsid w:val="00F7534E"/>
    <w:rsid w:val="00FA1802"/>
    <w:rsid w:val="00FA21D0"/>
    <w:rsid w:val="00FA5F5F"/>
    <w:rsid w:val="00FB730C"/>
    <w:rsid w:val="00FC2695"/>
    <w:rsid w:val="00FC3E03"/>
    <w:rsid w:val="00FC3FC1"/>
    <w:rsid w:val="00FD487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rsid w:val="00280FAF"/>
    <w:pPr>
      <w:ind w:left="720"/>
      <w:contextualSpacing/>
    </w:pPr>
  </w:style>
  <w:style w:type="paragraph" w:customStyle="1" w:styleId="FAARparagraph">
    <w:name w:val="FAAR_paragraph"/>
    <w:basedOn w:val="Normal"/>
    <w:qFormat/>
    <w:rsid w:val="00BA6BA5"/>
    <w:pPr>
      <w:tabs>
        <w:tab w:val="clear" w:pos="7100"/>
      </w:tabs>
      <w:spacing w:after="220" w:line="240" w:lineRule="auto"/>
    </w:pPr>
    <w:rPr>
      <w:rFonts w:ascii="Times New Roman" w:hAnsi="Times New Roman"/>
      <w:sz w:val="22"/>
    </w:rPr>
  </w:style>
  <w:style w:type="paragraph" w:customStyle="1" w:styleId="Default">
    <w:name w:val="Default"/>
    <w:rsid w:val="003D7B49"/>
    <w:pPr>
      <w:autoSpaceDE w:val="0"/>
      <w:autoSpaceDN w:val="0"/>
      <w:adjustRightInd w:val="0"/>
      <w:spacing w:after="0" w:line="240" w:lineRule="auto"/>
    </w:pPr>
    <w:rPr>
      <w:rFonts w:ascii="Arial" w:hAnsi="Arial" w:cs="Arial"/>
      <w:color w:val="000000"/>
      <w:sz w:val="24"/>
      <w:szCs w:val="24"/>
      <w:lang w:val="fr-FR"/>
    </w:rPr>
  </w:style>
  <w:style w:type="paragraph" w:customStyle="1" w:styleId="FAARheader2">
    <w:name w:val="FAAR_header2"/>
    <w:basedOn w:val="Normal"/>
    <w:qFormat/>
    <w:rsid w:val="00604196"/>
    <w:pPr>
      <w:tabs>
        <w:tab w:val="clear" w:pos="7100"/>
      </w:tabs>
      <w:spacing w:after="220" w:line="240" w:lineRule="auto"/>
      <w:jc w:val="center"/>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6106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830938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578003092079245"/>
          <c:y val="2.7679555854774659E-2"/>
          <c:w val="0.82682270880523501"/>
          <c:h val="0.63274985608211609"/>
        </c:manualLayout>
      </c:layout>
      <c:barChart>
        <c:barDir val="col"/>
        <c:grouping val="clustered"/>
        <c:varyColors val="0"/>
        <c:ser>
          <c:idx val="0"/>
          <c:order val="0"/>
          <c:tx>
            <c:strRef>
              <c:f>'Feuil8 (2)'!$J$20</c:f>
              <c:strCache>
                <c:ptCount val="1"/>
                <c:pt idx="0">
                  <c:v>FID</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'Feuil8 (2)'!$K$19:$O$19</c:f>
              <c:strCache>
                <c:ptCount val="4"/>
                <c:pt idx="0">
                  <c:v>Alkanes</c:v>
                </c:pt>
                <c:pt idx="1">
                  <c:v>Aromatic hydrocarbons</c:v>
                </c:pt>
                <c:pt idx="2">
                  <c:v>OVOCs</c:v>
                </c:pt>
                <c:pt idx="3">
                  <c:v>Halogenated compounds</c:v>
                </c:pt>
              </c:strCache>
            </c:strRef>
          </c:cat>
          <c:val>
            <c:numRef>
              <c:f>'Feuil8 (2)'!$K$20:$N$20</c:f>
              <c:numCache>
                <c:formatCode>General</c:formatCode>
                <c:ptCount val="4"/>
                <c:pt idx="0">
                  <c:v>67</c:v>
                </c:pt>
                <c:pt idx="1">
                  <c:v>37</c:v>
                </c:pt>
                <c:pt idx="2">
                  <c:v>8</c:v>
                </c:pt>
                <c:pt idx="3">
                  <c:v>21</c:v>
                </c:pt>
              </c:numCache>
            </c:numRef>
          </c:val>
          <c:extLst>
            <c:ext xmlns:c16="http://schemas.microsoft.com/office/drawing/2014/chart" uri="{C3380CC4-5D6E-409C-BE32-E72D297353CC}">
              <c16:uniqueId val="{00000000-30CF-4622-9B2B-7363B57D6A7B}"/>
            </c:ext>
          </c:extLst>
        </c:ser>
        <c:ser>
          <c:idx val="1"/>
          <c:order val="1"/>
          <c:tx>
            <c:strRef>
              <c:f>'Feuil8 (2)'!$J$21</c:f>
              <c:strCache>
                <c:ptCount val="1"/>
                <c:pt idx="0">
                  <c:v>MS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2"/>
              <c:layout>
                <c:manualLayout>
                  <c:x val="-7.8682925096775922E-17"/>
                  <c:y val="1.61041672764882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CF-4622-9B2B-7363B57D6A7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'Feuil8 (2)'!$K$19:$O$19</c:f>
              <c:strCache>
                <c:ptCount val="4"/>
                <c:pt idx="0">
                  <c:v>Alkanes</c:v>
                </c:pt>
                <c:pt idx="1">
                  <c:v>Aromatic hydrocarbons</c:v>
                </c:pt>
                <c:pt idx="2">
                  <c:v>OVOCs</c:v>
                </c:pt>
                <c:pt idx="3">
                  <c:v>Halogenated compounds</c:v>
                </c:pt>
              </c:strCache>
            </c:strRef>
          </c:cat>
          <c:val>
            <c:numRef>
              <c:f>'Feuil8 (2)'!$K$21:$N$21</c:f>
              <c:numCache>
                <c:formatCode>General</c:formatCode>
                <c:ptCount val="4"/>
                <c:pt idx="0">
                  <c:v>33</c:v>
                </c:pt>
                <c:pt idx="1">
                  <c:v>63</c:v>
                </c:pt>
                <c:pt idx="2">
                  <c:v>92</c:v>
                </c:pt>
                <c:pt idx="3">
                  <c:v>79</c:v>
                </c:pt>
              </c:numCache>
            </c:numRef>
          </c:val>
          <c:extLst>
            <c:ext xmlns:c16="http://schemas.microsoft.com/office/drawing/2014/chart" uri="{C3380CC4-5D6E-409C-BE32-E72D297353CC}">
              <c16:uniqueId val="{00000002-30CF-4622-9B2B-7363B57D6A7B}"/>
            </c:ext>
          </c:extLst>
        </c:ser>
        <c:dLbls>
          <c:dLblPos val="outEnd"/>
          <c:showLegendKey val="0"/>
          <c:showVal val="1"/>
          <c:showCatName val="0"/>
          <c:showSerName val="0"/>
          <c:showPercent val="0"/>
          <c:showBubbleSize val="0"/>
        </c:dLbls>
        <c:gapWidth val="150"/>
        <c:axId val="803432184"/>
        <c:axId val="803429560"/>
      </c:barChart>
      <c:catAx>
        <c:axId val="803432184"/>
        <c:scaling>
          <c:orientation val="minMax"/>
        </c:scaling>
        <c:delete val="0"/>
        <c:axPos val="b"/>
        <c:numFmt formatCode="General" sourceLinked="1"/>
        <c:majorTickMark val="out"/>
        <c:minorTickMark val="none"/>
        <c:tickLblPos val="nextTo"/>
        <c:spPr>
          <a:noFill/>
          <a:ln w="12700" cap="flat" cmpd="sng" algn="ctr">
            <a:solidFill>
              <a:schemeClr val="tx1"/>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crossAx val="803429560"/>
        <c:crosses val="autoZero"/>
        <c:auto val="1"/>
        <c:lblAlgn val="ctr"/>
        <c:lblOffset val="100"/>
        <c:noMultiLvlLbl val="0"/>
      </c:catAx>
      <c:valAx>
        <c:axId val="803429560"/>
        <c:scaling>
          <c:orientation val="minMax"/>
          <c:max val="100"/>
          <c:min val="0"/>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sz="800">
                    <a:latin typeface="Arial" panose="020B0604020202020204" pitchFamily="34" charset="0"/>
                    <a:cs typeface="Arial" panose="020B0604020202020204" pitchFamily="34" charset="0"/>
                  </a:rPr>
                  <a:t>Distribution percentage (%)</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crossAx val="803432184"/>
        <c:crosses val="autoZero"/>
        <c:crossBetween val="between"/>
      </c:valAx>
      <c:spPr>
        <a:noFill/>
        <a:ln>
          <a:solidFill>
            <a:schemeClr val="tx1"/>
          </a:solidFill>
        </a:ln>
        <a:effectLst/>
      </c:spPr>
    </c:plotArea>
    <c:legend>
      <c:legendPos val="b"/>
      <c:layout>
        <c:manualLayout>
          <c:xMode val="edge"/>
          <c:yMode val="edge"/>
          <c:x val="0.17316616538812474"/>
          <c:y val="4.7911971040794629E-2"/>
          <c:w val="0.22448315535900479"/>
          <c:h val="5.46048844266213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56899404162157E-2"/>
          <c:y val="2.2739018087855296E-2"/>
          <c:w val="0.90405343881777811"/>
          <c:h val="0.60237212069573398"/>
        </c:manualLayout>
      </c:layout>
      <c:lineChart>
        <c:grouping val="standard"/>
        <c:varyColors val="0"/>
        <c:ser>
          <c:idx val="0"/>
          <c:order val="0"/>
          <c:tx>
            <c:strRef>
              <c:f>'Feuil8 (3)'!$C$1</c:f>
              <c:strCache>
                <c:ptCount val="1"/>
                <c:pt idx="0">
                  <c:v>FID</c:v>
                </c:pt>
              </c:strCache>
            </c:strRef>
          </c:tx>
          <c:spPr>
            <a:ln w="25400" cap="rnd">
              <a:solidFill>
                <a:schemeClr val="accent1"/>
              </a:solidFill>
              <a:prstDash val="sysDot"/>
              <a:round/>
            </a:ln>
            <a:effectLst/>
          </c:spPr>
          <c:marker>
            <c:symbol val="none"/>
          </c:marker>
          <c:cat>
            <c:multiLvlStrRef>
              <c:f>'Feuil8 (3)'!$A$2:$B$60</c:f>
              <c:multiLvlStrCache>
                <c:ptCount val="59"/>
                <c:lvl>
                  <c:pt idx="0">
                    <c:v>Cyclohexane</c:v>
                  </c:pt>
                  <c:pt idx="1">
                    <c:v>2-Methyl-hexane</c:v>
                  </c:pt>
                  <c:pt idx="2">
                    <c:v>3-Methyl-hexane</c:v>
                  </c:pt>
                  <c:pt idx="3">
                    <c:v>224-Trimethyl-pentane</c:v>
                  </c:pt>
                  <c:pt idx="4">
                    <c:v>N-heptane</c:v>
                  </c:pt>
                  <c:pt idx="5">
                    <c:v>Methyl-cyclohexane</c:v>
                  </c:pt>
                  <c:pt idx="6">
                    <c:v>234-Trimethyl-pentane</c:v>
                  </c:pt>
                  <c:pt idx="7">
                    <c:v>2-Methyl-heptane</c:v>
                  </c:pt>
                  <c:pt idx="8">
                    <c:v>3-Methyl-heptane</c:v>
                  </c:pt>
                  <c:pt idx="9">
                    <c:v>N-octane</c:v>
                  </c:pt>
                  <c:pt idx="10">
                    <c:v>N-nonane</c:v>
                  </c:pt>
                  <c:pt idx="11">
                    <c:v>N-decane</c:v>
                  </c:pt>
                  <c:pt idx="12">
                    <c:v>Benzene</c:v>
                  </c:pt>
                  <c:pt idx="13">
                    <c:v>Toluene</c:v>
                  </c:pt>
                  <c:pt idx="14">
                    <c:v>Ethyl-benzene</c:v>
                  </c:pt>
                  <c:pt idx="15">
                    <c:v>m&amp;p-xylenes</c:v>
                  </c:pt>
                  <c:pt idx="16">
                    <c:v>Styrene</c:v>
                  </c:pt>
                  <c:pt idx="17">
                    <c:v>o-xylene</c:v>
                  </c:pt>
                  <c:pt idx="18">
                    <c:v>i-propylbenzene</c:v>
                  </c:pt>
                  <c:pt idx="19">
                    <c:v>n-propylbenzene</c:v>
                  </c:pt>
                  <c:pt idx="20">
                    <c:v>m-ethyltoluene</c:v>
                  </c:pt>
                  <c:pt idx="21">
                    <c:v>p-ethyltoluene</c:v>
                  </c:pt>
                  <c:pt idx="22">
                    <c:v>135-Trimethylbenzene</c:v>
                  </c:pt>
                  <c:pt idx="23">
                    <c:v>o-ethyltoluene</c:v>
                  </c:pt>
                  <c:pt idx="24">
                    <c:v>124-Trimethylbenzene</c:v>
                  </c:pt>
                  <c:pt idx="25">
                    <c:v>123-Trimethylbenzene</c:v>
                  </c:pt>
                  <c:pt idx="26">
                    <c:v>m-diethylbenzene</c:v>
                  </c:pt>
                  <c:pt idx="27">
                    <c:v>p-diethylbenzene</c:v>
                  </c:pt>
                  <c:pt idx="28">
                    <c:v>Acrolein</c:v>
                  </c:pt>
                  <c:pt idx="29">
                    <c:v>Acetone</c:v>
                  </c:pt>
                  <c:pt idx="30">
                    <c:v>Isopropyl alcohol</c:v>
                  </c:pt>
                  <c:pt idx="31">
                    <c:v>Methyl tert-butyl ether</c:v>
                  </c:pt>
                  <c:pt idx="32">
                    <c:v>Vinyl acetate</c:v>
                  </c:pt>
                  <c:pt idx="33">
                    <c:v>Methyl ethyl ketone</c:v>
                  </c:pt>
                  <c:pt idx="34">
                    <c:v>Ethyl acetate</c:v>
                  </c:pt>
                  <c:pt idx="35">
                    <c:v>THF</c:v>
                  </c:pt>
                  <c:pt idx="36">
                    <c:v>1,4-Dioxane</c:v>
                  </c:pt>
                  <c:pt idx="37">
                    <c:v>Methyl methacrylate</c:v>
                  </c:pt>
                  <c:pt idx="38">
                    <c:v>Methyl isobutyl ketone</c:v>
                  </c:pt>
                  <c:pt idx="39">
                    <c:v>Methyl butyl ketone</c:v>
                  </c:pt>
                  <c:pt idx="40">
                    <c:v>Chloroethane</c:v>
                  </c:pt>
                  <c:pt idx="41">
                    <c:v>Dichloromethane</c:v>
                  </c:pt>
                  <c:pt idx="42">
                    <c:v>1-1-Dichloroethane</c:v>
                  </c:pt>
                  <c:pt idx="43">
                    <c:v>C-1-2-Dichloroethene</c:v>
                  </c:pt>
                  <c:pt idx="44">
                    <c:v>Chloroforme</c:v>
                  </c:pt>
                  <c:pt idx="45">
                    <c:v>1-2-Dichloroethane</c:v>
                  </c:pt>
                  <c:pt idx="46">
                    <c:v>111-Trichloroethane</c:v>
                  </c:pt>
                  <c:pt idx="47">
                    <c:v>CCl4</c:v>
                  </c:pt>
                  <c:pt idx="48">
                    <c:v>1-2-dichloropropane</c:v>
                  </c:pt>
                  <c:pt idx="49">
                    <c:v>Bromo-dichloromethane</c:v>
                  </c:pt>
                  <c:pt idx="50">
                    <c:v>Trichloroethene</c:v>
                  </c:pt>
                  <c:pt idx="51">
                    <c:v>Dibromo-chloromethane</c:v>
                  </c:pt>
                  <c:pt idx="52">
                    <c:v>1-2-Dibromoethane</c:v>
                  </c:pt>
                  <c:pt idx="53">
                    <c:v>Tetrachloroethene</c:v>
                  </c:pt>
                  <c:pt idx="54">
                    <c:v>Chlorobenzene</c:v>
                  </c:pt>
                  <c:pt idx="55">
                    <c:v>Benzylchloride</c:v>
                  </c:pt>
                  <c:pt idx="56">
                    <c:v>1-3-dichlorobenzene</c:v>
                  </c:pt>
                  <c:pt idx="57">
                    <c:v>1-4-dichlorobenzene</c:v>
                  </c:pt>
                  <c:pt idx="58">
                    <c:v>1-2-dichlorobenzene</c:v>
                  </c:pt>
                </c:lvl>
                <c:lvl>
                  <c:pt idx="0">
                    <c:v>Alkanes</c:v>
                  </c:pt>
                  <c:pt idx="12">
                    <c:v>Aromatic compounds</c:v>
                  </c:pt>
                  <c:pt idx="28">
                    <c:v>OVOCs</c:v>
                  </c:pt>
                  <c:pt idx="40">
                    <c:v>Halogenated compounds</c:v>
                  </c:pt>
                </c:lvl>
              </c:multiLvlStrCache>
            </c:multiLvlStrRef>
          </c:cat>
          <c:val>
            <c:numRef>
              <c:f>'Feuil8 (3)'!$C$2:$C$60</c:f>
              <c:numCache>
                <c:formatCode>General</c:formatCode>
                <c:ptCount val="59"/>
                <c:pt idx="0">
                  <c:v>1.82</c:v>
                </c:pt>
                <c:pt idx="1">
                  <c:v>100</c:v>
                </c:pt>
                <c:pt idx="2">
                  <c:v>3.16</c:v>
                </c:pt>
                <c:pt idx="3">
                  <c:v>2.54</c:v>
                </c:pt>
                <c:pt idx="4">
                  <c:v>1.64</c:v>
                </c:pt>
                <c:pt idx="5">
                  <c:v>5.49</c:v>
                </c:pt>
                <c:pt idx="6">
                  <c:v>0.78</c:v>
                </c:pt>
                <c:pt idx="7">
                  <c:v>2.0299999999999998</c:v>
                </c:pt>
                <c:pt idx="8">
                  <c:v>3.24</c:v>
                </c:pt>
                <c:pt idx="9">
                  <c:v>2.5099999999999998</c:v>
                </c:pt>
                <c:pt idx="10">
                  <c:v>4.08</c:v>
                </c:pt>
                <c:pt idx="11">
                  <c:v>5.36</c:v>
                </c:pt>
                <c:pt idx="12">
                  <c:v>1.88</c:v>
                </c:pt>
                <c:pt idx="13">
                  <c:v>0.62</c:v>
                </c:pt>
                <c:pt idx="14">
                  <c:v>2.37</c:v>
                </c:pt>
                <c:pt idx="15">
                  <c:v>4.09</c:v>
                </c:pt>
                <c:pt idx="16">
                  <c:v>3.32</c:v>
                </c:pt>
                <c:pt idx="17">
                  <c:v>2.69</c:v>
                </c:pt>
                <c:pt idx="18">
                  <c:v>4.32</c:v>
                </c:pt>
                <c:pt idx="19">
                  <c:v>4.07</c:v>
                </c:pt>
                <c:pt idx="20">
                  <c:v>5.05</c:v>
                </c:pt>
                <c:pt idx="21">
                  <c:v>8.44</c:v>
                </c:pt>
                <c:pt idx="22">
                  <c:v>7.49</c:v>
                </c:pt>
                <c:pt idx="23">
                  <c:v>2.46</c:v>
                </c:pt>
                <c:pt idx="24">
                  <c:v>5.25</c:v>
                </c:pt>
                <c:pt idx="25">
                  <c:v>11.76</c:v>
                </c:pt>
                <c:pt idx="26">
                  <c:v>6.62</c:v>
                </c:pt>
                <c:pt idx="27">
                  <c:v>7.12</c:v>
                </c:pt>
                <c:pt idx="28">
                  <c:v>2.62</c:v>
                </c:pt>
                <c:pt idx="29">
                  <c:v>8.27</c:v>
                </c:pt>
                <c:pt idx="30">
                  <c:v>13.6</c:v>
                </c:pt>
                <c:pt idx="31">
                  <c:v>100</c:v>
                </c:pt>
                <c:pt idx="32">
                  <c:v>100</c:v>
                </c:pt>
                <c:pt idx="33">
                  <c:v>14.2</c:v>
                </c:pt>
                <c:pt idx="34">
                  <c:v>100</c:v>
                </c:pt>
                <c:pt idx="35" formatCode="0.00">
                  <c:v>3</c:v>
                </c:pt>
                <c:pt idx="36">
                  <c:v>27.3</c:v>
                </c:pt>
                <c:pt idx="37">
                  <c:v>15.3</c:v>
                </c:pt>
                <c:pt idx="38">
                  <c:v>7.36</c:v>
                </c:pt>
                <c:pt idx="39">
                  <c:v>18.2</c:v>
                </c:pt>
                <c:pt idx="40">
                  <c:v>10.9</c:v>
                </c:pt>
                <c:pt idx="41">
                  <c:v>6.47</c:v>
                </c:pt>
                <c:pt idx="42">
                  <c:v>100</c:v>
                </c:pt>
                <c:pt idx="43">
                  <c:v>0.53</c:v>
                </c:pt>
                <c:pt idx="44">
                  <c:v>100</c:v>
                </c:pt>
                <c:pt idx="45">
                  <c:v>3.41</c:v>
                </c:pt>
                <c:pt idx="46">
                  <c:v>5.04</c:v>
                </c:pt>
                <c:pt idx="47">
                  <c:v>23.5</c:v>
                </c:pt>
                <c:pt idx="48">
                  <c:v>2.04</c:v>
                </c:pt>
                <c:pt idx="49">
                  <c:v>100</c:v>
                </c:pt>
                <c:pt idx="50">
                  <c:v>100</c:v>
                </c:pt>
                <c:pt idx="51">
                  <c:v>100</c:v>
                </c:pt>
                <c:pt idx="52">
                  <c:v>5.97</c:v>
                </c:pt>
                <c:pt idx="53">
                  <c:v>7.56</c:v>
                </c:pt>
                <c:pt idx="54">
                  <c:v>2.5099999999999998</c:v>
                </c:pt>
                <c:pt idx="55">
                  <c:v>100</c:v>
                </c:pt>
                <c:pt idx="56">
                  <c:v>2.14</c:v>
                </c:pt>
                <c:pt idx="57">
                  <c:v>3.04</c:v>
                </c:pt>
                <c:pt idx="58">
                  <c:v>3.48</c:v>
                </c:pt>
              </c:numCache>
            </c:numRef>
          </c:val>
          <c:smooth val="0"/>
          <c:extLst>
            <c:ext xmlns:c16="http://schemas.microsoft.com/office/drawing/2014/chart" uri="{C3380CC4-5D6E-409C-BE32-E72D297353CC}">
              <c16:uniqueId val="{00000000-779A-488E-967F-2178D10C2E35}"/>
            </c:ext>
          </c:extLst>
        </c:ser>
        <c:ser>
          <c:idx val="1"/>
          <c:order val="1"/>
          <c:tx>
            <c:strRef>
              <c:f>'Feuil8 (3)'!$D$1</c:f>
              <c:strCache>
                <c:ptCount val="1"/>
                <c:pt idx="0">
                  <c:v>MS</c:v>
                </c:pt>
              </c:strCache>
            </c:strRef>
          </c:tx>
          <c:spPr>
            <a:ln w="25400" cap="rnd">
              <a:solidFill>
                <a:schemeClr val="accent6"/>
              </a:solidFill>
              <a:prstDash val="sysDot"/>
              <a:round/>
            </a:ln>
            <a:effectLst/>
          </c:spPr>
          <c:marker>
            <c:symbol val="none"/>
          </c:marker>
          <c:cat>
            <c:multiLvlStrRef>
              <c:f>'Feuil8 (3)'!$A$2:$B$60</c:f>
              <c:multiLvlStrCache>
                <c:ptCount val="59"/>
                <c:lvl>
                  <c:pt idx="0">
                    <c:v>Cyclohexane</c:v>
                  </c:pt>
                  <c:pt idx="1">
                    <c:v>2-Methyl-hexane</c:v>
                  </c:pt>
                  <c:pt idx="2">
                    <c:v>3-Methyl-hexane</c:v>
                  </c:pt>
                  <c:pt idx="3">
                    <c:v>224-Trimethyl-pentane</c:v>
                  </c:pt>
                  <c:pt idx="4">
                    <c:v>N-heptane</c:v>
                  </c:pt>
                  <c:pt idx="5">
                    <c:v>Methyl-cyclohexane</c:v>
                  </c:pt>
                  <c:pt idx="6">
                    <c:v>234-Trimethyl-pentane</c:v>
                  </c:pt>
                  <c:pt idx="7">
                    <c:v>2-Methyl-heptane</c:v>
                  </c:pt>
                  <c:pt idx="8">
                    <c:v>3-Methyl-heptane</c:v>
                  </c:pt>
                  <c:pt idx="9">
                    <c:v>N-octane</c:v>
                  </c:pt>
                  <c:pt idx="10">
                    <c:v>N-nonane</c:v>
                  </c:pt>
                  <c:pt idx="11">
                    <c:v>N-decane</c:v>
                  </c:pt>
                  <c:pt idx="12">
                    <c:v>Benzene</c:v>
                  </c:pt>
                  <c:pt idx="13">
                    <c:v>Toluene</c:v>
                  </c:pt>
                  <c:pt idx="14">
                    <c:v>Ethyl-benzene</c:v>
                  </c:pt>
                  <c:pt idx="15">
                    <c:v>m&amp;p-xylenes</c:v>
                  </c:pt>
                  <c:pt idx="16">
                    <c:v>Styrene</c:v>
                  </c:pt>
                  <c:pt idx="17">
                    <c:v>o-xylene</c:v>
                  </c:pt>
                  <c:pt idx="18">
                    <c:v>i-propylbenzene</c:v>
                  </c:pt>
                  <c:pt idx="19">
                    <c:v>n-propylbenzene</c:v>
                  </c:pt>
                  <c:pt idx="20">
                    <c:v>m-ethyltoluene</c:v>
                  </c:pt>
                  <c:pt idx="21">
                    <c:v>p-ethyltoluene</c:v>
                  </c:pt>
                  <c:pt idx="22">
                    <c:v>135-Trimethylbenzene</c:v>
                  </c:pt>
                  <c:pt idx="23">
                    <c:v>o-ethyltoluene</c:v>
                  </c:pt>
                  <c:pt idx="24">
                    <c:v>124-Trimethylbenzene</c:v>
                  </c:pt>
                  <c:pt idx="25">
                    <c:v>123-Trimethylbenzene</c:v>
                  </c:pt>
                  <c:pt idx="26">
                    <c:v>m-diethylbenzene</c:v>
                  </c:pt>
                  <c:pt idx="27">
                    <c:v>p-diethylbenzene</c:v>
                  </c:pt>
                  <c:pt idx="28">
                    <c:v>Acrolein</c:v>
                  </c:pt>
                  <c:pt idx="29">
                    <c:v>Acetone</c:v>
                  </c:pt>
                  <c:pt idx="30">
                    <c:v>Isopropyl alcohol</c:v>
                  </c:pt>
                  <c:pt idx="31">
                    <c:v>Methyl tert-butyl ether</c:v>
                  </c:pt>
                  <c:pt idx="32">
                    <c:v>Vinyl acetate</c:v>
                  </c:pt>
                  <c:pt idx="33">
                    <c:v>Methyl ethyl ketone</c:v>
                  </c:pt>
                  <c:pt idx="34">
                    <c:v>Ethyl acetate</c:v>
                  </c:pt>
                  <c:pt idx="35">
                    <c:v>THF</c:v>
                  </c:pt>
                  <c:pt idx="36">
                    <c:v>1,4-Dioxane</c:v>
                  </c:pt>
                  <c:pt idx="37">
                    <c:v>Methyl methacrylate</c:v>
                  </c:pt>
                  <c:pt idx="38">
                    <c:v>Methyl isobutyl ketone</c:v>
                  </c:pt>
                  <c:pt idx="39">
                    <c:v>Methyl butyl ketone</c:v>
                  </c:pt>
                  <c:pt idx="40">
                    <c:v>Chloroethane</c:v>
                  </c:pt>
                  <c:pt idx="41">
                    <c:v>Dichloromethane</c:v>
                  </c:pt>
                  <c:pt idx="42">
                    <c:v>1-1-Dichloroethane</c:v>
                  </c:pt>
                  <c:pt idx="43">
                    <c:v>C-1-2-Dichloroethene</c:v>
                  </c:pt>
                  <c:pt idx="44">
                    <c:v>Chloroforme</c:v>
                  </c:pt>
                  <c:pt idx="45">
                    <c:v>1-2-Dichloroethane</c:v>
                  </c:pt>
                  <c:pt idx="46">
                    <c:v>111-Trichloroethane</c:v>
                  </c:pt>
                  <c:pt idx="47">
                    <c:v>CCl4</c:v>
                  </c:pt>
                  <c:pt idx="48">
                    <c:v>1-2-dichloropropane</c:v>
                  </c:pt>
                  <c:pt idx="49">
                    <c:v>Bromo-dichloromethane</c:v>
                  </c:pt>
                  <c:pt idx="50">
                    <c:v>Trichloroethene</c:v>
                  </c:pt>
                  <c:pt idx="51">
                    <c:v>Dibromo-chloromethane</c:v>
                  </c:pt>
                  <c:pt idx="52">
                    <c:v>1-2-Dibromoethane</c:v>
                  </c:pt>
                  <c:pt idx="53">
                    <c:v>Tetrachloroethene</c:v>
                  </c:pt>
                  <c:pt idx="54">
                    <c:v>Chlorobenzene</c:v>
                  </c:pt>
                  <c:pt idx="55">
                    <c:v>Benzylchloride</c:v>
                  </c:pt>
                  <c:pt idx="56">
                    <c:v>1-3-dichlorobenzene</c:v>
                  </c:pt>
                  <c:pt idx="57">
                    <c:v>1-4-dichlorobenzene</c:v>
                  </c:pt>
                  <c:pt idx="58">
                    <c:v>1-2-dichlorobenzene</c:v>
                  </c:pt>
                </c:lvl>
                <c:lvl>
                  <c:pt idx="0">
                    <c:v>Alkanes</c:v>
                  </c:pt>
                  <c:pt idx="12">
                    <c:v>Aromatic compounds</c:v>
                  </c:pt>
                  <c:pt idx="28">
                    <c:v>OVOCs</c:v>
                  </c:pt>
                  <c:pt idx="40">
                    <c:v>Halogenated compounds</c:v>
                  </c:pt>
                </c:lvl>
              </c:multiLvlStrCache>
            </c:multiLvlStrRef>
          </c:cat>
          <c:val>
            <c:numRef>
              <c:f>'Feuil8 (3)'!$D$2:$D$60</c:f>
              <c:numCache>
                <c:formatCode>0.00</c:formatCode>
                <c:ptCount val="59"/>
                <c:pt idx="0">
                  <c:v>1.75</c:v>
                </c:pt>
                <c:pt idx="1">
                  <c:v>1.38</c:v>
                </c:pt>
                <c:pt idx="2">
                  <c:v>0.24</c:v>
                </c:pt>
                <c:pt idx="3">
                  <c:v>9.89</c:v>
                </c:pt>
                <c:pt idx="4">
                  <c:v>9.51</c:v>
                </c:pt>
                <c:pt idx="5">
                  <c:v>4.3099999999999996</c:v>
                </c:pt>
                <c:pt idx="6">
                  <c:v>9.9</c:v>
                </c:pt>
                <c:pt idx="7">
                  <c:v>4.46</c:v>
                </c:pt>
                <c:pt idx="8">
                  <c:v>5.25</c:v>
                </c:pt>
                <c:pt idx="9">
                  <c:v>1.96</c:v>
                </c:pt>
                <c:pt idx="10">
                  <c:v>3.21</c:v>
                </c:pt>
                <c:pt idx="11">
                  <c:v>1.8</c:v>
                </c:pt>
                <c:pt idx="12">
                  <c:v>4.7</c:v>
                </c:pt>
                <c:pt idx="13" formatCode="General">
                  <c:v>1.23</c:v>
                </c:pt>
                <c:pt idx="14" formatCode="General">
                  <c:v>0.33</c:v>
                </c:pt>
                <c:pt idx="15" formatCode="General">
                  <c:v>6.75</c:v>
                </c:pt>
                <c:pt idx="16" formatCode="General">
                  <c:v>1.81</c:v>
                </c:pt>
                <c:pt idx="17" formatCode="General">
                  <c:v>1.54</c:v>
                </c:pt>
                <c:pt idx="18" formatCode="General">
                  <c:v>3.39</c:v>
                </c:pt>
                <c:pt idx="19" formatCode="General">
                  <c:v>0.52</c:v>
                </c:pt>
                <c:pt idx="20" formatCode="General">
                  <c:v>7.0000000000000007E-2</c:v>
                </c:pt>
                <c:pt idx="21" formatCode="General">
                  <c:v>2.2200000000000002</c:v>
                </c:pt>
                <c:pt idx="22" formatCode="General">
                  <c:v>8.09</c:v>
                </c:pt>
                <c:pt idx="23" formatCode="General">
                  <c:v>4.04</c:v>
                </c:pt>
                <c:pt idx="24" formatCode="General">
                  <c:v>8.82</c:v>
                </c:pt>
                <c:pt idx="25" formatCode="General">
                  <c:v>5.14</c:v>
                </c:pt>
                <c:pt idx="26" formatCode="General">
                  <c:v>0.36</c:v>
                </c:pt>
                <c:pt idx="27" formatCode="General">
                  <c:v>1.41</c:v>
                </c:pt>
                <c:pt idx="28" formatCode="General">
                  <c:v>1.67</c:v>
                </c:pt>
                <c:pt idx="29" formatCode="General">
                  <c:v>2.2200000000000002</c:v>
                </c:pt>
                <c:pt idx="30" formatCode="General">
                  <c:v>7.87</c:v>
                </c:pt>
                <c:pt idx="31" formatCode="General">
                  <c:v>2.09</c:v>
                </c:pt>
                <c:pt idx="32" formatCode="General">
                  <c:v>0.73</c:v>
                </c:pt>
                <c:pt idx="33" formatCode="General">
                  <c:v>19.8</c:v>
                </c:pt>
                <c:pt idx="34" formatCode="General">
                  <c:v>21.4</c:v>
                </c:pt>
                <c:pt idx="35" formatCode="General">
                  <c:v>5.85</c:v>
                </c:pt>
                <c:pt idx="36" formatCode="General">
                  <c:v>14.9</c:v>
                </c:pt>
                <c:pt idx="37" formatCode="General">
                  <c:v>5.92</c:v>
                </c:pt>
                <c:pt idx="38" formatCode="General">
                  <c:v>2.34</c:v>
                </c:pt>
                <c:pt idx="39" formatCode="General">
                  <c:v>2.4700000000000002</c:v>
                </c:pt>
                <c:pt idx="40" formatCode="0.0">
                  <c:v>12</c:v>
                </c:pt>
                <c:pt idx="41" formatCode="General">
                  <c:v>4.28</c:v>
                </c:pt>
                <c:pt idx="42" formatCode="General">
                  <c:v>3.58</c:v>
                </c:pt>
                <c:pt idx="43" formatCode="General">
                  <c:v>1.64</c:v>
                </c:pt>
                <c:pt idx="44" formatCode="General">
                  <c:v>4.01</c:v>
                </c:pt>
                <c:pt idx="45" formatCode="General">
                  <c:v>4.6100000000000003</c:v>
                </c:pt>
                <c:pt idx="46" formatCode="General">
                  <c:v>8.52</c:v>
                </c:pt>
                <c:pt idx="47" formatCode="General">
                  <c:v>4.42</c:v>
                </c:pt>
                <c:pt idx="48" formatCode="General">
                  <c:v>6.97</c:v>
                </c:pt>
                <c:pt idx="49" formatCode="General">
                  <c:v>8.9499999999999993</c:v>
                </c:pt>
                <c:pt idx="50" formatCode="General">
                  <c:v>1.31</c:v>
                </c:pt>
                <c:pt idx="51" formatCode="General">
                  <c:v>4.25</c:v>
                </c:pt>
                <c:pt idx="52" formatCode="General">
                  <c:v>18.600000000000001</c:v>
                </c:pt>
                <c:pt idx="53" formatCode="General">
                  <c:v>8.36</c:v>
                </c:pt>
                <c:pt idx="54" formatCode="General">
                  <c:v>0.01</c:v>
                </c:pt>
                <c:pt idx="55" formatCode="General">
                  <c:v>8.86</c:v>
                </c:pt>
                <c:pt idx="56" formatCode="General">
                  <c:v>5.69</c:v>
                </c:pt>
                <c:pt idx="57" formatCode="General">
                  <c:v>3.04</c:v>
                </c:pt>
                <c:pt idx="58" formatCode="General">
                  <c:v>6.55</c:v>
                </c:pt>
              </c:numCache>
            </c:numRef>
          </c:val>
          <c:smooth val="0"/>
          <c:extLst>
            <c:ext xmlns:c16="http://schemas.microsoft.com/office/drawing/2014/chart" uri="{C3380CC4-5D6E-409C-BE32-E72D297353CC}">
              <c16:uniqueId val="{00000001-779A-488E-967F-2178D10C2E35}"/>
            </c:ext>
          </c:extLst>
        </c:ser>
        <c:ser>
          <c:idx val="2"/>
          <c:order val="2"/>
          <c:tx>
            <c:strRef>
              <c:f>'Feuil8 (3)'!$E$1</c:f>
              <c:strCache>
                <c:ptCount val="1"/>
                <c:pt idx="0">
                  <c:v>Validated data</c:v>
                </c:pt>
              </c:strCache>
            </c:strRef>
          </c:tx>
          <c:spPr>
            <a:ln w="25400" cap="rnd">
              <a:solidFill>
                <a:srgbClr val="C00000"/>
              </a:solidFill>
              <a:round/>
            </a:ln>
            <a:effectLst/>
          </c:spPr>
          <c:marker>
            <c:symbol val="none"/>
          </c:marker>
          <c:cat>
            <c:multiLvlStrRef>
              <c:f>'Feuil8 (3)'!$A$2:$B$60</c:f>
              <c:multiLvlStrCache>
                <c:ptCount val="59"/>
                <c:lvl>
                  <c:pt idx="0">
                    <c:v>Cyclohexane</c:v>
                  </c:pt>
                  <c:pt idx="1">
                    <c:v>2-Methyl-hexane</c:v>
                  </c:pt>
                  <c:pt idx="2">
                    <c:v>3-Methyl-hexane</c:v>
                  </c:pt>
                  <c:pt idx="3">
                    <c:v>224-Trimethyl-pentane</c:v>
                  </c:pt>
                  <c:pt idx="4">
                    <c:v>N-heptane</c:v>
                  </c:pt>
                  <c:pt idx="5">
                    <c:v>Methyl-cyclohexane</c:v>
                  </c:pt>
                  <c:pt idx="6">
                    <c:v>234-Trimethyl-pentane</c:v>
                  </c:pt>
                  <c:pt idx="7">
                    <c:v>2-Methyl-heptane</c:v>
                  </c:pt>
                  <c:pt idx="8">
                    <c:v>3-Methyl-heptane</c:v>
                  </c:pt>
                  <c:pt idx="9">
                    <c:v>N-octane</c:v>
                  </c:pt>
                  <c:pt idx="10">
                    <c:v>N-nonane</c:v>
                  </c:pt>
                  <c:pt idx="11">
                    <c:v>N-decane</c:v>
                  </c:pt>
                  <c:pt idx="12">
                    <c:v>Benzene</c:v>
                  </c:pt>
                  <c:pt idx="13">
                    <c:v>Toluene</c:v>
                  </c:pt>
                  <c:pt idx="14">
                    <c:v>Ethyl-benzene</c:v>
                  </c:pt>
                  <c:pt idx="15">
                    <c:v>m&amp;p-xylenes</c:v>
                  </c:pt>
                  <c:pt idx="16">
                    <c:v>Styrene</c:v>
                  </c:pt>
                  <c:pt idx="17">
                    <c:v>o-xylene</c:v>
                  </c:pt>
                  <c:pt idx="18">
                    <c:v>i-propylbenzene</c:v>
                  </c:pt>
                  <c:pt idx="19">
                    <c:v>n-propylbenzene</c:v>
                  </c:pt>
                  <c:pt idx="20">
                    <c:v>m-ethyltoluene</c:v>
                  </c:pt>
                  <c:pt idx="21">
                    <c:v>p-ethyltoluene</c:v>
                  </c:pt>
                  <c:pt idx="22">
                    <c:v>135-Trimethylbenzene</c:v>
                  </c:pt>
                  <c:pt idx="23">
                    <c:v>o-ethyltoluene</c:v>
                  </c:pt>
                  <c:pt idx="24">
                    <c:v>124-Trimethylbenzene</c:v>
                  </c:pt>
                  <c:pt idx="25">
                    <c:v>123-Trimethylbenzene</c:v>
                  </c:pt>
                  <c:pt idx="26">
                    <c:v>m-diethylbenzene</c:v>
                  </c:pt>
                  <c:pt idx="27">
                    <c:v>p-diethylbenzene</c:v>
                  </c:pt>
                  <c:pt idx="28">
                    <c:v>Acrolein</c:v>
                  </c:pt>
                  <c:pt idx="29">
                    <c:v>Acetone</c:v>
                  </c:pt>
                  <c:pt idx="30">
                    <c:v>Isopropyl alcohol</c:v>
                  </c:pt>
                  <c:pt idx="31">
                    <c:v>Methyl tert-butyl ether</c:v>
                  </c:pt>
                  <c:pt idx="32">
                    <c:v>Vinyl acetate</c:v>
                  </c:pt>
                  <c:pt idx="33">
                    <c:v>Methyl ethyl ketone</c:v>
                  </c:pt>
                  <c:pt idx="34">
                    <c:v>Ethyl acetate</c:v>
                  </c:pt>
                  <c:pt idx="35">
                    <c:v>THF</c:v>
                  </c:pt>
                  <c:pt idx="36">
                    <c:v>1,4-Dioxane</c:v>
                  </c:pt>
                  <c:pt idx="37">
                    <c:v>Methyl methacrylate</c:v>
                  </c:pt>
                  <c:pt idx="38">
                    <c:v>Methyl isobutyl ketone</c:v>
                  </c:pt>
                  <c:pt idx="39">
                    <c:v>Methyl butyl ketone</c:v>
                  </c:pt>
                  <c:pt idx="40">
                    <c:v>Chloroethane</c:v>
                  </c:pt>
                  <c:pt idx="41">
                    <c:v>Dichloromethane</c:v>
                  </c:pt>
                  <c:pt idx="42">
                    <c:v>1-1-Dichloroethane</c:v>
                  </c:pt>
                  <c:pt idx="43">
                    <c:v>C-1-2-Dichloroethene</c:v>
                  </c:pt>
                  <c:pt idx="44">
                    <c:v>Chloroforme</c:v>
                  </c:pt>
                  <c:pt idx="45">
                    <c:v>1-2-Dichloroethane</c:v>
                  </c:pt>
                  <c:pt idx="46">
                    <c:v>111-Trichloroethane</c:v>
                  </c:pt>
                  <c:pt idx="47">
                    <c:v>CCl4</c:v>
                  </c:pt>
                  <c:pt idx="48">
                    <c:v>1-2-dichloropropane</c:v>
                  </c:pt>
                  <c:pt idx="49">
                    <c:v>Bromo-dichloromethane</c:v>
                  </c:pt>
                  <c:pt idx="50">
                    <c:v>Trichloroethene</c:v>
                  </c:pt>
                  <c:pt idx="51">
                    <c:v>Dibromo-chloromethane</c:v>
                  </c:pt>
                  <c:pt idx="52">
                    <c:v>1-2-Dibromoethane</c:v>
                  </c:pt>
                  <c:pt idx="53">
                    <c:v>Tetrachloroethene</c:v>
                  </c:pt>
                  <c:pt idx="54">
                    <c:v>Chlorobenzene</c:v>
                  </c:pt>
                  <c:pt idx="55">
                    <c:v>Benzylchloride</c:v>
                  </c:pt>
                  <c:pt idx="56">
                    <c:v>1-3-dichlorobenzene</c:v>
                  </c:pt>
                  <c:pt idx="57">
                    <c:v>1-4-dichlorobenzene</c:v>
                  </c:pt>
                  <c:pt idx="58">
                    <c:v>1-2-dichlorobenzene</c:v>
                  </c:pt>
                </c:lvl>
                <c:lvl>
                  <c:pt idx="0">
                    <c:v>Alkanes</c:v>
                  </c:pt>
                  <c:pt idx="12">
                    <c:v>Aromatic compounds</c:v>
                  </c:pt>
                  <c:pt idx="28">
                    <c:v>OVOCs</c:v>
                  </c:pt>
                  <c:pt idx="40">
                    <c:v>Halogenated compounds</c:v>
                  </c:pt>
                </c:lvl>
              </c:multiLvlStrCache>
            </c:multiLvlStrRef>
          </c:cat>
          <c:val>
            <c:numRef>
              <c:f>'Feuil8 (3)'!$E$2:$E$60</c:f>
              <c:numCache>
                <c:formatCode>General</c:formatCode>
                <c:ptCount val="59"/>
                <c:pt idx="0">
                  <c:v>1.82</c:v>
                </c:pt>
                <c:pt idx="1">
                  <c:v>1.38</c:v>
                </c:pt>
                <c:pt idx="2">
                  <c:v>3.16</c:v>
                </c:pt>
                <c:pt idx="3">
                  <c:v>2.54</c:v>
                </c:pt>
                <c:pt idx="4">
                  <c:v>1.64</c:v>
                </c:pt>
                <c:pt idx="5">
                  <c:v>5.49</c:v>
                </c:pt>
                <c:pt idx="6">
                  <c:v>0.78</c:v>
                </c:pt>
                <c:pt idx="7">
                  <c:v>4.46</c:v>
                </c:pt>
                <c:pt idx="8">
                  <c:v>5.25</c:v>
                </c:pt>
                <c:pt idx="9">
                  <c:v>2.5099999999999998</c:v>
                </c:pt>
                <c:pt idx="10">
                  <c:v>4.08</c:v>
                </c:pt>
                <c:pt idx="11">
                  <c:v>1.8</c:v>
                </c:pt>
                <c:pt idx="12">
                  <c:v>1.88</c:v>
                </c:pt>
                <c:pt idx="13">
                  <c:v>0.62</c:v>
                </c:pt>
                <c:pt idx="14">
                  <c:v>2.37</c:v>
                </c:pt>
                <c:pt idx="15">
                  <c:v>6.75</c:v>
                </c:pt>
                <c:pt idx="16">
                  <c:v>3.32</c:v>
                </c:pt>
                <c:pt idx="17">
                  <c:v>1.54</c:v>
                </c:pt>
                <c:pt idx="18">
                  <c:v>4.32</c:v>
                </c:pt>
                <c:pt idx="19">
                  <c:v>4.07</c:v>
                </c:pt>
                <c:pt idx="20">
                  <c:v>7.0000000000000007E-2</c:v>
                </c:pt>
                <c:pt idx="21">
                  <c:v>2.2200000000000002</c:v>
                </c:pt>
                <c:pt idx="22">
                  <c:v>8.09</c:v>
                </c:pt>
                <c:pt idx="23">
                  <c:v>4.04</c:v>
                </c:pt>
                <c:pt idx="24">
                  <c:v>8.82</c:v>
                </c:pt>
                <c:pt idx="25">
                  <c:v>5.14</c:v>
                </c:pt>
                <c:pt idx="26">
                  <c:v>0.36</c:v>
                </c:pt>
                <c:pt idx="27">
                  <c:v>1.41</c:v>
                </c:pt>
                <c:pt idx="28">
                  <c:v>1.67</c:v>
                </c:pt>
                <c:pt idx="29">
                  <c:v>2.2200000000000002</c:v>
                </c:pt>
                <c:pt idx="30">
                  <c:v>7.87</c:v>
                </c:pt>
                <c:pt idx="31">
                  <c:v>2.09</c:v>
                </c:pt>
                <c:pt idx="32">
                  <c:v>0.73</c:v>
                </c:pt>
                <c:pt idx="33">
                  <c:v>19.8</c:v>
                </c:pt>
                <c:pt idx="34">
                  <c:v>21.4</c:v>
                </c:pt>
                <c:pt idx="35">
                  <c:v>3</c:v>
                </c:pt>
                <c:pt idx="36">
                  <c:v>14.9</c:v>
                </c:pt>
                <c:pt idx="37">
                  <c:v>5.92</c:v>
                </c:pt>
                <c:pt idx="38">
                  <c:v>2.34</c:v>
                </c:pt>
                <c:pt idx="39">
                  <c:v>2.4700000000000002</c:v>
                </c:pt>
                <c:pt idx="40">
                  <c:v>12</c:v>
                </c:pt>
                <c:pt idx="41">
                  <c:v>4.28</c:v>
                </c:pt>
                <c:pt idx="42">
                  <c:v>3.58</c:v>
                </c:pt>
                <c:pt idx="43">
                  <c:v>1.64</c:v>
                </c:pt>
                <c:pt idx="44">
                  <c:v>4.01</c:v>
                </c:pt>
                <c:pt idx="45">
                  <c:v>4.6100000000000003</c:v>
                </c:pt>
                <c:pt idx="46">
                  <c:v>8.52</c:v>
                </c:pt>
                <c:pt idx="47">
                  <c:v>4.42</c:v>
                </c:pt>
                <c:pt idx="48">
                  <c:v>6.97</c:v>
                </c:pt>
                <c:pt idx="49">
                  <c:v>8.9499999999999993</c:v>
                </c:pt>
                <c:pt idx="50">
                  <c:v>1.31</c:v>
                </c:pt>
                <c:pt idx="51">
                  <c:v>4.25</c:v>
                </c:pt>
                <c:pt idx="52">
                  <c:v>5.97</c:v>
                </c:pt>
                <c:pt idx="53">
                  <c:v>8.36</c:v>
                </c:pt>
                <c:pt idx="54">
                  <c:v>2.5099999999999998</c:v>
                </c:pt>
                <c:pt idx="55">
                  <c:v>8.86</c:v>
                </c:pt>
                <c:pt idx="56">
                  <c:v>2.14</c:v>
                </c:pt>
                <c:pt idx="57">
                  <c:v>3.04</c:v>
                </c:pt>
                <c:pt idx="58">
                  <c:v>3.48</c:v>
                </c:pt>
              </c:numCache>
            </c:numRef>
          </c:val>
          <c:smooth val="0"/>
          <c:extLst>
            <c:ext xmlns:c16="http://schemas.microsoft.com/office/drawing/2014/chart" uri="{C3380CC4-5D6E-409C-BE32-E72D297353CC}">
              <c16:uniqueId val="{00000002-779A-488E-967F-2178D10C2E35}"/>
            </c:ext>
          </c:extLst>
        </c:ser>
        <c:dLbls>
          <c:showLegendKey val="0"/>
          <c:showVal val="0"/>
          <c:showCatName val="0"/>
          <c:showSerName val="0"/>
          <c:showPercent val="0"/>
          <c:showBubbleSize val="0"/>
        </c:dLbls>
        <c:smooth val="0"/>
        <c:axId val="614920704"/>
        <c:axId val="691652192"/>
      </c:lineChart>
      <c:catAx>
        <c:axId val="614920704"/>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crossAx val="691652192"/>
        <c:crosses val="autoZero"/>
        <c:auto val="1"/>
        <c:lblAlgn val="ctr"/>
        <c:lblOffset val="100"/>
        <c:tickLblSkip val="1"/>
        <c:noMultiLvlLbl val="0"/>
      </c:catAx>
      <c:valAx>
        <c:axId val="691652192"/>
        <c:scaling>
          <c:orientation val="minMax"/>
          <c:max val="100"/>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sz="800">
                    <a:latin typeface="Arial" panose="020B0604020202020204" pitchFamily="34" charset="0"/>
                    <a:cs typeface="Arial" panose="020B0604020202020204" pitchFamily="34" charset="0"/>
                  </a:rPr>
                  <a:t>Accuracy at 4 ppb (%RSD)</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crossAx val="614920704"/>
        <c:crosses val="autoZero"/>
        <c:crossBetween val="between"/>
      </c:valAx>
      <c:spPr>
        <a:noFill/>
        <a:ln>
          <a:solidFill>
            <a:schemeClr val="tx1"/>
          </a:solidFill>
        </a:ln>
        <a:effectLst/>
      </c:spPr>
    </c:plotArea>
    <c:legend>
      <c:legendPos val="b"/>
      <c:layout>
        <c:manualLayout>
          <c:xMode val="edge"/>
          <c:yMode val="edge"/>
          <c:x val="0.12418915052680025"/>
          <c:y val="5.348812793749623E-2"/>
          <c:w val="0.18469216728619584"/>
          <c:h val="0.2627704748964591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3085</Words>
  <Characters>16973</Characters>
  <Application>Microsoft Office Word</Application>
  <DocSecurity>0</DocSecurity>
  <Lines>141</Lines>
  <Paragraphs>40</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Fanny Bachelier</cp:lastModifiedBy>
  <cp:revision>53</cp:revision>
  <cp:lastPrinted>2015-05-12T18:31:00Z</cp:lastPrinted>
  <dcterms:created xsi:type="dcterms:W3CDTF">2022-04-07T06:58:00Z</dcterms:created>
  <dcterms:modified xsi:type="dcterms:W3CDTF">2022-04-15T11:57:00Z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