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ES" w:eastAsia="es-E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5570670"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323C5F">
              <w:rPr>
                <w:rFonts w:cs="Arial"/>
                <w:b/>
                <w:bCs/>
                <w:i/>
                <w:iCs/>
                <w:color w:val="000066"/>
                <w:sz w:val="22"/>
                <w:szCs w:val="22"/>
                <w:lang w:eastAsia="it-IT"/>
              </w:rPr>
              <w:t>5</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s-ES" w:eastAsia="es-E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EC8AE73"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323C5F">
              <w:rPr>
                <w:sz w:val="14"/>
                <w:szCs w:val="14"/>
                <w:lang w:val="it-IT"/>
              </w:rPr>
              <w:t>Selena Sironi, Laura Capelli</w:t>
            </w:r>
          </w:p>
          <w:p w14:paraId="1B0F1814" w14:textId="1C3DE831"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323C5F">
              <w:rPr>
                <w:rFonts w:ascii="Tahoma" w:hAnsi="Tahoma" w:cs="Tahoma"/>
                <w:sz w:val="14"/>
                <w:szCs w:val="14"/>
              </w:rPr>
              <w:t>4</w:t>
            </w:r>
            <w:r w:rsidR="00D46B7E">
              <w:rPr>
                <w:rFonts w:ascii="Tahoma" w:hAnsi="Tahoma" w:cs="Tahoma"/>
                <w:sz w:val="14"/>
                <w:szCs w:val="14"/>
              </w:rPr>
              <w:t>-</w:t>
            </w:r>
            <w:r w:rsidR="00323C5F">
              <w:rPr>
                <w:rFonts w:ascii="Tahoma" w:hAnsi="Tahoma" w:cs="Tahoma"/>
                <w:sz w:val="14"/>
                <w:szCs w:val="14"/>
              </w:rPr>
              <w:t>5</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75410C79" w:rsidR="00E978D0" w:rsidRPr="00B57B36" w:rsidRDefault="00486B22" w:rsidP="00E978D0">
      <w:pPr>
        <w:pStyle w:val="CETTitle"/>
      </w:pPr>
      <w:r>
        <w:t>Bioactive coating bioreactors for indoor air treatment</w:t>
      </w:r>
    </w:p>
    <w:p w14:paraId="0488FED2" w14:textId="54F60E1C" w:rsidR="00B57E6F" w:rsidRPr="00F90CA8" w:rsidRDefault="00486B22" w:rsidP="00B57E6F">
      <w:pPr>
        <w:pStyle w:val="CETAuthors"/>
        <w:rPr>
          <w:lang w:val="es-ES"/>
        </w:rPr>
      </w:pPr>
      <w:r w:rsidRPr="00486B22">
        <w:rPr>
          <w:lang w:val="es-ES"/>
        </w:rPr>
        <w:t>Javier González-Martín, Raúl Muñoz, Raquel Lebrero*.</w:t>
      </w:r>
    </w:p>
    <w:p w14:paraId="064D834B" w14:textId="3C3F84CB" w:rsidR="00486B22" w:rsidRPr="00A147A7" w:rsidRDefault="00486B22" w:rsidP="00A147A7">
      <w:pPr>
        <w:pStyle w:val="CETAddress"/>
      </w:pPr>
      <w:r w:rsidRPr="00A147A7">
        <w:t>Institute of Sustainable Processes, University of Valladolid, Dr. Mergelina s/n., Valladolid 47011, Spain</w:t>
      </w:r>
    </w:p>
    <w:p w14:paraId="6B2D21B3" w14:textId="11CD1726" w:rsidR="00B57E6F" w:rsidRDefault="00486B22" w:rsidP="00A147A7">
      <w:pPr>
        <w:pStyle w:val="CETAddress"/>
      </w:pPr>
      <w:r w:rsidRPr="00A147A7">
        <w:t>Department of Chemical Engineering and Environmental Technology, University of Valladolid, Dr. Mergelina 4 s/n., Valladolid 47011, Spain</w:t>
      </w:r>
    </w:p>
    <w:p w14:paraId="03FDC72E" w14:textId="33732A62" w:rsidR="00DA2328" w:rsidRPr="00FF3748" w:rsidRDefault="00DA2328" w:rsidP="00A147A7">
      <w:pPr>
        <w:pStyle w:val="CETAddress"/>
        <w:rPr>
          <w:lang w:val="en-US"/>
        </w:rPr>
      </w:pPr>
      <w:r w:rsidRPr="00FF3748">
        <w:rPr>
          <w:lang w:val="en-US"/>
        </w:rPr>
        <w:t>*raquel.lebrero@iq.uva.es</w:t>
      </w:r>
    </w:p>
    <w:p w14:paraId="7617B8E6" w14:textId="77777777" w:rsidR="00DA2328" w:rsidRPr="00FF3748" w:rsidRDefault="00DA2328" w:rsidP="00DA2328">
      <w:pPr>
        <w:pStyle w:val="CETBodytext"/>
      </w:pPr>
    </w:p>
    <w:p w14:paraId="12DFB84B" w14:textId="03C2219F" w:rsidR="006473E2" w:rsidRPr="006473E2" w:rsidRDefault="001D1A62" w:rsidP="007E2A63">
      <w:pPr>
        <w:pStyle w:val="CETBodytext"/>
      </w:pPr>
      <w:r>
        <w:t xml:space="preserve">In this work, bioactive </w:t>
      </w:r>
      <w:r w:rsidR="00A6397E">
        <w:t>coating-based</w:t>
      </w:r>
      <w:r>
        <w:t xml:space="preserve"> bioreactors have been applied to the treatment of </w:t>
      </w:r>
      <w:r w:rsidR="00A6397E">
        <w:t>three odorous indoor</w:t>
      </w:r>
      <w:r w:rsidR="00522A1E">
        <w:t xml:space="preserve"> air</w:t>
      </w:r>
      <w:r w:rsidR="00A6397E">
        <w:t xml:space="preserve"> pollutants (</w:t>
      </w:r>
      <w:r w:rsidR="000B7982">
        <w:t>i.e.,</w:t>
      </w:r>
      <w:r w:rsidR="00A6397E">
        <w:t xml:space="preserve"> toluene, </w:t>
      </w:r>
      <w:r w:rsidR="000F4BB9" w:rsidRPr="000F4BB9">
        <w:rPr>
          <w:rFonts w:cs="Arial"/>
          <w:color w:val="FF0000"/>
        </w:rPr>
        <w:t>α-pinene</w:t>
      </w:r>
      <w:r w:rsidR="00A6397E">
        <w:t xml:space="preserve">, </w:t>
      </w:r>
      <w:r w:rsidR="00A6397E" w:rsidRPr="00A95F41">
        <w:rPr>
          <w:color w:val="FF0000"/>
        </w:rPr>
        <w:t>n-hexane</w:t>
      </w:r>
      <w:r w:rsidR="00A6397E">
        <w:t xml:space="preserve">), which are volatile organic compounds (VOC) of different </w:t>
      </w:r>
      <w:r w:rsidR="0052697F">
        <w:t>hydrophobicities.</w:t>
      </w:r>
      <w:r w:rsidR="00A6397E">
        <w:t xml:space="preserve"> The </w:t>
      </w:r>
      <w:r w:rsidR="0052697F">
        <w:t xml:space="preserve">removal efficiency (RE) </w:t>
      </w:r>
      <w:r w:rsidR="00091225">
        <w:t xml:space="preserve">was evaluated </w:t>
      </w:r>
      <w:r w:rsidR="0052697F">
        <w:t>at different empty bed residence times (EBRT) and inlet concentrations</w:t>
      </w:r>
      <w:r w:rsidR="00091225">
        <w:t xml:space="preserve">. The </w:t>
      </w:r>
      <w:r w:rsidR="00A6397E">
        <w:t>setup consisted of three bioreactors</w:t>
      </w:r>
      <w:r w:rsidR="0052697F">
        <w:t xml:space="preserve"> (namely BR 1, BR 2 and BR 3)</w:t>
      </w:r>
      <w:r w:rsidR="00EE0C61">
        <w:t xml:space="preserve">, </w:t>
      </w:r>
      <w:r w:rsidR="00EE0C61" w:rsidRPr="00EE0C61">
        <w:t>packed with porous expanded clay</w:t>
      </w:r>
      <w:r w:rsidR="00091225">
        <w:t xml:space="preserve">. An enriched consortia of microorganisms was </w:t>
      </w:r>
      <w:r w:rsidR="00522A1E">
        <w:t>inoculated in</w:t>
      </w:r>
      <w:r w:rsidR="00091225">
        <w:t xml:space="preserve"> BR 1 and BR 2, while fresh activated sludge was used in BR 3. A styrene</w:t>
      </w:r>
      <w:r w:rsidR="005910B0">
        <w:t>-</w:t>
      </w:r>
      <w:r w:rsidR="00091225">
        <w:t xml:space="preserve">acrylate </w:t>
      </w:r>
      <w:r w:rsidR="005910B0">
        <w:t>co</w:t>
      </w:r>
      <w:r w:rsidR="00091225">
        <w:t xml:space="preserve">polymer was </w:t>
      </w:r>
      <w:r w:rsidR="00522A1E">
        <w:t xml:space="preserve">employed </w:t>
      </w:r>
      <w:r w:rsidR="00091225">
        <w:t>for bioactive coating formulations in BR</w:t>
      </w:r>
      <w:r w:rsidR="007E2A63">
        <w:t xml:space="preserve"> </w:t>
      </w:r>
      <w:r w:rsidR="00091225">
        <w:t>2 and BR 3</w:t>
      </w:r>
      <w:r w:rsidR="00522A1E">
        <w:t>, while</w:t>
      </w:r>
      <w:r w:rsidR="00091225">
        <w:t xml:space="preserve"> BR 1 performed as a conventional bioreactor.</w:t>
      </w:r>
    </w:p>
    <w:p w14:paraId="462DC50A" w14:textId="363EBA70" w:rsidR="006473E2" w:rsidRPr="006473E2" w:rsidRDefault="006473E2" w:rsidP="006473E2">
      <w:pPr>
        <w:tabs>
          <w:tab w:val="clear" w:pos="7100"/>
        </w:tabs>
        <w:spacing w:line="276" w:lineRule="auto"/>
        <w:rPr>
          <w:lang w:val="en-US"/>
        </w:rPr>
      </w:pPr>
      <w:r w:rsidRPr="006473E2">
        <w:rPr>
          <w:lang w:val="en-US"/>
        </w:rPr>
        <w:t xml:space="preserve">BR 1 and BR 2 achieved REs over 90 % for toluene and </w:t>
      </w:r>
      <w:r w:rsidR="000F4BB9" w:rsidRPr="000F4BB9">
        <w:rPr>
          <w:color w:val="FF0000"/>
          <w:lang w:val="en-US"/>
        </w:rPr>
        <w:t>α-pinene</w:t>
      </w:r>
      <w:r w:rsidRPr="006473E2">
        <w:rPr>
          <w:lang w:val="en-US"/>
        </w:rPr>
        <w:t xml:space="preserve"> </w:t>
      </w:r>
      <w:r w:rsidR="00522A1E">
        <w:rPr>
          <w:lang w:val="en-US"/>
        </w:rPr>
        <w:t>at</w:t>
      </w:r>
      <w:r w:rsidRPr="006473E2">
        <w:rPr>
          <w:lang w:val="en-US"/>
        </w:rPr>
        <w:t xml:space="preserve"> </w:t>
      </w:r>
      <w:r w:rsidR="00522A1E">
        <w:rPr>
          <w:lang w:val="en-US"/>
        </w:rPr>
        <w:t xml:space="preserve">an </w:t>
      </w:r>
      <w:r w:rsidRPr="006473E2">
        <w:rPr>
          <w:lang w:val="en-US"/>
        </w:rPr>
        <w:t>EBRT</w:t>
      </w:r>
      <w:r w:rsidR="00522A1E">
        <w:rPr>
          <w:lang w:val="en-US"/>
        </w:rPr>
        <w:t xml:space="preserve"> as low as 30 s</w:t>
      </w:r>
      <w:r w:rsidRPr="006473E2">
        <w:rPr>
          <w:lang w:val="en-US"/>
        </w:rPr>
        <w:t xml:space="preserve">. </w:t>
      </w:r>
      <w:r w:rsidR="00522A1E">
        <w:rPr>
          <w:lang w:val="en-US"/>
        </w:rPr>
        <w:t xml:space="preserve">On the contrary, </w:t>
      </w:r>
      <w:r w:rsidRPr="006473E2">
        <w:rPr>
          <w:lang w:val="en-US"/>
        </w:rPr>
        <w:t xml:space="preserve">BR 3 only achieved REs &gt;90 % </w:t>
      </w:r>
      <w:r w:rsidR="00522A1E">
        <w:rPr>
          <w:lang w:val="en-US"/>
        </w:rPr>
        <w:t>when operated at an</w:t>
      </w:r>
      <w:r w:rsidRPr="006473E2">
        <w:rPr>
          <w:lang w:val="en-US"/>
        </w:rPr>
        <w:t xml:space="preserve"> EBRT of 60 s</w:t>
      </w:r>
      <w:r w:rsidR="00522A1E">
        <w:rPr>
          <w:lang w:val="en-US"/>
        </w:rPr>
        <w:t xml:space="preserve">, </w:t>
      </w:r>
      <w:r w:rsidRPr="006473E2">
        <w:rPr>
          <w:lang w:val="en-US"/>
        </w:rPr>
        <w:t xml:space="preserve">toluene and </w:t>
      </w:r>
      <w:r w:rsidR="000F4BB9" w:rsidRPr="000F4BB9">
        <w:rPr>
          <w:color w:val="FF0000"/>
          <w:lang w:val="en-US"/>
        </w:rPr>
        <w:t>α-pinene</w:t>
      </w:r>
      <w:r w:rsidR="00522A1E">
        <w:rPr>
          <w:lang w:val="en-US"/>
        </w:rPr>
        <w:t xml:space="preserve"> removals</w:t>
      </w:r>
      <w:r w:rsidRPr="006473E2">
        <w:rPr>
          <w:lang w:val="en-US"/>
        </w:rPr>
        <w:t xml:space="preserve"> decreas</w:t>
      </w:r>
      <w:r w:rsidR="00522A1E">
        <w:rPr>
          <w:lang w:val="en-US"/>
        </w:rPr>
        <w:t>ing</w:t>
      </w:r>
      <w:r w:rsidRPr="006473E2">
        <w:rPr>
          <w:lang w:val="en-US"/>
        </w:rPr>
        <w:t xml:space="preserve"> to 67.0 % and 49.8 % at 30 s</w:t>
      </w:r>
      <w:r w:rsidR="002D6488">
        <w:rPr>
          <w:lang w:val="en-US"/>
        </w:rPr>
        <w:t>, respectively</w:t>
      </w:r>
      <w:r w:rsidRPr="006473E2">
        <w:rPr>
          <w:lang w:val="en-US"/>
        </w:rPr>
        <w:t xml:space="preserve">. </w:t>
      </w:r>
      <w:r w:rsidR="002D6488">
        <w:rPr>
          <w:lang w:val="en-US"/>
        </w:rPr>
        <w:t xml:space="preserve">The poorest performance was recorded at </w:t>
      </w:r>
      <w:r w:rsidRPr="006473E2">
        <w:rPr>
          <w:lang w:val="en-US"/>
        </w:rPr>
        <w:t>15 s</w:t>
      </w:r>
      <w:r w:rsidR="002D6488">
        <w:rPr>
          <w:lang w:val="en-US"/>
        </w:rPr>
        <w:t>, with</w:t>
      </w:r>
      <w:r w:rsidRPr="006473E2">
        <w:rPr>
          <w:lang w:val="en-US"/>
        </w:rPr>
        <w:t xml:space="preserve"> REs of toluene and </w:t>
      </w:r>
      <w:r w:rsidR="000F4BB9" w:rsidRPr="000F4BB9">
        <w:rPr>
          <w:color w:val="FF0000"/>
          <w:lang w:val="en-US"/>
        </w:rPr>
        <w:t>α-pinene</w:t>
      </w:r>
      <w:r w:rsidRPr="006473E2">
        <w:rPr>
          <w:lang w:val="en-US"/>
        </w:rPr>
        <w:t xml:space="preserve"> </w:t>
      </w:r>
      <w:r w:rsidR="002D6488">
        <w:rPr>
          <w:lang w:val="en-US"/>
        </w:rPr>
        <w:t>of</w:t>
      </w:r>
      <w:r w:rsidRPr="006473E2">
        <w:rPr>
          <w:lang w:val="en-US"/>
        </w:rPr>
        <w:t xml:space="preserve"> 41.5% and 55.7% in BR 1, 44.3 % and 10.5 % in BR 2, and 22.2 % and 8.0 % in BR 3.</w:t>
      </w:r>
      <w:r w:rsidR="000F4BB9" w:rsidRPr="000F4BB9">
        <w:rPr>
          <w:color w:val="FF0000"/>
          <w:lang w:val="en-US"/>
        </w:rPr>
        <w:t xml:space="preserve"> n-hexane</w:t>
      </w:r>
      <w:r w:rsidRPr="006473E2">
        <w:rPr>
          <w:lang w:val="en-US"/>
        </w:rPr>
        <w:t xml:space="preserve"> removal was poor and non-consistent. </w:t>
      </w:r>
      <w:bookmarkStart w:id="0" w:name="_Hlk109396616"/>
      <w:r w:rsidRPr="006473E2">
        <w:rPr>
          <w:lang w:val="en-US"/>
        </w:rPr>
        <w:t>When decreasing inlet concentrations</w:t>
      </w:r>
      <w:r w:rsidR="00527083">
        <w:rPr>
          <w:lang w:val="en-US"/>
        </w:rPr>
        <w:t xml:space="preserve"> </w:t>
      </w:r>
      <w:r w:rsidR="00527083" w:rsidRPr="00527083">
        <w:rPr>
          <w:color w:val="FF0000"/>
          <w:lang w:val="en-US"/>
        </w:rPr>
        <w:t>at EBRT 15 s</w:t>
      </w:r>
      <w:r w:rsidRPr="006473E2">
        <w:rPr>
          <w:lang w:val="en-US"/>
        </w:rPr>
        <w:t xml:space="preserve">, toluene and </w:t>
      </w:r>
      <w:r w:rsidR="000F4BB9" w:rsidRPr="000F4BB9">
        <w:rPr>
          <w:color w:val="FF0000"/>
          <w:lang w:val="en-US"/>
        </w:rPr>
        <w:t>α-pinene</w:t>
      </w:r>
      <w:r w:rsidRPr="006473E2">
        <w:rPr>
          <w:lang w:val="en-US"/>
        </w:rPr>
        <w:t xml:space="preserve"> REs progressively increased to reach 87.1% and 90.9 % in BR 1, 86.5 % and 76.6 %</w:t>
      </w:r>
      <w:r w:rsidR="00527083">
        <w:rPr>
          <w:lang w:val="en-US"/>
        </w:rPr>
        <w:t xml:space="preserve"> </w:t>
      </w:r>
      <w:r w:rsidRPr="006473E2">
        <w:rPr>
          <w:lang w:val="en-US"/>
        </w:rPr>
        <w:t>in BR 2, and 64.2 % and 70.6 % in BR 3.</w:t>
      </w:r>
      <w:bookmarkEnd w:id="0"/>
      <w:r w:rsidRPr="006473E2">
        <w:rPr>
          <w:lang w:val="en-US"/>
        </w:rPr>
        <w:t xml:space="preserve"> Overall</w:t>
      </w:r>
      <w:r w:rsidR="000F4BB9">
        <w:rPr>
          <w:lang w:val="en-US"/>
        </w:rPr>
        <w:t xml:space="preserve"> </w:t>
      </w:r>
      <w:r w:rsidR="000F4BB9" w:rsidRPr="000F4BB9">
        <w:rPr>
          <w:color w:val="FF0000"/>
          <w:lang w:val="en-US"/>
        </w:rPr>
        <w:t>n-hexane</w:t>
      </w:r>
      <w:r w:rsidRPr="006473E2">
        <w:rPr>
          <w:lang w:val="en-US"/>
        </w:rPr>
        <w:t xml:space="preserve"> removal slightly increased but was still poorly reproducible.</w:t>
      </w:r>
    </w:p>
    <w:p w14:paraId="47B9186A" w14:textId="59CABF08" w:rsidR="00420229" w:rsidRDefault="006473E2" w:rsidP="002D4F07">
      <w:pPr>
        <w:pStyle w:val="CETBodytext"/>
      </w:pPr>
      <w:r>
        <w:t xml:space="preserve">Generally, no big differences were observed between the control and the bioactive coating bioreactor, </w:t>
      </w:r>
      <w:r w:rsidR="00F90CA8">
        <w:t>suggesting that the bioactive coating can perform as good as conventional biofilm reactors</w:t>
      </w:r>
      <w:r>
        <w:t xml:space="preserve">. On the other hand, BR 3 performance was always inferior due to the lack of </w:t>
      </w:r>
      <w:r w:rsidR="00533948">
        <w:t>an adapted microbial community</w:t>
      </w:r>
      <w:r>
        <w:t>.</w:t>
      </w:r>
    </w:p>
    <w:p w14:paraId="55C89C30" w14:textId="4487172C" w:rsidR="007E2A63" w:rsidRPr="007E2A63" w:rsidRDefault="00600535" w:rsidP="00600535">
      <w:pPr>
        <w:pStyle w:val="CETHeading1"/>
        <w:rPr>
          <w:lang w:val="en-GB"/>
        </w:rPr>
      </w:pPr>
      <w:r w:rsidRPr="00B57B36">
        <w:rPr>
          <w:lang w:val="en-GB"/>
        </w:rPr>
        <w:t>Introduction</w:t>
      </w:r>
    </w:p>
    <w:p w14:paraId="3C20EF8C" w14:textId="3B18108D" w:rsidR="00462E6B" w:rsidRPr="00727961" w:rsidRDefault="00462E6B" w:rsidP="00600535">
      <w:pPr>
        <w:pStyle w:val="CETBodytext"/>
      </w:pPr>
      <w:r>
        <w:t xml:space="preserve">Indoor </w:t>
      </w:r>
      <w:r w:rsidR="00EE26BA">
        <w:t xml:space="preserve">air </w:t>
      </w:r>
      <w:r w:rsidR="00962536">
        <w:t xml:space="preserve">pollution has been proved as a </w:t>
      </w:r>
      <w:r w:rsidR="008969D4">
        <w:t>serious health problem</w:t>
      </w:r>
      <w:r w:rsidR="00BE7A20" w:rsidRPr="00BE7A20">
        <w:t xml:space="preserve"> </w:t>
      </w:r>
      <w:r w:rsidR="00BE7A20">
        <w:t>by several agencies</w:t>
      </w:r>
      <w:r w:rsidR="008969D4">
        <w:t xml:space="preserve"> </w:t>
      </w:r>
      <w:r w:rsidR="001A3B48">
        <w:fldChar w:fldCharType="begin" w:fldLock="1"/>
      </w:r>
      <w:r w:rsidR="00AA63B9">
        <w:instrText>ADDIN CSL_CITATION {"citationItems":[{"id":"ITEM-1","itemData":{"author":[{"dropping-particle":"","family":"World Health Organization","given":"","non-dropping-particle":"","parse-names":false,"suffix":""}],"id":"ITEM-1","issued":{"date-parts":[["2018"]]},"title":"Burden of disease of household air pollution for 2016","type":"report"},"uris":["http://www.mendeley.com/documents/?uuid=1c581ecc-9079-45e9-af25-348ba6379be5"]},{"id":"ITEM-2","itemData":{"ISBN":"978-92-9480-292-7","abstract":"This report presents an overview and analysis of air quality in Europe from 2002 to 2011. It reviews progress towards meeting the requirements of the air quality directives and gives an overview of policies and measures introduced at European level to improve air quality and minimise impacts. An overview of the latest findings and estimates of the effects of air pollution on health and its impacts on ecosystems is also given.","author":[{"dropping-particle":"","family":"European Environmental Agency","given":"","non-dropping-particle":"","parse-names":false,"suffix":""}],"container-title":"EEA Report","id":"ITEM-2","issue":"No 09/2020","issued":{"date-parts":[["2020"]]},"number-of-pages":"162","title":"Air quality in Europe - 2020 report","type":"book"},"uris":["http://www.mendeley.com/documents/?uuid=d43039d2-9dce-4291-b001-cb0dac4aba74"]},{"id":"ITEM-3","itemData":{"URL":"https://www.epa.gov/indoor-air-quality-iaq/volatile-organic-compounds-impact-indoor-air-quality","accessed":{"date-parts":[["2022","4","10"]]},"author":[{"dropping-particle":"","family":"USEPA","given":"","non-dropping-particle":"","parse-names":false,"suffix":""}],"id":"ITEM-3","issued":{"date-parts":[["2021"]]},"title":"Volatile Organic Compounds' Impact on Indoor Air Quality","type":"webpage"},"uris":["http://www.mendeley.com/documents/?uuid=3d8944f8-7238-4661-a77e-b9d2a1db147d"]}],"mendeley":{"formattedCitation":"(European Environmental Agency, 2020; USEPA, 2021; World Health Organization, 2018)","plainTextFormattedCitation":"(European Environmental Agency, 2020; USEPA, 2021; World Health Organization, 2018)","previouslyFormattedCitation":"(European Environmental Agency, 2020; USEPA, 2021; World Health Organization, 2018)"},"properties":{"noteIndex":0},"schema":"https://github.com/citation-style-language/schema/raw/master/csl-citation.json"}</w:instrText>
      </w:r>
      <w:r w:rsidR="001A3B48">
        <w:fldChar w:fldCharType="separate"/>
      </w:r>
      <w:r w:rsidR="00800B8E" w:rsidRPr="00800B8E">
        <w:rPr>
          <w:noProof/>
        </w:rPr>
        <w:t>(European Environmental Agency, 2020; USEPA, 2021; World Health Organization, 2018)</w:t>
      </w:r>
      <w:r w:rsidR="001A3B48">
        <w:fldChar w:fldCharType="end"/>
      </w:r>
      <w:r w:rsidR="008969D4">
        <w:t xml:space="preserve">. </w:t>
      </w:r>
      <w:r w:rsidR="005D7E1D">
        <w:t xml:space="preserve">Pollution levels are often higher indoors, where people spend </w:t>
      </w:r>
      <w:r w:rsidR="00260132">
        <w:t>as much as 90</w:t>
      </w:r>
      <w:r w:rsidR="00260132">
        <w:tab/>
        <w:t>%</w:t>
      </w:r>
      <w:r w:rsidR="005D7E1D">
        <w:t xml:space="preserve"> of the</w:t>
      </w:r>
      <w:r w:rsidR="00E43F1B">
        <w:t>ir</w:t>
      </w:r>
      <w:r w:rsidR="005D7E1D">
        <w:t xml:space="preserve"> time</w:t>
      </w:r>
      <w:r w:rsidR="001B2151">
        <w:t xml:space="preserve">. </w:t>
      </w:r>
      <w:r w:rsidR="001B3623">
        <w:t xml:space="preserve">This situation </w:t>
      </w:r>
      <w:r w:rsidR="00E43F1B">
        <w:t xml:space="preserve">might </w:t>
      </w:r>
      <w:r w:rsidR="001B3623">
        <w:t>worsen as</w:t>
      </w:r>
      <w:r w:rsidR="001B2151">
        <w:t xml:space="preserve"> new building regulations leading to energy efficiency, and thus air tightness, could increase indoor air pollution</w:t>
      </w:r>
      <w:r w:rsidR="00EE26BA">
        <w:t xml:space="preserve"> levels</w:t>
      </w:r>
      <w:r w:rsidR="001B2151">
        <w:t xml:space="preserve"> </w:t>
      </w:r>
      <w:r w:rsidR="001A3B48">
        <w:fldChar w:fldCharType="begin" w:fldLock="1"/>
      </w:r>
      <w:r w:rsidR="008A3DA4">
        <w:instrText>ADDIN CSL_CITATION {"citationItems":[{"id":"ITEM-1","itemData":{"DOI":"10.1016/j.chemosphere.2020.128376","ISSN":"18791298","PMID":"33182138","abstract":"Indoor air pollution has traditionally received less attention than outdoors pollution despite indoors pollutant levels are typically twice higher, and people spend 80–90% of their life in increasing air-tight buildings. More than 5 million people die every year prematurely from illnesses attributable to poor indoor air quality, which also causes multi-millionaire losses due to reduced employee's productivity, material damages and increased health system expenses. Indoor air pollutants include particulate matter, biological pollutants and over 400 different chemical organic and inorganic compounds, whose concentrations are governed by several outdoor and indoor factors. Prevention of pollutant is not always technically feasible, so the implementation of cost-effective active abatement units is required. Up to date no single physical-chemical technology is capable of coping with all indoor air pollutants in a cost-effective manner. This problem requires the use of sequential technology configurations at the expenses of superior capital and operating costs. In addition, the performance of conventional physical-chemical technologies is still limited by the low concentrations, the diversity and the variability of pollutants in indoor environments. In this context, biotechnologies have emerged as a cost-effective and sustainable platform capable of coping with these limitations based on the biocatalytic action of plants, bacteria, fungi and microalgae. Indeed, biological-based purification systems can improve the energy efficiency of buildings, while providing additional aesthetic and psychological benefits. This review critically assessed the state-of-the-art of the indoor air pollution problem and prevention strategies, along with the recent advances in physical-chemical and biological technologies for indoor pollutants abatement.","author":[{"dropping-particle":"","family":"González-Martín","given":"Javier","non-dropping-particle":"","parse-names":false,"suffix":""},{"dropping-particle":"","family":"Kraakman","given":"Norbertus Johannes Richardus","non-dropping-particle":"","parse-names":false,"suffix":""},{"dropping-particle":"","family":"Pérez","given":"Cristina","non-dropping-particle":"","parse-names":false,"suffix":""},{"dropping-particle":"","family":"Lebrero","given":"Raquel","non-dropping-particle":"","parse-names":false,"suffix":""},{"dropping-particle":"","family":"Muñoz","given":"Raúl","non-dropping-particle":"","parse-names":false,"suffix":""}],"container-title":"Chemosphere","id":"ITEM-1","issued":{"date-parts":[["2021"]]},"page":"128376","title":"A state–of–the-art review on indoor air pollution and strategies for indoor air pollution control","type":"article-journal","volume":"262"},"uris":["http://www.mendeley.com/documents/?uuid=26bce026-4b97-487a-a838-5901362e7742"]}],"mendeley":{"formattedCitation":"(González-Martín et al., 2021b)","plainTextFormattedCitation":"(González-Martín et al., 2021b)","previouslyFormattedCitation":"(González-Martín et al., 2021b)"},"properties":{"noteIndex":0},"schema":"https://github.com/citation-style-language/schema/raw/master/csl-citation.json"}</w:instrText>
      </w:r>
      <w:r w:rsidR="001A3B48">
        <w:fldChar w:fldCharType="separate"/>
      </w:r>
      <w:r w:rsidR="001B4788" w:rsidRPr="001B4788">
        <w:rPr>
          <w:noProof/>
        </w:rPr>
        <w:t>(González-Martín et al., 2021b)</w:t>
      </w:r>
      <w:r w:rsidR="001A3B48">
        <w:fldChar w:fldCharType="end"/>
      </w:r>
      <w:r w:rsidR="001A3B48">
        <w:t>.</w:t>
      </w:r>
      <w:r w:rsidR="00260132">
        <w:t xml:space="preserve"> </w:t>
      </w:r>
      <w:r w:rsidR="004A4EED">
        <w:t xml:space="preserve">Among indoor air pollutants, volatile organic compounds (VOCs) represent </w:t>
      </w:r>
      <w:r w:rsidR="00E43F1B">
        <w:t xml:space="preserve">one of the most relevant </w:t>
      </w:r>
      <w:r w:rsidR="004A4EED">
        <w:t>group</w:t>
      </w:r>
      <w:r w:rsidR="00E43F1B">
        <w:t>s</w:t>
      </w:r>
      <w:r w:rsidR="004A4EED">
        <w:t xml:space="preserve"> </w:t>
      </w:r>
      <w:r w:rsidR="00E43F1B">
        <w:t>that</w:t>
      </w:r>
      <w:r w:rsidR="004A4EED">
        <w:t xml:space="preserve"> include</w:t>
      </w:r>
      <w:r w:rsidR="00E43F1B">
        <w:t>s</w:t>
      </w:r>
      <w:r w:rsidR="004A4EED">
        <w:t xml:space="preserve"> a great number of odorous compounds. </w:t>
      </w:r>
      <w:r w:rsidR="00203D83">
        <w:t xml:space="preserve">Some studies have demonstrated that, even in the absence of physical symptoms, odors have a strong psychological effect, influencing mood and cognitive performance </w:t>
      </w:r>
      <w:r w:rsidR="00203D83">
        <w:fldChar w:fldCharType="begin" w:fldLock="1"/>
      </w:r>
      <w:r w:rsidR="00203D83">
        <w:instrText>ADDIN CSL_CITATION {"citationItems":[{"id":"ITEM-1","itemData":{"DOI":"10.1007/s12078-013-9153-0","ISSN":"19365802","abstract":"Indications of adverse effects of nontoxic malodorous chemical exposure on work performance and safety and the role of health-risk perception on odor perception motivated the present study of the impact of health-risk perception on odor perception and cognitive performance. Healthy young adults were informed that they were to be exposed to an odorous substance that is either potentially health-enhancing (positive information bias, n=24) or hazardous (negative information bias, n=25). The two groups, screened for loss in odor-detection sensitivity, were matched for age, sex, chemical intolerance, and negative affectivity. During each of 14 trials of exposure to 433 mg/m3 of nbutanol, the participants rated the intensity and valence of odor perception and performed a cognitive task that taxed working memory and attention. The results showed that the negative-bias group rated the odor perception as more unpleasant than did the positive-bias group during the entire session, but significantly more unpleasant only during the first half of the session. The negative-bias group was also found to perform significantly poorer on the cognitive task during both halves of the session. No effect of information bias was found on perceived odor intensity. The results provide experimental support for the hypotheses that belief that exposure to an odorous chemical is hazardous contributes to the odor perception being more unpleasant and to poorer cognitive performance. © Springer Science+Business Media New York 2013.","author":[{"dropping-particle":"","family":"Nordin","given":"Steven","non-dropping-particle":"","parse-names":false,"suffix":""},{"dropping-particle":"","family":"Claeson","given":"Anna Sara","non-dropping-particle":"","parse-names":false,"suffix":""},{"dropping-particle":"","family":"Andersson","given":"Maria","non-dropping-particle":"","parse-names":false,"suffix":""},{"dropping-particle":"","family":"Sommar","given":"Louise","non-dropping-particle":"","parse-names":false,"suffix":""},{"dropping-particle":"","family":"Andrée","given":"Jakob","non-dropping-particle":"","parse-names":false,"suffix":""},{"dropping-particle":"","family":"Lundqvist","given":"Klas","non-dropping-particle":"","parse-names":false,"suffix":""},{"dropping-particle":"","family":"Andersson","given":"Linus","non-dropping-particle":"","parse-names":false,"suffix":""}],"container-title":"Chemosensory Perception","id":"ITEM-1","issue":"4","issued":{"date-parts":[["2013"]]},"page":"190-197","title":"Impact of health-risk perception on odor perception and cognitive performance","type":"article-journal","volume":"6"},"uris":["http://www.mendeley.com/documents/?uuid=932569b4-23a7-490b-9e15-4bea94d8e885"]}],"mendeley":{"formattedCitation":"(Nordin et al., 2013)","plainTextFormattedCitation":"(Nordin et al., 2013)","previouslyFormattedCitation":"(Nordin et al., 2013)"},"properties":{"noteIndex":0},"schema":"https://github.com/citation-style-language/schema/raw/master/csl-citation.json"}</w:instrText>
      </w:r>
      <w:r w:rsidR="00203D83">
        <w:fldChar w:fldCharType="separate"/>
      </w:r>
      <w:r w:rsidR="00203D83" w:rsidRPr="001A3B48">
        <w:rPr>
          <w:noProof/>
        </w:rPr>
        <w:t>(Nordin et al., 2013)</w:t>
      </w:r>
      <w:r w:rsidR="00203D83">
        <w:fldChar w:fldCharType="end"/>
      </w:r>
      <w:r w:rsidR="00203D83">
        <w:t xml:space="preserve">. </w:t>
      </w:r>
      <w:r w:rsidR="00E43F1B">
        <w:t>Apart from odor annoyance, the so called sick building syndrome has been associated to these contaminants, inducing some non-specific symptoms like</w:t>
      </w:r>
      <w:r w:rsidR="00E43F1B" w:rsidRPr="00727961">
        <w:t xml:space="preserve"> membrane and skin irritation, </w:t>
      </w:r>
      <w:r w:rsidR="00E43F1B">
        <w:t xml:space="preserve">mental fatigue and </w:t>
      </w:r>
      <w:r w:rsidR="00E43F1B" w:rsidRPr="001C739D">
        <w:t xml:space="preserve">headaches </w:t>
      </w:r>
      <w:r w:rsidR="00E43F1B" w:rsidRPr="001C739D">
        <w:fldChar w:fldCharType="begin" w:fldLock="1"/>
      </w:r>
      <w:r w:rsidR="00E43F1B">
        <w:instrText>ADDIN CSL_CITATION {"citationItems":[{"id":"ITEM-1","itemData":{"DOI":"10.1080/00038628.2018.1461060","ISSN":"17589622","abstract":"Health and well-being are vitally important aspects of people centric building design and are the roots of productivity. Sick building syndrome (SBS) is a collection of factors that can negatively affect physical health in several ways. Besides physical health is also related to psychological well-being because the human body is one interactive biological system. This paper focuses on reviewing the current state of knowledge on building sickness syndrome which has been prevalent as a building illness since the 1970s especially in offices and schools. While the concepts of intelligent, smart and sustainable buildings have gained considerable attention during recent decades, there is now increasing attention being given to designing healthy buildings. This study provides a review about SBS symptoms. Several negative effects of SBS are identified and potential solutions are advocated. Finally, the study stresses the role of built environment and concludes that ongoing research towards tackling SBS and developing healthy indoor environments should not be limited to a single formula as any health-related building design approach is dependent on several interacting factors.","author":[{"dropping-particle":"","family":"Ghaffarianhoseini","given":"Amirhosein","non-dropping-particle":"","parse-names":false,"suffix":""},{"dropping-particle":"","family":"AlWaer","given":"Husam","non-dropping-particle":"","parse-names":false,"suffix":""},{"dropping-particle":"","family":"Omrany","given":"Hossein","non-dropping-particle":"","parse-names":false,"suffix":""},{"dropping-particle":"","family":"Ghaffarianhoseini","given":"Ali","non-dropping-particle":"","parse-names":false,"suffix":""},{"dropping-particle":"","family":"Alalouch","given":"Chaham","non-dropping-particle":"","parse-names":false,"suffix":""},{"dropping-particle":"","family":"Clements-Croome","given":"Derek","non-dropping-particle":"","parse-names":false,"suffix":""},{"dropping-particle":"","family":"Tookey","given":"John","non-dropping-particle":"","parse-names":false,"suffix":""}],"container-title":"Architectural Science Review","id":"ITEM-1","issue":"3","issued":{"date-parts":[["2018"]]},"page":"99-121","title":"Sick building syndrome: are we doing enough?","type":"article-journal","volume":"61"},"uris":["http://www.mendeley.com/documents/?uuid=6967879c-8f6f-4143-98a2-3bf187b62b5c"]}],"mendeley":{"formattedCitation":"(Ghaffarianhoseini et al., 2018)","plainTextFormattedCitation":"(Ghaffarianhoseini et al., 2018)","previouslyFormattedCitation":"(Ghaffarianhoseini et al., 2018)"},"properties":{"noteIndex":0},"schema":"https://github.com/citation-style-language/schema/raw/master/csl-citation.json"}</w:instrText>
      </w:r>
      <w:r w:rsidR="00E43F1B" w:rsidRPr="001C739D">
        <w:fldChar w:fldCharType="separate"/>
      </w:r>
      <w:r w:rsidR="00E43F1B" w:rsidRPr="001C739D">
        <w:rPr>
          <w:noProof/>
        </w:rPr>
        <w:t>(Ghaffarianhoseini et al., 2018)</w:t>
      </w:r>
      <w:r w:rsidR="00E43F1B" w:rsidRPr="001C739D">
        <w:fldChar w:fldCharType="end"/>
      </w:r>
      <w:r w:rsidR="00E43F1B" w:rsidRPr="00727961">
        <w:t>.</w:t>
      </w:r>
      <w:r w:rsidR="00E43F1B">
        <w:t xml:space="preserve"> Even below irritation thresholds, indoor odorous VOCs can </w:t>
      </w:r>
      <w:r w:rsidR="00203D83">
        <w:t xml:space="preserve">also </w:t>
      </w:r>
      <w:r w:rsidR="00E43F1B">
        <w:t xml:space="preserve">trigger asthma episodes or irritation in sensitive persons </w:t>
      </w:r>
      <w:r w:rsidR="00E43F1B">
        <w:fldChar w:fldCharType="begin" w:fldLock="1"/>
      </w:r>
      <w:r w:rsidR="00E43F1B">
        <w:instrText>ADDIN CSL_CITATION {"citationItems":[{"id":"ITEM-1","itemData":{"DOI":"10.1016/j.envint.2017.01.013","ISSN":"18736750","PMID":"28126407","abstract":"Odorous compounds (odors) like fragrances may cause adverse health effects. To assess their importance by inhalation, we have reviewed how the four major abundant and common airborne fragrances (α-pinene (APN), limonene (LIM), linalool (LIL), and eugenol (EUG)) impact the perceived indoor air quality as odor annoyance, sensory irritation and sensitization in the airways. Breathing and cardiovascular effects, and work performance, and the impact in the airways of ozone-initiated gas- and particle phase reactions products have also been assessed. Measured maximum indoor concentrations for APN, LIM and LIL are close to or above their odor thresholds, but far below their thresholds for sensory irritation in the eyes and upper airways; no information could be traced for EUG. Likewise, reported risk values for long-term effects are far above reported indoor concentrations. Human exposure studies with mixtures of APN and LIM and supported by animal inhalation models do not support sensitization of the airways at indoor levels by inhalation that include other selected fragrances. Human exposure studies, in general, indicate that reported lung function effects are likely due to the perception rather than toxic effects of the fragrances. In general, effects on the breathing rate and mood by exposure to the fragrances are inconclusive. The fragrances may increase the high-frequency heart rate variability, but aerosol exposure during cleaning activities may result in a reduction. Distractive effects influencing the work performance by fragrance/odor exposure are consistently reported, but their persistence over time is unknown. Mice inhalation studies indicate that LIM or its reaction mixture may possess anti-inflammatory properties. There is insufficient information that ozone-initiated reactions with APN or LIM at typical indoor levels cause airway effects in humans. Limited experimental information is available on long-term effects of ozone-initiated reaction products of APN and LIM at typical indoor levels.","author":[{"dropping-particle":"","family":"Wolkoff","given":"Peder","non-dropping-particle":"","parse-names":false,"suffix":""},{"dropping-particle":"","family":"Nielsen","given":"Gunnar D.","non-dropping-particle":"","parse-names":false,"suffix":""}],"container-title":"Environment International","id":"ITEM-1","issued":{"date-parts":[["2017"]]},"page":"96-107","publisher":"The Authors","title":"Effects by inhalation of abundant fragrances in indoor air – An overview","type":"article-journal","volume":"101"},"uris":["http://www.mendeley.com/documents/?uuid=fb9269e1-be26-428c-b4dd-5b76dd426e75"]}],"mendeley":{"formattedCitation":"(Wolkoff and Nielsen, 2017)","plainTextFormattedCitation":"(Wolkoff and Nielsen, 2017)","previouslyFormattedCitation":"(Wolkoff and Nielsen, 2017)"},"properties":{"noteIndex":0},"schema":"https://github.com/citation-style-language/schema/raw/master/csl-citation.json"}</w:instrText>
      </w:r>
      <w:r w:rsidR="00E43F1B">
        <w:fldChar w:fldCharType="separate"/>
      </w:r>
      <w:r w:rsidR="00E43F1B" w:rsidRPr="001A3B48">
        <w:rPr>
          <w:noProof/>
        </w:rPr>
        <w:t>(Wolkoff and Nielsen, 2017)</w:t>
      </w:r>
      <w:r w:rsidR="00E43F1B">
        <w:fldChar w:fldCharType="end"/>
      </w:r>
      <w:r w:rsidR="00E43F1B">
        <w:t>. Additionally, s</w:t>
      </w:r>
      <w:r w:rsidR="00727961">
        <w:t xml:space="preserve">evere </w:t>
      </w:r>
      <w:r w:rsidR="00DA0C05">
        <w:t xml:space="preserve">long-term </w:t>
      </w:r>
      <w:r w:rsidR="00727961">
        <w:t>health problems</w:t>
      </w:r>
      <w:r w:rsidR="007F7B27">
        <w:t>,</w:t>
      </w:r>
      <w:r w:rsidR="007F7B27" w:rsidRPr="007F7B27">
        <w:t xml:space="preserve"> </w:t>
      </w:r>
      <w:r w:rsidR="00E43F1B">
        <w:t>such as</w:t>
      </w:r>
      <w:r w:rsidR="00E43F1B" w:rsidRPr="00727961">
        <w:t xml:space="preserve"> </w:t>
      </w:r>
      <w:r w:rsidR="007F7B27" w:rsidRPr="00727961">
        <w:t xml:space="preserve">pulmonary </w:t>
      </w:r>
      <w:r w:rsidR="007F7B27">
        <w:t xml:space="preserve">and heart </w:t>
      </w:r>
      <w:r w:rsidR="007F7B27" w:rsidRPr="00727961">
        <w:t>disease</w:t>
      </w:r>
      <w:r w:rsidR="007F7B27">
        <w:t>s,</w:t>
      </w:r>
      <w:r w:rsidR="007F7B27" w:rsidRPr="00727961">
        <w:t xml:space="preserve"> lung cancer</w:t>
      </w:r>
      <w:r w:rsidR="00E43F1B">
        <w:t xml:space="preserve"> or</w:t>
      </w:r>
      <w:r w:rsidR="007F7B27" w:rsidRPr="00727961">
        <w:t xml:space="preserve"> stroke</w:t>
      </w:r>
      <w:r w:rsidR="00E43F1B">
        <w:t>s</w:t>
      </w:r>
      <w:r w:rsidR="007F7B27">
        <w:t>, can be</w:t>
      </w:r>
      <w:r w:rsidR="00727961">
        <w:t xml:space="preserve"> caused by </w:t>
      </w:r>
      <w:r w:rsidR="007F7B27">
        <w:t>th</w:t>
      </w:r>
      <w:r w:rsidR="00610CDF">
        <w:t xml:space="preserve">ese </w:t>
      </w:r>
      <w:r w:rsidR="00E43F1B">
        <w:t>pollutants</w:t>
      </w:r>
      <w:r w:rsidR="00E43F1B" w:rsidRPr="00727961">
        <w:t xml:space="preserve"> </w:t>
      </w:r>
      <w:r w:rsidR="001C739D">
        <w:fldChar w:fldCharType="begin" w:fldLock="1"/>
      </w:r>
      <w:r w:rsidR="001C739D">
        <w:instrText>ADDIN CSL_CITATION {"citationItems":[{"id":"ITEM-1","itemData":{"DOI":"10.1016/S2214-109X(20)30343-0","ISSN":"2214109X","PMID":"33069303","abstract":"Background: 3 billion people worldwide rely on polluting fuels and technologies for domestic cooking and heating. We estimate the global, regional, and national health burden associated with exposure to household air pollution. Methods: For the systematic review and meta-analysis, we systematically searched four databases for studies published from database inception to April 2, 2020, that evaluated the risk of adverse cardiorespiratory, paediatric, and maternal outcomes from exposure to household air pollution, compared with no exposure. We used a random-effects model to calculate disease-specific relative risk (RR) meta-estimates. Household air pollution exposure was defined as use of polluting fuels (coal, wood, charcoal, agricultural wastes, animal dung, or kerosene) for household cooking or heating. Temporal trends in mortality and disease burden associated with household air pollution, as measured by disability-adjusted life-years (DALYs), were estimated from 2000 to 2017 using exposure prevalence data from 183 of 193 UN member states. 95% CIs were estimated by propagating uncertainty from the RR meta-estimates, prevalence of household air pollution exposure, and disease-specific mortality and burden estimates using a simulation-based approach. This study is registered with PROSPERO, CRD42019125060. Findings: 476 studies (15·5 million participants) from 123 nations (99 [80%] of which were classified as low-income and middle-income) met the inclusion criteria. Household air pollution was positively associated with asthma (RR 1·23, 95% CI 1·11–1·36), acute respiratory infection in both adults (1·53, 1·22–1·93) and children (1·39, 1·29–1·49), chronic obstructive pulmonary disease (1·70, 1·47–1·97), lung cancer (1·69, 1·44–1·98), and tuberculosis (1·26, 1·08–1·48); cerebrovascular disease (1·09, 1·04–1·14) and ischaemic heart disease (1·10, 1·09–1·11); and low birthweight (1·36, 1·19–1·55) and stillbirth (1·22, 1·06–1·41); as well as with under-5 (1·25, 1·18–1·33), respiratory (1·19, 1·18–1·20), and cardiovascular (1·07, 1·04–1·11) mortality. Household air pollution was associated with 1·8 million (95% CI 1·1–2·7) deaths and 60·9 million (34·6–93·3) DALYs in 2017, with the burden overwhelmingly experienced in low-income and middle-income countries (LMICs; 60·8 million [34·6–92·9] DALYs) compared with high-income countries (0·09 million [0·01–0·40] DALYs). From 2000, mortality associated with household air pollution had reduced by 36% (95% CI 29–43) an…","author":[{"dropping-particle":"","family":"Lee","given":"Kuan Ken","non-dropping-particle":"","parse-names":false,"suffix":""},{"dropping-particle":"","family":"Bing","given":"Rong","non-dropping-particle":"","parse-names":false,"suffix":""},{"dropping-particle":"","family":"Kiang","given":"Joanne","non-dropping-particle":"","parse-names":false,"suffix":""},{"dropping-particle":"","family":"Bashir","given":"Sophia","non-dropping-particle":"","parse-names":false,"suffix":""},{"dropping-particle":"","family":"Spath","given":"Nicholas","non-dropping-particle":"","parse-names":false,"suffix":""},{"dropping-particle":"","family":"Stelzle","given":"Dominik","non-dropping-particle":"","parse-names":false,"suffix":""},{"dropping-particle":"","family":"Mortimer","given":"Kevin","non-dropping-particle":"","parse-names":false,"suffix":""},{"dropping-particle":"","family":"Bularga","given":"Anda","non-dropping-particle":"","parse-names":false,"suffix":""},{"dropping-particle":"","family":"Doudesis","given":"Dimitrios","non-dropping-particle":"","parse-names":false,"suffix":""},{"dropping-particle":"","family":"Joshi","given":"Shruti S.","non-dropping-particle":"","parse-names":false,"suffix":""},{"dropping-particle":"","family":"Strachan","given":"Fiona","non-dropping-particle":"","parse-names":false,"suffix":""},{"dropping-particle":"","family":"Gumy","given":"Sophie","non-dropping-particle":"","parse-names":false,"suffix":""},{"dropping-particle":"","family":"Adair-Rohani","given":"Heather","non-dropping-particle":"","parse-names":false,"suffix":""},{"dropping-particle":"","family":"Attia","given":"Engi F.","non-dropping-particle":"","parse-names":false,"suffix":""},{"dropping-particle":"","family":"Chung","given":"Michael H.","non-dropping-particle":"","parse-names":false,"suffix":""},{"dropping-particle":"","family":"Miller","given":"Mark R.","non-dropping-particle":"","parse-names":false,"suffix":""},{"dropping-particle":"","family":"Newby","given":"David E.","non-dropping-particle":"","parse-names":false,"suffix":""},{"dropping-particle":"","family":"Mills","given":"Nicholas L.","non-dropping-particle":"","parse-names":false,"suffix":""},{"dropping-particle":"","family":"McAllister","given":"David A.","non-dropping-particle":"","parse-names":false,"suffix":""},{"dropping-particle":"","family":"Shah","given":"Anoop S.V.","non-dropping-particle":"","parse-names":false,"suffix":""}],"container-title":"The Lancet Global Health","id":"ITEM-1","issue":"11","issued":{"date-parts":[["2020"]]},"page":"e1427-e1434","publisher":"The Author(s). Published by Elsevier Ltd. This is an Open Access article under the CC BY 4.0 license","title":"Adverse health effects associated with household air pollution: a systematic review, meta-analysis, and burden estimation study","type":"article-journal","volume":"8"},"uris":["http://www.mendeley.com/documents/?uuid=4cf72101-266d-4d55-84a9-203fea2ab3fe"]},{"id":"ITEM-2","itemData":{"DOI":"10.3390/ijerph17082927","ISSN":"16604601","PMID":"32340311","abstract":"Indoor air pollution (IAP) is a serious threat to human health, causing millions of deaths each year. A plethora of pollutants can result in IAP; therefore, it is very important to identify their main sources and concentrations and to devise strategies for the control and enhancement of indoor air quality (IAQ). Herein, we provide a critical review and evaluation of the major sources of major pollutant emissions, their health effects, and issues related to IAP-based illnesses, including sick building syndrome (SBS) and building-related illness (BRI). In addition, the strategies and approaches for control and reduction of pollutant concentrations are pointed out, and the recent trends in efforts to resolve and improve IAQ, with their respective advantages and potentials, are summarized. It is predicted that the development of novel materials for sensors, IAQ-monitoring systems, and smart homes is a promising strategy for control and enhancement of IAQ in the future.","author":[{"dropping-particle":"","family":"Tran","given":"Vinh","non-dropping-particle":"Van","parse-names":false,"suffix":""},{"dropping-particle":"","family":"Park","given":"Duckshin","non-dropping-particle":"","parse-names":false,"suffix":""},{"dropping-particle":"","family":"Lee","given":"Young Chul","non-dropping-particle":"","parse-names":false,"suffix":""}],"container-title":"International Journal of Environmental Research and Public Health","id":"ITEM-2","issue":"8","issued":{"date-parts":[["2020"]]},"title":"Indoor air pollution, related human diseases, and recent trends in the control and improvement of indoor air quality","type":"article-journal","volume":"17"},"uris":["http://www.mendeley.com/documents/?uuid=0ec0f887-51f3-46f4-b4de-d704c15ef891"]}],"mendeley":{"formattedCitation":"(Lee et al., 2020; Van Tran et al., 2020)","plainTextFormattedCitation":"(Lee et al., 2020; Van Tran et al., 2020)","previouslyFormattedCitation":"(Lee et al., 2020; Van Tran et al., 2020)"},"properties":{"noteIndex":0},"schema":"https://github.com/citation-style-language/schema/raw/master/csl-citation.json"}</w:instrText>
      </w:r>
      <w:r w:rsidR="001C739D">
        <w:fldChar w:fldCharType="separate"/>
      </w:r>
      <w:r w:rsidR="001C739D" w:rsidRPr="001C739D">
        <w:rPr>
          <w:noProof/>
        </w:rPr>
        <w:t>(Lee et al., 2020; Van Tran et al., 2020)</w:t>
      </w:r>
      <w:r w:rsidR="001C739D">
        <w:fldChar w:fldCharType="end"/>
      </w:r>
      <w:r w:rsidR="00DD7C3F">
        <w:t xml:space="preserve">. </w:t>
      </w:r>
      <w:r w:rsidR="00520DB7">
        <w:t>All the</w:t>
      </w:r>
      <w:r w:rsidR="00203D83">
        <w:t xml:space="preserve"> above </w:t>
      </w:r>
      <w:r w:rsidR="001B2151">
        <w:t xml:space="preserve">points out the need </w:t>
      </w:r>
      <w:r w:rsidR="00203D83">
        <w:t>to develop efficient technologies for</w:t>
      </w:r>
      <w:r w:rsidR="001B2151">
        <w:t xml:space="preserve"> </w:t>
      </w:r>
      <w:r w:rsidR="00203D83">
        <w:t>indoor air treatment</w:t>
      </w:r>
      <w:r w:rsidR="001B2151">
        <w:t>.</w:t>
      </w:r>
    </w:p>
    <w:p w14:paraId="455988D6" w14:textId="631EFCF8" w:rsidR="007E2A63" w:rsidRDefault="007E2A63" w:rsidP="00600535">
      <w:pPr>
        <w:pStyle w:val="CETBodytext"/>
      </w:pPr>
      <w:bookmarkStart w:id="1" w:name="_Hlk109399800"/>
      <w:r>
        <w:t xml:space="preserve">Biotechnologies have the potential to be applied </w:t>
      </w:r>
      <w:r w:rsidR="000B7982">
        <w:t xml:space="preserve">for the </w:t>
      </w:r>
      <w:r w:rsidR="0048520B" w:rsidRPr="0048520B">
        <w:rPr>
          <w:color w:val="FF0000"/>
        </w:rPr>
        <w:t>abatement</w:t>
      </w:r>
      <w:r w:rsidR="000B7982">
        <w:t xml:space="preserve"> of</w:t>
      </w:r>
      <w:r>
        <w:t xml:space="preserve"> odorous </w:t>
      </w:r>
      <w:r w:rsidR="008969D4">
        <w:t>VOC</w:t>
      </w:r>
      <w:r w:rsidR="000B7982">
        <w:t>s</w:t>
      </w:r>
      <w:r w:rsidR="00EE26BA">
        <w:t xml:space="preserve"> at different concentrations.</w:t>
      </w:r>
      <w:r>
        <w:t xml:space="preserve"> </w:t>
      </w:r>
      <w:bookmarkEnd w:id="1"/>
      <w:r>
        <w:t>However, a good performance of these technologies is hampered by</w:t>
      </w:r>
      <w:r w:rsidR="00880EE6">
        <w:t xml:space="preserve"> the </w:t>
      </w:r>
      <w:r w:rsidR="002D4F07">
        <w:t>variable concentrations and</w:t>
      </w:r>
      <w:r>
        <w:t xml:space="preserve"> </w:t>
      </w:r>
      <w:r w:rsidR="000B7982">
        <w:t>the poor mass transfer of</w:t>
      </w:r>
      <w:r w:rsidR="005D7E1D">
        <w:t xml:space="preserve"> some</w:t>
      </w:r>
      <w:r w:rsidR="000B7982">
        <w:t xml:space="preserve"> hydrophobic </w:t>
      </w:r>
      <w:r w:rsidR="005D7E1D">
        <w:t>VOC</w:t>
      </w:r>
      <w:r w:rsidR="000B7982">
        <w:t>s</w:t>
      </w:r>
      <w:r w:rsidR="00692280">
        <w:t xml:space="preserve"> </w:t>
      </w:r>
      <w:r w:rsidR="00F35D20">
        <w:fldChar w:fldCharType="begin" w:fldLock="1"/>
      </w:r>
      <w:r w:rsidR="0001645D">
        <w:instrText>ADDIN CSL_CITATION {"citationItems":[{"id":"ITEM-1","itemData":{"DOI":"10.1007/s11157-021-09569-x","ISBN":"0123456789","ISSN":"15729826","abstract":"Studies on human exposure to indoor air pollution reveal that indoor environments could be at least twice as polluted as outdoor environments. Indoor air pollution has not received as much attention than outdoor air pollution, despite an adult spending now most of the time indoors as a result of the global shift in the economy from the manufacturing sector towards the service and knowledge-based sectors, which operate in indoor office environments. Additionally, the health threats caused by a long-term exposure to indoor air pollution have become more apparent over the last decades as buildings are progressively sealed against the outside climate conditions to obtain heating and cooling energy cost savings and in response to stricter safety guidelines. Currently there is not a single technology that can efficiently provide a complete and satisfactory purification of indoor air. Biological systems for improving indoor air quality are promising, but challenges need to be examined to properly address the bioavailability of low pollutant concentrations, guarantee microbial safety, and incorporate CO2-removal. This study presents the recent research advances in biological indoor air purification methods as a ‘green’ alternative to physical–chemical methods, with emphasis on current challenges and opportunities it can provide for improving Indoor Environment Quality, building energy cost savings and improvements on indoor comfort and well-being. Graphical abstract: [Figure not available: see fulltext.]","author":[{"dropping-particle":"","family":"Kraakman","given":"Norbertus Joannes Richardus","non-dropping-particle":"","parse-names":false,"suffix":""},{"dropping-particle":"","family":"González-Martín","given":"Javier","non-dropping-particle":"","parse-names":false,"suffix":""},{"dropping-particle":"","family":"Pérez","given":"Cristina","non-dropping-particle":"","parse-names":false,"suffix":""},{"dropping-particle":"","family":"Lebrero","given":"Raquel","non-dropping-particle":"","parse-names":false,"suffix":""},{"dropping-particle":"","family":"Muñoz","given":"Raúl","non-dropping-particle":"","parse-names":false,"suffix":""}],"container-title":"Reviews in Environmental Science and Biotechnology","id":"ITEM-1","issued":{"date-parts":[["2021"]]},"title":"Recent advances in biological systems for improving indoor air quality","type":"article-journal","volume":"0123456789"},"uris":["http://www.mendeley.com/documents/?uuid=2df1ae2a-b746-4317-93e1-2477d8a6ccd8"]}],"mendeley":{"formattedCitation":"(Kraakman et al., 2021)","plainTextFormattedCitation":"(Kraakman et al., 2021)","previouslyFormattedCitation":"(Kraakman et al., 2021)"},"properties":{"noteIndex":0},"schema":"https://github.com/citation-style-language/schema/raw/master/csl-citation.json"}</w:instrText>
      </w:r>
      <w:r w:rsidR="00F35D20">
        <w:fldChar w:fldCharType="separate"/>
      </w:r>
      <w:r w:rsidR="00F35D20" w:rsidRPr="00F35D20">
        <w:rPr>
          <w:noProof/>
        </w:rPr>
        <w:t>(Kraakman et al., 2021)</w:t>
      </w:r>
      <w:r w:rsidR="00F35D20">
        <w:fldChar w:fldCharType="end"/>
      </w:r>
      <w:r>
        <w:t xml:space="preserve">. </w:t>
      </w:r>
      <w:r w:rsidR="00F35D20">
        <w:t>Bioactive coatings</w:t>
      </w:r>
      <w:r w:rsidR="001E230D">
        <w:t xml:space="preserve">, which have recently emerged as a potential alternative, </w:t>
      </w:r>
      <w:r>
        <w:t>consist of a porous polymer matrix in which microorganisms are embedded</w:t>
      </w:r>
      <w:r w:rsidR="00EE26BA">
        <w:t xml:space="preserve"> in a restricted growing state</w:t>
      </w:r>
      <w:r w:rsidR="00462E6B">
        <w:t xml:space="preserve">. This configuration </w:t>
      </w:r>
      <w:r w:rsidR="00F90CA8">
        <w:t>avoi</w:t>
      </w:r>
      <w:r w:rsidR="00462E6B">
        <w:t>ds</w:t>
      </w:r>
      <w:r w:rsidR="00F90CA8">
        <w:t xml:space="preserve"> the formation of </w:t>
      </w:r>
      <w:r w:rsidR="00EE26BA">
        <w:t xml:space="preserve">natural </w:t>
      </w:r>
      <w:r w:rsidR="00F90CA8">
        <w:t>biofilms</w:t>
      </w:r>
      <w:r w:rsidR="00462E6B">
        <w:t>, which</w:t>
      </w:r>
      <w:r w:rsidR="00F90CA8">
        <w:t xml:space="preserve"> represents </w:t>
      </w:r>
      <w:r w:rsidR="00462E6B">
        <w:t xml:space="preserve">the </w:t>
      </w:r>
      <w:r w:rsidR="00462E6B">
        <w:lastRenderedPageBreak/>
        <w:t xml:space="preserve">main </w:t>
      </w:r>
      <w:r w:rsidR="00EE26BA">
        <w:t>impediment</w:t>
      </w:r>
      <w:r w:rsidR="00462E6B">
        <w:t xml:space="preserve"> </w:t>
      </w:r>
      <w:r w:rsidR="001E230D">
        <w:t xml:space="preserve">for </w:t>
      </w:r>
      <w:r w:rsidR="00462E6B">
        <w:t>the assimilation of hydrophobic compounds</w:t>
      </w:r>
      <w:r w:rsidR="00EE26BA">
        <w:t xml:space="preserve"> due to their high-water content</w:t>
      </w:r>
      <w:r w:rsidR="00462E6B">
        <w:t xml:space="preserve">. Therefore, mass transfer of hydrophobic </w:t>
      </w:r>
      <w:r w:rsidR="00103094">
        <w:t>VOCs</w:t>
      </w:r>
      <w:r w:rsidR="00EE26BA">
        <w:t xml:space="preserve"> from gas phase to microorganisms</w:t>
      </w:r>
      <w:r w:rsidR="00462E6B">
        <w:t xml:space="preserve"> would be greatly enhanced</w:t>
      </w:r>
      <w:r w:rsidR="0001645D">
        <w:t xml:space="preserve"> </w:t>
      </w:r>
      <w:r w:rsidR="00465456">
        <w:fldChar w:fldCharType="begin" w:fldLock="1"/>
      </w:r>
      <w:r w:rsidR="001C739D">
        <w:instrText>ADDIN CSL_CITATION {"citationItems":[{"id":"ITEM-1","itemData":{"DOI":"10.1016/j.bej.2017.01.004","ISSN":"1873295X","abstract":"Adhesive biocatalytic coatings (biocoatings) have a nanoporous microstructure generated by partially coalesced waterborne polymer particles that entrap highly concentrated living cells in a dry state stabilized by carbohydrate osmo-protectants. Biocoatings can be deposited by high speed coating technologies, aerosol delivery or ink-jet printed in multilayered, patterned coatings on flexible nonporous or nonwoven substrates, preserving 1010–1012non-growing viable microorganisms per m2in 2–50 μm thick layers. Cells are rehydrated to restore their metabolism. The layers reactive half-life following rehydration can be 1000 s of hours. The planar structure of biocoatings enable uniform illumination of a high concentration of photo-reactive microorganisms or algae and contact these microbe with thin liquid films for efficient mass transfer. This review highlights recent advances in biocoating technology for pollutants degradation, photo-reactive coatings, stabilization of hyperthermophiles for biocatalysis, environmental biosensors, and biocomposite fuel cells. Engineering cells for desiccation tolerance, unveiling the metabolism of non-growing cells, and engineering the interaction between the cell surface and adhesive polymer binders are fundamental challenges to open the door to vast future applications of biocoatings for environmental sensing and remediation.","author":[{"dropping-particle":"","family":"Cortez","given":"Susana","non-dropping-particle":"","parse-names":false,"suffix":""},{"dropping-particle":"","family":"Nicolau","given":"Ana","non-dropping-particle":"","parse-names":false,"suffix":""},{"dropping-particle":"","family":"Flickinger","given":"Michael C.","non-dropping-particle":"","parse-names":false,"suffix":""},{"dropping-particle":"","family":"Mota","given":"Manuel","non-dropping-particle":"","parse-names":false,"suffix":""}],"container-title":"Biochemical Engineering Journal","id":"ITEM-1","issued":{"date-parts":[["2017"]]},"page":"25-37","publisher":"Elsevier B.V.","title":"Biocoatings: A new challenge for environmental biotechnology","type":"article-journal","volume":"121"},"uris":["http://www.mendeley.com/documents/?uuid=1d7f80cf-699f-4f6d-8f34-c2c2c27ec5b3"]}],"mendeley":{"formattedCitation":"(Cortez et al., 2017)","plainTextFormattedCitation":"(Cortez et al., 2017)","previouslyFormattedCitation":"(Cortez et al., 2017)"},"properties":{"noteIndex":0},"schema":"https://github.com/citation-style-language/schema/raw/master/csl-citation.json"}</w:instrText>
      </w:r>
      <w:r w:rsidR="00465456">
        <w:fldChar w:fldCharType="separate"/>
      </w:r>
      <w:r w:rsidR="00465456" w:rsidRPr="00465456">
        <w:rPr>
          <w:noProof/>
        </w:rPr>
        <w:t>(Cortez et al., 2017)</w:t>
      </w:r>
      <w:r w:rsidR="00465456">
        <w:fldChar w:fldCharType="end"/>
      </w:r>
      <w:r w:rsidR="00EE26BA">
        <w:t>.</w:t>
      </w:r>
    </w:p>
    <w:p w14:paraId="18994F5E" w14:textId="53567874" w:rsidR="0055522D" w:rsidRDefault="00103094" w:rsidP="00BE1757">
      <w:pPr>
        <w:pStyle w:val="CETBodytext"/>
      </w:pPr>
      <w:r>
        <w:t xml:space="preserve">This concept has been already developed in </w:t>
      </w:r>
      <w:r w:rsidR="00E41D0D">
        <w:t>some</w:t>
      </w:r>
      <w:r>
        <w:t xml:space="preserve"> small</w:t>
      </w:r>
      <w:r w:rsidR="00E41D0D">
        <w:t>-</w:t>
      </w:r>
      <w:r>
        <w:t>scale studies</w:t>
      </w:r>
      <w:r w:rsidR="003E39AB">
        <w:t>.</w:t>
      </w:r>
      <w:r>
        <w:t xml:space="preserve"> </w:t>
      </w:r>
      <w:r w:rsidR="003E39AB" w:rsidRPr="008A3DA4">
        <w:rPr>
          <w:noProof/>
        </w:rPr>
        <w:t>Estrada et al</w:t>
      </w:r>
      <w:r w:rsidR="003E39AB">
        <w:t xml:space="preserve">. </w:t>
      </w:r>
      <w:r w:rsidR="0001645D">
        <w:fldChar w:fldCharType="begin" w:fldLock="1"/>
      </w:r>
      <w:r w:rsidR="00EB3F07">
        <w:instrText>ADDIN CSL_CITATION {"citationItems":[{"id":"ITEM-1","itemData":{"DOI":"10.1002/bit.25353","ISSN":"10970290","PMID":"25115963","abstract":"Although biofilm-based biotechnologies exhibit a large potential as solutions for off-gas treatment, the high water content of biofilms often causes pollutant mass transfer limitations, which ultimately limit their widespread application. The present study reports on the proof of concept of the applicability of bioactive latex coatings for air pollution control. Toluene vapors served as a model volatile organic compound (VOC). The results showed that Pseudomonas putida F1 cells could be successfully entrapped in nanoporous latex coatings while preserving their toluene degradation activity. Bioactive latex coatings exhibited toluene specific biodegradation rates 10 times higher than agarose-based biofilms, because the thin coatings were less subject to diffusional mass transfer limitations. Drying and pollutant starvation were identified as key factors inducing a gradual deterioration of the biodegradation capacity in these innovative coatings. This study constitutes the first application of bioactive latex coatings for VOC abatement. These coatings could become promising means for air pollution control.","author":[{"dropping-particle":"","family":"Estrada","given":"José M.","non-dropping-particle":"","parse-names":false,"suffix":""},{"dropping-particle":"","family":"Bernal","given":"Oscar I.","non-dropping-particle":"","parse-names":false,"suffix":""},{"dropping-particle":"","family":"Flickinger","given":"Michael C.","non-dropping-particle":"","parse-names":false,"suffix":""},{"dropping-particle":"","family":"Muñoz","given":"Raúl","non-dropping-particle":"","parse-names":false,"suffix":""},{"dropping-particle":"","family":"Deshusses","given":"Marc A.","non-dropping-particle":"","parse-names":false,"suffix":""}],"container-title":"Biotechnology and Bioengineering","id":"ITEM-1","issue":"2","issued":{"date-parts":[["2015"]]},"page":"263-271","title":"Biocatalytic coatings for air pollution control: A proof of concept study on VOC biodegradation","type":"article-journal","volume":"112"},"uris":["http://www.mendeley.com/documents/?uuid=64d2cbe6-5061-431d-9120-f611d958b563"]}],"mendeley":{"formattedCitation":"(Estrada et al., 2015)","manualFormatting":"(2015)","plainTextFormattedCitation":"(Estrada et al., 2015)","previouslyFormattedCitation":"(Estrada et al., 2015)"},"properties":{"noteIndex":0},"schema":"https://github.com/citation-style-language/schema/raw/master/csl-citation.json"}</w:instrText>
      </w:r>
      <w:r w:rsidR="0001645D">
        <w:fldChar w:fldCharType="separate"/>
      </w:r>
      <w:r w:rsidR="00C74C2B" w:rsidRPr="00C74C2B">
        <w:rPr>
          <w:noProof/>
        </w:rPr>
        <w:t>(2015)</w:t>
      </w:r>
      <w:r w:rsidR="0001645D">
        <w:fldChar w:fldCharType="end"/>
      </w:r>
      <w:r w:rsidR="00C74C2B">
        <w:t xml:space="preserve"> use</w:t>
      </w:r>
      <w:r w:rsidR="00ED68E9">
        <w:t xml:space="preserve">d a </w:t>
      </w:r>
      <w:r w:rsidR="00320AD0" w:rsidRPr="001D0DCB">
        <w:rPr>
          <w:i/>
          <w:iCs/>
        </w:rPr>
        <w:t>Pseudomonas putida</w:t>
      </w:r>
      <w:r w:rsidR="00320AD0">
        <w:t xml:space="preserve"> F1 </w:t>
      </w:r>
      <w:r w:rsidR="00B32413">
        <w:t xml:space="preserve">based bioactive coating to degrade toluene </w:t>
      </w:r>
      <w:r w:rsidR="009715AC">
        <w:t xml:space="preserve">in batch conditions, achieving degradation rates 10 times higher than those achieved by agarose biofilms in the same conditions. </w:t>
      </w:r>
      <w:r w:rsidR="00EB3F07" w:rsidRPr="00EB3F07">
        <w:rPr>
          <w:noProof/>
        </w:rPr>
        <w:t>Piskorska et al.</w:t>
      </w:r>
      <w:r w:rsidR="00EB3F07">
        <w:rPr>
          <w:noProof/>
        </w:rPr>
        <w:t xml:space="preserve"> </w:t>
      </w:r>
      <w:r w:rsidR="00EB3F07">
        <w:fldChar w:fldCharType="begin" w:fldLock="1"/>
      </w:r>
      <w:r w:rsidR="00F27A32">
        <w:instrText>ADDIN CSL_CITATION {"citationItems":[{"id":"ITEM-1","itemData":{"DOI":"10.1111/1751-7915.12032","ISSN":"17517907","abstract":"Summary: To assess the applicability of latex cell coatings as an 'off-the-shelf' biocatalyst, the effect of osmoprotectants, temperature, humidity and O2 on preservation of H2 production in Rhodopseudomonas palustris coatings was evaluated. Immediately following latex coating coalescence (24h) and for up to 2 weeks of dry storage, rehydrated coatings containing different osmoprotectants displayed similar rates of H2 production. Beyond 2 weeks of storage, sorbitol-treated coatings lost all H2 production activity, whereas considerable H2 production was still detected in sucrose- and trehalose-stabilized coatings. The relative humidity level at which the coatings were stored had a significant impact on the recovery and subsequent rates of H2 production. After 4 weeks storage under air at 60% humidity, coatings produced only trace amounts of H2 (0-0.1% headspace accumulation), whereas those stored at &lt;5% humidity retained 27-53% of their H2 production activity after 8 weeks of storage. When stored in argon at &lt;5% humidity and room temperature, R.palustris coatings retained full H2 production activity for 3 months, implicating oxidative damage as a key factor limiting coating storage. Overall, the results demonstrate that biocatalytic latex coatings are an attractive cell immobilization platform for preservation of bioactivity in the dry state. © 2013 The Authors. Microbial Biotechnology Published by John Wiley &amp; Sons Ltd and Society for Applied Microbiology..","author":[{"dropping-particle":"","family":"Piskorska","given":"M.","non-dropping-particle":"","parse-names":false,"suffix":""},{"dropping-particle":"","family":"Soule","given":"T.","non-dropping-particle":"","parse-names":false,"suffix":""},{"dropping-particle":"","family":"Gosse","given":"J. L.","non-dropping-particle":"","parse-names":false,"suffix":""},{"dropping-particle":"","family":"Milliken","given":"C.","non-dropping-particle":"","parse-names":false,"suffix":""},{"dropping-particle":"","family":"Flickinger","given":"M. C.","non-dropping-particle":"","parse-names":false,"suffix":""},{"dropping-particle":"","family":"Smith","given":"G. W.","non-dropping-particle":"","parse-names":false,"suffix":""},{"dropping-particle":"","family":"Yeager","given":"C. M.","non-dropping-particle":"","parse-names":false,"suffix":""}],"container-title":"Microbial Biotechnology","id":"ITEM-1","issue":"5","issued":{"date-parts":[["2013"]]},"page":"515-525","title":"Preservation of H2 production activity in nanoporous latex coatings of Rhodopseudomonas palustrisCGA009 during dry storage at ambient temperatures","type":"article-journal","volume":"6"},"uris":["http://www.mendeley.com/documents/?uuid=e72402a2-40c5-430b-9588-dba12142c624"]}],"mendeley":{"formattedCitation":"(Piskorska et al., 2013)","manualFormatting":"(2013)","plainTextFormattedCitation":"(Piskorska et al., 2013)","previouslyFormattedCitation":"(Piskorska et al., 2013)"},"properties":{"noteIndex":0},"schema":"https://github.com/citation-style-language/schema/raw/master/csl-citation.json"}</w:instrText>
      </w:r>
      <w:r w:rsidR="00EB3F07">
        <w:fldChar w:fldCharType="separate"/>
      </w:r>
      <w:r w:rsidR="00EB3F07" w:rsidRPr="00EB3F07">
        <w:rPr>
          <w:noProof/>
        </w:rPr>
        <w:t>(2013)</w:t>
      </w:r>
      <w:r w:rsidR="00EB3F07">
        <w:fldChar w:fldCharType="end"/>
      </w:r>
      <w:r w:rsidR="00EB3F07">
        <w:t xml:space="preserve"> </w:t>
      </w:r>
      <w:r w:rsidR="001D0DCB">
        <w:t>immobilized</w:t>
      </w:r>
      <w:r w:rsidR="00FA268D">
        <w:t xml:space="preserve"> </w:t>
      </w:r>
      <w:proofErr w:type="spellStart"/>
      <w:r w:rsidR="001D0DCB" w:rsidRPr="001D0DCB">
        <w:rPr>
          <w:i/>
          <w:iCs/>
        </w:rPr>
        <w:t>Rhodopseudomonas</w:t>
      </w:r>
      <w:proofErr w:type="spellEnd"/>
      <w:r w:rsidR="001D0DCB" w:rsidRPr="001D0DCB">
        <w:rPr>
          <w:i/>
          <w:iCs/>
        </w:rPr>
        <w:t xml:space="preserve"> palustris</w:t>
      </w:r>
      <w:r w:rsidR="001D0DCB">
        <w:t xml:space="preserve"> CGA009 </w:t>
      </w:r>
      <w:r w:rsidR="00017333">
        <w:t>for H</w:t>
      </w:r>
      <w:r w:rsidR="00017333" w:rsidRPr="00017333">
        <w:rPr>
          <w:vertAlign w:val="subscript"/>
        </w:rPr>
        <w:t>2</w:t>
      </w:r>
      <w:r w:rsidR="00017333">
        <w:t xml:space="preserve"> bio</w:t>
      </w:r>
      <w:r w:rsidR="001E230D">
        <w:t>-</w:t>
      </w:r>
      <w:r w:rsidR="00017333">
        <w:t xml:space="preserve">generation, </w:t>
      </w:r>
      <w:r w:rsidR="001E230D">
        <w:t xml:space="preserve">obtaining </w:t>
      </w:r>
      <w:r w:rsidR="006A39B3">
        <w:t xml:space="preserve">good bacterial </w:t>
      </w:r>
      <w:r w:rsidR="00D61E0D">
        <w:t xml:space="preserve">activity even after 2-week dry storage. Although promising, </w:t>
      </w:r>
      <w:r w:rsidR="001E230D">
        <w:t>t</w:t>
      </w:r>
      <w:r w:rsidR="00D61E0D">
        <w:t xml:space="preserve">hese studies </w:t>
      </w:r>
      <w:r w:rsidR="001E230D">
        <w:t xml:space="preserve">tested </w:t>
      </w:r>
      <w:r w:rsidR="0049613C">
        <w:t xml:space="preserve">experimental conditions </w:t>
      </w:r>
      <w:r w:rsidR="001E230D">
        <w:t xml:space="preserve">still </w:t>
      </w:r>
      <w:r>
        <w:t xml:space="preserve">far from </w:t>
      </w:r>
      <w:r w:rsidR="001E230D">
        <w:t xml:space="preserve">a real, </w:t>
      </w:r>
      <w:r w:rsidR="00CF4932">
        <w:t>long-term</w:t>
      </w:r>
      <w:r w:rsidR="001E230D">
        <w:t xml:space="preserve"> </w:t>
      </w:r>
      <w:r>
        <w:t>application to indoor air purification</w:t>
      </w:r>
      <w:r w:rsidR="00E935FF">
        <w:t xml:space="preserve">. </w:t>
      </w:r>
      <w:r w:rsidR="00E41D0D">
        <w:t xml:space="preserve">In a previous lab-scale study </w:t>
      </w:r>
      <w:r w:rsidR="001E230D">
        <w:t>developed by our research group</w:t>
      </w:r>
      <w:r w:rsidR="00E41D0D">
        <w:t xml:space="preserve">, several parameters </w:t>
      </w:r>
      <w:r w:rsidR="001E230D">
        <w:t xml:space="preserve">related with </w:t>
      </w:r>
      <w:r w:rsidR="00E41D0D">
        <w:t xml:space="preserve">bioactive coating formulation </w:t>
      </w:r>
      <w:r w:rsidR="001E230D">
        <w:t>were optimized,</w:t>
      </w:r>
      <w:r w:rsidR="001B4788">
        <w:t xml:space="preserve"> </w:t>
      </w:r>
      <w:r w:rsidR="00A35D3A">
        <w:t xml:space="preserve">and the </w:t>
      </w:r>
      <w:r w:rsidR="00446E85">
        <w:t>concept of bioactive coatings was proven at a higher scale</w:t>
      </w:r>
      <w:r w:rsidR="001E230D">
        <w:t xml:space="preserve"> </w:t>
      </w:r>
      <w:r w:rsidR="001E230D">
        <w:fldChar w:fldCharType="begin" w:fldLock="1"/>
      </w:r>
      <w:r w:rsidR="001E230D">
        <w:instrText>ADDIN CSL_CITATION {"citationItems":[{"id":"ITEM-1","itemData":{"DOI":"10.1016/j.chemosphere.2021.132182","ISSN":"00456535","author":[{"dropping-particle":"","family":"González-Martín","given":"Javier","non-dropping-particle":"","parse-names":false,"suffix":""},{"dropping-particle":"","family":"Cantera","given":"Sara","non-dropping-particle":"","parse-names":false,"suffix":""},{"dropping-particle":"","family":"Lebrero","given":"Raquel","non-dropping-particle":"","parse-names":false,"suffix":""},{"dropping-particle":"","family":"Muñoz","given":"Raúl","non-dropping-particle":"","parse-names":false,"suffix":""}],"container-title":"Chemosphere","id":"ITEM-1","issued":{"date-parts":[["2021"]]},"page":"132182","title":"Optimization of acrylic-styrene latex-based biofilms as a platform for biological indoor air treatment","type":"article-journal","volume":"287"},"uris":["http://www.mendeley.com/documents/?uuid=e0c51b94-226c-439c-a175-88f674675455"]}],"mendeley":{"formattedCitation":"(González-Martín et al., 2021a)","plainTextFormattedCitation":"(González-Martín et al., 2021a)","previouslyFormattedCitation":"(González-Martín et al., 2021a)"},"properties":{"noteIndex":0},"schema":"https://github.com/citation-style-language/schema/raw/master/csl-citation.json"}</w:instrText>
      </w:r>
      <w:r w:rsidR="001E230D">
        <w:fldChar w:fldCharType="separate"/>
      </w:r>
      <w:r w:rsidR="001E230D" w:rsidRPr="001B4788">
        <w:rPr>
          <w:noProof/>
        </w:rPr>
        <w:t>(González-Martín et al., 2021a)</w:t>
      </w:r>
      <w:r w:rsidR="001E230D">
        <w:fldChar w:fldCharType="end"/>
      </w:r>
      <w:r w:rsidR="0049613C">
        <w:t xml:space="preserve">. In this study, bioactive coatings were applied to conventional bioreactors </w:t>
      </w:r>
      <w:r w:rsidR="00962536">
        <w:t xml:space="preserve">for the treatment of toluene, </w:t>
      </w:r>
      <w:r w:rsidR="000F4BB9" w:rsidRPr="000F4BB9">
        <w:rPr>
          <w:rFonts w:cs="Arial"/>
          <w:color w:val="FF0000"/>
        </w:rPr>
        <w:t>α-pinene</w:t>
      </w:r>
      <w:r w:rsidR="00962536">
        <w:t xml:space="preserve"> and</w:t>
      </w:r>
      <w:r w:rsidR="000F4BB9" w:rsidRPr="000F4BB9">
        <w:rPr>
          <w:color w:val="FF0000"/>
        </w:rPr>
        <w:t xml:space="preserve"> n-hexane</w:t>
      </w:r>
      <w:r w:rsidR="00962536">
        <w:t xml:space="preserve"> as examples of </w:t>
      </w:r>
      <w:r w:rsidR="001E230D">
        <w:t xml:space="preserve">odorous </w:t>
      </w:r>
      <w:r w:rsidR="00962536">
        <w:t xml:space="preserve">indoor air VOCs. The </w:t>
      </w:r>
      <w:r w:rsidR="001E230D">
        <w:t>removal efficiency (</w:t>
      </w:r>
      <w:r w:rsidR="00962536">
        <w:t>RE</w:t>
      </w:r>
      <w:r w:rsidR="001E230D">
        <w:t>)</w:t>
      </w:r>
      <w:r w:rsidR="00962536">
        <w:t xml:space="preserve"> of each compound was evaluated at different</w:t>
      </w:r>
      <w:r w:rsidR="001E230D">
        <w:t xml:space="preserve"> empty bed residence times</w:t>
      </w:r>
      <w:r w:rsidR="00962536">
        <w:t xml:space="preserve"> </w:t>
      </w:r>
      <w:r w:rsidR="001E230D">
        <w:t>(</w:t>
      </w:r>
      <w:r w:rsidR="00962536">
        <w:t>EBRTs</w:t>
      </w:r>
      <w:r w:rsidR="001E230D">
        <w:t>)</w:t>
      </w:r>
      <w:r w:rsidR="00962536">
        <w:t xml:space="preserve"> and inlet concentrations.</w:t>
      </w:r>
    </w:p>
    <w:p w14:paraId="5741900F" w14:textId="578891E0" w:rsidR="00453E24" w:rsidRDefault="00DA2328" w:rsidP="00453E24">
      <w:pPr>
        <w:pStyle w:val="CETHeading1"/>
      </w:pPr>
      <w:r>
        <w:t>Materials and Methods</w:t>
      </w:r>
    </w:p>
    <w:p w14:paraId="05B02F07" w14:textId="1C71ACA3" w:rsidR="00DA2328" w:rsidRDefault="002F7E12" w:rsidP="00453E24">
      <w:pPr>
        <w:pStyle w:val="CETBodytext"/>
      </w:pPr>
      <w:r>
        <w:t xml:space="preserve">The </w:t>
      </w:r>
      <w:r w:rsidR="00910A2F">
        <w:t xml:space="preserve">experimental </w:t>
      </w:r>
      <w:r w:rsidR="00AC2FB0">
        <w:t>setup consisted of three PVC bioreactors</w:t>
      </w:r>
      <w:r w:rsidR="00CB45E3">
        <w:t xml:space="preserve"> </w:t>
      </w:r>
      <w:r w:rsidR="00CB45E3" w:rsidRPr="007773EB">
        <w:t>(BR 1, BR 2 and BR 3)</w:t>
      </w:r>
      <w:r w:rsidR="00AC2FB0">
        <w:t xml:space="preserve"> (Ø</w:t>
      </w:r>
      <w:r w:rsidR="009F0865">
        <w:t xml:space="preserve"> </w:t>
      </w:r>
      <w:r w:rsidR="00355890">
        <w:t>10 cm) packed to a height of 32 cm</w:t>
      </w:r>
      <w:r w:rsidR="00AB15AB">
        <w:t xml:space="preserve"> (V</w:t>
      </w:r>
      <w:r w:rsidR="009F0865">
        <w:t xml:space="preserve"> </w:t>
      </w:r>
      <w:r w:rsidR="00AB15AB">
        <w:t>=</w:t>
      </w:r>
      <w:r w:rsidR="009F0865">
        <w:t xml:space="preserve"> </w:t>
      </w:r>
      <w:r w:rsidR="00AB15AB">
        <w:t>2.5 L)</w:t>
      </w:r>
      <w:r w:rsidR="00355890">
        <w:t xml:space="preserve"> with</w:t>
      </w:r>
      <w:r w:rsidR="00D5369F">
        <w:t xml:space="preserve"> expanded clay </w:t>
      </w:r>
      <w:r w:rsidR="00D33BB1">
        <w:t>beads</w:t>
      </w:r>
      <w:r w:rsidR="00D33BB1" w:rsidRPr="00AB15AB">
        <w:t xml:space="preserve"> (</w:t>
      </w:r>
      <w:proofErr w:type="spellStart"/>
      <w:r w:rsidR="00AB15AB" w:rsidRPr="00AB15AB">
        <w:t>Arlite</w:t>
      </w:r>
      <w:proofErr w:type="spellEnd"/>
      <w:r w:rsidR="00AB15AB" w:rsidRPr="00AB15AB">
        <w:t xml:space="preserve"> Light Plus, LECA Portugal S.A., Portugal)</w:t>
      </w:r>
      <w:r w:rsidR="00AB15AB">
        <w:t>.</w:t>
      </w:r>
      <w:r w:rsidR="00462F82">
        <w:t xml:space="preserve"> Plastic </w:t>
      </w:r>
      <w:proofErr w:type="spellStart"/>
      <w:r w:rsidR="00D028A4" w:rsidRPr="00D028A4">
        <w:t>Kaldness</w:t>
      </w:r>
      <w:proofErr w:type="spellEnd"/>
      <w:r w:rsidR="00D028A4" w:rsidRPr="00D028A4">
        <w:t xml:space="preserve"> K1 Micro rings (Evolution Aqua, UK)</w:t>
      </w:r>
      <w:r w:rsidR="00D028A4">
        <w:t xml:space="preserve"> of Ø</w:t>
      </w:r>
      <w:r w:rsidR="009F0865">
        <w:t xml:space="preserve"> </w:t>
      </w:r>
      <w:r w:rsidR="00D028A4">
        <w:t xml:space="preserve">1 cm </w:t>
      </w:r>
      <w:r w:rsidR="00FB2D3E">
        <w:t xml:space="preserve">were placed over the packing (5 cm layer) to ensure </w:t>
      </w:r>
      <w:r w:rsidR="001052DE">
        <w:t xml:space="preserve">a </w:t>
      </w:r>
      <w:r w:rsidR="00FB2D3E">
        <w:t xml:space="preserve">homogeneous </w:t>
      </w:r>
      <w:r w:rsidR="001052DE">
        <w:t>irrigation.</w:t>
      </w:r>
      <w:r w:rsidR="00910A2F">
        <w:t xml:space="preserve"> </w:t>
      </w:r>
      <w:r w:rsidR="00852D94">
        <w:t xml:space="preserve">A timer and </w:t>
      </w:r>
      <w:r w:rsidR="00D22D8E">
        <w:t>a</w:t>
      </w:r>
      <w:r w:rsidR="00852D94">
        <w:t xml:space="preserve"> peristaltic pump</w:t>
      </w:r>
      <w:r w:rsidR="00D22D8E">
        <w:t xml:space="preserve"> (</w:t>
      </w:r>
      <w:r w:rsidR="00D22D8E" w:rsidRPr="00D22D8E">
        <w:t>model 205S; Watson-Marlow Limited, Falmouth, UK</w:t>
      </w:r>
      <w:r w:rsidR="00D22D8E">
        <w:t>)</w:t>
      </w:r>
      <w:r w:rsidR="00852D94">
        <w:t xml:space="preserve"> were used to regulate the irrigation </w:t>
      </w:r>
      <w:r w:rsidR="007A25C5">
        <w:t xml:space="preserve">flow. </w:t>
      </w:r>
      <w:r w:rsidR="00FA5033">
        <w:t xml:space="preserve">A syringe pump </w:t>
      </w:r>
      <w:r w:rsidR="00F141EB">
        <w:t>(</w:t>
      </w:r>
      <w:r w:rsidR="00F141EB" w:rsidRPr="00F141EB">
        <w:t>Fusion 100, Chemyx Inc., USA</w:t>
      </w:r>
      <w:r w:rsidR="00F141EB">
        <w:t>)</w:t>
      </w:r>
      <w:r w:rsidR="00F141EB" w:rsidRPr="00F141EB">
        <w:t xml:space="preserve"> </w:t>
      </w:r>
      <w:r w:rsidR="00FA5033">
        <w:t xml:space="preserve">and glass syringes </w:t>
      </w:r>
      <w:r w:rsidR="00F141EB">
        <w:t xml:space="preserve">(Hamilton, USA) </w:t>
      </w:r>
      <w:r w:rsidR="00FA5033">
        <w:t xml:space="preserve">were used to </w:t>
      </w:r>
      <w:r w:rsidR="008D51B2">
        <w:t>feed the odorous VOCs into the system</w:t>
      </w:r>
      <w:r w:rsidR="00DB2691">
        <w:t>. The air flow was provided by an air compressor (</w:t>
      </w:r>
      <w:r w:rsidR="002244E6" w:rsidRPr="002244E6">
        <w:t>ABAC B2500-50 2, Italy</w:t>
      </w:r>
      <w:r w:rsidR="00DB2691">
        <w:t>)</w:t>
      </w:r>
      <w:r w:rsidR="0034255C">
        <w:t>, humidified in a 1</w:t>
      </w:r>
      <w:r w:rsidR="00B6369C">
        <w:t xml:space="preserve"> m height water column </w:t>
      </w:r>
      <w:r w:rsidR="00DB2691">
        <w:t xml:space="preserve">and regulated by air flow meters </w:t>
      </w:r>
      <w:r w:rsidR="00E36573" w:rsidRPr="00E36573">
        <w:t xml:space="preserve">(Aalborg, New York, USA) </w:t>
      </w:r>
      <w:r w:rsidR="00DB2691">
        <w:t>at the inlet of each reactor.</w:t>
      </w:r>
      <w:r w:rsidR="0042155B">
        <w:t xml:space="preserve"> Glass bulbs </w:t>
      </w:r>
      <w:r w:rsidR="0053092F" w:rsidRPr="0053092F">
        <w:t xml:space="preserve">(Sigma-Aldrich, Madrid, Spain) </w:t>
      </w:r>
      <w:r w:rsidR="00BC0039">
        <w:t>of</w:t>
      </w:r>
      <w:r w:rsidR="0042155B">
        <w:t xml:space="preserve"> 250 mL were placed at the inlet and outlet of </w:t>
      </w:r>
      <w:r w:rsidR="006573E6">
        <w:t>each bio</w:t>
      </w:r>
      <w:r w:rsidR="0042155B">
        <w:t xml:space="preserve">reactor </w:t>
      </w:r>
      <w:r w:rsidR="00BC0039">
        <w:t>to measure VOC concentration by solid-phase microextraction (SPME) followed by GC-FID analysis.</w:t>
      </w:r>
      <w:r w:rsidR="005A33C1">
        <w:t xml:space="preserve"> </w:t>
      </w:r>
      <w:r w:rsidR="005F273B" w:rsidRPr="005F273B">
        <w:t>The bioreactors were maintained at 22 ±</w:t>
      </w:r>
      <w:r w:rsidR="005F273B">
        <w:t xml:space="preserve"> </w:t>
      </w:r>
      <w:r w:rsidR="005F273B" w:rsidRPr="005F273B">
        <w:t xml:space="preserve">2 </w:t>
      </w:r>
      <w:r w:rsidR="00881E07" w:rsidRPr="005F273B">
        <w:t>ºC.</w:t>
      </w:r>
    </w:p>
    <w:p w14:paraId="5EEE5C97" w14:textId="2D2DB539" w:rsidR="007E3DCD" w:rsidRDefault="007E3DCD" w:rsidP="007E3DCD">
      <w:pPr>
        <w:pStyle w:val="CETheadingx"/>
      </w:pPr>
      <w:r>
        <w:t>Chemical products</w:t>
      </w:r>
    </w:p>
    <w:p w14:paraId="640FD96D" w14:textId="247EDAEA" w:rsidR="007E3DCD" w:rsidRPr="007E3DCD" w:rsidRDefault="00262C96" w:rsidP="007E3DCD">
      <w:pPr>
        <w:pStyle w:val="CETBodytext"/>
      </w:pPr>
      <w:bookmarkStart w:id="2" w:name="_Hlk109400156"/>
      <w:r>
        <w:t xml:space="preserve">A mixture of odorous compounds </w:t>
      </w:r>
      <w:r w:rsidR="00B645C7">
        <w:t xml:space="preserve">composed by </w:t>
      </w:r>
      <w:r w:rsidR="00B645C7" w:rsidRPr="00B645C7">
        <w:t>22</w:t>
      </w:r>
      <w:r w:rsidR="001620CB">
        <w:t xml:space="preserve"> </w:t>
      </w:r>
      <w:r w:rsidR="00B645C7" w:rsidRPr="00B645C7">
        <w:t xml:space="preserve">% of </w:t>
      </w:r>
      <w:r w:rsidR="000F4BB9" w:rsidRPr="000F4BB9">
        <w:rPr>
          <w:color w:val="FF0000"/>
        </w:rPr>
        <w:t>α-pinene</w:t>
      </w:r>
      <w:r w:rsidR="0048520B">
        <w:rPr>
          <w:color w:val="FF0000"/>
        </w:rPr>
        <w:t xml:space="preserve"> (CAS </w:t>
      </w:r>
      <w:r w:rsidR="0048520B" w:rsidRPr="0048520B">
        <w:rPr>
          <w:color w:val="FF0000"/>
        </w:rPr>
        <w:t>80-56-8</w:t>
      </w:r>
      <w:r w:rsidR="0048520B">
        <w:rPr>
          <w:color w:val="FF0000"/>
        </w:rPr>
        <w:t>)</w:t>
      </w:r>
      <w:r w:rsidR="00B645C7" w:rsidRPr="00B645C7">
        <w:t>, 34</w:t>
      </w:r>
      <w:r w:rsidR="001620CB">
        <w:t xml:space="preserve"> </w:t>
      </w:r>
      <w:r w:rsidR="00B645C7" w:rsidRPr="00B645C7">
        <w:t>% of toluene</w:t>
      </w:r>
      <w:r w:rsidR="0048520B">
        <w:t xml:space="preserve"> </w:t>
      </w:r>
      <w:r w:rsidR="0048520B">
        <w:rPr>
          <w:color w:val="FF0000"/>
        </w:rPr>
        <w:t xml:space="preserve">(CAS </w:t>
      </w:r>
      <w:r w:rsidR="0048520B" w:rsidRPr="0048520B">
        <w:rPr>
          <w:color w:val="FF0000"/>
        </w:rPr>
        <w:t>108-88-3</w:t>
      </w:r>
      <w:r w:rsidR="0048520B">
        <w:rPr>
          <w:color w:val="FF0000"/>
        </w:rPr>
        <w:t>)</w:t>
      </w:r>
      <w:r w:rsidR="00B645C7" w:rsidRPr="00B645C7">
        <w:t xml:space="preserve"> and 44</w:t>
      </w:r>
      <w:r w:rsidR="001620CB">
        <w:t xml:space="preserve"> </w:t>
      </w:r>
      <w:r w:rsidR="00B645C7" w:rsidRPr="00B645C7">
        <w:t xml:space="preserve">% of </w:t>
      </w:r>
      <w:r w:rsidR="000F4BB9" w:rsidRPr="000F4BB9">
        <w:rPr>
          <w:color w:val="FF0000"/>
        </w:rPr>
        <w:t>n-hexane</w:t>
      </w:r>
      <w:r w:rsidR="0048520B">
        <w:rPr>
          <w:color w:val="FF0000"/>
        </w:rPr>
        <w:t xml:space="preserve"> </w:t>
      </w:r>
      <w:r w:rsidR="0048520B">
        <w:rPr>
          <w:color w:val="FF0000"/>
        </w:rPr>
        <w:t xml:space="preserve">(CAS </w:t>
      </w:r>
      <w:r w:rsidR="0048520B" w:rsidRPr="0048520B">
        <w:rPr>
          <w:color w:val="FF0000"/>
        </w:rPr>
        <w:t>110-54-3</w:t>
      </w:r>
      <w:r w:rsidR="0048520B">
        <w:rPr>
          <w:color w:val="FF0000"/>
        </w:rPr>
        <w:t>)</w:t>
      </w:r>
      <w:r w:rsidR="00B645C7" w:rsidRPr="00B645C7">
        <w:t xml:space="preserve"> (%V/V)</w:t>
      </w:r>
      <w:r w:rsidR="00B645C7">
        <w:t xml:space="preserve"> </w:t>
      </w:r>
      <w:r>
        <w:t xml:space="preserve">was used as feed </w:t>
      </w:r>
      <w:r w:rsidR="002A78BE">
        <w:t>for the bioreactors</w:t>
      </w:r>
      <w:r w:rsidR="00B645C7">
        <w:t>.</w:t>
      </w:r>
      <w:r w:rsidR="00FA136B">
        <w:t xml:space="preserve"> </w:t>
      </w:r>
      <w:r w:rsidR="008767F8" w:rsidRPr="008767F8">
        <w:rPr>
          <w:color w:val="FF0000"/>
        </w:rPr>
        <w:t xml:space="preserve">α-pinene was </w:t>
      </w:r>
      <w:r w:rsidR="008767F8">
        <w:rPr>
          <w:color w:val="FF0000"/>
        </w:rPr>
        <w:t>purchased from</w:t>
      </w:r>
      <w:r w:rsidR="008767F8" w:rsidRPr="008767F8">
        <w:rPr>
          <w:color w:val="FF0000"/>
        </w:rPr>
        <w:t xml:space="preserve"> Sigma-Aldrich (Madrid, Spain)</w:t>
      </w:r>
      <w:r w:rsidR="008767F8">
        <w:rPr>
          <w:color w:val="FF0000"/>
        </w:rPr>
        <w:t xml:space="preserve">; </w:t>
      </w:r>
      <w:r w:rsidR="008767F8" w:rsidRPr="008767F8">
        <w:rPr>
          <w:color w:val="FF0000"/>
        </w:rPr>
        <w:t xml:space="preserve">n-hexane and toluene were </w:t>
      </w:r>
      <w:r w:rsidR="008767F8">
        <w:rPr>
          <w:color w:val="FF0000"/>
        </w:rPr>
        <w:t xml:space="preserve">purchased from </w:t>
      </w:r>
      <w:proofErr w:type="spellStart"/>
      <w:r w:rsidR="008767F8" w:rsidRPr="008767F8">
        <w:rPr>
          <w:color w:val="FF0000"/>
        </w:rPr>
        <w:t>Panreac</w:t>
      </w:r>
      <w:proofErr w:type="spellEnd"/>
      <w:r w:rsidR="008767F8" w:rsidRPr="008767F8">
        <w:rPr>
          <w:color w:val="FF0000"/>
        </w:rPr>
        <w:t>® (Barcelona, Spain).</w:t>
      </w:r>
      <w:r w:rsidR="008767F8">
        <w:t xml:space="preserve"> </w:t>
      </w:r>
      <w:bookmarkEnd w:id="2"/>
      <w:r w:rsidR="00293D39">
        <w:t xml:space="preserve">The nutrient solution composition </w:t>
      </w:r>
      <w:r w:rsidR="00043F24">
        <w:t xml:space="preserve">was described in </w:t>
      </w:r>
      <w:r w:rsidR="005F273B" w:rsidRPr="005F273B">
        <w:rPr>
          <w:noProof/>
        </w:rPr>
        <w:t xml:space="preserve">González-Martín et al. </w:t>
      </w:r>
      <w:r w:rsidR="005F273B">
        <w:fldChar w:fldCharType="begin" w:fldLock="1"/>
      </w:r>
      <w:r w:rsidR="00560649">
        <w:instrText>ADDIN CSL_CITATION {"citationItems":[{"id":"ITEM-1","itemData":{"DOI":"10.1016/j.chemosphere.2021.132182","ISSN":"00456535","author":[{"dropping-particle":"","family":"González-Martín","given":"Javier","non-dropping-particle":"","parse-names":false,"suffix":""},{"dropping-particle":"","family":"Cantera","given":"Sara","non-dropping-particle":"","parse-names":false,"suffix":""},{"dropping-particle":"","family":"Lebrero","given":"Raquel","non-dropping-particle":"","parse-names":false,"suffix":""},{"dropping-particle":"","family":"Muñoz","given":"Raúl","non-dropping-particle":"","parse-names":false,"suffix":""}],"container-title":"Chemosphere","id":"ITEM-1","issued":{"date-parts":[["2021"]]},"page":"132182","title":"Optimization of acrylic-styrene latex-based biofilms as a platform for biological indoor air treatment","type":"article-journal","volume":"287"},"uris":["http://www.mendeley.com/documents/?uuid=e0c51b94-226c-439c-a175-88f674675455"]}],"mendeley":{"formattedCitation":"(González-Martín et al., 2021a)","manualFormatting":"(2021a)","plainTextFormattedCitation":"(González-Martín et al., 2021a)","previouslyFormattedCitation":"(González-Martín et al., 2021a)"},"properties":{"noteIndex":0},"schema":"https://github.com/citation-style-language/schema/raw/master/csl-citation.json"}</w:instrText>
      </w:r>
      <w:r w:rsidR="005F273B">
        <w:fldChar w:fldCharType="separate"/>
      </w:r>
      <w:r w:rsidR="005F273B" w:rsidRPr="005F273B">
        <w:rPr>
          <w:noProof/>
        </w:rPr>
        <w:t>(2021a)</w:t>
      </w:r>
      <w:r w:rsidR="005F273B">
        <w:fldChar w:fldCharType="end"/>
      </w:r>
      <w:r w:rsidR="00043F24">
        <w:t>.</w:t>
      </w:r>
      <w:r w:rsidR="00FA136B">
        <w:t xml:space="preserve"> </w:t>
      </w:r>
      <w:r w:rsidR="0036213B">
        <w:t xml:space="preserve">For the formulation of bioactive coatings, </w:t>
      </w:r>
      <w:r w:rsidR="00744828" w:rsidRPr="00744828">
        <w:t>PRIMAL™ SF-208 ER</w:t>
      </w:r>
      <w:r w:rsidR="0036213B">
        <w:t xml:space="preserve"> </w:t>
      </w:r>
      <w:r w:rsidR="00744828">
        <w:t>(</w:t>
      </w:r>
      <w:r w:rsidR="0036213B">
        <w:t>acr</w:t>
      </w:r>
      <w:r w:rsidR="00E94460">
        <w:t>ylic-styrene copolymer</w:t>
      </w:r>
      <w:r w:rsidR="00EB6A7E">
        <w:t>,</w:t>
      </w:r>
      <w:r w:rsidR="00E94460">
        <w:t xml:space="preserve"> </w:t>
      </w:r>
      <w:r w:rsidR="00EB6A7E" w:rsidRPr="00EB6A7E">
        <w:t>solids content 48.05</w:t>
      </w:r>
      <w:r w:rsidR="00A51A02">
        <w:t xml:space="preserve"> </w:t>
      </w:r>
      <w:r w:rsidR="00EB6A7E" w:rsidRPr="00EB6A7E">
        <w:t>%; pH 8.0</w:t>
      </w:r>
      <w:r w:rsidR="00A51A02">
        <w:t xml:space="preserve"> </w:t>
      </w:r>
      <w:r w:rsidR="00EB6A7E" w:rsidRPr="00EB6A7E">
        <w:t>-</w:t>
      </w:r>
      <w:r w:rsidR="00A51A02">
        <w:t xml:space="preserve"> </w:t>
      </w:r>
      <w:r w:rsidR="00EB6A7E" w:rsidRPr="00EB6A7E">
        <w:t>9.5; Dow Chemical, Germany)</w:t>
      </w:r>
      <w:r w:rsidR="00EB6A7E">
        <w:t xml:space="preserve"> </w:t>
      </w:r>
      <w:r w:rsidR="00E94460">
        <w:t>was used</w:t>
      </w:r>
      <w:r w:rsidR="00EB6A7E">
        <w:t>. A</w:t>
      </w:r>
      <w:r w:rsidR="005A639C">
        <w:t xml:space="preserve">dditionally, </w:t>
      </w:r>
      <w:r w:rsidR="000A2119" w:rsidRPr="005A639C">
        <w:t>D (</w:t>
      </w:r>
      <w:r w:rsidR="005A639C" w:rsidRPr="005A639C">
        <w:t xml:space="preserve">+)-saccharose </w:t>
      </w:r>
      <w:r w:rsidR="005A639C">
        <w:t>and glycerol were used</w:t>
      </w:r>
      <w:r w:rsidR="00126E24">
        <w:t xml:space="preserve"> as </w:t>
      </w:r>
      <w:proofErr w:type="spellStart"/>
      <w:r w:rsidR="00126E24">
        <w:t>osmoprotectants</w:t>
      </w:r>
      <w:proofErr w:type="spellEnd"/>
      <w:r w:rsidR="00126E24">
        <w:t xml:space="preserve">. </w:t>
      </w:r>
      <w:r w:rsidR="00FA136B">
        <w:t xml:space="preserve">Salts for nutrient solution, </w:t>
      </w:r>
      <w:r w:rsidR="008665B7">
        <w:t xml:space="preserve">glycerol, </w:t>
      </w:r>
      <w:r w:rsidR="000F4BB9" w:rsidRPr="000F4BB9">
        <w:rPr>
          <w:color w:val="FF0000"/>
        </w:rPr>
        <w:t>n-hexane</w:t>
      </w:r>
      <w:r w:rsidR="00FA136B" w:rsidRPr="009A506F">
        <w:t xml:space="preserve"> and toluene were supplied by </w:t>
      </w:r>
      <w:proofErr w:type="spellStart"/>
      <w:r w:rsidR="00FA136B" w:rsidRPr="009A506F">
        <w:t>Panreac</w:t>
      </w:r>
      <w:proofErr w:type="spellEnd"/>
      <w:r w:rsidR="00FA136B" w:rsidRPr="009A506F">
        <w:t>® (Barcelona, Spain)</w:t>
      </w:r>
      <w:r w:rsidR="008665B7">
        <w:t xml:space="preserve">, </w:t>
      </w:r>
      <w:r w:rsidR="000F4BB9" w:rsidRPr="000F4BB9">
        <w:rPr>
          <w:color w:val="FF0000"/>
        </w:rPr>
        <w:t>α-pinene</w:t>
      </w:r>
      <w:r w:rsidR="00FA136B" w:rsidRPr="00293D39">
        <w:t xml:space="preserve"> was supplied by Sigma-Aldrich (Madrid, Spain)</w:t>
      </w:r>
      <w:r w:rsidR="008665B7">
        <w:t xml:space="preserve"> and </w:t>
      </w:r>
      <w:r w:rsidR="00AF5158" w:rsidRPr="00AF5158">
        <w:t>D</w:t>
      </w:r>
      <w:r w:rsidR="000A2119">
        <w:t xml:space="preserve"> </w:t>
      </w:r>
      <w:r w:rsidR="00AF5158" w:rsidRPr="00AF5158">
        <w:t>(+)-saccharose</w:t>
      </w:r>
      <w:r w:rsidR="00AF5158">
        <w:t xml:space="preserve"> was supplied by </w:t>
      </w:r>
      <w:proofErr w:type="spellStart"/>
      <w:r w:rsidR="00AF5158" w:rsidRPr="00AF5158">
        <w:t>Labkem</w:t>
      </w:r>
      <w:proofErr w:type="spellEnd"/>
      <w:r w:rsidR="00AF5158" w:rsidRPr="00AF5158">
        <w:t xml:space="preserve"> (Barcelona Spain)</w:t>
      </w:r>
      <w:r w:rsidR="00AF5158">
        <w:t>.</w:t>
      </w:r>
    </w:p>
    <w:p w14:paraId="1C62A971" w14:textId="4F64CC90" w:rsidR="00744C1A" w:rsidRPr="00744C1A" w:rsidRDefault="007E3DCD" w:rsidP="00744C1A">
      <w:pPr>
        <w:pStyle w:val="CETheadingx"/>
      </w:pPr>
      <w:r>
        <w:t>Microorganisms</w:t>
      </w:r>
      <w:r w:rsidR="00BA4817">
        <w:t xml:space="preserve"> and biocoating preparation</w:t>
      </w:r>
    </w:p>
    <w:p w14:paraId="5CBFB76D" w14:textId="22993253" w:rsidR="007E3DCD" w:rsidRDefault="00536A58" w:rsidP="007E3DCD">
      <w:pPr>
        <w:pStyle w:val="CETBodytext"/>
      </w:pPr>
      <w:r>
        <w:t xml:space="preserve">An enriched bacterial culture was used for BR 1 and BR 2. </w:t>
      </w:r>
      <w:r w:rsidR="00F260B9">
        <w:t>For the enrichment,</w:t>
      </w:r>
      <w:r w:rsidR="005B487D">
        <w:t xml:space="preserve"> activated sludge </w:t>
      </w:r>
      <w:r w:rsidR="00A00AEC">
        <w:t xml:space="preserve">was fed for </w:t>
      </w:r>
      <w:r w:rsidR="00BA4817">
        <w:t>3</w:t>
      </w:r>
      <w:r w:rsidR="00A00AEC">
        <w:t xml:space="preserve"> months with toluene, </w:t>
      </w:r>
      <w:r w:rsidR="000F4BB9" w:rsidRPr="000F4BB9">
        <w:rPr>
          <w:color w:val="FF0000"/>
        </w:rPr>
        <w:t>α-pinene</w:t>
      </w:r>
      <w:r w:rsidR="00A00AEC">
        <w:t xml:space="preserve"> and</w:t>
      </w:r>
      <w:r w:rsidR="000F4BB9" w:rsidRPr="000F4BB9">
        <w:rPr>
          <w:color w:val="FF0000"/>
        </w:rPr>
        <w:t xml:space="preserve"> n-hexane</w:t>
      </w:r>
      <w:r w:rsidR="00BA4817">
        <w:t xml:space="preserve"> in a </w:t>
      </w:r>
      <w:r w:rsidR="00BA4D3E">
        <w:t>3-liter</w:t>
      </w:r>
      <w:r w:rsidR="00BA4817">
        <w:t xml:space="preserve"> </w:t>
      </w:r>
      <w:r w:rsidR="001007D4">
        <w:t xml:space="preserve">stirred </w:t>
      </w:r>
      <w:r w:rsidR="00457041">
        <w:t>tank bioreactor</w:t>
      </w:r>
      <w:r w:rsidR="00A00AEC">
        <w:t xml:space="preserve">. On the other hand, BR 3 was inoculated with </w:t>
      </w:r>
      <w:r w:rsidR="008D5EE2">
        <w:t>fresh activated sludge</w:t>
      </w:r>
      <w:r w:rsidR="00457041">
        <w:t xml:space="preserve"> obtained</w:t>
      </w:r>
      <w:r w:rsidR="00DD5E64">
        <w:t xml:space="preserve"> from a local wastewater treatment plant.</w:t>
      </w:r>
    </w:p>
    <w:p w14:paraId="5F9D9351" w14:textId="5CD74F2F" w:rsidR="0042155B" w:rsidRPr="00D920D0" w:rsidRDefault="00524203" w:rsidP="00D920D0">
      <w:pPr>
        <w:pStyle w:val="CETBodytext"/>
      </w:pPr>
      <w:r>
        <w:t>Bioactive coatings were used in BR 2 and BR 3</w:t>
      </w:r>
      <w:r w:rsidR="00735E17">
        <w:t xml:space="preserve">, while BR 1 was operated as </w:t>
      </w:r>
      <w:r w:rsidR="00A96A28">
        <w:t>a conventional biofilm bioreactor</w:t>
      </w:r>
      <w:r w:rsidR="00004B86">
        <w:t xml:space="preserve"> to compare the performance</w:t>
      </w:r>
      <w:r>
        <w:t xml:space="preserve">. The formulation </w:t>
      </w:r>
      <w:r w:rsidR="00E02F35">
        <w:t>of</w:t>
      </w:r>
      <w:r w:rsidR="00A96A28">
        <w:t xml:space="preserve"> bioactive coatings </w:t>
      </w:r>
      <w:r>
        <w:t xml:space="preserve">consisted of </w:t>
      </w:r>
      <w:r w:rsidR="00B01B90">
        <w:t>115 mL of raw polymer suspension</w:t>
      </w:r>
      <w:r w:rsidR="00605DA2">
        <w:t xml:space="preserve"> mixed with </w:t>
      </w:r>
      <w:r w:rsidR="00B01B90">
        <w:t xml:space="preserve">30 mL of </w:t>
      </w:r>
      <w:r w:rsidR="00605DA2">
        <w:t xml:space="preserve">a </w:t>
      </w:r>
      <w:r w:rsidR="009821D9">
        <w:t>saccharose solution (0.72 g L</w:t>
      </w:r>
      <w:r w:rsidR="009821D9" w:rsidRPr="00605DA2">
        <w:rPr>
          <w:vertAlign w:val="superscript"/>
        </w:rPr>
        <w:t>-1</w:t>
      </w:r>
      <w:r w:rsidR="009821D9">
        <w:t>) and 16 mL of glycerol (100</w:t>
      </w:r>
      <w:r w:rsidR="00615D13">
        <w:t xml:space="preserve"> </w:t>
      </w:r>
      <w:r w:rsidR="00605DA2">
        <w:t>% V/V)</w:t>
      </w:r>
      <w:r w:rsidR="00E02F35">
        <w:t xml:space="preserve">, </w:t>
      </w:r>
      <w:r w:rsidR="00F260B9">
        <w:t xml:space="preserve">as described in </w:t>
      </w:r>
      <w:r w:rsidR="001B4788" w:rsidRPr="0078688E">
        <w:rPr>
          <w:noProof/>
        </w:rPr>
        <w:t>Gosse and Flickinger</w:t>
      </w:r>
      <w:r w:rsidR="001B4788">
        <w:t xml:space="preserve"> </w:t>
      </w:r>
      <w:r w:rsidR="0078688E">
        <w:fldChar w:fldCharType="begin" w:fldLock="1"/>
      </w:r>
      <w:r w:rsidR="001B4788">
        <w:instrText>ADDIN CSL_CITATION {"citationItems":[{"id":"ITEM-1","itemData":{"DOI":"10.1007/978-1-61779-132-1_17","ISBN":"9781617791321","ISSN":"19406029","PMID":"21553194","abstract":"This chapter describes a method for generating uniform lab-scale biocatalytic nanoporous latex coatings. Nearly everything we come into contact with on a daily basis has been coated with some polymer material. High-speed waterborne polymer coating and ink-jet printing techniques are mature technologies. Methods for immobilizing microorganisms in lab-scale waterborne latex biocatalytic coatings draw on existing coating technologies for generating precision industrial paint and paper coatings and would therefore be amenable to scale up in future applications. An inherent problem for many lab-scale techniques is coating uniformity. The method described here has been developed to dramatically increase the uniformity of multiple individual small surface area coatings derived from a single coating template by minimizing edge effects due to emulsion drying adjacent to the edge of the mask.","author":[{"dropping-particle":"","family":"Gosse","given":"Jimmy L.","non-dropping-particle":"","parse-names":false,"suffix":""},{"dropping-particle":"","family":"Flickinger","given":"Michael C.","non-dropping-particle":"","parse-names":false,"suffix":""}],"chapter-number":"17","container-title":"Nanoscale Biocatalysis (Methods and Protocols)","editor":[{"dropping-particle":"","family":"Wang","given":"Ping","non-dropping-particle":"","parse-names":false,"suffix":""}],"id":"ITEM-1","issued":{"date-parts":[["2011"]]},"page":"213-222","publisher":"Humana Press","title":"Uniform Lab-Scale Biocatalytic Nanoporous Latex Coatings for Reactive Microorganisms","type":"chapter","volume":"743"},"uris":["http://www.mendeley.com/documents/?uuid=cd02f6c3-ada3-4c0e-af6f-b957ab6787ea"]}],"mendeley":{"formattedCitation":"(Gosse and Flickinger, 2011)","manualFormatting":"(2011)","plainTextFormattedCitation":"(Gosse and Flickinger, 2011)","previouslyFormattedCitation":"(Gosse and Flickinger, 2011)"},"properties":{"noteIndex":0},"schema":"https://github.com/citation-style-language/schema/raw/master/csl-citation.json"}</w:instrText>
      </w:r>
      <w:r w:rsidR="0078688E">
        <w:fldChar w:fldCharType="separate"/>
      </w:r>
      <w:r w:rsidR="0078688E" w:rsidRPr="0078688E">
        <w:rPr>
          <w:noProof/>
        </w:rPr>
        <w:t>(2011)</w:t>
      </w:r>
      <w:r w:rsidR="0078688E">
        <w:fldChar w:fldCharType="end"/>
      </w:r>
      <w:r w:rsidR="00605DA2">
        <w:t>.</w:t>
      </w:r>
      <w:r w:rsidR="00A96A28">
        <w:t xml:space="preserve"> For BR 1, the polymer was replaced </w:t>
      </w:r>
      <w:r w:rsidR="00A14381">
        <w:t>with distilled water.</w:t>
      </w:r>
      <w:r w:rsidR="00605DA2">
        <w:t xml:space="preserve"> The </w:t>
      </w:r>
      <w:r w:rsidR="00591416">
        <w:t xml:space="preserve">microorganisms were obtained by centrifugation </w:t>
      </w:r>
      <w:r w:rsidR="00032244">
        <w:t>of an aliquot of</w:t>
      </w:r>
      <w:r w:rsidR="00591416">
        <w:t xml:space="preserve"> enriched culture/activated sludge (10000 rpm</w:t>
      </w:r>
      <w:r w:rsidR="006E2346">
        <w:t>; 10 min; 4</w:t>
      </w:r>
      <w:r w:rsidR="00615D13">
        <w:t xml:space="preserve"> </w:t>
      </w:r>
      <w:r w:rsidR="006E2346">
        <w:t xml:space="preserve">ºC) to </w:t>
      </w:r>
      <w:r w:rsidR="00032244">
        <w:t>obtain</w:t>
      </w:r>
      <w:r w:rsidR="006E2346">
        <w:t xml:space="preserve"> </w:t>
      </w:r>
      <w:r w:rsidR="00032244">
        <w:rPr>
          <w:rFonts w:cs="Arial"/>
        </w:rPr>
        <w:t>≈</w:t>
      </w:r>
      <w:r w:rsidR="00615D13">
        <w:rPr>
          <w:rFonts w:cs="Arial"/>
        </w:rPr>
        <w:t xml:space="preserve"> </w:t>
      </w:r>
      <w:r w:rsidR="006E2346">
        <w:t xml:space="preserve">1.4 g </w:t>
      </w:r>
      <w:r w:rsidR="00615410">
        <w:t>(</w:t>
      </w:r>
      <w:r w:rsidR="006E2346">
        <w:t>dry weight</w:t>
      </w:r>
      <w:r w:rsidR="00615410">
        <w:t>) for each bioreactor.</w:t>
      </w:r>
      <w:r w:rsidR="00032244">
        <w:t xml:space="preserve"> The cell pellet was then </w:t>
      </w:r>
      <w:r w:rsidR="0058148A">
        <w:t>mixed homogenously with t</w:t>
      </w:r>
      <w:r w:rsidR="00A14381">
        <w:t xml:space="preserve">he formulation and applied to the </w:t>
      </w:r>
      <w:r w:rsidR="00542A72">
        <w:t xml:space="preserve">previously washed and dried expanded </w:t>
      </w:r>
      <w:r w:rsidR="00BA4D3E">
        <w:t>clay beads</w:t>
      </w:r>
      <w:r w:rsidR="00926883">
        <w:t xml:space="preserve">. The coated packing was left to dry </w:t>
      </w:r>
      <w:r w:rsidR="00B62920">
        <w:t xml:space="preserve">overnight before </w:t>
      </w:r>
      <w:r w:rsidR="00542A72">
        <w:t>the start of the experiment.</w:t>
      </w:r>
    </w:p>
    <w:p w14:paraId="63076154" w14:textId="6B23CB2F" w:rsidR="007E3DCD" w:rsidRDefault="007E3DCD" w:rsidP="007E3DCD">
      <w:pPr>
        <w:pStyle w:val="CETheadingx"/>
      </w:pPr>
      <w:r>
        <w:t xml:space="preserve">Experimental </w:t>
      </w:r>
      <w:r w:rsidR="002F7E12">
        <w:t>conditions</w:t>
      </w:r>
    </w:p>
    <w:p w14:paraId="7DB50F4C" w14:textId="69331FF9" w:rsidR="00744C1A" w:rsidRPr="00744C1A" w:rsidRDefault="002244E6" w:rsidP="00D920D0">
      <w:pPr>
        <w:pStyle w:val="CETBodytext"/>
      </w:pPr>
      <w:bookmarkStart w:id="3" w:name="_Hlk109396838"/>
      <w:r>
        <w:t xml:space="preserve">The </w:t>
      </w:r>
      <w:r w:rsidR="00D22113">
        <w:t xml:space="preserve">218-day </w:t>
      </w:r>
      <w:r>
        <w:t xml:space="preserve">experiment was divided in 8 </w:t>
      </w:r>
      <w:r w:rsidR="00C24C63">
        <w:t>stage</w:t>
      </w:r>
      <w:r>
        <w:t>s</w:t>
      </w:r>
      <w:r w:rsidR="000222FD">
        <w:t xml:space="preserve">, </w:t>
      </w:r>
      <w:r w:rsidR="000222FD" w:rsidRPr="000222FD">
        <w:rPr>
          <w:color w:val="FF0000"/>
        </w:rPr>
        <w:t xml:space="preserve">ended when a steady state of VOC removal was achieved. </w:t>
      </w:r>
      <w:r w:rsidR="00527083" w:rsidRPr="00527083">
        <w:rPr>
          <w:color w:val="FF0000"/>
        </w:rPr>
        <w:t>Inlet air was humidified by using a 1 m water column prior to VOC addition.</w:t>
      </w:r>
      <w:r w:rsidR="00527083">
        <w:t xml:space="preserve"> </w:t>
      </w:r>
      <w:bookmarkEnd w:id="3"/>
      <w:r>
        <w:t xml:space="preserve">Stages 1 to </w:t>
      </w:r>
      <w:r w:rsidR="00686B68">
        <w:t>4 consisted of progressive EBRT decreases (120</w:t>
      </w:r>
      <w:r w:rsidR="00A265E0">
        <w:t>, 60</w:t>
      </w:r>
      <w:r w:rsidR="00EB2269">
        <w:t xml:space="preserve">, </w:t>
      </w:r>
      <w:r w:rsidR="00A265E0">
        <w:t xml:space="preserve">30 and </w:t>
      </w:r>
      <w:r w:rsidR="00686B68">
        <w:t xml:space="preserve">15 s) by increasing air flow, while </w:t>
      </w:r>
      <w:r w:rsidR="00C535FB">
        <w:t xml:space="preserve">maintaining </w:t>
      </w:r>
      <w:r w:rsidR="00567FDD">
        <w:t>the same inlet concentrations</w:t>
      </w:r>
      <w:r w:rsidR="00B14EE2">
        <w:t xml:space="preserve"> (average </w:t>
      </w:r>
      <w:r w:rsidR="005C3778" w:rsidRPr="005C3778">
        <w:t>15.2 ± 2.3</w:t>
      </w:r>
      <w:r w:rsidR="005C3778">
        <w:t xml:space="preserve">, </w:t>
      </w:r>
      <w:r w:rsidR="005C3778" w:rsidRPr="005C3778">
        <w:t xml:space="preserve">15.7 ± 3.2 </w:t>
      </w:r>
      <w:r w:rsidR="005C3778">
        <w:t xml:space="preserve">and </w:t>
      </w:r>
      <w:r w:rsidR="009205DC" w:rsidRPr="009205DC">
        <w:t>9.1 ± 3.4</w:t>
      </w:r>
      <w:r w:rsidR="009205DC">
        <w:t xml:space="preserve"> </w:t>
      </w:r>
      <w:r w:rsidR="005C3778" w:rsidRPr="005C3778">
        <w:t>mg m</w:t>
      </w:r>
      <w:r w:rsidR="005C3778" w:rsidRPr="009205DC">
        <w:rPr>
          <w:vertAlign w:val="superscript"/>
        </w:rPr>
        <w:t>-3</w:t>
      </w:r>
      <w:r w:rsidR="009205DC">
        <w:t xml:space="preserve"> for toluene, </w:t>
      </w:r>
      <w:r w:rsidR="000F4BB9" w:rsidRPr="000F4BB9">
        <w:rPr>
          <w:color w:val="FF0000"/>
        </w:rPr>
        <w:t>α-pinene</w:t>
      </w:r>
      <w:r w:rsidR="009205DC">
        <w:t xml:space="preserve"> and</w:t>
      </w:r>
      <w:r w:rsidR="000F4BB9" w:rsidRPr="000F4BB9">
        <w:rPr>
          <w:color w:val="FF0000"/>
        </w:rPr>
        <w:t xml:space="preserve"> n-hexane</w:t>
      </w:r>
      <w:r w:rsidR="00C535FB">
        <w:t>, respectively</w:t>
      </w:r>
      <w:r w:rsidR="009205DC">
        <w:t>)</w:t>
      </w:r>
      <w:r w:rsidR="00567FDD">
        <w:t xml:space="preserve">. </w:t>
      </w:r>
      <w:bookmarkStart w:id="4" w:name="_Hlk109399536"/>
      <w:r w:rsidR="00567FDD">
        <w:t xml:space="preserve">At </w:t>
      </w:r>
      <w:r w:rsidR="00C24C63">
        <w:t>Stage</w:t>
      </w:r>
      <w:r w:rsidR="00567FDD">
        <w:t xml:space="preserve"> 5, the irrigation frequency was changed from </w:t>
      </w:r>
      <w:r w:rsidR="00774268" w:rsidRPr="00774268">
        <w:rPr>
          <w:color w:val="FF0000"/>
        </w:rPr>
        <w:t xml:space="preserve">an intermittent mode of </w:t>
      </w:r>
      <w:r w:rsidR="009F2BFB">
        <w:t>100 mL day</w:t>
      </w:r>
      <w:r w:rsidR="009F2BFB" w:rsidRPr="00D10873">
        <w:rPr>
          <w:vertAlign w:val="superscript"/>
        </w:rPr>
        <w:t>-1</w:t>
      </w:r>
      <w:r w:rsidR="00774268">
        <w:t xml:space="preserve">, </w:t>
      </w:r>
      <w:r w:rsidR="009F2BFB">
        <w:t>divided in 16 intervals</w:t>
      </w:r>
      <w:r w:rsidR="00D10873" w:rsidRPr="00774268">
        <w:rPr>
          <w:color w:val="FF0000"/>
        </w:rPr>
        <w:t xml:space="preserve">, to </w:t>
      </w:r>
      <w:r w:rsidR="00774268" w:rsidRPr="00774268">
        <w:rPr>
          <w:color w:val="FF0000"/>
        </w:rPr>
        <w:t xml:space="preserve">a </w:t>
      </w:r>
      <w:r w:rsidR="00774268" w:rsidRPr="00774268">
        <w:rPr>
          <w:color w:val="FF0000"/>
        </w:rPr>
        <w:t>continuous recirculation</w:t>
      </w:r>
      <w:r w:rsidR="00774268" w:rsidRPr="00774268">
        <w:rPr>
          <w:color w:val="FF0000"/>
        </w:rPr>
        <w:t xml:space="preserve"> </w:t>
      </w:r>
      <w:r w:rsidR="00774268">
        <w:t xml:space="preserve">of </w:t>
      </w:r>
      <w:r w:rsidR="00D10873">
        <w:t xml:space="preserve">8 </w:t>
      </w:r>
      <w:r w:rsidR="000A2119">
        <w:t xml:space="preserve">L </w:t>
      </w:r>
      <w:r w:rsidR="00C45698">
        <w:t>d</w:t>
      </w:r>
      <w:r w:rsidR="000A2119">
        <w:t>ay</w:t>
      </w:r>
      <w:r w:rsidR="00D10873" w:rsidRPr="00D10873">
        <w:rPr>
          <w:vertAlign w:val="superscript"/>
        </w:rPr>
        <w:t>-1</w:t>
      </w:r>
      <w:r w:rsidR="00A265E0" w:rsidRPr="00F0602B">
        <w:t>, maintaining EBRT and inlet concentration</w:t>
      </w:r>
      <w:r w:rsidR="00D10873" w:rsidRPr="00F0602B">
        <w:t>.</w:t>
      </w:r>
      <w:r w:rsidR="00A247E9" w:rsidRPr="00F0602B">
        <w:t xml:space="preserve"> </w:t>
      </w:r>
      <w:bookmarkEnd w:id="4"/>
      <w:r w:rsidR="00A247E9" w:rsidRPr="00F0602B">
        <w:lastRenderedPageBreak/>
        <w:t xml:space="preserve">From </w:t>
      </w:r>
      <w:r w:rsidR="00C24C63" w:rsidRPr="00F0602B">
        <w:t>Stage</w:t>
      </w:r>
      <w:r w:rsidR="00C535FB" w:rsidRPr="00F0602B">
        <w:t>s</w:t>
      </w:r>
      <w:r w:rsidR="00A247E9" w:rsidRPr="00F0602B">
        <w:t xml:space="preserve"> 5 to 8, the inlet concentrations</w:t>
      </w:r>
      <w:r w:rsidR="00EA7F82" w:rsidRPr="00F0602B">
        <w:t xml:space="preserve"> (</w:t>
      </w:r>
      <w:r w:rsidR="00F0602B" w:rsidRPr="00F0602B">
        <w:t>T</w:t>
      </w:r>
      <w:r w:rsidR="00EA7F82" w:rsidRPr="00F0602B">
        <w:t>able 1)</w:t>
      </w:r>
      <w:r w:rsidR="00A247E9" w:rsidRPr="00F0602B">
        <w:t xml:space="preserve"> were r</w:t>
      </w:r>
      <w:r w:rsidR="00A247E9">
        <w:t xml:space="preserve">educed by decreasing </w:t>
      </w:r>
      <w:r w:rsidR="00D41AFC">
        <w:t>the inlet VOC flow rate</w:t>
      </w:r>
      <w:r w:rsidR="00CC1CA6">
        <w:t xml:space="preserve"> </w:t>
      </w:r>
      <w:r w:rsidR="00C535FB">
        <w:t>at a constant</w:t>
      </w:r>
      <w:r w:rsidR="00CC1CA6">
        <w:t xml:space="preserve"> EBRT </w:t>
      </w:r>
      <w:r w:rsidR="00C535FB">
        <w:t xml:space="preserve">of </w:t>
      </w:r>
      <w:r w:rsidR="00CC1CA6">
        <w:t>15 s</w:t>
      </w:r>
      <w:r w:rsidR="00D45E6A">
        <w:t xml:space="preserve">, to achieve </w:t>
      </w:r>
      <w:r w:rsidR="00B72178" w:rsidRPr="00B72178">
        <w:t>toluene</w:t>
      </w:r>
      <w:r w:rsidR="0005728D">
        <w:t xml:space="preserve">, </w:t>
      </w:r>
      <w:r w:rsidR="000F4BB9" w:rsidRPr="000F4BB9">
        <w:rPr>
          <w:color w:val="FF0000"/>
        </w:rPr>
        <w:t>α-pinene</w:t>
      </w:r>
      <w:r w:rsidR="0005728D">
        <w:t xml:space="preserve"> and</w:t>
      </w:r>
      <w:r w:rsidR="000F4BB9" w:rsidRPr="000F4BB9">
        <w:rPr>
          <w:color w:val="FF0000"/>
        </w:rPr>
        <w:t xml:space="preserve"> n-hexane</w:t>
      </w:r>
      <w:r w:rsidR="0005728D">
        <w:t xml:space="preserve"> </w:t>
      </w:r>
      <w:r w:rsidR="00D45E6A">
        <w:t>concentrations of</w:t>
      </w:r>
      <w:r w:rsidR="007A1948">
        <w:t xml:space="preserve"> </w:t>
      </w:r>
      <w:r w:rsidR="00B207D2">
        <w:t>14.4</w:t>
      </w:r>
      <w:r w:rsidR="0005728D">
        <w:t xml:space="preserve"> </w:t>
      </w:r>
      <w:r w:rsidR="0005728D" w:rsidRPr="00B72178">
        <w:t>±</w:t>
      </w:r>
      <w:r w:rsidR="0005728D">
        <w:t xml:space="preserve"> </w:t>
      </w:r>
      <w:r w:rsidR="00B207D2">
        <w:t xml:space="preserve">1.5, </w:t>
      </w:r>
      <w:r w:rsidR="0005728D">
        <w:t xml:space="preserve">15.9 </w:t>
      </w:r>
      <w:r w:rsidR="0005728D" w:rsidRPr="00B72178">
        <w:t>±</w:t>
      </w:r>
      <w:r w:rsidR="0005728D">
        <w:t xml:space="preserve"> 2.6, </w:t>
      </w:r>
      <w:r w:rsidR="00B207D2">
        <w:t xml:space="preserve">and </w:t>
      </w:r>
      <w:r w:rsidR="0005728D">
        <w:t xml:space="preserve">14.2 </w:t>
      </w:r>
      <w:r w:rsidR="0005728D" w:rsidRPr="00B72178">
        <w:t>±</w:t>
      </w:r>
      <w:r w:rsidR="0005728D">
        <w:t xml:space="preserve"> 1.9</w:t>
      </w:r>
      <w:r w:rsidR="00B207D2">
        <w:t xml:space="preserve"> </w:t>
      </w:r>
      <w:r w:rsidR="00C45698" w:rsidRPr="00B72178">
        <w:t>mg m</w:t>
      </w:r>
      <w:r w:rsidR="00C45698" w:rsidRPr="00C45698">
        <w:rPr>
          <w:vertAlign w:val="superscript"/>
        </w:rPr>
        <w:t>-3</w:t>
      </w:r>
      <w:r w:rsidR="00C45698" w:rsidRPr="00B72178">
        <w:t xml:space="preserve"> </w:t>
      </w:r>
      <w:r w:rsidR="00B207D2">
        <w:t xml:space="preserve">in </w:t>
      </w:r>
      <w:r w:rsidR="00C24C63">
        <w:t>Stage</w:t>
      </w:r>
      <w:r w:rsidR="00B207D2">
        <w:t xml:space="preserve"> 5</w:t>
      </w:r>
      <w:r w:rsidR="00C535FB">
        <w:t>;</w:t>
      </w:r>
      <w:r w:rsidR="00B72178" w:rsidRPr="00B72178">
        <w:t xml:space="preserve"> 7.7 ± 0.9</w:t>
      </w:r>
      <w:r w:rsidR="00D05BB8">
        <w:t xml:space="preserve">, </w:t>
      </w:r>
      <w:r w:rsidR="00B72178" w:rsidRPr="00B72178">
        <w:t>8.4 ± 1.1</w:t>
      </w:r>
      <w:r w:rsidR="00BA6957">
        <w:t xml:space="preserve"> and </w:t>
      </w:r>
      <w:r w:rsidR="00D05BB8" w:rsidRPr="00B72178">
        <w:t>5.8 ± 0.7</w:t>
      </w:r>
      <w:r w:rsidR="00B72178" w:rsidRPr="00B72178">
        <w:t xml:space="preserve"> mg m</w:t>
      </w:r>
      <w:r w:rsidR="00B72178" w:rsidRPr="00C45698">
        <w:rPr>
          <w:vertAlign w:val="superscript"/>
        </w:rPr>
        <w:t>-3</w:t>
      </w:r>
      <w:r w:rsidR="00B72178" w:rsidRPr="00B72178">
        <w:t xml:space="preserve"> in </w:t>
      </w:r>
      <w:r w:rsidR="00C24C63">
        <w:t>Stage</w:t>
      </w:r>
      <w:r w:rsidR="00B72178" w:rsidRPr="00B72178">
        <w:t xml:space="preserve"> 6</w:t>
      </w:r>
      <w:r w:rsidR="00C535FB">
        <w:t>;</w:t>
      </w:r>
      <w:r w:rsidR="00B72178" w:rsidRPr="00B72178">
        <w:t xml:space="preserve"> 4.2 ± 0.6</w:t>
      </w:r>
      <w:r w:rsidR="00EA56E6">
        <w:t xml:space="preserve">, </w:t>
      </w:r>
      <w:r w:rsidR="00B72178" w:rsidRPr="00B72178">
        <w:t>4.0 ± 0.8</w:t>
      </w:r>
      <w:r w:rsidR="00EA56E6">
        <w:t xml:space="preserve"> and </w:t>
      </w:r>
      <w:r w:rsidR="00EA56E6" w:rsidRPr="00B72178">
        <w:t xml:space="preserve">2.9 ± 0.4, </w:t>
      </w:r>
      <w:r w:rsidR="00B72178" w:rsidRPr="00B72178">
        <w:t xml:space="preserve"> mg m</w:t>
      </w:r>
      <w:r w:rsidR="00B72178" w:rsidRPr="00C45698">
        <w:rPr>
          <w:vertAlign w:val="superscript"/>
        </w:rPr>
        <w:t>-3</w:t>
      </w:r>
      <w:r w:rsidR="00B72178" w:rsidRPr="00B72178">
        <w:t xml:space="preserve"> in </w:t>
      </w:r>
      <w:r w:rsidR="00C24C63">
        <w:t>Stage</w:t>
      </w:r>
      <w:r w:rsidR="00B72178" w:rsidRPr="00B72178">
        <w:t xml:space="preserve"> 7</w:t>
      </w:r>
      <w:r w:rsidR="00C535FB">
        <w:t>;</w:t>
      </w:r>
      <w:r w:rsidR="00EA56E6">
        <w:t xml:space="preserve"> </w:t>
      </w:r>
      <w:r w:rsidR="00B72178" w:rsidRPr="00B72178">
        <w:t>and 2.0 ± 0.2</w:t>
      </w:r>
      <w:r w:rsidR="00C45698">
        <w:t xml:space="preserve">, </w:t>
      </w:r>
      <w:r w:rsidR="00B72178" w:rsidRPr="00B72178">
        <w:t>1.9 ±</w:t>
      </w:r>
      <w:r w:rsidR="00C45698">
        <w:t xml:space="preserve"> </w:t>
      </w:r>
      <w:r w:rsidR="00B72178" w:rsidRPr="00B72178">
        <w:t>0.1</w:t>
      </w:r>
      <w:r w:rsidR="00C45698">
        <w:t xml:space="preserve"> and </w:t>
      </w:r>
      <w:r w:rsidR="00C45698" w:rsidRPr="00B72178">
        <w:t>1.5 ± 0.2</w:t>
      </w:r>
      <w:r w:rsidR="00B72178" w:rsidRPr="00B72178">
        <w:t xml:space="preserve"> mg m</w:t>
      </w:r>
      <w:r w:rsidR="00B72178" w:rsidRPr="00C45698">
        <w:rPr>
          <w:vertAlign w:val="superscript"/>
        </w:rPr>
        <w:t>-3</w:t>
      </w:r>
      <w:r w:rsidR="00B72178" w:rsidRPr="00B72178">
        <w:t xml:space="preserve">  in </w:t>
      </w:r>
      <w:r w:rsidR="00C24C63">
        <w:t>Stage</w:t>
      </w:r>
      <w:r w:rsidR="00B72178" w:rsidRPr="00B72178">
        <w:t xml:space="preserve"> 8</w:t>
      </w:r>
      <w:r w:rsidR="009205DC">
        <w:t>.</w:t>
      </w:r>
    </w:p>
    <w:p w14:paraId="32F75592" w14:textId="77777777" w:rsidR="00BA4817" w:rsidRDefault="00BA4817" w:rsidP="00BA4817">
      <w:pPr>
        <w:pStyle w:val="CETheadingx"/>
      </w:pPr>
      <w:r>
        <w:t xml:space="preserve">Analytical </w:t>
      </w:r>
    </w:p>
    <w:p w14:paraId="4AD4C09E" w14:textId="4F72E933" w:rsidR="007E3DCD" w:rsidRDefault="00B36C23" w:rsidP="007E3DCD">
      <w:pPr>
        <w:pStyle w:val="CETBodytext"/>
      </w:pPr>
      <w:r>
        <w:t xml:space="preserve">For VOCs analysis, a preliminary preconcentration step was performed using a </w:t>
      </w:r>
      <w:r w:rsidR="00E4374E">
        <w:t xml:space="preserve">SPME fiber </w:t>
      </w:r>
      <w:r w:rsidR="00B75DAF" w:rsidRPr="00B75DAF">
        <w:t>(85 µm CAR/PDMS; Supelco, Bellefonte, USA)</w:t>
      </w:r>
      <w:r w:rsidR="00B75DAF">
        <w:t xml:space="preserve"> </w:t>
      </w:r>
      <w:r>
        <w:t xml:space="preserve">which was exposed for 10 min </w:t>
      </w:r>
      <w:r w:rsidR="00E4374E">
        <w:t>to the contaminated</w:t>
      </w:r>
      <w:r>
        <w:t xml:space="preserve"> </w:t>
      </w:r>
      <w:r w:rsidR="00E4374E">
        <w:t>air</w:t>
      </w:r>
      <w:r>
        <w:t xml:space="preserve"> contained</w:t>
      </w:r>
      <w:r w:rsidR="00E4374E">
        <w:t xml:space="preserve"> in 250 mL glass bulbs.</w:t>
      </w:r>
      <w:r w:rsidR="00762698">
        <w:t xml:space="preserve"> After that, </w:t>
      </w:r>
      <w:r w:rsidR="00CC7700">
        <w:t xml:space="preserve">the </w:t>
      </w:r>
      <w:r w:rsidR="00762698">
        <w:t>thermically desorbed</w:t>
      </w:r>
      <w:r w:rsidR="00CC7700">
        <w:t xml:space="preserve"> VOCs were analyzed in a GC-</w:t>
      </w:r>
      <w:r w:rsidR="00B75DAF">
        <w:t xml:space="preserve">FID </w:t>
      </w:r>
      <w:r w:rsidR="005A1D43" w:rsidRPr="005A1D43">
        <w:t>(Varian 3900</w:t>
      </w:r>
      <w:r w:rsidR="005A1D43">
        <w:t xml:space="preserve">; </w:t>
      </w:r>
      <w:r w:rsidR="005A1D43" w:rsidRPr="005A1D43">
        <w:t xml:space="preserve">Agilent HP-5MSI capillary </w:t>
      </w:r>
      <w:r w:rsidR="0055522D" w:rsidRPr="005A1D43">
        <w:t xml:space="preserve">column </w:t>
      </w:r>
      <w:r w:rsidR="0055522D">
        <w:t>of</w:t>
      </w:r>
      <w:r w:rsidR="005A1D43">
        <w:t xml:space="preserve"> </w:t>
      </w:r>
      <w:r w:rsidR="005A1D43" w:rsidRPr="005A1D43">
        <w:t>30</w:t>
      </w:r>
      <w:r w:rsidR="005A1D43">
        <w:t xml:space="preserve"> </w:t>
      </w:r>
      <w:r w:rsidR="005A1D43" w:rsidRPr="005A1D43">
        <w:t>m</w:t>
      </w:r>
      <w:r w:rsidR="005A1D43">
        <w:t xml:space="preserve"> </w:t>
      </w:r>
      <w:r w:rsidR="005A1D43" w:rsidRPr="005A1D43">
        <w:t>×</w:t>
      </w:r>
      <w:r w:rsidR="005A1D43">
        <w:t xml:space="preserve"> </w:t>
      </w:r>
      <w:r w:rsidR="005A1D43" w:rsidRPr="005A1D43">
        <w:t>0.25</w:t>
      </w:r>
      <w:r w:rsidR="005A1D43">
        <w:t xml:space="preserve"> </w:t>
      </w:r>
      <w:r w:rsidR="005A1D43" w:rsidRPr="005A1D43">
        <w:t>mm</w:t>
      </w:r>
      <w:r w:rsidR="005A1D43">
        <w:t xml:space="preserve"> </w:t>
      </w:r>
      <w:r w:rsidR="005A1D43" w:rsidRPr="005A1D43">
        <w:t>×</w:t>
      </w:r>
      <w:r w:rsidR="005A1D43">
        <w:t xml:space="preserve"> </w:t>
      </w:r>
      <w:r w:rsidR="005A1D43" w:rsidRPr="005A1D43">
        <w:t>0.25</w:t>
      </w:r>
      <w:r w:rsidR="005A1D43">
        <w:t xml:space="preserve"> </w:t>
      </w:r>
      <w:r w:rsidR="005A1D43" w:rsidRPr="005A1D43">
        <w:t>µm)</w:t>
      </w:r>
      <w:r w:rsidR="005A1D43">
        <w:t>.</w:t>
      </w:r>
      <w:r w:rsidR="00AC50EC">
        <w:t xml:space="preserve"> </w:t>
      </w:r>
      <w:r w:rsidR="00365E1E">
        <w:t xml:space="preserve">GC analysis parameters </w:t>
      </w:r>
      <w:r>
        <w:t>are</w:t>
      </w:r>
      <w:r w:rsidR="00AC50EC">
        <w:t xml:space="preserve"> described </w:t>
      </w:r>
      <w:r w:rsidR="00365E1E">
        <w:t>in</w:t>
      </w:r>
      <w:r w:rsidR="005F1B6A">
        <w:rPr>
          <w:noProof/>
        </w:rPr>
        <w:t xml:space="preserve"> </w:t>
      </w:r>
      <w:r w:rsidR="005F1B6A" w:rsidRPr="005F273B">
        <w:rPr>
          <w:noProof/>
        </w:rPr>
        <w:t xml:space="preserve">González-Martín </w:t>
      </w:r>
      <w:r w:rsidR="00034163">
        <w:fldChar w:fldCharType="begin" w:fldLock="1"/>
      </w:r>
      <w:r w:rsidR="005F1B6A">
        <w:instrText>ADDIN CSL_CITATION {"citationItems":[{"id":"ITEM-1","itemData":{"DOI":"10.1016/j.chemosphere.2021.132182","ISSN":"00456535","author":[{"dropping-particle":"","family":"González-Martín","given":"Javier","non-dropping-particle":"","parse-names":false,"suffix":""},{"dropping-particle":"","family":"Cantera","given":"Sara","non-dropping-particle":"","parse-names":false,"suffix":""},{"dropping-particle":"","family":"Lebrero","given":"Raquel","non-dropping-particle":"","parse-names":false,"suffix":""},{"dropping-particle":"","family":"Muñoz","given":"Raúl","non-dropping-particle":"","parse-names":false,"suffix":""}],"container-title":"Chemosphere","id":"ITEM-1","issued":{"date-parts":[["2021"]]},"page":"132182","title":"Optimization of acrylic-styrene latex-based biofilms as a platform for biological indoor air treatment","type":"article-journal","volume":"287"},"uris":["http://www.mendeley.com/documents/?uuid=e0c51b94-226c-439c-a175-88f674675455"]}],"mendeley":{"formattedCitation":"(González-Martín et al., 2021a)","manualFormatting":"(2021a)","plainTextFormattedCitation":"(González-Martín et al., 2021a)","previouslyFormattedCitation":"(González-Martín et al., 2021a)"},"properties":{"noteIndex":0},"schema":"https://github.com/citation-style-language/schema/raw/master/csl-citation.json"}</w:instrText>
      </w:r>
      <w:r w:rsidR="00034163">
        <w:fldChar w:fldCharType="separate"/>
      </w:r>
      <w:r w:rsidR="00034163" w:rsidRPr="00034163">
        <w:rPr>
          <w:noProof/>
        </w:rPr>
        <w:t>(2021a)</w:t>
      </w:r>
      <w:r w:rsidR="00034163">
        <w:fldChar w:fldCharType="end"/>
      </w:r>
      <w:r w:rsidR="00365E1E">
        <w:t>.</w:t>
      </w:r>
      <w:r w:rsidR="005F1B6A">
        <w:t xml:space="preserve"> </w:t>
      </w:r>
      <w:r w:rsidR="006131C7">
        <w:t xml:space="preserve">Odorous </w:t>
      </w:r>
      <w:r w:rsidR="00D102F8">
        <w:t>VOCs were measured every day</w:t>
      </w:r>
      <w:r w:rsidR="005F1B6A">
        <w:t xml:space="preserve"> at the inlet and outlet of the reactors</w:t>
      </w:r>
      <w:r w:rsidR="0000034C">
        <w:t xml:space="preserve">. </w:t>
      </w:r>
      <w:r w:rsidR="004D66AD">
        <w:t>A blank</w:t>
      </w:r>
      <w:r w:rsidR="0000034C">
        <w:t xml:space="preserve"> injection was performed </w:t>
      </w:r>
      <w:r>
        <w:t>prior analysis</w:t>
      </w:r>
      <w:r w:rsidR="00750658">
        <w:t xml:space="preserve"> to ensure a clean SP</w:t>
      </w:r>
      <w:r w:rsidR="004D66AD">
        <w:t>ME fiber. External standards of each compound were used for SPME calibration</w:t>
      </w:r>
      <w:r w:rsidR="004108C4">
        <w:t xml:space="preserve">. </w:t>
      </w:r>
    </w:p>
    <w:p w14:paraId="7BBB370D" w14:textId="66A9D753" w:rsidR="00A922FF" w:rsidRDefault="00A922FF" w:rsidP="00A922FF">
      <w:pPr>
        <w:pStyle w:val="CETheadingx"/>
      </w:pPr>
      <w:r>
        <w:t>Data processing</w:t>
      </w:r>
    </w:p>
    <w:p w14:paraId="1CB67D32" w14:textId="7FB7E76F" w:rsidR="00A922FF" w:rsidRPr="00A922FF" w:rsidRDefault="00A922FF" w:rsidP="00A922FF">
      <w:pPr>
        <w:pStyle w:val="CETBodytext"/>
      </w:pPr>
      <w:r>
        <w:t>Removal efficienc</w:t>
      </w:r>
      <w:r w:rsidR="008724AA">
        <w:t>y percentages</w:t>
      </w:r>
      <w:r>
        <w:t xml:space="preserve"> were calculated </w:t>
      </w:r>
      <w:r w:rsidR="003F4973">
        <w:t xml:space="preserve">as shown in </w:t>
      </w:r>
      <w:r w:rsidR="003916CA">
        <w:t>E</w:t>
      </w:r>
      <w:r w:rsidR="00F57422">
        <w:t>quation 1</w:t>
      </w:r>
      <w:r w:rsidR="00DE7188">
        <w:t xml:space="preserve"> using</w:t>
      </w:r>
      <w:r w:rsidR="0057664D" w:rsidRPr="0057664D">
        <w:t xml:space="preserve"> </w:t>
      </w:r>
      <w:r w:rsidR="0057664D">
        <w:t>daily</w:t>
      </w:r>
      <w:r w:rsidR="00DE7188">
        <w:t xml:space="preserve"> inlet</w:t>
      </w:r>
      <w:r w:rsidR="00D4632E">
        <w:t xml:space="preserve"> (C</w:t>
      </w:r>
      <w:r w:rsidR="00D4632E" w:rsidRPr="003D4DF7">
        <w:rPr>
          <w:vertAlign w:val="subscript"/>
        </w:rPr>
        <w:t>in</w:t>
      </w:r>
      <w:r w:rsidR="00D4632E">
        <w:t>)</w:t>
      </w:r>
      <w:r w:rsidR="00DE7188">
        <w:t xml:space="preserve"> and outlet </w:t>
      </w:r>
      <w:r w:rsidR="00D4632E">
        <w:t>(C</w:t>
      </w:r>
      <w:r w:rsidR="00D4632E" w:rsidRPr="003D4DF7">
        <w:rPr>
          <w:vertAlign w:val="subscript"/>
        </w:rPr>
        <w:t>out</w:t>
      </w:r>
      <w:r w:rsidR="00D4632E">
        <w:t xml:space="preserve">) </w:t>
      </w:r>
      <w:r w:rsidR="00DE7188">
        <w:t>concentration values</w:t>
      </w:r>
      <w:r w:rsidR="00D4632E">
        <w:t xml:space="preserve"> of </w:t>
      </w:r>
      <w:r w:rsidR="003D4DF7">
        <w:t>each VOC</w:t>
      </w:r>
      <w:r w:rsidR="0057664D">
        <w:t xml:space="preserve">. </w:t>
      </w:r>
      <w:r w:rsidR="00B54ECA">
        <w:t>D</w:t>
      </w:r>
      <w:r w:rsidR="006E3CB7">
        <w:t>ata</w:t>
      </w:r>
      <w:r w:rsidR="003D4DF7">
        <w:t xml:space="preserve"> </w:t>
      </w:r>
      <w:r w:rsidR="00C93EBE">
        <w:t xml:space="preserve">are </w:t>
      </w:r>
      <w:r w:rsidR="00B54ECA">
        <w:t xml:space="preserve">reported as </w:t>
      </w:r>
      <w:r w:rsidR="00C93EBE">
        <w:t xml:space="preserve">averaged </w:t>
      </w:r>
      <w:r w:rsidR="006A3332">
        <w:t>RE</w:t>
      </w:r>
      <w:r w:rsidR="006E3CB7">
        <w:t>s</w:t>
      </w:r>
      <w:r w:rsidR="006A3332">
        <w:t xml:space="preserve"> </w:t>
      </w:r>
      <w:r w:rsidR="00842C76">
        <w:t xml:space="preserve">when a </w:t>
      </w:r>
      <w:r w:rsidR="006E3CB7">
        <w:t xml:space="preserve">steady state </w:t>
      </w:r>
      <w:r w:rsidR="00A721DA">
        <w:t xml:space="preserve">was </w:t>
      </w:r>
      <w:r w:rsidR="00B54ECA">
        <w:t>achieved</w:t>
      </w:r>
      <w:r w:rsidR="00A721DA">
        <w:t>.</w:t>
      </w:r>
    </w:p>
    <w:tbl>
      <w:tblPr>
        <w:tblW w:w="5000" w:type="pct"/>
        <w:tblLook w:val="04A0" w:firstRow="1" w:lastRow="0" w:firstColumn="1" w:lastColumn="0" w:noHBand="0" w:noVBand="1"/>
      </w:tblPr>
      <w:tblGrid>
        <w:gridCol w:w="7983"/>
        <w:gridCol w:w="804"/>
      </w:tblGrid>
      <w:tr w:rsidR="003F4973" w:rsidRPr="00B57B36" w14:paraId="4944E6EF" w14:textId="77777777" w:rsidTr="003C7348">
        <w:tc>
          <w:tcPr>
            <w:tcW w:w="8188" w:type="dxa"/>
            <w:shd w:val="clear" w:color="auto" w:fill="auto"/>
            <w:vAlign w:val="center"/>
          </w:tcPr>
          <w:p w14:paraId="65DF211B" w14:textId="6DEB41A6" w:rsidR="003F4973" w:rsidRPr="0075431C" w:rsidRDefault="00E826EC" w:rsidP="002E0961">
            <w:pPr>
              <w:pStyle w:val="CETEquation"/>
              <w:rPr>
                <w:rFonts w:cs="Arial"/>
              </w:rPr>
            </w:pPr>
            <m:oMathPara>
              <m:oMathParaPr>
                <m:jc m:val="left"/>
              </m:oMathParaPr>
              <m:oMath>
                <m:r>
                  <w:rPr>
                    <w:rFonts w:ascii="Cambria Math" w:hAnsi="Cambria Math" w:cs="Arial"/>
                  </w:rPr>
                  <m:t>%RE=</m:t>
                </m:r>
                <m:r>
                  <m:rPr>
                    <m:sty m:val="p"/>
                  </m:rPr>
                  <w:rPr>
                    <w:rFonts w:ascii="Cambria Math" w:hAnsi="Cambria Math" w:cs="Arial"/>
                  </w:rPr>
                  <m:t>100</m:t>
                </m:r>
                <m:r>
                  <w:rPr>
                    <w:rFonts w:ascii="Cambria Math" w:hAnsi="Cambria Math" w:cs="Arial"/>
                  </w:rPr>
                  <m:t>*</m:t>
                </m:r>
                <m:f>
                  <m:fPr>
                    <m:ctrlPr>
                      <w:rPr>
                        <w:rFonts w:ascii="Cambria Math" w:hAnsi="Cambria Math" w:cs="Arial"/>
                        <w:i/>
                        <w:iCs/>
                      </w:rPr>
                    </m:ctrlPr>
                  </m:fPr>
                  <m:num>
                    <m:sSub>
                      <m:sSubPr>
                        <m:ctrlPr>
                          <w:rPr>
                            <w:rFonts w:ascii="Cambria Math" w:hAnsi="Cambria Math" w:cs="Arial"/>
                            <w:i/>
                            <w:iCs/>
                          </w:rPr>
                        </m:ctrlPr>
                      </m:sSubPr>
                      <m:e>
                        <m:r>
                          <w:rPr>
                            <w:rFonts w:ascii="Cambria Math" w:hAnsi="Cambria Math" w:cs="Arial"/>
                          </w:rPr>
                          <m:t>C</m:t>
                        </m:r>
                      </m:e>
                      <m:sub>
                        <m:r>
                          <w:rPr>
                            <w:rFonts w:ascii="Cambria Math" w:hAnsi="Cambria Math" w:cs="Arial"/>
                          </w:rPr>
                          <m:t>in</m:t>
                        </m:r>
                      </m:sub>
                    </m:sSub>
                    <m:r>
                      <w:rPr>
                        <w:rFonts w:ascii="Cambria Math" w:hAnsi="Cambria Math" w:cs="Arial"/>
                      </w:rPr>
                      <m:t>-</m:t>
                    </m:r>
                    <m:sSub>
                      <m:sSubPr>
                        <m:ctrlPr>
                          <w:rPr>
                            <w:rFonts w:ascii="Cambria Math" w:hAnsi="Cambria Math" w:cs="Arial"/>
                            <w:i/>
                            <w:iCs/>
                          </w:rPr>
                        </m:ctrlPr>
                      </m:sSubPr>
                      <m:e>
                        <m:r>
                          <w:rPr>
                            <w:rFonts w:ascii="Cambria Math" w:hAnsi="Cambria Math" w:cs="Arial"/>
                          </w:rPr>
                          <m:t>C</m:t>
                        </m:r>
                      </m:e>
                      <m:sub>
                        <m:r>
                          <w:rPr>
                            <w:rFonts w:ascii="Cambria Math" w:hAnsi="Cambria Math" w:cs="Arial"/>
                          </w:rPr>
                          <m:t>out</m:t>
                        </m:r>
                      </m:sub>
                    </m:sSub>
                  </m:num>
                  <m:den>
                    <m:sSub>
                      <m:sSubPr>
                        <m:ctrlPr>
                          <w:rPr>
                            <w:rFonts w:ascii="Cambria Math" w:hAnsi="Cambria Math" w:cs="Arial"/>
                            <w:i/>
                            <w:iCs/>
                          </w:rPr>
                        </m:ctrlPr>
                      </m:sSubPr>
                      <m:e>
                        <m:r>
                          <w:rPr>
                            <w:rFonts w:ascii="Cambria Math" w:hAnsi="Cambria Math" w:cs="Arial"/>
                          </w:rPr>
                          <m:t>C</m:t>
                        </m:r>
                      </m:e>
                      <m:sub>
                        <m:r>
                          <w:rPr>
                            <w:rFonts w:ascii="Cambria Math" w:hAnsi="Cambria Math" w:cs="Arial"/>
                          </w:rPr>
                          <m:t>in</m:t>
                        </m:r>
                      </m:sub>
                    </m:sSub>
                  </m:den>
                </m:f>
              </m:oMath>
            </m:oMathPara>
          </w:p>
        </w:tc>
        <w:tc>
          <w:tcPr>
            <w:tcW w:w="815" w:type="dxa"/>
            <w:shd w:val="clear" w:color="auto" w:fill="auto"/>
            <w:vAlign w:val="center"/>
          </w:tcPr>
          <w:p w14:paraId="3C05E592" w14:textId="77777777" w:rsidR="003F4973" w:rsidRPr="00B57B36" w:rsidRDefault="003F4973" w:rsidP="003C7348">
            <w:pPr>
              <w:pStyle w:val="CETEquation"/>
              <w:jc w:val="right"/>
            </w:pPr>
            <w:r w:rsidRPr="00B57B36">
              <w:t>(1)</w:t>
            </w:r>
          </w:p>
        </w:tc>
      </w:tr>
    </w:tbl>
    <w:p w14:paraId="79CA834A" w14:textId="7C6BE4EC" w:rsidR="00340679" w:rsidRPr="00B57B36" w:rsidRDefault="00340679" w:rsidP="00340679">
      <w:pPr>
        <w:pStyle w:val="CETTabletitle"/>
      </w:pPr>
      <w:r w:rsidRPr="00B57B36">
        <w:t xml:space="preserve">Table 1: </w:t>
      </w:r>
      <w:r w:rsidR="00692148">
        <w:t>D</w:t>
      </w:r>
      <w:r w:rsidR="006F5F47">
        <w:t>uration and average inlet concentration</w:t>
      </w:r>
      <w:r w:rsidR="00692148">
        <w:t xml:space="preserve"> </w:t>
      </w:r>
      <w:r w:rsidR="000D2F5A">
        <w:t xml:space="preserve">(with standard deviation) </w:t>
      </w:r>
      <w:r w:rsidR="00692148">
        <w:t xml:space="preserve">of the odorous VOCs at </w:t>
      </w:r>
      <w:r w:rsidR="006F5F47">
        <w:t>the different experimental stages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77"/>
        <w:gridCol w:w="964"/>
        <w:gridCol w:w="964"/>
        <w:gridCol w:w="964"/>
        <w:gridCol w:w="964"/>
        <w:gridCol w:w="964"/>
        <w:gridCol w:w="964"/>
        <w:gridCol w:w="850"/>
        <w:gridCol w:w="964"/>
      </w:tblGrid>
      <w:tr w:rsidR="00340679" w:rsidRPr="006D0E92" w14:paraId="096833CE" w14:textId="77777777" w:rsidTr="00F0602B">
        <w:trPr>
          <w:trHeight w:val="283"/>
        </w:trPr>
        <w:tc>
          <w:tcPr>
            <w:tcW w:w="1077" w:type="dxa"/>
            <w:tcBorders>
              <w:top w:val="single" w:sz="12" w:space="0" w:color="008000"/>
              <w:bottom w:val="single" w:sz="6" w:space="0" w:color="008000"/>
            </w:tcBorders>
            <w:shd w:val="clear" w:color="auto" w:fill="FFFFFF"/>
            <w:vAlign w:val="center"/>
          </w:tcPr>
          <w:p w14:paraId="691B9CC6" w14:textId="77777777" w:rsidR="00340679" w:rsidRPr="006F5F47" w:rsidRDefault="00340679" w:rsidP="00F0602B">
            <w:pPr>
              <w:pStyle w:val="CETBodytext"/>
              <w:jc w:val="center"/>
              <w:rPr>
                <w:rFonts w:cs="Arial"/>
                <w:b/>
                <w:szCs w:val="18"/>
              </w:rPr>
            </w:pPr>
            <w:r w:rsidRPr="006F5F47">
              <w:rPr>
                <w:rFonts w:cs="Arial"/>
                <w:b/>
                <w:szCs w:val="18"/>
              </w:rPr>
              <w:t>Stage</w:t>
            </w:r>
          </w:p>
        </w:tc>
        <w:tc>
          <w:tcPr>
            <w:tcW w:w="964" w:type="dxa"/>
            <w:tcBorders>
              <w:top w:val="single" w:sz="12" w:space="0" w:color="008000"/>
              <w:bottom w:val="single" w:sz="6" w:space="0" w:color="008000"/>
            </w:tcBorders>
            <w:shd w:val="clear" w:color="auto" w:fill="FFFFFF"/>
            <w:vAlign w:val="center"/>
          </w:tcPr>
          <w:p w14:paraId="635A5189" w14:textId="77777777" w:rsidR="00340679" w:rsidRPr="006F5F47" w:rsidRDefault="00340679" w:rsidP="00F0602B">
            <w:pPr>
              <w:pStyle w:val="CETBodytext"/>
              <w:jc w:val="center"/>
              <w:rPr>
                <w:rFonts w:cs="Arial"/>
                <w:b/>
                <w:szCs w:val="18"/>
              </w:rPr>
            </w:pPr>
            <w:r w:rsidRPr="006F5F47">
              <w:rPr>
                <w:rFonts w:cs="Arial"/>
                <w:b/>
                <w:szCs w:val="18"/>
              </w:rPr>
              <w:t>1</w:t>
            </w:r>
          </w:p>
        </w:tc>
        <w:tc>
          <w:tcPr>
            <w:tcW w:w="964" w:type="dxa"/>
            <w:tcBorders>
              <w:top w:val="single" w:sz="12" w:space="0" w:color="008000"/>
              <w:bottom w:val="single" w:sz="6" w:space="0" w:color="008000"/>
            </w:tcBorders>
            <w:shd w:val="clear" w:color="auto" w:fill="FFFFFF"/>
            <w:vAlign w:val="center"/>
          </w:tcPr>
          <w:p w14:paraId="1AF6ED68" w14:textId="77777777" w:rsidR="00340679" w:rsidRPr="006F5F47" w:rsidRDefault="00340679" w:rsidP="00F0602B">
            <w:pPr>
              <w:pStyle w:val="CETBodytext"/>
              <w:jc w:val="center"/>
              <w:rPr>
                <w:rFonts w:cs="Arial"/>
                <w:b/>
                <w:szCs w:val="18"/>
              </w:rPr>
            </w:pPr>
            <w:r w:rsidRPr="006F5F47">
              <w:rPr>
                <w:rFonts w:cs="Arial"/>
                <w:b/>
                <w:szCs w:val="18"/>
              </w:rPr>
              <w:t>2</w:t>
            </w:r>
          </w:p>
        </w:tc>
        <w:tc>
          <w:tcPr>
            <w:tcW w:w="964" w:type="dxa"/>
            <w:tcBorders>
              <w:top w:val="single" w:sz="12" w:space="0" w:color="008000"/>
              <w:bottom w:val="single" w:sz="6" w:space="0" w:color="008000"/>
            </w:tcBorders>
            <w:shd w:val="clear" w:color="auto" w:fill="FFFFFF"/>
            <w:vAlign w:val="center"/>
          </w:tcPr>
          <w:p w14:paraId="0DFE7332" w14:textId="77777777" w:rsidR="00340679" w:rsidRPr="006F5F47" w:rsidRDefault="00340679" w:rsidP="00F0602B">
            <w:pPr>
              <w:pStyle w:val="CETBodytext"/>
              <w:jc w:val="center"/>
              <w:rPr>
                <w:rFonts w:cs="Arial"/>
                <w:b/>
                <w:szCs w:val="18"/>
              </w:rPr>
            </w:pPr>
            <w:r w:rsidRPr="006F5F47">
              <w:rPr>
                <w:rFonts w:cs="Arial"/>
                <w:b/>
                <w:szCs w:val="18"/>
              </w:rPr>
              <w:t>3</w:t>
            </w:r>
          </w:p>
        </w:tc>
        <w:tc>
          <w:tcPr>
            <w:tcW w:w="964" w:type="dxa"/>
            <w:tcBorders>
              <w:top w:val="single" w:sz="12" w:space="0" w:color="008000"/>
              <w:bottom w:val="single" w:sz="6" w:space="0" w:color="008000"/>
            </w:tcBorders>
            <w:shd w:val="clear" w:color="auto" w:fill="FFFFFF"/>
            <w:vAlign w:val="center"/>
          </w:tcPr>
          <w:p w14:paraId="7595F26B" w14:textId="77777777" w:rsidR="00340679" w:rsidRPr="006F5F47" w:rsidRDefault="00340679" w:rsidP="00F0602B">
            <w:pPr>
              <w:pStyle w:val="CETBodytext"/>
              <w:jc w:val="center"/>
              <w:rPr>
                <w:rFonts w:cs="Arial"/>
                <w:b/>
                <w:szCs w:val="18"/>
              </w:rPr>
            </w:pPr>
            <w:r w:rsidRPr="006F5F47">
              <w:rPr>
                <w:rFonts w:cs="Arial"/>
                <w:b/>
                <w:szCs w:val="18"/>
              </w:rPr>
              <w:t>4</w:t>
            </w:r>
          </w:p>
        </w:tc>
        <w:tc>
          <w:tcPr>
            <w:tcW w:w="964" w:type="dxa"/>
            <w:tcBorders>
              <w:top w:val="single" w:sz="12" w:space="0" w:color="008000"/>
              <w:bottom w:val="single" w:sz="6" w:space="0" w:color="008000"/>
            </w:tcBorders>
            <w:shd w:val="clear" w:color="auto" w:fill="FFFFFF"/>
            <w:vAlign w:val="center"/>
          </w:tcPr>
          <w:p w14:paraId="1481E7FD" w14:textId="77777777" w:rsidR="00340679" w:rsidRPr="006F5F47" w:rsidRDefault="00340679" w:rsidP="00F0602B">
            <w:pPr>
              <w:pStyle w:val="CETBodytext"/>
              <w:jc w:val="center"/>
              <w:rPr>
                <w:rFonts w:cs="Arial"/>
                <w:b/>
                <w:szCs w:val="18"/>
              </w:rPr>
            </w:pPr>
            <w:r w:rsidRPr="006F5F47">
              <w:rPr>
                <w:rFonts w:cs="Arial"/>
                <w:b/>
                <w:szCs w:val="18"/>
              </w:rPr>
              <w:t>5</w:t>
            </w:r>
          </w:p>
        </w:tc>
        <w:tc>
          <w:tcPr>
            <w:tcW w:w="964" w:type="dxa"/>
            <w:tcBorders>
              <w:top w:val="single" w:sz="12" w:space="0" w:color="008000"/>
              <w:bottom w:val="single" w:sz="6" w:space="0" w:color="008000"/>
            </w:tcBorders>
            <w:shd w:val="clear" w:color="auto" w:fill="FFFFFF"/>
            <w:vAlign w:val="center"/>
          </w:tcPr>
          <w:p w14:paraId="56AD84CA" w14:textId="77777777" w:rsidR="00340679" w:rsidRPr="006F5F47" w:rsidRDefault="00340679" w:rsidP="00F0602B">
            <w:pPr>
              <w:pStyle w:val="CETBodytext"/>
              <w:jc w:val="center"/>
              <w:rPr>
                <w:rFonts w:cs="Arial"/>
                <w:b/>
                <w:szCs w:val="18"/>
              </w:rPr>
            </w:pPr>
            <w:r w:rsidRPr="006F5F47">
              <w:rPr>
                <w:rFonts w:cs="Arial"/>
                <w:b/>
                <w:szCs w:val="18"/>
              </w:rPr>
              <w:t>6</w:t>
            </w:r>
          </w:p>
        </w:tc>
        <w:tc>
          <w:tcPr>
            <w:tcW w:w="850" w:type="dxa"/>
            <w:tcBorders>
              <w:top w:val="single" w:sz="12" w:space="0" w:color="008000"/>
              <w:bottom w:val="single" w:sz="6" w:space="0" w:color="008000"/>
            </w:tcBorders>
            <w:shd w:val="clear" w:color="auto" w:fill="FFFFFF"/>
            <w:vAlign w:val="center"/>
          </w:tcPr>
          <w:p w14:paraId="59CC15D8" w14:textId="77777777" w:rsidR="00340679" w:rsidRPr="006F5F47" w:rsidRDefault="00340679" w:rsidP="00F0602B">
            <w:pPr>
              <w:pStyle w:val="CETBodytext"/>
              <w:jc w:val="center"/>
              <w:rPr>
                <w:rFonts w:cs="Arial"/>
                <w:b/>
                <w:szCs w:val="18"/>
              </w:rPr>
            </w:pPr>
            <w:r w:rsidRPr="006F5F47">
              <w:rPr>
                <w:rFonts w:cs="Arial"/>
                <w:b/>
                <w:szCs w:val="18"/>
              </w:rPr>
              <w:t>7</w:t>
            </w:r>
          </w:p>
        </w:tc>
        <w:tc>
          <w:tcPr>
            <w:tcW w:w="964" w:type="dxa"/>
            <w:tcBorders>
              <w:top w:val="single" w:sz="12" w:space="0" w:color="008000"/>
              <w:bottom w:val="single" w:sz="6" w:space="0" w:color="008000"/>
            </w:tcBorders>
            <w:shd w:val="clear" w:color="auto" w:fill="FFFFFF"/>
            <w:vAlign w:val="center"/>
          </w:tcPr>
          <w:p w14:paraId="056EDEDB" w14:textId="77777777" w:rsidR="00340679" w:rsidRPr="006F5F47" w:rsidRDefault="00340679" w:rsidP="00F0602B">
            <w:pPr>
              <w:pStyle w:val="CETBodytext"/>
              <w:jc w:val="center"/>
              <w:rPr>
                <w:rFonts w:cs="Arial"/>
                <w:b/>
                <w:szCs w:val="18"/>
              </w:rPr>
            </w:pPr>
            <w:r w:rsidRPr="006F5F47">
              <w:rPr>
                <w:rFonts w:cs="Arial"/>
                <w:b/>
                <w:szCs w:val="18"/>
              </w:rPr>
              <w:t>8</w:t>
            </w:r>
          </w:p>
        </w:tc>
      </w:tr>
      <w:tr w:rsidR="00340679" w:rsidRPr="006D0E92" w14:paraId="1CC65B9D" w14:textId="77777777" w:rsidTr="00F0602B">
        <w:trPr>
          <w:trHeight w:val="454"/>
        </w:trPr>
        <w:tc>
          <w:tcPr>
            <w:tcW w:w="1077" w:type="dxa"/>
            <w:shd w:val="clear" w:color="auto" w:fill="FFFFFF"/>
            <w:vAlign w:val="center"/>
          </w:tcPr>
          <w:p w14:paraId="7D981ACF" w14:textId="77777777" w:rsidR="00340679" w:rsidRPr="006F5F47" w:rsidRDefault="00340679" w:rsidP="00F0602B">
            <w:pPr>
              <w:pStyle w:val="CETBodytext"/>
              <w:jc w:val="center"/>
              <w:rPr>
                <w:rFonts w:cs="Arial"/>
                <w:b/>
                <w:szCs w:val="18"/>
              </w:rPr>
            </w:pPr>
            <w:r w:rsidRPr="006F5F47">
              <w:rPr>
                <w:rFonts w:cs="Arial"/>
                <w:b/>
                <w:szCs w:val="18"/>
              </w:rPr>
              <w:t>Duration (days)</w:t>
            </w:r>
          </w:p>
        </w:tc>
        <w:tc>
          <w:tcPr>
            <w:tcW w:w="964" w:type="dxa"/>
            <w:shd w:val="clear" w:color="auto" w:fill="FFFFFF"/>
            <w:vAlign w:val="center"/>
          </w:tcPr>
          <w:p w14:paraId="4F496126" w14:textId="77777777" w:rsidR="00340679" w:rsidRPr="006D0E92" w:rsidRDefault="00340679" w:rsidP="00F0602B">
            <w:pPr>
              <w:pStyle w:val="CETBodytext"/>
              <w:jc w:val="center"/>
              <w:rPr>
                <w:rFonts w:cs="Arial"/>
                <w:szCs w:val="18"/>
              </w:rPr>
            </w:pPr>
            <w:r w:rsidRPr="006D0E92">
              <w:rPr>
                <w:rFonts w:cs="Arial"/>
                <w:iCs/>
                <w:szCs w:val="18"/>
              </w:rPr>
              <w:t>41</w:t>
            </w:r>
          </w:p>
        </w:tc>
        <w:tc>
          <w:tcPr>
            <w:tcW w:w="964" w:type="dxa"/>
            <w:shd w:val="clear" w:color="auto" w:fill="FFFFFF"/>
            <w:vAlign w:val="center"/>
          </w:tcPr>
          <w:p w14:paraId="4D20C2A6" w14:textId="77777777" w:rsidR="00340679" w:rsidRPr="006D0E92" w:rsidRDefault="00340679" w:rsidP="00F0602B">
            <w:pPr>
              <w:pStyle w:val="CETBodytext"/>
              <w:jc w:val="center"/>
              <w:rPr>
                <w:rFonts w:cs="Arial"/>
                <w:szCs w:val="18"/>
              </w:rPr>
            </w:pPr>
            <w:r w:rsidRPr="006D0E92">
              <w:rPr>
                <w:rFonts w:cs="Arial"/>
                <w:iCs/>
                <w:szCs w:val="18"/>
              </w:rPr>
              <w:t>24</w:t>
            </w:r>
          </w:p>
        </w:tc>
        <w:tc>
          <w:tcPr>
            <w:tcW w:w="964" w:type="dxa"/>
            <w:shd w:val="clear" w:color="auto" w:fill="FFFFFF"/>
            <w:vAlign w:val="center"/>
          </w:tcPr>
          <w:p w14:paraId="7CD83DF5" w14:textId="77777777" w:rsidR="00340679" w:rsidRPr="006D0E92" w:rsidRDefault="00340679" w:rsidP="00F0602B">
            <w:pPr>
              <w:pStyle w:val="CETBodytext"/>
              <w:jc w:val="center"/>
              <w:rPr>
                <w:rFonts w:cs="Arial"/>
                <w:szCs w:val="18"/>
              </w:rPr>
            </w:pPr>
            <w:r w:rsidRPr="006D0E92">
              <w:rPr>
                <w:rFonts w:cs="Arial"/>
                <w:iCs/>
                <w:szCs w:val="18"/>
              </w:rPr>
              <w:t>36</w:t>
            </w:r>
          </w:p>
        </w:tc>
        <w:tc>
          <w:tcPr>
            <w:tcW w:w="964" w:type="dxa"/>
            <w:shd w:val="clear" w:color="auto" w:fill="FFFFFF"/>
            <w:vAlign w:val="center"/>
          </w:tcPr>
          <w:p w14:paraId="0ECDD02D" w14:textId="77777777" w:rsidR="00340679" w:rsidRPr="006D0E92" w:rsidRDefault="00340679" w:rsidP="00F0602B">
            <w:pPr>
              <w:pStyle w:val="CETBodytext"/>
              <w:jc w:val="center"/>
              <w:rPr>
                <w:rFonts w:cs="Arial"/>
                <w:szCs w:val="18"/>
              </w:rPr>
            </w:pPr>
            <w:r w:rsidRPr="006D0E92">
              <w:rPr>
                <w:rFonts w:cs="Arial"/>
                <w:iCs/>
                <w:szCs w:val="18"/>
              </w:rPr>
              <w:t>38</w:t>
            </w:r>
          </w:p>
        </w:tc>
        <w:tc>
          <w:tcPr>
            <w:tcW w:w="964" w:type="dxa"/>
            <w:shd w:val="clear" w:color="auto" w:fill="FFFFFF"/>
            <w:vAlign w:val="center"/>
          </w:tcPr>
          <w:p w14:paraId="08B7FEAE" w14:textId="77777777" w:rsidR="00340679" w:rsidRPr="006D0E92" w:rsidRDefault="00340679" w:rsidP="00F0602B">
            <w:pPr>
              <w:pStyle w:val="CETBodytext"/>
              <w:jc w:val="center"/>
              <w:rPr>
                <w:rFonts w:cs="Arial"/>
                <w:szCs w:val="18"/>
              </w:rPr>
            </w:pPr>
            <w:r w:rsidRPr="006D0E92">
              <w:rPr>
                <w:rFonts w:cs="Arial"/>
                <w:iCs/>
                <w:szCs w:val="18"/>
              </w:rPr>
              <w:t>31</w:t>
            </w:r>
          </w:p>
        </w:tc>
        <w:tc>
          <w:tcPr>
            <w:tcW w:w="964" w:type="dxa"/>
            <w:shd w:val="clear" w:color="auto" w:fill="FFFFFF"/>
            <w:vAlign w:val="center"/>
          </w:tcPr>
          <w:p w14:paraId="15B212C2" w14:textId="77777777" w:rsidR="00340679" w:rsidRPr="006D0E92" w:rsidRDefault="00340679" w:rsidP="00F0602B">
            <w:pPr>
              <w:pStyle w:val="CETBodytext"/>
              <w:jc w:val="center"/>
              <w:rPr>
                <w:rFonts w:cs="Arial"/>
                <w:szCs w:val="18"/>
              </w:rPr>
            </w:pPr>
            <w:r w:rsidRPr="006D0E92">
              <w:rPr>
                <w:rFonts w:cs="Arial"/>
                <w:szCs w:val="18"/>
              </w:rPr>
              <w:t>19</w:t>
            </w:r>
          </w:p>
        </w:tc>
        <w:tc>
          <w:tcPr>
            <w:tcW w:w="850" w:type="dxa"/>
            <w:shd w:val="clear" w:color="auto" w:fill="FFFFFF"/>
            <w:vAlign w:val="center"/>
          </w:tcPr>
          <w:p w14:paraId="6B866322" w14:textId="77777777" w:rsidR="00340679" w:rsidRPr="006D0E92" w:rsidRDefault="00340679" w:rsidP="00F0602B">
            <w:pPr>
              <w:pStyle w:val="CETBodytext"/>
              <w:jc w:val="center"/>
              <w:rPr>
                <w:rFonts w:cs="Arial"/>
                <w:szCs w:val="18"/>
              </w:rPr>
            </w:pPr>
            <w:r w:rsidRPr="006D0E92">
              <w:rPr>
                <w:rFonts w:cs="Arial"/>
                <w:szCs w:val="18"/>
              </w:rPr>
              <w:t>14</w:t>
            </w:r>
          </w:p>
        </w:tc>
        <w:tc>
          <w:tcPr>
            <w:tcW w:w="964" w:type="dxa"/>
            <w:shd w:val="clear" w:color="auto" w:fill="FFFFFF"/>
            <w:vAlign w:val="center"/>
          </w:tcPr>
          <w:p w14:paraId="1D95F435" w14:textId="77777777" w:rsidR="00340679" w:rsidRPr="006D0E92" w:rsidRDefault="00340679" w:rsidP="00F0602B">
            <w:pPr>
              <w:pStyle w:val="CETBodytext"/>
              <w:jc w:val="center"/>
              <w:rPr>
                <w:rFonts w:cs="Arial"/>
                <w:szCs w:val="18"/>
              </w:rPr>
            </w:pPr>
            <w:r w:rsidRPr="006D0E92">
              <w:rPr>
                <w:rFonts w:cs="Arial"/>
                <w:szCs w:val="18"/>
              </w:rPr>
              <w:t>15</w:t>
            </w:r>
          </w:p>
        </w:tc>
      </w:tr>
      <w:tr w:rsidR="00340679" w:rsidRPr="006D0E92" w14:paraId="58C93CC4" w14:textId="77777777" w:rsidTr="00F0602B">
        <w:trPr>
          <w:trHeight w:val="454"/>
        </w:trPr>
        <w:tc>
          <w:tcPr>
            <w:tcW w:w="1077" w:type="dxa"/>
            <w:shd w:val="clear" w:color="auto" w:fill="FFFFFF"/>
            <w:vAlign w:val="center"/>
          </w:tcPr>
          <w:p w14:paraId="00B55F05" w14:textId="77777777" w:rsidR="00340679" w:rsidRPr="006F5F47" w:rsidRDefault="00340679" w:rsidP="00F0602B">
            <w:pPr>
              <w:pStyle w:val="CETBodytext"/>
              <w:jc w:val="center"/>
              <w:rPr>
                <w:rFonts w:cs="Arial"/>
                <w:b/>
                <w:szCs w:val="18"/>
              </w:rPr>
            </w:pPr>
            <w:proofErr w:type="spellStart"/>
            <w:r w:rsidRPr="006F5F47">
              <w:rPr>
                <w:rFonts w:cs="Arial"/>
                <w:b/>
                <w:szCs w:val="18"/>
              </w:rPr>
              <w:t>C</w:t>
            </w:r>
            <w:r w:rsidRPr="006F5F47">
              <w:rPr>
                <w:rFonts w:cs="Arial"/>
                <w:b/>
                <w:szCs w:val="18"/>
                <w:vertAlign w:val="subscript"/>
              </w:rPr>
              <w:t>Hex</w:t>
            </w:r>
            <w:proofErr w:type="spellEnd"/>
          </w:p>
          <w:p w14:paraId="490AF325" w14:textId="77777777" w:rsidR="00340679" w:rsidRPr="006F5F47" w:rsidRDefault="00340679" w:rsidP="00F0602B">
            <w:pPr>
              <w:pStyle w:val="CETBodytext"/>
              <w:jc w:val="center"/>
              <w:rPr>
                <w:rFonts w:cs="Arial"/>
                <w:b/>
                <w:szCs w:val="18"/>
              </w:rPr>
            </w:pPr>
            <w:r w:rsidRPr="006F5F47">
              <w:rPr>
                <w:rFonts w:cs="Arial"/>
                <w:b/>
                <w:szCs w:val="18"/>
              </w:rPr>
              <w:t>(mg m</w:t>
            </w:r>
            <w:r w:rsidRPr="006F5F47">
              <w:rPr>
                <w:rFonts w:cs="Arial"/>
                <w:b/>
                <w:szCs w:val="18"/>
                <w:vertAlign w:val="superscript"/>
              </w:rPr>
              <w:t>-3</w:t>
            </w:r>
            <w:r w:rsidRPr="006F5F47">
              <w:rPr>
                <w:rFonts w:cs="Arial"/>
                <w:b/>
                <w:szCs w:val="18"/>
              </w:rPr>
              <w:t>)</w:t>
            </w:r>
          </w:p>
        </w:tc>
        <w:tc>
          <w:tcPr>
            <w:tcW w:w="964" w:type="dxa"/>
            <w:shd w:val="clear" w:color="auto" w:fill="FFFFFF"/>
            <w:vAlign w:val="center"/>
          </w:tcPr>
          <w:p w14:paraId="441EB25A" w14:textId="77777777" w:rsidR="00340679" w:rsidRPr="006D0E92" w:rsidRDefault="00340679" w:rsidP="00F0602B">
            <w:pPr>
              <w:pStyle w:val="CETBodytext"/>
              <w:jc w:val="center"/>
              <w:rPr>
                <w:rFonts w:cs="Arial"/>
                <w:szCs w:val="18"/>
              </w:rPr>
            </w:pPr>
            <w:r w:rsidRPr="006D0E92">
              <w:rPr>
                <w:rFonts w:cs="Arial"/>
                <w:color w:val="000000"/>
                <w:szCs w:val="18"/>
              </w:rPr>
              <w:t>7.8 (1.3)</w:t>
            </w:r>
          </w:p>
        </w:tc>
        <w:tc>
          <w:tcPr>
            <w:tcW w:w="964" w:type="dxa"/>
            <w:shd w:val="clear" w:color="auto" w:fill="FFFFFF"/>
            <w:vAlign w:val="center"/>
          </w:tcPr>
          <w:p w14:paraId="68ACF8D1" w14:textId="77777777" w:rsidR="00340679" w:rsidRPr="006D0E92" w:rsidRDefault="00340679" w:rsidP="00F0602B">
            <w:pPr>
              <w:pStyle w:val="CETBodytext"/>
              <w:jc w:val="center"/>
              <w:rPr>
                <w:rFonts w:cs="Arial"/>
                <w:szCs w:val="18"/>
              </w:rPr>
            </w:pPr>
            <w:r w:rsidRPr="006D0E92">
              <w:rPr>
                <w:rFonts w:cs="Arial"/>
                <w:color w:val="000000"/>
                <w:szCs w:val="18"/>
              </w:rPr>
              <w:t>8.2 (0.8)</w:t>
            </w:r>
          </w:p>
        </w:tc>
        <w:tc>
          <w:tcPr>
            <w:tcW w:w="964" w:type="dxa"/>
            <w:shd w:val="clear" w:color="auto" w:fill="FFFFFF"/>
            <w:vAlign w:val="center"/>
          </w:tcPr>
          <w:p w14:paraId="4ED246C3" w14:textId="77777777" w:rsidR="00340679" w:rsidRPr="006D0E92" w:rsidRDefault="00340679" w:rsidP="00F0602B">
            <w:pPr>
              <w:pStyle w:val="CETBodytext"/>
              <w:jc w:val="center"/>
              <w:rPr>
                <w:rFonts w:cs="Arial"/>
                <w:szCs w:val="18"/>
              </w:rPr>
            </w:pPr>
            <w:r w:rsidRPr="006D0E92">
              <w:rPr>
                <w:rFonts w:cs="Arial"/>
                <w:color w:val="000000"/>
                <w:szCs w:val="18"/>
              </w:rPr>
              <w:t>10.8 (2.5)</w:t>
            </w:r>
          </w:p>
        </w:tc>
        <w:tc>
          <w:tcPr>
            <w:tcW w:w="964" w:type="dxa"/>
            <w:shd w:val="clear" w:color="auto" w:fill="FFFFFF"/>
            <w:vAlign w:val="center"/>
          </w:tcPr>
          <w:p w14:paraId="73F182B3" w14:textId="77777777" w:rsidR="00340679" w:rsidRPr="006D0E92" w:rsidRDefault="00340679" w:rsidP="00F0602B">
            <w:pPr>
              <w:pStyle w:val="CETBodytext"/>
              <w:jc w:val="center"/>
              <w:rPr>
                <w:rFonts w:cs="Arial"/>
                <w:szCs w:val="18"/>
              </w:rPr>
            </w:pPr>
            <w:r w:rsidRPr="006D0E92">
              <w:rPr>
                <w:rFonts w:cs="Arial"/>
                <w:color w:val="000000"/>
                <w:szCs w:val="18"/>
              </w:rPr>
              <w:t>14.3 (3.1)</w:t>
            </w:r>
          </w:p>
        </w:tc>
        <w:tc>
          <w:tcPr>
            <w:tcW w:w="964" w:type="dxa"/>
            <w:shd w:val="clear" w:color="auto" w:fill="FFFFFF"/>
            <w:vAlign w:val="center"/>
          </w:tcPr>
          <w:p w14:paraId="13300165" w14:textId="77777777" w:rsidR="00340679" w:rsidRPr="006D0E92" w:rsidRDefault="00340679" w:rsidP="00F0602B">
            <w:pPr>
              <w:pStyle w:val="CETBodytext"/>
              <w:jc w:val="center"/>
              <w:rPr>
                <w:rFonts w:cs="Arial"/>
                <w:szCs w:val="18"/>
              </w:rPr>
            </w:pPr>
            <w:r w:rsidRPr="006D0E92">
              <w:rPr>
                <w:rFonts w:cs="Arial"/>
                <w:color w:val="000000"/>
                <w:szCs w:val="18"/>
              </w:rPr>
              <w:t>14.2 (1.9)</w:t>
            </w:r>
          </w:p>
        </w:tc>
        <w:tc>
          <w:tcPr>
            <w:tcW w:w="964" w:type="dxa"/>
            <w:shd w:val="clear" w:color="auto" w:fill="FFFFFF"/>
            <w:vAlign w:val="center"/>
          </w:tcPr>
          <w:p w14:paraId="33B2369D" w14:textId="77777777" w:rsidR="00340679" w:rsidRPr="006D0E92" w:rsidRDefault="00340679" w:rsidP="00F0602B">
            <w:pPr>
              <w:pStyle w:val="CETBodytext"/>
              <w:jc w:val="center"/>
              <w:rPr>
                <w:rFonts w:cs="Arial"/>
                <w:szCs w:val="18"/>
              </w:rPr>
            </w:pPr>
            <w:r w:rsidRPr="006D0E92">
              <w:rPr>
                <w:rFonts w:cs="Arial"/>
                <w:color w:val="000000"/>
                <w:szCs w:val="18"/>
              </w:rPr>
              <w:t>5.8 (0.7)</w:t>
            </w:r>
          </w:p>
        </w:tc>
        <w:tc>
          <w:tcPr>
            <w:tcW w:w="850" w:type="dxa"/>
            <w:shd w:val="clear" w:color="auto" w:fill="FFFFFF"/>
            <w:vAlign w:val="center"/>
          </w:tcPr>
          <w:p w14:paraId="56E60458" w14:textId="77777777" w:rsidR="00340679" w:rsidRPr="006D0E92" w:rsidRDefault="00340679" w:rsidP="00F0602B">
            <w:pPr>
              <w:pStyle w:val="CETBodytext"/>
              <w:jc w:val="center"/>
              <w:rPr>
                <w:rFonts w:cs="Arial"/>
                <w:szCs w:val="18"/>
              </w:rPr>
            </w:pPr>
            <w:r w:rsidRPr="006D0E92">
              <w:rPr>
                <w:rFonts w:cs="Arial"/>
                <w:color w:val="000000"/>
                <w:szCs w:val="18"/>
              </w:rPr>
              <w:t>2.9 (0.4)</w:t>
            </w:r>
          </w:p>
        </w:tc>
        <w:tc>
          <w:tcPr>
            <w:tcW w:w="964" w:type="dxa"/>
            <w:shd w:val="clear" w:color="auto" w:fill="FFFFFF"/>
            <w:vAlign w:val="center"/>
          </w:tcPr>
          <w:p w14:paraId="51417F9B" w14:textId="77777777" w:rsidR="00340679" w:rsidRPr="006D0E92" w:rsidRDefault="00340679" w:rsidP="00F0602B">
            <w:pPr>
              <w:pStyle w:val="CETBodytext"/>
              <w:jc w:val="center"/>
              <w:rPr>
                <w:rFonts w:cs="Arial"/>
                <w:szCs w:val="18"/>
              </w:rPr>
            </w:pPr>
            <w:r w:rsidRPr="006D0E92">
              <w:rPr>
                <w:rFonts w:cs="Arial"/>
                <w:color w:val="000000"/>
                <w:szCs w:val="18"/>
              </w:rPr>
              <w:t>1.5 (0.2)</w:t>
            </w:r>
          </w:p>
        </w:tc>
      </w:tr>
      <w:tr w:rsidR="00340679" w:rsidRPr="006D0E92" w14:paraId="57B730D1" w14:textId="77777777" w:rsidTr="00F0602B">
        <w:trPr>
          <w:trHeight w:val="454"/>
        </w:trPr>
        <w:tc>
          <w:tcPr>
            <w:tcW w:w="1077" w:type="dxa"/>
            <w:shd w:val="clear" w:color="auto" w:fill="FFFFFF"/>
            <w:vAlign w:val="center"/>
          </w:tcPr>
          <w:p w14:paraId="3B2D14C7" w14:textId="77777777" w:rsidR="00340679" w:rsidRPr="006F5F47" w:rsidRDefault="00340679" w:rsidP="00F0602B">
            <w:pPr>
              <w:pStyle w:val="CETBodytext"/>
              <w:jc w:val="center"/>
              <w:rPr>
                <w:rFonts w:cs="Arial"/>
                <w:b/>
                <w:szCs w:val="18"/>
              </w:rPr>
            </w:pPr>
            <w:proofErr w:type="spellStart"/>
            <w:r w:rsidRPr="006F5F47">
              <w:rPr>
                <w:rFonts w:cs="Arial"/>
                <w:b/>
                <w:szCs w:val="18"/>
              </w:rPr>
              <w:t>C</w:t>
            </w:r>
            <w:r w:rsidRPr="006F5F47">
              <w:rPr>
                <w:rFonts w:cs="Arial"/>
                <w:b/>
                <w:szCs w:val="18"/>
                <w:vertAlign w:val="subscript"/>
              </w:rPr>
              <w:t>Tol</w:t>
            </w:r>
            <w:proofErr w:type="spellEnd"/>
          </w:p>
          <w:p w14:paraId="4B82ED82" w14:textId="77777777" w:rsidR="00340679" w:rsidRPr="006F5F47" w:rsidRDefault="00340679" w:rsidP="00F0602B">
            <w:pPr>
              <w:pStyle w:val="CETBodytext"/>
              <w:jc w:val="center"/>
              <w:rPr>
                <w:rFonts w:cs="Arial"/>
                <w:b/>
                <w:szCs w:val="18"/>
              </w:rPr>
            </w:pPr>
            <w:r w:rsidRPr="006F5F47">
              <w:rPr>
                <w:rFonts w:cs="Arial"/>
                <w:b/>
                <w:szCs w:val="18"/>
              </w:rPr>
              <w:t>(mg m</w:t>
            </w:r>
            <w:r w:rsidRPr="006F5F47">
              <w:rPr>
                <w:rFonts w:cs="Arial"/>
                <w:b/>
                <w:szCs w:val="18"/>
                <w:vertAlign w:val="superscript"/>
              </w:rPr>
              <w:t>-3</w:t>
            </w:r>
            <w:r w:rsidRPr="006F5F47">
              <w:rPr>
                <w:rFonts w:cs="Arial"/>
                <w:b/>
                <w:szCs w:val="18"/>
              </w:rPr>
              <w:t>)</w:t>
            </w:r>
          </w:p>
        </w:tc>
        <w:tc>
          <w:tcPr>
            <w:tcW w:w="964" w:type="dxa"/>
            <w:shd w:val="clear" w:color="auto" w:fill="FFFFFF"/>
            <w:vAlign w:val="center"/>
          </w:tcPr>
          <w:p w14:paraId="78DE7E8C" w14:textId="77777777" w:rsidR="00340679" w:rsidRPr="006D0E92" w:rsidRDefault="00340679" w:rsidP="00F0602B">
            <w:pPr>
              <w:pStyle w:val="CETBodytext"/>
              <w:jc w:val="center"/>
              <w:rPr>
                <w:rFonts w:cs="Arial"/>
                <w:szCs w:val="18"/>
              </w:rPr>
            </w:pPr>
            <w:r w:rsidRPr="006D0E92">
              <w:rPr>
                <w:rFonts w:cs="Arial"/>
                <w:color w:val="000000"/>
                <w:szCs w:val="18"/>
              </w:rPr>
              <w:t>14.6 (2.2)</w:t>
            </w:r>
          </w:p>
        </w:tc>
        <w:tc>
          <w:tcPr>
            <w:tcW w:w="964" w:type="dxa"/>
            <w:shd w:val="clear" w:color="auto" w:fill="FFFFFF"/>
            <w:vAlign w:val="center"/>
          </w:tcPr>
          <w:p w14:paraId="0AA9B766" w14:textId="77777777" w:rsidR="00340679" w:rsidRPr="006D0E92" w:rsidRDefault="00340679" w:rsidP="00F0602B">
            <w:pPr>
              <w:pStyle w:val="CETBodytext"/>
              <w:jc w:val="center"/>
              <w:rPr>
                <w:rFonts w:cs="Arial"/>
                <w:szCs w:val="18"/>
              </w:rPr>
            </w:pPr>
            <w:r w:rsidRPr="006D0E92">
              <w:rPr>
                <w:rFonts w:cs="Arial"/>
                <w:color w:val="000000"/>
                <w:szCs w:val="18"/>
              </w:rPr>
              <w:t>14.9 (1.1)</w:t>
            </w:r>
          </w:p>
        </w:tc>
        <w:tc>
          <w:tcPr>
            <w:tcW w:w="964" w:type="dxa"/>
            <w:shd w:val="clear" w:color="auto" w:fill="FFFFFF"/>
            <w:vAlign w:val="center"/>
          </w:tcPr>
          <w:p w14:paraId="2BED8552" w14:textId="77777777" w:rsidR="00340679" w:rsidRPr="006D0E92" w:rsidRDefault="00340679" w:rsidP="00F0602B">
            <w:pPr>
              <w:pStyle w:val="CETBodytext"/>
              <w:jc w:val="center"/>
              <w:rPr>
                <w:rFonts w:cs="Arial"/>
                <w:szCs w:val="18"/>
              </w:rPr>
            </w:pPr>
            <w:r w:rsidRPr="006D0E92">
              <w:rPr>
                <w:rFonts w:cs="Arial"/>
                <w:color w:val="000000"/>
                <w:szCs w:val="18"/>
              </w:rPr>
              <w:t>16.7 (2.7)</w:t>
            </w:r>
          </w:p>
        </w:tc>
        <w:tc>
          <w:tcPr>
            <w:tcW w:w="964" w:type="dxa"/>
            <w:shd w:val="clear" w:color="auto" w:fill="FFFFFF"/>
            <w:vAlign w:val="center"/>
          </w:tcPr>
          <w:p w14:paraId="52205648" w14:textId="77777777" w:rsidR="00340679" w:rsidRPr="006D0E92" w:rsidRDefault="00340679" w:rsidP="00F0602B">
            <w:pPr>
              <w:pStyle w:val="CETBodytext"/>
              <w:jc w:val="center"/>
              <w:rPr>
                <w:rFonts w:cs="Arial"/>
                <w:szCs w:val="18"/>
              </w:rPr>
            </w:pPr>
            <w:r w:rsidRPr="006D0E92">
              <w:rPr>
                <w:rFonts w:cs="Arial"/>
                <w:color w:val="000000"/>
                <w:szCs w:val="18"/>
              </w:rPr>
              <w:t>14.6 (1.6)</w:t>
            </w:r>
          </w:p>
        </w:tc>
        <w:tc>
          <w:tcPr>
            <w:tcW w:w="964" w:type="dxa"/>
            <w:shd w:val="clear" w:color="auto" w:fill="FFFFFF"/>
            <w:vAlign w:val="center"/>
          </w:tcPr>
          <w:p w14:paraId="3D9AEA8A" w14:textId="77777777" w:rsidR="00340679" w:rsidRPr="006D0E92" w:rsidRDefault="00340679" w:rsidP="00F0602B">
            <w:pPr>
              <w:pStyle w:val="CETBodytext"/>
              <w:jc w:val="center"/>
              <w:rPr>
                <w:rFonts w:cs="Arial"/>
                <w:szCs w:val="18"/>
              </w:rPr>
            </w:pPr>
            <w:r w:rsidRPr="006D0E92">
              <w:rPr>
                <w:rFonts w:cs="Arial"/>
                <w:color w:val="000000"/>
                <w:szCs w:val="18"/>
              </w:rPr>
              <w:t>14.4 (1.5)</w:t>
            </w:r>
          </w:p>
        </w:tc>
        <w:tc>
          <w:tcPr>
            <w:tcW w:w="964" w:type="dxa"/>
            <w:shd w:val="clear" w:color="auto" w:fill="FFFFFF"/>
            <w:vAlign w:val="center"/>
          </w:tcPr>
          <w:p w14:paraId="7B247690" w14:textId="77777777" w:rsidR="00340679" w:rsidRPr="006D0E92" w:rsidRDefault="00340679" w:rsidP="00F0602B">
            <w:pPr>
              <w:pStyle w:val="CETBodytext"/>
              <w:jc w:val="center"/>
              <w:rPr>
                <w:rFonts w:cs="Arial"/>
                <w:szCs w:val="18"/>
              </w:rPr>
            </w:pPr>
            <w:r w:rsidRPr="006D0E92">
              <w:rPr>
                <w:rFonts w:cs="Arial"/>
                <w:color w:val="000000"/>
                <w:szCs w:val="18"/>
              </w:rPr>
              <w:t>7.7 (0.9)</w:t>
            </w:r>
          </w:p>
        </w:tc>
        <w:tc>
          <w:tcPr>
            <w:tcW w:w="850" w:type="dxa"/>
            <w:shd w:val="clear" w:color="auto" w:fill="FFFFFF"/>
            <w:vAlign w:val="center"/>
          </w:tcPr>
          <w:p w14:paraId="40E568A0" w14:textId="77777777" w:rsidR="00340679" w:rsidRPr="006D0E92" w:rsidRDefault="00340679" w:rsidP="00F0602B">
            <w:pPr>
              <w:pStyle w:val="CETBodytext"/>
              <w:jc w:val="center"/>
              <w:rPr>
                <w:rFonts w:cs="Arial"/>
                <w:szCs w:val="18"/>
              </w:rPr>
            </w:pPr>
            <w:r w:rsidRPr="006D0E92">
              <w:rPr>
                <w:rFonts w:cs="Arial"/>
                <w:color w:val="000000"/>
                <w:szCs w:val="18"/>
              </w:rPr>
              <w:t>4.2 (0.6)</w:t>
            </w:r>
          </w:p>
        </w:tc>
        <w:tc>
          <w:tcPr>
            <w:tcW w:w="964" w:type="dxa"/>
            <w:shd w:val="clear" w:color="auto" w:fill="FFFFFF"/>
            <w:vAlign w:val="center"/>
          </w:tcPr>
          <w:p w14:paraId="3BEB94C5" w14:textId="77777777" w:rsidR="00340679" w:rsidRPr="006D0E92" w:rsidRDefault="00340679" w:rsidP="00F0602B">
            <w:pPr>
              <w:pStyle w:val="CETBodytext"/>
              <w:jc w:val="center"/>
              <w:rPr>
                <w:rFonts w:cs="Arial"/>
                <w:szCs w:val="18"/>
              </w:rPr>
            </w:pPr>
            <w:r w:rsidRPr="006D0E92">
              <w:rPr>
                <w:rFonts w:cs="Arial"/>
                <w:color w:val="000000"/>
                <w:szCs w:val="18"/>
              </w:rPr>
              <w:t>2.0 (0.2)</w:t>
            </w:r>
          </w:p>
        </w:tc>
      </w:tr>
      <w:tr w:rsidR="00340679" w:rsidRPr="006D0E92" w14:paraId="5E247528" w14:textId="77777777" w:rsidTr="00F0602B">
        <w:trPr>
          <w:trHeight w:val="454"/>
        </w:trPr>
        <w:tc>
          <w:tcPr>
            <w:tcW w:w="1077" w:type="dxa"/>
            <w:shd w:val="clear" w:color="auto" w:fill="FFFFFF"/>
            <w:vAlign w:val="center"/>
          </w:tcPr>
          <w:p w14:paraId="29D8A74E" w14:textId="77777777" w:rsidR="00340679" w:rsidRPr="006F5F47" w:rsidRDefault="00340679" w:rsidP="00F0602B">
            <w:pPr>
              <w:pStyle w:val="CETBodytext"/>
              <w:jc w:val="center"/>
              <w:rPr>
                <w:rFonts w:cs="Arial"/>
                <w:b/>
                <w:szCs w:val="18"/>
              </w:rPr>
            </w:pPr>
            <w:proofErr w:type="spellStart"/>
            <w:r w:rsidRPr="006F5F47">
              <w:rPr>
                <w:rFonts w:cs="Arial"/>
                <w:b/>
                <w:szCs w:val="18"/>
              </w:rPr>
              <w:t>C</w:t>
            </w:r>
            <w:r w:rsidRPr="006F5F47">
              <w:rPr>
                <w:rFonts w:cs="Arial"/>
                <w:b/>
                <w:szCs w:val="18"/>
                <w:vertAlign w:val="subscript"/>
              </w:rPr>
              <w:t>Pin</w:t>
            </w:r>
            <w:proofErr w:type="spellEnd"/>
          </w:p>
          <w:p w14:paraId="77972BF5" w14:textId="77777777" w:rsidR="00340679" w:rsidRPr="006F5F47" w:rsidRDefault="00340679" w:rsidP="00F0602B">
            <w:pPr>
              <w:pStyle w:val="CETBodytext"/>
              <w:jc w:val="center"/>
              <w:rPr>
                <w:rFonts w:cs="Arial"/>
                <w:b/>
                <w:szCs w:val="18"/>
              </w:rPr>
            </w:pPr>
            <w:r w:rsidRPr="006F5F47">
              <w:rPr>
                <w:rFonts w:cs="Arial"/>
                <w:b/>
                <w:szCs w:val="18"/>
              </w:rPr>
              <w:t>(mg m</w:t>
            </w:r>
            <w:r w:rsidRPr="006F5F47">
              <w:rPr>
                <w:rFonts w:cs="Arial"/>
                <w:b/>
                <w:szCs w:val="18"/>
                <w:vertAlign w:val="superscript"/>
              </w:rPr>
              <w:t>-3</w:t>
            </w:r>
            <w:r w:rsidRPr="006F5F47">
              <w:rPr>
                <w:rFonts w:cs="Arial"/>
                <w:b/>
                <w:szCs w:val="18"/>
              </w:rPr>
              <w:t>)</w:t>
            </w:r>
          </w:p>
        </w:tc>
        <w:tc>
          <w:tcPr>
            <w:tcW w:w="964" w:type="dxa"/>
            <w:shd w:val="clear" w:color="auto" w:fill="FFFFFF"/>
            <w:vAlign w:val="center"/>
          </w:tcPr>
          <w:p w14:paraId="7D7E40EC" w14:textId="77777777" w:rsidR="00340679" w:rsidRPr="006D0E92" w:rsidRDefault="00340679" w:rsidP="00F0602B">
            <w:pPr>
              <w:pStyle w:val="CETBodytext"/>
              <w:jc w:val="center"/>
              <w:rPr>
                <w:rFonts w:cs="Arial"/>
                <w:szCs w:val="18"/>
              </w:rPr>
            </w:pPr>
            <w:r w:rsidRPr="006D0E92">
              <w:rPr>
                <w:rFonts w:cs="Arial"/>
                <w:color w:val="000000"/>
                <w:szCs w:val="18"/>
              </w:rPr>
              <w:t>13.4 (3.2)</w:t>
            </w:r>
          </w:p>
        </w:tc>
        <w:tc>
          <w:tcPr>
            <w:tcW w:w="964" w:type="dxa"/>
            <w:shd w:val="clear" w:color="auto" w:fill="FFFFFF"/>
            <w:vAlign w:val="center"/>
          </w:tcPr>
          <w:p w14:paraId="6F8DA5BA" w14:textId="77777777" w:rsidR="00340679" w:rsidRPr="006D0E92" w:rsidRDefault="00340679" w:rsidP="00F0602B">
            <w:pPr>
              <w:pStyle w:val="CETBodytext"/>
              <w:jc w:val="center"/>
              <w:rPr>
                <w:rFonts w:cs="Arial"/>
                <w:szCs w:val="18"/>
              </w:rPr>
            </w:pPr>
            <w:r w:rsidRPr="006D0E92">
              <w:rPr>
                <w:rFonts w:cs="Arial"/>
                <w:color w:val="000000"/>
                <w:szCs w:val="18"/>
              </w:rPr>
              <w:t>18.3 (1.5)</w:t>
            </w:r>
          </w:p>
        </w:tc>
        <w:tc>
          <w:tcPr>
            <w:tcW w:w="964" w:type="dxa"/>
            <w:shd w:val="clear" w:color="auto" w:fill="FFFFFF"/>
            <w:vAlign w:val="center"/>
          </w:tcPr>
          <w:p w14:paraId="281BC47C" w14:textId="77777777" w:rsidR="00340679" w:rsidRPr="006D0E92" w:rsidRDefault="00340679" w:rsidP="00F0602B">
            <w:pPr>
              <w:pStyle w:val="CETBodytext"/>
              <w:jc w:val="center"/>
              <w:rPr>
                <w:rFonts w:cs="Arial"/>
                <w:szCs w:val="18"/>
              </w:rPr>
            </w:pPr>
            <w:r w:rsidRPr="006D0E92">
              <w:rPr>
                <w:rFonts w:cs="Arial"/>
                <w:color w:val="000000"/>
                <w:szCs w:val="18"/>
              </w:rPr>
              <w:t>17.5 (2.8)</w:t>
            </w:r>
          </w:p>
        </w:tc>
        <w:tc>
          <w:tcPr>
            <w:tcW w:w="964" w:type="dxa"/>
            <w:shd w:val="clear" w:color="auto" w:fill="FFFFFF"/>
            <w:vAlign w:val="center"/>
          </w:tcPr>
          <w:p w14:paraId="4C4DA2E3" w14:textId="77777777" w:rsidR="00340679" w:rsidRPr="006D0E92" w:rsidRDefault="00340679" w:rsidP="00F0602B">
            <w:pPr>
              <w:pStyle w:val="CETBodytext"/>
              <w:jc w:val="center"/>
              <w:rPr>
                <w:rFonts w:cs="Arial"/>
                <w:szCs w:val="18"/>
              </w:rPr>
            </w:pPr>
            <w:r w:rsidRPr="006D0E92">
              <w:rPr>
                <w:rFonts w:cs="Arial"/>
                <w:color w:val="000000"/>
                <w:szCs w:val="18"/>
              </w:rPr>
              <w:t>15.1 (1.7)</w:t>
            </w:r>
          </w:p>
        </w:tc>
        <w:tc>
          <w:tcPr>
            <w:tcW w:w="964" w:type="dxa"/>
            <w:shd w:val="clear" w:color="auto" w:fill="FFFFFF"/>
            <w:vAlign w:val="center"/>
          </w:tcPr>
          <w:p w14:paraId="596EB023" w14:textId="77777777" w:rsidR="00340679" w:rsidRPr="006D0E92" w:rsidRDefault="00340679" w:rsidP="00F0602B">
            <w:pPr>
              <w:pStyle w:val="CETBodytext"/>
              <w:jc w:val="center"/>
              <w:rPr>
                <w:rFonts w:cs="Arial"/>
                <w:szCs w:val="18"/>
              </w:rPr>
            </w:pPr>
            <w:r w:rsidRPr="006D0E92">
              <w:rPr>
                <w:rFonts w:cs="Arial"/>
                <w:color w:val="000000"/>
                <w:szCs w:val="18"/>
              </w:rPr>
              <w:t>15.9 (2.6)</w:t>
            </w:r>
          </w:p>
        </w:tc>
        <w:tc>
          <w:tcPr>
            <w:tcW w:w="964" w:type="dxa"/>
            <w:shd w:val="clear" w:color="auto" w:fill="FFFFFF"/>
            <w:vAlign w:val="center"/>
          </w:tcPr>
          <w:p w14:paraId="0668081C" w14:textId="77777777" w:rsidR="00340679" w:rsidRPr="006D0E92" w:rsidRDefault="00340679" w:rsidP="00F0602B">
            <w:pPr>
              <w:pStyle w:val="CETBodytext"/>
              <w:jc w:val="center"/>
              <w:rPr>
                <w:rFonts w:cs="Arial"/>
                <w:szCs w:val="18"/>
              </w:rPr>
            </w:pPr>
            <w:r w:rsidRPr="006D0E92">
              <w:rPr>
                <w:rFonts w:cs="Arial"/>
                <w:color w:val="000000"/>
                <w:szCs w:val="18"/>
              </w:rPr>
              <w:t>8.4 (1.1)</w:t>
            </w:r>
          </w:p>
        </w:tc>
        <w:tc>
          <w:tcPr>
            <w:tcW w:w="850" w:type="dxa"/>
            <w:shd w:val="clear" w:color="auto" w:fill="FFFFFF"/>
            <w:vAlign w:val="center"/>
          </w:tcPr>
          <w:p w14:paraId="600BC208" w14:textId="77777777" w:rsidR="00340679" w:rsidRPr="006D0E92" w:rsidRDefault="00340679" w:rsidP="00F0602B">
            <w:pPr>
              <w:pStyle w:val="CETBodytext"/>
              <w:jc w:val="center"/>
              <w:rPr>
                <w:rFonts w:cs="Arial"/>
                <w:szCs w:val="18"/>
              </w:rPr>
            </w:pPr>
            <w:r w:rsidRPr="006D0E92">
              <w:rPr>
                <w:rFonts w:cs="Arial"/>
                <w:color w:val="000000"/>
                <w:szCs w:val="18"/>
              </w:rPr>
              <w:t>4.0 (0.8)</w:t>
            </w:r>
          </w:p>
        </w:tc>
        <w:tc>
          <w:tcPr>
            <w:tcW w:w="964" w:type="dxa"/>
            <w:shd w:val="clear" w:color="auto" w:fill="FFFFFF"/>
            <w:vAlign w:val="center"/>
          </w:tcPr>
          <w:p w14:paraId="3E1F9F06" w14:textId="77777777" w:rsidR="00340679" w:rsidRPr="006D0E92" w:rsidRDefault="00340679" w:rsidP="00F0602B">
            <w:pPr>
              <w:pStyle w:val="CETBodytext"/>
              <w:jc w:val="center"/>
              <w:rPr>
                <w:rFonts w:cs="Arial"/>
                <w:szCs w:val="18"/>
              </w:rPr>
            </w:pPr>
            <w:r w:rsidRPr="006D0E92">
              <w:rPr>
                <w:rFonts w:cs="Arial"/>
                <w:color w:val="000000"/>
                <w:szCs w:val="18"/>
              </w:rPr>
              <w:t>1.9 (0.1)</w:t>
            </w:r>
          </w:p>
        </w:tc>
      </w:tr>
    </w:tbl>
    <w:p w14:paraId="677EBFF0" w14:textId="4D78E567" w:rsidR="00600535" w:rsidRDefault="002274DB" w:rsidP="00600535">
      <w:pPr>
        <w:pStyle w:val="CETHeading1"/>
        <w:tabs>
          <w:tab w:val="clear" w:pos="360"/>
          <w:tab w:val="right" w:pos="7100"/>
        </w:tabs>
        <w:jc w:val="both"/>
        <w:rPr>
          <w:lang w:val="en-GB"/>
        </w:rPr>
      </w:pPr>
      <w:r>
        <w:rPr>
          <w:lang w:val="en-GB"/>
        </w:rPr>
        <w:t>Results and discussion</w:t>
      </w:r>
    </w:p>
    <w:p w14:paraId="3874F6BE" w14:textId="1E57D0CB" w:rsidR="00F25193" w:rsidRPr="00F25193" w:rsidRDefault="00F25193" w:rsidP="00F25193">
      <w:pPr>
        <w:pStyle w:val="CETBodytext"/>
        <w:rPr>
          <w:lang w:val="en-GB"/>
        </w:rPr>
      </w:pPr>
      <w:r>
        <w:rPr>
          <w:lang w:val="en-GB"/>
        </w:rPr>
        <w:t xml:space="preserve">The </w:t>
      </w:r>
      <w:r w:rsidR="00B61C5A">
        <w:rPr>
          <w:lang w:val="en-GB"/>
        </w:rPr>
        <w:t>%REs achieved</w:t>
      </w:r>
      <w:r w:rsidR="00980C07">
        <w:rPr>
          <w:lang w:val="en-GB"/>
        </w:rPr>
        <w:t xml:space="preserve"> </w:t>
      </w:r>
      <w:r w:rsidR="00D64A64">
        <w:rPr>
          <w:lang w:val="en-GB"/>
        </w:rPr>
        <w:t xml:space="preserve">in </w:t>
      </w:r>
      <w:r w:rsidR="00980C07">
        <w:rPr>
          <w:lang w:val="en-GB"/>
        </w:rPr>
        <w:t xml:space="preserve">each bioreactor </w:t>
      </w:r>
      <w:r w:rsidR="00F0602B">
        <w:rPr>
          <w:lang w:val="en-GB"/>
        </w:rPr>
        <w:t xml:space="preserve">throughout the </w:t>
      </w:r>
      <w:r w:rsidR="005131D9">
        <w:rPr>
          <w:lang w:val="en-GB"/>
        </w:rPr>
        <w:t xml:space="preserve">experiment </w:t>
      </w:r>
      <w:r w:rsidR="00980C07">
        <w:rPr>
          <w:lang w:val="en-GB"/>
        </w:rPr>
        <w:t xml:space="preserve">are represented in </w:t>
      </w:r>
      <w:r w:rsidR="00D64A64">
        <w:rPr>
          <w:lang w:val="en-GB"/>
        </w:rPr>
        <w:t xml:space="preserve">Figure </w:t>
      </w:r>
      <w:r w:rsidR="00980C07">
        <w:rPr>
          <w:lang w:val="en-GB"/>
        </w:rPr>
        <w:t>1 (A-C).</w:t>
      </w:r>
    </w:p>
    <w:p w14:paraId="04963A06" w14:textId="691A40FD" w:rsidR="00600535" w:rsidRDefault="00D64A64" w:rsidP="00FA5F5F">
      <w:pPr>
        <w:pStyle w:val="CETheadingx"/>
      </w:pPr>
      <w:r>
        <w:t>Effect of the EBRT</w:t>
      </w:r>
    </w:p>
    <w:p w14:paraId="6BEDE02E" w14:textId="5BC226F9" w:rsidR="00194D72" w:rsidRPr="007D4B49" w:rsidRDefault="00D64A64" w:rsidP="007D4B49">
      <w:pPr>
        <w:pStyle w:val="CETBodytext"/>
      </w:pPr>
      <w:r>
        <w:t xml:space="preserve">The </w:t>
      </w:r>
      <w:r w:rsidR="00194D72">
        <w:t xml:space="preserve">EBRT was modified from 120 s </w:t>
      </w:r>
      <w:r>
        <w:t xml:space="preserve">in </w:t>
      </w:r>
      <w:r w:rsidR="00C24C63">
        <w:t>Stage</w:t>
      </w:r>
      <w:r w:rsidR="008870FA">
        <w:t xml:space="preserve"> 1, to 60</w:t>
      </w:r>
      <w:r>
        <w:t xml:space="preserve"> s</w:t>
      </w:r>
      <w:r w:rsidR="008870FA">
        <w:t xml:space="preserve"> in </w:t>
      </w:r>
      <w:r w:rsidR="00C24C63">
        <w:t>Stage</w:t>
      </w:r>
      <w:r w:rsidR="008870FA">
        <w:t xml:space="preserve"> 2, 30 s in </w:t>
      </w:r>
      <w:r w:rsidR="00C24C63">
        <w:t>Stage</w:t>
      </w:r>
      <w:r w:rsidR="008870FA">
        <w:t xml:space="preserve"> 3 and 15 s in </w:t>
      </w:r>
      <w:r w:rsidR="00C24C63">
        <w:t>Stage</w:t>
      </w:r>
      <w:r w:rsidR="008870FA">
        <w:t xml:space="preserve"> 4. </w:t>
      </w:r>
      <w:r w:rsidR="00183F23">
        <w:t>An</w:t>
      </w:r>
      <w:r w:rsidR="00DF3344">
        <w:t xml:space="preserve"> acclimation </w:t>
      </w:r>
      <w:r w:rsidR="00183F23">
        <w:t xml:space="preserve">phase was observed in </w:t>
      </w:r>
      <w:r w:rsidR="00DF3344">
        <w:t>the three bioreactors</w:t>
      </w:r>
      <w:r w:rsidR="00183F23">
        <w:t xml:space="preserve"> at the beginning of the experiment,</w:t>
      </w:r>
      <w:r w:rsidR="00E32203">
        <w:t xml:space="preserve"> </w:t>
      </w:r>
      <w:r w:rsidR="00183F23">
        <w:t>with</w:t>
      </w:r>
      <w:r w:rsidR="00E32203">
        <w:t xml:space="preserve"> </w:t>
      </w:r>
      <w:r w:rsidR="00183F23">
        <w:t xml:space="preserve">initially high </w:t>
      </w:r>
      <w:r w:rsidR="00E32203">
        <w:t xml:space="preserve">REs of toluene and </w:t>
      </w:r>
      <w:r w:rsidR="000F4BB9" w:rsidRPr="000F4BB9">
        <w:rPr>
          <w:color w:val="FF0000"/>
        </w:rPr>
        <w:t>α-pinene</w:t>
      </w:r>
      <w:r w:rsidR="00E32203">
        <w:t xml:space="preserve"> </w:t>
      </w:r>
      <w:r w:rsidR="00183F23">
        <w:t>that rapidly</w:t>
      </w:r>
      <w:r w:rsidR="00E32203">
        <w:t xml:space="preserve"> decrease</w:t>
      </w:r>
      <w:r w:rsidR="00183F23">
        <w:t>d afterwards</w:t>
      </w:r>
      <w:r w:rsidR="00E32203">
        <w:t xml:space="preserve">. After </w:t>
      </w:r>
      <w:r w:rsidR="009E53F4">
        <w:t xml:space="preserve">a </w:t>
      </w:r>
      <w:r w:rsidR="001013DF">
        <w:t>3</w:t>
      </w:r>
      <w:r w:rsidR="00183F23">
        <w:t xml:space="preserve"> to </w:t>
      </w:r>
      <w:r w:rsidR="001013DF">
        <w:t>4</w:t>
      </w:r>
      <w:r w:rsidR="00183F23">
        <w:t>-</w:t>
      </w:r>
      <w:r w:rsidR="001013DF">
        <w:t>week</w:t>
      </w:r>
      <w:r w:rsidR="00183F23">
        <w:t>s</w:t>
      </w:r>
      <w:r w:rsidR="009E53F4">
        <w:t xml:space="preserve"> period</w:t>
      </w:r>
      <w:r w:rsidR="00BC2D47">
        <w:t xml:space="preserve"> of </w:t>
      </w:r>
      <w:r w:rsidR="00183F23">
        <w:t xml:space="preserve">gradual </w:t>
      </w:r>
      <w:r w:rsidR="00BC2D47">
        <w:t>recover</w:t>
      </w:r>
      <w:r w:rsidR="00183F23">
        <w:t>y</w:t>
      </w:r>
      <w:r w:rsidR="009E53F4">
        <w:t xml:space="preserve">, depending on bioreactor and VOC, </w:t>
      </w:r>
      <w:r w:rsidR="00BC2D47">
        <w:t xml:space="preserve">a steady </w:t>
      </w:r>
      <w:r w:rsidR="00183F23">
        <w:t xml:space="preserve">removal performance </w:t>
      </w:r>
      <w:r w:rsidR="00BC2D47">
        <w:t xml:space="preserve">was </w:t>
      </w:r>
      <w:r w:rsidR="001013DF">
        <w:t>reached</w:t>
      </w:r>
      <w:r w:rsidR="00BC2D47">
        <w:t xml:space="preserve">. </w:t>
      </w:r>
      <w:r w:rsidR="001313B0">
        <w:t>The highest REs</w:t>
      </w:r>
      <w:r w:rsidR="007A391F">
        <w:t xml:space="preserve">, 92.1 </w:t>
      </w:r>
      <w:r w:rsidR="007A391F" w:rsidRPr="00B72178">
        <w:t>±</w:t>
      </w:r>
      <w:r w:rsidR="007A391F">
        <w:t xml:space="preserve"> 3.8 % and 92.8 </w:t>
      </w:r>
      <w:r w:rsidR="007A391F" w:rsidRPr="00B72178">
        <w:t>±</w:t>
      </w:r>
      <w:r w:rsidR="007A391F">
        <w:t xml:space="preserve"> 7.4 % for toluene and </w:t>
      </w:r>
      <w:r w:rsidR="000F4BB9" w:rsidRPr="000F4BB9">
        <w:rPr>
          <w:color w:val="FF0000"/>
        </w:rPr>
        <w:t>α-pinene</w:t>
      </w:r>
      <w:r w:rsidR="007A391F">
        <w:t>, respectively,</w:t>
      </w:r>
      <w:r w:rsidR="007A391F" w:rsidRPr="007A391F">
        <w:t xml:space="preserve"> </w:t>
      </w:r>
      <w:r w:rsidR="007A391F">
        <w:t>were observed in BR 1,</w:t>
      </w:r>
      <w:r w:rsidR="001313B0">
        <w:t xml:space="preserve"> which also experienced the shortest </w:t>
      </w:r>
      <w:r w:rsidR="00656983">
        <w:t xml:space="preserve">acclimation </w:t>
      </w:r>
      <w:r w:rsidR="002350B7">
        <w:t>phase</w:t>
      </w:r>
      <w:r w:rsidR="00656983">
        <w:t xml:space="preserve">. </w:t>
      </w:r>
      <w:r w:rsidR="0005643D">
        <w:t xml:space="preserve">BR 2 </w:t>
      </w:r>
      <w:r w:rsidR="004C2607">
        <w:t>reached</w:t>
      </w:r>
      <w:r w:rsidR="0005643D">
        <w:t xml:space="preserve"> </w:t>
      </w:r>
      <w:r w:rsidR="007673A8">
        <w:t xml:space="preserve">REs of 90.1 </w:t>
      </w:r>
      <w:r w:rsidR="007673A8" w:rsidRPr="00B72178">
        <w:t>±</w:t>
      </w:r>
      <w:r w:rsidR="007673A8">
        <w:t xml:space="preserve"> 4.6 % and 87.8 </w:t>
      </w:r>
      <w:r w:rsidR="007673A8" w:rsidRPr="00B72178">
        <w:t>±</w:t>
      </w:r>
      <w:r w:rsidR="007673A8">
        <w:t xml:space="preserve"> 9.6 % for toluene and </w:t>
      </w:r>
      <w:r w:rsidR="000F4BB9" w:rsidRPr="000F4BB9">
        <w:rPr>
          <w:color w:val="FF0000"/>
        </w:rPr>
        <w:t>α-pinene</w:t>
      </w:r>
      <w:r w:rsidR="007A391F">
        <w:t>, while</w:t>
      </w:r>
      <w:r w:rsidR="00F86C71">
        <w:t xml:space="preserve"> BR 3 achieved </w:t>
      </w:r>
      <w:r w:rsidR="002350B7">
        <w:t xml:space="preserve">REs </w:t>
      </w:r>
      <w:r w:rsidR="00F86C71">
        <w:t xml:space="preserve">of 90.9 </w:t>
      </w:r>
      <w:r w:rsidR="00F86C71" w:rsidRPr="00B72178">
        <w:t>±</w:t>
      </w:r>
      <w:r w:rsidR="00F86C71">
        <w:t xml:space="preserve"> 5.1 % and </w:t>
      </w:r>
      <w:r w:rsidR="00464F2E">
        <w:t>90.0</w:t>
      </w:r>
      <w:r w:rsidR="00F86C71">
        <w:t xml:space="preserve"> </w:t>
      </w:r>
      <w:r w:rsidR="00F86C71" w:rsidRPr="00B72178">
        <w:t>±</w:t>
      </w:r>
      <w:r w:rsidR="00F86C71">
        <w:t xml:space="preserve"> </w:t>
      </w:r>
      <w:r w:rsidR="00464F2E">
        <w:t>8.4</w:t>
      </w:r>
      <w:r w:rsidR="00F86C71">
        <w:t xml:space="preserve"> % for toluene and </w:t>
      </w:r>
      <w:r w:rsidR="000F4BB9" w:rsidRPr="000F4BB9">
        <w:rPr>
          <w:color w:val="FF0000"/>
        </w:rPr>
        <w:t>α-pinene</w:t>
      </w:r>
      <w:r w:rsidR="00464F2E">
        <w:t xml:space="preserve"> despite </w:t>
      </w:r>
      <w:r w:rsidR="007A391F">
        <w:t>exhibiting the</w:t>
      </w:r>
      <w:r w:rsidR="00464F2E">
        <w:t xml:space="preserve"> longest acclimation period. </w:t>
      </w:r>
      <w:r w:rsidR="007A391F">
        <w:t>No</w:t>
      </w:r>
      <w:r w:rsidR="000F4BB9" w:rsidRPr="000F4BB9">
        <w:rPr>
          <w:color w:val="FF0000"/>
        </w:rPr>
        <w:t xml:space="preserve"> n-hexane</w:t>
      </w:r>
      <w:r w:rsidR="007A391F">
        <w:t xml:space="preserve"> removal</w:t>
      </w:r>
      <w:r w:rsidR="004E39EE">
        <w:t xml:space="preserve"> </w:t>
      </w:r>
      <w:r w:rsidR="0061076B">
        <w:t>(</w:t>
      </w:r>
      <w:r w:rsidR="004065F3">
        <w:t>&lt;</w:t>
      </w:r>
      <w:r w:rsidR="00F010FC">
        <w:t xml:space="preserve"> </w:t>
      </w:r>
      <w:r w:rsidR="004065F3">
        <w:t>5 %)</w:t>
      </w:r>
      <w:r w:rsidR="00E31B59">
        <w:t xml:space="preserve"> </w:t>
      </w:r>
      <w:r w:rsidR="007A391F">
        <w:t xml:space="preserve">was observed </w:t>
      </w:r>
      <w:r w:rsidR="00E31B59">
        <w:t>in any of the bioreactors.</w:t>
      </w:r>
      <w:r w:rsidR="00B5587F">
        <w:t xml:space="preserve"> The longe</w:t>
      </w:r>
      <w:r w:rsidR="007A391F">
        <w:t>st</w:t>
      </w:r>
      <w:r w:rsidR="00B5587F">
        <w:t xml:space="preserve"> </w:t>
      </w:r>
      <w:r w:rsidR="00EE7E80">
        <w:t xml:space="preserve">acclimation </w:t>
      </w:r>
      <w:r w:rsidR="007A391F">
        <w:t>period of</w:t>
      </w:r>
      <w:r w:rsidR="00EE7E80">
        <w:t xml:space="preserve"> BR 3 </w:t>
      </w:r>
      <w:r w:rsidR="007A391F">
        <w:t>was attributed</w:t>
      </w:r>
      <w:r w:rsidR="00EE7E80">
        <w:t xml:space="preserve"> to the lack of adaption of the microorganism to the </w:t>
      </w:r>
      <w:r w:rsidR="00DA7997">
        <w:t xml:space="preserve">selected </w:t>
      </w:r>
      <w:r w:rsidR="00EE7E80">
        <w:t xml:space="preserve">VOCs. </w:t>
      </w:r>
      <w:r w:rsidR="009738ED">
        <w:t xml:space="preserve">The reduction </w:t>
      </w:r>
      <w:r w:rsidR="00DA7997">
        <w:t xml:space="preserve">in the </w:t>
      </w:r>
      <w:r w:rsidR="009738ED">
        <w:t>EBRT to 60 s had little effect on VOC removal in BR 1 and BR 2.</w:t>
      </w:r>
      <w:r w:rsidR="008A67AA">
        <w:t xml:space="preserve"> REs of toluene and </w:t>
      </w:r>
      <w:r w:rsidR="000F4BB9" w:rsidRPr="000F4BB9">
        <w:rPr>
          <w:color w:val="FF0000"/>
        </w:rPr>
        <w:t>α-pinene</w:t>
      </w:r>
      <w:r w:rsidR="008A67AA">
        <w:t xml:space="preserve"> </w:t>
      </w:r>
      <w:r w:rsidR="00A55FCF">
        <w:t>remained over 90</w:t>
      </w:r>
      <w:r w:rsidR="00F010FC">
        <w:t xml:space="preserve"> </w:t>
      </w:r>
      <w:r w:rsidR="00A55FCF">
        <w:t xml:space="preserve">%, while no increase </w:t>
      </w:r>
      <w:r w:rsidR="00DA7997">
        <w:t>in</w:t>
      </w:r>
      <w:r w:rsidR="000F4BB9" w:rsidRPr="000F4BB9">
        <w:rPr>
          <w:color w:val="FF0000"/>
        </w:rPr>
        <w:t xml:space="preserve"> n-hexane</w:t>
      </w:r>
      <w:r w:rsidR="00A55FCF">
        <w:t xml:space="preserve"> removal was observed. </w:t>
      </w:r>
      <w:r w:rsidR="00AF374E">
        <w:t xml:space="preserve">A slight deterioration of </w:t>
      </w:r>
      <w:r w:rsidR="00A55FCF">
        <w:t xml:space="preserve">BR 3 </w:t>
      </w:r>
      <w:r w:rsidR="00AF374E">
        <w:t xml:space="preserve">performance was recorded </w:t>
      </w:r>
      <w:r w:rsidR="006D195B">
        <w:t xml:space="preserve">after the EBRT reduction, </w:t>
      </w:r>
      <w:r w:rsidR="00AF374E">
        <w:t>rapidly</w:t>
      </w:r>
      <w:r w:rsidR="006D195B">
        <w:t xml:space="preserve"> </w:t>
      </w:r>
      <w:r w:rsidR="00AF374E">
        <w:t xml:space="preserve">recovering </w:t>
      </w:r>
      <w:r w:rsidR="002C2ABA">
        <w:t>average</w:t>
      </w:r>
      <w:r w:rsidR="00AF374E">
        <w:t xml:space="preserve"> </w:t>
      </w:r>
      <w:r w:rsidR="002D1EAC">
        <w:t>REs</w:t>
      </w:r>
      <w:r w:rsidR="00AF374E">
        <w:t xml:space="preserve"> of</w:t>
      </w:r>
      <w:r w:rsidR="002C2ABA">
        <w:t xml:space="preserve"> 89.9 </w:t>
      </w:r>
      <w:r w:rsidR="002C2ABA" w:rsidRPr="00B72178">
        <w:t>±</w:t>
      </w:r>
      <w:r w:rsidR="002C2ABA">
        <w:t xml:space="preserve"> 1.6 % for toluene and 87.3 </w:t>
      </w:r>
      <w:r w:rsidR="002C2ABA" w:rsidRPr="00B72178">
        <w:t>±</w:t>
      </w:r>
      <w:r w:rsidR="002C2ABA">
        <w:t xml:space="preserve"> 4.1 % for </w:t>
      </w:r>
      <w:r w:rsidR="000F4BB9" w:rsidRPr="000F4BB9">
        <w:rPr>
          <w:color w:val="FF0000"/>
        </w:rPr>
        <w:t>α-pinene</w:t>
      </w:r>
      <w:r w:rsidR="002C2ABA">
        <w:t>. No</w:t>
      </w:r>
      <w:r w:rsidR="000F4BB9" w:rsidRPr="000F4BB9">
        <w:rPr>
          <w:color w:val="FF0000"/>
        </w:rPr>
        <w:t xml:space="preserve"> n-hexane</w:t>
      </w:r>
      <w:r w:rsidR="002C2ABA">
        <w:t xml:space="preserve"> </w:t>
      </w:r>
      <w:r w:rsidR="00084515">
        <w:t xml:space="preserve">abatement </w:t>
      </w:r>
      <w:r w:rsidR="0040456E">
        <w:t>was observed.</w:t>
      </w:r>
      <w:r w:rsidR="005F69EF">
        <w:t xml:space="preserve"> </w:t>
      </w:r>
      <w:r w:rsidR="00084515">
        <w:t xml:space="preserve">A further decrease in the EBRT to 30 s in </w:t>
      </w:r>
      <w:r w:rsidR="00C24C63">
        <w:t>Stage</w:t>
      </w:r>
      <w:r w:rsidR="00084515">
        <w:t xml:space="preserve"> 3 resulted in </w:t>
      </w:r>
      <w:r w:rsidR="00612B9E">
        <w:t xml:space="preserve">an </w:t>
      </w:r>
      <w:r w:rsidR="00C24C63">
        <w:t>initial decrease in</w:t>
      </w:r>
      <w:r w:rsidR="00084515">
        <w:t xml:space="preserve"> toluene removals in </w:t>
      </w:r>
      <w:r w:rsidR="00437C7D">
        <w:t>BR 1 and BR 2</w:t>
      </w:r>
      <w:r w:rsidR="00D71545">
        <w:t xml:space="preserve">, </w:t>
      </w:r>
      <w:r w:rsidR="00084515">
        <w:t>with a more severe e</w:t>
      </w:r>
      <w:r w:rsidR="00D71545">
        <w:t xml:space="preserve">ffect </w:t>
      </w:r>
      <w:r w:rsidR="00084515">
        <w:t xml:space="preserve">on </w:t>
      </w:r>
      <w:r w:rsidR="000F4BB9" w:rsidRPr="000F4BB9">
        <w:rPr>
          <w:color w:val="FF0000"/>
        </w:rPr>
        <w:t>α-pinene</w:t>
      </w:r>
      <w:r w:rsidR="00084515">
        <w:t xml:space="preserve"> removal</w:t>
      </w:r>
      <w:r w:rsidR="00954585">
        <w:t xml:space="preserve"> (</w:t>
      </w:r>
      <w:r w:rsidR="00954585">
        <w:rPr>
          <w:rFonts w:cs="Arial"/>
        </w:rPr>
        <w:t>≈</w:t>
      </w:r>
      <w:r w:rsidR="00113202">
        <w:rPr>
          <w:rFonts w:cs="Arial"/>
        </w:rPr>
        <w:t xml:space="preserve"> </w:t>
      </w:r>
      <w:r w:rsidR="00954585">
        <w:t>30 % decrease)</w:t>
      </w:r>
      <w:r w:rsidR="00D71545">
        <w:t xml:space="preserve">. Removals of toluene and </w:t>
      </w:r>
      <w:r w:rsidR="000F4BB9" w:rsidRPr="000F4BB9">
        <w:rPr>
          <w:color w:val="FF0000"/>
        </w:rPr>
        <w:t>α-pinene</w:t>
      </w:r>
      <w:r w:rsidR="00437C7D">
        <w:t xml:space="preserve"> recovered within a week to achieve steady state values of </w:t>
      </w:r>
      <w:r w:rsidR="00F509A7">
        <w:t xml:space="preserve">91.3 </w:t>
      </w:r>
      <w:r w:rsidR="00F509A7" w:rsidRPr="00B72178">
        <w:t>±</w:t>
      </w:r>
      <w:r w:rsidR="00F509A7">
        <w:t xml:space="preserve"> 3.0 %</w:t>
      </w:r>
      <w:r w:rsidR="000752F9">
        <w:t xml:space="preserve"> and 97.9 </w:t>
      </w:r>
      <w:r w:rsidR="000752F9" w:rsidRPr="00B72178">
        <w:t>±</w:t>
      </w:r>
      <w:r w:rsidR="000752F9">
        <w:t xml:space="preserve"> 2.3 %</w:t>
      </w:r>
      <w:r w:rsidR="00F509A7">
        <w:t xml:space="preserve"> </w:t>
      </w:r>
      <w:r w:rsidR="00D71545">
        <w:t xml:space="preserve">in BR 1, </w:t>
      </w:r>
      <w:r w:rsidR="00F509A7">
        <w:t xml:space="preserve">and 92.6 </w:t>
      </w:r>
      <w:r w:rsidR="00F509A7" w:rsidRPr="00B72178">
        <w:t>±</w:t>
      </w:r>
      <w:r w:rsidR="00F509A7">
        <w:t xml:space="preserve"> 1.7 %</w:t>
      </w:r>
      <w:r w:rsidR="00D71545">
        <w:t xml:space="preserve"> </w:t>
      </w:r>
      <w:r w:rsidR="000752F9">
        <w:t xml:space="preserve">and </w:t>
      </w:r>
      <w:r w:rsidR="00B07F51">
        <w:t xml:space="preserve">95.2 </w:t>
      </w:r>
      <w:r w:rsidR="00B07F51" w:rsidRPr="00B72178">
        <w:t>±</w:t>
      </w:r>
      <w:r w:rsidR="00B07F51">
        <w:t xml:space="preserve"> 6.4 </w:t>
      </w:r>
      <w:r w:rsidR="00D71545">
        <w:t>in BR 2.</w:t>
      </w:r>
      <w:r w:rsidR="00B07F51">
        <w:t xml:space="preserve"> O</w:t>
      </w:r>
      <w:r w:rsidR="000614F4">
        <w:t xml:space="preserve">n the contrary, BR 3 could not recover </w:t>
      </w:r>
      <w:r w:rsidR="00897198">
        <w:t>previous REs,</w:t>
      </w:r>
      <w:r w:rsidR="00CC34A0">
        <w:t xml:space="preserve"> </w:t>
      </w:r>
      <w:r w:rsidR="000864E5">
        <w:t xml:space="preserve">and after the initial decrease, steady state REs </w:t>
      </w:r>
      <w:r w:rsidR="00EC5C9B">
        <w:t xml:space="preserve">for toluene and </w:t>
      </w:r>
      <w:r w:rsidR="000F4BB9" w:rsidRPr="000F4BB9">
        <w:rPr>
          <w:color w:val="FF0000"/>
        </w:rPr>
        <w:t>α-pinene</w:t>
      </w:r>
      <w:r w:rsidR="00EC5C9B">
        <w:t xml:space="preserve"> remained at </w:t>
      </w:r>
      <w:r w:rsidR="00AE6B13">
        <w:t xml:space="preserve">67.0 </w:t>
      </w:r>
      <w:r w:rsidR="00AE6B13" w:rsidRPr="00B72178">
        <w:t>±</w:t>
      </w:r>
      <w:r w:rsidR="00AE6B13">
        <w:t xml:space="preserve"> 7.8 % and 49.8 </w:t>
      </w:r>
      <w:r w:rsidR="00AE6B13" w:rsidRPr="00B72178">
        <w:t>±</w:t>
      </w:r>
      <w:r w:rsidR="00AE6B13">
        <w:t xml:space="preserve"> 12.0 %.</w:t>
      </w:r>
      <w:r w:rsidR="00EC5C9B">
        <w:t xml:space="preserve"> A </w:t>
      </w:r>
      <w:r w:rsidR="00F72490">
        <w:t>slight</w:t>
      </w:r>
      <w:r w:rsidR="00EC5C9B">
        <w:t xml:space="preserve"> increase in</w:t>
      </w:r>
      <w:r w:rsidR="000F4BB9" w:rsidRPr="000F4BB9">
        <w:rPr>
          <w:color w:val="FF0000"/>
        </w:rPr>
        <w:t xml:space="preserve"> n-hexane</w:t>
      </w:r>
      <w:r w:rsidR="00EC5C9B">
        <w:t xml:space="preserve"> degradation </w:t>
      </w:r>
      <w:r w:rsidR="00084515">
        <w:t>was</w:t>
      </w:r>
      <w:r w:rsidR="00EC5C9B">
        <w:t xml:space="preserve"> observed in the three bioreactors, </w:t>
      </w:r>
      <w:r w:rsidR="003F7298">
        <w:t>although outlet concentrations showed a</w:t>
      </w:r>
      <w:r w:rsidR="00B5587F">
        <w:t xml:space="preserve"> high variability.</w:t>
      </w:r>
      <w:r w:rsidR="00EE7E80">
        <w:t xml:space="preserve"> </w:t>
      </w:r>
      <w:r w:rsidR="004732EC">
        <w:t>As previously stated, the</w:t>
      </w:r>
      <w:r w:rsidR="00EE7E80">
        <w:t xml:space="preserve"> lack of specialization of the </w:t>
      </w:r>
      <w:r w:rsidR="00261E9B">
        <w:t xml:space="preserve">fresh activated sludge </w:t>
      </w:r>
      <w:r w:rsidR="004732EC">
        <w:t xml:space="preserve">to the VOCs </w:t>
      </w:r>
      <w:r w:rsidR="00261E9B">
        <w:t xml:space="preserve">was the most likely cause of the </w:t>
      </w:r>
      <w:r w:rsidR="004732EC">
        <w:t xml:space="preserve">performance </w:t>
      </w:r>
      <w:r w:rsidR="00E667B9">
        <w:lastRenderedPageBreak/>
        <w:t>deterioration in BR 3.</w:t>
      </w:r>
      <w:r w:rsidR="005E3BE5">
        <w:t xml:space="preserve"> </w:t>
      </w:r>
      <w:r w:rsidR="007F7B44">
        <w:t xml:space="preserve">The </w:t>
      </w:r>
      <w:r w:rsidR="004732EC">
        <w:t xml:space="preserve">reduction in the </w:t>
      </w:r>
      <w:r w:rsidR="007F7B44">
        <w:t xml:space="preserve">EBRT to 15 s </w:t>
      </w:r>
      <w:r w:rsidR="00FD4B61">
        <w:t>entailed a</w:t>
      </w:r>
      <w:r w:rsidR="004732EC">
        <w:t>n overall decline in the</w:t>
      </w:r>
      <w:r w:rsidR="00CC49D9">
        <w:t xml:space="preserve"> removal </w:t>
      </w:r>
      <w:r w:rsidR="004732EC">
        <w:t>values</w:t>
      </w:r>
      <w:r w:rsidR="00CC49D9">
        <w:t>.</w:t>
      </w:r>
      <w:r w:rsidR="00BF1CA1">
        <w:t xml:space="preserve"> T</w:t>
      </w:r>
      <w:r w:rsidR="00BF1CA1" w:rsidRPr="00BF1CA1">
        <w:t xml:space="preserve">oluene REs decreased </w:t>
      </w:r>
      <w:r w:rsidR="00557713">
        <w:t xml:space="preserve">by </w:t>
      </w:r>
      <w:r w:rsidR="000279D3">
        <w:rPr>
          <w:rFonts w:cs="Arial"/>
        </w:rPr>
        <w:t>≈</w:t>
      </w:r>
      <w:r w:rsidR="00A8770B">
        <w:rPr>
          <w:rFonts w:cs="Arial"/>
        </w:rPr>
        <w:t xml:space="preserve"> </w:t>
      </w:r>
      <w:r w:rsidR="00557713">
        <w:t xml:space="preserve">50 % in the three bioreactors. </w:t>
      </w:r>
      <w:r w:rsidR="007B135D">
        <w:t>While a</w:t>
      </w:r>
      <w:r w:rsidR="00C74C6A">
        <w:t xml:space="preserve"> similar </w:t>
      </w:r>
      <w:r w:rsidR="007B135D">
        <w:t>deterioration</w:t>
      </w:r>
      <w:r w:rsidR="00C74C6A">
        <w:t xml:space="preserve"> in toluene REs</w:t>
      </w:r>
      <w:r w:rsidR="00557713">
        <w:t xml:space="preserve"> was observed</w:t>
      </w:r>
      <w:r w:rsidR="0011545C">
        <w:t xml:space="preserve"> in BR 1 and BR 2 </w:t>
      </w:r>
      <w:r w:rsidR="007B135D">
        <w:t>(</w:t>
      </w:r>
      <w:r w:rsidR="0011545C">
        <w:t xml:space="preserve">to </w:t>
      </w:r>
      <w:r w:rsidR="00BF1CA1" w:rsidRPr="00BF1CA1">
        <w:t>41.5</w:t>
      </w:r>
      <w:r w:rsidR="00685FD9">
        <w:t xml:space="preserve"> </w:t>
      </w:r>
      <w:r w:rsidR="00BF1CA1" w:rsidRPr="00BF1CA1">
        <w:t>±</w:t>
      </w:r>
      <w:r w:rsidR="00685FD9">
        <w:t xml:space="preserve"> </w:t>
      </w:r>
      <w:r w:rsidR="00BF1CA1" w:rsidRPr="00BF1CA1">
        <w:t>11.2</w:t>
      </w:r>
      <w:r w:rsidR="00685FD9">
        <w:t xml:space="preserve"> </w:t>
      </w:r>
      <w:r w:rsidR="00BF1CA1" w:rsidRPr="00BF1CA1">
        <w:t>% and 44.3</w:t>
      </w:r>
      <w:r w:rsidR="00685FD9">
        <w:t xml:space="preserve"> </w:t>
      </w:r>
      <w:r w:rsidR="00BF1CA1" w:rsidRPr="00BF1CA1">
        <w:t>±</w:t>
      </w:r>
      <w:r w:rsidR="00685FD9">
        <w:t xml:space="preserve"> </w:t>
      </w:r>
      <w:r w:rsidR="00BF1CA1" w:rsidRPr="00BF1CA1">
        <w:t>5.4</w:t>
      </w:r>
      <w:r w:rsidR="00685FD9">
        <w:t xml:space="preserve"> </w:t>
      </w:r>
      <w:r w:rsidR="00BF1CA1" w:rsidRPr="00BF1CA1">
        <w:t xml:space="preserve">%, </w:t>
      </w:r>
      <w:r w:rsidR="00C74C6A">
        <w:t>respectively</w:t>
      </w:r>
      <w:r w:rsidR="007B135D">
        <w:t>)</w:t>
      </w:r>
      <w:r w:rsidR="00C74C6A">
        <w:t xml:space="preserve">, </w:t>
      </w:r>
      <w:r w:rsidR="00557713">
        <w:t xml:space="preserve">a much faster deterioration was </w:t>
      </w:r>
      <w:r w:rsidR="00C74C6A">
        <w:t xml:space="preserve">recorded </w:t>
      </w:r>
      <w:r w:rsidR="00005061">
        <w:t>in BR</w:t>
      </w:r>
      <w:r w:rsidR="005D101D">
        <w:t xml:space="preserve"> 3, reaching values of</w:t>
      </w:r>
      <w:r w:rsidR="00BF1CA1" w:rsidRPr="00BF1CA1">
        <w:t xml:space="preserve"> 22.2</w:t>
      </w:r>
      <w:r w:rsidR="00685FD9">
        <w:t xml:space="preserve"> </w:t>
      </w:r>
      <w:r w:rsidR="00BF1CA1" w:rsidRPr="00BF1CA1">
        <w:t>±</w:t>
      </w:r>
      <w:r w:rsidR="00685FD9">
        <w:t xml:space="preserve"> </w:t>
      </w:r>
      <w:r w:rsidR="00BF1CA1" w:rsidRPr="00BF1CA1">
        <w:t>16.1</w:t>
      </w:r>
      <w:r w:rsidR="00685FD9">
        <w:t xml:space="preserve"> </w:t>
      </w:r>
      <w:r w:rsidR="00BF1CA1" w:rsidRPr="00BF1CA1">
        <w:t>%</w:t>
      </w:r>
      <w:r w:rsidR="005D101D">
        <w:t xml:space="preserve">. </w:t>
      </w:r>
      <w:r w:rsidR="00511962">
        <w:t xml:space="preserve">The </w:t>
      </w:r>
      <w:r w:rsidR="00C408E1">
        <w:t>reduction</w:t>
      </w:r>
      <w:r w:rsidR="00511962">
        <w:t xml:space="preserve"> </w:t>
      </w:r>
      <w:r w:rsidR="00C74C6A">
        <w:t xml:space="preserve">in </w:t>
      </w:r>
      <w:r w:rsidR="000F4BB9" w:rsidRPr="000F4BB9">
        <w:rPr>
          <w:color w:val="FF0000"/>
        </w:rPr>
        <w:t>α-pinene</w:t>
      </w:r>
      <w:r w:rsidR="00511962">
        <w:t xml:space="preserve"> RE</w:t>
      </w:r>
      <w:r w:rsidR="00EE5067">
        <w:t xml:space="preserve"> was</w:t>
      </w:r>
      <w:r w:rsidR="00C207B0">
        <w:t xml:space="preserve"> </w:t>
      </w:r>
      <w:r w:rsidR="00F11359">
        <w:t xml:space="preserve">moderated in BR 1, </w:t>
      </w:r>
      <w:r w:rsidR="00C408E1">
        <w:t xml:space="preserve">decreasing to 41.5 </w:t>
      </w:r>
      <w:r w:rsidR="00C408E1" w:rsidRPr="00BF1CA1">
        <w:t>±</w:t>
      </w:r>
      <w:r w:rsidR="00C408E1">
        <w:t xml:space="preserve"> </w:t>
      </w:r>
      <w:r w:rsidR="00BD1B08">
        <w:t xml:space="preserve">11.2 %. On the other hand, BR 2 and BR 3 experienced steeper </w:t>
      </w:r>
      <w:r w:rsidR="00763D29">
        <w:t xml:space="preserve">reductions to REs of 10.5 </w:t>
      </w:r>
      <w:r w:rsidR="00763D29" w:rsidRPr="00BF1CA1">
        <w:t>±</w:t>
      </w:r>
      <w:r w:rsidR="00763D29">
        <w:t xml:space="preserve"> 10.2 % and </w:t>
      </w:r>
      <w:r w:rsidR="005232EC">
        <w:t xml:space="preserve">8.2 </w:t>
      </w:r>
      <w:r w:rsidR="005232EC" w:rsidRPr="00BF1CA1">
        <w:t>±</w:t>
      </w:r>
      <w:r w:rsidR="005232EC">
        <w:t xml:space="preserve"> 9.3 %, respectively.</w:t>
      </w:r>
      <w:r w:rsidR="00685FD9">
        <w:t xml:space="preserve"> </w:t>
      </w:r>
      <w:r w:rsidR="00C74C6A">
        <w:t>No variation on</w:t>
      </w:r>
      <w:r w:rsidR="000F4BB9" w:rsidRPr="000F4BB9">
        <w:rPr>
          <w:color w:val="FF0000"/>
        </w:rPr>
        <w:t xml:space="preserve"> n-hexane</w:t>
      </w:r>
      <w:r w:rsidR="00DC73BB">
        <w:t xml:space="preserve"> removal </w:t>
      </w:r>
      <w:r w:rsidR="00C74C6A">
        <w:t>was observed</w:t>
      </w:r>
      <w:r w:rsidR="00DC73BB">
        <w:t xml:space="preserve"> in any of the bioreactors.</w:t>
      </w:r>
      <w:r w:rsidR="00016A00">
        <w:t xml:space="preserve"> </w:t>
      </w:r>
      <w:r w:rsidR="00234F4F">
        <w:t xml:space="preserve">This general </w:t>
      </w:r>
      <w:r w:rsidR="00C74C6A">
        <w:t>drop in VOCs removals</w:t>
      </w:r>
      <w:r w:rsidR="00234F4F">
        <w:t xml:space="preserve"> could be attributed to a deterioration </w:t>
      </w:r>
      <w:r w:rsidR="00C74C6A">
        <w:t xml:space="preserve">of the </w:t>
      </w:r>
      <w:r w:rsidR="00234F4F">
        <w:t>bacterial activity, especially in the bioactive coatings, caused by the loss of moisture at higher inlet gas flow</w:t>
      </w:r>
      <w:r w:rsidR="00C74C6A">
        <w:t>rates</w:t>
      </w:r>
      <w:r w:rsidR="00234F4F">
        <w:t xml:space="preserve">. </w:t>
      </w:r>
      <w:r w:rsidR="00016A00">
        <w:t xml:space="preserve">Additionally, a higher gas flow </w:t>
      </w:r>
      <w:r w:rsidR="0010670A">
        <w:t>implies</w:t>
      </w:r>
      <w:r w:rsidR="00016A00">
        <w:t xml:space="preserve"> a </w:t>
      </w:r>
      <w:r w:rsidR="0010670A">
        <w:t>shorter</w:t>
      </w:r>
      <w:r w:rsidR="00016A00">
        <w:t xml:space="preserve"> contact time </w:t>
      </w:r>
      <w:r w:rsidR="00C74C6A">
        <w:t xml:space="preserve">that might hinder VOCs mass transfer.  </w:t>
      </w:r>
    </w:p>
    <w:p w14:paraId="7BCB8317" w14:textId="29CAF11F" w:rsidR="00736B57" w:rsidRDefault="00D64A64" w:rsidP="00FA5F5F">
      <w:pPr>
        <w:pStyle w:val="CETheadingx"/>
      </w:pPr>
      <w:r>
        <w:t>Effect of the i</w:t>
      </w:r>
      <w:r w:rsidR="00736B57">
        <w:t xml:space="preserve">rrigation </w:t>
      </w:r>
      <w:r>
        <w:t>frequency</w:t>
      </w:r>
    </w:p>
    <w:p w14:paraId="1E4CFD63" w14:textId="4984DC12" w:rsidR="00736B57" w:rsidRPr="00736B57" w:rsidRDefault="00736B57" w:rsidP="00736B57">
      <w:pPr>
        <w:pStyle w:val="CETBodytext"/>
      </w:pPr>
      <w:r>
        <w:t xml:space="preserve">At </w:t>
      </w:r>
      <w:r w:rsidR="00C24C63">
        <w:t>Stage</w:t>
      </w:r>
      <w:r>
        <w:t xml:space="preserve"> 5,</w:t>
      </w:r>
      <w:r w:rsidR="00043A43">
        <w:t xml:space="preserve"> EBRT and inlet VOC concentrations </w:t>
      </w:r>
      <w:r w:rsidR="002447A4">
        <w:t>remained the same as those of</w:t>
      </w:r>
      <w:r w:rsidR="00043A43">
        <w:t xml:space="preserve"> </w:t>
      </w:r>
      <w:r w:rsidR="00C24C63">
        <w:t>Stage</w:t>
      </w:r>
      <w:r w:rsidR="002447A4">
        <w:t xml:space="preserve"> </w:t>
      </w:r>
      <w:r w:rsidR="00043A43">
        <w:t xml:space="preserve">4, but the </w:t>
      </w:r>
      <w:r w:rsidR="002447A4">
        <w:t>system configuration was</w:t>
      </w:r>
      <w:r w:rsidR="00043A43">
        <w:t xml:space="preserve"> shifted from a biofilter (intermittent irrigation) to a biotrickling filter (continuous</w:t>
      </w:r>
      <w:r w:rsidR="002447A4">
        <w:t xml:space="preserve"> liquid</w:t>
      </w:r>
      <w:r w:rsidR="00043A43">
        <w:t xml:space="preserve"> recirculation). </w:t>
      </w:r>
      <w:r w:rsidR="002950F4">
        <w:t xml:space="preserve">The </w:t>
      </w:r>
      <w:r w:rsidR="00BA23AF">
        <w:t xml:space="preserve">irrigation </w:t>
      </w:r>
      <w:r w:rsidR="002950F4">
        <w:t xml:space="preserve">was increased from </w:t>
      </w:r>
      <w:r w:rsidR="00BA23AF">
        <w:t xml:space="preserve">intermittent intervals of </w:t>
      </w:r>
      <w:r w:rsidR="00EB1C8E">
        <w:t>6.25 mL</w:t>
      </w:r>
      <w:r w:rsidR="00BA23AF">
        <w:t>, 16 times a day</w:t>
      </w:r>
      <w:r w:rsidR="00EB1C8E">
        <w:t xml:space="preserve"> (100 mL day</w:t>
      </w:r>
      <w:r w:rsidR="00EB1C8E" w:rsidRPr="00D10873">
        <w:rPr>
          <w:vertAlign w:val="superscript"/>
        </w:rPr>
        <w:t>-1</w:t>
      </w:r>
      <w:r w:rsidR="00EB1C8E">
        <w:t>)</w:t>
      </w:r>
      <w:r w:rsidR="003A223C">
        <w:t xml:space="preserve"> to </w:t>
      </w:r>
      <w:r w:rsidR="00BA23AF">
        <w:t xml:space="preserve">a </w:t>
      </w:r>
      <w:r w:rsidR="00EB1C8E">
        <w:t>continuous</w:t>
      </w:r>
      <w:r w:rsidR="00BA23AF">
        <w:t xml:space="preserve"> recirculation at a liquid velocity of</w:t>
      </w:r>
      <w:r w:rsidR="00EB1C8E">
        <w:t xml:space="preserve"> </w:t>
      </w:r>
      <w:r w:rsidR="003A223C">
        <w:t>8 L day</w:t>
      </w:r>
      <w:r w:rsidR="003A223C" w:rsidRPr="00D10873">
        <w:rPr>
          <w:vertAlign w:val="superscript"/>
        </w:rPr>
        <w:t>-1</w:t>
      </w:r>
      <w:r w:rsidR="00EB1C8E">
        <w:t>. In this stage</w:t>
      </w:r>
      <w:r w:rsidR="003B7C8A">
        <w:t xml:space="preserve">, </w:t>
      </w:r>
      <w:r w:rsidR="00BA23AF">
        <w:t xml:space="preserve">a </w:t>
      </w:r>
      <w:r w:rsidR="008157DA">
        <w:rPr>
          <w:rFonts w:cs="Arial"/>
        </w:rPr>
        <w:t>≈</w:t>
      </w:r>
      <w:r w:rsidR="00EA0F02">
        <w:rPr>
          <w:rFonts w:cs="Arial"/>
        </w:rPr>
        <w:t xml:space="preserve"> </w:t>
      </w:r>
      <w:r w:rsidR="00BA23AF">
        <w:t xml:space="preserve">30 % </w:t>
      </w:r>
      <w:r w:rsidR="003B7C8A">
        <w:t xml:space="preserve">toluene </w:t>
      </w:r>
      <w:r w:rsidR="00BA23AF">
        <w:t>removal recovery was observed</w:t>
      </w:r>
      <w:r w:rsidR="006D0C09">
        <w:t xml:space="preserve">, reaching </w:t>
      </w:r>
      <w:r w:rsidR="006C20C6" w:rsidRPr="006C20C6">
        <w:t>76.3</w:t>
      </w:r>
      <w:r w:rsidR="006C20C6">
        <w:t xml:space="preserve"> </w:t>
      </w:r>
      <w:r w:rsidR="006C20C6" w:rsidRPr="006C20C6">
        <w:t>±</w:t>
      </w:r>
      <w:r w:rsidR="006C20C6">
        <w:t xml:space="preserve"> </w:t>
      </w:r>
      <w:r w:rsidR="006C20C6" w:rsidRPr="006C20C6">
        <w:t>5.9</w:t>
      </w:r>
      <w:r w:rsidR="006C20C6">
        <w:t xml:space="preserve"> </w:t>
      </w:r>
      <w:r w:rsidR="006C20C6" w:rsidRPr="006C20C6">
        <w:t>% in BR 1, 74.0</w:t>
      </w:r>
      <w:r w:rsidR="006C20C6">
        <w:t xml:space="preserve"> </w:t>
      </w:r>
      <w:r w:rsidR="006C20C6" w:rsidRPr="006C20C6">
        <w:t>±</w:t>
      </w:r>
      <w:r w:rsidR="006C20C6">
        <w:t xml:space="preserve"> </w:t>
      </w:r>
      <w:r w:rsidR="006C20C6" w:rsidRPr="006C20C6">
        <w:t>9.9</w:t>
      </w:r>
      <w:r w:rsidR="006C20C6">
        <w:t xml:space="preserve"> </w:t>
      </w:r>
      <w:r w:rsidR="006C20C6" w:rsidRPr="006C20C6">
        <w:t xml:space="preserve">% in BR 2, and </w:t>
      </w:r>
      <w:r w:rsidR="002F6405">
        <w:t>45.1</w:t>
      </w:r>
      <w:r w:rsidR="006C20C6">
        <w:t xml:space="preserve"> </w:t>
      </w:r>
      <w:r w:rsidR="006C20C6" w:rsidRPr="006C20C6">
        <w:t>±</w:t>
      </w:r>
      <w:r w:rsidR="006C20C6">
        <w:t xml:space="preserve"> </w:t>
      </w:r>
      <w:r w:rsidR="006C20C6" w:rsidRPr="006C20C6">
        <w:t>1</w:t>
      </w:r>
      <w:r w:rsidR="002F6405">
        <w:t>0.0</w:t>
      </w:r>
      <w:r w:rsidR="006C20C6">
        <w:t xml:space="preserve"> </w:t>
      </w:r>
      <w:r w:rsidR="006C20C6" w:rsidRPr="006C20C6">
        <w:t>% in BR 3</w:t>
      </w:r>
      <w:r w:rsidR="002F6405">
        <w:t xml:space="preserve">. However, </w:t>
      </w:r>
      <w:r w:rsidR="00BA23AF">
        <w:t xml:space="preserve">both </w:t>
      </w:r>
      <w:r w:rsidR="000F4BB9" w:rsidRPr="000F4BB9">
        <w:rPr>
          <w:color w:val="FF0000"/>
        </w:rPr>
        <w:t>α-pinene</w:t>
      </w:r>
      <w:r w:rsidR="002F6405">
        <w:t xml:space="preserve"> </w:t>
      </w:r>
      <w:r w:rsidR="00BA23AF">
        <w:t>and</w:t>
      </w:r>
      <w:r w:rsidR="000F4BB9" w:rsidRPr="000F4BB9">
        <w:rPr>
          <w:color w:val="FF0000"/>
        </w:rPr>
        <w:t xml:space="preserve"> n-hexane</w:t>
      </w:r>
      <w:r w:rsidR="00BA23AF">
        <w:t xml:space="preserve"> abatement performance r</w:t>
      </w:r>
      <w:r w:rsidR="00051DDB">
        <w:t xml:space="preserve">emained </w:t>
      </w:r>
      <w:r w:rsidR="00BA23AF">
        <w:t xml:space="preserve">similar to that recorded in </w:t>
      </w:r>
      <w:r w:rsidR="00C24C63">
        <w:t>Stage</w:t>
      </w:r>
      <w:r w:rsidR="00534E0E">
        <w:t xml:space="preserve"> 4</w:t>
      </w:r>
      <w:r w:rsidR="001A5F1F">
        <w:t xml:space="preserve">. </w:t>
      </w:r>
      <w:r w:rsidR="00D661A7">
        <w:t xml:space="preserve">Despite </w:t>
      </w:r>
      <w:r w:rsidR="007160DB">
        <w:t xml:space="preserve">the higher irrigation rate </w:t>
      </w:r>
      <w:r w:rsidR="00043E25">
        <w:t xml:space="preserve">contributed to the reactivation of </w:t>
      </w:r>
      <w:r w:rsidR="007160DB">
        <w:t>bacterial activity, t</w:t>
      </w:r>
      <w:r w:rsidR="001A5F1F">
        <w:t xml:space="preserve">he </w:t>
      </w:r>
      <w:r w:rsidR="006C78B8">
        <w:t>different behavior</w:t>
      </w:r>
      <w:r w:rsidR="008B395F">
        <w:t xml:space="preserve"> </w:t>
      </w:r>
      <w:r w:rsidR="006C78B8">
        <w:t xml:space="preserve">could be explained by the </w:t>
      </w:r>
      <w:r w:rsidR="0044138C">
        <w:t xml:space="preserve">higher hydrophobicity of </w:t>
      </w:r>
      <w:r w:rsidR="000F4BB9" w:rsidRPr="000F4BB9">
        <w:rPr>
          <w:color w:val="FF0000"/>
        </w:rPr>
        <w:t>α-pinene</w:t>
      </w:r>
      <w:r w:rsidR="0044138C">
        <w:t xml:space="preserve"> </w:t>
      </w:r>
      <w:r w:rsidR="00EA181E">
        <w:t>and</w:t>
      </w:r>
      <w:r w:rsidR="000F4BB9" w:rsidRPr="000F4BB9">
        <w:rPr>
          <w:color w:val="FF0000"/>
        </w:rPr>
        <w:t xml:space="preserve"> n-hexane</w:t>
      </w:r>
      <w:r w:rsidR="00EA181E">
        <w:t xml:space="preserve"> </w:t>
      </w:r>
      <w:r w:rsidR="00CC4428">
        <w:t xml:space="preserve">compared to that of </w:t>
      </w:r>
      <w:r w:rsidR="0044138C">
        <w:t>toluene</w:t>
      </w:r>
      <w:r w:rsidR="008B395F">
        <w:t>.</w:t>
      </w:r>
    </w:p>
    <w:p w14:paraId="1F96CA21" w14:textId="46322AD0" w:rsidR="00600535" w:rsidRPr="00B57B36" w:rsidRDefault="00D64A64" w:rsidP="00FA5F5F">
      <w:pPr>
        <w:pStyle w:val="CETheadingx"/>
      </w:pPr>
      <w:r>
        <w:t xml:space="preserve">Effect of the inlet VOCs </w:t>
      </w:r>
      <w:r w:rsidR="009675E7">
        <w:t>concentration</w:t>
      </w:r>
    </w:p>
    <w:p w14:paraId="34F4731C" w14:textId="000EBD5F" w:rsidR="007A17DC" w:rsidRDefault="00D3555D" w:rsidP="00606970">
      <w:pPr>
        <w:pStyle w:val="CETBodytext"/>
      </w:pPr>
      <w:r>
        <w:t xml:space="preserve">In </w:t>
      </w:r>
      <w:r w:rsidR="00C24C63">
        <w:t>Stage</w:t>
      </w:r>
      <w:r>
        <w:t xml:space="preserve"> 6, the</w:t>
      </w:r>
      <w:r w:rsidR="004B7030">
        <w:t xml:space="preserve"> inlet </w:t>
      </w:r>
      <w:r>
        <w:t xml:space="preserve">VOC </w:t>
      </w:r>
      <w:r w:rsidR="004B7030">
        <w:t xml:space="preserve">concentration was reduced </w:t>
      </w:r>
      <w:r>
        <w:t>to test the performance of the biotrickling filters</w:t>
      </w:r>
      <w:r w:rsidR="00650FA5">
        <w:t xml:space="preserve">. </w:t>
      </w:r>
      <w:r>
        <w:t xml:space="preserve">An increase of </w:t>
      </w:r>
      <w:r w:rsidR="008157DA">
        <w:rPr>
          <w:rFonts w:cs="Arial"/>
        </w:rPr>
        <w:t>≈</w:t>
      </w:r>
      <w:r w:rsidR="001D4F44">
        <w:rPr>
          <w:rFonts w:cs="Arial"/>
        </w:rPr>
        <w:t xml:space="preserve"> </w:t>
      </w:r>
      <w:r w:rsidR="0002504D">
        <w:t xml:space="preserve">11 </w:t>
      </w:r>
      <w:r w:rsidR="00C707A7">
        <w:t xml:space="preserve">and </w:t>
      </w:r>
      <w:r w:rsidR="00C90FDB">
        <w:t>30 %</w:t>
      </w:r>
      <w:r w:rsidR="005B50C8">
        <w:t xml:space="preserve"> </w:t>
      </w:r>
      <w:r>
        <w:t xml:space="preserve">was observed for toluene and </w:t>
      </w:r>
      <w:r w:rsidR="000F4BB9" w:rsidRPr="000F4BB9">
        <w:rPr>
          <w:color w:val="FF0000"/>
        </w:rPr>
        <w:t>α-pinene</w:t>
      </w:r>
      <w:r>
        <w:t xml:space="preserve"> removals</w:t>
      </w:r>
      <w:r w:rsidR="00C90FDB">
        <w:t xml:space="preserve">, respectively, </w:t>
      </w:r>
      <w:r>
        <w:t>regardless of the</w:t>
      </w:r>
      <w:r w:rsidR="0002504D">
        <w:t xml:space="preserve"> bioreactor</w:t>
      </w:r>
      <w:r w:rsidR="00C90FDB">
        <w:t>.</w:t>
      </w:r>
      <w:r w:rsidR="000F4BB9" w:rsidRPr="000F4BB9">
        <w:rPr>
          <w:color w:val="FF0000"/>
        </w:rPr>
        <w:t xml:space="preserve"> n-hexane</w:t>
      </w:r>
      <w:r w:rsidR="00EC4A13">
        <w:t xml:space="preserve"> removal </w:t>
      </w:r>
      <w:r w:rsidR="00544888">
        <w:t xml:space="preserve">seemed </w:t>
      </w:r>
      <w:r w:rsidR="00F73E9B">
        <w:t xml:space="preserve">slightly higher in BR 2 and BR 3, but no </w:t>
      </w:r>
      <w:r w:rsidR="00B6751A">
        <w:t xml:space="preserve">conclusive findings </w:t>
      </w:r>
      <w:r w:rsidR="00544888">
        <w:t xml:space="preserve">could be </w:t>
      </w:r>
      <w:r w:rsidR="00CE0523">
        <w:t xml:space="preserve">obtained </w:t>
      </w:r>
      <w:r w:rsidR="00544888">
        <w:t xml:space="preserve">due to the high variability of the results. </w:t>
      </w:r>
      <w:r w:rsidR="001C58C3">
        <w:t xml:space="preserve">In </w:t>
      </w:r>
      <w:r w:rsidR="00C24C63">
        <w:t>Stage</w:t>
      </w:r>
      <w:r w:rsidR="005B50C8">
        <w:t xml:space="preserve"> 7, </w:t>
      </w:r>
      <w:r w:rsidR="00185F63">
        <w:t xml:space="preserve">toluene RE </w:t>
      </w:r>
      <w:r w:rsidR="001C0FAB">
        <w:t>marginally decreased</w:t>
      </w:r>
      <w:r w:rsidR="005939BE">
        <w:t xml:space="preserve"> in BR </w:t>
      </w:r>
      <w:r w:rsidR="00827D24">
        <w:t>1</w:t>
      </w:r>
      <w:r w:rsidR="005939BE">
        <w:t xml:space="preserve"> and BR 2 (</w:t>
      </w:r>
      <w:r w:rsidR="00827D24" w:rsidRPr="00827D24">
        <w:t>85.4</w:t>
      </w:r>
      <w:r w:rsidR="003E2603">
        <w:t xml:space="preserve"> </w:t>
      </w:r>
      <w:r w:rsidR="00827D24" w:rsidRPr="00827D24">
        <w:t>±</w:t>
      </w:r>
      <w:r w:rsidR="003E2603">
        <w:t xml:space="preserve"> </w:t>
      </w:r>
      <w:r w:rsidR="00827D24" w:rsidRPr="00827D24">
        <w:t>2.1</w:t>
      </w:r>
      <w:r w:rsidR="003E2603">
        <w:t xml:space="preserve"> </w:t>
      </w:r>
      <w:r w:rsidR="00827D24" w:rsidRPr="00827D24">
        <w:t>% and 79.0</w:t>
      </w:r>
      <w:r w:rsidR="003E2603">
        <w:t xml:space="preserve"> </w:t>
      </w:r>
      <w:r w:rsidR="00827D24" w:rsidRPr="00827D24">
        <w:t>±</w:t>
      </w:r>
      <w:r w:rsidR="003E2603">
        <w:t xml:space="preserve"> </w:t>
      </w:r>
      <w:r w:rsidR="00827D24" w:rsidRPr="00827D24">
        <w:t>4.0</w:t>
      </w:r>
      <w:r w:rsidR="003E2603">
        <w:t xml:space="preserve"> </w:t>
      </w:r>
      <w:r w:rsidR="00827D24" w:rsidRPr="00827D24">
        <w:t>%</w:t>
      </w:r>
      <w:r w:rsidR="003E2603">
        <w:t xml:space="preserve">, respectively), </w:t>
      </w:r>
      <w:r w:rsidR="00A10317">
        <w:t>slightly</w:t>
      </w:r>
      <w:r w:rsidR="00CE0523">
        <w:t xml:space="preserve"> </w:t>
      </w:r>
      <w:r w:rsidR="00A10317">
        <w:t>increasing</w:t>
      </w:r>
      <w:r w:rsidR="00CE0523">
        <w:t xml:space="preserve"> </w:t>
      </w:r>
      <w:r w:rsidR="005D6E68">
        <w:t xml:space="preserve">in BR 3 to </w:t>
      </w:r>
      <w:r w:rsidR="006C0A21">
        <w:t>6</w:t>
      </w:r>
      <w:r w:rsidR="00A22EBC">
        <w:t xml:space="preserve">1.9 </w:t>
      </w:r>
      <w:r w:rsidR="00A22EBC" w:rsidRPr="00827D24">
        <w:t>±</w:t>
      </w:r>
      <w:r w:rsidR="00A22EBC">
        <w:t xml:space="preserve"> 9.0 %.</w:t>
      </w:r>
      <w:r w:rsidR="00C64133">
        <w:t xml:space="preserve"> </w:t>
      </w:r>
      <w:r w:rsidR="00A10317">
        <w:t>An improvement</w:t>
      </w:r>
      <w:r w:rsidR="00C64133">
        <w:t xml:space="preserve"> in </w:t>
      </w:r>
      <w:r w:rsidR="000F4BB9" w:rsidRPr="000F4BB9">
        <w:rPr>
          <w:color w:val="FF0000"/>
        </w:rPr>
        <w:t>α-pinene</w:t>
      </w:r>
      <w:r w:rsidR="00C64133">
        <w:t xml:space="preserve"> </w:t>
      </w:r>
      <w:r w:rsidR="00A10317">
        <w:t xml:space="preserve">removal was recorded in this stage, however, whereas </w:t>
      </w:r>
      <w:r w:rsidR="0089357B">
        <w:t xml:space="preserve">in </w:t>
      </w:r>
      <w:r w:rsidR="00B40F20">
        <w:t xml:space="preserve">BR 1 </w:t>
      </w:r>
      <w:r w:rsidR="000F4BB9" w:rsidRPr="000F4BB9">
        <w:rPr>
          <w:color w:val="FF0000"/>
        </w:rPr>
        <w:t>α-pinene</w:t>
      </w:r>
      <w:r w:rsidR="00A10317">
        <w:t xml:space="preserve"> RE </w:t>
      </w:r>
      <w:r w:rsidR="0089357B">
        <w:t xml:space="preserve">only </w:t>
      </w:r>
      <w:r w:rsidR="00B40F20">
        <w:t xml:space="preserve">increased to </w:t>
      </w:r>
      <w:r w:rsidR="00820B6A">
        <w:t xml:space="preserve">90.9 </w:t>
      </w:r>
      <w:r w:rsidR="00820B6A" w:rsidRPr="00827D24">
        <w:t>±</w:t>
      </w:r>
      <w:r w:rsidR="00820B6A">
        <w:t xml:space="preserve"> 2.3 % (&lt;</w:t>
      </w:r>
      <w:r w:rsidR="001D4F44">
        <w:t xml:space="preserve"> </w:t>
      </w:r>
      <w:r w:rsidR="00820B6A">
        <w:t>10 %),</w:t>
      </w:r>
      <w:r w:rsidR="0089357B">
        <w:t xml:space="preserve"> </w:t>
      </w:r>
      <w:r w:rsidR="00A10317">
        <w:t xml:space="preserve">a significant enhancement was observed </w:t>
      </w:r>
      <w:r w:rsidR="0089357B">
        <w:t xml:space="preserve">in BR 2 and BR 3 </w:t>
      </w:r>
      <w:r w:rsidR="006608B0">
        <w:t>(</w:t>
      </w:r>
      <w:r w:rsidR="00A10317">
        <w:rPr>
          <w:rFonts w:cs="Arial"/>
        </w:rPr>
        <w:t xml:space="preserve">up to </w:t>
      </w:r>
      <w:r w:rsidR="00B82149">
        <w:t xml:space="preserve">30 </w:t>
      </w:r>
      <w:r w:rsidR="006608B0">
        <w:t>%)</w:t>
      </w:r>
      <w:r w:rsidR="00A10317">
        <w:t>,</w:t>
      </w:r>
      <w:r w:rsidR="006608B0">
        <w:t xml:space="preserve"> to reach values of 76.5 </w:t>
      </w:r>
      <w:r w:rsidR="006608B0" w:rsidRPr="00827D24">
        <w:t>±</w:t>
      </w:r>
      <w:r w:rsidR="006608B0">
        <w:t xml:space="preserve"> 3.2 % and 70.6 </w:t>
      </w:r>
      <w:r w:rsidR="006608B0" w:rsidRPr="00827D24">
        <w:t>±</w:t>
      </w:r>
      <w:r w:rsidR="006608B0">
        <w:t xml:space="preserve"> 8.7 %, respectively. </w:t>
      </w:r>
      <w:r w:rsidR="004A7963">
        <w:t>The final decrease in</w:t>
      </w:r>
      <w:r w:rsidR="00A10317">
        <w:t xml:space="preserve"> VOCs </w:t>
      </w:r>
      <w:r w:rsidR="004A7963">
        <w:t xml:space="preserve">inlet concentration </w:t>
      </w:r>
      <w:r w:rsidR="00A10317">
        <w:t xml:space="preserve">below </w:t>
      </w:r>
      <w:r w:rsidR="0023436C">
        <w:t>2 mg m</w:t>
      </w:r>
      <w:r w:rsidR="0023436C" w:rsidRPr="0023436C">
        <w:rPr>
          <w:vertAlign w:val="superscript"/>
        </w:rPr>
        <w:t>-3</w:t>
      </w:r>
      <w:r w:rsidR="0023436C">
        <w:t xml:space="preserve"> </w:t>
      </w:r>
      <w:r w:rsidR="00A10317">
        <w:t xml:space="preserve">in </w:t>
      </w:r>
      <w:r w:rsidR="00C24C63">
        <w:t>Stage</w:t>
      </w:r>
      <w:r w:rsidR="00A10317">
        <w:t xml:space="preserve"> 8 had a different impact on the bioreactors</w:t>
      </w:r>
      <w:r w:rsidR="00280EA9">
        <w:t>:</w:t>
      </w:r>
      <w:r w:rsidR="00F0764E">
        <w:t xml:space="preserve"> </w:t>
      </w:r>
      <w:r w:rsidR="00A10317">
        <w:t xml:space="preserve">in </w:t>
      </w:r>
      <w:r w:rsidR="0023436C">
        <w:t>BR 1</w:t>
      </w:r>
      <w:r w:rsidR="00A10317">
        <w:t xml:space="preserve">, </w:t>
      </w:r>
      <w:r w:rsidR="00D01AE6">
        <w:t xml:space="preserve">toluene and </w:t>
      </w:r>
      <w:r w:rsidR="000F4BB9" w:rsidRPr="000F4BB9">
        <w:rPr>
          <w:color w:val="FF0000"/>
        </w:rPr>
        <w:t>α-pinene</w:t>
      </w:r>
      <w:r w:rsidR="00D01AE6">
        <w:t xml:space="preserve"> </w:t>
      </w:r>
      <w:r w:rsidR="00DF06CF">
        <w:t>REs</w:t>
      </w:r>
      <w:r w:rsidR="00D01AE6">
        <w:t xml:space="preserve"> decreased to </w:t>
      </w:r>
      <w:r w:rsidR="00661409">
        <w:t xml:space="preserve">70.8 </w:t>
      </w:r>
      <w:r w:rsidR="00661409" w:rsidRPr="00827D24">
        <w:t>±</w:t>
      </w:r>
      <w:r w:rsidR="00661409">
        <w:t xml:space="preserve"> 6.4 % and 83.5 </w:t>
      </w:r>
      <w:r w:rsidR="00661409" w:rsidRPr="00827D24">
        <w:t>±</w:t>
      </w:r>
      <w:r w:rsidR="00661409">
        <w:t xml:space="preserve"> 6.2 %</w:t>
      </w:r>
      <w:r w:rsidR="00A10317">
        <w:t>, respectively</w:t>
      </w:r>
      <w:r w:rsidR="00280EA9">
        <w:t>;</w:t>
      </w:r>
      <w:r w:rsidR="00A10317">
        <w:t xml:space="preserve"> in</w:t>
      </w:r>
      <w:r w:rsidR="00F0764E">
        <w:t xml:space="preserve"> BR 2</w:t>
      </w:r>
      <w:r w:rsidR="00A10317">
        <w:t>,</w:t>
      </w:r>
      <w:r w:rsidR="00F0764E">
        <w:t xml:space="preserve"> toluene </w:t>
      </w:r>
      <w:r w:rsidR="00DF06CF">
        <w:t>RE</w:t>
      </w:r>
      <w:r w:rsidR="00F0764E">
        <w:t xml:space="preserve"> decreased to </w:t>
      </w:r>
      <w:r w:rsidR="00DF06CF">
        <w:t xml:space="preserve">62.0 </w:t>
      </w:r>
      <w:r w:rsidR="00DF06CF" w:rsidRPr="00827D24">
        <w:t>±</w:t>
      </w:r>
      <w:r w:rsidR="00DF06CF">
        <w:t xml:space="preserve"> 12.7 % but </w:t>
      </w:r>
      <w:r w:rsidR="00A10317">
        <w:t xml:space="preserve">no effect was recorded on </w:t>
      </w:r>
      <w:r w:rsidR="000F4BB9" w:rsidRPr="000F4BB9">
        <w:rPr>
          <w:color w:val="FF0000"/>
        </w:rPr>
        <w:t>α-pinene</w:t>
      </w:r>
      <w:r w:rsidR="00A10317">
        <w:t xml:space="preserve"> removal</w:t>
      </w:r>
      <w:r w:rsidR="00085707">
        <w:t>;</w:t>
      </w:r>
      <w:r w:rsidR="00A10317">
        <w:t xml:space="preserve"> and in</w:t>
      </w:r>
      <w:r w:rsidR="00085707">
        <w:t xml:space="preserve"> BR 3</w:t>
      </w:r>
      <w:r w:rsidR="00A10317">
        <w:t>, an enhanced</w:t>
      </w:r>
      <w:r w:rsidR="00085707">
        <w:t xml:space="preserve"> toluene </w:t>
      </w:r>
      <w:r w:rsidR="00A10317">
        <w:t xml:space="preserve">RE </w:t>
      </w:r>
      <w:r w:rsidR="00085707">
        <w:t>(</w:t>
      </w:r>
      <w:r w:rsidR="004D7DD6">
        <w:t xml:space="preserve">64.2 </w:t>
      </w:r>
      <w:r w:rsidR="004D7DD6" w:rsidRPr="00827D24">
        <w:t>±</w:t>
      </w:r>
      <w:r w:rsidR="004D7DD6">
        <w:t xml:space="preserve"> 6.5 %)</w:t>
      </w:r>
      <w:r w:rsidR="00A10317">
        <w:t xml:space="preserve"> was obtained, with similar </w:t>
      </w:r>
      <w:r w:rsidR="000F4BB9" w:rsidRPr="000F4BB9">
        <w:rPr>
          <w:color w:val="FF0000"/>
        </w:rPr>
        <w:t>α-pinene</w:t>
      </w:r>
      <w:r w:rsidR="00A10317">
        <w:t xml:space="preserve"> abatement performance.</w:t>
      </w:r>
      <w:r w:rsidR="00006485">
        <w:t xml:space="preserve"> </w:t>
      </w:r>
      <w:r w:rsidR="00A10317">
        <w:t xml:space="preserve">Regardless of the inlet concentration, </w:t>
      </w:r>
      <w:r w:rsidR="00006485">
        <w:t>the removal of</w:t>
      </w:r>
      <w:r w:rsidR="000F4BB9" w:rsidRPr="000F4BB9">
        <w:rPr>
          <w:color w:val="FF0000"/>
        </w:rPr>
        <w:t xml:space="preserve"> n-hexane</w:t>
      </w:r>
      <w:r w:rsidR="00E821FF">
        <w:t xml:space="preserve"> was very inconsistent, </w:t>
      </w:r>
      <w:r w:rsidR="00A10317">
        <w:t>thus n</w:t>
      </w:r>
      <w:r w:rsidR="00E821FF">
        <w:t xml:space="preserve">o reliable conclusions can be </w:t>
      </w:r>
      <w:r w:rsidR="00607429">
        <w:t>drawn</w:t>
      </w:r>
      <w:r w:rsidR="00E821FF">
        <w:t xml:space="preserve">. Overall, </w:t>
      </w:r>
      <w:r w:rsidR="00607429">
        <w:t>t</w:t>
      </w:r>
      <w:r w:rsidR="00890030">
        <w:t>he decrease in inlet concentrations</w:t>
      </w:r>
      <w:r w:rsidR="007E5A67">
        <w:t xml:space="preserve">, which </w:t>
      </w:r>
      <w:r w:rsidR="00BD2FE3">
        <w:t xml:space="preserve">corresponds to </w:t>
      </w:r>
      <w:r w:rsidR="007E5A67">
        <w:t xml:space="preserve">lower inlet </w:t>
      </w:r>
      <w:r w:rsidR="00E47B96">
        <w:t>loading rate</w:t>
      </w:r>
      <w:r w:rsidR="00BD2FE3">
        <w:t>s</w:t>
      </w:r>
      <w:r w:rsidR="00890030">
        <w:t xml:space="preserve">, </w:t>
      </w:r>
      <w:r w:rsidR="00BD2FE3">
        <w:t xml:space="preserve">promoted </w:t>
      </w:r>
      <w:r w:rsidR="00E47B96">
        <w:t>the progressive recover</w:t>
      </w:r>
      <w:r w:rsidR="00BD2FE3">
        <w:t>y</w:t>
      </w:r>
      <w:r w:rsidR="00E47B96">
        <w:t xml:space="preserve"> of toluene and </w:t>
      </w:r>
      <w:r w:rsidR="000F4BB9" w:rsidRPr="000F4BB9">
        <w:rPr>
          <w:color w:val="FF0000"/>
        </w:rPr>
        <w:t>α-pinene</w:t>
      </w:r>
      <w:r w:rsidR="00E47B96">
        <w:t xml:space="preserve"> REs</w:t>
      </w:r>
      <w:r w:rsidR="00BD2FE3">
        <w:t xml:space="preserve">. This could be also supported by </w:t>
      </w:r>
      <w:r w:rsidR="00890030">
        <w:t>the higher moisture inside the reactors</w:t>
      </w:r>
      <w:r w:rsidR="00E47B96">
        <w:t xml:space="preserve">. </w:t>
      </w:r>
      <w:r w:rsidR="00BD2FE3">
        <w:t xml:space="preserve">Nevertheless, </w:t>
      </w:r>
      <w:r w:rsidR="00B70994">
        <w:t xml:space="preserve">REs over 90 % could not be recovered, probably due to the </w:t>
      </w:r>
      <w:r w:rsidR="00BD2FE3">
        <w:t xml:space="preserve">low </w:t>
      </w:r>
      <w:r w:rsidR="0099467F">
        <w:t xml:space="preserve">EBRT and the permanent damage to bacterial activity </w:t>
      </w:r>
      <w:r w:rsidR="00BD2FE3">
        <w:t>during</w:t>
      </w:r>
      <w:r w:rsidR="0099467F">
        <w:t xml:space="preserve"> </w:t>
      </w:r>
      <w:r w:rsidR="00BD2FE3">
        <w:t>S</w:t>
      </w:r>
      <w:r w:rsidR="0099467F">
        <w:t>tage 4</w:t>
      </w:r>
      <w:r w:rsidR="00BD2FE3">
        <w:t>. In this sense, high</w:t>
      </w:r>
      <w:r w:rsidR="00A838A7">
        <w:t xml:space="preserve"> removal</w:t>
      </w:r>
      <w:r w:rsidR="00BD2FE3">
        <w:t>s</w:t>
      </w:r>
      <w:r w:rsidR="00A838A7">
        <w:t xml:space="preserve"> of toluene and </w:t>
      </w:r>
      <w:r w:rsidR="000F4BB9" w:rsidRPr="000F4BB9">
        <w:rPr>
          <w:color w:val="FF0000"/>
        </w:rPr>
        <w:t>α-pinene</w:t>
      </w:r>
      <w:r w:rsidR="00A838A7">
        <w:t xml:space="preserve"> </w:t>
      </w:r>
      <w:r w:rsidR="00BD2FE3">
        <w:t xml:space="preserve">at the trace level concentrations typically recorded in odorous emissions </w:t>
      </w:r>
      <w:r w:rsidR="00A838A7">
        <w:t xml:space="preserve">have been reported </w:t>
      </w:r>
      <w:r w:rsidR="009879AC">
        <w:t>at</w:t>
      </w:r>
      <w:r w:rsidR="00A838A7">
        <w:t xml:space="preserve"> EBRTs</w:t>
      </w:r>
      <w:r w:rsidR="009879AC">
        <w:t xml:space="preserve"> of </w:t>
      </w:r>
      <w:r w:rsidR="005C4EFC">
        <w:t>8 and 4 s</w:t>
      </w:r>
      <w:r w:rsidR="00A838A7">
        <w:t xml:space="preserve"> </w:t>
      </w:r>
      <w:r w:rsidR="00F27A32">
        <w:fldChar w:fldCharType="begin" w:fldLock="1"/>
      </w:r>
      <w:r w:rsidR="00F27A32">
        <w:instrText>ADDIN CSL_CITATION {"citationItems":[{"id":"ITEM-1","itemData":{"DOI":"10.1016/j.watres.2013.09.055","ISSN":"18792448","PMID":"24295931","abstract":"A low abatement efficiency for the hydrophobic fraction of odorous emissions and a high footprint are often pointed out as the major drawbacks of conventional biotechnologies for odor treatment. In this work, two conventional biotechnologies (a compost-based biofilter, BF, and a biotrickling filter, BTF), and a hollow-fiber membrane bioreactor (HF-MBR) were comparatively evaluated in terms of odor abatement potential and pressure drop (δP) at empty bed residence times (EBRTs) ranging from 4 to 84s, during the treatment of methyl-mercaptan, toluene, alpha-pinene and hexane at trace level concentrations (0.75-4.9mgm-3). High removal efficiencies (RE&gt;90% regardless of the air pollutant) were recorded in the BF at EBRTs≥8s, although the high δP across the packed bed limited its cost-effective operation to EBRTs&gt;19s. A complete methyl-mercaptan, toluene and alpha-pinene removal was recorded in the BTF at EBRTs≥4s and δP lower than 33mmH2O (~611Pambed-1), whereas slightly lower REs were observed for hexane (~88%). The HF-MBR completely removed methyl-mercaptan and toluene at all EBRTs tested, but exhibited an unstable alpha-pinene removal performance as a result of biomass accumulation and a low hexane abatement efficiency. Thus, a periodical membrane-cleaning procedure was required to ensure a steady abatement performance. Finally, a high bacterial diversity was observed in the three bioreactors in spite of the low carbon source spectrum present in the air emission. © 2013 Elsevier Ltd.","author":[{"dropping-particle":"","family":"Lebrero","given":"Raquel","non-dropping-particle":"","parse-names":false,"suffix":""},{"dropping-particle":"","family":"Gondim","given":"Ana Celina","non-dropping-particle":"","parse-names":false,"suffix":""},{"dropping-particle":"","family":"Pérez","given":"Rebeca","non-dropping-particle":"","parse-names":false,"suffix":""},{"dropping-particle":"","family":"García-Encina","given":"Pedro A.","non-dropping-particle":"","parse-names":false,"suffix":""},{"dropping-particle":"","family":"Muñoz","given":"Raúl","non-dropping-particle":"","parse-names":false,"suffix":""}],"container-title":"Water Research","id":"ITEM-1","issued":{"date-parts":[["2014"]]},"page":"339-350","title":"Comparative assessment of a biofilter, a biotrickling filter and a hollow fiber membrane bioreactor for odor treatment in wastewater treatment plants","type":"article-journal","volume":"49"},"uris":["http://www.mendeley.com/documents/?uuid=2dd07b37-9176-4a03-8875-05d3fc12acc1"]}],"mendeley":{"formattedCitation":"(Lebrero et al., 2014)","plainTextFormattedCitation":"(Lebrero et al., 2014)","previouslyFormattedCitation":"(Lebrero et al., 2014)"},"properties":{"noteIndex":0},"schema":"https://github.com/citation-style-language/schema/raw/master/csl-citation.json"}</w:instrText>
      </w:r>
      <w:r w:rsidR="00F27A32">
        <w:fldChar w:fldCharType="separate"/>
      </w:r>
      <w:r w:rsidR="00F27A32" w:rsidRPr="00F27A32">
        <w:rPr>
          <w:noProof/>
        </w:rPr>
        <w:t>(Lebrero et al., 2014)</w:t>
      </w:r>
      <w:r w:rsidR="00F27A32">
        <w:fldChar w:fldCharType="end"/>
      </w:r>
      <w:r w:rsidR="00F22950">
        <w:t xml:space="preserve">. </w:t>
      </w:r>
      <w:r w:rsidR="00E10D33">
        <w:t>The poor removal of</w:t>
      </w:r>
      <w:r w:rsidR="000F4BB9" w:rsidRPr="000F4BB9">
        <w:rPr>
          <w:color w:val="FF0000"/>
        </w:rPr>
        <w:t xml:space="preserve"> n-hexane</w:t>
      </w:r>
      <w:r w:rsidR="00E10D33">
        <w:t xml:space="preserve"> was </w:t>
      </w:r>
      <w:r w:rsidR="00BD2FE3">
        <w:t>attributed</w:t>
      </w:r>
      <w:r w:rsidR="00E10D33">
        <w:t xml:space="preserve"> to the high </w:t>
      </w:r>
      <w:r w:rsidR="002846A8">
        <w:t>hydrophobicity</w:t>
      </w:r>
      <w:r w:rsidR="00E10D33">
        <w:t xml:space="preserve"> of th</w:t>
      </w:r>
      <w:r w:rsidR="00BD2FE3">
        <w:t>is</w:t>
      </w:r>
      <w:r w:rsidR="00E10D33">
        <w:t xml:space="preserve"> compound, which </w:t>
      </w:r>
      <w:r w:rsidR="002846A8">
        <w:t>highly limits its bioavailability.</w:t>
      </w:r>
      <w:r w:rsidR="000F4BB9" w:rsidRPr="000F4BB9">
        <w:rPr>
          <w:color w:val="FF0000"/>
        </w:rPr>
        <w:t xml:space="preserve"> n-hexane</w:t>
      </w:r>
      <w:r w:rsidR="002846A8">
        <w:t xml:space="preserve"> removal </w:t>
      </w:r>
      <w:r w:rsidR="006A2C8A">
        <w:t xml:space="preserve">in bacterial bioreactors </w:t>
      </w:r>
      <w:r w:rsidR="00BD2FE3">
        <w:t xml:space="preserve">has </w:t>
      </w:r>
      <w:r w:rsidR="006A2C8A">
        <w:t xml:space="preserve">been reported </w:t>
      </w:r>
      <w:r w:rsidR="004C0506">
        <w:t>both at</w:t>
      </w:r>
      <w:r w:rsidR="006A2C8A">
        <w:t xml:space="preserve"> high </w:t>
      </w:r>
      <w:r w:rsidR="00F27A32">
        <w:fldChar w:fldCharType="begin" w:fldLock="1"/>
      </w:r>
      <w:r w:rsidR="00F27A32">
        <w:instrText>ADDIN CSL_CITATION {"citationItems":[{"id":"ITEM-1","itemData":{"DOI":"10.1016/j.psep.2017.03.019","ISSN":"09575820","abstract":"This study evaluated the biodegradation of n-hexane as single pollutant, and in a mixture with benzene, toluene, ethylbenzene, and xylenes (BTEX) in a scoria/compost-based biofilter. Initially, the biofilter was fed with n-hexane and maximum elimination capacities (ECmax) of 10.7 and 8.1 g m−3 h−1 were obtained for inlet loading rates (ILR) of 14.0 and 11.6 g m−3 h−1 at empty bed retention times (EBRT) of 138 and 108 s, respectively. Michaelis–Menten kinetic model was well fitted to the experimental EC of n-hexane in the single pollutant condition. In the presence of BTEX, the removal efficiency of n-hexane dramatically decreased from 76 to 21% at EBRT of 108 s. In this condition, BTEX was easily degraded with an ECmax of 110.6 g m−3 h−1 for ILR of 119.1 g m−3 h−1. A competitive inhibition kinetic well described the n-hexane removal in the presence of BTEX with an inhibition constant of 0.151 g m−3. Moreover, the interaction index of benzene with the addition of BTEX was −0.702, indicating the significant inhibitory effect of BTEX on n-hexane biodegradation. This study revealed that, in the biofiltration of n-hexane/BTEX mixture, a significant decrease in BTEX concentration is a prerequisite for the efficient removal of n-hexane.","author":[{"dropping-particle":"","family":"Amin","given":"Mohammad Mehdi","non-dropping-particle":"","parse-names":false,"suffix":""},{"dropping-particle":"","family":"Rahimi","given":"Amir","non-dropping-particle":"","parse-names":false,"suffix":""},{"dropping-particle":"","family":"Bina","given":"Bijan","non-dropping-particle":"","parse-names":false,"suffix":""},{"dropping-particle":"","family":"Nourmoradi","given":"Heshmatollah","non-dropping-particle":"","parse-names":false,"suffix":""},{"dropping-particle":"","family":"Hassanvand","given":"Mohammad Sadegh","non-dropping-particle":"","parse-names":false,"suffix":""},{"dropping-particle":"","family":"Mohammadi-Moghadam","given":"Fazel","non-dropping-particle":"","parse-names":false,"suffix":""},{"dropping-particle":"","family":"Norouzi","given":"Samira","non-dropping-particle":"","parse-names":false,"suffix":""},{"dropping-particle":"","family":"Heidari","given":"Mohsen","non-dropping-particle":"","parse-names":false,"suffix":""}],"container-title":"Process Safety and Environmental Protection","id":"ITEM-1","issued":{"date-parts":[["2017"]]},"page":"508-517","publisher":"Institution of Chemical Engineers","title":"Biodegradation of n-hexane as single pollutant and in a mixture with BTEX in a scoria/compost-based biofilter","type":"article-journal","volume":"107"},"uris":["http://www.mendeley.com/documents/?uuid=37eea0cf-789e-4751-b750-4a83ef6ed7c8"]},{"id":"ITEM-2","itemData":{"DOI":"10.1016/j.chemosphere.2020.126490","ISSN":"18791298","PMID":"32220715","abstract":"Hydrophilic VOCs (volatile organic compounds) were applied to explore their positive influence on the elimination of the single hydrophobic VOC in biotrickling filters (BTFs). Comparison experiments were carried to evaluate the effect of 4-methyl-2-pentanone and toluene on the performance of BTFs for n-hexane removal. The results showed that the existence of 4-methyl-2-pentanone improved the removal performance of BTFs at short gas empty bed contact time (EBRT) of 15 s and low temperature of 10 °C. The degradation of n-hexane in the presence of 4-methyl-2-pentanone was slightly enhanced with a loading ratio of 6:1. When the mixing ratio was greater than 4, toluene significantly promoted the biodegradation of n-hexane with toluene loading rate less than 10 g m−3 h−1. Additionally, The promotion effect was not only reflected in the contents of proteins and polysaccharides, but also in the growth rates of microorganisms in biofilms. This work discussed the detailed effect between n-hexane and hydrophilic VOCs in BTFs, which would contribute to develop a more economical method to improve the removal performance of hydrophobic VOCs in BTFs.","author":[{"dropping-particle":"","family":"Cheng","given":"Yeting","non-dropping-particle":"","parse-names":false,"suffix":""},{"dropping-particle":"","family":"Li","given":"Xiang","non-dropping-particle":"","parse-names":false,"suffix":""},{"dropping-particle":"","family":"Liu","given":"Haiyang","non-dropping-particle":"","parse-names":false,"suffix":""},{"dropping-particle":"","family":"Yang","given":"Chunping","non-dropping-particle":"","parse-names":false,"suffix":""},{"dropping-particle":"","family":"Wu","given":"Shaohua","non-dropping-particle":"","parse-names":false,"suffix":""},{"dropping-particle":"","family":"Du","given":"Cheng","non-dropping-particle":"","parse-names":false,"suffix":""},{"dropping-particle":"","family":"Nie","given":"Lijun","non-dropping-particle":"","parse-names":false,"suffix":""},{"dropping-particle":"","family":"Zhong","given":"Yuanyuan","non-dropping-particle":"","parse-names":false,"suffix":""}],"container-title":"Chemosphere","id":"ITEM-2","issued":{"date-parts":[["2020"]]},"page":"126490","publisher":"Elsevier Ltd","title":"Effect of presence of hydrophilic volatile organic compounds on removal of hydrophobic n-hexane in biotrickling filters","type":"article-journal","volume":"252"},"uris":["http://www.mendeley.com/documents/?uuid=db473962-3b94-430d-8baf-ae8da568a11f"]}],"mendeley":{"formattedCitation":"(Amin et al., 2017; Cheng et al., 2020)","plainTextFormattedCitation":"(Amin et al., 2017; Cheng et al., 2020)","previouslyFormattedCitation":"(Amin et al., 2017; Cheng et al., 2020)"},"properties":{"noteIndex":0},"schema":"https://github.com/citation-style-language/schema/raw/master/csl-citation.json"}</w:instrText>
      </w:r>
      <w:r w:rsidR="00F27A32">
        <w:fldChar w:fldCharType="separate"/>
      </w:r>
      <w:r w:rsidR="00F27A32" w:rsidRPr="00F27A32">
        <w:rPr>
          <w:noProof/>
        </w:rPr>
        <w:t>(Amin et al., 2017; Cheng et al., 2020)</w:t>
      </w:r>
      <w:r w:rsidR="00F27A32">
        <w:fldChar w:fldCharType="end"/>
      </w:r>
      <w:r w:rsidR="006A2C8A">
        <w:t xml:space="preserve"> and low concentrations</w:t>
      </w:r>
      <w:r w:rsidR="005C06F0">
        <w:t xml:space="preserve"> </w:t>
      </w:r>
      <w:r w:rsidR="00F27A32">
        <w:fldChar w:fldCharType="begin" w:fldLock="1"/>
      </w:r>
      <w:r w:rsidR="005131D9">
        <w:instrText>ADDIN CSL_CITATION {"citationItems":[{"id":"ITEM-1","itemData":{"DOI":"10.1016/j.watres.2013.01.041","ISSN":"18792448","PMID":"23497859","abstract":"The performance of a flat-membrane biofilm reactor (MBR) for the removal of acetone, toluene, limonene and hexane at concentrations ranging from 1.3 to 3.2 mg m-3 was investigated at different gas residence times (GRT): 60, 30, 15 and 7 s. A preliminary abiotic test was conducted to assess the mass transport of the selected volatile organic compounds (VOCs) through the membrane. A reduced transport of limonene and hexane was observed with water present over the dense side of the membrane. The presence of a biofilm attached on the dense side of the membrane following bioreactor inoculation significantly increased VOC transport. High acetone and toluene removals (&gt;93%) were recorded in the MBR regardless of the GRT. To remediate the low hexane removal performance (RE &lt; 24%) recorded at the initial stages of the process, a re-inoculation of the membrane with a hexane-degrading consortium embedded in silicon oil was performed. Although hexane removal did not exceed 27%, this re-inoculation increased limonene removals up to 90% at a GRT of 7 s. The absence of inhibition of hexane biodegradation by substrate competition confirmed that hexane removal in the MBR was indeed limited by the mass transfer through the membrane. Despite the low carbon source spectrum and load, the microbiological analysis of the communities present in the MBR showed high species richness (Shannon-Wiener indices of 3.2-3.5) and a high pair-wise similarity (84-97%) between the suspended and the attached biomass. © 2013 Elsevier Ltd.","author":[{"dropping-particle":"","family":"Lebrero","given":"R.","non-dropping-particle":"","parse-names":false,"suffix":""},{"dropping-particle":"","family":"Volckaert","given":"D.","non-dropping-particle":"","parse-names":false,"suffix":""},{"dropping-particle":"","family":"Pérez","given":"R.","non-dropping-particle":"","parse-names":false,"suffix":""},{"dropping-particle":"","family":"Muñoz","given":"R.","non-dropping-particle":"","parse-names":false,"suffix":""},{"dropping-particle":"","family":"Langenhove","given":"H.","non-dropping-particle":"Van","parse-names":false,"suffix":""}],"container-title":"Water Research","id":"ITEM-1","issue":"7","issued":{"date-parts":[["2013"]]},"page":"2199-2212","title":"A membrane bioreactor for the simultaneous treatment of acetone, toluene, limonene and hexane at trace level concentrations","type":"article-journal","volume":"47"},"uris":["http://www.mendeley.com/documents/?uuid=136f1902-992a-4f7d-807c-3d894f2f0e94"]},{"id":"ITEM-2","itemData":{"DOI":"10.1016/j.watres.2013.09.055","ISSN":"18792448","PMID":"24295931","abstract":"A low abatement efficiency for the hydrophobic fraction of odorous emissions and a high footprint are often pointed out as the major drawbacks of conventional biotechnologies for odor treatment. In this work, two conventional biotechnologies (a compost-based biofilter, BF, and a biotrickling filter, BTF), and a hollow-fiber membrane bioreactor (HF-MBR) were comparatively evaluated in terms of odor abatement potential and pressure drop (δP) at empty bed residence times (EBRTs) ranging from 4 to 84s, during the treatment of methyl-mercaptan, toluene, alpha-pinene and hexane at trace level concentrations (0.75-4.9mgm-3). High removal efficiencies (RE&gt;90% regardless of the air pollutant) were recorded in the BF at EBRTs≥8s, although the high δP across the packed bed limited its cost-effective operation to EBRTs&gt;19s. A complete methyl-mercaptan, toluene and alpha-pinene removal was recorded in the BTF at EBRTs≥4s and δP lower than 33mmH2O (~611Pambed-1), whereas slightly lower REs were observed for hexane (~88%). The HF-MBR completely removed methyl-mercaptan and toluene at all EBRTs tested, but exhibited an unstable alpha-pinene removal performance as a result of biomass accumulation and a low hexane abatement efficiency. Thus, a periodical membrane-cleaning procedure was required to ensure a steady abatement performance. Finally, a high bacterial diversity was observed in the three bioreactors in spite of the low carbon source spectrum present in the air emission. © 2013 Elsevier Ltd.","author":[{"dropping-particle":"","family":"Lebrero","given":"Raquel","non-dropping-particle":"","parse-names":false,"suffix":""},{"dropping-particle":"","family":"Gondim","given":"Ana Celina","non-dropping-particle":"","parse-names":false,"suffix":""},{"dropping-particle":"","family":"Pérez","given":"Rebeca","non-dropping-particle":"","parse-names":false,"suffix":""},{"dropping-particle":"","family":"García-Encina","given":"Pedro A.","non-dropping-particle":"","parse-names":false,"suffix":""},{"dropping-particle":"","family":"Muñoz","given":"Raúl","non-dropping-particle":"","parse-names":false,"suffix":""}],"container-title":"Water Research","id":"ITEM-2","issued":{"date-parts":[["2014"]]},"page":"339-350","title":"Comparative assessment of a biofilter, a biotrickling filter and a hollow fiber membrane bioreactor for odor treatment in wastewater treatment plants","type":"article-journal","volume":"49"},"uris":["http://www.mendeley.com/documents/?uuid=2dd07b37-9176-4a03-8875-05d3fc12acc1"]}],"mendeley":{"formattedCitation":"(Lebrero et al., 2014, 2013)","plainTextFormattedCitation":"(Lebrero et al., 2014, 2013)","previouslyFormattedCitation":"(Lebrero et al., 2014, 2013)"},"properties":{"noteIndex":0},"schema":"https://github.com/citation-style-language/schema/raw/master/csl-citation.json"}</w:instrText>
      </w:r>
      <w:r w:rsidR="00F27A32">
        <w:fldChar w:fldCharType="separate"/>
      </w:r>
      <w:r w:rsidR="00F27A32" w:rsidRPr="00F27A32">
        <w:rPr>
          <w:noProof/>
        </w:rPr>
        <w:t>(Lebrero et al., 2014, 2013)</w:t>
      </w:r>
      <w:r w:rsidR="00F27A32">
        <w:fldChar w:fldCharType="end"/>
      </w:r>
      <w:r w:rsidR="004936D1">
        <w:t xml:space="preserve">, </w:t>
      </w:r>
      <w:r w:rsidR="00BD2FE3">
        <w:t xml:space="preserve">thus further optimization of the bioactive coating bioreactors here tested is necessary to achieve </w:t>
      </w:r>
      <w:r w:rsidR="004C0506">
        <w:t>significant</w:t>
      </w:r>
      <w:r w:rsidR="00BD2FE3">
        <w:t xml:space="preserve"> and </w:t>
      </w:r>
      <w:r w:rsidR="004C0506">
        <w:t>stable</w:t>
      </w:r>
      <w:r w:rsidR="000F4BB9" w:rsidRPr="000F4BB9">
        <w:rPr>
          <w:color w:val="FF0000"/>
        </w:rPr>
        <w:t xml:space="preserve"> n-hexane</w:t>
      </w:r>
      <w:r w:rsidR="004936D1">
        <w:t xml:space="preserve"> </w:t>
      </w:r>
      <w:r w:rsidR="00BD2FE3">
        <w:t>removals</w:t>
      </w:r>
      <w:r w:rsidR="00985C45">
        <w:t>.</w:t>
      </w:r>
    </w:p>
    <w:p w14:paraId="6F5B8896" w14:textId="77777777" w:rsidR="00C253EE" w:rsidRPr="00B57B36" w:rsidRDefault="00C253EE" w:rsidP="00606970">
      <w:pPr>
        <w:pStyle w:val="CETBodytext"/>
      </w:pPr>
    </w:p>
    <w:p w14:paraId="1605B2BC" w14:textId="004B8328" w:rsidR="00B33EC1" w:rsidRDefault="00007F05" w:rsidP="00606970">
      <w:pPr>
        <w:pStyle w:val="CETBodytext"/>
        <w:rPr>
          <w:noProof/>
        </w:rPr>
      </w:pPr>
      <w:r>
        <w:rPr>
          <w:noProof/>
        </w:rPr>
        <w:lastRenderedPageBreak/>
        <w:t xml:space="preserve"> </w:t>
      </w:r>
      <w:r w:rsidR="0054722A" w:rsidRPr="0054722A">
        <w:rPr>
          <w:noProof/>
        </w:rPr>
        <w:t xml:space="preserve"> </w:t>
      </w:r>
      <w:r w:rsidR="003B2AD6">
        <w:rPr>
          <w:noProof/>
          <w:lang w:val="es-ES" w:eastAsia="es-ES"/>
        </w:rPr>
        <w:drawing>
          <wp:inline distT="0" distB="0" distL="0" distR="0" wp14:anchorId="7E7AE70A" wp14:editId="13C82E0C">
            <wp:extent cx="5040000" cy="2340000"/>
            <wp:effectExtent l="0" t="0" r="8255" b="3175"/>
            <wp:docPr id="11" name="Chart 11">
              <a:extLst xmlns:a="http://schemas.openxmlformats.org/drawingml/2006/main">
                <a:ext uri="{FF2B5EF4-FFF2-40B4-BE49-F238E27FC236}">
                  <a16:creationId xmlns:a16="http://schemas.microsoft.com/office/drawing/2014/main" id="{6796E22B-CAFC-4D65-ABEB-4A138D5CD3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D95255F" w14:textId="6D9C08AC" w:rsidR="003F5358" w:rsidRDefault="006207B4" w:rsidP="00606970">
      <w:pPr>
        <w:pStyle w:val="CETBodytext"/>
        <w:rPr>
          <w:noProof/>
        </w:rPr>
      </w:pPr>
      <w:r>
        <w:rPr>
          <w:noProof/>
          <w:lang w:val="es-ES" w:eastAsia="es-ES"/>
        </w:rPr>
        <w:drawing>
          <wp:inline distT="0" distB="0" distL="0" distR="0" wp14:anchorId="2E269CCD" wp14:editId="18A6208B">
            <wp:extent cx="5040000" cy="2340000"/>
            <wp:effectExtent l="0" t="0" r="8255" b="3175"/>
            <wp:docPr id="1" name="Chart 1">
              <a:extLst xmlns:a="http://schemas.openxmlformats.org/drawingml/2006/main">
                <a:ext uri="{FF2B5EF4-FFF2-40B4-BE49-F238E27FC236}">
                  <a16:creationId xmlns:a16="http://schemas.microsoft.com/office/drawing/2014/main" id="{6E6ABE9A-5454-46DE-B2D8-00C1F0EFF5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88316D" w14:textId="2D14FC41" w:rsidR="00F4024D" w:rsidRDefault="006207B4" w:rsidP="00606970">
      <w:pPr>
        <w:pStyle w:val="CETBodytext"/>
        <w:rPr>
          <w:noProof/>
        </w:rPr>
      </w:pPr>
      <w:r>
        <w:rPr>
          <w:noProof/>
          <w:lang w:val="es-ES" w:eastAsia="es-ES"/>
        </w:rPr>
        <w:drawing>
          <wp:inline distT="0" distB="0" distL="0" distR="0" wp14:anchorId="2078C608" wp14:editId="6EF2B693">
            <wp:extent cx="5040000" cy="2340000"/>
            <wp:effectExtent l="0" t="0" r="8255" b="3175"/>
            <wp:docPr id="3" name="Chart 3">
              <a:extLst xmlns:a="http://schemas.openxmlformats.org/drawingml/2006/main">
                <a:ext uri="{FF2B5EF4-FFF2-40B4-BE49-F238E27FC236}">
                  <a16:creationId xmlns:a16="http://schemas.microsoft.com/office/drawing/2014/main" id="{1BF4CB4B-0535-4BCC-BB01-EFC80D42A4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007F05">
        <w:rPr>
          <w:noProof/>
        </w:rPr>
        <w:t xml:space="preserve"> </w:t>
      </w:r>
    </w:p>
    <w:p w14:paraId="65E73FAD" w14:textId="6354964C" w:rsidR="00600535" w:rsidRPr="00BD077D" w:rsidRDefault="00600535" w:rsidP="00BD077D">
      <w:pPr>
        <w:pStyle w:val="CETCaption"/>
      </w:pPr>
      <w:r w:rsidRPr="00BD077D">
        <w:rPr>
          <w:rStyle w:val="CETCaptionCarattere"/>
          <w:i/>
        </w:rPr>
        <w:t>Figure 1:</w:t>
      </w:r>
      <w:r w:rsidR="00BC7B42">
        <w:rPr>
          <w:rStyle w:val="CETCaptionCarattere"/>
          <w:i/>
        </w:rPr>
        <w:t xml:space="preserve"> Steady-state average REs</w:t>
      </w:r>
      <w:r w:rsidR="00705112">
        <w:rPr>
          <w:rStyle w:val="CETCaptionCarattere"/>
          <w:i/>
        </w:rPr>
        <w:t xml:space="preserve"> </w:t>
      </w:r>
      <w:r w:rsidR="00805051">
        <w:rPr>
          <w:rStyle w:val="CETCaptionCarattere"/>
          <w:i/>
        </w:rPr>
        <w:t xml:space="preserve">and standard deviation </w:t>
      </w:r>
      <w:r w:rsidR="00705112">
        <w:rPr>
          <w:rStyle w:val="CETCaptionCarattere"/>
          <w:i/>
        </w:rPr>
        <w:t xml:space="preserve">of </w:t>
      </w:r>
      <w:r w:rsidR="002C5866">
        <w:rPr>
          <w:rStyle w:val="CETCaptionCarattere"/>
          <w:i/>
        </w:rPr>
        <w:t xml:space="preserve">A) </w:t>
      </w:r>
      <w:r w:rsidR="00705112">
        <w:rPr>
          <w:rStyle w:val="CETCaptionCarattere"/>
          <w:i/>
        </w:rPr>
        <w:t xml:space="preserve">toluene, </w:t>
      </w:r>
      <w:r w:rsidR="002C5866">
        <w:rPr>
          <w:rStyle w:val="CETCaptionCarattere"/>
          <w:i/>
        </w:rPr>
        <w:t xml:space="preserve">B) </w:t>
      </w:r>
      <w:r w:rsidR="000F4BB9" w:rsidRPr="000F4BB9">
        <w:rPr>
          <w:rStyle w:val="CETCaptionCarattere"/>
          <w:i/>
          <w:color w:val="FF0000"/>
        </w:rPr>
        <w:t>α-pinene</w:t>
      </w:r>
      <w:r w:rsidR="00705112">
        <w:rPr>
          <w:rStyle w:val="CETCaptionCarattere"/>
          <w:i/>
        </w:rPr>
        <w:t xml:space="preserve"> and </w:t>
      </w:r>
      <w:r w:rsidR="002C5866">
        <w:rPr>
          <w:rStyle w:val="CETCaptionCarattere"/>
          <w:i/>
        </w:rPr>
        <w:t>C)</w:t>
      </w:r>
      <w:r w:rsidR="000F4BB9" w:rsidRPr="000F4BB9">
        <w:rPr>
          <w:rStyle w:val="CETCaptionCarattere"/>
          <w:i/>
          <w:color w:val="FF0000"/>
        </w:rPr>
        <w:t xml:space="preserve"> n-hexane</w:t>
      </w:r>
      <w:r w:rsidR="00BC7B42">
        <w:rPr>
          <w:rStyle w:val="CETCaptionCarattere"/>
          <w:i/>
        </w:rPr>
        <w:t xml:space="preserve"> </w:t>
      </w:r>
      <w:r w:rsidR="008840C2">
        <w:rPr>
          <w:rStyle w:val="CETCaptionCarattere"/>
          <w:i/>
        </w:rPr>
        <w:t>recorded in</w:t>
      </w:r>
      <w:r w:rsidR="00C135D2">
        <w:rPr>
          <w:rStyle w:val="CETCaptionCarattere"/>
          <w:i/>
        </w:rPr>
        <w:t xml:space="preserve"> BR 1 </w:t>
      </w:r>
      <w:r w:rsidR="00C135D2" w:rsidRPr="00D60947">
        <w:rPr>
          <w:rStyle w:val="CETCaptionCarattere"/>
          <w:iCs/>
        </w:rPr>
        <w:t>(</w:t>
      </w:r>
      <w:r w:rsidR="006327E2" w:rsidRPr="006327E2">
        <w:rPr>
          <w:rStyle w:val="CETCaptionCarattere"/>
          <w:iCs/>
          <w:noProof/>
          <w:lang w:val="es-ES" w:eastAsia="es-ES"/>
        </w:rPr>
        <w:drawing>
          <wp:inline distT="0" distB="0" distL="0" distR="0" wp14:anchorId="2E7FE775" wp14:editId="7BDF2FA1">
            <wp:extent cx="72000" cy="108000"/>
            <wp:effectExtent l="0" t="0" r="444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000" cy="108000"/>
                    </a:xfrm>
                    <a:prstGeom prst="rect">
                      <a:avLst/>
                    </a:prstGeom>
                    <a:noFill/>
                  </pic:spPr>
                </pic:pic>
              </a:graphicData>
            </a:graphic>
          </wp:inline>
        </w:drawing>
      </w:r>
      <w:r w:rsidR="00D60947">
        <w:rPr>
          <w:rStyle w:val="CETCaptionCarattere"/>
          <w:iCs/>
          <w:noProof/>
        </w:rPr>
        <w:t>)</w:t>
      </w:r>
      <w:r w:rsidR="00C135D2">
        <w:rPr>
          <w:rStyle w:val="CETCaptionCarattere"/>
          <w:i/>
        </w:rPr>
        <w:t xml:space="preserve">, BR 2 </w:t>
      </w:r>
      <w:r w:rsidR="00C135D2" w:rsidRPr="006327E2">
        <w:rPr>
          <w:rStyle w:val="CETCaptionCarattere"/>
          <w:iCs/>
        </w:rPr>
        <w:t>(</w:t>
      </w:r>
      <w:r w:rsidR="00B678F9">
        <w:rPr>
          <w:rStyle w:val="CETCaptionCarattere"/>
          <w:iCs/>
          <w:noProof/>
          <w:lang w:val="es-ES" w:eastAsia="es-ES"/>
        </w:rPr>
        <w:drawing>
          <wp:inline distT="0" distB="0" distL="0" distR="0" wp14:anchorId="1FD35643" wp14:editId="696ECD94">
            <wp:extent cx="72000" cy="108000"/>
            <wp:effectExtent l="0" t="0" r="444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000" cy="108000"/>
                    </a:xfrm>
                    <a:prstGeom prst="rect">
                      <a:avLst/>
                    </a:prstGeom>
                    <a:noFill/>
                  </pic:spPr>
                </pic:pic>
              </a:graphicData>
            </a:graphic>
          </wp:inline>
        </w:drawing>
      </w:r>
      <w:r w:rsidR="00C135D2" w:rsidRPr="006327E2">
        <w:rPr>
          <w:rStyle w:val="CETCaptionCarattere"/>
          <w:iCs/>
        </w:rPr>
        <w:t>)</w:t>
      </w:r>
      <w:r w:rsidR="00C135D2">
        <w:rPr>
          <w:rStyle w:val="CETCaptionCarattere"/>
          <w:i/>
        </w:rPr>
        <w:t xml:space="preserve"> and BR 3 </w:t>
      </w:r>
      <w:r w:rsidR="002C5866" w:rsidRPr="009F248A">
        <w:rPr>
          <w:rStyle w:val="CETCaptionCarattere"/>
          <w:iCs/>
        </w:rPr>
        <w:t>(</w:t>
      </w:r>
      <w:r w:rsidR="009F248A">
        <w:rPr>
          <w:rStyle w:val="CETCaptionCarattere"/>
          <w:iCs/>
          <w:noProof/>
          <w:lang w:val="es-ES" w:eastAsia="es-ES"/>
        </w:rPr>
        <w:drawing>
          <wp:inline distT="0" distB="0" distL="0" distR="0" wp14:anchorId="783EF270" wp14:editId="760AF201">
            <wp:extent cx="72000" cy="108000"/>
            <wp:effectExtent l="0" t="0" r="4445"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000" cy="108000"/>
                    </a:xfrm>
                    <a:prstGeom prst="rect">
                      <a:avLst/>
                    </a:prstGeom>
                    <a:noFill/>
                  </pic:spPr>
                </pic:pic>
              </a:graphicData>
            </a:graphic>
          </wp:inline>
        </w:drawing>
      </w:r>
      <w:r w:rsidR="002C5866" w:rsidRPr="009F248A">
        <w:rPr>
          <w:rStyle w:val="CETCaptionCarattere"/>
          <w:iCs/>
        </w:rPr>
        <w:t>)</w:t>
      </w:r>
      <w:r w:rsidR="00805051">
        <w:rPr>
          <w:rStyle w:val="CETCaptionCarattere"/>
          <w:iCs/>
        </w:rPr>
        <w:t xml:space="preserve"> </w:t>
      </w:r>
      <w:r w:rsidR="0098660F">
        <w:rPr>
          <w:rStyle w:val="CETCaptionCarattere"/>
          <w:i/>
        </w:rPr>
        <w:t>at stages 1-8.</w:t>
      </w:r>
    </w:p>
    <w:p w14:paraId="68D26B83" w14:textId="77777777" w:rsidR="00600535" w:rsidRPr="00B57B36" w:rsidRDefault="00600535" w:rsidP="00600535">
      <w:pPr>
        <w:pStyle w:val="CETHeading1"/>
        <w:rPr>
          <w:lang w:val="en-GB"/>
        </w:rPr>
      </w:pPr>
      <w:r w:rsidRPr="00B57B36">
        <w:rPr>
          <w:lang w:val="en-GB"/>
        </w:rPr>
        <w:t>Conclusions</w:t>
      </w:r>
    </w:p>
    <w:p w14:paraId="302CB8D5" w14:textId="11CBB19B" w:rsidR="002A0FF7" w:rsidRDefault="001F5505" w:rsidP="00B858E5">
      <w:pPr>
        <w:pStyle w:val="CETBodytext"/>
      </w:pPr>
      <w:r>
        <w:t xml:space="preserve">In this work, bioactive coatings were </w:t>
      </w:r>
      <w:r w:rsidR="008840C2">
        <w:t>implemented in</w:t>
      </w:r>
      <w:r>
        <w:t xml:space="preserve"> </w:t>
      </w:r>
      <w:r w:rsidR="00F77834">
        <w:t>conventional</w:t>
      </w:r>
      <w:r>
        <w:t xml:space="preserve"> bioreactor configurations</w:t>
      </w:r>
      <w:r w:rsidR="008840C2">
        <w:t xml:space="preserve"> to assess their performance on odorous indoor air purification</w:t>
      </w:r>
      <w:r>
        <w:t>.</w:t>
      </w:r>
      <w:r w:rsidR="00F77834">
        <w:t xml:space="preserve"> </w:t>
      </w:r>
      <w:r w:rsidR="0097794C">
        <w:t>Overall, the</w:t>
      </w:r>
      <w:r w:rsidR="00565B32">
        <w:t xml:space="preserve"> </w:t>
      </w:r>
      <w:r w:rsidR="00A25148">
        <w:t xml:space="preserve">acclimation </w:t>
      </w:r>
      <w:r w:rsidR="008840C2">
        <w:t xml:space="preserve">of the bacterial community </w:t>
      </w:r>
      <w:r w:rsidR="00A25148">
        <w:t xml:space="preserve">to the odorous VOCs was </w:t>
      </w:r>
      <w:r w:rsidR="008840C2">
        <w:t>decisive i</w:t>
      </w:r>
      <w:r w:rsidR="001E7462">
        <w:t xml:space="preserve">n </w:t>
      </w:r>
      <w:r w:rsidR="00680F8F">
        <w:t>bioreactor performance</w:t>
      </w:r>
      <w:r w:rsidR="00A76298">
        <w:t xml:space="preserve">, as </w:t>
      </w:r>
      <w:r w:rsidR="008840C2">
        <w:t>inoculation with fresh activated sludge (BR 3)</w:t>
      </w:r>
      <w:r w:rsidR="00A76298">
        <w:t xml:space="preserve"> always </w:t>
      </w:r>
      <w:r w:rsidR="008840C2">
        <w:t xml:space="preserve">resulted in </w:t>
      </w:r>
      <w:r w:rsidR="00A76298">
        <w:t xml:space="preserve">lower REs and </w:t>
      </w:r>
      <w:r w:rsidR="008840C2">
        <w:t>inferior</w:t>
      </w:r>
      <w:r w:rsidR="00A76298">
        <w:t xml:space="preserve"> </w:t>
      </w:r>
      <w:r w:rsidR="008840C2">
        <w:t xml:space="preserve">robustness </w:t>
      </w:r>
      <w:r w:rsidR="00A76298">
        <w:t>to</w:t>
      </w:r>
      <w:r w:rsidR="008840C2">
        <w:t>wards</w:t>
      </w:r>
      <w:r w:rsidR="00A76298">
        <w:t xml:space="preserve"> </w:t>
      </w:r>
      <w:r w:rsidR="00443879">
        <w:t xml:space="preserve">changes in </w:t>
      </w:r>
      <w:r w:rsidR="008840C2">
        <w:t xml:space="preserve">operating </w:t>
      </w:r>
      <w:r w:rsidR="00443879">
        <w:t>parameters</w:t>
      </w:r>
      <w:r w:rsidR="00680F8F">
        <w:t xml:space="preserve"> </w:t>
      </w:r>
      <w:r w:rsidR="001827D2">
        <w:t xml:space="preserve">compared to </w:t>
      </w:r>
      <w:r w:rsidR="00680F8F">
        <w:t xml:space="preserve">BR 1 and </w:t>
      </w:r>
      <w:r w:rsidR="00680F8F">
        <w:lastRenderedPageBreak/>
        <w:t>BR 2, in which an enriched consortium was used as inoculum</w:t>
      </w:r>
      <w:r w:rsidR="00443879">
        <w:t xml:space="preserve">. </w:t>
      </w:r>
      <w:r w:rsidR="001827D2">
        <w:t>T</w:t>
      </w:r>
      <w:r w:rsidR="00F50851">
        <w:t xml:space="preserve">he bioactive coating-based reactor and the conventional biofilm reactor </w:t>
      </w:r>
      <w:r w:rsidR="001827D2">
        <w:t xml:space="preserve">exhibited </w:t>
      </w:r>
      <w:r w:rsidR="00F50851">
        <w:t>similar results</w:t>
      </w:r>
      <w:r w:rsidR="003B26DA">
        <w:t>.</w:t>
      </w:r>
      <w:r w:rsidR="00F50851">
        <w:t xml:space="preserve"> </w:t>
      </w:r>
      <w:r w:rsidR="00443879">
        <w:t>R</w:t>
      </w:r>
      <w:r w:rsidR="00F77834">
        <w:t xml:space="preserve">emoval efficiencies </w:t>
      </w:r>
      <w:r w:rsidR="00F23E19">
        <w:t xml:space="preserve">for toluene and </w:t>
      </w:r>
      <w:r w:rsidR="000F4BB9" w:rsidRPr="000F4BB9">
        <w:rPr>
          <w:color w:val="FF0000"/>
        </w:rPr>
        <w:t>α-pinene</w:t>
      </w:r>
      <w:r w:rsidR="00F23E19">
        <w:t xml:space="preserve"> </w:t>
      </w:r>
      <w:r w:rsidR="00F344E5">
        <w:t xml:space="preserve">of </w:t>
      </w:r>
      <w:r w:rsidR="008157DA">
        <w:rPr>
          <w:rFonts w:cs="Arial"/>
        </w:rPr>
        <w:t>≈</w:t>
      </w:r>
      <w:r w:rsidR="00F23E19">
        <w:t xml:space="preserve"> </w:t>
      </w:r>
      <w:r w:rsidR="00F77834">
        <w:t xml:space="preserve">90 % were achieved by both </w:t>
      </w:r>
      <w:r w:rsidR="003B26DA">
        <w:t xml:space="preserve">reactors </w:t>
      </w:r>
      <w:r w:rsidR="00374CAA">
        <w:t xml:space="preserve">at EBRTs </w:t>
      </w:r>
      <w:r w:rsidR="001827D2">
        <w:t>as low as</w:t>
      </w:r>
      <w:r w:rsidR="00F344E5">
        <w:t xml:space="preserve"> 30 s</w:t>
      </w:r>
      <w:r w:rsidR="00F23E19">
        <w:t xml:space="preserve">. At 15 s, the </w:t>
      </w:r>
      <w:r w:rsidR="00107371">
        <w:t xml:space="preserve">removal performance clearly decreased </w:t>
      </w:r>
      <w:r w:rsidR="002A0FF7">
        <w:t xml:space="preserve">in the three bioreactors probably </w:t>
      </w:r>
      <w:r w:rsidR="00107371">
        <w:t xml:space="preserve">caused by the combination of </w:t>
      </w:r>
      <w:r w:rsidR="001827D2">
        <w:t xml:space="preserve">a </w:t>
      </w:r>
      <w:r w:rsidR="00107371">
        <w:t xml:space="preserve">progressive </w:t>
      </w:r>
      <w:r w:rsidR="00841ACD">
        <w:t>desiccation</w:t>
      </w:r>
      <w:r w:rsidR="00107371">
        <w:t xml:space="preserve"> and </w:t>
      </w:r>
      <w:r w:rsidR="001827D2">
        <w:t xml:space="preserve">the reduced </w:t>
      </w:r>
      <w:r w:rsidR="00841ACD">
        <w:t>contact time</w:t>
      </w:r>
      <w:r w:rsidR="001827D2">
        <w:t>, which limited VOCs mass transport to the degrading community</w:t>
      </w:r>
      <w:r w:rsidR="00841ACD">
        <w:t xml:space="preserve">. </w:t>
      </w:r>
      <w:bookmarkStart w:id="5" w:name="_Hlk109399881"/>
      <w:r w:rsidR="00816E38">
        <w:t>Toluene removal</w:t>
      </w:r>
      <w:r w:rsidR="00353A82">
        <w:t xml:space="preserve"> </w:t>
      </w:r>
      <w:r w:rsidR="00EF4B43">
        <w:t>started to recover</w:t>
      </w:r>
      <w:r w:rsidR="00353A82">
        <w:t xml:space="preserve"> after shifting the </w:t>
      </w:r>
      <w:r w:rsidR="001827D2">
        <w:t xml:space="preserve">system configuration from a biofilter </w:t>
      </w:r>
      <w:r w:rsidR="00353A82">
        <w:t>to a biotrickling filter,</w:t>
      </w:r>
      <w:r w:rsidR="00EF4B43">
        <w:t xml:space="preserve"> while </w:t>
      </w:r>
      <w:r w:rsidR="000F4BB9" w:rsidRPr="000F4BB9">
        <w:rPr>
          <w:color w:val="FF0000"/>
        </w:rPr>
        <w:t>α-pinene</w:t>
      </w:r>
      <w:r w:rsidR="00816E38">
        <w:t xml:space="preserve"> </w:t>
      </w:r>
      <w:r w:rsidR="0048520B" w:rsidRPr="0048520B">
        <w:rPr>
          <w:color w:val="FF0000"/>
        </w:rPr>
        <w:t>abatement</w:t>
      </w:r>
      <w:r w:rsidR="00816E38">
        <w:t xml:space="preserve"> was restored only</w:t>
      </w:r>
      <w:r w:rsidR="0093788F">
        <w:t xml:space="preserve"> </w:t>
      </w:r>
      <w:r w:rsidR="00E65C02">
        <w:t>after the</w:t>
      </w:r>
      <w:r w:rsidR="00835BD9">
        <w:t xml:space="preserve"> reduction </w:t>
      </w:r>
      <w:r w:rsidR="00816E38">
        <w:t xml:space="preserve">in </w:t>
      </w:r>
      <w:r w:rsidR="0093788F">
        <w:t xml:space="preserve">inlet </w:t>
      </w:r>
      <w:r w:rsidR="001827D2">
        <w:t xml:space="preserve">VOCs </w:t>
      </w:r>
      <w:r w:rsidR="0093788F">
        <w:t>concentration</w:t>
      </w:r>
      <w:r w:rsidR="00835BD9">
        <w:t>.</w:t>
      </w:r>
      <w:r w:rsidR="001827D2">
        <w:t xml:space="preserve"> </w:t>
      </w:r>
      <w:bookmarkEnd w:id="5"/>
      <w:r w:rsidR="00A3495A">
        <w:t xml:space="preserve">Nevertheless, the permanent damage to </w:t>
      </w:r>
      <w:r w:rsidR="0097794C">
        <w:t xml:space="preserve">the </w:t>
      </w:r>
      <w:r w:rsidR="00A3495A">
        <w:t xml:space="preserve">microbial activity associated to the successive reductions in </w:t>
      </w:r>
      <w:r w:rsidR="0097794C">
        <w:t xml:space="preserve">EBRT </w:t>
      </w:r>
      <w:r w:rsidR="00A3495A">
        <w:t>prevented from recovering initial removal performance</w:t>
      </w:r>
      <w:r w:rsidR="00093D7B">
        <w:t>s</w:t>
      </w:r>
      <w:r w:rsidR="0097794C">
        <w:t>.</w:t>
      </w:r>
      <w:r w:rsidR="000F4BB9" w:rsidRPr="000F4BB9">
        <w:rPr>
          <w:color w:val="FF0000"/>
        </w:rPr>
        <w:t xml:space="preserve"> n-hexane</w:t>
      </w:r>
      <w:r w:rsidR="002A0FF7">
        <w:t xml:space="preserve"> </w:t>
      </w:r>
      <w:r w:rsidR="00093D7B">
        <w:t xml:space="preserve">abatement </w:t>
      </w:r>
      <w:r w:rsidR="002A0FF7">
        <w:t xml:space="preserve">was </w:t>
      </w:r>
      <w:r w:rsidR="00556BD1">
        <w:t>poor throughout the experiment</w:t>
      </w:r>
      <w:r w:rsidR="00887DF2">
        <w:t xml:space="preserve">, which </w:t>
      </w:r>
      <w:r w:rsidR="00556BD1">
        <w:t>was attributed to t</w:t>
      </w:r>
      <w:r w:rsidR="00887DF2">
        <w:t xml:space="preserve">he high hydrophobicity of </w:t>
      </w:r>
      <w:r w:rsidR="00093D7B">
        <w:t>this pollutant</w:t>
      </w:r>
      <w:r w:rsidR="00887DF2">
        <w:t xml:space="preserve">. </w:t>
      </w:r>
      <w:r w:rsidR="00093D7B">
        <w:t xml:space="preserve">Optimization of the biocoating formulation and the operating parameters is still necessary to ensure the removal of the most hydrophobic odorants commonly present in polluted indoor air. </w:t>
      </w:r>
    </w:p>
    <w:p w14:paraId="72CE3F20" w14:textId="77777777" w:rsidR="007B5531" w:rsidRDefault="007B5531" w:rsidP="00B858E5">
      <w:pPr>
        <w:pStyle w:val="CETBodytext"/>
      </w:pPr>
    </w:p>
    <w:p w14:paraId="459D05E6" w14:textId="6561C4F8" w:rsidR="00600535" w:rsidRPr="00B57B36" w:rsidRDefault="00600535" w:rsidP="00600535">
      <w:pPr>
        <w:pStyle w:val="CETAcknowledgementstitle"/>
      </w:pPr>
      <w:r w:rsidRPr="00B57B36">
        <w:t>Acknowledgments</w:t>
      </w:r>
    </w:p>
    <w:p w14:paraId="33F8138F" w14:textId="3643D341" w:rsidR="00042147" w:rsidRDefault="00EB6B2E" w:rsidP="00600535">
      <w:pPr>
        <w:pStyle w:val="CETBodytext"/>
        <w:rPr>
          <w:lang w:val="en-GB"/>
        </w:rPr>
      </w:pPr>
      <w:r w:rsidRPr="00EB6B2E">
        <w:rPr>
          <w:lang w:val="en-GB"/>
        </w:rPr>
        <w:t xml:space="preserve">This work </w:t>
      </w:r>
      <w:r w:rsidR="004B2D2E" w:rsidRPr="00EB6B2E">
        <w:rPr>
          <w:lang w:val="en-GB"/>
        </w:rPr>
        <w:t>[project RTI2018-0-096441-B-I00]</w:t>
      </w:r>
      <w:r w:rsidR="004B2D2E">
        <w:rPr>
          <w:lang w:val="en-GB"/>
        </w:rPr>
        <w:t xml:space="preserve"> </w:t>
      </w:r>
      <w:r w:rsidRPr="00EB6B2E">
        <w:rPr>
          <w:lang w:val="en-GB"/>
        </w:rPr>
        <w:t xml:space="preserve">was </w:t>
      </w:r>
      <w:r w:rsidR="004B2D2E">
        <w:rPr>
          <w:lang w:val="en-GB"/>
        </w:rPr>
        <w:t>finance</w:t>
      </w:r>
      <w:r w:rsidRPr="00EB6B2E">
        <w:rPr>
          <w:lang w:val="en-GB"/>
        </w:rPr>
        <w:t>d by the Ministry of Science, Innovation and Universities. The Regional Government of Castilla y León and the EU-FEDER program are also gratefully acknowledged</w:t>
      </w:r>
      <w:r w:rsidR="004B2D2E">
        <w:rPr>
          <w:lang w:val="en-GB"/>
        </w:rPr>
        <w:t xml:space="preserve"> </w:t>
      </w:r>
      <w:r w:rsidR="004B2D2E" w:rsidRPr="00EB6B2E">
        <w:rPr>
          <w:lang w:val="en-GB"/>
        </w:rPr>
        <w:t>[grant number</w:t>
      </w:r>
      <w:r w:rsidR="004B2D2E">
        <w:rPr>
          <w:lang w:val="en-GB"/>
        </w:rPr>
        <w:t>s</w:t>
      </w:r>
      <w:r w:rsidR="004B2D2E" w:rsidRPr="00EB6B2E">
        <w:rPr>
          <w:lang w:val="en-GB"/>
        </w:rPr>
        <w:t xml:space="preserve"> CLU 2017-09 and UIC 315]</w:t>
      </w:r>
      <w:r w:rsidRPr="00EB6B2E">
        <w:rPr>
          <w:lang w:val="en-GB"/>
        </w:rPr>
        <w:t>. The financial support of the Regional Government of Castilla y León (</w:t>
      </w:r>
      <w:proofErr w:type="spellStart"/>
      <w:r w:rsidRPr="00EB6B2E">
        <w:rPr>
          <w:lang w:val="en-GB"/>
        </w:rPr>
        <w:t>Consejería</w:t>
      </w:r>
      <w:proofErr w:type="spellEnd"/>
      <w:r w:rsidRPr="00EB6B2E">
        <w:rPr>
          <w:lang w:val="en-GB"/>
        </w:rPr>
        <w:t xml:space="preserve"> de </w:t>
      </w:r>
      <w:proofErr w:type="spellStart"/>
      <w:r w:rsidRPr="00EB6B2E">
        <w:rPr>
          <w:lang w:val="en-GB"/>
        </w:rPr>
        <w:t>Educación</w:t>
      </w:r>
      <w:proofErr w:type="spellEnd"/>
      <w:r w:rsidRPr="00EB6B2E">
        <w:rPr>
          <w:lang w:val="en-GB"/>
        </w:rPr>
        <w:t>) and the European Social Fund</w:t>
      </w:r>
      <w:r w:rsidR="004B2D2E" w:rsidRPr="004B2D2E">
        <w:rPr>
          <w:lang w:val="en-GB"/>
        </w:rPr>
        <w:t xml:space="preserve"> </w:t>
      </w:r>
      <w:r w:rsidR="004B2D2E" w:rsidRPr="00EB6B2E">
        <w:rPr>
          <w:lang w:val="en-GB"/>
        </w:rPr>
        <w:t>for the PhD grant of Javier González-Martín</w:t>
      </w:r>
      <w:r w:rsidRPr="00EB6B2E">
        <w:rPr>
          <w:lang w:val="en-GB"/>
        </w:rPr>
        <w:t xml:space="preserve"> is also acknowledged.</w:t>
      </w:r>
    </w:p>
    <w:p w14:paraId="3DBD9C19" w14:textId="58E720C1" w:rsidR="00042147" w:rsidRDefault="00042147">
      <w:pPr>
        <w:tabs>
          <w:tab w:val="clear" w:pos="7100"/>
        </w:tabs>
        <w:spacing w:after="200" w:line="276" w:lineRule="auto"/>
        <w:jc w:val="left"/>
      </w:pPr>
    </w:p>
    <w:p w14:paraId="4F1327F8" w14:textId="77777777" w:rsidR="00600535" w:rsidRPr="00B57B36" w:rsidRDefault="00600535" w:rsidP="00600535">
      <w:pPr>
        <w:pStyle w:val="CETReference"/>
      </w:pPr>
      <w:r w:rsidRPr="00B57B36">
        <w:t>References</w:t>
      </w:r>
    </w:p>
    <w:p w14:paraId="379058E8" w14:textId="2627AA8C" w:rsidR="005131D9" w:rsidRPr="005131D9" w:rsidRDefault="00B41485" w:rsidP="005131D9">
      <w:pPr>
        <w:widowControl w:val="0"/>
        <w:autoSpaceDE w:val="0"/>
        <w:autoSpaceDN w:val="0"/>
        <w:adjustRightInd w:val="0"/>
        <w:spacing w:line="240" w:lineRule="auto"/>
        <w:ind w:left="480" w:hanging="480"/>
        <w:rPr>
          <w:rFonts w:cs="Arial"/>
          <w:noProof/>
          <w:szCs w:val="24"/>
        </w:rPr>
      </w:pPr>
      <w:r>
        <w:fldChar w:fldCharType="begin" w:fldLock="1"/>
      </w:r>
      <w:r>
        <w:instrText xml:space="preserve">ADDIN Mendeley Bibliography CSL_BIBLIOGRAPHY </w:instrText>
      </w:r>
      <w:r>
        <w:fldChar w:fldCharType="separate"/>
      </w:r>
      <w:r w:rsidR="005131D9" w:rsidRPr="005131D9">
        <w:rPr>
          <w:rFonts w:cs="Arial"/>
          <w:noProof/>
          <w:szCs w:val="24"/>
        </w:rPr>
        <w:t>Amin, M.M., Rahimi, A., Bina, B., Nourmoradi, H., Hassanvand, M.S., Mohammadi-Moghadam, F., Norouzi, S., Heidari, M., 2017. Biodegradation of n-hexane as single pollutant and in a mixture with BTEX in a scoria/compost-based biofilter. Process Saf. Environ. Prot. 107, 508–517. https://doi.org/10.1016/j.psep.2017.03.019</w:t>
      </w:r>
    </w:p>
    <w:p w14:paraId="37AF8B42" w14:textId="77777777" w:rsidR="005131D9" w:rsidRPr="005131D9" w:rsidRDefault="005131D9" w:rsidP="005131D9">
      <w:pPr>
        <w:widowControl w:val="0"/>
        <w:autoSpaceDE w:val="0"/>
        <w:autoSpaceDN w:val="0"/>
        <w:adjustRightInd w:val="0"/>
        <w:spacing w:line="240" w:lineRule="auto"/>
        <w:ind w:left="480" w:hanging="480"/>
        <w:rPr>
          <w:rFonts w:cs="Arial"/>
          <w:noProof/>
          <w:szCs w:val="24"/>
        </w:rPr>
      </w:pPr>
      <w:r w:rsidRPr="005131D9">
        <w:rPr>
          <w:rFonts w:cs="Arial"/>
          <w:noProof/>
          <w:szCs w:val="24"/>
        </w:rPr>
        <w:t>Cheng, Y., Li, X., Liu, H., Yang, C., Wu, S., Du, C., Nie, L., Zhong, Y., 2020. Effect of presence of hydrophilic volatile organic compounds on removal of hydrophobic n-hexane in biotrickling filters. Chemosphere 252, 126490. https://doi.org/10.1016/j.chemosphere.2020.126490</w:t>
      </w:r>
    </w:p>
    <w:p w14:paraId="647E27AF" w14:textId="77777777" w:rsidR="005131D9" w:rsidRPr="005131D9" w:rsidRDefault="005131D9" w:rsidP="005131D9">
      <w:pPr>
        <w:widowControl w:val="0"/>
        <w:autoSpaceDE w:val="0"/>
        <w:autoSpaceDN w:val="0"/>
        <w:adjustRightInd w:val="0"/>
        <w:spacing w:line="240" w:lineRule="auto"/>
        <w:ind w:left="480" w:hanging="480"/>
        <w:rPr>
          <w:rFonts w:cs="Arial"/>
          <w:noProof/>
          <w:szCs w:val="24"/>
        </w:rPr>
      </w:pPr>
      <w:r w:rsidRPr="005131D9">
        <w:rPr>
          <w:rFonts w:cs="Arial"/>
          <w:noProof/>
          <w:szCs w:val="24"/>
        </w:rPr>
        <w:t>Cortez, S., Nicolau, A., Flickinger, M.C., Mota, M., 2017. Biocoatings: A new challenge for environmental biotechnology. Biochem. Eng. J. 121, 25–37. https://doi.org/10.1016/j.bej.2017.01.004</w:t>
      </w:r>
    </w:p>
    <w:p w14:paraId="56C55411" w14:textId="77777777" w:rsidR="005131D9" w:rsidRPr="005131D9" w:rsidRDefault="005131D9" w:rsidP="005131D9">
      <w:pPr>
        <w:widowControl w:val="0"/>
        <w:autoSpaceDE w:val="0"/>
        <w:autoSpaceDN w:val="0"/>
        <w:adjustRightInd w:val="0"/>
        <w:spacing w:line="240" w:lineRule="auto"/>
        <w:ind w:left="480" w:hanging="480"/>
        <w:rPr>
          <w:rFonts w:cs="Arial"/>
          <w:noProof/>
          <w:szCs w:val="24"/>
        </w:rPr>
      </w:pPr>
      <w:r w:rsidRPr="005131D9">
        <w:rPr>
          <w:rFonts w:cs="Arial"/>
          <w:noProof/>
          <w:szCs w:val="24"/>
        </w:rPr>
        <w:t>Estrada, J.M., Bernal, O.I., Flickinger, M.C., Muñoz, R., Deshusses, M.A., 2015. Biocatalytic coatings for air pollution control: A proof of concept study on VOC biodegradation. Biotechnol. Bioeng. 112, 263–271. https://doi.org/10.1002/bit.25353</w:t>
      </w:r>
    </w:p>
    <w:p w14:paraId="6B36F4CD" w14:textId="77777777" w:rsidR="005131D9" w:rsidRPr="005131D9" w:rsidRDefault="005131D9" w:rsidP="005131D9">
      <w:pPr>
        <w:widowControl w:val="0"/>
        <w:autoSpaceDE w:val="0"/>
        <w:autoSpaceDN w:val="0"/>
        <w:adjustRightInd w:val="0"/>
        <w:spacing w:line="240" w:lineRule="auto"/>
        <w:ind w:left="480" w:hanging="480"/>
        <w:rPr>
          <w:rFonts w:cs="Arial"/>
          <w:noProof/>
          <w:szCs w:val="24"/>
        </w:rPr>
      </w:pPr>
      <w:r w:rsidRPr="005131D9">
        <w:rPr>
          <w:rFonts w:cs="Arial"/>
          <w:noProof/>
          <w:szCs w:val="24"/>
        </w:rPr>
        <w:t>European Environmental Agency, 2020. Air quality in Europe - 2020 report, EEA Report.</w:t>
      </w:r>
    </w:p>
    <w:p w14:paraId="365A5A81" w14:textId="77777777" w:rsidR="005131D9" w:rsidRPr="005131D9" w:rsidRDefault="005131D9" w:rsidP="005131D9">
      <w:pPr>
        <w:widowControl w:val="0"/>
        <w:autoSpaceDE w:val="0"/>
        <w:autoSpaceDN w:val="0"/>
        <w:adjustRightInd w:val="0"/>
        <w:spacing w:line="240" w:lineRule="auto"/>
        <w:ind w:left="480" w:hanging="480"/>
        <w:rPr>
          <w:rFonts w:cs="Arial"/>
          <w:noProof/>
          <w:szCs w:val="24"/>
        </w:rPr>
      </w:pPr>
      <w:r w:rsidRPr="005131D9">
        <w:rPr>
          <w:rFonts w:cs="Arial"/>
          <w:noProof/>
          <w:szCs w:val="24"/>
        </w:rPr>
        <w:t>Ghaffarianhoseini, Amirhosein, AlWaer, H., Omrany, H., Ghaffarianhoseini, Ali, Alalouch, C., Clements-Croome, D., Tookey, J., 2018. Sick building syndrome: are we doing enough? Archit. Sci. Rev. 61, 99–121. https://doi.org/10.1080/00038628.2018.1461060</w:t>
      </w:r>
    </w:p>
    <w:p w14:paraId="434ECE6C" w14:textId="77777777" w:rsidR="005131D9" w:rsidRPr="005131D9" w:rsidRDefault="005131D9" w:rsidP="005131D9">
      <w:pPr>
        <w:widowControl w:val="0"/>
        <w:autoSpaceDE w:val="0"/>
        <w:autoSpaceDN w:val="0"/>
        <w:adjustRightInd w:val="0"/>
        <w:spacing w:line="240" w:lineRule="auto"/>
        <w:ind w:left="480" w:hanging="480"/>
        <w:rPr>
          <w:rFonts w:cs="Arial"/>
          <w:noProof/>
          <w:szCs w:val="24"/>
        </w:rPr>
      </w:pPr>
      <w:r w:rsidRPr="005131D9">
        <w:rPr>
          <w:rFonts w:cs="Arial"/>
          <w:noProof/>
          <w:szCs w:val="24"/>
        </w:rPr>
        <w:t>González-Martín, J., Cantera, S., Lebrero, R., Muñoz, R., 2021a. Optimization of acrylic-styrene latex-based biofilms as a platform for biological indoor air treatment. Chemosphere 287, 132182. https://doi.org/10.1016/j.chemosphere.2021.132182</w:t>
      </w:r>
    </w:p>
    <w:p w14:paraId="4151CA9E" w14:textId="77777777" w:rsidR="005131D9" w:rsidRPr="005131D9" w:rsidRDefault="005131D9" w:rsidP="005131D9">
      <w:pPr>
        <w:widowControl w:val="0"/>
        <w:autoSpaceDE w:val="0"/>
        <w:autoSpaceDN w:val="0"/>
        <w:adjustRightInd w:val="0"/>
        <w:spacing w:line="240" w:lineRule="auto"/>
        <w:ind w:left="480" w:hanging="480"/>
        <w:rPr>
          <w:rFonts w:cs="Arial"/>
          <w:noProof/>
          <w:szCs w:val="24"/>
        </w:rPr>
      </w:pPr>
      <w:r w:rsidRPr="005131D9">
        <w:rPr>
          <w:rFonts w:cs="Arial"/>
          <w:noProof/>
          <w:szCs w:val="24"/>
        </w:rPr>
        <w:t>González-Martín, J., Kraakman, N.J.R., Pérez, C., Lebrero, R., Muñoz, R., 2021b. A state–of–the-art review on indoor air pollution and strategies for indoor air pollution control. Chemosphere 262, 128376. https://doi.org/10.1016/j.chemosphere.2020.128376</w:t>
      </w:r>
    </w:p>
    <w:p w14:paraId="79D6F0E0" w14:textId="4B4058AC" w:rsidR="005131D9" w:rsidRPr="005131D9" w:rsidRDefault="005131D9" w:rsidP="005131D9">
      <w:pPr>
        <w:widowControl w:val="0"/>
        <w:autoSpaceDE w:val="0"/>
        <w:autoSpaceDN w:val="0"/>
        <w:adjustRightInd w:val="0"/>
        <w:spacing w:line="240" w:lineRule="auto"/>
        <w:ind w:left="480" w:hanging="480"/>
        <w:rPr>
          <w:rFonts w:cs="Arial"/>
          <w:noProof/>
          <w:szCs w:val="24"/>
        </w:rPr>
      </w:pPr>
      <w:r w:rsidRPr="005131D9">
        <w:rPr>
          <w:rFonts w:cs="Arial"/>
          <w:noProof/>
          <w:szCs w:val="24"/>
        </w:rPr>
        <w:t>Gosse, J.L., Flickinger, M.C., 2011. Uniform Lab-Scale Biocatalytic Nanoporous Latex Coatings for Reactive Microorganisms,</w:t>
      </w:r>
      <w:r w:rsidR="002A5DB5">
        <w:rPr>
          <w:rFonts w:cs="Arial"/>
          <w:noProof/>
          <w:szCs w:val="24"/>
        </w:rPr>
        <w:t xml:space="preserve"> chapter</w:t>
      </w:r>
      <w:r w:rsidRPr="005131D9">
        <w:rPr>
          <w:rFonts w:cs="Arial"/>
          <w:noProof/>
          <w:szCs w:val="24"/>
        </w:rPr>
        <w:t xml:space="preserve"> in: Wang, P. (Ed.), Nanoscale Biocatalysis (Methods and Protocols). Humana Press, pp. 213–222. https://doi.org/10.1007/978-1-61779-132-1_17</w:t>
      </w:r>
    </w:p>
    <w:p w14:paraId="45E3CDA4" w14:textId="77777777" w:rsidR="005131D9" w:rsidRPr="005131D9" w:rsidRDefault="005131D9" w:rsidP="005131D9">
      <w:pPr>
        <w:widowControl w:val="0"/>
        <w:autoSpaceDE w:val="0"/>
        <w:autoSpaceDN w:val="0"/>
        <w:adjustRightInd w:val="0"/>
        <w:spacing w:line="240" w:lineRule="auto"/>
        <w:ind w:left="480" w:hanging="480"/>
        <w:rPr>
          <w:rFonts w:cs="Arial"/>
          <w:noProof/>
          <w:szCs w:val="24"/>
        </w:rPr>
      </w:pPr>
      <w:r w:rsidRPr="005131D9">
        <w:rPr>
          <w:rFonts w:cs="Arial"/>
          <w:noProof/>
          <w:szCs w:val="24"/>
        </w:rPr>
        <w:t>Kraakman, N.J.R., González-Martín, J., Pérez, C., Lebrero, R., Muñoz, R., 2021. Recent advances in biological systems for improving indoor air quality. Rev. Environ. Sci. Biotechnol. 0123456789. https://doi.org/10.1007/s11157-021-09569-x</w:t>
      </w:r>
    </w:p>
    <w:p w14:paraId="4F54E79E" w14:textId="77777777" w:rsidR="005131D9" w:rsidRPr="005131D9" w:rsidRDefault="005131D9" w:rsidP="005131D9">
      <w:pPr>
        <w:widowControl w:val="0"/>
        <w:autoSpaceDE w:val="0"/>
        <w:autoSpaceDN w:val="0"/>
        <w:adjustRightInd w:val="0"/>
        <w:spacing w:line="240" w:lineRule="auto"/>
        <w:ind w:left="480" w:hanging="480"/>
        <w:rPr>
          <w:rFonts w:cs="Arial"/>
          <w:noProof/>
          <w:szCs w:val="24"/>
        </w:rPr>
      </w:pPr>
      <w:r w:rsidRPr="005131D9">
        <w:rPr>
          <w:rFonts w:cs="Arial"/>
          <w:noProof/>
          <w:szCs w:val="24"/>
        </w:rPr>
        <w:t>Lebrero, R., Gondim, A.C., Pérez, R., García-Encina, P.A., Muñoz, R., 2014. Comparative assessment of a biofilter, a biotrickling filter and a hollow fiber membrane bioreactor for odor treatment in wastewater treatment plants. Water Res. 49, 339–350. https://doi.org/10.1016/j.watres.2013.09.055</w:t>
      </w:r>
    </w:p>
    <w:p w14:paraId="0746667A" w14:textId="77777777" w:rsidR="005131D9" w:rsidRPr="005131D9" w:rsidRDefault="005131D9" w:rsidP="005131D9">
      <w:pPr>
        <w:widowControl w:val="0"/>
        <w:autoSpaceDE w:val="0"/>
        <w:autoSpaceDN w:val="0"/>
        <w:adjustRightInd w:val="0"/>
        <w:spacing w:line="240" w:lineRule="auto"/>
        <w:ind w:left="480" w:hanging="480"/>
        <w:rPr>
          <w:rFonts w:cs="Arial"/>
          <w:noProof/>
          <w:szCs w:val="24"/>
        </w:rPr>
      </w:pPr>
      <w:r w:rsidRPr="005131D9">
        <w:rPr>
          <w:rFonts w:cs="Arial"/>
          <w:noProof/>
          <w:szCs w:val="24"/>
        </w:rPr>
        <w:t>Lebrero, R., Volckaert, D., Pérez, R., Muñoz, R., Van Langenhove, H., 2013. A membrane bioreactor for the simultaneous treatment of acetone, toluene, limonene and hexane at trace level concentrations. Water Res. 47, 2199–2212. https://doi.org/10.1016/j.watres.2013.01.041</w:t>
      </w:r>
    </w:p>
    <w:p w14:paraId="32D61423" w14:textId="77777777" w:rsidR="005131D9" w:rsidRPr="005131D9" w:rsidRDefault="005131D9" w:rsidP="005131D9">
      <w:pPr>
        <w:widowControl w:val="0"/>
        <w:autoSpaceDE w:val="0"/>
        <w:autoSpaceDN w:val="0"/>
        <w:adjustRightInd w:val="0"/>
        <w:spacing w:line="240" w:lineRule="auto"/>
        <w:ind w:left="480" w:hanging="480"/>
        <w:rPr>
          <w:rFonts w:cs="Arial"/>
          <w:noProof/>
          <w:szCs w:val="24"/>
        </w:rPr>
      </w:pPr>
      <w:r w:rsidRPr="005131D9">
        <w:rPr>
          <w:rFonts w:cs="Arial"/>
          <w:noProof/>
          <w:szCs w:val="24"/>
        </w:rPr>
        <w:t>Lee, K.K., Bing, R., Kiang, J., Bashir, S., Spath, N., Stelzle, D., Mortimer, K., Bularga, A., Doudesis, D., Joshi, S.S., Strachan, F., Gumy, S., Adair-Rohani, H., Attia, E.F., Chung, M.H., Miller, M.R., Newby, D.E., Mills, N.L., McAllister, D.A., Shah, A.S.V., 2020. Adverse health effects associated with household air pollution: a systematic review, meta-analysis, and burden estimation study. Lancet Glob. Heal. 8, e1427–e1434. https://doi.org/10.1016/S2214-109X(20)30343-0</w:t>
      </w:r>
    </w:p>
    <w:p w14:paraId="59CF56EF" w14:textId="77777777" w:rsidR="005131D9" w:rsidRPr="005131D9" w:rsidRDefault="005131D9" w:rsidP="005131D9">
      <w:pPr>
        <w:widowControl w:val="0"/>
        <w:autoSpaceDE w:val="0"/>
        <w:autoSpaceDN w:val="0"/>
        <w:adjustRightInd w:val="0"/>
        <w:spacing w:line="240" w:lineRule="auto"/>
        <w:ind w:left="480" w:hanging="480"/>
        <w:rPr>
          <w:rFonts w:cs="Arial"/>
          <w:noProof/>
          <w:szCs w:val="24"/>
        </w:rPr>
      </w:pPr>
      <w:r w:rsidRPr="005131D9">
        <w:rPr>
          <w:rFonts w:cs="Arial"/>
          <w:noProof/>
          <w:szCs w:val="24"/>
        </w:rPr>
        <w:lastRenderedPageBreak/>
        <w:t>Nordin, S., Claeson, A.S., Andersson, M., Sommar, L., Andrée, J., Lundqvist, K., Andersson, L., 2013. Impact of health-risk perception on odor perception and cognitive performance. Chemosens. Percept. 6, 190–197. https://doi.org/10.1007/s12078-013-9153-0</w:t>
      </w:r>
    </w:p>
    <w:p w14:paraId="0246EEF6" w14:textId="77777777" w:rsidR="005131D9" w:rsidRPr="005131D9" w:rsidRDefault="005131D9" w:rsidP="005131D9">
      <w:pPr>
        <w:widowControl w:val="0"/>
        <w:autoSpaceDE w:val="0"/>
        <w:autoSpaceDN w:val="0"/>
        <w:adjustRightInd w:val="0"/>
        <w:spacing w:line="240" w:lineRule="auto"/>
        <w:ind w:left="480" w:hanging="480"/>
        <w:rPr>
          <w:rFonts w:cs="Arial"/>
          <w:noProof/>
          <w:szCs w:val="24"/>
        </w:rPr>
      </w:pPr>
      <w:r w:rsidRPr="005131D9">
        <w:rPr>
          <w:rFonts w:cs="Arial"/>
          <w:noProof/>
          <w:szCs w:val="24"/>
        </w:rPr>
        <w:t>Piskorska, M., Soule, T., Gosse, J.L., Milliken, C., Flickinger, M.C., Smith, G.W., Yeager, C.M., 2013. Preservation of H2 production activity in nanoporous latex coatings of Rhodopseudomonas palustrisCGA009 during dry storage at ambient temperatures. Microb. Biotechnol. 6, 515–525. https://doi.org/10.1111/1751-7915.12032</w:t>
      </w:r>
    </w:p>
    <w:p w14:paraId="764A0890" w14:textId="77777777" w:rsidR="005131D9" w:rsidRPr="005131D9" w:rsidRDefault="005131D9" w:rsidP="005131D9">
      <w:pPr>
        <w:widowControl w:val="0"/>
        <w:autoSpaceDE w:val="0"/>
        <w:autoSpaceDN w:val="0"/>
        <w:adjustRightInd w:val="0"/>
        <w:spacing w:line="240" w:lineRule="auto"/>
        <w:ind w:left="480" w:hanging="480"/>
        <w:rPr>
          <w:rFonts w:cs="Arial"/>
          <w:noProof/>
          <w:szCs w:val="24"/>
        </w:rPr>
      </w:pPr>
      <w:r w:rsidRPr="005131D9">
        <w:rPr>
          <w:rFonts w:cs="Arial"/>
          <w:noProof/>
          <w:szCs w:val="24"/>
        </w:rPr>
        <w:t>USEPA, 2021. Volatile Organic Compounds’ Impact on Indoor Air Quality [WWW Document]. URL https://www.epa.gov/indoor-air-quality-iaq/volatile-organic-compounds-impact-indoor-air-quality (accessed 4.10.22).</w:t>
      </w:r>
    </w:p>
    <w:p w14:paraId="11377B2C" w14:textId="77777777" w:rsidR="005131D9" w:rsidRPr="005131D9" w:rsidRDefault="005131D9" w:rsidP="005131D9">
      <w:pPr>
        <w:widowControl w:val="0"/>
        <w:autoSpaceDE w:val="0"/>
        <w:autoSpaceDN w:val="0"/>
        <w:adjustRightInd w:val="0"/>
        <w:spacing w:line="240" w:lineRule="auto"/>
        <w:ind w:left="480" w:hanging="480"/>
        <w:rPr>
          <w:rFonts w:cs="Arial"/>
          <w:noProof/>
          <w:szCs w:val="24"/>
        </w:rPr>
      </w:pPr>
      <w:r w:rsidRPr="005131D9">
        <w:rPr>
          <w:rFonts w:cs="Arial"/>
          <w:noProof/>
          <w:szCs w:val="24"/>
        </w:rPr>
        <w:t>Van Tran, V., Park, D., Lee, Y.C., 2020. Indoor air pollution, related human diseases, and recent trends in the control and improvement of indoor air quality. Int. J. Environ. Res. Public Health 17. https://doi.org/10.3390/ijerph17082927</w:t>
      </w:r>
    </w:p>
    <w:p w14:paraId="187CFEF5" w14:textId="77777777" w:rsidR="005131D9" w:rsidRPr="005131D9" w:rsidRDefault="005131D9" w:rsidP="005131D9">
      <w:pPr>
        <w:widowControl w:val="0"/>
        <w:autoSpaceDE w:val="0"/>
        <w:autoSpaceDN w:val="0"/>
        <w:adjustRightInd w:val="0"/>
        <w:spacing w:line="240" w:lineRule="auto"/>
        <w:ind w:left="480" w:hanging="480"/>
        <w:rPr>
          <w:rFonts w:cs="Arial"/>
          <w:noProof/>
          <w:szCs w:val="24"/>
        </w:rPr>
      </w:pPr>
      <w:r w:rsidRPr="005131D9">
        <w:rPr>
          <w:rFonts w:cs="Arial"/>
          <w:noProof/>
          <w:szCs w:val="24"/>
        </w:rPr>
        <w:t>Wolkoff, P., Nielsen, G.D., 2017. Effects by inhalation of abundant fragrances in indoor air – An overview. Environ. Int. 101, 96–107. https://doi.org/10.1016/j.envint.2017.01.013</w:t>
      </w:r>
    </w:p>
    <w:p w14:paraId="0E4DCAC8" w14:textId="77777777" w:rsidR="005131D9" w:rsidRPr="005131D9" w:rsidRDefault="005131D9" w:rsidP="005131D9">
      <w:pPr>
        <w:widowControl w:val="0"/>
        <w:autoSpaceDE w:val="0"/>
        <w:autoSpaceDN w:val="0"/>
        <w:adjustRightInd w:val="0"/>
        <w:spacing w:line="240" w:lineRule="auto"/>
        <w:ind w:left="480" w:hanging="480"/>
        <w:rPr>
          <w:rFonts w:cs="Arial"/>
          <w:noProof/>
        </w:rPr>
      </w:pPr>
      <w:r w:rsidRPr="005131D9">
        <w:rPr>
          <w:rFonts w:cs="Arial"/>
          <w:noProof/>
          <w:szCs w:val="24"/>
        </w:rPr>
        <w:t>World Health Organization, 2018. Burden of disease of household air pollution for 2016.</w:t>
      </w:r>
    </w:p>
    <w:p w14:paraId="19C4FC68" w14:textId="6788E876" w:rsidR="004628D2" w:rsidRDefault="00B41485" w:rsidP="00042147">
      <w:pPr>
        <w:pStyle w:val="CETReferencetext"/>
        <w:ind w:left="0" w:firstLine="0"/>
      </w:pPr>
      <w:r>
        <w:fldChar w:fldCharType="end"/>
      </w: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375C4" w14:textId="77777777" w:rsidR="000E43A4" w:rsidRDefault="000E43A4" w:rsidP="004F5E36">
      <w:r>
        <w:separator/>
      </w:r>
    </w:p>
  </w:endnote>
  <w:endnote w:type="continuationSeparator" w:id="0">
    <w:p w14:paraId="2F768707" w14:textId="77777777" w:rsidR="000E43A4" w:rsidRDefault="000E43A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74B6" w14:textId="77777777" w:rsidR="000E43A4" w:rsidRDefault="000E43A4" w:rsidP="004F5E36">
      <w:r>
        <w:separator/>
      </w:r>
    </w:p>
  </w:footnote>
  <w:footnote w:type="continuationSeparator" w:id="0">
    <w:p w14:paraId="6EEC8993" w14:textId="77777777" w:rsidR="000E43A4" w:rsidRDefault="000E43A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4182FE4"/>
    <w:multiLevelType w:val="hybridMultilevel"/>
    <w:tmpl w:val="51F8F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26833404">
    <w:abstractNumId w:val="10"/>
  </w:num>
  <w:num w:numId="2" w16cid:durableId="2037000739">
    <w:abstractNumId w:val="8"/>
  </w:num>
  <w:num w:numId="3" w16cid:durableId="63643555">
    <w:abstractNumId w:val="3"/>
  </w:num>
  <w:num w:numId="4" w16cid:durableId="920026098">
    <w:abstractNumId w:val="2"/>
  </w:num>
  <w:num w:numId="5" w16cid:durableId="172846889">
    <w:abstractNumId w:val="1"/>
  </w:num>
  <w:num w:numId="6" w16cid:durableId="1856143090">
    <w:abstractNumId w:val="0"/>
  </w:num>
  <w:num w:numId="7" w16cid:durableId="1414551728">
    <w:abstractNumId w:val="9"/>
  </w:num>
  <w:num w:numId="8" w16cid:durableId="334378165">
    <w:abstractNumId w:val="7"/>
  </w:num>
  <w:num w:numId="9" w16cid:durableId="1998000642">
    <w:abstractNumId w:val="6"/>
  </w:num>
  <w:num w:numId="10" w16cid:durableId="239563359">
    <w:abstractNumId w:val="5"/>
  </w:num>
  <w:num w:numId="11" w16cid:durableId="1146509834">
    <w:abstractNumId w:val="4"/>
  </w:num>
  <w:num w:numId="12" w16cid:durableId="1603607013">
    <w:abstractNumId w:val="17"/>
  </w:num>
  <w:num w:numId="13" w16cid:durableId="1335960706">
    <w:abstractNumId w:val="12"/>
  </w:num>
  <w:num w:numId="14" w16cid:durableId="883912362">
    <w:abstractNumId w:val="18"/>
  </w:num>
  <w:num w:numId="15" w16cid:durableId="1090005153">
    <w:abstractNumId w:val="21"/>
  </w:num>
  <w:num w:numId="16" w16cid:durableId="1747531384">
    <w:abstractNumId w:val="20"/>
  </w:num>
  <w:num w:numId="17" w16cid:durableId="1204826837">
    <w:abstractNumId w:val="11"/>
  </w:num>
  <w:num w:numId="18" w16cid:durableId="1693338037">
    <w:abstractNumId w:val="12"/>
    <w:lvlOverride w:ilvl="0">
      <w:startOverride w:val="1"/>
    </w:lvlOverride>
  </w:num>
  <w:num w:numId="19" w16cid:durableId="2046902831">
    <w:abstractNumId w:val="16"/>
  </w:num>
  <w:num w:numId="20" w16cid:durableId="1115756773">
    <w:abstractNumId w:val="15"/>
  </w:num>
  <w:num w:numId="21" w16cid:durableId="1335692399">
    <w:abstractNumId w:val="14"/>
  </w:num>
  <w:num w:numId="22" w16cid:durableId="1102604651">
    <w:abstractNumId w:val="13"/>
  </w:num>
  <w:num w:numId="23" w16cid:durableId="239424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34C"/>
    <w:rsid w:val="0000096E"/>
    <w:rsid w:val="0000158D"/>
    <w:rsid w:val="00001FE7"/>
    <w:rsid w:val="000027C0"/>
    <w:rsid w:val="00004B86"/>
    <w:rsid w:val="00005061"/>
    <w:rsid w:val="000052FB"/>
    <w:rsid w:val="00006485"/>
    <w:rsid w:val="00007C94"/>
    <w:rsid w:val="00007F05"/>
    <w:rsid w:val="000117CB"/>
    <w:rsid w:val="00012378"/>
    <w:rsid w:val="0001645D"/>
    <w:rsid w:val="00016A00"/>
    <w:rsid w:val="00017333"/>
    <w:rsid w:val="000222FD"/>
    <w:rsid w:val="0002504D"/>
    <w:rsid w:val="000276D7"/>
    <w:rsid w:val="000279D3"/>
    <w:rsid w:val="0003148D"/>
    <w:rsid w:val="00031EEC"/>
    <w:rsid w:val="00032244"/>
    <w:rsid w:val="00034163"/>
    <w:rsid w:val="000341FC"/>
    <w:rsid w:val="00042147"/>
    <w:rsid w:val="00043682"/>
    <w:rsid w:val="000438B2"/>
    <w:rsid w:val="00043A43"/>
    <w:rsid w:val="00043E25"/>
    <w:rsid w:val="00043F24"/>
    <w:rsid w:val="00051566"/>
    <w:rsid w:val="00051DDB"/>
    <w:rsid w:val="00055E0B"/>
    <w:rsid w:val="0005643D"/>
    <w:rsid w:val="0005728D"/>
    <w:rsid w:val="000614F4"/>
    <w:rsid w:val="00062A9A"/>
    <w:rsid w:val="00065058"/>
    <w:rsid w:val="0007153F"/>
    <w:rsid w:val="000752F9"/>
    <w:rsid w:val="00077DC1"/>
    <w:rsid w:val="00084515"/>
    <w:rsid w:val="00084D3B"/>
    <w:rsid w:val="00085707"/>
    <w:rsid w:val="000864E5"/>
    <w:rsid w:val="00086C39"/>
    <w:rsid w:val="00091225"/>
    <w:rsid w:val="00093D7B"/>
    <w:rsid w:val="00097157"/>
    <w:rsid w:val="000971D1"/>
    <w:rsid w:val="000A03B2"/>
    <w:rsid w:val="000A2119"/>
    <w:rsid w:val="000B443E"/>
    <w:rsid w:val="000B7982"/>
    <w:rsid w:val="000D0268"/>
    <w:rsid w:val="000D2F5A"/>
    <w:rsid w:val="000D34BE"/>
    <w:rsid w:val="000E102F"/>
    <w:rsid w:val="000E36A9"/>
    <w:rsid w:val="000E36F1"/>
    <w:rsid w:val="000E3A73"/>
    <w:rsid w:val="000E414A"/>
    <w:rsid w:val="000E43A4"/>
    <w:rsid w:val="000E765E"/>
    <w:rsid w:val="000F093C"/>
    <w:rsid w:val="000F4BB9"/>
    <w:rsid w:val="000F77E8"/>
    <w:rsid w:val="000F787B"/>
    <w:rsid w:val="001007D4"/>
    <w:rsid w:val="001013DF"/>
    <w:rsid w:val="00103094"/>
    <w:rsid w:val="001052DE"/>
    <w:rsid w:val="0010670A"/>
    <w:rsid w:val="00107371"/>
    <w:rsid w:val="00113202"/>
    <w:rsid w:val="0011545C"/>
    <w:rsid w:val="0012091F"/>
    <w:rsid w:val="001218C8"/>
    <w:rsid w:val="00124549"/>
    <w:rsid w:val="00126BC2"/>
    <w:rsid w:val="00126E24"/>
    <w:rsid w:val="001308B6"/>
    <w:rsid w:val="0013121F"/>
    <w:rsid w:val="001313B0"/>
    <w:rsid w:val="00131FE6"/>
    <w:rsid w:val="0013263F"/>
    <w:rsid w:val="001331DF"/>
    <w:rsid w:val="00134DE4"/>
    <w:rsid w:val="0014034D"/>
    <w:rsid w:val="00142CA8"/>
    <w:rsid w:val="00144D16"/>
    <w:rsid w:val="00150B60"/>
    <w:rsid w:val="00150E59"/>
    <w:rsid w:val="00152DE3"/>
    <w:rsid w:val="001620CB"/>
    <w:rsid w:val="00164A64"/>
    <w:rsid w:val="00164CF9"/>
    <w:rsid w:val="001667A6"/>
    <w:rsid w:val="001755E5"/>
    <w:rsid w:val="001827D2"/>
    <w:rsid w:val="00183F23"/>
    <w:rsid w:val="00184AD6"/>
    <w:rsid w:val="00185F63"/>
    <w:rsid w:val="00190106"/>
    <w:rsid w:val="00194D72"/>
    <w:rsid w:val="00195050"/>
    <w:rsid w:val="001A3B48"/>
    <w:rsid w:val="001A4AF7"/>
    <w:rsid w:val="001A5F1F"/>
    <w:rsid w:val="001A6136"/>
    <w:rsid w:val="001B0349"/>
    <w:rsid w:val="001B1E93"/>
    <w:rsid w:val="001B2151"/>
    <w:rsid w:val="001B3623"/>
    <w:rsid w:val="001B4788"/>
    <w:rsid w:val="001B65C1"/>
    <w:rsid w:val="001C0FAB"/>
    <w:rsid w:val="001C15C1"/>
    <w:rsid w:val="001C58C3"/>
    <w:rsid w:val="001C684B"/>
    <w:rsid w:val="001C739D"/>
    <w:rsid w:val="001D0CFB"/>
    <w:rsid w:val="001D0DCB"/>
    <w:rsid w:val="001D1A62"/>
    <w:rsid w:val="001D21AF"/>
    <w:rsid w:val="001D4F44"/>
    <w:rsid w:val="001D53FC"/>
    <w:rsid w:val="001D58F1"/>
    <w:rsid w:val="001E230D"/>
    <w:rsid w:val="001E7462"/>
    <w:rsid w:val="001F42A5"/>
    <w:rsid w:val="001F5505"/>
    <w:rsid w:val="001F67A7"/>
    <w:rsid w:val="001F7B9D"/>
    <w:rsid w:val="00201C93"/>
    <w:rsid w:val="00203D83"/>
    <w:rsid w:val="0020456D"/>
    <w:rsid w:val="002050F0"/>
    <w:rsid w:val="002224B4"/>
    <w:rsid w:val="002244E6"/>
    <w:rsid w:val="002259CD"/>
    <w:rsid w:val="002274DB"/>
    <w:rsid w:val="0023436C"/>
    <w:rsid w:val="00234F4F"/>
    <w:rsid w:val="002350B7"/>
    <w:rsid w:val="002447A4"/>
    <w:rsid w:val="002447EF"/>
    <w:rsid w:val="00251550"/>
    <w:rsid w:val="00260132"/>
    <w:rsid w:val="00261E9B"/>
    <w:rsid w:val="00262C96"/>
    <w:rsid w:val="00262EB6"/>
    <w:rsid w:val="00263B05"/>
    <w:rsid w:val="002678D7"/>
    <w:rsid w:val="0027221A"/>
    <w:rsid w:val="00275B05"/>
    <w:rsid w:val="00275B61"/>
    <w:rsid w:val="00280EA9"/>
    <w:rsid w:val="00280FAF"/>
    <w:rsid w:val="00282656"/>
    <w:rsid w:val="002846A8"/>
    <w:rsid w:val="00293D39"/>
    <w:rsid w:val="002950F4"/>
    <w:rsid w:val="00296169"/>
    <w:rsid w:val="002966E9"/>
    <w:rsid w:val="00296B83"/>
    <w:rsid w:val="002A0915"/>
    <w:rsid w:val="002A0FF7"/>
    <w:rsid w:val="002A5DB5"/>
    <w:rsid w:val="002A78BE"/>
    <w:rsid w:val="002B156F"/>
    <w:rsid w:val="002B4015"/>
    <w:rsid w:val="002B78CE"/>
    <w:rsid w:val="002C2787"/>
    <w:rsid w:val="002C2ABA"/>
    <w:rsid w:val="002C2FB6"/>
    <w:rsid w:val="002C5866"/>
    <w:rsid w:val="002D1EAC"/>
    <w:rsid w:val="002D4F07"/>
    <w:rsid w:val="002D5DCB"/>
    <w:rsid w:val="002D6488"/>
    <w:rsid w:val="002E02E6"/>
    <w:rsid w:val="002E0961"/>
    <w:rsid w:val="002E18FD"/>
    <w:rsid w:val="002E5FA7"/>
    <w:rsid w:val="002E6203"/>
    <w:rsid w:val="002E7549"/>
    <w:rsid w:val="002F3309"/>
    <w:rsid w:val="002F3E73"/>
    <w:rsid w:val="002F6405"/>
    <w:rsid w:val="002F74F5"/>
    <w:rsid w:val="002F7E12"/>
    <w:rsid w:val="003008CE"/>
    <w:rsid w:val="003009B7"/>
    <w:rsid w:val="00300E56"/>
    <w:rsid w:val="00303B02"/>
    <w:rsid w:val="0030469C"/>
    <w:rsid w:val="00311119"/>
    <w:rsid w:val="00313D78"/>
    <w:rsid w:val="00320AD0"/>
    <w:rsid w:val="00321CA6"/>
    <w:rsid w:val="00323763"/>
    <w:rsid w:val="00323C5F"/>
    <w:rsid w:val="00334C09"/>
    <w:rsid w:val="00340679"/>
    <w:rsid w:val="0034255C"/>
    <w:rsid w:val="003514DC"/>
    <w:rsid w:val="00351DD3"/>
    <w:rsid w:val="00353A82"/>
    <w:rsid w:val="00355890"/>
    <w:rsid w:val="0036013A"/>
    <w:rsid w:val="0036213B"/>
    <w:rsid w:val="00364851"/>
    <w:rsid w:val="00365E1E"/>
    <w:rsid w:val="003723D4"/>
    <w:rsid w:val="00374CAA"/>
    <w:rsid w:val="00375695"/>
    <w:rsid w:val="00381905"/>
    <w:rsid w:val="00384CC8"/>
    <w:rsid w:val="003852C1"/>
    <w:rsid w:val="003858A1"/>
    <w:rsid w:val="003871FD"/>
    <w:rsid w:val="003916CA"/>
    <w:rsid w:val="00393726"/>
    <w:rsid w:val="00393A8D"/>
    <w:rsid w:val="003A0E10"/>
    <w:rsid w:val="003A1E30"/>
    <w:rsid w:val="003A223C"/>
    <w:rsid w:val="003A2829"/>
    <w:rsid w:val="003A7D1C"/>
    <w:rsid w:val="003B26DA"/>
    <w:rsid w:val="003B2AD6"/>
    <w:rsid w:val="003B304B"/>
    <w:rsid w:val="003B3146"/>
    <w:rsid w:val="003B6AEB"/>
    <w:rsid w:val="003B7C8A"/>
    <w:rsid w:val="003C095C"/>
    <w:rsid w:val="003D000E"/>
    <w:rsid w:val="003D2AAA"/>
    <w:rsid w:val="003D3A90"/>
    <w:rsid w:val="003D40BE"/>
    <w:rsid w:val="003D4721"/>
    <w:rsid w:val="003D4DF7"/>
    <w:rsid w:val="003E18AD"/>
    <w:rsid w:val="003E2603"/>
    <w:rsid w:val="003E39AB"/>
    <w:rsid w:val="003E695A"/>
    <w:rsid w:val="003F015E"/>
    <w:rsid w:val="003F0EF0"/>
    <w:rsid w:val="003F3D43"/>
    <w:rsid w:val="003F4973"/>
    <w:rsid w:val="003F5358"/>
    <w:rsid w:val="003F7298"/>
    <w:rsid w:val="00400414"/>
    <w:rsid w:val="0040196C"/>
    <w:rsid w:val="0040456E"/>
    <w:rsid w:val="004065F3"/>
    <w:rsid w:val="004108C4"/>
    <w:rsid w:val="0041446B"/>
    <w:rsid w:val="004157AD"/>
    <w:rsid w:val="00420229"/>
    <w:rsid w:val="0042155B"/>
    <w:rsid w:val="00421FB3"/>
    <w:rsid w:val="004267DE"/>
    <w:rsid w:val="00437C7D"/>
    <w:rsid w:val="0044071E"/>
    <w:rsid w:val="00440E18"/>
    <w:rsid w:val="0044138C"/>
    <w:rsid w:val="0044329C"/>
    <w:rsid w:val="00443879"/>
    <w:rsid w:val="004441D0"/>
    <w:rsid w:val="00445E91"/>
    <w:rsid w:val="00446DC0"/>
    <w:rsid w:val="00446E85"/>
    <w:rsid w:val="00453E24"/>
    <w:rsid w:val="00457041"/>
    <w:rsid w:val="00457456"/>
    <w:rsid w:val="004577FE"/>
    <w:rsid w:val="00457B9C"/>
    <w:rsid w:val="0046164A"/>
    <w:rsid w:val="004628D2"/>
    <w:rsid w:val="00462DCD"/>
    <w:rsid w:val="00462E6B"/>
    <w:rsid w:val="00462F82"/>
    <w:rsid w:val="004648AD"/>
    <w:rsid w:val="00464F2E"/>
    <w:rsid w:val="00465456"/>
    <w:rsid w:val="004703A9"/>
    <w:rsid w:val="004732EC"/>
    <w:rsid w:val="004749A2"/>
    <w:rsid w:val="004759BF"/>
    <w:rsid w:val="004760DE"/>
    <w:rsid w:val="00476375"/>
    <w:rsid w:val="004763D7"/>
    <w:rsid w:val="004849E3"/>
    <w:rsid w:val="0048520B"/>
    <w:rsid w:val="00486659"/>
    <w:rsid w:val="00486B22"/>
    <w:rsid w:val="004936D1"/>
    <w:rsid w:val="0049613C"/>
    <w:rsid w:val="004A004E"/>
    <w:rsid w:val="004A24CF"/>
    <w:rsid w:val="004A3C9B"/>
    <w:rsid w:val="004A4EED"/>
    <w:rsid w:val="004A7963"/>
    <w:rsid w:val="004B2D2E"/>
    <w:rsid w:val="004B7030"/>
    <w:rsid w:val="004C0506"/>
    <w:rsid w:val="004C2607"/>
    <w:rsid w:val="004C3C78"/>
    <w:rsid w:val="004C3D1D"/>
    <w:rsid w:val="004C3D84"/>
    <w:rsid w:val="004C584C"/>
    <w:rsid w:val="004C7913"/>
    <w:rsid w:val="004D1E3B"/>
    <w:rsid w:val="004D66AD"/>
    <w:rsid w:val="004D71D5"/>
    <w:rsid w:val="004D7DD6"/>
    <w:rsid w:val="004E39EE"/>
    <w:rsid w:val="004E4DD6"/>
    <w:rsid w:val="004F5E36"/>
    <w:rsid w:val="00503137"/>
    <w:rsid w:val="00507B47"/>
    <w:rsid w:val="00507BEF"/>
    <w:rsid w:val="00507CC9"/>
    <w:rsid w:val="00511962"/>
    <w:rsid w:val="005119A5"/>
    <w:rsid w:val="005131D9"/>
    <w:rsid w:val="00520DB7"/>
    <w:rsid w:val="00522A1E"/>
    <w:rsid w:val="005232EC"/>
    <w:rsid w:val="00524203"/>
    <w:rsid w:val="0052697F"/>
    <w:rsid w:val="00527083"/>
    <w:rsid w:val="005278B7"/>
    <w:rsid w:val="0053092F"/>
    <w:rsid w:val="00532016"/>
    <w:rsid w:val="00533948"/>
    <w:rsid w:val="005346C8"/>
    <w:rsid w:val="00534E0E"/>
    <w:rsid w:val="0053557C"/>
    <w:rsid w:val="00536A58"/>
    <w:rsid w:val="00542A72"/>
    <w:rsid w:val="00543E7D"/>
    <w:rsid w:val="00544888"/>
    <w:rsid w:val="0054722A"/>
    <w:rsid w:val="00547A68"/>
    <w:rsid w:val="005520FB"/>
    <w:rsid w:val="005531C9"/>
    <w:rsid w:val="0055522D"/>
    <w:rsid w:val="00556BD1"/>
    <w:rsid w:val="00557713"/>
    <w:rsid w:val="00560649"/>
    <w:rsid w:val="00565B32"/>
    <w:rsid w:val="00566C13"/>
    <w:rsid w:val="00567FDD"/>
    <w:rsid w:val="00570C43"/>
    <w:rsid w:val="00571E15"/>
    <w:rsid w:val="00575521"/>
    <w:rsid w:val="0057664D"/>
    <w:rsid w:val="0058148A"/>
    <w:rsid w:val="005846CF"/>
    <w:rsid w:val="00586F7F"/>
    <w:rsid w:val="005910B0"/>
    <w:rsid w:val="00591416"/>
    <w:rsid w:val="005915E2"/>
    <w:rsid w:val="00592AD5"/>
    <w:rsid w:val="005939BE"/>
    <w:rsid w:val="00595A74"/>
    <w:rsid w:val="005A15D2"/>
    <w:rsid w:val="005A15D6"/>
    <w:rsid w:val="005A1D43"/>
    <w:rsid w:val="005A33C1"/>
    <w:rsid w:val="005A639C"/>
    <w:rsid w:val="005A74FA"/>
    <w:rsid w:val="005B2110"/>
    <w:rsid w:val="005B487D"/>
    <w:rsid w:val="005B50C8"/>
    <w:rsid w:val="005B61E6"/>
    <w:rsid w:val="005B7FD2"/>
    <w:rsid w:val="005C06F0"/>
    <w:rsid w:val="005C168B"/>
    <w:rsid w:val="005C3778"/>
    <w:rsid w:val="005C4EFC"/>
    <w:rsid w:val="005C77E1"/>
    <w:rsid w:val="005C78DB"/>
    <w:rsid w:val="005D101D"/>
    <w:rsid w:val="005D24C5"/>
    <w:rsid w:val="005D577A"/>
    <w:rsid w:val="005D668A"/>
    <w:rsid w:val="005D6A2F"/>
    <w:rsid w:val="005D6E68"/>
    <w:rsid w:val="005D7E1D"/>
    <w:rsid w:val="005E1A82"/>
    <w:rsid w:val="005E3BE5"/>
    <w:rsid w:val="005E794C"/>
    <w:rsid w:val="005F01CC"/>
    <w:rsid w:val="005F0A28"/>
    <w:rsid w:val="005F0E5E"/>
    <w:rsid w:val="005F191F"/>
    <w:rsid w:val="005F1B6A"/>
    <w:rsid w:val="005F256D"/>
    <w:rsid w:val="005F273B"/>
    <w:rsid w:val="005F69EF"/>
    <w:rsid w:val="00600535"/>
    <w:rsid w:val="00605DA2"/>
    <w:rsid w:val="00606970"/>
    <w:rsid w:val="00607429"/>
    <w:rsid w:val="0061076B"/>
    <w:rsid w:val="00610CD6"/>
    <w:rsid w:val="00610CDF"/>
    <w:rsid w:val="00612B9E"/>
    <w:rsid w:val="006131C7"/>
    <w:rsid w:val="00615410"/>
    <w:rsid w:val="00615D13"/>
    <w:rsid w:val="0061602B"/>
    <w:rsid w:val="00617417"/>
    <w:rsid w:val="006207B4"/>
    <w:rsid w:val="00620DEE"/>
    <w:rsid w:val="00621F92"/>
    <w:rsid w:val="0062280A"/>
    <w:rsid w:val="00624C24"/>
    <w:rsid w:val="00625639"/>
    <w:rsid w:val="00631B33"/>
    <w:rsid w:val="006327E2"/>
    <w:rsid w:val="0064160E"/>
    <w:rsid w:val="0064184D"/>
    <w:rsid w:val="006422CC"/>
    <w:rsid w:val="00642E5C"/>
    <w:rsid w:val="00644482"/>
    <w:rsid w:val="006473E2"/>
    <w:rsid w:val="00650BD6"/>
    <w:rsid w:val="00650FA5"/>
    <w:rsid w:val="00651366"/>
    <w:rsid w:val="00651AE5"/>
    <w:rsid w:val="00656983"/>
    <w:rsid w:val="006573E6"/>
    <w:rsid w:val="006608B0"/>
    <w:rsid w:val="00660E3E"/>
    <w:rsid w:val="00661409"/>
    <w:rsid w:val="00662E74"/>
    <w:rsid w:val="00666007"/>
    <w:rsid w:val="00680C23"/>
    <w:rsid w:val="00680F8F"/>
    <w:rsid w:val="00683549"/>
    <w:rsid w:val="00685FD9"/>
    <w:rsid w:val="00686B68"/>
    <w:rsid w:val="00692148"/>
    <w:rsid w:val="00692280"/>
    <w:rsid w:val="00693766"/>
    <w:rsid w:val="00694B56"/>
    <w:rsid w:val="006A031C"/>
    <w:rsid w:val="006A1BA8"/>
    <w:rsid w:val="006A2C8A"/>
    <w:rsid w:val="006A3281"/>
    <w:rsid w:val="006A3332"/>
    <w:rsid w:val="006A39B3"/>
    <w:rsid w:val="006B32BC"/>
    <w:rsid w:val="006B3CEE"/>
    <w:rsid w:val="006B4888"/>
    <w:rsid w:val="006C0A21"/>
    <w:rsid w:val="006C20C6"/>
    <w:rsid w:val="006C2E45"/>
    <w:rsid w:val="006C359C"/>
    <w:rsid w:val="006C3E5A"/>
    <w:rsid w:val="006C4050"/>
    <w:rsid w:val="006C5579"/>
    <w:rsid w:val="006C78B8"/>
    <w:rsid w:val="006D0C09"/>
    <w:rsid w:val="006D195B"/>
    <w:rsid w:val="006D6E8B"/>
    <w:rsid w:val="006E2346"/>
    <w:rsid w:val="006E3CB7"/>
    <w:rsid w:val="006E69F3"/>
    <w:rsid w:val="006E737D"/>
    <w:rsid w:val="006F1A34"/>
    <w:rsid w:val="006F5F47"/>
    <w:rsid w:val="006F7F98"/>
    <w:rsid w:val="00705112"/>
    <w:rsid w:val="007115CC"/>
    <w:rsid w:val="00713973"/>
    <w:rsid w:val="007160DB"/>
    <w:rsid w:val="00720A24"/>
    <w:rsid w:val="00722108"/>
    <w:rsid w:val="00727961"/>
    <w:rsid w:val="00732386"/>
    <w:rsid w:val="0073514D"/>
    <w:rsid w:val="00735E17"/>
    <w:rsid w:val="00736B57"/>
    <w:rsid w:val="007447F3"/>
    <w:rsid w:val="00744828"/>
    <w:rsid w:val="00744C1A"/>
    <w:rsid w:val="00747430"/>
    <w:rsid w:val="00750658"/>
    <w:rsid w:val="0075431C"/>
    <w:rsid w:val="0075499F"/>
    <w:rsid w:val="00762698"/>
    <w:rsid w:val="00763D29"/>
    <w:rsid w:val="007661C8"/>
    <w:rsid w:val="007673A8"/>
    <w:rsid w:val="00767BFD"/>
    <w:rsid w:val="0077098D"/>
    <w:rsid w:val="00771427"/>
    <w:rsid w:val="007726B3"/>
    <w:rsid w:val="00774268"/>
    <w:rsid w:val="0077464A"/>
    <w:rsid w:val="007773EB"/>
    <w:rsid w:val="00781966"/>
    <w:rsid w:val="007828B3"/>
    <w:rsid w:val="007846C8"/>
    <w:rsid w:val="007854D1"/>
    <w:rsid w:val="0078688E"/>
    <w:rsid w:val="007931FA"/>
    <w:rsid w:val="007962A7"/>
    <w:rsid w:val="0079752F"/>
    <w:rsid w:val="007A070F"/>
    <w:rsid w:val="007A17DC"/>
    <w:rsid w:val="007A1948"/>
    <w:rsid w:val="007A25C5"/>
    <w:rsid w:val="007A391F"/>
    <w:rsid w:val="007A4861"/>
    <w:rsid w:val="007A7BBA"/>
    <w:rsid w:val="007B0C50"/>
    <w:rsid w:val="007B135D"/>
    <w:rsid w:val="007B48F9"/>
    <w:rsid w:val="007B5531"/>
    <w:rsid w:val="007B7A04"/>
    <w:rsid w:val="007C1A43"/>
    <w:rsid w:val="007C5C01"/>
    <w:rsid w:val="007D4B49"/>
    <w:rsid w:val="007E2A63"/>
    <w:rsid w:val="007E3DCD"/>
    <w:rsid w:val="007E5A67"/>
    <w:rsid w:val="007F3BC4"/>
    <w:rsid w:val="007F5630"/>
    <w:rsid w:val="007F7B27"/>
    <w:rsid w:val="007F7B44"/>
    <w:rsid w:val="0080013E"/>
    <w:rsid w:val="00800B8E"/>
    <w:rsid w:val="00805051"/>
    <w:rsid w:val="00813288"/>
    <w:rsid w:val="008157DA"/>
    <w:rsid w:val="00815D5E"/>
    <w:rsid w:val="008168FC"/>
    <w:rsid w:val="00816DD5"/>
    <w:rsid w:val="00816E38"/>
    <w:rsid w:val="00820B6A"/>
    <w:rsid w:val="008214FD"/>
    <w:rsid w:val="00827D24"/>
    <w:rsid w:val="00830996"/>
    <w:rsid w:val="008345F1"/>
    <w:rsid w:val="00835BD9"/>
    <w:rsid w:val="00841ACD"/>
    <w:rsid w:val="00842C76"/>
    <w:rsid w:val="00850233"/>
    <w:rsid w:val="00852D94"/>
    <w:rsid w:val="00865B07"/>
    <w:rsid w:val="008665B7"/>
    <w:rsid w:val="008667EA"/>
    <w:rsid w:val="008724AA"/>
    <w:rsid w:val="0087637F"/>
    <w:rsid w:val="008767F8"/>
    <w:rsid w:val="00876FBC"/>
    <w:rsid w:val="00880EE6"/>
    <w:rsid w:val="00881E07"/>
    <w:rsid w:val="008840C2"/>
    <w:rsid w:val="008870FA"/>
    <w:rsid w:val="00887DF2"/>
    <w:rsid w:val="00890030"/>
    <w:rsid w:val="00892AD5"/>
    <w:rsid w:val="0089357B"/>
    <w:rsid w:val="008969D4"/>
    <w:rsid w:val="00897198"/>
    <w:rsid w:val="008A1512"/>
    <w:rsid w:val="008A3DA4"/>
    <w:rsid w:val="008A5E88"/>
    <w:rsid w:val="008A67AA"/>
    <w:rsid w:val="008B205E"/>
    <w:rsid w:val="008B395F"/>
    <w:rsid w:val="008B4EF9"/>
    <w:rsid w:val="008C1EA5"/>
    <w:rsid w:val="008C1FF7"/>
    <w:rsid w:val="008C2F5A"/>
    <w:rsid w:val="008D32B9"/>
    <w:rsid w:val="008D433B"/>
    <w:rsid w:val="008D4481"/>
    <w:rsid w:val="008D4A16"/>
    <w:rsid w:val="008D51B2"/>
    <w:rsid w:val="008D5EE2"/>
    <w:rsid w:val="008E4DEA"/>
    <w:rsid w:val="008E566E"/>
    <w:rsid w:val="0090161A"/>
    <w:rsid w:val="00901EB6"/>
    <w:rsid w:val="00904C62"/>
    <w:rsid w:val="00910A2F"/>
    <w:rsid w:val="009205DC"/>
    <w:rsid w:val="00922BA8"/>
    <w:rsid w:val="00924DAC"/>
    <w:rsid w:val="00926883"/>
    <w:rsid w:val="00927058"/>
    <w:rsid w:val="00935C51"/>
    <w:rsid w:val="0093788F"/>
    <w:rsid w:val="0094022E"/>
    <w:rsid w:val="00942750"/>
    <w:rsid w:val="0094384F"/>
    <w:rsid w:val="009450CE"/>
    <w:rsid w:val="00947179"/>
    <w:rsid w:val="009475A1"/>
    <w:rsid w:val="0095164B"/>
    <w:rsid w:val="009517C6"/>
    <w:rsid w:val="009527AC"/>
    <w:rsid w:val="00954090"/>
    <w:rsid w:val="00954585"/>
    <w:rsid w:val="00956484"/>
    <w:rsid w:val="009573E7"/>
    <w:rsid w:val="00962536"/>
    <w:rsid w:val="00963E05"/>
    <w:rsid w:val="00964A45"/>
    <w:rsid w:val="009675E7"/>
    <w:rsid w:val="00967843"/>
    <w:rsid w:val="00967D54"/>
    <w:rsid w:val="00971028"/>
    <w:rsid w:val="009715AC"/>
    <w:rsid w:val="009738ED"/>
    <w:rsid w:val="0097794C"/>
    <w:rsid w:val="00980C07"/>
    <w:rsid w:val="009811DE"/>
    <w:rsid w:val="009821D9"/>
    <w:rsid w:val="00985C45"/>
    <w:rsid w:val="0098660F"/>
    <w:rsid w:val="009879AC"/>
    <w:rsid w:val="00993B84"/>
    <w:rsid w:val="0099467F"/>
    <w:rsid w:val="00996483"/>
    <w:rsid w:val="00996F5A"/>
    <w:rsid w:val="009A506F"/>
    <w:rsid w:val="009B041A"/>
    <w:rsid w:val="009B459D"/>
    <w:rsid w:val="009C37C3"/>
    <w:rsid w:val="009C7C86"/>
    <w:rsid w:val="009D2FF7"/>
    <w:rsid w:val="009E53F4"/>
    <w:rsid w:val="009E67E1"/>
    <w:rsid w:val="009E7884"/>
    <w:rsid w:val="009E788A"/>
    <w:rsid w:val="009F0865"/>
    <w:rsid w:val="009F0CC8"/>
    <w:rsid w:val="009F0E08"/>
    <w:rsid w:val="009F248A"/>
    <w:rsid w:val="009F2BFB"/>
    <w:rsid w:val="00A00AEC"/>
    <w:rsid w:val="00A05BDD"/>
    <w:rsid w:val="00A10317"/>
    <w:rsid w:val="00A14381"/>
    <w:rsid w:val="00A147A7"/>
    <w:rsid w:val="00A1763D"/>
    <w:rsid w:val="00A17CEC"/>
    <w:rsid w:val="00A22EBC"/>
    <w:rsid w:val="00A247E9"/>
    <w:rsid w:val="00A25148"/>
    <w:rsid w:val="00A265E0"/>
    <w:rsid w:val="00A27EF0"/>
    <w:rsid w:val="00A3495A"/>
    <w:rsid w:val="00A35D3A"/>
    <w:rsid w:val="00A42361"/>
    <w:rsid w:val="00A50B20"/>
    <w:rsid w:val="00A51390"/>
    <w:rsid w:val="00A51A02"/>
    <w:rsid w:val="00A55FCF"/>
    <w:rsid w:val="00A60D13"/>
    <w:rsid w:val="00A61857"/>
    <w:rsid w:val="00A63886"/>
    <w:rsid w:val="00A6397E"/>
    <w:rsid w:val="00A721DA"/>
    <w:rsid w:val="00A7223D"/>
    <w:rsid w:val="00A72745"/>
    <w:rsid w:val="00A73317"/>
    <w:rsid w:val="00A74B39"/>
    <w:rsid w:val="00A76298"/>
    <w:rsid w:val="00A76EFC"/>
    <w:rsid w:val="00A838A7"/>
    <w:rsid w:val="00A8770B"/>
    <w:rsid w:val="00A91010"/>
    <w:rsid w:val="00A922FF"/>
    <w:rsid w:val="00A95F41"/>
    <w:rsid w:val="00A96A28"/>
    <w:rsid w:val="00A97F29"/>
    <w:rsid w:val="00AA3A7C"/>
    <w:rsid w:val="00AA63B9"/>
    <w:rsid w:val="00AA694B"/>
    <w:rsid w:val="00AA702E"/>
    <w:rsid w:val="00AA7D19"/>
    <w:rsid w:val="00AB0964"/>
    <w:rsid w:val="00AB15AB"/>
    <w:rsid w:val="00AB5011"/>
    <w:rsid w:val="00AC2FB0"/>
    <w:rsid w:val="00AC50EC"/>
    <w:rsid w:val="00AC6FE3"/>
    <w:rsid w:val="00AC7368"/>
    <w:rsid w:val="00AD089E"/>
    <w:rsid w:val="00AD16B9"/>
    <w:rsid w:val="00AD79F6"/>
    <w:rsid w:val="00AE0A58"/>
    <w:rsid w:val="00AE377D"/>
    <w:rsid w:val="00AE6B13"/>
    <w:rsid w:val="00AF0EBA"/>
    <w:rsid w:val="00AF374E"/>
    <w:rsid w:val="00AF5158"/>
    <w:rsid w:val="00B01B90"/>
    <w:rsid w:val="00B02C8A"/>
    <w:rsid w:val="00B060DB"/>
    <w:rsid w:val="00B06CFC"/>
    <w:rsid w:val="00B07F51"/>
    <w:rsid w:val="00B14EE2"/>
    <w:rsid w:val="00B17FBD"/>
    <w:rsid w:val="00B207D2"/>
    <w:rsid w:val="00B30BE4"/>
    <w:rsid w:val="00B315A6"/>
    <w:rsid w:val="00B31813"/>
    <w:rsid w:val="00B32413"/>
    <w:rsid w:val="00B32E5F"/>
    <w:rsid w:val="00B33365"/>
    <w:rsid w:val="00B33EC1"/>
    <w:rsid w:val="00B364A3"/>
    <w:rsid w:val="00B36C23"/>
    <w:rsid w:val="00B40E15"/>
    <w:rsid w:val="00B40F20"/>
    <w:rsid w:val="00B41485"/>
    <w:rsid w:val="00B54ECA"/>
    <w:rsid w:val="00B5587F"/>
    <w:rsid w:val="00B57B36"/>
    <w:rsid w:val="00B57E6F"/>
    <w:rsid w:val="00B60638"/>
    <w:rsid w:val="00B61C5A"/>
    <w:rsid w:val="00B62920"/>
    <w:rsid w:val="00B6369C"/>
    <w:rsid w:val="00B645C7"/>
    <w:rsid w:val="00B656A6"/>
    <w:rsid w:val="00B6751A"/>
    <w:rsid w:val="00B678F9"/>
    <w:rsid w:val="00B70994"/>
    <w:rsid w:val="00B72178"/>
    <w:rsid w:val="00B75DAF"/>
    <w:rsid w:val="00B82149"/>
    <w:rsid w:val="00B858E5"/>
    <w:rsid w:val="00B8686D"/>
    <w:rsid w:val="00B86C92"/>
    <w:rsid w:val="00B93F69"/>
    <w:rsid w:val="00BA23AF"/>
    <w:rsid w:val="00BA4337"/>
    <w:rsid w:val="00BA4817"/>
    <w:rsid w:val="00BA4D3E"/>
    <w:rsid w:val="00BA6957"/>
    <w:rsid w:val="00BB1DDC"/>
    <w:rsid w:val="00BC0039"/>
    <w:rsid w:val="00BC2D47"/>
    <w:rsid w:val="00BC30C9"/>
    <w:rsid w:val="00BC7B42"/>
    <w:rsid w:val="00BD077D"/>
    <w:rsid w:val="00BD1B08"/>
    <w:rsid w:val="00BD2FE3"/>
    <w:rsid w:val="00BE1757"/>
    <w:rsid w:val="00BE3E58"/>
    <w:rsid w:val="00BE758E"/>
    <w:rsid w:val="00BE7A20"/>
    <w:rsid w:val="00BF1CA1"/>
    <w:rsid w:val="00BF23F8"/>
    <w:rsid w:val="00BF7510"/>
    <w:rsid w:val="00C01616"/>
    <w:rsid w:val="00C0162B"/>
    <w:rsid w:val="00C068ED"/>
    <w:rsid w:val="00C13485"/>
    <w:rsid w:val="00C135D2"/>
    <w:rsid w:val="00C207B0"/>
    <w:rsid w:val="00C208DE"/>
    <w:rsid w:val="00C22E0C"/>
    <w:rsid w:val="00C24C63"/>
    <w:rsid w:val="00C253EE"/>
    <w:rsid w:val="00C345B1"/>
    <w:rsid w:val="00C40142"/>
    <w:rsid w:val="00C408E1"/>
    <w:rsid w:val="00C431CB"/>
    <w:rsid w:val="00C45698"/>
    <w:rsid w:val="00C46079"/>
    <w:rsid w:val="00C47DB1"/>
    <w:rsid w:val="00C52C3C"/>
    <w:rsid w:val="00C535FB"/>
    <w:rsid w:val="00C57182"/>
    <w:rsid w:val="00C57863"/>
    <w:rsid w:val="00C640AF"/>
    <w:rsid w:val="00C64133"/>
    <w:rsid w:val="00C655FD"/>
    <w:rsid w:val="00C707A7"/>
    <w:rsid w:val="00C74C2B"/>
    <w:rsid w:val="00C74C6A"/>
    <w:rsid w:val="00C75407"/>
    <w:rsid w:val="00C76181"/>
    <w:rsid w:val="00C870A8"/>
    <w:rsid w:val="00C90FDB"/>
    <w:rsid w:val="00C910F1"/>
    <w:rsid w:val="00C91747"/>
    <w:rsid w:val="00C93EBE"/>
    <w:rsid w:val="00C94434"/>
    <w:rsid w:val="00CA0D75"/>
    <w:rsid w:val="00CA1C95"/>
    <w:rsid w:val="00CA3DD9"/>
    <w:rsid w:val="00CA5A9C"/>
    <w:rsid w:val="00CB202B"/>
    <w:rsid w:val="00CB45E3"/>
    <w:rsid w:val="00CC0647"/>
    <w:rsid w:val="00CC1CA6"/>
    <w:rsid w:val="00CC1D1E"/>
    <w:rsid w:val="00CC34A0"/>
    <w:rsid w:val="00CC4428"/>
    <w:rsid w:val="00CC49D9"/>
    <w:rsid w:val="00CC4C20"/>
    <w:rsid w:val="00CC7700"/>
    <w:rsid w:val="00CD3517"/>
    <w:rsid w:val="00CD5FE2"/>
    <w:rsid w:val="00CE0523"/>
    <w:rsid w:val="00CE3ED1"/>
    <w:rsid w:val="00CE655A"/>
    <w:rsid w:val="00CE7C68"/>
    <w:rsid w:val="00CF489A"/>
    <w:rsid w:val="00CF4932"/>
    <w:rsid w:val="00CF704D"/>
    <w:rsid w:val="00D01AE6"/>
    <w:rsid w:val="00D028A4"/>
    <w:rsid w:val="00D02B4C"/>
    <w:rsid w:val="00D040C4"/>
    <w:rsid w:val="00D05BB8"/>
    <w:rsid w:val="00D102F8"/>
    <w:rsid w:val="00D10873"/>
    <w:rsid w:val="00D20AD1"/>
    <w:rsid w:val="00D22113"/>
    <w:rsid w:val="00D22D8E"/>
    <w:rsid w:val="00D250C4"/>
    <w:rsid w:val="00D33BB1"/>
    <w:rsid w:val="00D3555D"/>
    <w:rsid w:val="00D3573E"/>
    <w:rsid w:val="00D41AFC"/>
    <w:rsid w:val="00D45E6A"/>
    <w:rsid w:val="00D4632E"/>
    <w:rsid w:val="00D46B7E"/>
    <w:rsid w:val="00D5161F"/>
    <w:rsid w:val="00D5369F"/>
    <w:rsid w:val="00D57C84"/>
    <w:rsid w:val="00D6057D"/>
    <w:rsid w:val="00D60947"/>
    <w:rsid w:val="00D61E0D"/>
    <w:rsid w:val="00D64A64"/>
    <w:rsid w:val="00D661A7"/>
    <w:rsid w:val="00D662F7"/>
    <w:rsid w:val="00D71545"/>
    <w:rsid w:val="00D71640"/>
    <w:rsid w:val="00D71E84"/>
    <w:rsid w:val="00D80694"/>
    <w:rsid w:val="00D836C5"/>
    <w:rsid w:val="00D84576"/>
    <w:rsid w:val="00D920D0"/>
    <w:rsid w:val="00D9224C"/>
    <w:rsid w:val="00DA0C05"/>
    <w:rsid w:val="00DA1399"/>
    <w:rsid w:val="00DA2328"/>
    <w:rsid w:val="00DA24C6"/>
    <w:rsid w:val="00DA4D7B"/>
    <w:rsid w:val="00DA7997"/>
    <w:rsid w:val="00DB1D1C"/>
    <w:rsid w:val="00DB1DF7"/>
    <w:rsid w:val="00DB2691"/>
    <w:rsid w:val="00DB2F6D"/>
    <w:rsid w:val="00DC73BB"/>
    <w:rsid w:val="00DD1391"/>
    <w:rsid w:val="00DD271C"/>
    <w:rsid w:val="00DD5E64"/>
    <w:rsid w:val="00DD7C3F"/>
    <w:rsid w:val="00DE264A"/>
    <w:rsid w:val="00DE447D"/>
    <w:rsid w:val="00DE7188"/>
    <w:rsid w:val="00DF06CF"/>
    <w:rsid w:val="00DF3344"/>
    <w:rsid w:val="00DF5072"/>
    <w:rsid w:val="00E00E3B"/>
    <w:rsid w:val="00E02D18"/>
    <w:rsid w:val="00E02F35"/>
    <w:rsid w:val="00E041E7"/>
    <w:rsid w:val="00E042D1"/>
    <w:rsid w:val="00E10D33"/>
    <w:rsid w:val="00E13BAD"/>
    <w:rsid w:val="00E151E2"/>
    <w:rsid w:val="00E23CA1"/>
    <w:rsid w:val="00E27F2B"/>
    <w:rsid w:val="00E31B59"/>
    <w:rsid w:val="00E32203"/>
    <w:rsid w:val="00E35149"/>
    <w:rsid w:val="00E36573"/>
    <w:rsid w:val="00E409A8"/>
    <w:rsid w:val="00E41D0D"/>
    <w:rsid w:val="00E4374E"/>
    <w:rsid w:val="00E43F1B"/>
    <w:rsid w:val="00E47B96"/>
    <w:rsid w:val="00E50C12"/>
    <w:rsid w:val="00E6045B"/>
    <w:rsid w:val="00E65B91"/>
    <w:rsid w:val="00E65C02"/>
    <w:rsid w:val="00E667B9"/>
    <w:rsid w:val="00E67267"/>
    <w:rsid w:val="00E7209D"/>
    <w:rsid w:val="00E72EAD"/>
    <w:rsid w:val="00E732DB"/>
    <w:rsid w:val="00E77223"/>
    <w:rsid w:val="00E81B73"/>
    <w:rsid w:val="00E81DDC"/>
    <w:rsid w:val="00E821FF"/>
    <w:rsid w:val="00E826EC"/>
    <w:rsid w:val="00E8528B"/>
    <w:rsid w:val="00E85B94"/>
    <w:rsid w:val="00E85F22"/>
    <w:rsid w:val="00E935FF"/>
    <w:rsid w:val="00E94460"/>
    <w:rsid w:val="00E978D0"/>
    <w:rsid w:val="00EA0F02"/>
    <w:rsid w:val="00EA181E"/>
    <w:rsid w:val="00EA4613"/>
    <w:rsid w:val="00EA56E6"/>
    <w:rsid w:val="00EA645B"/>
    <w:rsid w:val="00EA6FA3"/>
    <w:rsid w:val="00EA7F82"/>
    <w:rsid w:val="00EA7F91"/>
    <w:rsid w:val="00EB1523"/>
    <w:rsid w:val="00EB1C8E"/>
    <w:rsid w:val="00EB2269"/>
    <w:rsid w:val="00EB3F07"/>
    <w:rsid w:val="00EB6A7E"/>
    <w:rsid w:val="00EB6B2E"/>
    <w:rsid w:val="00EC0E49"/>
    <w:rsid w:val="00EC101F"/>
    <w:rsid w:val="00EC1D9F"/>
    <w:rsid w:val="00EC4A13"/>
    <w:rsid w:val="00EC5C9B"/>
    <w:rsid w:val="00ED68E9"/>
    <w:rsid w:val="00EE0131"/>
    <w:rsid w:val="00EE0C61"/>
    <w:rsid w:val="00EE17B0"/>
    <w:rsid w:val="00EE26BA"/>
    <w:rsid w:val="00EE5067"/>
    <w:rsid w:val="00EE7E80"/>
    <w:rsid w:val="00EF06D9"/>
    <w:rsid w:val="00EF4B43"/>
    <w:rsid w:val="00F010FC"/>
    <w:rsid w:val="00F0602B"/>
    <w:rsid w:val="00F0764E"/>
    <w:rsid w:val="00F11359"/>
    <w:rsid w:val="00F141EB"/>
    <w:rsid w:val="00F22950"/>
    <w:rsid w:val="00F23E19"/>
    <w:rsid w:val="00F25193"/>
    <w:rsid w:val="00F260B9"/>
    <w:rsid w:val="00F27A32"/>
    <w:rsid w:val="00F30C64"/>
    <w:rsid w:val="00F32BA2"/>
    <w:rsid w:val="00F32CDB"/>
    <w:rsid w:val="00F344E5"/>
    <w:rsid w:val="00F35D20"/>
    <w:rsid w:val="00F4024D"/>
    <w:rsid w:val="00F467FD"/>
    <w:rsid w:val="00F50851"/>
    <w:rsid w:val="00F509A7"/>
    <w:rsid w:val="00F565FE"/>
    <w:rsid w:val="00F57422"/>
    <w:rsid w:val="00F63A70"/>
    <w:rsid w:val="00F63D8C"/>
    <w:rsid w:val="00F72490"/>
    <w:rsid w:val="00F73E9B"/>
    <w:rsid w:val="00F7534E"/>
    <w:rsid w:val="00F77834"/>
    <w:rsid w:val="00F86C71"/>
    <w:rsid w:val="00F86CF5"/>
    <w:rsid w:val="00F90937"/>
    <w:rsid w:val="00F90CA8"/>
    <w:rsid w:val="00F9612F"/>
    <w:rsid w:val="00FA136B"/>
    <w:rsid w:val="00FA1802"/>
    <w:rsid w:val="00FA21D0"/>
    <w:rsid w:val="00FA268D"/>
    <w:rsid w:val="00FA5033"/>
    <w:rsid w:val="00FA5F5F"/>
    <w:rsid w:val="00FA7556"/>
    <w:rsid w:val="00FB2810"/>
    <w:rsid w:val="00FB2D3E"/>
    <w:rsid w:val="00FB730C"/>
    <w:rsid w:val="00FC25FE"/>
    <w:rsid w:val="00FC2695"/>
    <w:rsid w:val="00FC32D8"/>
    <w:rsid w:val="00FC3E03"/>
    <w:rsid w:val="00FC3FC1"/>
    <w:rsid w:val="00FD2A3A"/>
    <w:rsid w:val="00FD4B61"/>
    <w:rsid w:val="00FD70F4"/>
    <w:rsid w:val="00FE786E"/>
    <w:rsid w:val="00FF294B"/>
    <w:rsid w:val="00FF2B08"/>
    <w:rsid w:val="00FF374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280FAF"/>
    <w:pPr>
      <w:ind w:left="720"/>
      <w:contextualSpacing/>
    </w:pPr>
  </w:style>
  <w:style w:type="character" w:customStyle="1" w:styleId="UnresolvedMention1">
    <w:name w:val="Unresolved Mention1"/>
    <w:basedOn w:val="DefaultParagraphFont"/>
    <w:uiPriority w:val="99"/>
    <w:semiHidden/>
    <w:unhideWhenUsed/>
    <w:rsid w:val="00DA2328"/>
    <w:rPr>
      <w:color w:val="605E5C"/>
      <w:shd w:val="clear" w:color="auto" w:fill="E1DFDD"/>
    </w:rPr>
  </w:style>
  <w:style w:type="character" w:styleId="PlaceholderText">
    <w:name w:val="Placeholder Text"/>
    <w:basedOn w:val="DefaultParagraphFont"/>
    <w:uiPriority w:val="99"/>
    <w:semiHidden/>
    <w:rsid w:val="00C910F1"/>
    <w:rPr>
      <w:color w:val="808080"/>
    </w:rPr>
  </w:style>
  <w:style w:type="character" w:styleId="LineNumber">
    <w:name w:val="line number"/>
    <w:basedOn w:val="DefaultParagraphFont"/>
    <w:uiPriority w:val="99"/>
    <w:semiHidden/>
    <w:unhideWhenUsed/>
    <w:rsid w:val="00AD79F6"/>
  </w:style>
  <w:style w:type="paragraph" w:styleId="Revision">
    <w:name w:val="Revision"/>
    <w:hidden/>
    <w:uiPriority w:val="99"/>
    <w:semiHidden/>
    <w:rsid w:val="009811DE"/>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9147">
      <w:bodyDiv w:val="1"/>
      <w:marLeft w:val="0"/>
      <w:marRight w:val="0"/>
      <w:marTop w:val="0"/>
      <w:marBottom w:val="0"/>
      <w:divBdr>
        <w:top w:val="none" w:sz="0" w:space="0" w:color="auto"/>
        <w:left w:val="none" w:sz="0" w:space="0" w:color="auto"/>
        <w:bottom w:val="none" w:sz="0" w:space="0" w:color="auto"/>
        <w:right w:val="none" w:sz="0" w:space="0" w:color="auto"/>
      </w:divBdr>
    </w:div>
    <w:div w:id="136067310">
      <w:bodyDiv w:val="1"/>
      <w:marLeft w:val="0"/>
      <w:marRight w:val="0"/>
      <w:marTop w:val="0"/>
      <w:marBottom w:val="0"/>
      <w:divBdr>
        <w:top w:val="none" w:sz="0" w:space="0" w:color="auto"/>
        <w:left w:val="none" w:sz="0" w:space="0" w:color="auto"/>
        <w:bottom w:val="none" w:sz="0" w:space="0" w:color="auto"/>
        <w:right w:val="none" w:sz="0" w:space="0" w:color="auto"/>
      </w:divBdr>
    </w:div>
    <w:div w:id="200016980">
      <w:bodyDiv w:val="1"/>
      <w:marLeft w:val="0"/>
      <w:marRight w:val="0"/>
      <w:marTop w:val="0"/>
      <w:marBottom w:val="0"/>
      <w:divBdr>
        <w:top w:val="none" w:sz="0" w:space="0" w:color="auto"/>
        <w:left w:val="none" w:sz="0" w:space="0" w:color="auto"/>
        <w:bottom w:val="none" w:sz="0" w:space="0" w:color="auto"/>
        <w:right w:val="none" w:sz="0" w:space="0" w:color="auto"/>
      </w:divBdr>
    </w:div>
    <w:div w:id="68197303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380932">
      <w:bodyDiv w:val="1"/>
      <w:marLeft w:val="0"/>
      <w:marRight w:val="0"/>
      <w:marTop w:val="0"/>
      <w:marBottom w:val="0"/>
      <w:divBdr>
        <w:top w:val="none" w:sz="0" w:space="0" w:color="auto"/>
        <w:left w:val="none" w:sz="0" w:space="0" w:color="auto"/>
        <w:bottom w:val="none" w:sz="0" w:space="0" w:color="auto"/>
        <w:right w:val="none" w:sz="0" w:space="0" w:color="auto"/>
      </w:divBdr>
    </w:div>
    <w:div w:id="932317703">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https://uvaes-my.sharepoint.com/personal/javier_gonzalezm_uva_es/Documents/Art&#237;culos%20BRs/BRs%20ARLITA/BRs%20arlita%20data%20treatment.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https://uvaes-my.sharepoint.com/personal/javier_gonzalezm_uva_es/Documents/Art&#237;culos%20BRs/BRs%20ARLITA/BRs%20arlita%20data%20treatment.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https://uvaes-my.sharepoint.com/personal/javier_gonzalezm_uva_es/Documents/Art&#237;culos%20BRs/BRs%20ARLITA/BRs%20arlita%20data%20treatm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540789226973439"/>
          <c:y val="3.9481944444444445E-2"/>
          <c:w val="0.82697304263198679"/>
          <c:h val="0.83167546296296291"/>
        </c:manualLayout>
      </c:layout>
      <c:barChart>
        <c:barDir val="col"/>
        <c:grouping val="clustered"/>
        <c:varyColors val="0"/>
        <c:ser>
          <c:idx val="1"/>
          <c:order val="0"/>
          <c:tx>
            <c:strRef>
              <c:f>'figuras paper'!$S$46</c:f>
              <c:strCache>
                <c:ptCount val="1"/>
                <c:pt idx="0">
                  <c:v>BR 1</c:v>
                </c:pt>
              </c:strCache>
            </c:strRef>
          </c:tx>
          <c:spPr>
            <a:pattFill prst="trellis">
              <a:fgClr>
                <a:schemeClr val="accent6"/>
              </a:fgClr>
              <a:bgClr>
                <a:schemeClr val="bg1"/>
              </a:bgClr>
            </a:pattFill>
            <a:ln>
              <a:solidFill>
                <a:schemeClr val="accent6">
                  <a:lumMod val="50000"/>
                </a:schemeClr>
              </a:solidFill>
            </a:ln>
            <a:effectLst/>
          </c:spPr>
          <c:invertIfNegative val="0"/>
          <c:errBars>
            <c:errBarType val="both"/>
            <c:errValType val="cust"/>
            <c:noEndCap val="0"/>
            <c:plus>
              <c:numRef>
                <c:f>'figuras paper'!$T$60:$T$67</c:f>
                <c:numCache>
                  <c:formatCode>General</c:formatCode>
                  <c:ptCount val="8"/>
                  <c:pt idx="0">
                    <c:v>3.7689316962673802E-2</c:v>
                  </c:pt>
                  <c:pt idx="1">
                    <c:v>1.334015366795391E-2</c:v>
                  </c:pt>
                  <c:pt idx="2">
                    <c:v>2.9999349494541413E-2</c:v>
                  </c:pt>
                  <c:pt idx="3">
                    <c:v>0.1120689423578921</c:v>
                  </c:pt>
                  <c:pt idx="4">
                    <c:v>5.9310389100122908E-2</c:v>
                  </c:pt>
                  <c:pt idx="5">
                    <c:v>2.7085661815679712E-2</c:v>
                  </c:pt>
                  <c:pt idx="6">
                    <c:v>2.1006941274597339E-2</c:v>
                  </c:pt>
                  <c:pt idx="7">
                    <c:v>6.4386435167268621E-2</c:v>
                  </c:pt>
                </c:numCache>
              </c:numRef>
            </c:plus>
            <c:minus>
              <c:numRef>
                <c:f>'figuras paper'!$T$60:$T$67</c:f>
                <c:numCache>
                  <c:formatCode>General</c:formatCode>
                  <c:ptCount val="8"/>
                  <c:pt idx="0">
                    <c:v>3.7689316962673802E-2</c:v>
                  </c:pt>
                  <c:pt idx="1">
                    <c:v>1.334015366795391E-2</c:v>
                  </c:pt>
                  <c:pt idx="2">
                    <c:v>2.9999349494541413E-2</c:v>
                  </c:pt>
                  <c:pt idx="3">
                    <c:v>0.1120689423578921</c:v>
                  </c:pt>
                  <c:pt idx="4">
                    <c:v>5.9310389100122908E-2</c:v>
                  </c:pt>
                  <c:pt idx="5">
                    <c:v>2.7085661815679712E-2</c:v>
                  </c:pt>
                  <c:pt idx="6">
                    <c:v>2.1006941274597339E-2</c:v>
                  </c:pt>
                  <c:pt idx="7">
                    <c:v>6.4386435167268621E-2</c:v>
                  </c:pt>
                </c:numCache>
              </c:numRef>
            </c:minus>
            <c:spPr>
              <a:noFill/>
              <a:ln w="9525" cap="flat" cmpd="sng" algn="ctr">
                <a:solidFill>
                  <a:schemeClr val="tx1">
                    <a:lumMod val="65000"/>
                    <a:lumOff val="35000"/>
                  </a:schemeClr>
                </a:solidFill>
                <a:round/>
              </a:ln>
              <a:effectLst/>
            </c:spPr>
          </c:errBars>
          <c:val>
            <c:numRef>
              <c:f>'figuras paper'!$T$48:$T$55</c:f>
              <c:numCache>
                <c:formatCode>0.0%</c:formatCode>
                <c:ptCount val="8"/>
                <c:pt idx="0">
                  <c:v>0.92133144928103616</c:v>
                </c:pt>
                <c:pt idx="1">
                  <c:v>0.93716745018861047</c:v>
                </c:pt>
                <c:pt idx="2">
                  <c:v>0.91269772617022915</c:v>
                </c:pt>
                <c:pt idx="3">
                  <c:v>0.41483267549945357</c:v>
                </c:pt>
                <c:pt idx="4">
                  <c:v>0.76348718712808628</c:v>
                </c:pt>
                <c:pt idx="5">
                  <c:v>0.87086128248300132</c:v>
                </c:pt>
                <c:pt idx="6">
                  <c:v>0.85377964265403772</c:v>
                </c:pt>
                <c:pt idx="7">
                  <c:v>0.70838735761869476</c:v>
                </c:pt>
              </c:numCache>
            </c:numRef>
          </c:val>
          <c:extLst>
            <c:ext xmlns:c16="http://schemas.microsoft.com/office/drawing/2014/chart" uri="{C3380CC4-5D6E-409C-BE32-E72D297353CC}">
              <c16:uniqueId val="{00000000-5518-49EB-A6B0-F696A91284AE}"/>
            </c:ext>
          </c:extLst>
        </c:ser>
        <c:ser>
          <c:idx val="2"/>
          <c:order val="1"/>
          <c:tx>
            <c:strRef>
              <c:f>'figuras paper'!$V$46</c:f>
              <c:strCache>
                <c:ptCount val="1"/>
                <c:pt idx="0">
                  <c:v>BR 2</c:v>
                </c:pt>
              </c:strCache>
            </c:strRef>
          </c:tx>
          <c:spPr>
            <a:pattFill prst="dkDnDiag">
              <a:fgClr>
                <a:schemeClr val="accent1"/>
              </a:fgClr>
              <a:bgClr>
                <a:schemeClr val="bg1"/>
              </a:bgClr>
            </a:pattFill>
            <a:ln>
              <a:solidFill>
                <a:schemeClr val="accent5">
                  <a:lumMod val="50000"/>
                </a:schemeClr>
              </a:solidFill>
            </a:ln>
            <a:effectLst/>
          </c:spPr>
          <c:invertIfNegative val="0"/>
          <c:errBars>
            <c:errBarType val="both"/>
            <c:errValType val="cust"/>
            <c:noEndCap val="0"/>
            <c:plus>
              <c:numRef>
                <c:f>'figuras paper'!$W$60:$W$67</c:f>
                <c:numCache>
                  <c:formatCode>General</c:formatCode>
                  <c:ptCount val="8"/>
                  <c:pt idx="0">
                    <c:v>4.609799965666958E-2</c:v>
                  </c:pt>
                  <c:pt idx="1">
                    <c:v>1.6756751218652329E-2</c:v>
                  </c:pt>
                  <c:pt idx="2">
                    <c:v>2.7563630012779186E-2</c:v>
                  </c:pt>
                  <c:pt idx="3">
                    <c:v>5.3819011368742557E-2</c:v>
                  </c:pt>
                  <c:pt idx="4">
                    <c:v>9.8859530308017821E-2</c:v>
                  </c:pt>
                  <c:pt idx="5">
                    <c:v>2.7072788141608479E-2</c:v>
                  </c:pt>
                  <c:pt idx="6">
                    <c:v>3.9651277859081131E-2</c:v>
                  </c:pt>
                  <c:pt idx="7">
                    <c:v>0.12704014951042225</c:v>
                  </c:pt>
                </c:numCache>
              </c:numRef>
            </c:plus>
            <c:minus>
              <c:numRef>
                <c:f>'figuras paper'!$W$60:$W$67</c:f>
                <c:numCache>
                  <c:formatCode>General</c:formatCode>
                  <c:ptCount val="8"/>
                  <c:pt idx="0">
                    <c:v>4.609799965666958E-2</c:v>
                  </c:pt>
                  <c:pt idx="1">
                    <c:v>1.6756751218652329E-2</c:v>
                  </c:pt>
                  <c:pt idx="2">
                    <c:v>2.7563630012779186E-2</c:v>
                  </c:pt>
                  <c:pt idx="3">
                    <c:v>5.3819011368742557E-2</c:v>
                  </c:pt>
                  <c:pt idx="4">
                    <c:v>9.8859530308017821E-2</c:v>
                  </c:pt>
                  <c:pt idx="5">
                    <c:v>2.7072788141608479E-2</c:v>
                  </c:pt>
                  <c:pt idx="6">
                    <c:v>3.9651277859081131E-2</c:v>
                  </c:pt>
                  <c:pt idx="7">
                    <c:v>0.12704014951042225</c:v>
                  </c:pt>
                </c:numCache>
              </c:numRef>
            </c:minus>
            <c:spPr>
              <a:noFill/>
              <a:ln w="9525" cap="flat" cmpd="sng" algn="ctr">
                <a:solidFill>
                  <a:schemeClr val="tx1">
                    <a:lumMod val="65000"/>
                    <a:lumOff val="35000"/>
                  </a:schemeClr>
                </a:solidFill>
                <a:round/>
              </a:ln>
              <a:effectLst/>
            </c:spPr>
          </c:errBars>
          <c:val>
            <c:numRef>
              <c:f>'figuras paper'!$W$48:$W$55</c:f>
              <c:numCache>
                <c:formatCode>0.0%</c:formatCode>
                <c:ptCount val="8"/>
                <c:pt idx="0">
                  <c:v>0.90055468467674349</c:v>
                </c:pt>
                <c:pt idx="1">
                  <c:v>0.92624046610162969</c:v>
                </c:pt>
                <c:pt idx="2">
                  <c:v>0.90262217087802166</c:v>
                </c:pt>
                <c:pt idx="3">
                  <c:v>0.44295482343847764</c:v>
                </c:pt>
                <c:pt idx="4">
                  <c:v>0.7399088180852964</c:v>
                </c:pt>
                <c:pt idx="5">
                  <c:v>0.86494726324409599</c:v>
                </c:pt>
                <c:pt idx="6">
                  <c:v>0.79011620850593733</c:v>
                </c:pt>
                <c:pt idx="7">
                  <c:v>0.62034398980085415</c:v>
                </c:pt>
              </c:numCache>
            </c:numRef>
          </c:val>
          <c:extLst>
            <c:ext xmlns:c16="http://schemas.microsoft.com/office/drawing/2014/chart" uri="{C3380CC4-5D6E-409C-BE32-E72D297353CC}">
              <c16:uniqueId val="{00000001-5518-49EB-A6B0-F696A91284AE}"/>
            </c:ext>
          </c:extLst>
        </c:ser>
        <c:ser>
          <c:idx val="3"/>
          <c:order val="2"/>
          <c:tx>
            <c:strRef>
              <c:f>'figuras paper'!$Y$46</c:f>
              <c:strCache>
                <c:ptCount val="1"/>
                <c:pt idx="0">
                  <c:v>BR 3</c:v>
                </c:pt>
              </c:strCache>
            </c:strRef>
          </c:tx>
          <c:spPr>
            <a:pattFill prst="sphere">
              <a:fgClr>
                <a:schemeClr val="accent4"/>
              </a:fgClr>
              <a:bgClr>
                <a:schemeClr val="bg1"/>
              </a:bgClr>
            </a:pattFill>
            <a:ln>
              <a:solidFill>
                <a:schemeClr val="accent4">
                  <a:lumMod val="50000"/>
                </a:schemeClr>
              </a:solidFill>
            </a:ln>
            <a:effectLst/>
          </c:spPr>
          <c:invertIfNegative val="0"/>
          <c:errBars>
            <c:errBarType val="both"/>
            <c:errValType val="cust"/>
            <c:noEndCap val="0"/>
            <c:plus>
              <c:numRef>
                <c:f>'figuras paper'!$Z$60:$Z$67</c:f>
                <c:numCache>
                  <c:formatCode>General</c:formatCode>
                  <c:ptCount val="8"/>
                  <c:pt idx="0">
                    <c:v>5.1254635669527975E-2</c:v>
                  </c:pt>
                  <c:pt idx="1">
                    <c:v>1.5661825048359942E-2</c:v>
                  </c:pt>
                  <c:pt idx="2">
                    <c:v>7.8303409181628439E-2</c:v>
                  </c:pt>
                  <c:pt idx="3">
                    <c:v>0.16121219288118696</c:v>
                  </c:pt>
                  <c:pt idx="4">
                    <c:v>9.9789362057017286E-2</c:v>
                  </c:pt>
                  <c:pt idx="5">
                    <c:v>6.9680126973392972E-2</c:v>
                  </c:pt>
                  <c:pt idx="6">
                    <c:v>8.9756017496333634E-2</c:v>
                  </c:pt>
                  <c:pt idx="7">
                    <c:v>6.5354014303144234E-2</c:v>
                  </c:pt>
                </c:numCache>
              </c:numRef>
            </c:plus>
            <c:minus>
              <c:numRef>
                <c:f>'figuras paper'!$Z$60:$Z$67</c:f>
                <c:numCache>
                  <c:formatCode>General</c:formatCode>
                  <c:ptCount val="8"/>
                  <c:pt idx="0">
                    <c:v>5.1254635669527975E-2</c:v>
                  </c:pt>
                  <c:pt idx="1">
                    <c:v>1.5661825048359942E-2</c:v>
                  </c:pt>
                  <c:pt idx="2">
                    <c:v>7.8303409181628439E-2</c:v>
                  </c:pt>
                  <c:pt idx="3">
                    <c:v>0.16121219288118696</c:v>
                  </c:pt>
                  <c:pt idx="4">
                    <c:v>9.9789362057017286E-2</c:v>
                  </c:pt>
                  <c:pt idx="5">
                    <c:v>6.9680126973392972E-2</c:v>
                  </c:pt>
                  <c:pt idx="6">
                    <c:v>8.9756017496333634E-2</c:v>
                  </c:pt>
                  <c:pt idx="7">
                    <c:v>6.5354014303144234E-2</c:v>
                  </c:pt>
                </c:numCache>
              </c:numRef>
            </c:minus>
            <c:spPr>
              <a:noFill/>
              <a:ln w="9525" cap="flat" cmpd="sng" algn="ctr">
                <a:solidFill>
                  <a:schemeClr val="tx1">
                    <a:lumMod val="65000"/>
                    <a:lumOff val="35000"/>
                  </a:schemeClr>
                </a:solidFill>
                <a:round/>
              </a:ln>
              <a:effectLst/>
            </c:spPr>
          </c:errBars>
          <c:val>
            <c:numRef>
              <c:f>'figuras paper'!$Z$48:$Z$55</c:f>
              <c:numCache>
                <c:formatCode>0.0%</c:formatCode>
                <c:ptCount val="8"/>
                <c:pt idx="0">
                  <c:v>0.90918248662568302</c:v>
                </c:pt>
                <c:pt idx="1">
                  <c:v>0.898924863164836</c:v>
                </c:pt>
                <c:pt idx="2">
                  <c:v>0.66953486480324143</c:v>
                </c:pt>
                <c:pt idx="3">
                  <c:v>0.22189613494312002</c:v>
                </c:pt>
                <c:pt idx="4">
                  <c:v>0.45095707428076243</c:v>
                </c:pt>
                <c:pt idx="5">
                  <c:v>0.58811420817737947</c:v>
                </c:pt>
                <c:pt idx="6">
                  <c:v>0.61937976911025616</c:v>
                </c:pt>
                <c:pt idx="7">
                  <c:v>0.64226335836339443</c:v>
                </c:pt>
              </c:numCache>
            </c:numRef>
          </c:val>
          <c:extLst>
            <c:ext xmlns:c16="http://schemas.microsoft.com/office/drawing/2014/chart" uri="{C3380CC4-5D6E-409C-BE32-E72D297353CC}">
              <c16:uniqueId val="{00000002-5518-49EB-A6B0-F696A91284AE}"/>
            </c:ext>
          </c:extLst>
        </c:ser>
        <c:dLbls>
          <c:showLegendKey val="0"/>
          <c:showVal val="0"/>
          <c:showCatName val="0"/>
          <c:showSerName val="0"/>
          <c:showPercent val="0"/>
          <c:showBubbleSize val="0"/>
        </c:dLbls>
        <c:gapWidth val="80"/>
        <c:axId val="2082061952"/>
        <c:axId val="2082071104"/>
      </c:barChart>
      <c:catAx>
        <c:axId val="2082061952"/>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Stage</a:t>
                </a:r>
              </a:p>
            </c:rich>
          </c:tx>
          <c:layout>
            <c:manualLayout>
              <c:xMode val="edge"/>
              <c:yMode val="edge"/>
              <c:x val="7.0215485046674006E-2"/>
              <c:y val="0.90339768518518515"/>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082071104"/>
        <c:crosses val="autoZero"/>
        <c:auto val="1"/>
        <c:lblAlgn val="ctr"/>
        <c:lblOffset val="100"/>
        <c:noMultiLvlLbl val="0"/>
      </c:catAx>
      <c:valAx>
        <c:axId val="2082071104"/>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Toluene %RE</a:t>
                </a:r>
              </a:p>
            </c:rich>
          </c:tx>
          <c:layout>
            <c:manualLayout>
              <c:xMode val="edge"/>
              <c:yMode val="edge"/>
              <c:x val="0"/>
              <c:y val="0.26749490740740739"/>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tailEnd w="lg" len="lg"/>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082061952"/>
        <c:crosses val="autoZero"/>
        <c:crossBetween val="between"/>
        <c:majorUnit val="0.2"/>
      </c:valAx>
      <c:spPr>
        <a:noFill/>
        <a:ln>
          <a:solidFill>
            <a:schemeClr val="bg1">
              <a:lumMod val="75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296742357879324"/>
          <c:y val="3.9481944444444445E-2"/>
          <c:w val="0.81941351132292795"/>
          <c:h val="0.83167546296296291"/>
        </c:manualLayout>
      </c:layout>
      <c:barChart>
        <c:barDir val="col"/>
        <c:grouping val="clustered"/>
        <c:varyColors val="0"/>
        <c:ser>
          <c:idx val="1"/>
          <c:order val="0"/>
          <c:tx>
            <c:strRef>
              <c:f>'figuras paper'!$S$46</c:f>
              <c:strCache>
                <c:ptCount val="1"/>
                <c:pt idx="0">
                  <c:v>BR 1</c:v>
                </c:pt>
              </c:strCache>
            </c:strRef>
          </c:tx>
          <c:spPr>
            <a:pattFill prst="trellis">
              <a:fgClr>
                <a:schemeClr val="accent6"/>
              </a:fgClr>
              <a:bgClr>
                <a:schemeClr val="bg1"/>
              </a:bgClr>
            </a:pattFill>
            <a:ln>
              <a:solidFill>
                <a:schemeClr val="accent6">
                  <a:lumMod val="50000"/>
                </a:schemeClr>
              </a:solidFill>
            </a:ln>
            <a:effectLst/>
          </c:spPr>
          <c:invertIfNegative val="0"/>
          <c:errBars>
            <c:errBarType val="both"/>
            <c:errValType val="cust"/>
            <c:noEndCap val="0"/>
            <c:plus>
              <c:numRef>
                <c:f>'figuras paper'!$U$60:$U$67</c:f>
                <c:numCache>
                  <c:formatCode>General</c:formatCode>
                  <c:ptCount val="8"/>
                  <c:pt idx="0">
                    <c:v>7.3753690394986443E-2</c:v>
                  </c:pt>
                  <c:pt idx="1">
                    <c:v>6.61888850411142E-3</c:v>
                  </c:pt>
                  <c:pt idx="2">
                    <c:v>2.2762783672777249E-2</c:v>
                  </c:pt>
                  <c:pt idx="3">
                    <c:v>0.14985568727317436</c:v>
                  </c:pt>
                  <c:pt idx="4">
                    <c:v>7.4243725176026912E-2</c:v>
                  </c:pt>
                  <c:pt idx="5">
                    <c:v>8.3838569458143539E-2</c:v>
                  </c:pt>
                  <c:pt idx="6">
                    <c:v>2.2931084032713753E-2</c:v>
                  </c:pt>
                  <c:pt idx="7">
                    <c:v>6.189818896113259E-2</c:v>
                  </c:pt>
                </c:numCache>
              </c:numRef>
            </c:plus>
            <c:minus>
              <c:numRef>
                <c:f>'figuras paper'!$U$60:$U$67</c:f>
                <c:numCache>
                  <c:formatCode>General</c:formatCode>
                  <c:ptCount val="8"/>
                  <c:pt idx="0">
                    <c:v>7.3753690394986443E-2</c:v>
                  </c:pt>
                  <c:pt idx="1">
                    <c:v>6.61888850411142E-3</c:v>
                  </c:pt>
                  <c:pt idx="2">
                    <c:v>2.2762783672777249E-2</c:v>
                  </c:pt>
                  <c:pt idx="3">
                    <c:v>0.14985568727317436</c:v>
                  </c:pt>
                  <c:pt idx="4">
                    <c:v>7.4243725176026912E-2</c:v>
                  </c:pt>
                  <c:pt idx="5">
                    <c:v>8.3838569458143539E-2</c:v>
                  </c:pt>
                  <c:pt idx="6">
                    <c:v>2.2931084032713753E-2</c:v>
                  </c:pt>
                  <c:pt idx="7">
                    <c:v>6.189818896113259E-2</c:v>
                  </c:pt>
                </c:numCache>
              </c:numRef>
            </c:minus>
            <c:spPr>
              <a:noFill/>
              <a:ln w="9525" cap="flat" cmpd="sng" algn="ctr">
                <a:solidFill>
                  <a:schemeClr val="tx1">
                    <a:lumMod val="65000"/>
                    <a:lumOff val="35000"/>
                  </a:schemeClr>
                </a:solidFill>
                <a:round/>
              </a:ln>
              <a:effectLst/>
            </c:spPr>
          </c:errBars>
          <c:val>
            <c:numRef>
              <c:f>'figuras paper'!$U$48:$U$55</c:f>
              <c:numCache>
                <c:formatCode>0.0%</c:formatCode>
                <c:ptCount val="8"/>
                <c:pt idx="0">
                  <c:v>0.92757370673679662</c:v>
                </c:pt>
                <c:pt idx="1">
                  <c:v>0.97067255398575802</c:v>
                </c:pt>
                <c:pt idx="2">
                  <c:v>0.97932120001262757</c:v>
                </c:pt>
                <c:pt idx="3">
                  <c:v>0.55657710603251964</c:v>
                </c:pt>
                <c:pt idx="4">
                  <c:v>0.55358947072825593</c:v>
                </c:pt>
                <c:pt idx="5">
                  <c:v>0.8312455355855416</c:v>
                </c:pt>
                <c:pt idx="6">
                  <c:v>0.90912372500188576</c:v>
                </c:pt>
                <c:pt idx="7">
                  <c:v>0.83530846553132621</c:v>
                </c:pt>
              </c:numCache>
            </c:numRef>
          </c:val>
          <c:extLst>
            <c:ext xmlns:c16="http://schemas.microsoft.com/office/drawing/2014/chart" uri="{C3380CC4-5D6E-409C-BE32-E72D297353CC}">
              <c16:uniqueId val="{00000000-2B28-491F-984C-2ACEB5D98030}"/>
            </c:ext>
          </c:extLst>
        </c:ser>
        <c:ser>
          <c:idx val="2"/>
          <c:order val="1"/>
          <c:tx>
            <c:strRef>
              <c:f>'figuras paper'!$V$46</c:f>
              <c:strCache>
                <c:ptCount val="1"/>
                <c:pt idx="0">
                  <c:v>BR 2</c:v>
                </c:pt>
              </c:strCache>
            </c:strRef>
          </c:tx>
          <c:spPr>
            <a:pattFill prst="dkDnDiag">
              <a:fgClr>
                <a:schemeClr val="accent1"/>
              </a:fgClr>
              <a:bgClr>
                <a:schemeClr val="bg1"/>
              </a:bgClr>
            </a:pattFill>
            <a:ln>
              <a:solidFill>
                <a:schemeClr val="accent5">
                  <a:lumMod val="50000"/>
                </a:schemeClr>
              </a:solidFill>
            </a:ln>
            <a:effectLst/>
          </c:spPr>
          <c:invertIfNegative val="0"/>
          <c:errBars>
            <c:errBarType val="both"/>
            <c:errValType val="cust"/>
            <c:noEndCap val="0"/>
            <c:plus>
              <c:numRef>
                <c:f>'figuras paper'!$X$60:$X$67</c:f>
                <c:numCache>
                  <c:formatCode>General</c:formatCode>
                  <c:ptCount val="8"/>
                  <c:pt idx="0">
                    <c:v>9.6198367654784525E-2</c:v>
                  </c:pt>
                  <c:pt idx="1">
                    <c:v>2.104164336624877E-2</c:v>
                  </c:pt>
                  <c:pt idx="2">
                    <c:v>6.4347631074241726E-2</c:v>
                  </c:pt>
                  <c:pt idx="3">
                    <c:v>0.10217368017335371</c:v>
                  </c:pt>
                  <c:pt idx="4">
                    <c:v>9.1950137172689808E-2</c:v>
                  </c:pt>
                  <c:pt idx="5">
                    <c:v>0.10335255225518353</c:v>
                  </c:pt>
                  <c:pt idx="6">
                    <c:v>3.1630698163059724E-2</c:v>
                  </c:pt>
                  <c:pt idx="7">
                    <c:v>8.0798782158269661E-2</c:v>
                  </c:pt>
                </c:numCache>
              </c:numRef>
            </c:plus>
            <c:minus>
              <c:numRef>
                <c:f>'figuras paper'!$X$60:$X$67</c:f>
                <c:numCache>
                  <c:formatCode>General</c:formatCode>
                  <c:ptCount val="8"/>
                  <c:pt idx="0">
                    <c:v>9.6198367654784525E-2</c:v>
                  </c:pt>
                  <c:pt idx="1">
                    <c:v>2.104164336624877E-2</c:v>
                  </c:pt>
                  <c:pt idx="2">
                    <c:v>6.4347631074241726E-2</c:v>
                  </c:pt>
                  <c:pt idx="3">
                    <c:v>0.10217368017335371</c:v>
                  </c:pt>
                  <c:pt idx="4">
                    <c:v>9.1950137172689808E-2</c:v>
                  </c:pt>
                  <c:pt idx="5">
                    <c:v>0.10335255225518353</c:v>
                  </c:pt>
                  <c:pt idx="6">
                    <c:v>3.1630698163059724E-2</c:v>
                  </c:pt>
                  <c:pt idx="7">
                    <c:v>8.0798782158269661E-2</c:v>
                  </c:pt>
                </c:numCache>
              </c:numRef>
            </c:minus>
            <c:spPr>
              <a:noFill/>
              <a:ln w="9525" cap="flat" cmpd="sng" algn="ctr">
                <a:solidFill>
                  <a:schemeClr val="tx1">
                    <a:lumMod val="65000"/>
                    <a:lumOff val="35000"/>
                  </a:schemeClr>
                </a:solidFill>
                <a:round/>
              </a:ln>
              <a:effectLst/>
            </c:spPr>
          </c:errBars>
          <c:val>
            <c:numRef>
              <c:f>'figuras paper'!$X$48:$X$55</c:f>
              <c:numCache>
                <c:formatCode>0.0%</c:formatCode>
                <c:ptCount val="8"/>
                <c:pt idx="0">
                  <c:v>0.87829876219497915</c:v>
                </c:pt>
                <c:pt idx="1">
                  <c:v>0.94183389474077339</c:v>
                </c:pt>
                <c:pt idx="2">
                  <c:v>0.92509143593562926</c:v>
                </c:pt>
                <c:pt idx="3">
                  <c:v>0.10515019235828053</c:v>
                </c:pt>
                <c:pt idx="4">
                  <c:v>0.12494032866355759</c:v>
                </c:pt>
                <c:pt idx="5">
                  <c:v>0.44158662875613991</c:v>
                </c:pt>
                <c:pt idx="6">
                  <c:v>0.76488529360969093</c:v>
                </c:pt>
                <c:pt idx="7">
                  <c:v>0.76639111270274185</c:v>
                </c:pt>
              </c:numCache>
            </c:numRef>
          </c:val>
          <c:extLst>
            <c:ext xmlns:c16="http://schemas.microsoft.com/office/drawing/2014/chart" uri="{C3380CC4-5D6E-409C-BE32-E72D297353CC}">
              <c16:uniqueId val="{00000001-2B28-491F-984C-2ACEB5D98030}"/>
            </c:ext>
          </c:extLst>
        </c:ser>
        <c:ser>
          <c:idx val="3"/>
          <c:order val="2"/>
          <c:tx>
            <c:strRef>
              <c:f>'figuras paper'!$Y$46</c:f>
              <c:strCache>
                <c:ptCount val="1"/>
                <c:pt idx="0">
                  <c:v>BR 3</c:v>
                </c:pt>
              </c:strCache>
            </c:strRef>
          </c:tx>
          <c:spPr>
            <a:pattFill prst="sphere">
              <a:fgClr>
                <a:schemeClr val="accent4"/>
              </a:fgClr>
              <a:bgClr>
                <a:schemeClr val="bg1"/>
              </a:bgClr>
            </a:pattFill>
            <a:ln>
              <a:solidFill>
                <a:schemeClr val="accent4">
                  <a:lumMod val="50000"/>
                </a:schemeClr>
              </a:solidFill>
            </a:ln>
            <a:effectLst/>
          </c:spPr>
          <c:invertIfNegative val="0"/>
          <c:errBars>
            <c:errBarType val="both"/>
            <c:errValType val="cust"/>
            <c:noEndCap val="0"/>
            <c:plus>
              <c:numRef>
                <c:f>'figuras paper'!$AA$60:$AA$67</c:f>
                <c:numCache>
                  <c:formatCode>General</c:formatCode>
                  <c:ptCount val="8"/>
                  <c:pt idx="0">
                    <c:v>8.4346835743579915E-2</c:v>
                  </c:pt>
                  <c:pt idx="1">
                    <c:v>4.0554490538834788E-2</c:v>
                  </c:pt>
                  <c:pt idx="2">
                    <c:v>0.11988899240870701</c:v>
                  </c:pt>
                  <c:pt idx="3">
                    <c:v>9.2603994445931676E-2</c:v>
                  </c:pt>
                  <c:pt idx="4">
                    <c:v>0.11379427492721374</c:v>
                  </c:pt>
                  <c:pt idx="5">
                    <c:v>5.2211304430384534E-2</c:v>
                  </c:pt>
                  <c:pt idx="6">
                    <c:v>8.7104012510664533E-2</c:v>
                  </c:pt>
                  <c:pt idx="7">
                    <c:v>4.6062208815295963E-2</c:v>
                  </c:pt>
                </c:numCache>
              </c:numRef>
            </c:plus>
            <c:minus>
              <c:numRef>
                <c:f>'figuras paper'!$AA$60:$AA$67</c:f>
                <c:numCache>
                  <c:formatCode>General</c:formatCode>
                  <c:ptCount val="8"/>
                  <c:pt idx="0">
                    <c:v>8.4346835743579915E-2</c:v>
                  </c:pt>
                  <c:pt idx="1">
                    <c:v>4.0554490538834788E-2</c:v>
                  </c:pt>
                  <c:pt idx="2">
                    <c:v>0.11988899240870701</c:v>
                  </c:pt>
                  <c:pt idx="3">
                    <c:v>9.2603994445931676E-2</c:v>
                  </c:pt>
                  <c:pt idx="4">
                    <c:v>0.11379427492721374</c:v>
                  </c:pt>
                  <c:pt idx="5">
                    <c:v>5.2211304430384534E-2</c:v>
                  </c:pt>
                  <c:pt idx="6">
                    <c:v>8.7104012510664533E-2</c:v>
                  </c:pt>
                  <c:pt idx="7">
                    <c:v>4.6062208815295963E-2</c:v>
                  </c:pt>
                </c:numCache>
              </c:numRef>
            </c:minus>
            <c:spPr>
              <a:noFill/>
              <a:ln w="9525" cap="flat" cmpd="sng" algn="ctr">
                <a:solidFill>
                  <a:schemeClr val="tx1">
                    <a:lumMod val="65000"/>
                    <a:lumOff val="35000"/>
                  </a:schemeClr>
                </a:solidFill>
                <a:round/>
              </a:ln>
              <a:effectLst/>
            </c:spPr>
          </c:errBars>
          <c:val>
            <c:numRef>
              <c:f>'figuras paper'!$AA$48:$AA$55</c:f>
              <c:numCache>
                <c:formatCode>0.0%</c:formatCode>
                <c:ptCount val="8"/>
                <c:pt idx="0">
                  <c:v>0.89998289382480878</c:v>
                </c:pt>
                <c:pt idx="1">
                  <c:v>0.87324119280354662</c:v>
                </c:pt>
                <c:pt idx="2">
                  <c:v>0.49827403349317806</c:v>
                </c:pt>
                <c:pt idx="3">
                  <c:v>8.236434669056901E-2</c:v>
                </c:pt>
                <c:pt idx="4">
                  <c:v>0.13415707408133234</c:v>
                </c:pt>
                <c:pt idx="5">
                  <c:v>0.43416468595323487</c:v>
                </c:pt>
                <c:pt idx="6">
                  <c:v>0.70559368510552301</c:v>
                </c:pt>
                <c:pt idx="7">
                  <c:v>0.70542830796110101</c:v>
                </c:pt>
              </c:numCache>
            </c:numRef>
          </c:val>
          <c:extLst>
            <c:ext xmlns:c16="http://schemas.microsoft.com/office/drawing/2014/chart" uri="{C3380CC4-5D6E-409C-BE32-E72D297353CC}">
              <c16:uniqueId val="{00000002-2B28-491F-984C-2ACEB5D98030}"/>
            </c:ext>
          </c:extLst>
        </c:ser>
        <c:dLbls>
          <c:showLegendKey val="0"/>
          <c:showVal val="0"/>
          <c:showCatName val="0"/>
          <c:showSerName val="0"/>
          <c:showPercent val="0"/>
          <c:showBubbleSize val="0"/>
        </c:dLbls>
        <c:gapWidth val="80"/>
        <c:axId val="2082061952"/>
        <c:axId val="2082071104"/>
      </c:barChart>
      <c:catAx>
        <c:axId val="2082061952"/>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Stage</a:t>
                </a:r>
              </a:p>
            </c:rich>
          </c:tx>
          <c:layout>
            <c:manualLayout>
              <c:xMode val="edge"/>
              <c:yMode val="edge"/>
              <c:x val="7.0215485046674006E-2"/>
              <c:y val="0.90339768518518515"/>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082071104"/>
        <c:crosses val="autoZero"/>
        <c:auto val="1"/>
        <c:lblAlgn val="ctr"/>
        <c:lblOffset val="100"/>
        <c:noMultiLvlLbl val="0"/>
      </c:catAx>
      <c:valAx>
        <c:axId val="2082071104"/>
        <c:scaling>
          <c:orientation val="minMax"/>
          <c:max val="1"/>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Pinene %RE</a:t>
                </a:r>
              </a:p>
            </c:rich>
          </c:tx>
          <c:layout>
            <c:manualLayout>
              <c:xMode val="edge"/>
              <c:yMode val="edge"/>
              <c:x val="0"/>
              <c:y val="0.26749490740740739"/>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tailEnd w="lg" len="lg"/>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082061952"/>
        <c:crosses val="autoZero"/>
        <c:crossBetween val="between"/>
        <c:majorUnit val="0.2"/>
      </c:valAx>
      <c:spPr>
        <a:noFill/>
        <a:ln>
          <a:solidFill>
            <a:schemeClr val="bg1">
              <a:lumMod val="75000"/>
            </a:schemeClr>
          </a:solidFill>
        </a:ln>
        <a:effectLst/>
      </c:spPr>
    </c:plotArea>
    <c:plotVisOnly val="1"/>
    <c:dispBlanksAs val="gap"/>
    <c:showDLblsOverMax val="0"/>
    <c:extLst/>
  </c:chart>
  <c:spPr>
    <a:solidFill>
      <a:schemeClr val="bg1"/>
    </a:solidFill>
    <a:ln w="9525" cap="flat" cmpd="sng" algn="ctr">
      <a:noFill/>
      <a:round/>
    </a:ln>
    <a:effectLst/>
  </c:spPr>
  <c:txPr>
    <a:bodyPr/>
    <a:lstStyle/>
    <a:p>
      <a:pPr>
        <a:defRPr sz="1100"/>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296742357879324"/>
          <c:y val="3.9481944444444445E-2"/>
          <c:w val="0.81941351132292795"/>
          <c:h val="0.83167546296296291"/>
        </c:manualLayout>
      </c:layout>
      <c:barChart>
        <c:barDir val="col"/>
        <c:grouping val="clustered"/>
        <c:varyColors val="0"/>
        <c:ser>
          <c:idx val="1"/>
          <c:order val="0"/>
          <c:tx>
            <c:strRef>
              <c:f>'figuras paper'!$S$46</c:f>
              <c:strCache>
                <c:ptCount val="1"/>
                <c:pt idx="0">
                  <c:v>BR 1</c:v>
                </c:pt>
              </c:strCache>
            </c:strRef>
          </c:tx>
          <c:spPr>
            <a:pattFill prst="trellis">
              <a:fgClr>
                <a:schemeClr val="accent6"/>
              </a:fgClr>
              <a:bgClr>
                <a:schemeClr val="bg1"/>
              </a:bgClr>
            </a:pattFill>
            <a:ln>
              <a:solidFill>
                <a:schemeClr val="accent6">
                  <a:lumMod val="50000"/>
                </a:schemeClr>
              </a:solidFill>
            </a:ln>
            <a:effectLst/>
          </c:spPr>
          <c:invertIfNegative val="0"/>
          <c:errBars>
            <c:errBarType val="both"/>
            <c:errValType val="cust"/>
            <c:noEndCap val="0"/>
            <c:plus>
              <c:numRef>
                <c:f>'figuras paper'!$S$60:$S$67</c:f>
                <c:numCache>
                  <c:formatCode>General</c:formatCode>
                  <c:ptCount val="8"/>
                  <c:pt idx="0">
                    <c:v>1.2011175223343872E-2</c:v>
                  </c:pt>
                  <c:pt idx="1">
                    <c:v>0</c:v>
                  </c:pt>
                  <c:pt idx="2">
                    <c:v>0.1767885926050724</c:v>
                  </c:pt>
                  <c:pt idx="3">
                    <c:v>0.1198386759354501</c:v>
                  </c:pt>
                  <c:pt idx="4">
                    <c:v>8.5507198510846677E-2</c:v>
                  </c:pt>
                  <c:pt idx="5">
                    <c:v>0.12378009571472379</c:v>
                  </c:pt>
                  <c:pt idx="6">
                    <c:v>5.4717359241593468E-2</c:v>
                  </c:pt>
                  <c:pt idx="7">
                    <c:v>0.14682974850190908</c:v>
                  </c:pt>
                </c:numCache>
              </c:numRef>
            </c:plus>
            <c:minus>
              <c:numRef>
                <c:f>'figuras paper'!$S$60:$S$67</c:f>
                <c:numCache>
                  <c:formatCode>General</c:formatCode>
                  <c:ptCount val="8"/>
                  <c:pt idx="0">
                    <c:v>1.2011175223343872E-2</c:v>
                  </c:pt>
                  <c:pt idx="1">
                    <c:v>0</c:v>
                  </c:pt>
                  <c:pt idx="2">
                    <c:v>0.1767885926050724</c:v>
                  </c:pt>
                  <c:pt idx="3">
                    <c:v>0.1198386759354501</c:v>
                  </c:pt>
                  <c:pt idx="4">
                    <c:v>8.5507198510846677E-2</c:v>
                  </c:pt>
                  <c:pt idx="5">
                    <c:v>0.12378009571472379</c:v>
                  </c:pt>
                  <c:pt idx="6">
                    <c:v>5.4717359241593468E-2</c:v>
                  </c:pt>
                  <c:pt idx="7">
                    <c:v>0.14682974850190908</c:v>
                  </c:pt>
                </c:numCache>
              </c:numRef>
            </c:minus>
            <c:spPr>
              <a:noFill/>
              <a:ln w="9525" cap="flat" cmpd="sng" algn="ctr">
                <a:solidFill>
                  <a:schemeClr val="tx1">
                    <a:lumMod val="65000"/>
                    <a:lumOff val="35000"/>
                  </a:schemeClr>
                </a:solidFill>
                <a:round/>
              </a:ln>
              <a:effectLst/>
            </c:spPr>
          </c:errBars>
          <c:val>
            <c:numRef>
              <c:f>'figuras paper'!$S$48:$S$55</c:f>
              <c:numCache>
                <c:formatCode>0.0%</c:formatCode>
                <c:ptCount val="8"/>
                <c:pt idx="0">
                  <c:v>3.5667545768802576E-3</c:v>
                </c:pt>
                <c:pt idx="1">
                  <c:v>0</c:v>
                </c:pt>
                <c:pt idx="2">
                  <c:v>0.14520028438941793</c:v>
                </c:pt>
                <c:pt idx="3">
                  <c:v>7.3665155223589254E-2</c:v>
                </c:pt>
                <c:pt idx="4">
                  <c:v>9.6728053200089148E-2</c:v>
                </c:pt>
                <c:pt idx="5">
                  <c:v>9.6181049954441988E-2</c:v>
                </c:pt>
                <c:pt idx="6">
                  <c:v>4.2284716967730993E-2</c:v>
                </c:pt>
                <c:pt idx="7">
                  <c:v>0.1443635575020209</c:v>
                </c:pt>
              </c:numCache>
            </c:numRef>
          </c:val>
          <c:extLst>
            <c:ext xmlns:c16="http://schemas.microsoft.com/office/drawing/2014/chart" uri="{C3380CC4-5D6E-409C-BE32-E72D297353CC}">
              <c16:uniqueId val="{00000000-160D-40FA-BAC1-A4EBB0DA036F}"/>
            </c:ext>
          </c:extLst>
        </c:ser>
        <c:ser>
          <c:idx val="2"/>
          <c:order val="1"/>
          <c:tx>
            <c:strRef>
              <c:f>'figuras paper'!$V$46</c:f>
              <c:strCache>
                <c:ptCount val="1"/>
                <c:pt idx="0">
                  <c:v>BR 2</c:v>
                </c:pt>
              </c:strCache>
            </c:strRef>
          </c:tx>
          <c:spPr>
            <a:pattFill prst="dkDnDiag">
              <a:fgClr>
                <a:schemeClr val="accent1"/>
              </a:fgClr>
              <a:bgClr>
                <a:schemeClr val="bg1"/>
              </a:bgClr>
            </a:pattFill>
            <a:ln>
              <a:solidFill>
                <a:schemeClr val="accent5">
                  <a:lumMod val="50000"/>
                </a:schemeClr>
              </a:solidFill>
            </a:ln>
            <a:effectLst/>
          </c:spPr>
          <c:invertIfNegative val="0"/>
          <c:errBars>
            <c:errBarType val="both"/>
            <c:errValType val="cust"/>
            <c:noEndCap val="0"/>
            <c:plus>
              <c:numRef>
                <c:f>'figuras paper'!$V$60:$V$67</c:f>
                <c:numCache>
                  <c:formatCode>General</c:formatCode>
                  <c:ptCount val="8"/>
                  <c:pt idx="0">
                    <c:v>7.1232118147354279E-2</c:v>
                  </c:pt>
                  <c:pt idx="1">
                    <c:v>0</c:v>
                  </c:pt>
                  <c:pt idx="2">
                    <c:v>0.15089726887276964</c:v>
                  </c:pt>
                  <c:pt idx="3">
                    <c:v>8.9756509183490776E-2</c:v>
                  </c:pt>
                  <c:pt idx="4">
                    <c:v>0.12966378929399663</c:v>
                  </c:pt>
                  <c:pt idx="5">
                    <c:v>4.5151942647750382E-2</c:v>
                  </c:pt>
                  <c:pt idx="6">
                    <c:v>7.6091211508263118E-2</c:v>
                  </c:pt>
                  <c:pt idx="7">
                    <c:v>0.17174138323947441</c:v>
                  </c:pt>
                </c:numCache>
              </c:numRef>
            </c:plus>
            <c:minus>
              <c:numRef>
                <c:f>'figuras paper'!$V$60:$V$67</c:f>
                <c:numCache>
                  <c:formatCode>General</c:formatCode>
                  <c:ptCount val="8"/>
                  <c:pt idx="0">
                    <c:v>7.1232118147354279E-2</c:v>
                  </c:pt>
                  <c:pt idx="1">
                    <c:v>0</c:v>
                  </c:pt>
                  <c:pt idx="2">
                    <c:v>0.15089726887276964</c:v>
                  </c:pt>
                  <c:pt idx="3">
                    <c:v>8.9756509183490776E-2</c:v>
                  </c:pt>
                  <c:pt idx="4">
                    <c:v>0.12966378929399663</c:v>
                  </c:pt>
                  <c:pt idx="5">
                    <c:v>4.5151942647750382E-2</c:v>
                  </c:pt>
                  <c:pt idx="6">
                    <c:v>7.6091211508263118E-2</c:v>
                  </c:pt>
                  <c:pt idx="7">
                    <c:v>0.17174138323947441</c:v>
                  </c:pt>
                </c:numCache>
              </c:numRef>
            </c:minus>
            <c:spPr>
              <a:noFill/>
              <a:ln w="9525" cap="flat" cmpd="sng" algn="ctr">
                <a:solidFill>
                  <a:schemeClr val="tx1">
                    <a:lumMod val="65000"/>
                    <a:lumOff val="35000"/>
                  </a:schemeClr>
                </a:solidFill>
                <a:round/>
              </a:ln>
              <a:effectLst/>
            </c:spPr>
          </c:errBars>
          <c:val>
            <c:numRef>
              <c:f>'figuras paper'!$V$48:$V$55</c:f>
              <c:numCache>
                <c:formatCode>0.0%</c:formatCode>
                <c:ptCount val="8"/>
                <c:pt idx="0">
                  <c:v>4.2382492747900097E-2</c:v>
                </c:pt>
                <c:pt idx="1">
                  <c:v>0</c:v>
                </c:pt>
                <c:pt idx="2">
                  <c:v>0.12350157972470206</c:v>
                </c:pt>
                <c:pt idx="3">
                  <c:v>5.1403304846002772E-2</c:v>
                </c:pt>
                <c:pt idx="4">
                  <c:v>0.13226279180995504</c:v>
                </c:pt>
                <c:pt idx="5">
                  <c:v>1.7431965303036329E-2</c:v>
                </c:pt>
                <c:pt idx="6">
                  <c:v>8.9747816767540498E-2</c:v>
                </c:pt>
                <c:pt idx="7">
                  <c:v>0.16367801307336197</c:v>
                </c:pt>
              </c:numCache>
            </c:numRef>
          </c:val>
          <c:extLst>
            <c:ext xmlns:c16="http://schemas.microsoft.com/office/drawing/2014/chart" uri="{C3380CC4-5D6E-409C-BE32-E72D297353CC}">
              <c16:uniqueId val="{00000001-160D-40FA-BAC1-A4EBB0DA036F}"/>
            </c:ext>
          </c:extLst>
        </c:ser>
        <c:ser>
          <c:idx val="3"/>
          <c:order val="2"/>
          <c:tx>
            <c:strRef>
              <c:f>'figuras paper'!$Y$46</c:f>
              <c:strCache>
                <c:ptCount val="1"/>
                <c:pt idx="0">
                  <c:v>BR 3</c:v>
                </c:pt>
              </c:strCache>
            </c:strRef>
          </c:tx>
          <c:spPr>
            <a:pattFill prst="sphere">
              <a:fgClr>
                <a:schemeClr val="accent4"/>
              </a:fgClr>
              <a:bgClr>
                <a:schemeClr val="bg1"/>
              </a:bgClr>
            </a:pattFill>
            <a:ln>
              <a:solidFill>
                <a:schemeClr val="accent4">
                  <a:lumMod val="50000"/>
                </a:schemeClr>
              </a:solidFill>
            </a:ln>
            <a:effectLst/>
          </c:spPr>
          <c:invertIfNegative val="0"/>
          <c:errBars>
            <c:errBarType val="both"/>
            <c:errValType val="cust"/>
            <c:noEndCap val="0"/>
            <c:plus>
              <c:numRef>
                <c:f>'figuras paper'!$AA$60:$AA$67</c:f>
                <c:numCache>
                  <c:formatCode>General</c:formatCode>
                  <c:ptCount val="8"/>
                  <c:pt idx="0">
                    <c:v>8.4346835743579915E-2</c:v>
                  </c:pt>
                  <c:pt idx="1">
                    <c:v>4.0554490538834788E-2</c:v>
                  </c:pt>
                  <c:pt idx="2">
                    <c:v>0.11988899240870701</c:v>
                  </c:pt>
                  <c:pt idx="3">
                    <c:v>9.2603994445931676E-2</c:v>
                  </c:pt>
                  <c:pt idx="4">
                    <c:v>0.11379427492721374</c:v>
                  </c:pt>
                  <c:pt idx="5">
                    <c:v>5.2211304430384534E-2</c:v>
                  </c:pt>
                  <c:pt idx="6">
                    <c:v>8.7104012510664533E-2</c:v>
                  </c:pt>
                  <c:pt idx="7">
                    <c:v>4.6062208815295963E-2</c:v>
                  </c:pt>
                </c:numCache>
              </c:numRef>
            </c:plus>
            <c:minus>
              <c:numRef>
                <c:f>'figuras paper'!$AA$60:$AA$67</c:f>
                <c:numCache>
                  <c:formatCode>General</c:formatCode>
                  <c:ptCount val="8"/>
                  <c:pt idx="0">
                    <c:v>8.4346835743579915E-2</c:v>
                  </c:pt>
                  <c:pt idx="1">
                    <c:v>4.0554490538834788E-2</c:v>
                  </c:pt>
                  <c:pt idx="2">
                    <c:v>0.11988899240870701</c:v>
                  </c:pt>
                  <c:pt idx="3">
                    <c:v>9.2603994445931676E-2</c:v>
                  </c:pt>
                  <c:pt idx="4">
                    <c:v>0.11379427492721374</c:v>
                  </c:pt>
                  <c:pt idx="5">
                    <c:v>5.2211304430384534E-2</c:v>
                  </c:pt>
                  <c:pt idx="6">
                    <c:v>8.7104012510664533E-2</c:v>
                  </c:pt>
                  <c:pt idx="7">
                    <c:v>4.6062208815295963E-2</c:v>
                  </c:pt>
                </c:numCache>
              </c:numRef>
            </c:minus>
            <c:spPr>
              <a:noFill/>
              <a:ln w="9525" cap="flat" cmpd="sng" algn="ctr">
                <a:solidFill>
                  <a:schemeClr val="tx1">
                    <a:lumMod val="65000"/>
                    <a:lumOff val="35000"/>
                  </a:schemeClr>
                </a:solidFill>
                <a:round/>
              </a:ln>
              <a:effectLst/>
            </c:spPr>
          </c:errBars>
          <c:val>
            <c:numRef>
              <c:f>'figuras paper'!$Y$48:$Y$55</c:f>
              <c:numCache>
                <c:formatCode>0.0%</c:formatCode>
                <c:ptCount val="8"/>
                <c:pt idx="0">
                  <c:v>3.4199515611051903E-2</c:v>
                </c:pt>
                <c:pt idx="1">
                  <c:v>0</c:v>
                </c:pt>
                <c:pt idx="2">
                  <c:v>0.20361154047206614</c:v>
                </c:pt>
                <c:pt idx="3">
                  <c:v>0.14458386814082885</c:v>
                </c:pt>
                <c:pt idx="4">
                  <c:v>0.11829386524126348</c:v>
                </c:pt>
                <c:pt idx="5">
                  <c:v>0.19465649305640301</c:v>
                </c:pt>
                <c:pt idx="6">
                  <c:v>0.12408855676960767</c:v>
                </c:pt>
                <c:pt idx="7">
                  <c:v>0.18126500102725798</c:v>
                </c:pt>
              </c:numCache>
            </c:numRef>
          </c:val>
          <c:extLst>
            <c:ext xmlns:c16="http://schemas.microsoft.com/office/drawing/2014/chart" uri="{C3380CC4-5D6E-409C-BE32-E72D297353CC}">
              <c16:uniqueId val="{00000002-160D-40FA-BAC1-A4EBB0DA036F}"/>
            </c:ext>
          </c:extLst>
        </c:ser>
        <c:dLbls>
          <c:showLegendKey val="0"/>
          <c:showVal val="0"/>
          <c:showCatName val="0"/>
          <c:showSerName val="0"/>
          <c:showPercent val="0"/>
          <c:showBubbleSize val="0"/>
        </c:dLbls>
        <c:gapWidth val="80"/>
        <c:axId val="2082061952"/>
        <c:axId val="2082071104"/>
      </c:barChart>
      <c:catAx>
        <c:axId val="2082061952"/>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Stage</a:t>
                </a:r>
              </a:p>
            </c:rich>
          </c:tx>
          <c:layout>
            <c:manualLayout>
              <c:xMode val="edge"/>
              <c:yMode val="edge"/>
              <c:x val="7.0215485046674006E-2"/>
              <c:y val="0.90339768518518515"/>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082071104"/>
        <c:crosses val="autoZero"/>
        <c:auto val="1"/>
        <c:lblAlgn val="ctr"/>
        <c:lblOffset val="100"/>
        <c:noMultiLvlLbl val="0"/>
      </c:catAx>
      <c:valAx>
        <c:axId val="2082071104"/>
        <c:scaling>
          <c:orientation val="minMax"/>
          <c:max val="1"/>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Hexane %RE</a:t>
                </a:r>
              </a:p>
            </c:rich>
          </c:tx>
          <c:layout>
            <c:manualLayout>
              <c:xMode val="edge"/>
              <c:yMode val="edge"/>
              <c:x val="0"/>
              <c:y val="0.26749490740740739"/>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tailEnd w="lg" len="lg"/>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082061952"/>
        <c:crosses val="autoZero"/>
        <c:crossBetween val="between"/>
        <c:majorUnit val="0.2"/>
      </c:valAx>
      <c:spPr>
        <a:noFill/>
        <a:ln>
          <a:solidFill>
            <a:schemeClr val="bg1">
              <a:lumMod val="75000"/>
            </a:schemeClr>
          </a:solidFill>
        </a:ln>
        <a:effectLst/>
      </c:spPr>
    </c:plotArea>
    <c:plotVisOnly val="1"/>
    <c:dispBlanksAs val="gap"/>
    <c:showDLblsOverMax val="0"/>
    <c:extLst/>
  </c:chart>
  <c:spPr>
    <a:solidFill>
      <a:schemeClr val="bg1"/>
    </a:solidFill>
    <a:ln w="9525" cap="flat" cmpd="sng" algn="ctr">
      <a:noFill/>
      <a:round/>
    </a:ln>
    <a:effectLst/>
  </c:spPr>
  <c:txPr>
    <a:bodyPr/>
    <a:lstStyle/>
    <a:p>
      <a:pPr>
        <a:defRPr sz="1100"/>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0.00095</cdr:x>
      <cdr:y>0.06407</cdr:y>
    </cdr:from>
    <cdr:to>
      <cdr:x>0.05111</cdr:x>
      <cdr:y>0.18073</cdr:y>
    </cdr:to>
    <cdr:sp macro="" textlink="">
      <cdr:nvSpPr>
        <cdr:cNvPr id="2" name="TextBox 1">
          <a:extLst xmlns:a="http://schemas.openxmlformats.org/drawingml/2006/main">
            <a:ext uri="{FF2B5EF4-FFF2-40B4-BE49-F238E27FC236}">
              <a16:creationId xmlns:a16="http://schemas.microsoft.com/office/drawing/2014/main" id="{4D913D1C-BA5A-4976-B257-18B82D66FA64}"/>
            </a:ext>
          </a:extLst>
        </cdr:cNvPr>
        <cdr:cNvSpPr txBox="1"/>
      </cdr:nvSpPr>
      <cdr:spPr>
        <a:xfrm xmlns:a="http://schemas.openxmlformats.org/drawingml/2006/main">
          <a:off x="3402" y="138384"/>
          <a:ext cx="180000" cy="25200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vertOverflow="clip" wrap="none" rtlCol="0"/>
        <a:lstStyle xmlns:a="http://schemas.openxmlformats.org/drawingml/2006/main"/>
        <a:p xmlns:a="http://schemas.openxmlformats.org/drawingml/2006/main">
          <a:pPr algn="ctr"/>
          <a:r>
            <a:rPr lang="en-US" sz="1100"/>
            <a:t>A)</a:t>
          </a:r>
        </a:p>
      </cdr:txBody>
    </cdr:sp>
  </cdr:relSizeAnchor>
</c:userShapes>
</file>

<file path=word/drawings/drawing2.xml><?xml version="1.0" encoding="utf-8"?>
<c:userShapes xmlns:c="http://schemas.openxmlformats.org/drawingml/2006/chart">
  <cdr:relSizeAnchor xmlns:cdr="http://schemas.openxmlformats.org/drawingml/2006/chartDrawing">
    <cdr:from>
      <cdr:x>0.00095</cdr:x>
      <cdr:y>0.06407</cdr:y>
    </cdr:from>
    <cdr:to>
      <cdr:x>0.05111</cdr:x>
      <cdr:y>0.18073</cdr:y>
    </cdr:to>
    <cdr:sp macro="" textlink="">
      <cdr:nvSpPr>
        <cdr:cNvPr id="2" name="TextBox 1">
          <a:extLst xmlns:a="http://schemas.openxmlformats.org/drawingml/2006/main">
            <a:ext uri="{FF2B5EF4-FFF2-40B4-BE49-F238E27FC236}">
              <a16:creationId xmlns:a16="http://schemas.microsoft.com/office/drawing/2014/main" id="{4D913D1C-BA5A-4976-B257-18B82D66FA64}"/>
            </a:ext>
          </a:extLst>
        </cdr:cNvPr>
        <cdr:cNvSpPr txBox="1"/>
      </cdr:nvSpPr>
      <cdr:spPr>
        <a:xfrm xmlns:a="http://schemas.openxmlformats.org/drawingml/2006/main">
          <a:off x="3402" y="138384"/>
          <a:ext cx="180000" cy="25200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vertOverflow="clip" wrap="none" rtlCol="0"/>
        <a:lstStyle xmlns:a="http://schemas.openxmlformats.org/drawingml/2006/main"/>
        <a:p xmlns:a="http://schemas.openxmlformats.org/drawingml/2006/main">
          <a:pPr algn="ctr"/>
          <a:r>
            <a:rPr lang="en-US" sz="1100"/>
            <a:t>B)</a:t>
          </a:r>
        </a:p>
      </cdr:txBody>
    </cdr:sp>
  </cdr:relSizeAnchor>
</c:userShapes>
</file>

<file path=word/drawings/drawing3.xml><?xml version="1.0" encoding="utf-8"?>
<c:userShapes xmlns:c="http://schemas.openxmlformats.org/drawingml/2006/chart">
  <cdr:relSizeAnchor xmlns:cdr="http://schemas.openxmlformats.org/drawingml/2006/chartDrawing">
    <cdr:from>
      <cdr:x>0.00095</cdr:x>
      <cdr:y>0.06407</cdr:y>
    </cdr:from>
    <cdr:to>
      <cdr:x>0.05111</cdr:x>
      <cdr:y>0.18073</cdr:y>
    </cdr:to>
    <cdr:sp macro="" textlink="">
      <cdr:nvSpPr>
        <cdr:cNvPr id="2" name="TextBox 1">
          <a:extLst xmlns:a="http://schemas.openxmlformats.org/drawingml/2006/main">
            <a:ext uri="{FF2B5EF4-FFF2-40B4-BE49-F238E27FC236}">
              <a16:creationId xmlns:a16="http://schemas.microsoft.com/office/drawing/2014/main" id="{4D913D1C-BA5A-4976-B257-18B82D66FA64}"/>
            </a:ext>
          </a:extLst>
        </cdr:cNvPr>
        <cdr:cNvSpPr txBox="1"/>
      </cdr:nvSpPr>
      <cdr:spPr>
        <a:xfrm xmlns:a="http://schemas.openxmlformats.org/drawingml/2006/main">
          <a:off x="3402" y="138384"/>
          <a:ext cx="180000" cy="25200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vertOverflow="clip" wrap="none" rtlCol="0"/>
        <a:lstStyle xmlns:a="http://schemas.openxmlformats.org/drawingml/2006/main"/>
        <a:p xmlns:a="http://schemas.openxmlformats.org/drawingml/2006/main">
          <a:pPr algn="ctr"/>
          <a:r>
            <a:rPr lang="en-US" sz="1100"/>
            <a:t>C)</a:t>
          </a:r>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48E2F-0ED3-4D44-9BEA-1F23DA99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11808</Words>
  <Characters>67308</Characters>
  <Application>Microsoft Office Word</Application>
  <DocSecurity>0</DocSecurity>
  <Lines>560</Lines>
  <Paragraphs>157</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78959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Javier González</cp:lastModifiedBy>
  <cp:revision>5</cp:revision>
  <cp:lastPrinted>2015-05-12T18:31:00Z</cp:lastPrinted>
  <dcterms:created xsi:type="dcterms:W3CDTF">2022-04-14T15:16:00Z</dcterms:created>
  <dcterms:modified xsi:type="dcterms:W3CDTF">2022-07-22T14:36:00Z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http://www.zotero.org/styles/chemosphere</vt:lpwstr>
  </property>
  <property fmtid="{D5CDD505-2E9C-101B-9397-08002B2CF9AE}" pid="11" name="Mendeley Recent Style Name 3_1">
    <vt:lpwstr>Chemosphere</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8d36e642-374b-3d1e-9a94-5a43446cbaef</vt:lpwstr>
  </property>
  <property fmtid="{D5CDD505-2E9C-101B-9397-08002B2CF9AE}" pid="26" name="Mendeley Citation Style_1">
    <vt:lpwstr>http://www.zotero.org/styles/chemosphere</vt:lpwstr>
  </property>
</Properties>
</file>