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2259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2259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22596">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1CB2EAF5" w:rsidR="00E978D0" w:rsidRPr="00B57B36" w:rsidRDefault="00E22596" w:rsidP="00E978D0">
      <w:pPr>
        <w:pStyle w:val="CETTitle"/>
      </w:pPr>
      <w:r w:rsidRPr="00E22596">
        <w:t>Odour control strategies in wastewater treatment plants: activated sludge recycling and oxidized nitrogen recycling</w:t>
      </w:r>
    </w:p>
    <w:p w14:paraId="0488FED2" w14:textId="63256CBD" w:rsidR="00B57E6F" w:rsidRPr="00B57B36" w:rsidRDefault="00E22596" w:rsidP="00AB10BB">
      <w:pPr>
        <w:pStyle w:val="CETAuthors"/>
      </w:pPr>
      <w:r>
        <w:t>Manuel Toledo</w:t>
      </w:r>
      <w:r w:rsidR="00B57E6F" w:rsidRPr="00B57B36">
        <w:rPr>
          <w:vertAlign w:val="superscript"/>
        </w:rPr>
        <w:t>a</w:t>
      </w:r>
      <w:r w:rsidR="00B57E6F" w:rsidRPr="00B57B36">
        <w:t xml:space="preserve">, </w:t>
      </w:r>
      <w:r>
        <w:t>Raúl Muñoz</w:t>
      </w:r>
      <w:r>
        <w:rPr>
          <w:vertAlign w:val="superscript"/>
        </w:rPr>
        <w:t>a</w:t>
      </w:r>
      <w:r w:rsidR="00B57E6F" w:rsidRPr="00B57B36">
        <w:rPr>
          <w:vertAlign w:val="superscript"/>
        </w:rPr>
        <w:t>,</w:t>
      </w:r>
      <w:r w:rsidR="00B57E6F" w:rsidRPr="00B57B36">
        <w:t>*</w:t>
      </w:r>
    </w:p>
    <w:p w14:paraId="093AFA6D" w14:textId="712A2642" w:rsidR="00E22596" w:rsidRDefault="00B57E6F" w:rsidP="00AB10BB">
      <w:pPr>
        <w:pStyle w:val="CETAddress"/>
        <w:jc w:val="both"/>
      </w:pPr>
      <w:r w:rsidRPr="00B57B36">
        <w:rPr>
          <w:vertAlign w:val="superscript"/>
        </w:rPr>
        <w:t>a</w:t>
      </w:r>
      <w:r w:rsidR="00E22596" w:rsidRPr="00E22596">
        <w:t xml:space="preserve"> Institute of Sustainable Processes, University of Valladolid, Dr. Mergelina, s/n, 47011, Valladolid, Spain</w:t>
      </w:r>
    </w:p>
    <w:p w14:paraId="73F1267A" w14:textId="2D56ACA6" w:rsidR="00B57E6F" w:rsidRPr="00B57B36" w:rsidRDefault="00E22596" w:rsidP="00AB10BB">
      <w:pPr>
        <w:pStyle w:val="CETemail"/>
        <w:jc w:val="both"/>
      </w:pPr>
      <w:r>
        <w:t>mutora</w:t>
      </w:r>
      <w:r w:rsidR="00B57E6F" w:rsidRPr="00B57B36">
        <w:t>@</w:t>
      </w:r>
      <w:r>
        <w:t>iq.uva.es</w:t>
      </w:r>
    </w:p>
    <w:p w14:paraId="2E10BF55" w14:textId="4AB72FB0" w:rsidR="00E22596" w:rsidRPr="00AB10BB" w:rsidRDefault="00E22596" w:rsidP="00600535">
      <w:pPr>
        <w:pStyle w:val="CETBodytext"/>
        <w:rPr>
          <w:szCs w:val="18"/>
          <w:lang w:val="en-GB"/>
        </w:rPr>
      </w:pPr>
      <w:r w:rsidRPr="00E22596">
        <w:rPr>
          <w:szCs w:val="18"/>
          <w:lang w:val="en-GB"/>
        </w:rPr>
        <w:t xml:space="preserve">One of the main concerns associated with wastewater management is the emission of unpleasant odours. The odorous impact derived from wastewater treatment plants (WWTPs) is a source of public environmental complaints in residential areas near these </w:t>
      </w:r>
      <w:proofErr w:type="gramStart"/>
      <w:r w:rsidRPr="00E22596">
        <w:rPr>
          <w:szCs w:val="18"/>
          <w:lang w:val="en-GB"/>
        </w:rPr>
        <w:t>facilities, since</w:t>
      </w:r>
      <w:proofErr w:type="gramEnd"/>
      <w:r w:rsidRPr="00E22596">
        <w:rPr>
          <w:szCs w:val="18"/>
          <w:lang w:val="en-GB"/>
        </w:rPr>
        <w:t xml:space="preserve"> odour pollution can cause significant negative effects on the quality of life and the environment. This odorous contamination typically derives from the presence of volatile sulphur compounds (VSCs) and volatile organic compounds (VOCs), some of which have very low odour threshold values, as is the case of H</w:t>
      </w:r>
      <w:r w:rsidRPr="00E22596">
        <w:rPr>
          <w:szCs w:val="18"/>
          <w:vertAlign w:val="subscript"/>
          <w:lang w:val="en-GB"/>
        </w:rPr>
        <w:t>2</w:t>
      </w:r>
      <w:r w:rsidRPr="00E22596">
        <w:rPr>
          <w:szCs w:val="18"/>
          <w:lang w:val="en-GB"/>
        </w:rPr>
        <w:t xml:space="preserve">S. For this reason, odour prevention strategies in wastewater treatment facilities need </w:t>
      </w:r>
      <w:r w:rsidR="00690519">
        <w:rPr>
          <w:szCs w:val="18"/>
          <w:lang w:val="en-GB"/>
        </w:rPr>
        <w:t>further research</w:t>
      </w:r>
      <w:r w:rsidRPr="00E22596">
        <w:rPr>
          <w:szCs w:val="18"/>
          <w:lang w:val="en-GB"/>
        </w:rPr>
        <w:t xml:space="preserve"> to find effective and low-cost technologies for the control of malodorous emissions. </w:t>
      </w:r>
      <w:r w:rsidR="00690519" w:rsidRPr="00690519">
        <w:rPr>
          <w:szCs w:val="18"/>
          <w:lang w:val="en-GB"/>
        </w:rPr>
        <w:t>The purpose of this study</w:t>
      </w:r>
      <w:r w:rsidRPr="00E22596">
        <w:rPr>
          <w:szCs w:val="18"/>
          <w:lang w:val="en-GB"/>
        </w:rPr>
        <w:t xml:space="preserve"> was the reduction of the emission of malodorous compounds in WWTPs based on the optimization of the use of by-products derived from wastewater treatment such as the oxidized nitrogen (N-NO</w:t>
      </w:r>
      <w:r w:rsidRPr="00E22596">
        <w:rPr>
          <w:szCs w:val="18"/>
          <w:vertAlign w:val="subscript"/>
          <w:lang w:val="en-GB"/>
        </w:rPr>
        <w:t>x</w:t>
      </w:r>
      <w:r w:rsidRPr="00E22596">
        <w:rPr>
          <w:szCs w:val="18"/>
          <w:lang w:val="en-GB"/>
        </w:rPr>
        <w:t>) from residual streams rich in nitrate (N-NO</w:t>
      </w:r>
      <w:r w:rsidRPr="00E22596">
        <w:rPr>
          <w:szCs w:val="18"/>
          <w:vertAlign w:val="subscript"/>
          <w:lang w:val="en-GB"/>
        </w:rPr>
        <w:t>3</w:t>
      </w:r>
      <w:r w:rsidRPr="00E22596">
        <w:rPr>
          <w:szCs w:val="18"/>
          <w:vertAlign w:val="superscript"/>
          <w:lang w:val="en-GB"/>
        </w:rPr>
        <w:t>−</w:t>
      </w:r>
      <w:r w:rsidRPr="00E22596">
        <w:rPr>
          <w:szCs w:val="18"/>
          <w:lang w:val="en-GB"/>
        </w:rPr>
        <w:t>) or nitrite (N-NO</w:t>
      </w:r>
      <w:r w:rsidRPr="00E22596">
        <w:rPr>
          <w:szCs w:val="18"/>
          <w:vertAlign w:val="subscript"/>
          <w:lang w:val="en-GB"/>
        </w:rPr>
        <w:t>2</w:t>
      </w:r>
      <w:r w:rsidRPr="00E22596">
        <w:rPr>
          <w:szCs w:val="18"/>
          <w:vertAlign w:val="superscript"/>
          <w:lang w:val="en-GB"/>
        </w:rPr>
        <w:t>−</w:t>
      </w:r>
      <w:r w:rsidRPr="00E22596">
        <w:rPr>
          <w:szCs w:val="18"/>
          <w:lang w:val="en-GB"/>
        </w:rPr>
        <w:t xml:space="preserve">) and activated sludge (AS) from the </w:t>
      </w:r>
      <w:r w:rsidR="00690519" w:rsidRPr="00E22596">
        <w:rPr>
          <w:szCs w:val="18"/>
          <w:lang w:val="en-GB"/>
        </w:rPr>
        <w:t xml:space="preserve">mixed liquor of the nitrification tank </w:t>
      </w:r>
      <w:r w:rsidR="00690519">
        <w:rPr>
          <w:szCs w:val="18"/>
          <w:lang w:val="en-GB"/>
        </w:rPr>
        <w:t xml:space="preserve">or </w:t>
      </w:r>
      <w:r w:rsidRPr="00E22596">
        <w:rPr>
          <w:szCs w:val="18"/>
          <w:lang w:val="en-GB"/>
        </w:rPr>
        <w:t xml:space="preserve">secondary </w:t>
      </w:r>
      <w:r w:rsidR="00690519">
        <w:rPr>
          <w:szCs w:val="18"/>
          <w:lang w:val="en-GB"/>
        </w:rPr>
        <w:t>settler</w:t>
      </w:r>
      <w:r w:rsidRPr="00E22596">
        <w:rPr>
          <w:szCs w:val="18"/>
          <w:lang w:val="en-GB"/>
        </w:rPr>
        <w:t>. In the experimental tests, gas-tight 2.1 L glass bottles with synthetic septic wastewater were used to evaluate the potential of N-NO</w:t>
      </w:r>
      <w:r w:rsidRPr="00E22596">
        <w:rPr>
          <w:szCs w:val="18"/>
          <w:vertAlign w:val="subscript"/>
          <w:lang w:val="en-GB"/>
        </w:rPr>
        <w:t>x</w:t>
      </w:r>
      <w:r w:rsidRPr="00E22596">
        <w:rPr>
          <w:szCs w:val="18"/>
          <w:lang w:val="en-GB"/>
        </w:rPr>
        <w:t xml:space="preserve"> and AS at different concentrations to biodegrade H</w:t>
      </w:r>
      <w:r w:rsidRPr="00E22596">
        <w:rPr>
          <w:szCs w:val="18"/>
          <w:vertAlign w:val="subscript"/>
          <w:lang w:val="en-GB"/>
        </w:rPr>
        <w:t>2</w:t>
      </w:r>
      <w:r w:rsidRPr="00E22596">
        <w:rPr>
          <w:szCs w:val="18"/>
          <w:lang w:val="en-GB"/>
        </w:rPr>
        <w:t xml:space="preserve">S, acetic acid and α-pinene as model odorants. Among the most remarkable results, </w:t>
      </w:r>
      <w:r w:rsidR="006C6128">
        <w:rPr>
          <w:szCs w:val="18"/>
          <w:lang w:val="en-GB"/>
        </w:rPr>
        <w:t xml:space="preserve">odorant adsorption </w:t>
      </w:r>
      <w:r w:rsidR="000A0E54">
        <w:rPr>
          <w:szCs w:val="18"/>
          <w:lang w:val="en-GB"/>
        </w:rPr>
        <w:t>losses were</w:t>
      </w:r>
      <w:r w:rsidR="006C6128">
        <w:rPr>
          <w:szCs w:val="18"/>
          <w:lang w:val="en-GB"/>
        </w:rPr>
        <w:t xml:space="preserve"> observed during </w:t>
      </w:r>
      <w:r w:rsidRPr="00E22596">
        <w:rPr>
          <w:szCs w:val="18"/>
          <w:lang w:val="en-GB"/>
        </w:rPr>
        <w:t>preliminary abiotic tests</w:t>
      </w:r>
      <w:r w:rsidR="006C6128">
        <w:rPr>
          <w:szCs w:val="18"/>
          <w:lang w:val="en-GB"/>
        </w:rPr>
        <w:t xml:space="preserve"> (4 h) with </w:t>
      </w:r>
      <w:r w:rsidRPr="00E22596">
        <w:rPr>
          <w:szCs w:val="18"/>
          <w:lang w:val="en-GB"/>
        </w:rPr>
        <w:t>concentration losses of 25</w:t>
      </w:r>
      <w:r w:rsidR="00CE2AF2">
        <w:rPr>
          <w:szCs w:val="18"/>
          <w:lang w:val="en-GB"/>
        </w:rPr>
        <w:t xml:space="preserve"> </w:t>
      </w:r>
      <w:r w:rsidRPr="00E22596">
        <w:rPr>
          <w:szCs w:val="18"/>
          <w:lang w:val="en-GB"/>
        </w:rPr>
        <w:t>% for H</w:t>
      </w:r>
      <w:r w:rsidRPr="00E22596">
        <w:rPr>
          <w:szCs w:val="18"/>
          <w:vertAlign w:val="subscript"/>
          <w:lang w:val="en-GB"/>
        </w:rPr>
        <w:t>2</w:t>
      </w:r>
      <w:r w:rsidRPr="00E22596">
        <w:rPr>
          <w:szCs w:val="18"/>
          <w:lang w:val="en-GB"/>
        </w:rPr>
        <w:t xml:space="preserve">S and </w:t>
      </w:r>
      <w:r w:rsidRPr="00E22596">
        <w:rPr>
          <w:szCs w:val="18"/>
          <w:lang w:val="es-ES"/>
        </w:rPr>
        <w:t>α</w:t>
      </w:r>
      <w:r w:rsidRPr="00E22596">
        <w:rPr>
          <w:szCs w:val="18"/>
          <w:lang w:val="en-GB"/>
        </w:rPr>
        <w:t>-pinene, and 7</w:t>
      </w:r>
      <w:r w:rsidR="00CE2AF2">
        <w:rPr>
          <w:szCs w:val="18"/>
          <w:lang w:val="en-GB"/>
        </w:rPr>
        <w:t xml:space="preserve"> </w:t>
      </w:r>
      <w:r w:rsidRPr="00E22596">
        <w:rPr>
          <w:szCs w:val="18"/>
          <w:lang w:val="en-GB"/>
        </w:rPr>
        <w:t>% for acetic acid. The experiments carried out at different concentrations of AS (0, 10, 25, 50, 100 mg VSS/L) and oxidized nitrogen concentrations (1.5, 5, 7.5 and 10 mg N-NO</w:t>
      </w:r>
      <w:r w:rsidRPr="00E22596">
        <w:rPr>
          <w:szCs w:val="18"/>
          <w:vertAlign w:val="subscript"/>
          <w:lang w:val="en-GB"/>
        </w:rPr>
        <w:t>x</w:t>
      </w:r>
      <w:r w:rsidRPr="00E22596">
        <w:rPr>
          <w:szCs w:val="18"/>
          <w:lang w:val="en-GB"/>
        </w:rPr>
        <w:t xml:space="preserve">/L) </w:t>
      </w:r>
      <w:r w:rsidR="00F54A1F">
        <w:rPr>
          <w:szCs w:val="18"/>
          <w:lang w:val="en-GB"/>
        </w:rPr>
        <w:t>showed</w:t>
      </w:r>
      <w:r w:rsidRPr="00E22596">
        <w:rPr>
          <w:szCs w:val="18"/>
          <w:lang w:val="en-GB"/>
        </w:rPr>
        <w:t xml:space="preserve"> an </w:t>
      </w:r>
      <w:r w:rsidR="000A0E54">
        <w:rPr>
          <w:szCs w:val="18"/>
          <w:lang w:val="en-GB"/>
        </w:rPr>
        <w:t>efficient</w:t>
      </w:r>
      <w:r w:rsidRPr="00E22596">
        <w:rPr>
          <w:szCs w:val="18"/>
          <w:lang w:val="en-GB"/>
        </w:rPr>
        <w:t xml:space="preserve"> H</w:t>
      </w:r>
      <w:r w:rsidRPr="00E22596">
        <w:rPr>
          <w:szCs w:val="18"/>
          <w:vertAlign w:val="subscript"/>
          <w:lang w:val="en-GB"/>
        </w:rPr>
        <w:t>2</w:t>
      </w:r>
      <w:r w:rsidRPr="00E22596">
        <w:rPr>
          <w:szCs w:val="18"/>
          <w:lang w:val="en-GB"/>
        </w:rPr>
        <w:t>S removal at 7.5–10 mg N-NO</w:t>
      </w:r>
      <w:r w:rsidRPr="00E22596">
        <w:rPr>
          <w:szCs w:val="18"/>
          <w:vertAlign w:val="subscript"/>
          <w:lang w:val="en-GB"/>
        </w:rPr>
        <w:t>x</w:t>
      </w:r>
      <w:r w:rsidRPr="00E22596">
        <w:rPr>
          <w:szCs w:val="18"/>
          <w:lang w:val="en-GB"/>
        </w:rPr>
        <w:t>/L and 50–100 mg VSS/L. However, NO</w:t>
      </w:r>
      <w:r w:rsidRPr="00E22596">
        <w:rPr>
          <w:szCs w:val="18"/>
          <w:vertAlign w:val="subscript"/>
          <w:lang w:val="en-GB"/>
        </w:rPr>
        <w:t>3</w:t>
      </w:r>
      <w:r w:rsidRPr="00E22596">
        <w:rPr>
          <w:szCs w:val="18"/>
          <w:vertAlign w:val="superscript"/>
          <w:lang w:val="en-GB"/>
        </w:rPr>
        <w:t>−</w:t>
      </w:r>
      <w:r w:rsidRPr="00E22596">
        <w:rPr>
          <w:szCs w:val="18"/>
          <w:lang w:val="en-GB"/>
        </w:rPr>
        <w:t> supported a more effective H</w:t>
      </w:r>
      <w:r w:rsidRPr="00E22596">
        <w:rPr>
          <w:szCs w:val="18"/>
          <w:vertAlign w:val="subscript"/>
          <w:lang w:val="en-GB"/>
        </w:rPr>
        <w:t>2</w:t>
      </w:r>
      <w:r w:rsidRPr="00E22596">
        <w:rPr>
          <w:szCs w:val="18"/>
          <w:lang w:val="en-GB"/>
        </w:rPr>
        <w:t>S abatement than NO</w:t>
      </w:r>
      <w:r w:rsidRPr="00E22596">
        <w:rPr>
          <w:szCs w:val="18"/>
          <w:vertAlign w:val="subscript"/>
          <w:lang w:val="en-GB"/>
        </w:rPr>
        <w:t>2</w:t>
      </w:r>
      <w:r w:rsidRPr="00E22596">
        <w:rPr>
          <w:szCs w:val="18"/>
          <w:vertAlign w:val="superscript"/>
          <w:lang w:val="en-GB"/>
        </w:rPr>
        <w:t>−</w:t>
      </w:r>
      <w:r w:rsidRPr="00E22596">
        <w:rPr>
          <w:szCs w:val="18"/>
          <w:lang w:val="en-GB"/>
        </w:rPr>
        <w:t>. The concentration of acetic acid showed a slight decrease due to its degradation by microorganisms (from 27 to 23 </w:t>
      </w:r>
      <w:proofErr w:type="spellStart"/>
      <w:r w:rsidRPr="00E22596">
        <w:rPr>
          <w:szCs w:val="18"/>
          <w:lang w:val="en-GB"/>
        </w:rPr>
        <w:t>ppm</w:t>
      </w:r>
      <w:r w:rsidRPr="00E22596">
        <w:rPr>
          <w:szCs w:val="18"/>
          <w:vertAlign w:val="subscript"/>
          <w:lang w:val="en-GB"/>
        </w:rPr>
        <w:t>v</w:t>
      </w:r>
      <w:proofErr w:type="spellEnd"/>
      <w:r w:rsidRPr="00E22596">
        <w:rPr>
          <w:szCs w:val="18"/>
          <w:lang w:val="en-GB"/>
        </w:rPr>
        <w:t> in 4.5 h), concomitantly with the complete biological oxidation of H</w:t>
      </w:r>
      <w:r w:rsidRPr="00E22596">
        <w:rPr>
          <w:szCs w:val="18"/>
          <w:vertAlign w:val="subscript"/>
          <w:lang w:val="en-GB"/>
        </w:rPr>
        <w:t>2</w:t>
      </w:r>
      <w:r w:rsidRPr="00E22596">
        <w:rPr>
          <w:szCs w:val="18"/>
          <w:lang w:val="en-GB"/>
        </w:rPr>
        <w:t>S. Conversely, α-pinene concentrations experienced a similar gradual decrease than in the abiotic tests, with a low influence of NO</w:t>
      </w:r>
      <w:r w:rsidRPr="00E22596">
        <w:rPr>
          <w:szCs w:val="18"/>
          <w:vertAlign w:val="subscript"/>
          <w:lang w:val="en-GB"/>
        </w:rPr>
        <w:t>3</w:t>
      </w:r>
      <w:r w:rsidRPr="00E22596">
        <w:rPr>
          <w:szCs w:val="18"/>
          <w:vertAlign w:val="superscript"/>
          <w:lang w:val="en-GB"/>
        </w:rPr>
        <w:t>−</w:t>
      </w:r>
      <w:r w:rsidRPr="00E22596">
        <w:rPr>
          <w:szCs w:val="18"/>
          <w:lang w:val="en-GB"/>
        </w:rPr>
        <w:t>, NO</w:t>
      </w:r>
      <w:r w:rsidRPr="00E22596">
        <w:rPr>
          <w:szCs w:val="18"/>
          <w:vertAlign w:val="subscript"/>
          <w:lang w:val="en-GB"/>
        </w:rPr>
        <w:t>2</w:t>
      </w:r>
      <w:r w:rsidRPr="00E22596">
        <w:rPr>
          <w:szCs w:val="18"/>
          <w:vertAlign w:val="superscript"/>
          <w:lang w:val="en-GB"/>
        </w:rPr>
        <w:t>−</w:t>
      </w:r>
      <w:r w:rsidRPr="00E22596">
        <w:rPr>
          <w:szCs w:val="18"/>
          <w:lang w:val="en-GB"/>
        </w:rPr>
        <w:t> and AS concentrations. Finally, a marked reduction of NO</w:t>
      </w:r>
      <w:r w:rsidRPr="00E22596">
        <w:rPr>
          <w:szCs w:val="18"/>
          <w:vertAlign w:val="subscript"/>
          <w:lang w:val="en-GB"/>
        </w:rPr>
        <w:t>2</w:t>
      </w:r>
      <w:r w:rsidRPr="00E22596">
        <w:rPr>
          <w:szCs w:val="18"/>
          <w:vertAlign w:val="superscript"/>
          <w:lang w:val="en-GB"/>
        </w:rPr>
        <w:t>−</w:t>
      </w:r>
      <w:r w:rsidRPr="00E22596">
        <w:rPr>
          <w:szCs w:val="18"/>
          <w:lang w:val="en-GB"/>
        </w:rPr>
        <w:t> was observed when increasing AS concentration, suggesting that higher concentrations of NO</w:t>
      </w:r>
      <w:r w:rsidRPr="00E22596">
        <w:rPr>
          <w:szCs w:val="18"/>
          <w:vertAlign w:val="subscript"/>
          <w:lang w:val="en-GB"/>
        </w:rPr>
        <w:t>2</w:t>
      </w:r>
      <w:r w:rsidRPr="00E22596">
        <w:rPr>
          <w:szCs w:val="18"/>
          <w:vertAlign w:val="superscript"/>
          <w:lang w:val="en-GB"/>
        </w:rPr>
        <w:t>−</w:t>
      </w:r>
      <w:r w:rsidRPr="00E22596">
        <w:rPr>
          <w:szCs w:val="18"/>
          <w:lang w:val="en-GB"/>
        </w:rPr>
        <w:t> compared to NO</w:t>
      </w:r>
      <w:r w:rsidRPr="00E22596">
        <w:rPr>
          <w:szCs w:val="18"/>
          <w:vertAlign w:val="subscript"/>
          <w:lang w:val="en-GB"/>
        </w:rPr>
        <w:t>3</w:t>
      </w:r>
      <w:r w:rsidRPr="00E22596">
        <w:rPr>
          <w:szCs w:val="18"/>
          <w:vertAlign w:val="superscript"/>
          <w:lang w:val="en-GB"/>
        </w:rPr>
        <w:t>−</w:t>
      </w:r>
      <w:r w:rsidRPr="00E22596">
        <w:rPr>
          <w:szCs w:val="18"/>
          <w:lang w:val="en-GB"/>
        </w:rPr>
        <w:t xml:space="preserve"> are required </w:t>
      </w:r>
      <w:r w:rsidR="00F54A1F">
        <w:rPr>
          <w:szCs w:val="18"/>
          <w:lang w:val="en-GB"/>
        </w:rPr>
        <w:t>for</w:t>
      </w:r>
      <w:r w:rsidRPr="00E22596">
        <w:rPr>
          <w:szCs w:val="18"/>
          <w:lang w:val="en-GB"/>
        </w:rPr>
        <w:t xml:space="preserve"> complete biological oxidation of odorants during wastewater treatment.</w:t>
      </w:r>
    </w:p>
    <w:p w14:paraId="6509AFB2" w14:textId="77777777" w:rsidR="00AB10BB" w:rsidRPr="00B57B36" w:rsidRDefault="00AB10BB" w:rsidP="00AB10BB">
      <w:pPr>
        <w:pStyle w:val="CETHeading1"/>
        <w:rPr>
          <w:lang w:val="en-GB"/>
        </w:rPr>
      </w:pPr>
      <w:r w:rsidRPr="00B57B36">
        <w:rPr>
          <w:lang w:val="en-GB"/>
        </w:rPr>
        <w:t>Introduction</w:t>
      </w:r>
    </w:p>
    <w:p w14:paraId="7DF8024A" w14:textId="22873852" w:rsidR="00DA17BF" w:rsidRDefault="002B5F4E" w:rsidP="00DA17BF">
      <w:pPr>
        <w:pStyle w:val="CETBodytext"/>
        <w:rPr>
          <w:lang w:val="en-GB"/>
        </w:rPr>
      </w:pPr>
      <w:r>
        <w:rPr>
          <w:lang w:val="en-GB"/>
        </w:rPr>
        <w:t>O</w:t>
      </w:r>
      <w:r w:rsidRPr="00AB10BB">
        <w:rPr>
          <w:lang w:val="en-GB"/>
        </w:rPr>
        <w:t>ne of the main concerns associated with Wastewater Treatment Plants (WWTPs)</w:t>
      </w:r>
      <w:r>
        <w:rPr>
          <w:lang w:val="en-GB"/>
        </w:rPr>
        <w:t xml:space="preserve"> is t</w:t>
      </w:r>
      <w:r w:rsidR="00AB10BB" w:rsidRPr="00AB10BB">
        <w:rPr>
          <w:lang w:val="en-GB"/>
        </w:rPr>
        <w:t xml:space="preserve">he emissions of malodours </w:t>
      </w:r>
      <w:r w:rsidR="005F0063" w:rsidRPr="005F0063">
        <w:rPr>
          <w:lang w:val="en-GB"/>
        </w:rPr>
        <w:fldChar w:fldCharType="begin" w:fldLock="1"/>
      </w:r>
      <w:r w:rsidR="005F0063" w:rsidRPr="005F0063">
        <w:rPr>
          <w:lang w:val="en-GB"/>
        </w:rPr>
        <w:instrText>ADDIN CSL_CITATION {"citationItems":[{"id":"ITEM-1","itemData":{"DOI":"10.1016/J.ENVRES.2016.08.030","ISSN":"0013-9351","abstract":"Odors emitted from municipal wastewater treatment plants belong to a group of pollutants, which is the main cause of people complaining about atmospheric air quality. The limitation of emissions of unpleasant odors generated by wastewater treatment plants by using appropriate deodorization methods is omitted on numerous occasions. This can have a negative influence on public trust and the quality of atmospheric air. The article presents basic information on the characteristics of odors from wastewater treatment lines and wastewater processing and management lines in a model biological wastewater treatment plant conducting the biogas recovery process and also information is provided on deodorization methods, such as odor masking, biofiltration, thermal disposal and diffusion through activated sludge dedicated to neutralization of odors in biological treatment plants. The main focus is on the field olfactometry technique, which is one of the tools used in environmental protection. Its application facilitates performance of tests concerning the assessment of olfactory properties of odorants in polluted air.","author":[{"dropping-particle":"","family":"Lewkowska","given":"Paulina","non-dropping-particle":"","parse-names":false,"suffix":""},{"dropping-particle":"","family":"Cieślik","given":"Bartłomiej","non-dropping-particle":"","parse-names":false,"suffix":""},{"dropping-particle":"","family":"Dymerski","given":"Tomasz","non-dropping-particle":"","parse-names":false,"suffix":""},{"dropping-particle":"","family":"Konieczka","given":"Piotr","non-dropping-particle":"","parse-names":false,"suffix":""},{"dropping-particle":"","family":"Namieśnik","given":"Jacek","non-dropping-particle":"","parse-names":false,"suffix":""}],"container-title":"Environmental Research","id":"ITEM-1","issued":{"date-parts":[["2016","11","1"]]},"page":"573-586","publisher":"Academic Press","title":"Characteristics of odors emitted from municipal wastewater treatment plant and methods for their identification and deodorization techniques","type":"article-journal","volume":"151"},"uris":["http://www.mendeley.com/documents/?uuid=11889bee-9255-353e-80c9-96cc3591289f"]}],"mendeley":{"formattedCitation":"(Lewkowska et al., 2016)","plainTextFormattedCitation":"(Lewkowska et al., 2016)","previouslyFormattedCitation":"(Lewkowska et al., 2016)"},"properties":{"noteIndex":0},"schema":"https://github.com/citation-style-language/schema/raw/master/csl-citation.json"}</w:instrText>
      </w:r>
      <w:r w:rsidR="005F0063" w:rsidRPr="005F0063">
        <w:rPr>
          <w:lang w:val="en-GB"/>
        </w:rPr>
        <w:fldChar w:fldCharType="separate"/>
      </w:r>
      <w:r w:rsidR="005F0063" w:rsidRPr="005F0063">
        <w:rPr>
          <w:lang w:val="en-GB"/>
        </w:rPr>
        <w:t>(Lewkowska et al., 2016)</w:t>
      </w:r>
      <w:r w:rsidR="005F0063" w:rsidRPr="005F0063">
        <w:rPr>
          <w:lang w:val="en-GB"/>
        </w:rPr>
        <w:fldChar w:fldCharType="end"/>
      </w:r>
      <w:r w:rsidR="00AB10BB" w:rsidRPr="00AB10BB">
        <w:rPr>
          <w:lang w:val="en-GB"/>
        </w:rPr>
        <w:t xml:space="preserve">. Volatile sulphur compounds (VSCs) and volatile organic compounds (VOCs) rank among the most typical compounds that contribute to the wastewater management odour footprint </w:t>
      </w:r>
      <w:r w:rsidR="005F0063" w:rsidRPr="005F0063">
        <w:rPr>
          <w:lang w:val="en-GB"/>
        </w:rPr>
        <w:fldChar w:fldCharType="begin" w:fldLock="1"/>
      </w:r>
      <w:r w:rsidR="005F0063" w:rsidRPr="005F0063">
        <w:rPr>
          <w:lang w:val="en-GB"/>
        </w:rPr>
        <w:instrText>ADDIN CSL_CITATION {"citationItems":[{"id":"ITEM-1","itemData":{"DOI":"10.1080/10643380903300000","ISSN":"1064-3389","abstract":"The stricter environmental regulations, encroachment of residential areas on wastewater treatment plants (WWTPs), and increasing public expectations on privatized water companies have resulted in an increase in the number of public odor complaints during the last decades. Despite not being a direct cause of disease, long-term exposure to high-strength odorant emissions actually does negatively affect human health (e.g., causing nausea, headaches, respiratory problems). Therefore, the minimization and abatement of unpleasant odor emissions are becoming two of the major challenges for WWTP utilities worldwide. However, information regarding odor formation, sources, sampling, characterization, impact assessment, and control techniques is rather sparse in the literature. Therefore, there is a need for an integrated approach to odor assessment and management.","author":[{"dropping-particle":"","family":"Lebrero","given":"Raquel","non-dropping-particle":"","parse-names":false,"suffix":""},{"dropping-particle":"","family":"Bouchy","given":"Lynne","non-dropping-particle":"","parse-names":false,"suffix":""},{"dropping-particle":"","family":"Stuetz","given":"Richard","non-dropping-particle":"","parse-names":false,"suffix":""},{"dropping-particle":"","family":"Muñoz","given":"Raúl","non-dropping-particle":"","parse-names":false,"suffix":""}],"container-title":"Critical Reviews in Environmental Science and Technology","id":"ITEM-1","issue":"10","issued":{"date-parts":[["2011","4"]]},"page":"915-950","publisher":" Taylor &amp; Francis Group ","title":"Odor Assessment and Management in Wastewater Treatment Plants: A Review","type":"article-journal","volume":"41"},"uris":["http://www.mendeley.com/documents/?uuid=d82b43d5-db0e-4d97-8854-88f241381e23"]}],"mendeley":{"formattedCitation":"(Lebrero et al., 2011)","plainTextFormattedCitation":"(Lebrero et al., 2011)","previouslyFormattedCitation":"(Lebrero et al., 2011)"},"properties":{"noteIndex":0},"schema":"https://github.com/citation-style-language/schema/raw/master/csl-citation.json"}</w:instrText>
      </w:r>
      <w:r w:rsidR="005F0063" w:rsidRPr="005F0063">
        <w:rPr>
          <w:lang w:val="en-GB"/>
        </w:rPr>
        <w:fldChar w:fldCharType="separate"/>
      </w:r>
      <w:r w:rsidR="005F0063" w:rsidRPr="005F0063">
        <w:rPr>
          <w:lang w:val="en-GB"/>
        </w:rPr>
        <w:t>(</w:t>
      </w:r>
      <w:r w:rsidR="007B2457">
        <w:rPr>
          <w:lang w:val="en-GB"/>
        </w:rPr>
        <w:t xml:space="preserve">Hu and Liu, 2018; </w:t>
      </w:r>
      <w:r w:rsidR="005F0063" w:rsidRPr="005F0063">
        <w:rPr>
          <w:lang w:val="en-GB"/>
        </w:rPr>
        <w:t>Lebrero et al., 2011)</w:t>
      </w:r>
      <w:r w:rsidR="005F0063" w:rsidRPr="005F0063">
        <w:rPr>
          <w:lang w:val="en-GB"/>
        </w:rPr>
        <w:fldChar w:fldCharType="end"/>
      </w:r>
      <w:r w:rsidR="00AB10BB" w:rsidRPr="00AB10BB">
        <w:rPr>
          <w:lang w:val="en-GB"/>
        </w:rPr>
        <w:t xml:space="preserve">. </w:t>
      </w:r>
      <w:proofErr w:type="gramStart"/>
      <w:r w:rsidR="00AB10BB" w:rsidRPr="00AB10BB">
        <w:rPr>
          <w:lang w:val="en-GB"/>
        </w:rPr>
        <w:t>In particular, hydrogen</w:t>
      </w:r>
      <w:proofErr w:type="gramEnd"/>
      <w:r w:rsidR="00AB10BB" w:rsidRPr="00AB10BB">
        <w:rPr>
          <w:lang w:val="en-GB"/>
        </w:rPr>
        <w:t xml:space="preserve"> sulphide (H</w:t>
      </w:r>
      <w:r w:rsidR="00AB10BB" w:rsidRPr="00AB10BB">
        <w:rPr>
          <w:vertAlign w:val="subscript"/>
          <w:lang w:val="en-GB"/>
        </w:rPr>
        <w:t>2</w:t>
      </w:r>
      <w:r w:rsidR="00AB10BB" w:rsidRPr="00AB10BB">
        <w:rPr>
          <w:lang w:val="en-GB"/>
        </w:rPr>
        <w:t xml:space="preserve">S) and volatile fatty acids (VFAs) emissions are the main responsible of odour nuisance in WWTPs </w:t>
      </w:r>
      <w:r w:rsidR="006D4FFA" w:rsidRPr="006D4FFA">
        <w:rPr>
          <w:lang w:val="en-GB"/>
        </w:rPr>
        <w:t>(</w:t>
      </w:r>
      <w:proofErr w:type="spellStart"/>
      <w:r w:rsidR="00F6070B">
        <w:rPr>
          <w:lang w:val="en-GB"/>
        </w:rPr>
        <w:t>Beghi</w:t>
      </w:r>
      <w:proofErr w:type="spellEnd"/>
      <w:r w:rsidR="00F6070B">
        <w:rPr>
          <w:lang w:val="en-GB"/>
        </w:rPr>
        <w:t xml:space="preserve"> et al., 2012; </w:t>
      </w:r>
      <w:proofErr w:type="spellStart"/>
      <w:r w:rsidR="006D4FFA" w:rsidRPr="006D4FFA">
        <w:rPr>
          <w:lang w:val="en-GB"/>
        </w:rPr>
        <w:t>Dinçer</w:t>
      </w:r>
      <w:proofErr w:type="spellEnd"/>
      <w:r w:rsidR="006D4FFA" w:rsidRPr="006D4FFA">
        <w:rPr>
          <w:lang w:val="en-GB"/>
        </w:rPr>
        <w:t xml:space="preserve"> et al., 2020</w:t>
      </w:r>
      <w:r w:rsidR="006D4FFA">
        <w:rPr>
          <w:lang w:val="en-GB"/>
        </w:rPr>
        <w:t>)</w:t>
      </w:r>
      <w:r w:rsidR="00AB10BB" w:rsidRPr="00AB10BB">
        <w:rPr>
          <w:lang w:val="en-GB"/>
        </w:rPr>
        <w:t xml:space="preserve">. </w:t>
      </w:r>
      <w:r>
        <w:rPr>
          <w:lang w:val="en-GB"/>
        </w:rPr>
        <w:t>P</w:t>
      </w:r>
      <w:r w:rsidR="00C570A3" w:rsidRPr="00C570A3">
        <w:rPr>
          <w:lang w:val="en-GB"/>
        </w:rPr>
        <w:t xml:space="preserve">hysical-chemical </w:t>
      </w:r>
      <w:r w:rsidR="00EF1348">
        <w:rPr>
          <w:lang w:val="en-GB"/>
        </w:rPr>
        <w:t>treatment</w:t>
      </w:r>
      <w:r w:rsidR="00C570A3" w:rsidRPr="00C570A3">
        <w:rPr>
          <w:lang w:val="en-GB"/>
        </w:rPr>
        <w:t xml:space="preserve"> have been previously </w:t>
      </w:r>
      <w:r w:rsidR="00EF1348">
        <w:rPr>
          <w:lang w:val="en-GB"/>
        </w:rPr>
        <w:t>tested</w:t>
      </w:r>
      <w:r w:rsidR="00C570A3" w:rsidRPr="00C570A3">
        <w:rPr>
          <w:lang w:val="en-GB"/>
        </w:rPr>
        <w:t xml:space="preserve"> in literature to </w:t>
      </w:r>
      <w:r w:rsidR="00EF1348">
        <w:rPr>
          <w:lang w:val="en-GB"/>
        </w:rPr>
        <w:t>mitigate</w:t>
      </w:r>
      <w:r w:rsidR="00C570A3" w:rsidRPr="00C570A3">
        <w:rPr>
          <w:lang w:val="en-GB"/>
        </w:rPr>
        <w:t xml:space="preserve"> the emission of </w:t>
      </w:r>
      <w:r w:rsidR="00EF1348">
        <w:rPr>
          <w:lang w:val="en-GB"/>
        </w:rPr>
        <w:t>odorants</w:t>
      </w:r>
      <w:r w:rsidR="00C570A3" w:rsidRPr="00C570A3">
        <w:rPr>
          <w:lang w:val="en-GB"/>
        </w:rPr>
        <w:t xml:space="preserve"> </w:t>
      </w:r>
      <w:r w:rsidR="00EF1348">
        <w:rPr>
          <w:lang w:val="en-GB"/>
        </w:rPr>
        <w:t>from</w:t>
      </w:r>
      <w:r w:rsidR="00C570A3" w:rsidRPr="00C570A3">
        <w:rPr>
          <w:lang w:val="en-GB"/>
        </w:rPr>
        <w:t xml:space="preserve"> wastewater treatment</w:t>
      </w:r>
      <w:r w:rsidR="00C570A3">
        <w:rPr>
          <w:lang w:val="en-GB"/>
        </w:rPr>
        <w:t xml:space="preserve">. However, </w:t>
      </w:r>
      <w:r w:rsidR="007157BB">
        <w:rPr>
          <w:lang w:val="en-GB"/>
        </w:rPr>
        <w:t xml:space="preserve">these conventional solutions present important disadvantages such as </w:t>
      </w:r>
      <w:r w:rsidR="00317FCD">
        <w:rPr>
          <w:lang w:val="en-GB"/>
        </w:rPr>
        <w:t xml:space="preserve">the use of chemicals and </w:t>
      </w:r>
      <w:r w:rsidR="007157BB" w:rsidRPr="007157BB">
        <w:rPr>
          <w:lang w:val="en-GB"/>
        </w:rPr>
        <w:t>energy consumption</w:t>
      </w:r>
      <w:r w:rsidR="00C570A3" w:rsidRPr="00C570A3">
        <w:rPr>
          <w:lang w:val="en-GB"/>
        </w:rPr>
        <w:t>.</w:t>
      </w:r>
      <w:r w:rsidR="009A0A05">
        <w:rPr>
          <w:lang w:val="en-GB"/>
        </w:rPr>
        <w:t xml:space="preserve"> </w:t>
      </w:r>
      <w:r w:rsidR="00E85212">
        <w:rPr>
          <w:lang w:val="en-GB"/>
        </w:rPr>
        <w:t>For this reason</w:t>
      </w:r>
      <w:r w:rsidR="00AB10BB" w:rsidRPr="00AB10BB">
        <w:rPr>
          <w:lang w:val="en-GB"/>
        </w:rPr>
        <w:t xml:space="preserve">, biological odour prevention methods have emerged as an economically and environmentally sustainable alternative for the minimization of odour pollution in WWTPs. </w:t>
      </w:r>
      <w:r w:rsidR="00E85212">
        <w:rPr>
          <w:lang w:val="en-GB"/>
        </w:rPr>
        <w:t xml:space="preserve">In this context, </w:t>
      </w:r>
      <w:r w:rsidR="00C570A3" w:rsidRPr="00C570A3">
        <w:rPr>
          <w:lang w:val="en-GB"/>
        </w:rPr>
        <w:t xml:space="preserve">the recirculation to the headworks of nitrates derived from </w:t>
      </w:r>
      <w:proofErr w:type="spellStart"/>
      <w:r w:rsidR="00C570A3" w:rsidRPr="00C570A3">
        <w:rPr>
          <w:lang w:val="en-GB"/>
        </w:rPr>
        <w:t>centrate</w:t>
      </w:r>
      <w:proofErr w:type="spellEnd"/>
      <w:r w:rsidR="00C570A3" w:rsidRPr="00C570A3">
        <w:rPr>
          <w:lang w:val="en-GB"/>
        </w:rPr>
        <w:t xml:space="preserve"> oxidation and activated sludge (AS) from the secondary settler c</w:t>
      </w:r>
      <w:r w:rsidR="00E85212">
        <w:rPr>
          <w:lang w:val="en-GB"/>
        </w:rPr>
        <w:t xml:space="preserve">ould </w:t>
      </w:r>
      <w:r w:rsidR="00C570A3" w:rsidRPr="00C570A3">
        <w:rPr>
          <w:lang w:val="en-GB"/>
        </w:rPr>
        <w:t>foster the adsorption and further oxidation of VSCs and VOCs in the raw wastewater.</w:t>
      </w:r>
      <w:r w:rsidR="00C570A3">
        <w:rPr>
          <w:lang w:val="en-GB"/>
        </w:rPr>
        <w:t xml:space="preserve"> </w:t>
      </w:r>
      <w:r w:rsidR="00AB10BB" w:rsidRPr="00AB10BB">
        <w:rPr>
          <w:lang w:val="en-GB"/>
        </w:rPr>
        <w:t xml:space="preserve">More specifically, activated sludge recycling (ASR) </w:t>
      </w:r>
      <w:r w:rsidR="00500109">
        <w:rPr>
          <w:lang w:val="en-GB"/>
        </w:rPr>
        <w:t xml:space="preserve">is based on </w:t>
      </w:r>
      <w:r w:rsidR="00AB10BB" w:rsidRPr="00AB10BB">
        <w:rPr>
          <w:lang w:val="en-GB"/>
        </w:rPr>
        <w:t xml:space="preserve">the recirculation of waste activated sludge from the secondary </w:t>
      </w:r>
      <w:r w:rsidR="00500109">
        <w:rPr>
          <w:lang w:val="en-GB"/>
        </w:rPr>
        <w:t>settler</w:t>
      </w:r>
      <w:r w:rsidR="00AB10BB" w:rsidRPr="00AB10BB">
        <w:rPr>
          <w:lang w:val="en-GB"/>
        </w:rPr>
        <w:t xml:space="preserve"> or mixed liquor of the nitrification tank to the WWTP headworks. These </w:t>
      </w:r>
      <w:r w:rsidR="00500109">
        <w:rPr>
          <w:lang w:val="en-GB"/>
        </w:rPr>
        <w:t>AS</w:t>
      </w:r>
      <w:r w:rsidR="00AB10BB" w:rsidRPr="00AB10BB">
        <w:rPr>
          <w:lang w:val="en-GB"/>
        </w:rPr>
        <w:t xml:space="preserve"> </w:t>
      </w:r>
      <w:r w:rsidR="00AB10BB" w:rsidRPr="00AB10BB">
        <w:rPr>
          <w:lang w:val="en-GB"/>
        </w:rPr>
        <w:lastRenderedPageBreak/>
        <w:t xml:space="preserve">streams can adsorb and biologically oxidize most biogenic dissolved odorous compounds (e.g., sulphide, volatile fatty acids) in </w:t>
      </w:r>
      <w:r w:rsidR="00500109">
        <w:rPr>
          <w:lang w:val="en-GB"/>
        </w:rPr>
        <w:t>the influent</w:t>
      </w:r>
      <w:r w:rsidR="00AB10BB" w:rsidRPr="00AB10BB">
        <w:rPr>
          <w:lang w:val="en-GB"/>
        </w:rPr>
        <w:t xml:space="preserve"> </w:t>
      </w:r>
      <w:r w:rsidR="006D4FFA" w:rsidRPr="006D4FFA">
        <w:rPr>
          <w:lang w:val="en-GB"/>
        </w:rPr>
        <w:fldChar w:fldCharType="begin" w:fldLock="1"/>
      </w:r>
      <w:r w:rsidR="006D4FFA" w:rsidRPr="006D4FFA">
        <w:rPr>
          <w:lang w:val="en-GB"/>
        </w:rPr>
        <w:instrText>ADDIN CSL_CITATION {"citationItems":[{"id":"ITEM-1","itemData":{"DOI":"10.2175/193864712811700363","ISSN":"19386478","author":[{"dropping-particle":"","family":"Kiesewetter","given":"Jonathan","non-dropping-particle":"","parse-names":false,"suffix":""},{"dropping-particle":"","family":"Kraakman","given":"Bart","non-dropping-particle":"","parse-names":false,"suffix":""},{"dropping-particle":"","family":"Cesca","given":"Josef","non-dropping-particle":"","parse-names":false,"suffix":""},{"dropping-particle":"","family":"Trainor","given":"Sean","non-dropping-particle":"","parse-names":false,"suffix":""},{"dropping-particle":"","family":"Witherspoon","given":"Jay","non-dropping-particle":"","parse-names":false,"suffix":""}],"container-title":"Proceedings of the Water Environment Federation","id":"ITEM-1","issue":"3","issued":{"date-parts":[["2014","4","19"]]},"page":"600-614","publisher":"Water Environment Federation","title":"Expanding the Use of Activated Sludge at Biological Waste Water Treatment Plants for Odor Control","type":"article-journal","volume":"2012"},"uris":["http://www.mendeley.com/documents/?uuid=2e11cc97-2b52-3f15-9123-e75115f613c1"]}],"mendeley":{"formattedCitation":"(Kiesewetter et al., 2014)","plainTextFormattedCitation":"(Kiesewetter et al., 2014)","previouslyFormattedCitation":"(Kiesewetter et al., 2014)"},"properties":{"noteIndex":0},"schema":"https://github.com/citation-style-language/schema/raw/master/csl-citation.json"}</w:instrText>
      </w:r>
      <w:r w:rsidR="006D4FFA" w:rsidRPr="006D4FFA">
        <w:rPr>
          <w:lang w:val="en-GB"/>
        </w:rPr>
        <w:fldChar w:fldCharType="separate"/>
      </w:r>
      <w:r w:rsidR="006D4FFA" w:rsidRPr="006D4FFA">
        <w:rPr>
          <w:lang w:val="en-GB"/>
        </w:rPr>
        <w:t>(Kiesewetter et al., 2014)</w:t>
      </w:r>
      <w:r w:rsidR="006D4FFA" w:rsidRPr="006D4FFA">
        <w:rPr>
          <w:lang w:val="en-GB"/>
        </w:rPr>
        <w:fldChar w:fldCharType="end"/>
      </w:r>
      <w:r w:rsidR="00AB10BB" w:rsidRPr="00AB10BB">
        <w:rPr>
          <w:lang w:val="en-GB"/>
        </w:rPr>
        <w:t>. Similarly, oxidized ammonium recycling (OAR) consists of the recycling of residual streams rich in nitrate (N-NO</w:t>
      </w:r>
      <w:r w:rsidR="00AB10BB" w:rsidRPr="00AB10BB">
        <w:rPr>
          <w:vertAlign w:val="subscript"/>
          <w:lang w:val="en-GB"/>
        </w:rPr>
        <w:t>3</w:t>
      </w:r>
      <w:r w:rsidR="00AB10BB" w:rsidRPr="00AB10BB">
        <w:rPr>
          <w:vertAlign w:val="superscript"/>
          <w:lang w:val="en-GB"/>
        </w:rPr>
        <w:t>-</w:t>
      </w:r>
      <w:r w:rsidR="00AB10BB" w:rsidRPr="00AB10BB">
        <w:rPr>
          <w:lang w:val="en-GB"/>
        </w:rPr>
        <w:t>) or nitrite (N-NO</w:t>
      </w:r>
      <w:r w:rsidR="00AB10BB" w:rsidRPr="00AB10BB">
        <w:rPr>
          <w:vertAlign w:val="subscript"/>
          <w:lang w:val="en-GB"/>
        </w:rPr>
        <w:t>2</w:t>
      </w:r>
      <w:r w:rsidR="00AB10BB" w:rsidRPr="00AB10BB">
        <w:rPr>
          <w:vertAlign w:val="superscript"/>
          <w:lang w:val="en-GB"/>
        </w:rPr>
        <w:t>-</w:t>
      </w:r>
      <w:r w:rsidR="00AB10BB" w:rsidRPr="00AB10BB">
        <w:rPr>
          <w:lang w:val="en-GB"/>
        </w:rPr>
        <w:t xml:space="preserve">) to the WWTP headworks. The addition of nitrate or nitrite as electron acceptors to the influent wastewater promotes an </w:t>
      </w:r>
      <w:r w:rsidR="00AB10BB" w:rsidRPr="00AB10BB">
        <w:rPr>
          <w:i/>
          <w:lang w:val="en-GB"/>
        </w:rPr>
        <w:t>in-situ</w:t>
      </w:r>
      <w:r w:rsidR="00AB10BB" w:rsidRPr="00AB10BB">
        <w:rPr>
          <w:lang w:val="en-GB"/>
        </w:rPr>
        <w:t xml:space="preserve"> anoxic odorant oxidation </w:t>
      </w:r>
      <w:r w:rsidR="00AD0D99" w:rsidRPr="00AD0D99">
        <w:rPr>
          <w:lang w:val="en-GB"/>
        </w:rPr>
        <w:t>(Estrada et al., 2015</w:t>
      </w:r>
      <w:r w:rsidR="00AD0D99">
        <w:rPr>
          <w:lang w:val="en-GB"/>
        </w:rPr>
        <w:t>)</w:t>
      </w:r>
      <w:r w:rsidR="00AB10BB" w:rsidRPr="00AB10BB">
        <w:rPr>
          <w:lang w:val="en-GB"/>
        </w:rPr>
        <w:t xml:space="preserve">. The present work evaluates the influence of the concentrations of fresh activated sludge, </w:t>
      </w:r>
      <w:proofErr w:type="gramStart"/>
      <w:r w:rsidR="00AB10BB" w:rsidRPr="00AB10BB">
        <w:rPr>
          <w:lang w:val="en-GB"/>
        </w:rPr>
        <w:t>nitrate</w:t>
      </w:r>
      <w:proofErr w:type="gramEnd"/>
      <w:r w:rsidR="00AB10BB" w:rsidRPr="00AB10BB">
        <w:rPr>
          <w:lang w:val="en-GB"/>
        </w:rPr>
        <w:t xml:space="preserve"> and nitrite on the removal of H</w:t>
      </w:r>
      <w:r w:rsidR="00AB10BB" w:rsidRPr="00AB10BB">
        <w:rPr>
          <w:vertAlign w:val="subscript"/>
          <w:lang w:val="en-GB"/>
        </w:rPr>
        <w:t>2</w:t>
      </w:r>
      <w:r w:rsidR="00AB10BB" w:rsidRPr="00AB10BB">
        <w:rPr>
          <w:lang w:val="en-GB"/>
        </w:rPr>
        <w:t>S, acetic acid and α-pinene, here selected as model odorants.</w:t>
      </w:r>
    </w:p>
    <w:p w14:paraId="053A4D12" w14:textId="77777777" w:rsidR="00DA17BF" w:rsidRDefault="00DA17BF" w:rsidP="00DA17BF">
      <w:pPr>
        <w:pStyle w:val="CETBodytext"/>
        <w:rPr>
          <w:lang w:val="en-GB"/>
        </w:rPr>
      </w:pPr>
    </w:p>
    <w:p w14:paraId="2BE4B83F" w14:textId="00523EE5" w:rsidR="00DA17BF" w:rsidRPr="00DA17BF" w:rsidRDefault="00DA17BF" w:rsidP="00DA17BF">
      <w:pPr>
        <w:pStyle w:val="CETBodytext"/>
        <w:rPr>
          <w:b/>
          <w:bCs/>
          <w:sz w:val="20"/>
          <w:lang w:val="en-GB"/>
        </w:rPr>
      </w:pPr>
      <w:r w:rsidRPr="00DA17BF">
        <w:rPr>
          <w:b/>
          <w:bCs/>
          <w:sz w:val="20"/>
          <w:lang w:val="en-GB"/>
        </w:rPr>
        <w:t xml:space="preserve">2. </w:t>
      </w:r>
      <w:r w:rsidR="00AB10BB" w:rsidRPr="00DA17BF">
        <w:rPr>
          <w:b/>
          <w:bCs/>
          <w:sz w:val="20"/>
          <w:lang w:val="en-GB"/>
        </w:rPr>
        <w:t>Materials and methods</w:t>
      </w:r>
    </w:p>
    <w:p w14:paraId="194767A2" w14:textId="77777777" w:rsidR="00CE2CC6" w:rsidRDefault="006B16C5" w:rsidP="00CE2CC6">
      <w:pPr>
        <w:pStyle w:val="CETHeading1"/>
        <w:numPr>
          <w:ilvl w:val="0"/>
          <w:numId w:val="0"/>
        </w:numPr>
        <w:rPr>
          <w:sz w:val="18"/>
          <w:szCs w:val="18"/>
        </w:rPr>
      </w:pPr>
      <w:r w:rsidRPr="00DA17BF">
        <w:rPr>
          <w:sz w:val="18"/>
          <w:szCs w:val="18"/>
        </w:rPr>
        <w:t>2.1 Synthetic wastewater</w:t>
      </w:r>
      <w:r w:rsidR="00CE2CC6">
        <w:rPr>
          <w:sz w:val="18"/>
          <w:szCs w:val="18"/>
        </w:rPr>
        <w:t xml:space="preserve"> </w:t>
      </w:r>
    </w:p>
    <w:p w14:paraId="2575561C" w14:textId="3E352E8B" w:rsidR="00CE2CC6" w:rsidRPr="00CE2CC6" w:rsidRDefault="00DA17BF" w:rsidP="00F11C62">
      <w:pPr>
        <w:pStyle w:val="CETHeading1"/>
        <w:numPr>
          <w:ilvl w:val="0"/>
          <w:numId w:val="0"/>
        </w:numPr>
        <w:spacing w:before="120"/>
        <w:jc w:val="both"/>
        <w:rPr>
          <w:sz w:val="18"/>
          <w:szCs w:val="18"/>
          <w:lang w:val="en-GB"/>
        </w:rPr>
      </w:pPr>
      <w:r w:rsidRPr="00CE2CC6">
        <w:rPr>
          <w:b w:val="0"/>
          <w:bCs/>
          <w:sz w:val="18"/>
          <w:szCs w:val="18"/>
        </w:rPr>
        <w:t xml:space="preserve">In order to mimic the </w:t>
      </w:r>
      <w:proofErr w:type="spellStart"/>
      <w:r w:rsidRPr="00CE2CC6">
        <w:rPr>
          <w:b w:val="0"/>
          <w:bCs/>
          <w:sz w:val="18"/>
          <w:szCs w:val="18"/>
        </w:rPr>
        <w:t>physico</w:t>
      </w:r>
      <w:proofErr w:type="spellEnd"/>
      <w:r w:rsidRPr="00CE2CC6">
        <w:rPr>
          <w:b w:val="0"/>
          <w:bCs/>
          <w:sz w:val="18"/>
          <w:szCs w:val="18"/>
        </w:rPr>
        <w:t>-chemical characteristics and composition of a model urban wastewater, a modified synthetic wastewater (SW) was prepared according to Bajaj et al. (2008) as follows (mg/L in tap water): 250 of glucose, 110 of meat extract, 160 of casein peptone, 30 of NH</w:t>
      </w:r>
      <w:r w:rsidRPr="00CE2CC6">
        <w:rPr>
          <w:b w:val="0"/>
          <w:bCs/>
          <w:sz w:val="18"/>
          <w:szCs w:val="18"/>
          <w:vertAlign w:val="subscript"/>
        </w:rPr>
        <w:t>2</w:t>
      </w:r>
      <w:r w:rsidRPr="00CE2CC6">
        <w:rPr>
          <w:b w:val="0"/>
          <w:bCs/>
          <w:sz w:val="18"/>
          <w:szCs w:val="18"/>
        </w:rPr>
        <w:t>COH</w:t>
      </w:r>
      <w:r w:rsidRPr="00CE2CC6">
        <w:rPr>
          <w:b w:val="0"/>
          <w:bCs/>
          <w:sz w:val="18"/>
          <w:szCs w:val="18"/>
          <w:vertAlign w:val="subscript"/>
        </w:rPr>
        <w:t>2</w:t>
      </w:r>
      <w:r w:rsidRPr="00CE2CC6">
        <w:rPr>
          <w:b w:val="0"/>
          <w:bCs/>
          <w:sz w:val="18"/>
          <w:szCs w:val="18"/>
        </w:rPr>
        <w:t>, 7 of NaCl, 4 of CaCl</w:t>
      </w:r>
      <w:r w:rsidRPr="00CE2CC6">
        <w:rPr>
          <w:b w:val="0"/>
          <w:bCs/>
          <w:sz w:val="18"/>
          <w:szCs w:val="18"/>
          <w:vertAlign w:val="subscript"/>
        </w:rPr>
        <w:t>2</w:t>
      </w:r>
      <w:r w:rsidRPr="00CE2CC6">
        <w:rPr>
          <w:b w:val="0"/>
          <w:bCs/>
          <w:sz w:val="18"/>
          <w:szCs w:val="18"/>
        </w:rPr>
        <w:t>·2H</w:t>
      </w:r>
      <w:r w:rsidRPr="00CE2CC6">
        <w:rPr>
          <w:b w:val="0"/>
          <w:bCs/>
          <w:sz w:val="18"/>
          <w:szCs w:val="18"/>
          <w:vertAlign w:val="subscript"/>
        </w:rPr>
        <w:t>2</w:t>
      </w:r>
      <w:r w:rsidRPr="00CE2CC6">
        <w:rPr>
          <w:b w:val="0"/>
          <w:bCs/>
          <w:sz w:val="18"/>
          <w:szCs w:val="18"/>
        </w:rPr>
        <w:t>O, 2 of MgSO</w:t>
      </w:r>
      <w:r w:rsidRPr="00CE2CC6">
        <w:rPr>
          <w:b w:val="0"/>
          <w:bCs/>
          <w:sz w:val="18"/>
          <w:szCs w:val="18"/>
          <w:vertAlign w:val="subscript"/>
        </w:rPr>
        <w:t>4</w:t>
      </w:r>
      <w:r w:rsidRPr="00CE2CC6">
        <w:rPr>
          <w:b w:val="0"/>
          <w:bCs/>
          <w:sz w:val="18"/>
          <w:szCs w:val="18"/>
        </w:rPr>
        <w:t>·7H</w:t>
      </w:r>
      <w:r w:rsidRPr="00CE2CC6">
        <w:rPr>
          <w:b w:val="0"/>
          <w:bCs/>
          <w:sz w:val="18"/>
          <w:szCs w:val="18"/>
          <w:vertAlign w:val="subscript"/>
        </w:rPr>
        <w:t>2</w:t>
      </w:r>
      <w:r w:rsidRPr="00CE2CC6">
        <w:rPr>
          <w:b w:val="0"/>
          <w:bCs/>
          <w:sz w:val="18"/>
          <w:szCs w:val="18"/>
        </w:rPr>
        <w:t>O, 112 of K</w:t>
      </w:r>
      <w:r w:rsidRPr="00CE2CC6">
        <w:rPr>
          <w:b w:val="0"/>
          <w:bCs/>
          <w:sz w:val="18"/>
          <w:szCs w:val="18"/>
          <w:vertAlign w:val="subscript"/>
        </w:rPr>
        <w:t>2</w:t>
      </w:r>
      <w:r w:rsidRPr="00CE2CC6">
        <w:rPr>
          <w:b w:val="0"/>
          <w:bCs/>
          <w:sz w:val="18"/>
          <w:szCs w:val="18"/>
        </w:rPr>
        <w:t>HPO</w:t>
      </w:r>
      <w:r w:rsidRPr="00CE2CC6">
        <w:rPr>
          <w:b w:val="0"/>
          <w:bCs/>
          <w:sz w:val="18"/>
          <w:szCs w:val="18"/>
          <w:vertAlign w:val="subscript"/>
        </w:rPr>
        <w:t>4</w:t>
      </w:r>
      <w:r w:rsidRPr="00CE2CC6">
        <w:rPr>
          <w:b w:val="0"/>
          <w:bCs/>
          <w:sz w:val="18"/>
          <w:szCs w:val="18"/>
        </w:rPr>
        <w:t>·3H</w:t>
      </w:r>
      <w:r w:rsidRPr="00CE2CC6">
        <w:rPr>
          <w:b w:val="0"/>
          <w:bCs/>
          <w:sz w:val="18"/>
          <w:szCs w:val="18"/>
          <w:vertAlign w:val="subscript"/>
        </w:rPr>
        <w:t>2</w:t>
      </w:r>
      <w:r w:rsidRPr="00CE2CC6">
        <w:rPr>
          <w:b w:val="0"/>
          <w:bCs/>
          <w:sz w:val="18"/>
          <w:szCs w:val="18"/>
        </w:rPr>
        <w:t>O, 0.5 of CuCl</w:t>
      </w:r>
      <w:r w:rsidRPr="00CE2CC6">
        <w:rPr>
          <w:b w:val="0"/>
          <w:bCs/>
          <w:sz w:val="18"/>
          <w:szCs w:val="18"/>
          <w:vertAlign w:val="subscript"/>
        </w:rPr>
        <w:t>2</w:t>
      </w:r>
      <w:r w:rsidRPr="00CE2CC6">
        <w:rPr>
          <w:b w:val="0"/>
          <w:bCs/>
          <w:sz w:val="18"/>
          <w:szCs w:val="18"/>
        </w:rPr>
        <w:t>·2H</w:t>
      </w:r>
      <w:r w:rsidRPr="00CE2CC6">
        <w:rPr>
          <w:b w:val="0"/>
          <w:bCs/>
          <w:sz w:val="18"/>
          <w:szCs w:val="18"/>
          <w:vertAlign w:val="subscript"/>
        </w:rPr>
        <w:t>2</w:t>
      </w:r>
      <w:r w:rsidRPr="00CE2CC6">
        <w:rPr>
          <w:b w:val="0"/>
          <w:bCs/>
          <w:sz w:val="18"/>
          <w:szCs w:val="18"/>
        </w:rPr>
        <w:t>O, and 1100 of NaHCO</w:t>
      </w:r>
      <w:r w:rsidRPr="00CE2CC6">
        <w:rPr>
          <w:b w:val="0"/>
          <w:bCs/>
          <w:sz w:val="18"/>
          <w:szCs w:val="18"/>
          <w:vertAlign w:val="subscript"/>
        </w:rPr>
        <w:t>3</w:t>
      </w:r>
      <w:r w:rsidRPr="00CE2CC6">
        <w:rPr>
          <w:b w:val="0"/>
          <w:bCs/>
          <w:sz w:val="18"/>
          <w:szCs w:val="18"/>
        </w:rPr>
        <w:t>.</w:t>
      </w:r>
    </w:p>
    <w:p w14:paraId="6660D724" w14:textId="77777777" w:rsidR="00CE2CC6" w:rsidRDefault="006B16C5" w:rsidP="00D5098E">
      <w:pPr>
        <w:pStyle w:val="CETheadingx"/>
      </w:pPr>
      <w:r w:rsidRPr="00CE2CC6">
        <w:t>2.2 Chemical odorants</w:t>
      </w:r>
      <w:r w:rsidR="00CE2CC6">
        <w:t xml:space="preserve"> </w:t>
      </w:r>
    </w:p>
    <w:p w14:paraId="60D242F8" w14:textId="69138433" w:rsidR="00DC6B8D" w:rsidRPr="00100AA3" w:rsidRDefault="00EE5A95" w:rsidP="00D5098E">
      <w:pPr>
        <w:pStyle w:val="CETheadingx"/>
        <w:rPr>
          <w:b w:val="0"/>
          <w:bCs w:val="0"/>
        </w:rPr>
      </w:pPr>
      <w:r w:rsidRPr="00100AA3">
        <w:rPr>
          <w:b w:val="0"/>
          <w:bCs w:val="0"/>
        </w:rPr>
        <w:t>In this study, hydrogen sulphide (H</w:t>
      </w:r>
      <w:r w:rsidRPr="00100AA3">
        <w:rPr>
          <w:b w:val="0"/>
          <w:bCs w:val="0"/>
          <w:vertAlign w:val="subscript"/>
        </w:rPr>
        <w:t>2</w:t>
      </w:r>
      <w:r w:rsidRPr="00100AA3">
        <w:rPr>
          <w:b w:val="0"/>
          <w:bCs w:val="0"/>
        </w:rPr>
        <w:t>S), acetic acid (C</w:t>
      </w:r>
      <w:r w:rsidRPr="00100AA3">
        <w:rPr>
          <w:b w:val="0"/>
          <w:bCs w:val="0"/>
          <w:vertAlign w:val="subscript"/>
        </w:rPr>
        <w:t>2</w:t>
      </w:r>
      <w:r w:rsidRPr="00100AA3">
        <w:rPr>
          <w:b w:val="0"/>
          <w:bCs w:val="0"/>
        </w:rPr>
        <w:t>H</w:t>
      </w:r>
      <w:r w:rsidRPr="00100AA3">
        <w:rPr>
          <w:b w:val="0"/>
          <w:bCs w:val="0"/>
          <w:vertAlign w:val="subscript"/>
        </w:rPr>
        <w:t>4</w:t>
      </w:r>
      <w:r w:rsidRPr="00100AA3">
        <w:rPr>
          <w:b w:val="0"/>
          <w:bCs w:val="0"/>
        </w:rPr>
        <w:t>O</w:t>
      </w:r>
      <w:r w:rsidRPr="00100AA3">
        <w:rPr>
          <w:b w:val="0"/>
          <w:bCs w:val="0"/>
          <w:vertAlign w:val="subscript"/>
        </w:rPr>
        <w:t>2</w:t>
      </w:r>
      <w:r w:rsidRPr="00100AA3">
        <w:rPr>
          <w:b w:val="0"/>
          <w:bCs w:val="0"/>
        </w:rPr>
        <w:t>) and α-pinene (C</w:t>
      </w:r>
      <w:r w:rsidRPr="00100AA3">
        <w:rPr>
          <w:b w:val="0"/>
          <w:bCs w:val="0"/>
          <w:vertAlign w:val="subscript"/>
        </w:rPr>
        <w:t>10</w:t>
      </w:r>
      <w:r w:rsidRPr="00100AA3">
        <w:rPr>
          <w:b w:val="0"/>
          <w:bCs w:val="0"/>
        </w:rPr>
        <w:t>H</w:t>
      </w:r>
      <w:r w:rsidRPr="00100AA3">
        <w:rPr>
          <w:b w:val="0"/>
          <w:bCs w:val="0"/>
          <w:vertAlign w:val="subscript"/>
        </w:rPr>
        <w:t>16</w:t>
      </w:r>
      <w:r w:rsidRPr="00100AA3">
        <w:rPr>
          <w:b w:val="0"/>
          <w:bCs w:val="0"/>
        </w:rPr>
        <w:t>) were used as</w:t>
      </w:r>
      <w:r w:rsidR="00DC6B8D" w:rsidRPr="00100AA3">
        <w:rPr>
          <w:b w:val="0"/>
          <w:bCs w:val="0"/>
        </w:rPr>
        <w:t xml:space="preserve"> model odorous compounds. Table 1 shows the </w:t>
      </w:r>
      <w:r w:rsidRPr="00100AA3">
        <w:rPr>
          <w:b w:val="0"/>
          <w:bCs w:val="0"/>
        </w:rPr>
        <w:t>chemical formula, odour perception, Henry solubility (</w:t>
      </w:r>
      <w:proofErr w:type="spellStart"/>
      <w:r w:rsidRPr="00100AA3">
        <w:rPr>
          <w:b w:val="0"/>
          <w:bCs w:val="0"/>
        </w:rPr>
        <w:t>H</w:t>
      </w:r>
      <w:r w:rsidRPr="00100AA3">
        <w:rPr>
          <w:b w:val="0"/>
          <w:bCs w:val="0"/>
          <w:vertAlign w:val="superscript"/>
        </w:rPr>
        <w:t>cc</w:t>
      </w:r>
      <w:proofErr w:type="spellEnd"/>
      <w:r w:rsidRPr="00100AA3">
        <w:rPr>
          <w:b w:val="0"/>
          <w:bCs w:val="0"/>
        </w:rPr>
        <w:t xml:space="preserve">), molecular weight and structure </w:t>
      </w:r>
      <w:r w:rsidR="00DC6B8D" w:rsidRPr="00100AA3">
        <w:rPr>
          <w:b w:val="0"/>
          <w:bCs w:val="0"/>
        </w:rPr>
        <w:t>of each volatile compound.</w:t>
      </w:r>
    </w:p>
    <w:p w14:paraId="5ACDAAB1" w14:textId="1CB764F3" w:rsidR="00DC6B8D" w:rsidRPr="00B57B36" w:rsidRDefault="00DC6B8D" w:rsidP="00DC6B8D">
      <w:pPr>
        <w:pStyle w:val="CETTabletitle"/>
      </w:pPr>
      <w:r w:rsidRPr="00B57B36">
        <w:t xml:space="preserve">Table 1: </w:t>
      </w:r>
      <w:r w:rsidRPr="00DC6B8D">
        <w:rPr>
          <w:lang w:val="en-US"/>
        </w:rPr>
        <w:t>Main characteristics of the model odorous compounds evaluated.</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25"/>
        <w:gridCol w:w="1116"/>
        <w:gridCol w:w="989"/>
        <w:gridCol w:w="1719"/>
        <w:gridCol w:w="1273"/>
        <w:gridCol w:w="1427"/>
        <w:gridCol w:w="1140"/>
      </w:tblGrid>
      <w:tr w:rsidR="00DA17BF" w:rsidRPr="00B57B36" w14:paraId="3533E89E" w14:textId="09F141D3" w:rsidTr="00DA17BF">
        <w:tc>
          <w:tcPr>
            <w:tcW w:w="1125" w:type="dxa"/>
            <w:tcBorders>
              <w:top w:val="single" w:sz="12" w:space="0" w:color="008000"/>
              <w:bottom w:val="single" w:sz="6" w:space="0" w:color="008000"/>
            </w:tcBorders>
            <w:shd w:val="clear" w:color="auto" w:fill="FFFFFF"/>
          </w:tcPr>
          <w:p w14:paraId="1F1A2EBB" w14:textId="6A5D655B" w:rsidR="00E9464E" w:rsidRPr="00E9464E" w:rsidRDefault="00E9464E" w:rsidP="00E9464E">
            <w:pPr>
              <w:pStyle w:val="CETBodytext"/>
              <w:jc w:val="center"/>
              <w:rPr>
                <w:b/>
                <w:bCs/>
                <w:lang w:val="en-GB"/>
              </w:rPr>
            </w:pPr>
            <w:r w:rsidRPr="00E9464E">
              <w:rPr>
                <w:b/>
                <w:bCs/>
                <w:lang w:val="en-GB"/>
              </w:rPr>
              <w:t>Compound</w:t>
            </w:r>
          </w:p>
        </w:tc>
        <w:tc>
          <w:tcPr>
            <w:tcW w:w="1116" w:type="dxa"/>
            <w:tcBorders>
              <w:top w:val="single" w:sz="12" w:space="0" w:color="008000"/>
              <w:bottom w:val="single" w:sz="6" w:space="0" w:color="008000"/>
            </w:tcBorders>
            <w:shd w:val="clear" w:color="auto" w:fill="FFFFFF"/>
          </w:tcPr>
          <w:p w14:paraId="4A7F7B06" w14:textId="00162B5E" w:rsidR="00E9464E" w:rsidRPr="00E9464E" w:rsidRDefault="00E9464E" w:rsidP="00E9464E">
            <w:pPr>
              <w:pStyle w:val="CETBodytext"/>
              <w:jc w:val="center"/>
              <w:rPr>
                <w:b/>
                <w:bCs/>
                <w:lang w:val="en-GB"/>
              </w:rPr>
            </w:pPr>
            <w:r w:rsidRPr="00E9464E">
              <w:rPr>
                <w:b/>
                <w:bCs/>
                <w:lang w:val="en-GB"/>
              </w:rPr>
              <w:t>Chemical formula</w:t>
            </w:r>
          </w:p>
        </w:tc>
        <w:tc>
          <w:tcPr>
            <w:tcW w:w="989" w:type="dxa"/>
            <w:tcBorders>
              <w:top w:val="single" w:sz="12" w:space="0" w:color="008000"/>
              <w:bottom w:val="single" w:sz="6" w:space="0" w:color="008000"/>
            </w:tcBorders>
            <w:shd w:val="clear" w:color="auto" w:fill="FFFFFF"/>
          </w:tcPr>
          <w:p w14:paraId="179F6CC6" w14:textId="0D10141E" w:rsidR="00E9464E" w:rsidRPr="00E9464E" w:rsidRDefault="00E9464E" w:rsidP="00E9464E">
            <w:pPr>
              <w:pStyle w:val="CETBodytext"/>
              <w:jc w:val="center"/>
              <w:rPr>
                <w:b/>
                <w:bCs/>
                <w:lang w:val="en-GB"/>
              </w:rPr>
            </w:pPr>
            <w:r w:rsidRPr="00E9464E">
              <w:rPr>
                <w:b/>
                <w:bCs/>
                <w:lang w:val="en-GB"/>
              </w:rPr>
              <w:t>Odour perception</w:t>
            </w:r>
          </w:p>
        </w:tc>
        <w:tc>
          <w:tcPr>
            <w:tcW w:w="1719" w:type="dxa"/>
            <w:tcBorders>
              <w:top w:val="single" w:sz="12" w:space="0" w:color="008000"/>
              <w:bottom w:val="single" w:sz="6" w:space="0" w:color="008000"/>
            </w:tcBorders>
            <w:shd w:val="clear" w:color="auto" w:fill="FFFFFF"/>
          </w:tcPr>
          <w:p w14:paraId="5A1CA85E" w14:textId="31DBAB84" w:rsidR="00E9464E" w:rsidRPr="00B57B36" w:rsidRDefault="00E9464E" w:rsidP="00E9464E">
            <w:pPr>
              <w:pStyle w:val="CETBodytext"/>
              <w:ind w:right="-1"/>
              <w:jc w:val="center"/>
              <w:rPr>
                <w:rFonts w:cs="Arial"/>
                <w:szCs w:val="18"/>
                <w:lang w:val="en-GB"/>
              </w:rPr>
            </w:pPr>
            <w:r w:rsidRPr="00E9464E">
              <w:rPr>
                <w:rFonts w:cs="Arial"/>
                <w:b/>
                <w:bCs/>
                <w:szCs w:val="18"/>
                <w:lang w:val="en-GB"/>
              </w:rPr>
              <w:t>Odo</w:t>
            </w:r>
            <w:r>
              <w:rPr>
                <w:rFonts w:cs="Arial"/>
                <w:b/>
                <w:bCs/>
                <w:szCs w:val="18"/>
                <w:lang w:val="en-GB"/>
              </w:rPr>
              <w:t>u</w:t>
            </w:r>
            <w:r w:rsidRPr="00E9464E">
              <w:rPr>
                <w:rFonts w:cs="Arial"/>
                <w:b/>
                <w:bCs/>
                <w:szCs w:val="18"/>
                <w:lang w:val="en-GB"/>
              </w:rPr>
              <w:t xml:space="preserve">r threshold value (ppm, v/v) </w:t>
            </w:r>
            <w:r w:rsidRPr="00E9464E">
              <w:rPr>
                <w:rFonts w:cs="Arial"/>
                <w:b/>
                <w:bCs/>
                <w:szCs w:val="18"/>
                <w:lang w:val="en-GB"/>
              </w:rPr>
              <w:fldChar w:fldCharType="begin" w:fldLock="1"/>
            </w:r>
            <w:r w:rsidRPr="00E9464E">
              <w:rPr>
                <w:rFonts w:cs="Arial"/>
                <w:b/>
                <w:bCs/>
                <w:szCs w:val="18"/>
                <w:lang w:val="en-GB"/>
              </w:rPr>
              <w:instrText>ADDIN CSL_CITATION {"citationItems":[{"id":"ITEM-1","itemData":{"abstract":"The detection thresholds of odor substances analyzed in field investigations were measured by the triangle odor bag method1). The number of substances used for the experiment is 223. The experiment was carried out from 1976 to 1988. As the results of the experiments, the odor thresholds were distributed over the concentration of large range depending on the odor substances. Isoamyl mercaptane exhibited the lowest threshold (0.77ppt), and propane exhibited the highest threshold (1500ppm). The distribution of thresholds expresses the normal distribution. Sulfur compounds with the exception of sulfur dioxide and carbon disulfide have the comparatively low threshold. It is showed the tendency that threshold becomes low as the increase of molecular weight in a certain range of molecular weight. When the dispersion of odor thresholds for the same substance was shown at the ratio of the highest to the lowest odor threshold tested, the dispersion of odor thresholds was about 5 at the maximum. The thresholds of 223 substances measured by our laboratory were considered to be the average values with small bias comparatively.","author":[{"dropping-particle":"","family":"Nagata","given":"Yoshio","non-dropping-particle":"","parse-names":false,"suffix":""}],"container-title":"Odor Measurement Review","id":"ITEM-1","issued":{"date-parts":[["2003"]]},"page":"118-127","title":"Measurement of Odor Threshold by Triangle Odor Bag Method","type":"article-journal"},"uris":["http://www.mendeley.com/documents/?uuid=b1d85814-a4f3-393c-8cf0-c94375685115"]}],"mendeley":{"formattedCitation":"(Nagata, 2003)","plainTextFormattedCitation":"(Nagata, 2003)","previouslyFormattedCitation":"(Nagata, 2003)"},"properties":{"noteIndex":0},"schema":"https://github.com/citation-style-language/schema/raw/master/csl-citation.json"}</w:instrText>
            </w:r>
            <w:r w:rsidRPr="00E9464E">
              <w:rPr>
                <w:rFonts w:cs="Arial"/>
                <w:b/>
                <w:bCs/>
                <w:szCs w:val="18"/>
                <w:lang w:val="en-GB"/>
              </w:rPr>
              <w:fldChar w:fldCharType="separate"/>
            </w:r>
            <w:r w:rsidRPr="00E9464E">
              <w:rPr>
                <w:rFonts w:cs="Arial"/>
                <w:bCs/>
                <w:szCs w:val="18"/>
                <w:lang w:val="en-GB"/>
              </w:rPr>
              <w:t>(Nagata, 2003)</w:t>
            </w:r>
            <w:r w:rsidRPr="00E9464E">
              <w:rPr>
                <w:rFonts w:cs="Arial"/>
                <w:szCs w:val="18"/>
                <w:lang w:val="en-GB"/>
              </w:rPr>
              <w:fldChar w:fldCharType="end"/>
            </w:r>
          </w:p>
        </w:tc>
        <w:tc>
          <w:tcPr>
            <w:tcW w:w="1273" w:type="dxa"/>
            <w:tcBorders>
              <w:top w:val="single" w:sz="12" w:space="0" w:color="008000"/>
              <w:bottom w:val="single" w:sz="6" w:space="0" w:color="008000"/>
            </w:tcBorders>
            <w:shd w:val="clear" w:color="auto" w:fill="FFFFFF"/>
          </w:tcPr>
          <w:p w14:paraId="18740015" w14:textId="20FA1CC9" w:rsidR="00E9464E" w:rsidRPr="00E9464E" w:rsidRDefault="00E9464E" w:rsidP="00E9464E">
            <w:pPr>
              <w:pStyle w:val="CETBodytext"/>
              <w:ind w:right="-1"/>
              <w:jc w:val="center"/>
              <w:rPr>
                <w:rFonts w:cs="Arial"/>
                <w:b/>
                <w:bCs/>
                <w:szCs w:val="18"/>
                <w:lang w:val="en-GB"/>
              </w:rPr>
            </w:pPr>
            <w:proofErr w:type="spellStart"/>
            <w:r w:rsidRPr="00E9464E">
              <w:rPr>
                <w:rFonts w:cs="Arial"/>
                <w:b/>
                <w:bCs/>
                <w:szCs w:val="18"/>
                <w:lang w:val="en-GB"/>
              </w:rPr>
              <w:t>H</w:t>
            </w:r>
            <w:r w:rsidRPr="00E9464E">
              <w:rPr>
                <w:rFonts w:cs="Arial"/>
                <w:b/>
                <w:bCs/>
                <w:szCs w:val="18"/>
                <w:vertAlign w:val="superscript"/>
                <w:lang w:val="en-GB"/>
              </w:rPr>
              <w:t>cc</w:t>
            </w:r>
            <w:proofErr w:type="spellEnd"/>
          </w:p>
        </w:tc>
        <w:tc>
          <w:tcPr>
            <w:tcW w:w="1427" w:type="dxa"/>
            <w:tcBorders>
              <w:top w:val="single" w:sz="12" w:space="0" w:color="008000"/>
              <w:bottom w:val="single" w:sz="6" w:space="0" w:color="008000"/>
            </w:tcBorders>
            <w:shd w:val="clear" w:color="auto" w:fill="FFFFFF"/>
          </w:tcPr>
          <w:p w14:paraId="5D20F3FF" w14:textId="442BCB23" w:rsidR="00E9464E" w:rsidRPr="00E9464E" w:rsidRDefault="00E9464E" w:rsidP="00E9464E">
            <w:pPr>
              <w:pStyle w:val="CETBodytext"/>
              <w:ind w:right="-1"/>
              <w:jc w:val="center"/>
              <w:rPr>
                <w:rFonts w:cs="Arial"/>
                <w:b/>
                <w:bCs/>
                <w:szCs w:val="18"/>
                <w:lang w:val="en-GB"/>
              </w:rPr>
            </w:pPr>
            <w:r w:rsidRPr="00E9464E">
              <w:rPr>
                <w:b/>
                <w:bCs/>
              </w:rPr>
              <w:t>Molecular weight (g/mole)</w:t>
            </w:r>
          </w:p>
        </w:tc>
        <w:tc>
          <w:tcPr>
            <w:tcW w:w="1140" w:type="dxa"/>
            <w:tcBorders>
              <w:top w:val="single" w:sz="12" w:space="0" w:color="008000"/>
              <w:bottom w:val="single" w:sz="6" w:space="0" w:color="008000"/>
            </w:tcBorders>
            <w:shd w:val="clear" w:color="auto" w:fill="FFFFFF"/>
          </w:tcPr>
          <w:p w14:paraId="0776EEAF" w14:textId="5F1CC618" w:rsidR="00E9464E" w:rsidRPr="00E9464E" w:rsidRDefault="00E9464E" w:rsidP="00E9464E">
            <w:pPr>
              <w:pStyle w:val="CETBodytext"/>
              <w:ind w:right="-1"/>
              <w:jc w:val="center"/>
              <w:rPr>
                <w:rFonts w:cs="Arial"/>
                <w:b/>
                <w:bCs/>
                <w:szCs w:val="18"/>
                <w:lang w:val="en-GB"/>
              </w:rPr>
            </w:pPr>
            <w:r w:rsidRPr="00E9464E">
              <w:rPr>
                <w:b/>
                <w:bCs/>
              </w:rPr>
              <w:t>Molecular structure</w:t>
            </w:r>
          </w:p>
        </w:tc>
      </w:tr>
      <w:tr w:rsidR="00E9464E" w:rsidRPr="00B57B36" w14:paraId="53178BDB" w14:textId="78AF576F" w:rsidTr="00DA17BF">
        <w:tc>
          <w:tcPr>
            <w:tcW w:w="1125" w:type="dxa"/>
            <w:shd w:val="clear" w:color="auto" w:fill="FFFFFF"/>
            <w:vAlign w:val="center"/>
          </w:tcPr>
          <w:p w14:paraId="236FB7B6" w14:textId="3559D8B3" w:rsidR="00E9464E" w:rsidRPr="00E9464E" w:rsidRDefault="00E9464E" w:rsidP="00E9464E">
            <w:pPr>
              <w:pStyle w:val="CETBodytext"/>
              <w:jc w:val="center"/>
              <w:rPr>
                <w:rFonts w:cs="Arial"/>
                <w:szCs w:val="18"/>
                <w:lang w:val="en-GB"/>
              </w:rPr>
            </w:pPr>
            <w:r w:rsidRPr="00E9464E">
              <w:rPr>
                <w:rFonts w:cs="Arial"/>
                <w:szCs w:val="18"/>
              </w:rPr>
              <w:t xml:space="preserve">Hydrogen </w:t>
            </w:r>
            <w:proofErr w:type="spellStart"/>
            <w:r w:rsidRPr="00E9464E">
              <w:rPr>
                <w:rFonts w:cs="Arial"/>
                <w:szCs w:val="18"/>
              </w:rPr>
              <w:t>sulphide</w:t>
            </w:r>
            <w:proofErr w:type="spellEnd"/>
          </w:p>
        </w:tc>
        <w:tc>
          <w:tcPr>
            <w:tcW w:w="1116" w:type="dxa"/>
            <w:shd w:val="clear" w:color="auto" w:fill="FFFFFF"/>
            <w:vAlign w:val="center"/>
          </w:tcPr>
          <w:p w14:paraId="0FE79172" w14:textId="52DB2DC8" w:rsidR="00E9464E" w:rsidRPr="00E9464E" w:rsidRDefault="00E9464E" w:rsidP="00E9464E">
            <w:pPr>
              <w:pStyle w:val="CETBodytext"/>
              <w:jc w:val="center"/>
              <w:rPr>
                <w:rFonts w:cs="Arial"/>
                <w:szCs w:val="18"/>
                <w:lang w:val="en-GB"/>
              </w:rPr>
            </w:pPr>
            <w:r w:rsidRPr="00E9464E">
              <w:rPr>
                <w:rFonts w:cs="Arial"/>
                <w:szCs w:val="18"/>
              </w:rPr>
              <w:t>H</w:t>
            </w:r>
            <w:r w:rsidRPr="00E9464E">
              <w:rPr>
                <w:rFonts w:cs="Arial"/>
                <w:szCs w:val="18"/>
                <w:vertAlign w:val="subscript"/>
              </w:rPr>
              <w:t>2</w:t>
            </w:r>
            <w:r w:rsidRPr="00E9464E">
              <w:rPr>
                <w:rFonts w:cs="Arial"/>
                <w:szCs w:val="18"/>
              </w:rPr>
              <w:t>S</w:t>
            </w:r>
          </w:p>
        </w:tc>
        <w:tc>
          <w:tcPr>
            <w:tcW w:w="989" w:type="dxa"/>
            <w:shd w:val="clear" w:color="auto" w:fill="FFFFFF"/>
            <w:vAlign w:val="center"/>
          </w:tcPr>
          <w:p w14:paraId="41C36B1A" w14:textId="3D783AEE" w:rsidR="00E9464E" w:rsidRPr="00E9464E" w:rsidRDefault="00E9464E" w:rsidP="00E9464E">
            <w:pPr>
              <w:pStyle w:val="CETBodytext"/>
              <w:jc w:val="center"/>
              <w:rPr>
                <w:rFonts w:cs="Arial"/>
                <w:szCs w:val="18"/>
                <w:lang w:val="en-GB"/>
              </w:rPr>
            </w:pPr>
            <w:r w:rsidRPr="00E9464E">
              <w:rPr>
                <w:rFonts w:cs="Arial"/>
                <w:szCs w:val="18"/>
              </w:rPr>
              <w:t>Rotten egg</w:t>
            </w:r>
          </w:p>
        </w:tc>
        <w:tc>
          <w:tcPr>
            <w:tcW w:w="1719" w:type="dxa"/>
            <w:shd w:val="clear" w:color="auto" w:fill="FFFFFF"/>
            <w:vAlign w:val="center"/>
          </w:tcPr>
          <w:p w14:paraId="00F09021" w14:textId="48799E2B" w:rsidR="00E9464E" w:rsidRPr="00E9464E" w:rsidRDefault="00E9464E" w:rsidP="00E9464E">
            <w:pPr>
              <w:pStyle w:val="CETBodytext"/>
              <w:ind w:right="-1"/>
              <w:jc w:val="center"/>
              <w:rPr>
                <w:rFonts w:cs="Arial"/>
                <w:szCs w:val="18"/>
                <w:lang w:val="en-GB"/>
              </w:rPr>
            </w:pPr>
            <w:r w:rsidRPr="00E9464E">
              <w:rPr>
                <w:rFonts w:cs="Arial"/>
                <w:szCs w:val="18"/>
              </w:rPr>
              <w:t>0.00041</w:t>
            </w:r>
          </w:p>
        </w:tc>
        <w:tc>
          <w:tcPr>
            <w:tcW w:w="1273" w:type="dxa"/>
            <w:shd w:val="clear" w:color="auto" w:fill="FFFFFF"/>
            <w:vAlign w:val="center"/>
          </w:tcPr>
          <w:p w14:paraId="27D5E0A3" w14:textId="7CDB3F3D" w:rsidR="00E9464E" w:rsidRPr="00E9464E" w:rsidRDefault="00072E9B" w:rsidP="00E9464E">
            <w:pPr>
              <w:pStyle w:val="CETBodytext"/>
              <w:ind w:right="-1"/>
              <w:jc w:val="center"/>
              <w:rPr>
                <w:rFonts w:cs="Arial"/>
                <w:szCs w:val="18"/>
                <w:lang w:val="en-GB"/>
              </w:rPr>
            </w:pPr>
            <w:r w:rsidRPr="00072E9B">
              <w:rPr>
                <w:rFonts w:cs="Arial"/>
                <w:szCs w:val="18"/>
                <w:lang w:val="en-GB"/>
              </w:rPr>
              <w:t>0.00091</w:t>
            </w:r>
            <w:r w:rsidR="00E9464E" w:rsidRPr="00E9464E">
              <w:rPr>
                <w:rFonts w:cs="Arial"/>
                <w:szCs w:val="18"/>
              </w:rPr>
              <w:t xml:space="preserve"> </w:t>
            </w:r>
            <w:r w:rsidR="00E9464E" w:rsidRPr="00E9464E">
              <w:rPr>
                <w:rFonts w:cs="Arial"/>
                <w:szCs w:val="18"/>
              </w:rPr>
              <w:fldChar w:fldCharType="begin" w:fldLock="1"/>
            </w:r>
            <w:r w:rsidR="00E9464E" w:rsidRPr="00E9464E">
              <w:rPr>
                <w:rFonts w:cs="Arial"/>
                <w:szCs w:val="18"/>
              </w:rPr>
              <w:instrText>ADDIN CSL_CITATION {"citationItems":[{"id":"ITEM-1","itemData":{"DOI":"10.1002/CJCE.5450780130","ISSN":"1939-019X","abstract":"The solubility of hydrogen sulfide in several aqueous solutions was measured over the temperature range 25°C to 60°C. The solvents investigated in this work include 0 to 50% aqueous solutions of polyethylene glycol, ethylene glycol, methyldiethanolamine and diethanolamine. The amine solutions used in this work were neutralized by the addition of hydrochloric acid in order to suppress the hydrogen sulfide reaction (H2S → H+ + HS-) so that only the physical solubility of hydrogen sulfide would be measured. The solubility data determined in this work are expressed in terms of Henry's law. The Henry's law constants found in this work were correlated well by a particularly simple empirical formula based on the molecular weight of the solvent.","author":[{"dropping-particle":"","family":"Rinker","given":"Edward B.","non-dropping-particle":"","parse-names":false,"suffix":""},{"dropping-particle":"","family":"Sandall","given":"Orville C.","non-dropping-particle":"","parse-names":false,"suffix":""}],"container-title":"The Canadian Journal of Chemical Engineering","id":"ITEM-1","issue":"1","issued":{"date-parts":[["2000","2","1"]]},"page":"232-236","publisher":"John Wiley &amp; Sons, Ltd","title":"Physical solubility of hydrogen sulfide in several aqueous solvents","type":"article-journal","volume":"78"},"uris":["http://www.mendeley.com/documents/?uuid=297c9bea-6b07-3217-8a65-87535b2bc09d"]}],"mendeley":{"formattedCitation":"(Rinker and Sandall, 2000)","plainTextFormattedCitation":"(Rinker and Sandall, 2000)","previouslyFormattedCitation":"(Rinker and Sandall, 2000)"},"properties":{"noteIndex":0},"schema":"https://github.com/citation-style-language/schema/raw/master/csl-citation.json"}</w:instrText>
            </w:r>
            <w:r w:rsidR="00E9464E" w:rsidRPr="00E9464E">
              <w:rPr>
                <w:rFonts w:cs="Arial"/>
                <w:szCs w:val="18"/>
              </w:rPr>
              <w:fldChar w:fldCharType="separate"/>
            </w:r>
            <w:r w:rsidR="00E9464E" w:rsidRPr="00E9464E">
              <w:rPr>
                <w:rFonts w:cs="Arial"/>
                <w:noProof/>
                <w:szCs w:val="18"/>
              </w:rPr>
              <w:t>(Rinker and Sandall, 2000)</w:t>
            </w:r>
            <w:r w:rsidR="00E9464E" w:rsidRPr="00E9464E">
              <w:rPr>
                <w:rFonts w:cs="Arial"/>
                <w:szCs w:val="18"/>
              </w:rPr>
              <w:fldChar w:fldCharType="end"/>
            </w:r>
          </w:p>
        </w:tc>
        <w:tc>
          <w:tcPr>
            <w:tcW w:w="1427" w:type="dxa"/>
            <w:shd w:val="clear" w:color="auto" w:fill="FFFFFF"/>
            <w:vAlign w:val="center"/>
          </w:tcPr>
          <w:p w14:paraId="53C14D6B" w14:textId="6096D6D9" w:rsidR="00E9464E" w:rsidRPr="00E9464E" w:rsidRDefault="00E9464E" w:rsidP="00E9464E">
            <w:pPr>
              <w:pStyle w:val="CETBodytext"/>
              <w:ind w:right="-1"/>
              <w:jc w:val="center"/>
              <w:rPr>
                <w:rFonts w:cs="Arial"/>
                <w:szCs w:val="18"/>
                <w:lang w:val="en-GB"/>
              </w:rPr>
            </w:pPr>
            <w:r w:rsidRPr="00E9464E">
              <w:rPr>
                <w:rFonts w:cs="Arial"/>
                <w:szCs w:val="18"/>
              </w:rPr>
              <w:t>34.10</w:t>
            </w:r>
          </w:p>
        </w:tc>
        <w:tc>
          <w:tcPr>
            <w:tcW w:w="1140" w:type="dxa"/>
            <w:shd w:val="clear" w:color="auto" w:fill="FFFFFF"/>
            <w:vAlign w:val="center"/>
          </w:tcPr>
          <w:p w14:paraId="79BA2F70" w14:textId="15BD388C" w:rsidR="00E9464E" w:rsidRPr="00B57B36" w:rsidRDefault="00E9464E" w:rsidP="00DA17BF">
            <w:pPr>
              <w:pStyle w:val="CETBodytext"/>
              <w:ind w:right="-1"/>
              <w:jc w:val="center"/>
              <w:rPr>
                <w:rFonts w:cs="Arial"/>
                <w:szCs w:val="18"/>
                <w:lang w:val="en-GB"/>
              </w:rPr>
            </w:pPr>
            <w:r>
              <w:rPr>
                <w:noProof/>
                <w:lang w:eastAsia="es-ES"/>
              </w:rPr>
              <w:drawing>
                <wp:inline distT="0" distB="0" distL="0" distR="0" wp14:anchorId="172F140D" wp14:editId="30276871">
                  <wp:extent cx="609600" cy="357351"/>
                  <wp:effectExtent l="0" t="0" r="0" b="5080"/>
                  <wp:docPr id="18" name="Imagen 18"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dispersión&#10;&#10;Descripción generada automáticamente"/>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l="35886" t="41148" r="36363" b="42584"/>
                          <a:stretch/>
                        </pic:blipFill>
                        <pic:spPr bwMode="auto">
                          <a:xfrm>
                            <a:off x="0" y="0"/>
                            <a:ext cx="627871" cy="3680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17BF" w:rsidRPr="00B57B36" w14:paraId="35D3FEB9" w14:textId="77777777" w:rsidTr="00DA17BF">
        <w:trPr>
          <w:trHeight w:val="683"/>
        </w:trPr>
        <w:tc>
          <w:tcPr>
            <w:tcW w:w="1125" w:type="dxa"/>
            <w:shd w:val="clear" w:color="auto" w:fill="FFFFFF"/>
            <w:vAlign w:val="center"/>
          </w:tcPr>
          <w:p w14:paraId="1525ECEE" w14:textId="16A80939" w:rsidR="00DA17BF" w:rsidRPr="00DA17BF" w:rsidRDefault="00DA17BF" w:rsidP="00DA17BF">
            <w:pPr>
              <w:pStyle w:val="CETBodytext"/>
              <w:jc w:val="center"/>
              <w:rPr>
                <w:rFonts w:cs="Arial"/>
                <w:szCs w:val="18"/>
              </w:rPr>
            </w:pPr>
            <w:r w:rsidRPr="00DA17BF">
              <w:rPr>
                <w:rFonts w:cs="Arial"/>
                <w:szCs w:val="18"/>
              </w:rPr>
              <w:t>Acetic Acid</w:t>
            </w:r>
          </w:p>
        </w:tc>
        <w:tc>
          <w:tcPr>
            <w:tcW w:w="1116" w:type="dxa"/>
            <w:shd w:val="clear" w:color="auto" w:fill="FFFFFF"/>
            <w:vAlign w:val="center"/>
          </w:tcPr>
          <w:p w14:paraId="6AFF26AC" w14:textId="47768BA6" w:rsidR="00DA17BF" w:rsidRPr="00DA17BF" w:rsidRDefault="00DA17BF" w:rsidP="00DA17BF">
            <w:pPr>
              <w:pStyle w:val="CETBodytext"/>
              <w:jc w:val="center"/>
              <w:rPr>
                <w:rFonts w:cs="Arial"/>
                <w:szCs w:val="18"/>
              </w:rPr>
            </w:pPr>
            <w:r w:rsidRPr="00DA17BF">
              <w:rPr>
                <w:rFonts w:cs="Arial"/>
                <w:szCs w:val="18"/>
              </w:rPr>
              <w:t>C</w:t>
            </w:r>
            <w:r w:rsidRPr="00DA17BF">
              <w:rPr>
                <w:rFonts w:cs="Arial"/>
                <w:szCs w:val="18"/>
                <w:vertAlign w:val="subscript"/>
              </w:rPr>
              <w:t>2</w:t>
            </w:r>
            <w:r w:rsidRPr="00DA17BF">
              <w:rPr>
                <w:rFonts w:cs="Arial"/>
                <w:szCs w:val="18"/>
              </w:rPr>
              <w:t>H</w:t>
            </w:r>
            <w:r w:rsidRPr="00DA17BF">
              <w:rPr>
                <w:rFonts w:cs="Arial"/>
                <w:szCs w:val="18"/>
                <w:vertAlign w:val="subscript"/>
              </w:rPr>
              <w:t>4</w:t>
            </w:r>
            <w:r w:rsidRPr="00DA17BF">
              <w:rPr>
                <w:rFonts w:cs="Arial"/>
                <w:szCs w:val="18"/>
              </w:rPr>
              <w:t>O</w:t>
            </w:r>
            <w:r w:rsidRPr="00DA17BF">
              <w:rPr>
                <w:rFonts w:cs="Arial"/>
                <w:szCs w:val="18"/>
                <w:vertAlign w:val="subscript"/>
              </w:rPr>
              <w:t>2</w:t>
            </w:r>
          </w:p>
        </w:tc>
        <w:tc>
          <w:tcPr>
            <w:tcW w:w="989" w:type="dxa"/>
            <w:shd w:val="clear" w:color="auto" w:fill="FFFFFF"/>
            <w:vAlign w:val="center"/>
          </w:tcPr>
          <w:p w14:paraId="597B87DF" w14:textId="29D84522" w:rsidR="00DA17BF" w:rsidRPr="00DA17BF" w:rsidRDefault="00DA17BF" w:rsidP="00DA17BF">
            <w:pPr>
              <w:pStyle w:val="CETBodytext"/>
              <w:jc w:val="center"/>
              <w:rPr>
                <w:rFonts w:cs="Arial"/>
                <w:szCs w:val="18"/>
              </w:rPr>
            </w:pPr>
            <w:r w:rsidRPr="00DA17BF">
              <w:rPr>
                <w:rFonts w:cs="Arial"/>
                <w:szCs w:val="18"/>
              </w:rPr>
              <w:t>Vinegar</w:t>
            </w:r>
          </w:p>
        </w:tc>
        <w:tc>
          <w:tcPr>
            <w:tcW w:w="1719" w:type="dxa"/>
            <w:shd w:val="clear" w:color="auto" w:fill="FFFFFF"/>
            <w:vAlign w:val="center"/>
          </w:tcPr>
          <w:p w14:paraId="73186BB9" w14:textId="68E0FD6B" w:rsidR="00DA17BF" w:rsidRPr="00DA17BF" w:rsidRDefault="00DA17BF" w:rsidP="00DA17BF">
            <w:pPr>
              <w:pStyle w:val="CETBodytext"/>
              <w:ind w:right="-1"/>
              <w:jc w:val="center"/>
              <w:rPr>
                <w:rFonts w:cs="Arial"/>
                <w:szCs w:val="18"/>
              </w:rPr>
            </w:pPr>
            <w:r w:rsidRPr="00DA17BF">
              <w:rPr>
                <w:rFonts w:cs="Arial"/>
                <w:szCs w:val="18"/>
              </w:rPr>
              <w:t>0.0060</w:t>
            </w:r>
          </w:p>
        </w:tc>
        <w:tc>
          <w:tcPr>
            <w:tcW w:w="1273" w:type="dxa"/>
            <w:shd w:val="clear" w:color="auto" w:fill="FFFFFF"/>
            <w:vAlign w:val="center"/>
          </w:tcPr>
          <w:p w14:paraId="371655FA" w14:textId="77777777" w:rsidR="00072E9B" w:rsidRDefault="00072E9B" w:rsidP="00DA17BF">
            <w:pPr>
              <w:pStyle w:val="CETBodytext"/>
              <w:ind w:right="-1"/>
              <w:jc w:val="center"/>
              <w:rPr>
                <w:rFonts w:cs="Arial"/>
                <w:szCs w:val="18"/>
              </w:rPr>
            </w:pPr>
            <w:r>
              <w:rPr>
                <w:rFonts w:cs="Arial"/>
                <w:szCs w:val="18"/>
              </w:rPr>
              <w:t>14</w:t>
            </w:r>
          </w:p>
          <w:p w14:paraId="0AE97FC3" w14:textId="4365E531" w:rsidR="00DA17BF" w:rsidRPr="00DA17BF" w:rsidRDefault="00DA17BF" w:rsidP="00DA17BF">
            <w:pPr>
              <w:pStyle w:val="CETBodytext"/>
              <w:ind w:right="-1"/>
              <w:jc w:val="center"/>
              <w:rPr>
                <w:rFonts w:cs="Arial"/>
                <w:szCs w:val="18"/>
              </w:rPr>
            </w:pPr>
            <w:r w:rsidRPr="00DA17BF">
              <w:rPr>
                <w:rFonts w:cs="Arial"/>
                <w:szCs w:val="18"/>
                <w:vertAlign w:val="superscript"/>
              </w:rPr>
              <w:t xml:space="preserve"> </w:t>
            </w:r>
            <w:r w:rsidRPr="00DA17BF">
              <w:rPr>
                <w:rFonts w:cs="Arial"/>
                <w:szCs w:val="18"/>
                <w:vertAlign w:val="superscript"/>
              </w:rPr>
              <w:fldChar w:fldCharType="begin" w:fldLock="1"/>
            </w:r>
            <w:r w:rsidRPr="00DA17BF">
              <w:rPr>
                <w:rFonts w:cs="Arial"/>
                <w:szCs w:val="18"/>
                <w:vertAlign w:val="superscript"/>
              </w:rPr>
              <w:instrText>ADDIN CSL_CITATION {"citationItems":[{"id":"ITEM-1","itemData":{"DOI":"10.1016/j.ijms.2004.09.009","ISSN":"13873806","abstract":"Proton-transfer-reaction mass spectrometry (PTR-MS) was used as an analytical tool to measure gas-phase concentrations of short-chain fatty acids. Chemical ionisation of C 2C 6 carboxylic acids by PTR-MS produced intense protonated molecular ions (with traces of hydrates) along with acylium ion fragments. Gas-phase concentrations were derived using the established method for calculating PTR-MS sensitivity factors. Henry's law constants of carboxylic acids for aqueous solutions at 40°C were determined. Direct monitoring of volatile fatty acids, known to be associated with secretions from the human axilla, was performed via a specially designed transfer device situated in the axilla. Mass spectral data corresponded with the findings of a sensory assessor. © 2004 Elsevier B.V. All rights reserved.","author":[{"dropping-particle":"Von","family":"Hartungen","given":"Eugen","non-dropping-particle":"","parse-names":false,"suffix":""},{"dropping-particle":"","family":"Wisthaler","given":"Armin","non-dropping-particle":"","parse-names":false,"suffix":""},{"dropping-particle":"","family":"Mikoviny","given":"Tomas","non-dropping-particle":"","parse-names":false,"suffix":""},{"dropping-particle":"","family":"Jaksch","given":"Dagmar","non-dropping-particle":"","parse-names":false,"suffix":""},{"dropping-particle":"","family":"Boscaini","given":"Elena","non-dropping-particle":"","parse-names":false,"suffix":""},{"dropping-particle":"","family":"Dunphy","given":"Patrick J.","non-dropping-particle":"","parse-names":false,"suffix":""},{"dropping-particle":"","family":"Märk","given":"Tilmann D.","non-dropping-particle":"","parse-names":false,"suffix":""}],"container-title":"International Journal of Mass Spectrometry","id":"ITEM-1","issue":"2-3","issued":{"date-parts":[["2004","12","15"]]},"page":"243-248","title":"Proton-transfer-reaction mass spectrometry (PTR-MS) of carboxylic acids: Determination of Henry's law constants and axillary odour investigations","type":"article-journal","volume":"239"},"uris":["http://www.mendeley.com/documents/?uuid=36072119-95e8-36c0-a6b1-ebae32cb1b95"]}],"mendeley":{"formattedCitation":"(Hartungen et al., 2004)","plainTextFormattedCitation":"(Hartungen et al., 2004)","previouslyFormattedCitation":"(Hartungen et al., 2004)"},"properties":{"noteIndex":0},"schema":"https://github.com/citation-style-language/schema/raw/master/csl-citation.json"}</w:instrText>
            </w:r>
            <w:r w:rsidRPr="00DA17BF">
              <w:rPr>
                <w:rFonts w:cs="Arial"/>
                <w:szCs w:val="18"/>
                <w:vertAlign w:val="superscript"/>
              </w:rPr>
              <w:fldChar w:fldCharType="separate"/>
            </w:r>
            <w:r w:rsidRPr="00DA17BF">
              <w:rPr>
                <w:rFonts w:cs="Arial"/>
                <w:noProof/>
                <w:szCs w:val="18"/>
              </w:rPr>
              <w:t>(Hartungen et al., 2004)</w:t>
            </w:r>
            <w:r w:rsidRPr="00DA17BF">
              <w:rPr>
                <w:rFonts w:cs="Arial"/>
                <w:szCs w:val="18"/>
                <w:vertAlign w:val="superscript"/>
              </w:rPr>
              <w:fldChar w:fldCharType="end"/>
            </w:r>
          </w:p>
        </w:tc>
        <w:tc>
          <w:tcPr>
            <w:tcW w:w="1427" w:type="dxa"/>
            <w:shd w:val="clear" w:color="auto" w:fill="FFFFFF"/>
            <w:vAlign w:val="center"/>
          </w:tcPr>
          <w:p w14:paraId="3AD71084" w14:textId="793C61C3" w:rsidR="00DA17BF" w:rsidRPr="00DA17BF" w:rsidRDefault="00DA17BF" w:rsidP="00DA17BF">
            <w:pPr>
              <w:pStyle w:val="CETBodytext"/>
              <w:ind w:right="-1"/>
              <w:jc w:val="center"/>
              <w:rPr>
                <w:rFonts w:cs="Arial"/>
                <w:szCs w:val="18"/>
              </w:rPr>
            </w:pPr>
            <w:r w:rsidRPr="00DA17BF">
              <w:rPr>
                <w:rFonts w:cs="Arial"/>
                <w:szCs w:val="18"/>
              </w:rPr>
              <w:t>60.05</w:t>
            </w:r>
          </w:p>
        </w:tc>
        <w:tc>
          <w:tcPr>
            <w:tcW w:w="1140" w:type="dxa"/>
            <w:shd w:val="clear" w:color="auto" w:fill="FFFFFF"/>
            <w:vAlign w:val="center"/>
          </w:tcPr>
          <w:p w14:paraId="67A16607" w14:textId="1C7F73F2" w:rsidR="00DA17BF" w:rsidRDefault="00DA17BF" w:rsidP="00DA17BF">
            <w:pPr>
              <w:pStyle w:val="CETBodytext"/>
              <w:ind w:right="-1"/>
              <w:jc w:val="center"/>
              <w:rPr>
                <w:noProof/>
                <w:lang w:eastAsia="es-ES"/>
              </w:rPr>
            </w:pPr>
            <w:r>
              <w:rPr>
                <w:noProof/>
                <w:lang w:eastAsia="es-ES"/>
              </w:rPr>
              <w:drawing>
                <wp:inline distT="0" distB="0" distL="0" distR="0" wp14:anchorId="608FD95D" wp14:editId="01B12284">
                  <wp:extent cx="596265" cy="410416"/>
                  <wp:effectExtent l="0" t="0" r="0" b="8890"/>
                  <wp:docPr id="2" name="Imagen 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l="31461" t="37641" r="25281" b="32584"/>
                          <a:stretch/>
                        </pic:blipFill>
                        <pic:spPr bwMode="auto">
                          <a:xfrm>
                            <a:off x="0" y="0"/>
                            <a:ext cx="611443" cy="4208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17BF" w:rsidRPr="00B57B36" w14:paraId="200CF854" w14:textId="77777777" w:rsidTr="00DA17BF">
        <w:trPr>
          <w:trHeight w:val="879"/>
        </w:trPr>
        <w:tc>
          <w:tcPr>
            <w:tcW w:w="1125" w:type="dxa"/>
            <w:shd w:val="clear" w:color="auto" w:fill="FFFFFF"/>
            <w:vAlign w:val="center"/>
          </w:tcPr>
          <w:p w14:paraId="336BF36F" w14:textId="59E1C607" w:rsidR="00DA17BF" w:rsidRPr="00DA17BF" w:rsidRDefault="00DA17BF" w:rsidP="00DA17BF">
            <w:pPr>
              <w:pStyle w:val="CETBodytext"/>
              <w:jc w:val="center"/>
              <w:rPr>
                <w:rFonts w:cs="Arial"/>
                <w:szCs w:val="18"/>
              </w:rPr>
            </w:pPr>
            <w:r w:rsidRPr="00DA17BF">
              <w:rPr>
                <w:rFonts w:cs="Arial"/>
                <w:szCs w:val="18"/>
              </w:rPr>
              <w:t>α-pinene</w:t>
            </w:r>
          </w:p>
        </w:tc>
        <w:tc>
          <w:tcPr>
            <w:tcW w:w="1116" w:type="dxa"/>
            <w:shd w:val="clear" w:color="auto" w:fill="FFFFFF"/>
            <w:vAlign w:val="center"/>
          </w:tcPr>
          <w:p w14:paraId="4F66B42D" w14:textId="4576DC8D" w:rsidR="00DA17BF" w:rsidRPr="00DA17BF" w:rsidRDefault="00DA17BF" w:rsidP="00DA17BF">
            <w:pPr>
              <w:pStyle w:val="CETBodytext"/>
              <w:jc w:val="center"/>
              <w:rPr>
                <w:rFonts w:cs="Arial"/>
                <w:szCs w:val="18"/>
              </w:rPr>
            </w:pPr>
            <w:r w:rsidRPr="00DA17BF">
              <w:rPr>
                <w:rFonts w:cs="Arial"/>
                <w:szCs w:val="18"/>
              </w:rPr>
              <w:t>C</w:t>
            </w:r>
            <w:r w:rsidRPr="00DA17BF">
              <w:rPr>
                <w:rFonts w:cs="Arial"/>
                <w:szCs w:val="18"/>
                <w:vertAlign w:val="subscript"/>
              </w:rPr>
              <w:t>10</w:t>
            </w:r>
            <w:r w:rsidRPr="00DA17BF">
              <w:rPr>
                <w:rFonts w:cs="Arial"/>
                <w:szCs w:val="18"/>
              </w:rPr>
              <w:t>H</w:t>
            </w:r>
            <w:r w:rsidRPr="00DA17BF">
              <w:rPr>
                <w:rFonts w:cs="Arial"/>
                <w:szCs w:val="18"/>
                <w:vertAlign w:val="subscript"/>
              </w:rPr>
              <w:t>16</w:t>
            </w:r>
          </w:p>
        </w:tc>
        <w:tc>
          <w:tcPr>
            <w:tcW w:w="989" w:type="dxa"/>
            <w:shd w:val="clear" w:color="auto" w:fill="FFFFFF"/>
            <w:vAlign w:val="center"/>
          </w:tcPr>
          <w:p w14:paraId="321B0DCC" w14:textId="7BF7D72C" w:rsidR="00DA17BF" w:rsidRPr="00DA17BF" w:rsidRDefault="00DA17BF" w:rsidP="00DA17BF">
            <w:pPr>
              <w:pStyle w:val="CETBodytext"/>
              <w:jc w:val="center"/>
              <w:rPr>
                <w:rFonts w:cs="Arial"/>
                <w:szCs w:val="18"/>
              </w:rPr>
            </w:pPr>
            <w:r w:rsidRPr="00DA17BF">
              <w:rPr>
                <w:rFonts w:cs="Arial"/>
                <w:szCs w:val="18"/>
              </w:rPr>
              <w:t xml:space="preserve">Pine, </w:t>
            </w:r>
            <w:proofErr w:type="spellStart"/>
            <w:r w:rsidRPr="00DA17BF">
              <w:rPr>
                <w:rFonts w:cs="Arial"/>
                <w:szCs w:val="18"/>
              </w:rPr>
              <w:t>tupentine</w:t>
            </w:r>
            <w:proofErr w:type="spellEnd"/>
          </w:p>
        </w:tc>
        <w:tc>
          <w:tcPr>
            <w:tcW w:w="1719" w:type="dxa"/>
            <w:shd w:val="clear" w:color="auto" w:fill="FFFFFF"/>
            <w:vAlign w:val="center"/>
          </w:tcPr>
          <w:p w14:paraId="52ED10B8" w14:textId="6E06BDE6" w:rsidR="00DA17BF" w:rsidRPr="00DA17BF" w:rsidRDefault="00DA17BF" w:rsidP="00DA17BF">
            <w:pPr>
              <w:pStyle w:val="CETBodytext"/>
              <w:ind w:right="-1"/>
              <w:jc w:val="center"/>
              <w:rPr>
                <w:rFonts w:cs="Arial"/>
                <w:szCs w:val="18"/>
              </w:rPr>
            </w:pPr>
            <w:r w:rsidRPr="00DA17BF">
              <w:rPr>
                <w:rFonts w:cs="Arial"/>
                <w:szCs w:val="18"/>
              </w:rPr>
              <w:t>0.018</w:t>
            </w:r>
          </w:p>
        </w:tc>
        <w:tc>
          <w:tcPr>
            <w:tcW w:w="1273" w:type="dxa"/>
            <w:shd w:val="clear" w:color="auto" w:fill="FFFFFF"/>
            <w:vAlign w:val="center"/>
          </w:tcPr>
          <w:p w14:paraId="2C642BB3" w14:textId="42572CD2" w:rsidR="00DA17BF" w:rsidRDefault="00072E9B" w:rsidP="00DA17BF">
            <w:pPr>
              <w:pStyle w:val="CETBodytext"/>
              <w:ind w:right="-1"/>
              <w:jc w:val="center"/>
              <w:rPr>
                <w:rFonts w:cs="Arial"/>
                <w:color w:val="000000"/>
                <w:szCs w:val="18"/>
                <w:vertAlign w:val="superscript"/>
              </w:rPr>
            </w:pPr>
            <w:r w:rsidRPr="00072E9B">
              <w:rPr>
                <w:rFonts w:cs="Arial"/>
                <w:color w:val="000000"/>
                <w:szCs w:val="18"/>
                <w:lang w:val="en-GB"/>
              </w:rPr>
              <w:t>0.00029</w:t>
            </w:r>
            <w:r w:rsidR="00DA17BF" w:rsidRPr="00DA17BF">
              <w:rPr>
                <w:rFonts w:cs="Arial"/>
                <w:color w:val="000000"/>
                <w:szCs w:val="18"/>
                <w:vertAlign w:val="superscript"/>
              </w:rPr>
              <w:t xml:space="preserve"> </w:t>
            </w:r>
          </w:p>
          <w:p w14:paraId="6BA732DD" w14:textId="7BCE1763" w:rsidR="00DA17BF" w:rsidRPr="00DA17BF" w:rsidRDefault="00DA17BF" w:rsidP="00DA17BF">
            <w:pPr>
              <w:pStyle w:val="CETBodytext"/>
              <w:ind w:right="-1"/>
              <w:jc w:val="center"/>
              <w:rPr>
                <w:rFonts w:cs="Arial"/>
                <w:szCs w:val="18"/>
              </w:rPr>
            </w:pPr>
            <w:r w:rsidRPr="00DA17BF">
              <w:rPr>
                <w:rFonts w:cs="Arial"/>
                <w:color w:val="000000"/>
                <w:szCs w:val="18"/>
                <w:vertAlign w:val="superscript"/>
              </w:rPr>
              <w:fldChar w:fldCharType="begin" w:fldLock="1"/>
            </w:r>
            <w:r w:rsidRPr="00DA17BF">
              <w:rPr>
                <w:rFonts w:cs="Arial"/>
                <w:color w:val="000000"/>
                <w:szCs w:val="18"/>
                <w:vertAlign w:val="superscript"/>
              </w:rPr>
              <w:instrText>ADDIN CSL_CITATION {"citationItems":[{"id":"ITEM-1","itemData":{"DOI":"10.1021/JP403603Z/SUPPL_FILE/JP403603Z_SI_001.PDF","ISSN":"10895639","PMID":"24020856","abstract":"There have been growing interests in modeling studies to understand oxidation of volatile organic compounds in the gas phase and their mass transfer to the aqueous phase for their potential roles in cloud chemistry, formation of secondary organic aerosols, and fate of atmospheric organics. Temperature-dependent Henry's law constants, key parameters in the atmospheric models to account for mass transfer, are often unavailable. In the present work, we investigated gas-liquid equilibriums of isoprene, limonene, α-pinene, and linalool using a bubble column technique. These compounds, originating from biogenic sources, were selected for their implications in atmospheric cloud chemistry and secondary organic aerosol formation. We reported Henry's law constants (KH), first order loss rates (k), and gas phase diffusion coefficients over a range of temperatures relevant to the lower atmosphere (278-298 K) for the first time. The measurement results of KH values for isoprene, limonene, α-pinene, and linalool at 298 K were 0.036 ± 0.003; 0.048 ± 0.004; 0.029 ± 0.004; and 21.20 ± 0.30 mol L-1 atm-1, respectively. The fraction for these compounds in stratocumulus and cumulonimbus clouds at 278 K were also estimated in this work (isoprene, 1.0 × 10-6, 6.8 × 10 -6; limonene, 1.5 × 10-6, 1.0 × 10 -5; α-pinene, 4.5 × 10-7, 3.1 × 10 -6; and linalool, 6.2 × 10-4, 4.2 × 10 -3). Our measurements in combination with literature results indicated that noncyclic alkenes could have smaller KH values than those of cyclic terpenes and that KH values may increase with an increasing number of double bonds. It was also shown that estimated Henry's law constants and their temperature dependence based on model prediction can differ from experimental results considerably and that direct measurements of temperature-dependent Henry's law constants of atmospheric organics are necessary for future work. © 2013 American Chemical Society.","author":[{"dropping-particle":"","family":"Leng","given":"Chunbo","non-dropping-particle":"","parse-names":false,"suffix":""},{"dropping-particle":"","family":"Kish","given":"J. Duncan","non-dropping-particle":"","parse-names":false,"suffix":""},{"dropping-particle":"","family":"Kelley","given":"Judas","non-dropping-particle":"","parse-names":false,"suffix":""},{"dropping-particle":"","family":"Mach","given":"Mindy","non-dropping-particle":"","parse-names":false,"suffix":""},{"dropping-particle":"","family":"Hiltner","given":"Joseph","non-dropping-particle":"","parse-names":false,"suffix":""},{"dropping-particle":"","family":"Zhang","given":"Yunhong","non-dropping-particle":"","parse-names":false,"suffix":""},{"dropping-particle":"","family":"Liu","given":"Yong","non-dropping-particle":"","parse-names":false,"suffix":""}],"container-title":"Journal of Physical Chemistry A","id":"ITEM-1","issue":"40","issued":{"date-parts":[["2013","10","10"]]},"page":"10359-10367","publisher":"American Chemical Society","title":"Temperature-dependent Henry's law constants of atmospheric organics of biogenic origin","type":"article-journal","volume":"117"},"uris":["http://www.mendeley.com/documents/?uuid=76634e99-a96d-3085-9c0a-d7b21f9f3388"]}],"mendeley":{"formattedCitation":"(Leng et al., 2013)","plainTextFormattedCitation":"(Leng et al., 2013)","previouslyFormattedCitation":"(Leng et al., 2013)"},"properties":{"noteIndex":0},"schema":"https://github.com/citation-style-language/schema/raw/master/csl-citation.json"}</w:instrText>
            </w:r>
            <w:r w:rsidRPr="00DA17BF">
              <w:rPr>
                <w:rFonts w:cs="Arial"/>
                <w:color w:val="000000"/>
                <w:szCs w:val="18"/>
                <w:vertAlign w:val="superscript"/>
              </w:rPr>
              <w:fldChar w:fldCharType="separate"/>
            </w:r>
            <w:r w:rsidRPr="00DA17BF">
              <w:rPr>
                <w:rFonts w:cs="Arial"/>
                <w:noProof/>
                <w:color w:val="000000"/>
                <w:szCs w:val="18"/>
              </w:rPr>
              <w:t>(Leng et al., 2013)</w:t>
            </w:r>
            <w:r w:rsidRPr="00DA17BF">
              <w:rPr>
                <w:rFonts w:cs="Arial"/>
                <w:color w:val="000000"/>
                <w:szCs w:val="18"/>
                <w:vertAlign w:val="superscript"/>
              </w:rPr>
              <w:fldChar w:fldCharType="end"/>
            </w:r>
          </w:p>
        </w:tc>
        <w:tc>
          <w:tcPr>
            <w:tcW w:w="1427" w:type="dxa"/>
            <w:shd w:val="clear" w:color="auto" w:fill="FFFFFF"/>
            <w:vAlign w:val="center"/>
          </w:tcPr>
          <w:p w14:paraId="08574831" w14:textId="658C93BE" w:rsidR="00DA17BF" w:rsidRPr="00DA17BF" w:rsidRDefault="00DA17BF" w:rsidP="00DA17BF">
            <w:pPr>
              <w:pStyle w:val="CETBodytext"/>
              <w:ind w:right="-1"/>
              <w:jc w:val="center"/>
              <w:rPr>
                <w:rFonts w:cs="Arial"/>
                <w:szCs w:val="18"/>
              </w:rPr>
            </w:pPr>
            <w:r w:rsidRPr="00DA17BF">
              <w:rPr>
                <w:rFonts w:cs="Arial"/>
                <w:szCs w:val="18"/>
              </w:rPr>
              <w:t>136.23</w:t>
            </w:r>
          </w:p>
        </w:tc>
        <w:tc>
          <w:tcPr>
            <w:tcW w:w="1140" w:type="dxa"/>
            <w:shd w:val="clear" w:color="auto" w:fill="FFFFFF"/>
            <w:vAlign w:val="center"/>
          </w:tcPr>
          <w:p w14:paraId="177935AD" w14:textId="5D0CBC2F" w:rsidR="00DA17BF" w:rsidRDefault="00DA17BF" w:rsidP="00DA17BF">
            <w:pPr>
              <w:pStyle w:val="CETBodytext"/>
              <w:ind w:right="-1"/>
              <w:jc w:val="center"/>
              <w:rPr>
                <w:noProof/>
                <w:lang w:eastAsia="es-ES"/>
              </w:rPr>
            </w:pPr>
            <w:r>
              <w:rPr>
                <w:noProof/>
                <w:lang w:eastAsia="es-ES"/>
              </w:rPr>
              <w:drawing>
                <wp:inline distT="0" distB="0" distL="0" distR="0" wp14:anchorId="4C9C40F3" wp14:editId="3573F44C">
                  <wp:extent cx="558800" cy="531204"/>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l="24699" t="25904" r="26506" b="27710"/>
                          <a:stretch/>
                        </pic:blipFill>
                        <pic:spPr bwMode="auto">
                          <a:xfrm>
                            <a:off x="0" y="0"/>
                            <a:ext cx="571772" cy="5435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1C7E54" w14:textId="77777777" w:rsidR="00CE2CC6" w:rsidRDefault="00DC6B8D" w:rsidP="00D5098E">
      <w:pPr>
        <w:pStyle w:val="CETheadingx"/>
      </w:pPr>
      <w:r w:rsidRPr="00CE2CC6">
        <w:t>2.3 Experimental set-up</w:t>
      </w:r>
      <w:r w:rsidR="00CE2CC6">
        <w:t xml:space="preserve"> </w:t>
      </w:r>
    </w:p>
    <w:p w14:paraId="21E53552" w14:textId="3927D6F9" w:rsidR="004F1D43" w:rsidRPr="00D5098E" w:rsidRDefault="004F1D43" w:rsidP="00D5098E">
      <w:pPr>
        <w:pStyle w:val="CETheadingx"/>
        <w:rPr>
          <w:b w:val="0"/>
          <w:bCs w:val="0"/>
        </w:rPr>
      </w:pPr>
      <w:r w:rsidRPr="00D5098E">
        <w:rPr>
          <w:b w:val="0"/>
          <w:bCs w:val="0"/>
        </w:rPr>
        <w:t xml:space="preserve">Aliquots of 300 mL of SW supplemented with different concentrations of nitrate or nitrite (Table </w:t>
      </w:r>
      <w:r w:rsidR="00FC5318" w:rsidRPr="00D5098E">
        <w:rPr>
          <w:b w:val="0"/>
          <w:bCs w:val="0"/>
        </w:rPr>
        <w:t>2</w:t>
      </w:r>
      <w:r w:rsidRPr="00D5098E">
        <w:rPr>
          <w:b w:val="0"/>
          <w:bCs w:val="0"/>
        </w:rPr>
        <w:t>) by stock solutions of NaNO</w:t>
      </w:r>
      <w:r w:rsidRPr="00D5098E">
        <w:rPr>
          <w:b w:val="0"/>
          <w:bCs w:val="0"/>
          <w:vertAlign w:val="subscript"/>
        </w:rPr>
        <w:t>3</w:t>
      </w:r>
      <w:r w:rsidRPr="00D5098E">
        <w:rPr>
          <w:b w:val="0"/>
          <w:bCs w:val="0"/>
        </w:rPr>
        <w:t xml:space="preserve"> or NaNO</w:t>
      </w:r>
      <w:r w:rsidRPr="00D5098E">
        <w:rPr>
          <w:b w:val="0"/>
          <w:bCs w:val="0"/>
          <w:vertAlign w:val="subscript"/>
        </w:rPr>
        <w:t>2</w:t>
      </w:r>
      <w:r w:rsidRPr="00D5098E">
        <w:rPr>
          <w:b w:val="0"/>
          <w:bCs w:val="0"/>
        </w:rPr>
        <w:t xml:space="preserve"> (2 g/L) were added </w:t>
      </w:r>
      <w:r w:rsidR="00FC5318" w:rsidRPr="00D5098E">
        <w:rPr>
          <w:b w:val="0"/>
          <w:bCs w:val="0"/>
        </w:rPr>
        <w:t>in</w:t>
      </w:r>
      <w:r w:rsidRPr="00D5098E">
        <w:rPr>
          <w:b w:val="0"/>
          <w:bCs w:val="0"/>
        </w:rPr>
        <w:t>to glass bottles</w:t>
      </w:r>
      <w:r w:rsidR="00FC5318" w:rsidRPr="00D5098E">
        <w:rPr>
          <w:b w:val="0"/>
          <w:bCs w:val="0"/>
        </w:rPr>
        <w:t xml:space="preserve"> of 2.1 L</w:t>
      </w:r>
      <w:r w:rsidRPr="00D5098E">
        <w:rPr>
          <w:b w:val="0"/>
          <w:bCs w:val="0"/>
        </w:rPr>
        <w:t xml:space="preserve">, which were then closed with butyl septa and aluminium caps. </w:t>
      </w:r>
      <w:r w:rsidR="00535F57" w:rsidRPr="00D5098E">
        <w:rPr>
          <w:b w:val="0"/>
          <w:bCs w:val="0"/>
        </w:rPr>
        <w:t>T</w:t>
      </w:r>
      <w:r w:rsidRPr="00D5098E">
        <w:rPr>
          <w:b w:val="0"/>
          <w:bCs w:val="0"/>
        </w:rPr>
        <w:t xml:space="preserve">he headspace was subsequently </w:t>
      </w:r>
      <w:r w:rsidR="006365DB" w:rsidRPr="00D5098E">
        <w:rPr>
          <w:b w:val="0"/>
          <w:bCs w:val="0"/>
        </w:rPr>
        <w:t>flushed</w:t>
      </w:r>
      <w:r w:rsidRPr="00D5098E">
        <w:rPr>
          <w:b w:val="0"/>
          <w:bCs w:val="0"/>
        </w:rPr>
        <w:t xml:space="preserve"> with helium </w:t>
      </w:r>
      <w:proofErr w:type="gramStart"/>
      <w:r w:rsidRPr="00D5098E">
        <w:rPr>
          <w:b w:val="0"/>
          <w:bCs w:val="0"/>
        </w:rPr>
        <w:t>in order to</w:t>
      </w:r>
      <w:proofErr w:type="gramEnd"/>
      <w:r w:rsidRPr="00D5098E">
        <w:rPr>
          <w:b w:val="0"/>
          <w:bCs w:val="0"/>
        </w:rPr>
        <w:t xml:space="preserve"> provide anaerobic conditions. </w:t>
      </w:r>
      <w:proofErr w:type="gramStart"/>
      <w:r w:rsidR="006365DB" w:rsidRPr="00D5098E">
        <w:rPr>
          <w:b w:val="0"/>
          <w:bCs w:val="0"/>
        </w:rPr>
        <w:t>In order to</w:t>
      </w:r>
      <w:proofErr w:type="gramEnd"/>
      <w:r w:rsidR="006365DB" w:rsidRPr="00D5098E">
        <w:rPr>
          <w:b w:val="0"/>
          <w:bCs w:val="0"/>
        </w:rPr>
        <w:t xml:space="preserve"> mimic a septic wastewater, t</w:t>
      </w:r>
      <w:r w:rsidRPr="00D5098E">
        <w:rPr>
          <w:b w:val="0"/>
          <w:bCs w:val="0"/>
        </w:rPr>
        <w:t>he target odorous compounds were injected into the bottle headspace</w:t>
      </w:r>
      <w:r w:rsidR="006365DB" w:rsidRPr="00D5098E">
        <w:rPr>
          <w:b w:val="0"/>
          <w:bCs w:val="0"/>
        </w:rPr>
        <w:t xml:space="preserve"> through the butyl septum with a</w:t>
      </w:r>
      <w:r w:rsidRPr="00D5098E">
        <w:rPr>
          <w:b w:val="0"/>
          <w:bCs w:val="0"/>
        </w:rPr>
        <w:t xml:space="preserve"> total mass of </w:t>
      </w:r>
      <w:r w:rsidR="006365DB" w:rsidRPr="00D5098E">
        <w:rPr>
          <w:b w:val="0"/>
          <w:bCs w:val="0"/>
        </w:rPr>
        <w:t xml:space="preserve">2.10, 0.42 and </w:t>
      </w:r>
      <w:r w:rsidRPr="00D5098E">
        <w:rPr>
          <w:b w:val="0"/>
          <w:bCs w:val="0"/>
        </w:rPr>
        <w:t xml:space="preserve">0.07 mg of </w:t>
      </w:r>
      <w:r w:rsidR="006365DB" w:rsidRPr="00D5098E">
        <w:rPr>
          <w:b w:val="0"/>
          <w:bCs w:val="0"/>
        </w:rPr>
        <w:t xml:space="preserve">acetic acid, α-pinene and </w:t>
      </w:r>
      <w:r w:rsidRPr="00D5098E">
        <w:rPr>
          <w:b w:val="0"/>
          <w:bCs w:val="0"/>
        </w:rPr>
        <w:t>H</w:t>
      </w:r>
      <w:r w:rsidRPr="00D5098E">
        <w:rPr>
          <w:b w:val="0"/>
          <w:bCs w:val="0"/>
          <w:vertAlign w:val="subscript"/>
        </w:rPr>
        <w:t>2</w:t>
      </w:r>
      <w:r w:rsidRPr="00D5098E">
        <w:rPr>
          <w:b w:val="0"/>
          <w:bCs w:val="0"/>
        </w:rPr>
        <w:t>S, respectively</w:t>
      </w:r>
      <w:r w:rsidR="006365DB" w:rsidRPr="00D5098E">
        <w:rPr>
          <w:b w:val="0"/>
          <w:bCs w:val="0"/>
        </w:rPr>
        <w:t xml:space="preserve"> </w:t>
      </w:r>
      <w:r w:rsidRPr="00D5098E">
        <w:rPr>
          <w:b w:val="0"/>
          <w:bCs w:val="0"/>
        </w:rPr>
        <w:t xml:space="preserve">(corresponding to </w:t>
      </w:r>
      <w:r w:rsidR="006365DB" w:rsidRPr="00D5098E">
        <w:rPr>
          <w:b w:val="0"/>
          <w:bCs w:val="0"/>
        </w:rPr>
        <w:t xml:space="preserve">2 µL of liquid acetic acid, 0.5 µL of liquid α-pinene and </w:t>
      </w:r>
      <w:r w:rsidRPr="00D5098E">
        <w:rPr>
          <w:b w:val="0"/>
          <w:bCs w:val="0"/>
        </w:rPr>
        <w:t>250 µL of gaseous H</w:t>
      </w:r>
      <w:r w:rsidRPr="00D5098E">
        <w:rPr>
          <w:b w:val="0"/>
          <w:bCs w:val="0"/>
          <w:vertAlign w:val="subscript"/>
        </w:rPr>
        <w:t>2</w:t>
      </w:r>
      <w:r w:rsidRPr="00D5098E">
        <w:rPr>
          <w:b w:val="0"/>
          <w:bCs w:val="0"/>
        </w:rPr>
        <w:t>S at 22 %).</w:t>
      </w:r>
      <w:r w:rsidR="008918B8" w:rsidRPr="00D5098E">
        <w:rPr>
          <w:b w:val="0"/>
          <w:bCs w:val="0"/>
        </w:rPr>
        <w:t xml:space="preserve"> </w:t>
      </w:r>
      <w:r w:rsidRPr="00D5098E">
        <w:rPr>
          <w:b w:val="0"/>
          <w:bCs w:val="0"/>
        </w:rPr>
        <w:t xml:space="preserve">After injection, each bottle was pressurized with helium at 500 mbar </w:t>
      </w:r>
      <w:proofErr w:type="gramStart"/>
      <w:r w:rsidRPr="00D5098E">
        <w:rPr>
          <w:b w:val="0"/>
          <w:bCs w:val="0"/>
        </w:rPr>
        <w:t>in order to</w:t>
      </w:r>
      <w:proofErr w:type="gramEnd"/>
      <w:r w:rsidRPr="00D5098E">
        <w:rPr>
          <w:b w:val="0"/>
          <w:bCs w:val="0"/>
        </w:rPr>
        <w:t xml:space="preserve"> fulfil the technical requirements of the mass spectrometer used to quantify the odorants in the headspace. Subsequently, each bottle was vigorously shaken for 2 min to facilitate gas-liquid equilibrium and the initial concentrations of each target compound was analysed in the headspace by mass spectrometry (MS). Finally, different concentrations of fresh activated sludge were injected into the aqueous phase (Table </w:t>
      </w:r>
      <w:r w:rsidR="00FC5318" w:rsidRPr="00D5098E">
        <w:rPr>
          <w:b w:val="0"/>
          <w:bCs w:val="0"/>
        </w:rPr>
        <w:t>2</w:t>
      </w:r>
      <w:r w:rsidRPr="00D5098E">
        <w:rPr>
          <w:b w:val="0"/>
          <w:bCs w:val="0"/>
        </w:rPr>
        <w:t xml:space="preserve">) and the monitoring of odorant concentration was carried out at 30, 60, 180 and 270 min. </w:t>
      </w:r>
    </w:p>
    <w:p w14:paraId="549A16BE" w14:textId="71826846" w:rsidR="004F1D43" w:rsidRDefault="004F1D43" w:rsidP="004F1D43">
      <w:pPr>
        <w:pStyle w:val="CETBodytext"/>
        <w:rPr>
          <w:lang w:val="en-GB"/>
        </w:rPr>
      </w:pPr>
      <w:r w:rsidRPr="004F1D43">
        <w:rPr>
          <w:lang w:val="en-GB"/>
        </w:rPr>
        <w:t>The glass bottles were gently incubated in a horizontal rotary incubator at 7 rpm and at ambient temperature (21</w:t>
      </w:r>
      <w:r>
        <w:rPr>
          <w:lang w:val="en-GB"/>
        </w:rPr>
        <w:t xml:space="preserve"> </w:t>
      </w:r>
      <w:r w:rsidRPr="004F1D43">
        <w:rPr>
          <w:lang w:val="en-GB"/>
        </w:rPr>
        <w:t>ºC). It is important to highlight that control experiments (i.e., without the supplementation of oxidized nitrogen and activated sludge) were also performed following the procedure previously described.</w:t>
      </w:r>
    </w:p>
    <w:p w14:paraId="27CCCEE1" w14:textId="14101641" w:rsidR="00647B88" w:rsidRPr="00064130" w:rsidRDefault="00647B88" w:rsidP="00D5098E">
      <w:pPr>
        <w:pStyle w:val="CETheadingx"/>
        <w:rPr>
          <w:b w:val="0"/>
          <w:bCs w:val="0"/>
        </w:rPr>
      </w:pPr>
      <w:r w:rsidRPr="00D5098E">
        <w:rPr>
          <w:b w:val="0"/>
          <w:bCs w:val="0"/>
        </w:rPr>
        <w:t xml:space="preserve">It is important to highlight that ammonia concentration </w:t>
      </w:r>
      <w:r w:rsidR="00D5098E" w:rsidRPr="00D5098E">
        <w:rPr>
          <w:b w:val="0"/>
          <w:bCs w:val="0"/>
        </w:rPr>
        <w:t xml:space="preserve">in the </w:t>
      </w:r>
      <w:proofErr w:type="spellStart"/>
      <w:r w:rsidR="00D5098E" w:rsidRPr="00D5098E">
        <w:rPr>
          <w:b w:val="0"/>
          <w:bCs w:val="0"/>
        </w:rPr>
        <w:t>centrates</w:t>
      </w:r>
      <w:proofErr w:type="spellEnd"/>
      <w:r w:rsidR="00D5098E" w:rsidRPr="00D5098E">
        <w:rPr>
          <w:b w:val="0"/>
          <w:bCs w:val="0"/>
        </w:rPr>
        <w:t xml:space="preserve"> from anaerobic digestion is ranged between </w:t>
      </w:r>
      <w:r w:rsidR="00064130" w:rsidRPr="00064130">
        <w:rPr>
          <w:b w:val="0"/>
          <w:bCs w:val="0"/>
        </w:rPr>
        <w:t>900 - 1500 mg/L</w:t>
      </w:r>
      <w:r w:rsidR="00064130">
        <w:rPr>
          <w:b w:val="0"/>
          <w:bCs w:val="0"/>
        </w:rPr>
        <w:t xml:space="preserve">, which could be transformed into </w:t>
      </w:r>
      <w:r w:rsidR="00064130" w:rsidRPr="00064130">
        <w:rPr>
          <w:b w:val="0"/>
          <w:bCs w:val="0"/>
        </w:rPr>
        <w:t>N-NO</w:t>
      </w:r>
      <w:r w:rsidR="00064130" w:rsidRPr="00064130">
        <w:rPr>
          <w:b w:val="0"/>
          <w:bCs w:val="0"/>
          <w:vertAlign w:val="subscript"/>
        </w:rPr>
        <w:t>3</w:t>
      </w:r>
      <w:r w:rsidR="00064130" w:rsidRPr="00064130">
        <w:rPr>
          <w:b w:val="0"/>
          <w:bCs w:val="0"/>
        </w:rPr>
        <w:t xml:space="preserve"> or N-NO</w:t>
      </w:r>
      <w:r w:rsidR="00064130" w:rsidRPr="00064130">
        <w:rPr>
          <w:b w:val="0"/>
          <w:bCs w:val="0"/>
          <w:vertAlign w:val="subscript"/>
        </w:rPr>
        <w:t>2</w:t>
      </w:r>
      <w:r w:rsidR="00C135BA">
        <w:rPr>
          <w:b w:val="0"/>
          <w:bCs w:val="0"/>
        </w:rPr>
        <w:t xml:space="preserve">, considering the </w:t>
      </w:r>
      <w:proofErr w:type="spellStart"/>
      <w:r w:rsidR="00C135BA">
        <w:rPr>
          <w:b w:val="0"/>
          <w:bCs w:val="0"/>
        </w:rPr>
        <w:t>centrate</w:t>
      </w:r>
      <w:proofErr w:type="spellEnd"/>
      <w:r w:rsidR="00C135BA">
        <w:rPr>
          <w:b w:val="0"/>
          <w:bCs w:val="0"/>
        </w:rPr>
        <w:t xml:space="preserve"> flowrate (Q</w:t>
      </w:r>
      <w:r w:rsidR="00C135BA" w:rsidRPr="00C135BA">
        <w:rPr>
          <w:b w:val="0"/>
          <w:bCs w:val="0"/>
          <w:vertAlign w:val="subscript"/>
        </w:rPr>
        <w:t>C</w:t>
      </w:r>
      <w:r w:rsidR="00C135BA">
        <w:rPr>
          <w:b w:val="0"/>
          <w:bCs w:val="0"/>
        </w:rPr>
        <w:t>) and the influent raw wastewater flowrate (Q</w:t>
      </w:r>
      <w:r w:rsidR="00C135BA" w:rsidRPr="00C135BA">
        <w:rPr>
          <w:b w:val="0"/>
          <w:bCs w:val="0"/>
          <w:vertAlign w:val="subscript"/>
        </w:rPr>
        <w:t>O</w:t>
      </w:r>
      <w:r w:rsidR="00C135BA">
        <w:rPr>
          <w:b w:val="0"/>
          <w:bCs w:val="0"/>
        </w:rPr>
        <w:t>),</w:t>
      </w:r>
      <w:r w:rsidR="00064130">
        <w:rPr>
          <w:b w:val="0"/>
          <w:bCs w:val="0"/>
        </w:rPr>
        <w:t xml:space="preserve"> with maximum </w:t>
      </w:r>
      <w:r w:rsidR="003461B6" w:rsidRPr="00064130">
        <w:rPr>
          <w:b w:val="0"/>
          <w:bCs w:val="0"/>
        </w:rPr>
        <w:t>N-NO</w:t>
      </w:r>
      <w:r w:rsidR="003461B6" w:rsidRPr="00064130">
        <w:rPr>
          <w:b w:val="0"/>
          <w:bCs w:val="0"/>
          <w:vertAlign w:val="subscript"/>
        </w:rPr>
        <w:t>3</w:t>
      </w:r>
      <w:r w:rsidR="003461B6" w:rsidRPr="00064130">
        <w:rPr>
          <w:b w:val="0"/>
          <w:bCs w:val="0"/>
        </w:rPr>
        <w:t xml:space="preserve"> or N-NO</w:t>
      </w:r>
      <w:r w:rsidR="003461B6" w:rsidRPr="00064130">
        <w:rPr>
          <w:b w:val="0"/>
          <w:bCs w:val="0"/>
          <w:vertAlign w:val="subscript"/>
        </w:rPr>
        <w:t>2</w:t>
      </w:r>
      <w:r w:rsidR="003461B6">
        <w:rPr>
          <w:b w:val="0"/>
          <w:bCs w:val="0"/>
          <w:vertAlign w:val="subscript"/>
        </w:rPr>
        <w:t xml:space="preserve"> </w:t>
      </w:r>
      <w:r w:rsidR="00064130" w:rsidRPr="00064130">
        <w:rPr>
          <w:b w:val="0"/>
          <w:bCs w:val="0"/>
        </w:rPr>
        <w:t>concentrations of 6 - 10 mg N/L</w:t>
      </w:r>
      <w:r w:rsidR="00C135BA">
        <w:rPr>
          <w:b w:val="0"/>
          <w:bCs w:val="0"/>
        </w:rPr>
        <w:t>.</w:t>
      </w:r>
      <w:r w:rsidR="00CF4DCA">
        <w:rPr>
          <w:b w:val="0"/>
          <w:bCs w:val="0"/>
        </w:rPr>
        <w:t xml:space="preserve"> Likewise, </w:t>
      </w:r>
      <w:r w:rsidR="000C6AD7">
        <w:rPr>
          <w:b w:val="0"/>
          <w:bCs w:val="0"/>
        </w:rPr>
        <w:t xml:space="preserve">the volatile suspended solids (VSS) of waste activated sludge from secondary settlers is ranged between </w:t>
      </w:r>
      <w:r w:rsidR="000C6AD7" w:rsidRPr="000C6AD7">
        <w:rPr>
          <w:b w:val="0"/>
          <w:bCs w:val="0"/>
        </w:rPr>
        <w:t>4000 - 12000 mg VSS/L</w:t>
      </w:r>
      <w:r w:rsidR="00F254C3">
        <w:rPr>
          <w:b w:val="0"/>
          <w:bCs w:val="0"/>
        </w:rPr>
        <w:t>, from which a maximum AS concentration of 100 mg VSS/L could be recirculated if the waste activated sludge flowrate (Q</w:t>
      </w:r>
      <w:r w:rsidR="00F254C3">
        <w:rPr>
          <w:b w:val="0"/>
          <w:bCs w:val="0"/>
          <w:vertAlign w:val="subscript"/>
        </w:rPr>
        <w:t>W</w:t>
      </w:r>
      <w:r w:rsidR="00F254C3">
        <w:rPr>
          <w:b w:val="0"/>
          <w:bCs w:val="0"/>
        </w:rPr>
        <w:t>) and the influent raw wastewater flowrate (Q</w:t>
      </w:r>
      <w:r w:rsidR="00F254C3" w:rsidRPr="00C135BA">
        <w:rPr>
          <w:b w:val="0"/>
          <w:bCs w:val="0"/>
          <w:vertAlign w:val="subscript"/>
        </w:rPr>
        <w:t>O</w:t>
      </w:r>
      <w:r w:rsidR="00F254C3">
        <w:rPr>
          <w:b w:val="0"/>
          <w:bCs w:val="0"/>
        </w:rPr>
        <w:t>) are considered</w:t>
      </w:r>
      <w:r w:rsidR="0032032A">
        <w:rPr>
          <w:b w:val="0"/>
          <w:bCs w:val="0"/>
        </w:rPr>
        <w:t xml:space="preserve"> (Toledo and Muñoz, 2022)</w:t>
      </w:r>
      <w:r w:rsidR="00F254C3">
        <w:rPr>
          <w:b w:val="0"/>
          <w:bCs w:val="0"/>
        </w:rPr>
        <w:t>.</w:t>
      </w:r>
    </w:p>
    <w:p w14:paraId="4C67B136" w14:textId="12259541" w:rsidR="004F1D43" w:rsidRPr="00B57B36" w:rsidRDefault="004F1D43" w:rsidP="004F1D43">
      <w:pPr>
        <w:pStyle w:val="CETTabletitle"/>
      </w:pPr>
      <w:r w:rsidRPr="00F23688">
        <w:rPr>
          <w:rStyle w:val="CETBodytextCarattere"/>
        </w:rPr>
        <w:lastRenderedPageBreak/>
        <w:t>T</w:t>
      </w:r>
      <w:r w:rsidRPr="004F1D43">
        <w:rPr>
          <w:lang w:val="en-US"/>
        </w:rPr>
        <w:t xml:space="preserve">able </w:t>
      </w:r>
      <w:r w:rsidR="00FC5318">
        <w:rPr>
          <w:lang w:val="en-US"/>
        </w:rPr>
        <w:t>2</w:t>
      </w:r>
      <w:r w:rsidRPr="004F1D43">
        <w:rPr>
          <w:lang w:val="en-US"/>
        </w:rPr>
        <w:t>: Experimental design of the OAR and ASR assays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2410"/>
        <w:gridCol w:w="2268"/>
        <w:gridCol w:w="2126"/>
      </w:tblGrid>
      <w:tr w:rsidR="00200AB6" w:rsidRPr="00B57B36" w14:paraId="3E2F4DC5" w14:textId="77777777" w:rsidTr="00F307C4">
        <w:tc>
          <w:tcPr>
            <w:tcW w:w="1985" w:type="dxa"/>
            <w:tcBorders>
              <w:top w:val="single" w:sz="12" w:space="0" w:color="008000"/>
              <w:bottom w:val="single" w:sz="6" w:space="0" w:color="008000"/>
            </w:tcBorders>
            <w:shd w:val="clear" w:color="auto" w:fill="FFFFFF"/>
          </w:tcPr>
          <w:p w14:paraId="410636E4" w14:textId="7EF5E69D" w:rsidR="00200AB6" w:rsidRPr="00200AB6" w:rsidRDefault="00200AB6" w:rsidP="00716C21">
            <w:pPr>
              <w:pStyle w:val="CETBodytext"/>
              <w:jc w:val="center"/>
              <w:rPr>
                <w:rFonts w:cs="Arial"/>
                <w:lang w:val="en-GB"/>
              </w:rPr>
            </w:pPr>
            <w:r w:rsidRPr="00200AB6">
              <w:rPr>
                <w:rFonts w:cs="Arial"/>
                <w:b/>
                <w:bCs/>
              </w:rPr>
              <w:t>Bottle identification</w:t>
            </w:r>
          </w:p>
        </w:tc>
        <w:tc>
          <w:tcPr>
            <w:tcW w:w="2410" w:type="dxa"/>
            <w:tcBorders>
              <w:top w:val="single" w:sz="12" w:space="0" w:color="008000"/>
              <w:bottom w:val="single" w:sz="6" w:space="0" w:color="008000"/>
            </w:tcBorders>
            <w:shd w:val="clear" w:color="auto" w:fill="FFFFFF"/>
          </w:tcPr>
          <w:p w14:paraId="4BB55D0C" w14:textId="77777777" w:rsidR="00200AB6" w:rsidRDefault="00200AB6" w:rsidP="00200AB6">
            <w:pPr>
              <w:pStyle w:val="CETBodytext"/>
              <w:jc w:val="center"/>
              <w:rPr>
                <w:rFonts w:cs="Arial"/>
                <w:b/>
                <w:bCs/>
              </w:rPr>
            </w:pPr>
            <w:r w:rsidRPr="00200AB6">
              <w:rPr>
                <w:rFonts w:cs="Arial"/>
                <w:b/>
                <w:bCs/>
              </w:rPr>
              <w:t xml:space="preserve">AS concentration </w:t>
            </w:r>
          </w:p>
          <w:p w14:paraId="26748D3D" w14:textId="05849E30" w:rsidR="00200AB6" w:rsidRPr="00200AB6" w:rsidRDefault="00200AB6" w:rsidP="00200AB6">
            <w:pPr>
              <w:pStyle w:val="CETBodytext"/>
              <w:jc w:val="center"/>
              <w:rPr>
                <w:rFonts w:cs="Arial"/>
                <w:lang w:val="en-GB"/>
              </w:rPr>
            </w:pPr>
            <w:r w:rsidRPr="00200AB6">
              <w:rPr>
                <w:rFonts w:cs="Arial"/>
                <w:b/>
                <w:bCs/>
              </w:rPr>
              <w:t>(</w:t>
            </w:r>
            <w:proofErr w:type="gramStart"/>
            <w:r w:rsidRPr="00200AB6">
              <w:rPr>
                <w:rFonts w:cs="Arial"/>
                <w:b/>
                <w:bCs/>
              </w:rPr>
              <w:t>mg</w:t>
            </w:r>
            <w:proofErr w:type="gramEnd"/>
            <w:r w:rsidRPr="00200AB6">
              <w:rPr>
                <w:rFonts w:cs="Arial"/>
                <w:b/>
                <w:bCs/>
              </w:rPr>
              <w:t xml:space="preserve"> VSS/L)</w:t>
            </w:r>
          </w:p>
        </w:tc>
        <w:tc>
          <w:tcPr>
            <w:tcW w:w="2268" w:type="dxa"/>
            <w:tcBorders>
              <w:top w:val="single" w:sz="12" w:space="0" w:color="008000"/>
              <w:bottom w:val="single" w:sz="6" w:space="0" w:color="008000"/>
            </w:tcBorders>
            <w:shd w:val="clear" w:color="auto" w:fill="FFFFFF"/>
          </w:tcPr>
          <w:p w14:paraId="605B30C7" w14:textId="159DE417" w:rsidR="00200AB6" w:rsidRPr="00200AB6" w:rsidRDefault="00200AB6" w:rsidP="00200AB6">
            <w:pPr>
              <w:pStyle w:val="CETBodytext"/>
              <w:jc w:val="center"/>
              <w:rPr>
                <w:rFonts w:cs="Arial"/>
                <w:lang w:val="en-GB"/>
              </w:rPr>
            </w:pPr>
            <w:r w:rsidRPr="00200AB6">
              <w:rPr>
                <w:rFonts w:cs="Arial"/>
                <w:b/>
                <w:bCs/>
              </w:rPr>
              <w:t>N-NO</w:t>
            </w:r>
            <w:r w:rsidR="003461B6">
              <w:rPr>
                <w:rFonts w:cs="Arial"/>
                <w:b/>
                <w:bCs/>
                <w:vertAlign w:val="subscript"/>
              </w:rPr>
              <w:t>3</w:t>
            </w:r>
            <w:r w:rsidRPr="00200AB6">
              <w:rPr>
                <w:rFonts w:cs="Arial"/>
                <w:b/>
                <w:bCs/>
              </w:rPr>
              <w:t xml:space="preserve"> </w:t>
            </w:r>
            <w:r w:rsidR="003461B6">
              <w:rPr>
                <w:rFonts w:cs="Arial"/>
                <w:b/>
                <w:bCs/>
              </w:rPr>
              <w:t xml:space="preserve">and </w:t>
            </w:r>
            <w:r w:rsidR="003461B6" w:rsidRPr="00200AB6">
              <w:rPr>
                <w:rFonts w:cs="Arial"/>
                <w:b/>
                <w:bCs/>
              </w:rPr>
              <w:t>N-NO</w:t>
            </w:r>
            <w:r w:rsidR="003461B6">
              <w:rPr>
                <w:rFonts w:cs="Arial"/>
                <w:b/>
                <w:bCs/>
                <w:vertAlign w:val="subscript"/>
              </w:rPr>
              <w:t xml:space="preserve">2 </w:t>
            </w:r>
            <w:r w:rsidRPr="00200AB6">
              <w:rPr>
                <w:rFonts w:cs="Arial"/>
                <w:b/>
                <w:bCs/>
              </w:rPr>
              <w:t>concentration (mg/L)</w:t>
            </w:r>
          </w:p>
        </w:tc>
        <w:tc>
          <w:tcPr>
            <w:tcW w:w="2126" w:type="dxa"/>
            <w:tcBorders>
              <w:top w:val="single" w:sz="12" w:space="0" w:color="008000"/>
              <w:bottom w:val="single" w:sz="6" w:space="0" w:color="008000"/>
            </w:tcBorders>
            <w:shd w:val="clear" w:color="auto" w:fill="FFFFFF"/>
          </w:tcPr>
          <w:p w14:paraId="256B3768" w14:textId="6E1E3D25" w:rsidR="00200AB6" w:rsidRPr="00200AB6" w:rsidRDefault="00200AB6" w:rsidP="00200AB6">
            <w:pPr>
              <w:pStyle w:val="CETBodytext"/>
              <w:ind w:right="-1"/>
              <w:rPr>
                <w:rFonts w:cs="Arial"/>
                <w:szCs w:val="18"/>
                <w:lang w:val="en-GB"/>
              </w:rPr>
            </w:pPr>
            <w:r w:rsidRPr="00200AB6">
              <w:rPr>
                <w:rFonts w:cs="Arial"/>
                <w:b/>
                <w:bCs/>
              </w:rPr>
              <w:t>Number of experiments</w:t>
            </w:r>
          </w:p>
        </w:tc>
      </w:tr>
      <w:tr w:rsidR="00716C21" w:rsidRPr="00B57B36" w14:paraId="3C99B800" w14:textId="77777777" w:rsidTr="00716C21">
        <w:tc>
          <w:tcPr>
            <w:tcW w:w="1985" w:type="dxa"/>
            <w:vMerge w:val="restart"/>
            <w:shd w:val="clear" w:color="auto" w:fill="FFFFFF"/>
            <w:vAlign w:val="center"/>
          </w:tcPr>
          <w:p w14:paraId="770A2EC4" w14:textId="21B835EB" w:rsidR="00716C21" w:rsidRPr="00B57B36" w:rsidRDefault="00716C21" w:rsidP="00716C21">
            <w:pPr>
              <w:pStyle w:val="CETBodytext"/>
              <w:jc w:val="center"/>
              <w:rPr>
                <w:lang w:val="en-GB"/>
              </w:rPr>
            </w:pPr>
            <w:r w:rsidRPr="00AC7732">
              <w:rPr>
                <w:rFonts w:ascii="Times New Roman" w:hAnsi="Times New Roman"/>
              </w:rPr>
              <w:t>B1</w:t>
            </w:r>
          </w:p>
        </w:tc>
        <w:tc>
          <w:tcPr>
            <w:tcW w:w="2410" w:type="dxa"/>
            <w:vMerge w:val="restart"/>
            <w:shd w:val="clear" w:color="auto" w:fill="FFFFFF"/>
            <w:vAlign w:val="center"/>
          </w:tcPr>
          <w:p w14:paraId="5CB11A6D" w14:textId="10DF5C35" w:rsidR="00716C21" w:rsidRPr="00B57B36" w:rsidRDefault="00716C21" w:rsidP="00716C21">
            <w:pPr>
              <w:pStyle w:val="CETBodytext"/>
              <w:jc w:val="center"/>
              <w:rPr>
                <w:lang w:val="en-GB"/>
              </w:rPr>
            </w:pPr>
            <w:r>
              <w:rPr>
                <w:lang w:val="en-GB"/>
              </w:rPr>
              <w:t>0</w:t>
            </w:r>
          </w:p>
        </w:tc>
        <w:tc>
          <w:tcPr>
            <w:tcW w:w="2268" w:type="dxa"/>
            <w:shd w:val="clear" w:color="auto" w:fill="FFFFFF"/>
            <w:vAlign w:val="center"/>
          </w:tcPr>
          <w:p w14:paraId="6806372A" w14:textId="15B57AF0" w:rsidR="00716C21" w:rsidRPr="00716C21" w:rsidRDefault="00716C21" w:rsidP="00716C21">
            <w:pPr>
              <w:pStyle w:val="CETBodytext"/>
              <w:ind w:right="-1"/>
              <w:jc w:val="center"/>
              <w:rPr>
                <w:rFonts w:cs="Arial"/>
                <w:szCs w:val="18"/>
                <w:lang w:val="en-GB"/>
              </w:rPr>
            </w:pPr>
            <w:r w:rsidRPr="00716C21">
              <w:rPr>
                <w:rFonts w:cs="Arial"/>
              </w:rPr>
              <w:t>1.5</w:t>
            </w:r>
          </w:p>
        </w:tc>
        <w:tc>
          <w:tcPr>
            <w:tcW w:w="2126" w:type="dxa"/>
            <w:vMerge w:val="restart"/>
            <w:shd w:val="clear" w:color="auto" w:fill="FFFFFF"/>
            <w:vAlign w:val="center"/>
          </w:tcPr>
          <w:p w14:paraId="114F9FF1" w14:textId="24CB1493" w:rsidR="00716C21" w:rsidRPr="00B57B36" w:rsidRDefault="00716C21" w:rsidP="00716C21">
            <w:pPr>
              <w:pStyle w:val="CETBodytext"/>
              <w:ind w:right="-1"/>
              <w:jc w:val="center"/>
              <w:rPr>
                <w:rFonts w:cs="Arial"/>
                <w:szCs w:val="18"/>
                <w:lang w:val="en-GB"/>
              </w:rPr>
            </w:pPr>
            <w:r>
              <w:rPr>
                <w:rFonts w:cs="Arial"/>
                <w:szCs w:val="18"/>
                <w:lang w:val="en-GB"/>
              </w:rPr>
              <w:t>8</w:t>
            </w:r>
          </w:p>
        </w:tc>
      </w:tr>
      <w:tr w:rsidR="00716C21" w:rsidRPr="00B57B36" w14:paraId="5245E30E" w14:textId="77777777" w:rsidTr="00716C21">
        <w:tc>
          <w:tcPr>
            <w:tcW w:w="1985" w:type="dxa"/>
            <w:vMerge/>
            <w:shd w:val="clear" w:color="auto" w:fill="FFFFFF"/>
            <w:vAlign w:val="center"/>
          </w:tcPr>
          <w:p w14:paraId="33F0514D"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256BC054" w14:textId="77777777" w:rsidR="00716C21" w:rsidRPr="00B57B36" w:rsidRDefault="00716C21" w:rsidP="00716C21">
            <w:pPr>
              <w:pStyle w:val="CETBodytext"/>
              <w:jc w:val="center"/>
              <w:rPr>
                <w:lang w:val="en-GB"/>
              </w:rPr>
            </w:pPr>
          </w:p>
        </w:tc>
        <w:tc>
          <w:tcPr>
            <w:tcW w:w="2268" w:type="dxa"/>
            <w:shd w:val="clear" w:color="auto" w:fill="FFFFFF"/>
            <w:vAlign w:val="center"/>
          </w:tcPr>
          <w:p w14:paraId="4E871D86" w14:textId="6E3A0E0A" w:rsidR="00716C21" w:rsidRPr="00716C21" w:rsidRDefault="00716C21" w:rsidP="00716C21">
            <w:pPr>
              <w:pStyle w:val="CETBodytext"/>
              <w:ind w:right="-1"/>
              <w:jc w:val="center"/>
              <w:rPr>
                <w:rFonts w:cs="Arial"/>
                <w:szCs w:val="18"/>
                <w:lang w:val="en-GB"/>
              </w:rPr>
            </w:pPr>
            <w:r w:rsidRPr="00716C21">
              <w:rPr>
                <w:rFonts w:cs="Arial"/>
              </w:rPr>
              <w:t>5</w:t>
            </w:r>
          </w:p>
        </w:tc>
        <w:tc>
          <w:tcPr>
            <w:tcW w:w="2126" w:type="dxa"/>
            <w:vMerge/>
            <w:shd w:val="clear" w:color="auto" w:fill="FFFFFF"/>
            <w:vAlign w:val="center"/>
          </w:tcPr>
          <w:p w14:paraId="31BE29B0" w14:textId="0F7D21D2" w:rsidR="00716C21" w:rsidRPr="00B57B36" w:rsidRDefault="00716C21" w:rsidP="00716C21">
            <w:pPr>
              <w:pStyle w:val="CETBodytext"/>
              <w:ind w:right="-1"/>
              <w:jc w:val="center"/>
              <w:rPr>
                <w:rFonts w:cs="Arial"/>
                <w:szCs w:val="18"/>
                <w:lang w:val="en-GB"/>
              </w:rPr>
            </w:pPr>
          </w:p>
        </w:tc>
      </w:tr>
      <w:tr w:rsidR="00716C21" w:rsidRPr="00B57B36" w14:paraId="44F8E5ED" w14:textId="77777777" w:rsidTr="00716C21">
        <w:tc>
          <w:tcPr>
            <w:tcW w:w="1985" w:type="dxa"/>
            <w:vMerge/>
            <w:shd w:val="clear" w:color="auto" w:fill="FFFFFF"/>
            <w:vAlign w:val="center"/>
          </w:tcPr>
          <w:p w14:paraId="53A65193"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2E94670B" w14:textId="77777777" w:rsidR="00716C21" w:rsidRPr="00B57B36" w:rsidRDefault="00716C21" w:rsidP="00716C21">
            <w:pPr>
              <w:pStyle w:val="CETBodytext"/>
              <w:jc w:val="center"/>
              <w:rPr>
                <w:lang w:val="en-GB"/>
              </w:rPr>
            </w:pPr>
          </w:p>
        </w:tc>
        <w:tc>
          <w:tcPr>
            <w:tcW w:w="2268" w:type="dxa"/>
            <w:shd w:val="clear" w:color="auto" w:fill="FFFFFF"/>
            <w:vAlign w:val="center"/>
          </w:tcPr>
          <w:p w14:paraId="0C9A1DFD" w14:textId="443982CE" w:rsidR="00716C21" w:rsidRPr="00716C21" w:rsidRDefault="00716C21" w:rsidP="00716C21">
            <w:pPr>
              <w:pStyle w:val="CETBodytext"/>
              <w:ind w:right="-1"/>
              <w:jc w:val="center"/>
              <w:rPr>
                <w:rFonts w:cs="Arial"/>
                <w:szCs w:val="18"/>
                <w:lang w:val="en-GB"/>
              </w:rPr>
            </w:pPr>
            <w:r w:rsidRPr="00716C21">
              <w:rPr>
                <w:rFonts w:cs="Arial"/>
              </w:rPr>
              <w:t>7.5</w:t>
            </w:r>
          </w:p>
        </w:tc>
        <w:tc>
          <w:tcPr>
            <w:tcW w:w="2126" w:type="dxa"/>
            <w:vMerge/>
            <w:shd w:val="clear" w:color="auto" w:fill="FFFFFF"/>
            <w:vAlign w:val="center"/>
          </w:tcPr>
          <w:p w14:paraId="0E41E764" w14:textId="1B685539" w:rsidR="00716C21" w:rsidRPr="00B57B36" w:rsidRDefault="00716C21" w:rsidP="00716C21">
            <w:pPr>
              <w:pStyle w:val="CETBodytext"/>
              <w:ind w:right="-1"/>
              <w:jc w:val="center"/>
              <w:rPr>
                <w:rFonts w:cs="Arial"/>
                <w:szCs w:val="18"/>
                <w:lang w:val="en-GB"/>
              </w:rPr>
            </w:pPr>
          </w:p>
        </w:tc>
      </w:tr>
      <w:tr w:rsidR="00716C21" w:rsidRPr="00B57B36" w14:paraId="41E2DBAD" w14:textId="77777777" w:rsidTr="00716C21">
        <w:tc>
          <w:tcPr>
            <w:tcW w:w="1985" w:type="dxa"/>
            <w:vMerge/>
            <w:shd w:val="clear" w:color="auto" w:fill="FFFFFF"/>
            <w:vAlign w:val="center"/>
          </w:tcPr>
          <w:p w14:paraId="1369E3CF"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6055276E" w14:textId="77777777" w:rsidR="00716C21" w:rsidRPr="00B57B36" w:rsidRDefault="00716C21" w:rsidP="00716C21">
            <w:pPr>
              <w:pStyle w:val="CETBodytext"/>
              <w:jc w:val="center"/>
              <w:rPr>
                <w:lang w:val="en-GB"/>
              </w:rPr>
            </w:pPr>
          </w:p>
        </w:tc>
        <w:tc>
          <w:tcPr>
            <w:tcW w:w="2268" w:type="dxa"/>
            <w:shd w:val="clear" w:color="auto" w:fill="FFFFFF"/>
            <w:vAlign w:val="center"/>
          </w:tcPr>
          <w:p w14:paraId="7A8D57A5" w14:textId="6D5BE556" w:rsidR="00716C21" w:rsidRPr="00716C21" w:rsidRDefault="00716C21" w:rsidP="00716C21">
            <w:pPr>
              <w:pStyle w:val="Textonotapie"/>
              <w:ind w:right="-1"/>
              <w:jc w:val="center"/>
              <w:rPr>
                <w:rFonts w:cs="Arial"/>
                <w:szCs w:val="18"/>
              </w:rPr>
            </w:pPr>
            <w:r w:rsidRPr="00716C21">
              <w:rPr>
                <w:rFonts w:cs="Arial"/>
                <w:lang w:val="en-US"/>
              </w:rPr>
              <w:t>10</w:t>
            </w:r>
          </w:p>
        </w:tc>
        <w:tc>
          <w:tcPr>
            <w:tcW w:w="2126" w:type="dxa"/>
            <w:vMerge/>
            <w:shd w:val="clear" w:color="auto" w:fill="FFFFFF"/>
            <w:vAlign w:val="center"/>
          </w:tcPr>
          <w:p w14:paraId="3DD69FBF" w14:textId="1E88A0CB" w:rsidR="00716C21" w:rsidRPr="00B57B36" w:rsidRDefault="00716C21" w:rsidP="00716C21">
            <w:pPr>
              <w:pStyle w:val="Textonotapie"/>
              <w:ind w:right="-1"/>
              <w:jc w:val="center"/>
              <w:rPr>
                <w:rFonts w:cs="Arial"/>
                <w:szCs w:val="18"/>
              </w:rPr>
            </w:pPr>
          </w:p>
        </w:tc>
      </w:tr>
      <w:tr w:rsidR="00716C21" w:rsidRPr="00B57B36" w14:paraId="2B282C0C" w14:textId="77777777" w:rsidTr="00716C21">
        <w:tc>
          <w:tcPr>
            <w:tcW w:w="1985" w:type="dxa"/>
            <w:vMerge w:val="restart"/>
            <w:shd w:val="clear" w:color="auto" w:fill="FFFFFF"/>
            <w:vAlign w:val="center"/>
          </w:tcPr>
          <w:p w14:paraId="2C8E6BA1" w14:textId="2B047AA2" w:rsidR="00716C21" w:rsidRPr="00B57B36" w:rsidRDefault="00716C21" w:rsidP="00716C21">
            <w:pPr>
              <w:pStyle w:val="CETBodytext"/>
              <w:jc w:val="center"/>
              <w:rPr>
                <w:lang w:val="en-GB"/>
              </w:rPr>
            </w:pPr>
            <w:r w:rsidRPr="00AC7732">
              <w:rPr>
                <w:rFonts w:ascii="Times New Roman" w:hAnsi="Times New Roman"/>
              </w:rPr>
              <w:t>B2</w:t>
            </w:r>
          </w:p>
        </w:tc>
        <w:tc>
          <w:tcPr>
            <w:tcW w:w="2410" w:type="dxa"/>
            <w:vMerge w:val="restart"/>
            <w:shd w:val="clear" w:color="auto" w:fill="FFFFFF"/>
            <w:vAlign w:val="center"/>
          </w:tcPr>
          <w:p w14:paraId="6EC3D414" w14:textId="4B71316F" w:rsidR="00716C21" w:rsidRPr="00B57B36" w:rsidRDefault="00716C21" w:rsidP="00716C21">
            <w:pPr>
              <w:pStyle w:val="CETBodytext"/>
              <w:jc w:val="center"/>
              <w:rPr>
                <w:lang w:val="en-GB"/>
              </w:rPr>
            </w:pPr>
            <w:r>
              <w:rPr>
                <w:lang w:val="en-GB"/>
              </w:rPr>
              <w:t>10</w:t>
            </w:r>
          </w:p>
        </w:tc>
        <w:tc>
          <w:tcPr>
            <w:tcW w:w="2268" w:type="dxa"/>
            <w:shd w:val="clear" w:color="auto" w:fill="FFFFFF"/>
            <w:vAlign w:val="center"/>
          </w:tcPr>
          <w:p w14:paraId="150C93A3" w14:textId="7979FF89" w:rsidR="00716C21" w:rsidRPr="00716C21" w:rsidRDefault="00716C21" w:rsidP="00716C21">
            <w:pPr>
              <w:pStyle w:val="CETBodytext"/>
              <w:ind w:right="-1"/>
              <w:jc w:val="center"/>
              <w:rPr>
                <w:rFonts w:cs="Arial"/>
                <w:szCs w:val="18"/>
                <w:lang w:val="en-GB"/>
              </w:rPr>
            </w:pPr>
            <w:r w:rsidRPr="00716C21">
              <w:rPr>
                <w:rFonts w:cs="Arial"/>
              </w:rPr>
              <w:t>1.5</w:t>
            </w:r>
          </w:p>
        </w:tc>
        <w:tc>
          <w:tcPr>
            <w:tcW w:w="2126" w:type="dxa"/>
            <w:vMerge w:val="restart"/>
            <w:shd w:val="clear" w:color="auto" w:fill="FFFFFF"/>
            <w:vAlign w:val="center"/>
          </w:tcPr>
          <w:p w14:paraId="69AC063D" w14:textId="1DE10925" w:rsidR="00716C21" w:rsidRPr="00B57B36" w:rsidRDefault="00716C21" w:rsidP="00716C21">
            <w:pPr>
              <w:pStyle w:val="CETBodytext"/>
              <w:ind w:right="-1"/>
              <w:jc w:val="center"/>
              <w:rPr>
                <w:rFonts w:cs="Arial"/>
                <w:szCs w:val="18"/>
                <w:lang w:val="en-GB"/>
              </w:rPr>
            </w:pPr>
            <w:r>
              <w:rPr>
                <w:rFonts w:cs="Arial"/>
                <w:szCs w:val="18"/>
                <w:lang w:val="en-GB"/>
              </w:rPr>
              <w:t>8</w:t>
            </w:r>
          </w:p>
        </w:tc>
      </w:tr>
      <w:tr w:rsidR="00716C21" w:rsidRPr="00B57B36" w14:paraId="2C4961A7" w14:textId="77777777" w:rsidTr="00716C21">
        <w:tc>
          <w:tcPr>
            <w:tcW w:w="1985" w:type="dxa"/>
            <w:vMerge/>
            <w:shd w:val="clear" w:color="auto" w:fill="FFFFFF"/>
            <w:vAlign w:val="center"/>
          </w:tcPr>
          <w:p w14:paraId="19CED593"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2EE422C6" w14:textId="77777777" w:rsidR="00716C21" w:rsidRPr="00B57B36" w:rsidRDefault="00716C21" w:rsidP="00716C21">
            <w:pPr>
              <w:pStyle w:val="CETBodytext"/>
              <w:jc w:val="center"/>
              <w:rPr>
                <w:lang w:val="en-GB"/>
              </w:rPr>
            </w:pPr>
          </w:p>
        </w:tc>
        <w:tc>
          <w:tcPr>
            <w:tcW w:w="2268" w:type="dxa"/>
            <w:shd w:val="clear" w:color="auto" w:fill="FFFFFF"/>
            <w:vAlign w:val="center"/>
          </w:tcPr>
          <w:p w14:paraId="33F6CE02" w14:textId="584D2F2B" w:rsidR="00716C21" w:rsidRPr="00716C21" w:rsidRDefault="00716C21" w:rsidP="00716C21">
            <w:pPr>
              <w:pStyle w:val="CETBodytext"/>
              <w:ind w:right="-1"/>
              <w:jc w:val="center"/>
              <w:rPr>
                <w:rFonts w:cs="Arial"/>
                <w:szCs w:val="18"/>
                <w:lang w:val="en-GB"/>
              </w:rPr>
            </w:pPr>
            <w:r w:rsidRPr="00716C21">
              <w:rPr>
                <w:rFonts w:cs="Arial"/>
              </w:rPr>
              <w:t>5</w:t>
            </w:r>
          </w:p>
        </w:tc>
        <w:tc>
          <w:tcPr>
            <w:tcW w:w="2126" w:type="dxa"/>
            <w:vMerge/>
            <w:shd w:val="clear" w:color="auto" w:fill="FFFFFF"/>
            <w:vAlign w:val="center"/>
          </w:tcPr>
          <w:p w14:paraId="0116CC84" w14:textId="57C4CCEF" w:rsidR="00716C21" w:rsidRPr="00B57B36" w:rsidRDefault="00716C21" w:rsidP="00716C21">
            <w:pPr>
              <w:pStyle w:val="CETBodytext"/>
              <w:ind w:right="-1"/>
              <w:jc w:val="center"/>
              <w:rPr>
                <w:rFonts w:cs="Arial"/>
                <w:szCs w:val="18"/>
                <w:lang w:val="en-GB"/>
              </w:rPr>
            </w:pPr>
          </w:p>
        </w:tc>
      </w:tr>
      <w:tr w:rsidR="00716C21" w:rsidRPr="00B57B36" w14:paraId="40B60F0D" w14:textId="77777777" w:rsidTr="00716C21">
        <w:tc>
          <w:tcPr>
            <w:tcW w:w="1985" w:type="dxa"/>
            <w:vMerge/>
            <w:shd w:val="clear" w:color="auto" w:fill="FFFFFF"/>
            <w:vAlign w:val="center"/>
          </w:tcPr>
          <w:p w14:paraId="13F9128C"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55493018" w14:textId="77777777" w:rsidR="00716C21" w:rsidRPr="00B57B36" w:rsidRDefault="00716C21" w:rsidP="00716C21">
            <w:pPr>
              <w:pStyle w:val="CETBodytext"/>
              <w:jc w:val="center"/>
              <w:rPr>
                <w:lang w:val="en-GB"/>
              </w:rPr>
            </w:pPr>
          </w:p>
        </w:tc>
        <w:tc>
          <w:tcPr>
            <w:tcW w:w="2268" w:type="dxa"/>
            <w:shd w:val="clear" w:color="auto" w:fill="FFFFFF"/>
            <w:vAlign w:val="center"/>
          </w:tcPr>
          <w:p w14:paraId="47E92F35" w14:textId="24175CF7" w:rsidR="00716C21" w:rsidRPr="00716C21" w:rsidRDefault="00716C21" w:rsidP="00716C21">
            <w:pPr>
              <w:pStyle w:val="CETBodytext"/>
              <w:ind w:right="-1"/>
              <w:jc w:val="center"/>
              <w:rPr>
                <w:rFonts w:cs="Arial"/>
                <w:szCs w:val="18"/>
                <w:lang w:val="en-GB"/>
              </w:rPr>
            </w:pPr>
            <w:r w:rsidRPr="00716C21">
              <w:rPr>
                <w:rFonts w:cs="Arial"/>
              </w:rPr>
              <w:t>7.5</w:t>
            </w:r>
          </w:p>
        </w:tc>
        <w:tc>
          <w:tcPr>
            <w:tcW w:w="2126" w:type="dxa"/>
            <w:vMerge/>
            <w:shd w:val="clear" w:color="auto" w:fill="FFFFFF"/>
            <w:vAlign w:val="center"/>
          </w:tcPr>
          <w:p w14:paraId="73C6DB23" w14:textId="2A84E8F1" w:rsidR="00716C21" w:rsidRPr="00B57B36" w:rsidRDefault="00716C21" w:rsidP="00716C21">
            <w:pPr>
              <w:pStyle w:val="CETBodytext"/>
              <w:ind w:right="-1"/>
              <w:jc w:val="center"/>
              <w:rPr>
                <w:rFonts w:cs="Arial"/>
                <w:szCs w:val="18"/>
                <w:lang w:val="en-GB"/>
              </w:rPr>
            </w:pPr>
          </w:p>
        </w:tc>
      </w:tr>
      <w:tr w:rsidR="00716C21" w:rsidRPr="00B57B36" w14:paraId="78A28FE0" w14:textId="77777777" w:rsidTr="00716C21">
        <w:tc>
          <w:tcPr>
            <w:tcW w:w="1985" w:type="dxa"/>
            <w:vMerge/>
            <w:shd w:val="clear" w:color="auto" w:fill="FFFFFF"/>
            <w:vAlign w:val="center"/>
          </w:tcPr>
          <w:p w14:paraId="10548369" w14:textId="77777777" w:rsidR="00716C21" w:rsidRPr="00B57B36" w:rsidRDefault="00716C21" w:rsidP="00716C21">
            <w:pPr>
              <w:pStyle w:val="Textonotapie"/>
              <w:jc w:val="center"/>
            </w:pPr>
          </w:p>
        </w:tc>
        <w:tc>
          <w:tcPr>
            <w:tcW w:w="2410" w:type="dxa"/>
            <w:vMerge/>
            <w:shd w:val="clear" w:color="auto" w:fill="FFFFFF"/>
            <w:vAlign w:val="center"/>
          </w:tcPr>
          <w:p w14:paraId="154210AA" w14:textId="77777777" w:rsidR="00716C21" w:rsidRPr="00B57B36" w:rsidRDefault="00716C21" w:rsidP="00716C21">
            <w:pPr>
              <w:pStyle w:val="Textonotapie"/>
              <w:jc w:val="center"/>
            </w:pPr>
          </w:p>
        </w:tc>
        <w:tc>
          <w:tcPr>
            <w:tcW w:w="2268" w:type="dxa"/>
            <w:shd w:val="clear" w:color="auto" w:fill="FFFFFF"/>
            <w:vAlign w:val="center"/>
          </w:tcPr>
          <w:p w14:paraId="744231FF" w14:textId="2F562920" w:rsidR="00716C21" w:rsidRPr="00716C21" w:rsidRDefault="00716C21" w:rsidP="00716C21">
            <w:pPr>
              <w:pStyle w:val="CETBodytext"/>
              <w:ind w:right="-1"/>
              <w:jc w:val="center"/>
              <w:rPr>
                <w:rFonts w:cs="Arial"/>
                <w:szCs w:val="18"/>
                <w:lang w:val="en-GB"/>
              </w:rPr>
            </w:pPr>
            <w:r w:rsidRPr="00716C21">
              <w:rPr>
                <w:rFonts w:cs="Arial"/>
              </w:rPr>
              <w:t>10</w:t>
            </w:r>
          </w:p>
        </w:tc>
        <w:tc>
          <w:tcPr>
            <w:tcW w:w="2126" w:type="dxa"/>
            <w:vMerge/>
            <w:shd w:val="clear" w:color="auto" w:fill="FFFFFF"/>
            <w:vAlign w:val="center"/>
          </w:tcPr>
          <w:p w14:paraId="2286021B" w14:textId="5D3C7ADC" w:rsidR="00716C21" w:rsidRPr="00B57B36" w:rsidRDefault="00716C21" w:rsidP="00716C21">
            <w:pPr>
              <w:pStyle w:val="CETBodytext"/>
              <w:ind w:right="-1"/>
              <w:jc w:val="center"/>
              <w:rPr>
                <w:rFonts w:cs="Arial"/>
                <w:szCs w:val="18"/>
                <w:lang w:val="en-GB"/>
              </w:rPr>
            </w:pPr>
          </w:p>
        </w:tc>
      </w:tr>
      <w:tr w:rsidR="00716C21" w:rsidRPr="00B57B36" w14:paraId="03A2B161" w14:textId="77777777" w:rsidTr="00716C21">
        <w:tc>
          <w:tcPr>
            <w:tcW w:w="1985" w:type="dxa"/>
            <w:vMerge w:val="restart"/>
            <w:shd w:val="clear" w:color="auto" w:fill="FFFFFF"/>
            <w:vAlign w:val="center"/>
          </w:tcPr>
          <w:p w14:paraId="2EE0B3EB" w14:textId="36501A43" w:rsidR="00716C21" w:rsidRPr="00B57B36" w:rsidRDefault="00716C21" w:rsidP="00716C21">
            <w:pPr>
              <w:pStyle w:val="CETBodytext"/>
              <w:jc w:val="center"/>
              <w:rPr>
                <w:lang w:val="en-GB"/>
              </w:rPr>
            </w:pPr>
            <w:r w:rsidRPr="00AC7732">
              <w:rPr>
                <w:rFonts w:ascii="Times New Roman" w:hAnsi="Times New Roman"/>
              </w:rPr>
              <w:t>B3</w:t>
            </w:r>
          </w:p>
        </w:tc>
        <w:tc>
          <w:tcPr>
            <w:tcW w:w="2410" w:type="dxa"/>
            <w:vMerge w:val="restart"/>
            <w:shd w:val="clear" w:color="auto" w:fill="FFFFFF"/>
            <w:vAlign w:val="center"/>
          </w:tcPr>
          <w:p w14:paraId="7D631D01" w14:textId="321DD7D8" w:rsidR="00716C21" w:rsidRPr="00B57B36" w:rsidRDefault="00716C21" w:rsidP="00716C21">
            <w:pPr>
              <w:pStyle w:val="CETBodytext"/>
              <w:jc w:val="center"/>
              <w:rPr>
                <w:lang w:val="en-GB"/>
              </w:rPr>
            </w:pPr>
            <w:r>
              <w:rPr>
                <w:lang w:val="en-GB"/>
              </w:rPr>
              <w:t>25</w:t>
            </w:r>
          </w:p>
        </w:tc>
        <w:tc>
          <w:tcPr>
            <w:tcW w:w="2268" w:type="dxa"/>
            <w:shd w:val="clear" w:color="auto" w:fill="FFFFFF"/>
            <w:vAlign w:val="center"/>
          </w:tcPr>
          <w:p w14:paraId="2BF7D1E8" w14:textId="17748FB6" w:rsidR="00716C21" w:rsidRPr="00716C21" w:rsidRDefault="00716C21" w:rsidP="00716C21">
            <w:pPr>
              <w:pStyle w:val="CETBodytext"/>
              <w:ind w:right="-1"/>
              <w:jc w:val="center"/>
              <w:rPr>
                <w:rFonts w:cs="Arial"/>
                <w:szCs w:val="18"/>
                <w:lang w:val="en-GB"/>
              </w:rPr>
            </w:pPr>
            <w:r w:rsidRPr="00716C21">
              <w:rPr>
                <w:rFonts w:cs="Arial"/>
              </w:rPr>
              <w:t>1.5</w:t>
            </w:r>
          </w:p>
        </w:tc>
        <w:tc>
          <w:tcPr>
            <w:tcW w:w="2126" w:type="dxa"/>
            <w:vMerge w:val="restart"/>
            <w:shd w:val="clear" w:color="auto" w:fill="FFFFFF"/>
            <w:vAlign w:val="center"/>
          </w:tcPr>
          <w:p w14:paraId="5E5C9903" w14:textId="5D289DB1" w:rsidR="00716C21" w:rsidRPr="00B57B36" w:rsidRDefault="00716C21" w:rsidP="00716C21">
            <w:pPr>
              <w:pStyle w:val="CETBodytext"/>
              <w:ind w:right="-1"/>
              <w:jc w:val="center"/>
              <w:rPr>
                <w:rFonts w:cs="Arial"/>
                <w:szCs w:val="18"/>
                <w:lang w:val="en-GB"/>
              </w:rPr>
            </w:pPr>
            <w:r>
              <w:rPr>
                <w:rFonts w:cs="Arial"/>
                <w:szCs w:val="18"/>
                <w:lang w:val="en-GB"/>
              </w:rPr>
              <w:t>8</w:t>
            </w:r>
          </w:p>
        </w:tc>
      </w:tr>
      <w:tr w:rsidR="00716C21" w:rsidRPr="00B57B36" w14:paraId="6032FB60" w14:textId="77777777" w:rsidTr="00716C21">
        <w:tc>
          <w:tcPr>
            <w:tcW w:w="1985" w:type="dxa"/>
            <w:vMerge/>
            <w:shd w:val="clear" w:color="auto" w:fill="FFFFFF"/>
            <w:vAlign w:val="center"/>
          </w:tcPr>
          <w:p w14:paraId="0870E2CD"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6DB98F9D" w14:textId="77777777" w:rsidR="00716C21" w:rsidRPr="00B57B36" w:rsidRDefault="00716C21" w:rsidP="00716C21">
            <w:pPr>
              <w:pStyle w:val="CETBodytext"/>
              <w:jc w:val="center"/>
              <w:rPr>
                <w:lang w:val="en-GB"/>
              </w:rPr>
            </w:pPr>
          </w:p>
        </w:tc>
        <w:tc>
          <w:tcPr>
            <w:tcW w:w="2268" w:type="dxa"/>
            <w:shd w:val="clear" w:color="auto" w:fill="FFFFFF"/>
            <w:vAlign w:val="center"/>
          </w:tcPr>
          <w:p w14:paraId="0D02BE26" w14:textId="6DB9FFD9" w:rsidR="00716C21" w:rsidRPr="00716C21" w:rsidRDefault="00716C21" w:rsidP="00716C21">
            <w:pPr>
              <w:pStyle w:val="CETBodytext"/>
              <w:ind w:right="-1"/>
              <w:jc w:val="center"/>
              <w:rPr>
                <w:rFonts w:cs="Arial"/>
                <w:szCs w:val="18"/>
                <w:lang w:val="en-GB"/>
              </w:rPr>
            </w:pPr>
            <w:r w:rsidRPr="00716C21">
              <w:rPr>
                <w:rFonts w:cs="Arial"/>
              </w:rPr>
              <w:t>5</w:t>
            </w:r>
          </w:p>
        </w:tc>
        <w:tc>
          <w:tcPr>
            <w:tcW w:w="2126" w:type="dxa"/>
            <w:vMerge/>
            <w:shd w:val="clear" w:color="auto" w:fill="FFFFFF"/>
            <w:vAlign w:val="center"/>
          </w:tcPr>
          <w:p w14:paraId="02C75C45" w14:textId="3C225AD0" w:rsidR="00716C21" w:rsidRPr="00B57B36" w:rsidRDefault="00716C21" w:rsidP="00716C21">
            <w:pPr>
              <w:pStyle w:val="CETBodytext"/>
              <w:ind w:right="-1"/>
              <w:jc w:val="center"/>
              <w:rPr>
                <w:rFonts w:cs="Arial"/>
                <w:szCs w:val="18"/>
                <w:lang w:val="en-GB"/>
              </w:rPr>
            </w:pPr>
          </w:p>
        </w:tc>
      </w:tr>
      <w:tr w:rsidR="00716C21" w:rsidRPr="00B57B36" w14:paraId="51C99D63" w14:textId="77777777" w:rsidTr="00716C21">
        <w:tc>
          <w:tcPr>
            <w:tcW w:w="1985" w:type="dxa"/>
            <w:vMerge/>
            <w:shd w:val="clear" w:color="auto" w:fill="FFFFFF"/>
            <w:vAlign w:val="center"/>
          </w:tcPr>
          <w:p w14:paraId="3A34571E"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04FEF65D" w14:textId="77777777" w:rsidR="00716C21" w:rsidRPr="00B57B36" w:rsidRDefault="00716C21" w:rsidP="00716C21">
            <w:pPr>
              <w:pStyle w:val="CETBodytext"/>
              <w:jc w:val="center"/>
              <w:rPr>
                <w:lang w:val="en-GB"/>
              </w:rPr>
            </w:pPr>
          </w:p>
        </w:tc>
        <w:tc>
          <w:tcPr>
            <w:tcW w:w="2268" w:type="dxa"/>
            <w:shd w:val="clear" w:color="auto" w:fill="FFFFFF"/>
            <w:vAlign w:val="center"/>
          </w:tcPr>
          <w:p w14:paraId="255EAD12" w14:textId="139913A8" w:rsidR="00716C21" w:rsidRPr="00716C21" w:rsidRDefault="00716C21" w:rsidP="00716C21">
            <w:pPr>
              <w:pStyle w:val="CETBodytext"/>
              <w:ind w:right="-1"/>
              <w:jc w:val="center"/>
              <w:rPr>
                <w:rFonts w:cs="Arial"/>
                <w:szCs w:val="18"/>
                <w:lang w:val="en-GB"/>
              </w:rPr>
            </w:pPr>
            <w:r w:rsidRPr="00716C21">
              <w:rPr>
                <w:rFonts w:cs="Arial"/>
              </w:rPr>
              <w:t>7.5</w:t>
            </w:r>
          </w:p>
        </w:tc>
        <w:tc>
          <w:tcPr>
            <w:tcW w:w="2126" w:type="dxa"/>
            <w:vMerge/>
            <w:shd w:val="clear" w:color="auto" w:fill="FFFFFF"/>
            <w:vAlign w:val="center"/>
          </w:tcPr>
          <w:p w14:paraId="443E06CE" w14:textId="6645F897" w:rsidR="00716C21" w:rsidRPr="00B57B36" w:rsidRDefault="00716C21" w:rsidP="00716C21">
            <w:pPr>
              <w:pStyle w:val="CETBodytext"/>
              <w:ind w:right="-1"/>
              <w:jc w:val="center"/>
              <w:rPr>
                <w:rFonts w:cs="Arial"/>
                <w:szCs w:val="18"/>
                <w:lang w:val="en-GB"/>
              </w:rPr>
            </w:pPr>
          </w:p>
        </w:tc>
      </w:tr>
      <w:tr w:rsidR="00716C21" w:rsidRPr="00B57B36" w14:paraId="464F414F" w14:textId="77777777" w:rsidTr="00716C21">
        <w:tc>
          <w:tcPr>
            <w:tcW w:w="1985" w:type="dxa"/>
            <w:vMerge/>
            <w:shd w:val="clear" w:color="auto" w:fill="FFFFFF"/>
            <w:vAlign w:val="center"/>
          </w:tcPr>
          <w:p w14:paraId="7D5E8EA1"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2F929FEA" w14:textId="77777777" w:rsidR="00716C21" w:rsidRPr="00B57B36" w:rsidRDefault="00716C21" w:rsidP="00716C21">
            <w:pPr>
              <w:pStyle w:val="CETBodytext"/>
              <w:jc w:val="center"/>
              <w:rPr>
                <w:lang w:val="en-GB"/>
              </w:rPr>
            </w:pPr>
          </w:p>
        </w:tc>
        <w:tc>
          <w:tcPr>
            <w:tcW w:w="2268" w:type="dxa"/>
            <w:shd w:val="clear" w:color="auto" w:fill="FFFFFF"/>
            <w:vAlign w:val="center"/>
          </w:tcPr>
          <w:p w14:paraId="667D0C19" w14:textId="7293D631" w:rsidR="00716C21" w:rsidRPr="00716C21" w:rsidRDefault="00716C21" w:rsidP="00716C21">
            <w:pPr>
              <w:pStyle w:val="CETBodytext"/>
              <w:ind w:right="-1"/>
              <w:jc w:val="center"/>
              <w:rPr>
                <w:rFonts w:cs="Arial"/>
                <w:szCs w:val="18"/>
                <w:lang w:val="en-GB"/>
              </w:rPr>
            </w:pPr>
            <w:r w:rsidRPr="00716C21">
              <w:rPr>
                <w:rFonts w:cs="Arial"/>
              </w:rPr>
              <w:t>10</w:t>
            </w:r>
          </w:p>
        </w:tc>
        <w:tc>
          <w:tcPr>
            <w:tcW w:w="2126" w:type="dxa"/>
            <w:vMerge/>
            <w:shd w:val="clear" w:color="auto" w:fill="FFFFFF"/>
            <w:vAlign w:val="center"/>
          </w:tcPr>
          <w:p w14:paraId="270D9D5D" w14:textId="53A7C6A8" w:rsidR="00716C21" w:rsidRPr="00B57B36" w:rsidRDefault="00716C21" w:rsidP="00716C21">
            <w:pPr>
              <w:pStyle w:val="CETBodytext"/>
              <w:ind w:right="-1"/>
              <w:jc w:val="center"/>
              <w:rPr>
                <w:rFonts w:cs="Arial"/>
                <w:szCs w:val="18"/>
                <w:lang w:val="en-GB"/>
              </w:rPr>
            </w:pPr>
          </w:p>
        </w:tc>
      </w:tr>
      <w:tr w:rsidR="00716C21" w:rsidRPr="00B57B36" w14:paraId="6EF07C5A" w14:textId="77777777" w:rsidTr="00716C21">
        <w:tc>
          <w:tcPr>
            <w:tcW w:w="1985" w:type="dxa"/>
            <w:vMerge w:val="restart"/>
            <w:shd w:val="clear" w:color="auto" w:fill="FFFFFF"/>
            <w:vAlign w:val="center"/>
          </w:tcPr>
          <w:p w14:paraId="203CCD12" w14:textId="07DD6499" w:rsidR="00716C21" w:rsidRPr="00B57B36" w:rsidRDefault="00716C21" w:rsidP="00716C21">
            <w:pPr>
              <w:pStyle w:val="CETBodytext"/>
              <w:jc w:val="center"/>
              <w:rPr>
                <w:lang w:val="en-GB"/>
              </w:rPr>
            </w:pPr>
            <w:r w:rsidRPr="00AC7732">
              <w:rPr>
                <w:rFonts w:ascii="Times New Roman" w:hAnsi="Times New Roman"/>
              </w:rPr>
              <w:t>B4</w:t>
            </w:r>
          </w:p>
        </w:tc>
        <w:tc>
          <w:tcPr>
            <w:tcW w:w="2410" w:type="dxa"/>
            <w:vMerge w:val="restart"/>
            <w:shd w:val="clear" w:color="auto" w:fill="FFFFFF"/>
            <w:vAlign w:val="center"/>
          </w:tcPr>
          <w:p w14:paraId="5793E11D" w14:textId="78BFE93C" w:rsidR="00716C21" w:rsidRPr="00B57B36" w:rsidRDefault="00716C21" w:rsidP="00716C21">
            <w:pPr>
              <w:pStyle w:val="CETBodytext"/>
              <w:jc w:val="center"/>
              <w:rPr>
                <w:lang w:val="en-GB"/>
              </w:rPr>
            </w:pPr>
            <w:r>
              <w:rPr>
                <w:lang w:val="en-GB"/>
              </w:rPr>
              <w:t>50</w:t>
            </w:r>
          </w:p>
        </w:tc>
        <w:tc>
          <w:tcPr>
            <w:tcW w:w="2268" w:type="dxa"/>
            <w:shd w:val="clear" w:color="auto" w:fill="FFFFFF"/>
            <w:vAlign w:val="center"/>
          </w:tcPr>
          <w:p w14:paraId="5F0B6829" w14:textId="2C8CFE8D" w:rsidR="00716C21" w:rsidRPr="00716C21" w:rsidRDefault="00716C21" w:rsidP="00716C21">
            <w:pPr>
              <w:pStyle w:val="CETBodytext"/>
              <w:ind w:right="-1"/>
              <w:jc w:val="center"/>
              <w:rPr>
                <w:rFonts w:cs="Arial"/>
                <w:szCs w:val="18"/>
                <w:lang w:val="en-GB"/>
              </w:rPr>
            </w:pPr>
            <w:r w:rsidRPr="00716C21">
              <w:rPr>
                <w:rFonts w:cs="Arial"/>
              </w:rPr>
              <w:t>1.5</w:t>
            </w:r>
          </w:p>
        </w:tc>
        <w:tc>
          <w:tcPr>
            <w:tcW w:w="2126" w:type="dxa"/>
            <w:vMerge w:val="restart"/>
            <w:shd w:val="clear" w:color="auto" w:fill="FFFFFF"/>
            <w:vAlign w:val="center"/>
          </w:tcPr>
          <w:p w14:paraId="5F2FEA81" w14:textId="7A36738D" w:rsidR="00716C21" w:rsidRPr="00B57B36" w:rsidRDefault="00716C21" w:rsidP="00716C21">
            <w:pPr>
              <w:pStyle w:val="CETBodytext"/>
              <w:ind w:right="-1"/>
              <w:jc w:val="center"/>
              <w:rPr>
                <w:rFonts w:cs="Arial"/>
                <w:szCs w:val="18"/>
                <w:lang w:val="en-GB"/>
              </w:rPr>
            </w:pPr>
            <w:r>
              <w:rPr>
                <w:rFonts w:cs="Arial"/>
                <w:szCs w:val="18"/>
                <w:lang w:val="en-GB"/>
              </w:rPr>
              <w:t>8</w:t>
            </w:r>
          </w:p>
        </w:tc>
      </w:tr>
      <w:tr w:rsidR="00716C21" w:rsidRPr="00B57B36" w14:paraId="29BB7B17" w14:textId="77777777" w:rsidTr="00716C21">
        <w:tc>
          <w:tcPr>
            <w:tcW w:w="1985" w:type="dxa"/>
            <w:vMerge/>
            <w:shd w:val="clear" w:color="auto" w:fill="FFFFFF"/>
            <w:vAlign w:val="center"/>
          </w:tcPr>
          <w:p w14:paraId="4CA21549"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01176F7C" w14:textId="77777777" w:rsidR="00716C21" w:rsidRPr="00B57B36" w:rsidRDefault="00716C21" w:rsidP="00716C21">
            <w:pPr>
              <w:pStyle w:val="CETBodytext"/>
              <w:jc w:val="center"/>
              <w:rPr>
                <w:lang w:val="en-GB"/>
              </w:rPr>
            </w:pPr>
          </w:p>
        </w:tc>
        <w:tc>
          <w:tcPr>
            <w:tcW w:w="2268" w:type="dxa"/>
            <w:shd w:val="clear" w:color="auto" w:fill="FFFFFF"/>
            <w:vAlign w:val="center"/>
          </w:tcPr>
          <w:p w14:paraId="7A3819B1" w14:textId="380E3EAA" w:rsidR="00716C21" w:rsidRPr="00716C21" w:rsidRDefault="00716C21" w:rsidP="00716C21">
            <w:pPr>
              <w:pStyle w:val="CETBodytext"/>
              <w:ind w:right="-1"/>
              <w:jc w:val="center"/>
              <w:rPr>
                <w:rFonts w:cs="Arial"/>
                <w:szCs w:val="18"/>
                <w:lang w:val="en-GB"/>
              </w:rPr>
            </w:pPr>
            <w:r w:rsidRPr="00716C21">
              <w:rPr>
                <w:rFonts w:cs="Arial"/>
              </w:rPr>
              <w:t>5</w:t>
            </w:r>
          </w:p>
        </w:tc>
        <w:tc>
          <w:tcPr>
            <w:tcW w:w="2126" w:type="dxa"/>
            <w:vMerge/>
            <w:shd w:val="clear" w:color="auto" w:fill="FFFFFF"/>
            <w:vAlign w:val="center"/>
          </w:tcPr>
          <w:p w14:paraId="7B1C92FA" w14:textId="4CE4A26D" w:rsidR="00716C21" w:rsidRPr="00B57B36" w:rsidRDefault="00716C21" w:rsidP="00716C21">
            <w:pPr>
              <w:pStyle w:val="CETBodytext"/>
              <w:ind w:right="-1"/>
              <w:jc w:val="center"/>
              <w:rPr>
                <w:rFonts w:cs="Arial"/>
                <w:szCs w:val="18"/>
                <w:lang w:val="en-GB"/>
              </w:rPr>
            </w:pPr>
          </w:p>
        </w:tc>
      </w:tr>
      <w:tr w:rsidR="00716C21" w:rsidRPr="00B57B36" w14:paraId="02F05E16" w14:textId="77777777" w:rsidTr="00716C21">
        <w:tc>
          <w:tcPr>
            <w:tcW w:w="1985" w:type="dxa"/>
            <w:vMerge/>
            <w:shd w:val="clear" w:color="auto" w:fill="FFFFFF"/>
            <w:vAlign w:val="center"/>
          </w:tcPr>
          <w:p w14:paraId="5ABF5AE5"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7A0EE964" w14:textId="77777777" w:rsidR="00716C21" w:rsidRPr="00B57B36" w:rsidRDefault="00716C21" w:rsidP="00716C21">
            <w:pPr>
              <w:pStyle w:val="Textonotapie"/>
              <w:jc w:val="center"/>
            </w:pPr>
          </w:p>
        </w:tc>
        <w:tc>
          <w:tcPr>
            <w:tcW w:w="2268" w:type="dxa"/>
            <w:shd w:val="clear" w:color="auto" w:fill="FFFFFF"/>
            <w:vAlign w:val="center"/>
          </w:tcPr>
          <w:p w14:paraId="30EB45E1" w14:textId="1586D8A0" w:rsidR="00716C21" w:rsidRPr="00716C21" w:rsidRDefault="00716C21" w:rsidP="00716C21">
            <w:pPr>
              <w:pStyle w:val="Textonotapie"/>
              <w:ind w:right="-1"/>
              <w:jc w:val="center"/>
              <w:rPr>
                <w:rFonts w:cs="Arial"/>
                <w:szCs w:val="18"/>
              </w:rPr>
            </w:pPr>
            <w:r w:rsidRPr="00716C21">
              <w:rPr>
                <w:rFonts w:cs="Arial"/>
                <w:lang w:val="en-US"/>
              </w:rPr>
              <w:t>7.5</w:t>
            </w:r>
          </w:p>
        </w:tc>
        <w:tc>
          <w:tcPr>
            <w:tcW w:w="2126" w:type="dxa"/>
            <w:vMerge/>
            <w:shd w:val="clear" w:color="auto" w:fill="FFFFFF"/>
            <w:vAlign w:val="center"/>
          </w:tcPr>
          <w:p w14:paraId="291C983E" w14:textId="5673BB74" w:rsidR="00716C21" w:rsidRPr="00B57B36" w:rsidRDefault="00716C21" w:rsidP="00716C21">
            <w:pPr>
              <w:pStyle w:val="Textonotapie"/>
              <w:ind w:right="-1"/>
              <w:jc w:val="center"/>
              <w:rPr>
                <w:rFonts w:cs="Arial"/>
                <w:szCs w:val="18"/>
              </w:rPr>
            </w:pPr>
          </w:p>
        </w:tc>
      </w:tr>
      <w:tr w:rsidR="00716C21" w:rsidRPr="00B57B36" w14:paraId="2B927698" w14:textId="77777777" w:rsidTr="00716C21">
        <w:tc>
          <w:tcPr>
            <w:tcW w:w="1985" w:type="dxa"/>
            <w:vMerge/>
            <w:shd w:val="clear" w:color="auto" w:fill="FFFFFF"/>
            <w:vAlign w:val="center"/>
          </w:tcPr>
          <w:p w14:paraId="042CDCFF" w14:textId="77777777" w:rsidR="00716C21" w:rsidRPr="00B57B36" w:rsidRDefault="00716C21" w:rsidP="00716C21">
            <w:pPr>
              <w:pStyle w:val="CETBodytext"/>
              <w:jc w:val="center"/>
              <w:rPr>
                <w:lang w:val="en-GB"/>
              </w:rPr>
            </w:pPr>
          </w:p>
        </w:tc>
        <w:tc>
          <w:tcPr>
            <w:tcW w:w="2410" w:type="dxa"/>
            <w:vMerge/>
            <w:shd w:val="clear" w:color="auto" w:fill="FFFFFF"/>
            <w:vAlign w:val="center"/>
          </w:tcPr>
          <w:p w14:paraId="4826CBEC" w14:textId="77777777" w:rsidR="00716C21" w:rsidRPr="00B57B36" w:rsidRDefault="00716C21" w:rsidP="00716C21">
            <w:pPr>
              <w:pStyle w:val="CETBodytext"/>
              <w:jc w:val="center"/>
              <w:rPr>
                <w:lang w:val="en-GB"/>
              </w:rPr>
            </w:pPr>
          </w:p>
        </w:tc>
        <w:tc>
          <w:tcPr>
            <w:tcW w:w="2268" w:type="dxa"/>
            <w:shd w:val="clear" w:color="auto" w:fill="FFFFFF"/>
            <w:vAlign w:val="center"/>
          </w:tcPr>
          <w:p w14:paraId="24E3E923" w14:textId="713135EF" w:rsidR="00716C21" w:rsidRPr="00716C21" w:rsidRDefault="00716C21" w:rsidP="00716C21">
            <w:pPr>
              <w:pStyle w:val="CETBodytext"/>
              <w:ind w:right="-1"/>
              <w:jc w:val="center"/>
              <w:rPr>
                <w:rFonts w:cs="Arial"/>
                <w:szCs w:val="18"/>
                <w:lang w:val="en-GB"/>
              </w:rPr>
            </w:pPr>
            <w:r w:rsidRPr="00716C21">
              <w:rPr>
                <w:rFonts w:cs="Arial"/>
              </w:rPr>
              <w:t>10</w:t>
            </w:r>
          </w:p>
        </w:tc>
        <w:tc>
          <w:tcPr>
            <w:tcW w:w="2126" w:type="dxa"/>
            <w:vMerge/>
            <w:shd w:val="clear" w:color="auto" w:fill="FFFFFF"/>
            <w:vAlign w:val="center"/>
          </w:tcPr>
          <w:p w14:paraId="1369F9CC" w14:textId="45067C86" w:rsidR="00716C21" w:rsidRPr="00B57B36" w:rsidRDefault="00716C21" w:rsidP="00716C21">
            <w:pPr>
              <w:pStyle w:val="CETBodytext"/>
              <w:ind w:right="-1"/>
              <w:jc w:val="center"/>
              <w:rPr>
                <w:rFonts w:cs="Arial"/>
                <w:szCs w:val="18"/>
                <w:lang w:val="en-GB"/>
              </w:rPr>
            </w:pPr>
          </w:p>
        </w:tc>
      </w:tr>
      <w:tr w:rsidR="00716C21" w:rsidRPr="00B57B36" w14:paraId="69672174" w14:textId="77777777" w:rsidTr="00716C21">
        <w:tc>
          <w:tcPr>
            <w:tcW w:w="1985" w:type="dxa"/>
            <w:vMerge w:val="restart"/>
            <w:shd w:val="clear" w:color="auto" w:fill="FFFFFF"/>
            <w:vAlign w:val="center"/>
          </w:tcPr>
          <w:p w14:paraId="192C740E" w14:textId="58399DD1" w:rsidR="00716C21" w:rsidRPr="00B57B36" w:rsidRDefault="00716C21" w:rsidP="00716C21">
            <w:pPr>
              <w:pStyle w:val="CETBodytext"/>
              <w:jc w:val="center"/>
              <w:rPr>
                <w:lang w:val="en-GB"/>
              </w:rPr>
            </w:pPr>
            <w:r w:rsidRPr="00AC7732">
              <w:rPr>
                <w:rFonts w:ascii="Times New Roman" w:hAnsi="Times New Roman"/>
              </w:rPr>
              <w:t>B5</w:t>
            </w:r>
          </w:p>
        </w:tc>
        <w:tc>
          <w:tcPr>
            <w:tcW w:w="2410" w:type="dxa"/>
            <w:vMerge w:val="restart"/>
            <w:shd w:val="clear" w:color="auto" w:fill="FFFFFF"/>
            <w:vAlign w:val="center"/>
          </w:tcPr>
          <w:p w14:paraId="596CF1AF" w14:textId="5F25B957" w:rsidR="00716C21" w:rsidRPr="00B57B36" w:rsidRDefault="00716C21" w:rsidP="00716C21">
            <w:pPr>
              <w:pStyle w:val="CETBodytext"/>
              <w:jc w:val="center"/>
              <w:rPr>
                <w:lang w:val="en-GB"/>
              </w:rPr>
            </w:pPr>
            <w:r>
              <w:rPr>
                <w:lang w:val="en-GB"/>
              </w:rPr>
              <w:t>100</w:t>
            </w:r>
          </w:p>
        </w:tc>
        <w:tc>
          <w:tcPr>
            <w:tcW w:w="2268" w:type="dxa"/>
            <w:shd w:val="clear" w:color="auto" w:fill="FFFFFF"/>
            <w:vAlign w:val="center"/>
          </w:tcPr>
          <w:p w14:paraId="010201AA" w14:textId="07EEFA6E" w:rsidR="00716C21" w:rsidRPr="00716C21" w:rsidRDefault="00716C21" w:rsidP="00716C21">
            <w:pPr>
              <w:pStyle w:val="CETBodytext"/>
              <w:ind w:right="-1"/>
              <w:jc w:val="center"/>
              <w:rPr>
                <w:rFonts w:cs="Arial"/>
                <w:szCs w:val="18"/>
                <w:lang w:val="en-GB"/>
              </w:rPr>
            </w:pPr>
            <w:r w:rsidRPr="00716C21">
              <w:rPr>
                <w:rFonts w:cs="Arial"/>
              </w:rPr>
              <w:t>1.5</w:t>
            </w:r>
          </w:p>
        </w:tc>
        <w:tc>
          <w:tcPr>
            <w:tcW w:w="2126" w:type="dxa"/>
            <w:vMerge w:val="restart"/>
            <w:shd w:val="clear" w:color="auto" w:fill="FFFFFF"/>
            <w:vAlign w:val="center"/>
          </w:tcPr>
          <w:p w14:paraId="4380B40B" w14:textId="15FBE9C7" w:rsidR="00716C21" w:rsidRPr="00B57B36" w:rsidRDefault="00716C21" w:rsidP="00716C21">
            <w:pPr>
              <w:pStyle w:val="CETBodytext"/>
              <w:ind w:right="-1"/>
              <w:jc w:val="center"/>
              <w:rPr>
                <w:rFonts w:cs="Arial"/>
                <w:szCs w:val="18"/>
                <w:lang w:val="en-GB"/>
              </w:rPr>
            </w:pPr>
            <w:r>
              <w:rPr>
                <w:rFonts w:cs="Arial"/>
                <w:szCs w:val="18"/>
                <w:lang w:val="en-GB"/>
              </w:rPr>
              <w:t>8</w:t>
            </w:r>
          </w:p>
        </w:tc>
      </w:tr>
      <w:tr w:rsidR="00716C21" w:rsidRPr="00B57B36" w14:paraId="689A3735" w14:textId="77777777" w:rsidTr="00716C21">
        <w:tc>
          <w:tcPr>
            <w:tcW w:w="1985" w:type="dxa"/>
            <w:vMerge/>
            <w:shd w:val="clear" w:color="auto" w:fill="FFFFFF"/>
          </w:tcPr>
          <w:p w14:paraId="4ECF0BC6" w14:textId="77777777" w:rsidR="00716C21" w:rsidRPr="00B57B36" w:rsidRDefault="00716C21" w:rsidP="00716C21">
            <w:pPr>
              <w:pStyle w:val="CETBodytext"/>
              <w:rPr>
                <w:lang w:val="en-GB"/>
              </w:rPr>
            </w:pPr>
          </w:p>
        </w:tc>
        <w:tc>
          <w:tcPr>
            <w:tcW w:w="2410" w:type="dxa"/>
            <w:vMerge/>
            <w:shd w:val="clear" w:color="auto" w:fill="FFFFFF"/>
          </w:tcPr>
          <w:p w14:paraId="78039AF2" w14:textId="77777777" w:rsidR="00716C21" w:rsidRPr="00B57B36" w:rsidRDefault="00716C21" w:rsidP="00716C21">
            <w:pPr>
              <w:pStyle w:val="CETBodytext"/>
              <w:rPr>
                <w:lang w:val="en-GB"/>
              </w:rPr>
            </w:pPr>
          </w:p>
        </w:tc>
        <w:tc>
          <w:tcPr>
            <w:tcW w:w="2268" w:type="dxa"/>
            <w:shd w:val="clear" w:color="auto" w:fill="FFFFFF"/>
            <w:vAlign w:val="center"/>
          </w:tcPr>
          <w:p w14:paraId="40AC0612" w14:textId="7609F0F3" w:rsidR="00716C21" w:rsidRPr="00716C21" w:rsidRDefault="00716C21" w:rsidP="00716C21">
            <w:pPr>
              <w:pStyle w:val="CETBodytext"/>
              <w:ind w:right="-1"/>
              <w:jc w:val="center"/>
              <w:rPr>
                <w:rFonts w:cs="Arial"/>
                <w:szCs w:val="18"/>
                <w:lang w:val="en-GB"/>
              </w:rPr>
            </w:pPr>
            <w:r w:rsidRPr="00716C21">
              <w:rPr>
                <w:rFonts w:cs="Arial"/>
              </w:rPr>
              <w:t>5</w:t>
            </w:r>
          </w:p>
        </w:tc>
        <w:tc>
          <w:tcPr>
            <w:tcW w:w="2126" w:type="dxa"/>
            <w:vMerge/>
            <w:shd w:val="clear" w:color="auto" w:fill="FFFFFF"/>
          </w:tcPr>
          <w:p w14:paraId="3D5C24F5" w14:textId="577BBA6F" w:rsidR="00716C21" w:rsidRPr="00B57B36" w:rsidRDefault="00716C21" w:rsidP="00716C21">
            <w:pPr>
              <w:pStyle w:val="CETBodytext"/>
              <w:ind w:right="-1"/>
              <w:rPr>
                <w:rFonts w:cs="Arial"/>
                <w:szCs w:val="18"/>
                <w:lang w:val="en-GB"/>
              </w:rPr>
            </w:pPr>
          </w:p>
        </w:tc>
      </w:tr>
      <w:tr w:rsidR="00716C21" w:rsidRPr="00B57B36" w14:paraId="30F25B82" w14:textId="77777777" w:rsidTr="00716C21">
        <w:tc>
          <w:tcPr>
            <w:tcW w:w="1985" w:type="dxa"/>
            <w:vMerge/>
            <w:shd w:val="clear" w:color="auto" w:fill="FFFFFF"/>
          </w:tcPr>
          <w:p w14:paraId="1FF89959" w14:textId="77777777" w:rsidR="00716C21" w:rsidRPr="00B57B36" w:rsidRDefault="00716C21" w:rsidP="00716C21">
            <w:pPr>
              <w:pStyle w:val="CETBodytext"/>
              <w:rPr>
                <w:lang w:val="en-GB"/>
              </w:rPr>
            </w:pPr>
          </w:p>
        </w:tc>
        <w:tc>
          <w:tcPr>
            <w:tcW w:w="2410" w:type="dxa"/>
            <w:vMerge/>
            <w:shd w:val="clear" w:color="auto" w:fill="FFFFFF"/>
          </w:tcPr>
          <w:p w14:paraId="1F1FBB95" w14:textId="77777777" w:rsidR="00716C21" w:rsidRPr="00B57B36" w:rsidRDefault="00716C21" w:rsidP="00716C21">
            <w:pPr>
              <w:pStyle w:val="CETBodytext"/>
              <w:rPr>
                <w:lang w:val="en-GB"/>
              </w:rPr>
            </w:pPr>
          </w:p>
        </w:tc>
        <w:tc>
          <w:tcPr>
            <w:tcW w:w="2268" w:type="dxa"/>
            <w:shd w:val="clear" w:color="auto" w:fill="FFFFFF"/>
            <w:vAlign w:val="center"/>
          </w:tcPr>
          <w:p w14:paraId="5EC21A67" w14:textId="766D93CF" w:rsidR="00716C21" w:rsidRPr="00716C21" w:rsidRDefault="00716C21" w:rsidP="00716C21">
            <w:pPr>
              <w:pStyle w:val="CETBodytext"/>
              <w:ind w:right="-1"/>
              <w:jc w:val="center"/>
              <w:rPr>
                <w:rFonts w:cs="Arial"/>
                <w:szCs w:val="18"/>
                <w:lang w:val="en-GB"/>
              </w:rPr>
            </w:pPr>
            <w:r w:rsidRPr="00716C21">
              <w:rPr>
                <w:rFonts w:cs="Arial"/>
              </w:rPr>
              <w:t>7.5</w:t>
            </w:r>
          </w:p>
        </w:tc>
        <w:tc>
          <w:tcPr>
            <w:tcW w:w="2126" w:type="dxa"/>
            <w:vMerge/>
            <w:shd w:val="clear" w:color="auto" w:fill="FFFFFF"/>
          </w:tcPr>
          <w:p w14:paraId="1F6C0B36" w14:textId="29D1554C" w:rsidR="00716C21" w:rsidRPr="00B57B36" w:rsidRDefault="00716C21" w:rsidP="00716C21">
            <w:pPr>
              <w:pStyle w:val="CETBodytext"/>
              <w:ind w:right="-1"/>
              <w:rPr>
                <w:rFonts w:cs="Arial"/>
                <w:szCs w:val="18"/>
                <w:lang w:val="en-GB"/>
              </w:rPr>
            </w:pPr>
          </w:p>
        </w:tc>
      </w:tr>
      <w:tr w:rsidR="00716C21" w:rsidRPr="00B57B36" w14:paraId="4D50281C" w14:textId="77777777" w:rsidTr="00716C21">
        <w:tc>
          <w:tcPr>
            <w:tcW w:w="1985" w:type="dxa"/>
            <w:vMerge/>
            <w:shd w:val="clear" w:color="auto" w:fill="FFFFFF"/>
          </w:tcPr>
          <w:p w14:paraId="2DBA57C2" w14:textId="77777777" w:rsidR="00716C21" w:rsidRPr="00B57B36" w:rsidRDefault="00716C21" w:rsidP="00716C21">
            <w:pPr>
              <w:pStyle w:val="CETBodytext"/>
              <w:ind w:right="-1"/>
              <w:rPr>
                <w:rFonts w:cs="Arial"/>
                <w:szCs w:val="18"/>
                <w:lang w:val="en-GB"/>
              </w:rPr>
            </w:pPr>
          </w:p>
        </w:tc>
        <w:tc>
          <w:tcPr>
            <w:tcW w:w="2410" w:type="dxa"/>
            <w:vMerge/>
            <w:shd w:val="clear" w:color="auto" w:fill="FFFFFF"/>
          </w:tcPr>
          <w:p w14:paraId="60C56FA3" w14:textId="77777777" w:rsidR="00716C21" w:rsidRPr="00B57B36" w:rsidRDefault="00716C21" w:rsidP="00716C21">
            <w:pPr>
              <w:pStyle w:val="CETBodytext"/>
              <w:ind w:right="-1"/>
              <w:rPr>
                <w:rFonts w:cs="Arial"/>
                <w:szCs w:val="18"/>
                <w:lang w:val="en-GB"/>
              </w:rPr>
            </w:pPr>
          </w:p>
        </w:tc>
        <w:tc>
          <w:tcPr>
            <w:tcW w:w="2268" w:type="dxa"/>
            <w:shd w:val="clear" w:color="auto" w:fill="FFFFFF"/>
            <w:vAlign w:val="center"/>
          </w:tcPr>
          <w:p w14:paraId="3F75EB51" w14:textId="64CC5E03" w:rsidR="00716C21" w:rsidRPr="00716C21" w:rsidRDefault="00716C21" w:rsidP="00716C21">
            <w:pPr>
              <w:pStyle w:val="CETBodytext"/>
              <w:ind w:right="-1"/>
              <w:jc w:val="center"/>
              <w:rPr>
                <w:rFonts w:cs="Arial"/>
                <w:szCs w:val="18"/>
                <w:lang w:val="en-GB"/>
              </w:rPr>
            </w:pPr>
            <w:r w:rsidRPr="00716C21">
              <w:rPr>
                <w:rFonts w:cs="Arial"/>
              </w:rPr>
              <w:t>10</w:t>
            </w:r>
          </w:p>
        </w:tc>
        <w:tc>
          <w:tcPr>
            <w:tcW w:w="2126" w:type="dxa"/>
            <w:vMerge/>
            <w:shd w:val="clear" w:color="auto" w:fill="FFFFFF"/>
          </w:tcPr>
          <w:p w14:paraId="1158A8F8" w14:textId="297D1AB2" w:rsidR="00716C21" w:rsidRPr="00B57B36" w:rsidRDefault="00716C21" w:rsidP="00716C21">
            <w:pPr>
              <w:pStyle w:val="CETBodytext"/>
              <w:ind w:right="-1"/>
              <w:rPr>
                <w:rFonts w:cs="Arial"/>
                <w:szCs w:val="18"/>
                <w:lang w:val="en-GB"/>
              </w:rPr>
            </w:pPr>
          </w:p>
        </w:tc>
      </w:tr>
    </w:tbl>
    <w:p w14:paraId="5741900F" w14:textId="7E56FC06" w:rsidR="00453E24" w:rsidRDefault="008F677A" w:rsidP="008918B8">
      <w:pPr>
        <w:pStyle w:val="CETHeading1"/>
        <w:numPr>
          <w:ilvl w:val="1"/>
          <w:numId w:val="23"/>
        </w:numPr>
      </w:pPr>
      <w:r>
        <w:t>Results and discussion</w:t>
      </w:r>
    </w:p>
    <w:p w14:paraId="0BDBD9DB" w14:textId="2133B267" w:rsidR="00D86DF8" w:rsidRDefault="00D86DF8" w:rsidP="00D5098E">
      <w:pPr>
        <w:pStyle w:val="CETheadingx"/>
        <w:numPr>
          <w:ilvl w:val="2"/>
          <w:numId w:val="23"/>
        </w:numPr>
      </w:pPr>
      <w:r w:rsidRPr="00D86DF8">
        <w:t>Evaluation of odorant fate under abiotic conditions</w:t>
      </w:r>
    </w:p>
    <w:p w14:paraId="4A2B627E" w14:textId="0FB3EC63" w:rsidR="00E37747" w:rsidRDefault="00E37747" w:rsidP="00D86DF8">
      <w:pPr>
        <w:pStyle w:val="CETBodytext"/>
        <w:rPr>
          <w:lang w:val="en-GB"/>
        </w:rPr>
      </w:pPr>
      <w:r w:rsidRPr="00E37747">
        <w:rPr>
          <w:lang w:val="en-GB"/>
        </w:rPr>
        <w:t>The initial headspace concentrations of acetic acid, α-pinene and H</w:t>
      </w:r>
      <w:r w:rsidRPr="00E37747">
        <w:rPr>
          <w:vertAlign w:val="subscript"/>
          <w:lang w:val="en-GB"/>
        </w:rPr>
        <w:t>2</w:t>
      </w:r>
      <w:r w:rsidRPr="00E37747">
        <w:rPr>
          <w:lang w:val="en-GB"/>
        </w:rPr>
        <w:t xml:space="preserve">S </w:t>
      </w:r>
      <w:r w:rsidR="009E2041">
        <w:rPr>
          <w:lang w:val="en-GB"/>
        </w:rPr>
        <w:t xml:space="preserve">under abiotic conditions </w:t>
      </w:r>
      <w:r w:rsidRPr="00E37747">
        <w:rPr>
          <w:lang w:val="en-GB"/>
        </w:rPr>
        <w:t xml:space="preserve">accounted for 26, 16 and 11 </w:t>
      </w:r>
      <w:proofErr w:type="spellStart"/>
      <w:r w:rsidRPr="00E37747">
        <w:rPr>
          <w:lang w:val="en-GB"/>
        </w:rPr>
        <w:t>ppm</w:t>
      </w:r>
      <w:r w:rsidRPr="00E37747">
        <w:rPr>
          <w:vertAlign w:val="subscript"/>
          <w:lang w:val="en-GB"/>
        </w:rPr>
        <w:t>v</w:t>
      </w:r>
      <w:proofErr w:type="spellEnd"/>
      <w:r w:rsidR="00E713F1">
        <w:rPr>
          <w:lang w:val="en-GB"/>
        </w:rPr>
        <w:t>, respectively</w:t>
      </w:r>
      <w:r w:rsidR="009E2041">
        <w:rPr>
          <w:lang w:val="en-GB"/>
        </w:rPr>
        <w:t xml:space="preserve"> (Figure 1)</w:t>
      </w:r>
      <w:r w:rsidRPr="00E37747">
        <w:rPr>
          <w:lang w:val="en-GB"/>
        </w:rPr>
        <w:t xml:space="preserve">. </w:t>
      </w:r>
      <w:r w:rsidR="00391831">
        <w:rPr>
          <w:lang w:val="en-GB"/>
        </w:rPr>
        <w:t xml:space="preserve">The concentration of acetic acid, </w:t>
      </w:r>
      <w:r w:rsidR="00391831" w:rsidRPr="00E37747">
        <w:rPr>
          <w:lang w:val="en-GB"/>
        </w:rPr>
        <w:t>α-pinene and H</w:t>
      </w:r>
      <w:r w:rsidR="00391831" w:rsidRPr="00E37747">
        <w:rPr>
          <w:vertAlign w:val="subscript"/>
          <w:lang w:val="en-GB"/>
        </w:rPr>
        <w:t>2</w:t>
      </w:r>
      <w:r w:rsidR="00391831" w:rsidRPr="00E37747">
        <w:rPr>
          <w:lang w:val="en-GB"/>
        </w:rPr>
        <w:t>S</w:t>
      </w:r>
      <w:r w:rsidR="00391831">
        <w:rPr>
          <w:lang w:val="en-GB"/>
        </w:rPr>
        <w:t xml:space="preserve"> showed a</w:t>
      </w:r>
      <w:r w:rsidRPr="00E37747">
        <w:rPr>
          <w:lang w:val="en-GB"/>
        </w:rPr>
        <w:t xml:space="preserve"> slight decrease after 270 min of experiment, which represented a ≈ 25</w:t>
      </w:r>
      <w:r w:rsidR="00E713F1">
        <w:rPr>
          <w:lang w:val="en-GB"/>
        </w:rPr>
        <w:t xml:space="preserve"> </w:t>
      </w:r>
      <w:r w:rsidRPr="00E37747">
        <w:rPr>
          <w:lang w:val="en-GB"/>
        </w:rPr>
        <w:t xml:space="preserve">% loss for </w:t>
      </w:r>
      <w:r w:rsidR="001426AB" w:rsidRPr="00E37747">
        <w:rPr>
          <w:lang w:val="en-GB"/>
        </w:rPr>
        <w:t>α-pinene and H</w:t>
      </w:r>
      <w:r w:rsidR="001426AB" w:rsidRPr="00E37747">
        <w:rPr>
          <w:vertAlign w:val="subscript"/>
          <w:lang w:val="en-GB"/>
        </w:rPr>
        <w:t>2</w:t>
      </w:r>
      <w:r w:rsidR="001426AB" w:rsidRPr="00E37747">
        <w:rPr>
          <w:lang w:val="en-GB"/>
        </w:rPr>
        <w:t>S</w:t>
      </w:r>
      <w:r w:rsidR="001426AB">
        <w:rPr>
          <w:lang w:val="en-GB"/>
        </w:rPr>
        <w:t xml:space="preserve"> and &gt; 7 % for acetic acid</w:t>
      </w:r>
      <w:r w:rsidRPr="00E37747">
        <w:rPr>
          <w:lang w:val="en-GB"/>
        </w:rPr>
        <w:t xml:space="preserve">. </w:t>
      </w:r>
      <w:proofErr w:type="gramStart"/>
      <w:r w:rsidR="00CD452A">
        <w:rPr>
          <w:lang w:val="en-GB"/>
        </w:rPr>
        <w:t>Taking into account</w:t>
      </w:r>
      <w:proofErr w:type="gramEnd"/>
      <w:r w:rsidRPr="00E37747">
        <w:rPr>
          <w:lang w:val="en-GB"/>
        </w:rPr>
        <w:t xml:space="preserve"> that the gas-liquid equilibrium was reached at time 0</w:t>
      </w:r>
      <w:r w:rsidR="00CD452A">
        <w:rPr>
          <w:lang w:val="en-GB"/>
        </w:rPr>
        <w:t>,</w:t>
      </w:r>
      <w:r w:rsidRPr="00E37747">
        <w:rPr>
          <w:lang w:val="en-GB"/>
        </w:rPr>
        <w:t xml:space="preserve"> abiotic losses were associated </w:t>
      </w:r>
      <w:bookmarkStart w:id="0" w:name="_Hlk94776694"/>
      <w:r w:rsidRPr="00E37747">
        <w:rPr>
          <w:lang w:val="en-GB"/>
        </w:rPr>
        <w:t>to odorant adsorption onto the glass surface or butyl septum.</w:t>
      </w:r>
      <w:bookmarkEnd w:id="0"/>
      <w:r w:rsidRPr="00E37747">
        <w:rPr>
          <w:lang w:val="en-GB"/>
        </w:rPr>
        <w:t xml:space="preserve"> Adsorption phenomena of odorants in glass is related to an elicit ionic adsorption of molecules to the silanol groups (positive ion exchange mode) and a hydrophobic adsorption mediated by the siloxane groups </w:t>
      </w:r>
      <w:r w:rsidRPr="00E37747">
        <w:rPr>
          <w:lang w:val="en-GB"/>
        </w:rPr>
        <w:fldChar w:fldCharType="begin" w:fldLock="1"/>
      </w:r>
      <w:r w:rsidRPr="00E37747">
        <w:rPr>
          <w:lang w:val="en-GB"/>
        </w:rPr>
        <w:instrText>ADDIN CSL_CITATION {"citationItems":[{"id":"ITEM-1","itemData":{"DOI":"10.1016/J.MICROMESO.2019.109698","ISSN":"1387-1811","abstract":"Adsorbent mesoporous materials are highly efficient for the remediation of different compounds in environmental applications such as organic, inorganic, and gas molecules. These compounds are removed by the traditional adsorption process in batch assessments. In this review, we report the recent progress on the MCM-41-based mesoporous material syntheses and its strategic use as an adsorbent material for the removal of different pollutants. Also approached the main factors that affect its synthesis and the methods of functionalization most used to prepare the MCM-41-based functionalized mesoporous materials. On the other hand, the factors that affect the adsorption process were also investigated. In addition, it is possible to affirm that adsorption technology has attracted a lot of attention in the removal of environmental pollutants, mainly due to the fact that it is a technique that requires the use of few steps and equipment, easy operation, low cost, does not generate residues or by-products, eco-friendly, and high energy efficiency, which allow its wide application on the remediation processes.","author":[{"dropping-particle":"","family":"Costa","given":"José Arnaldo S.","non-dropping-particle":"","parse-names":false,"suffix":""},{"dropping-particle":"","family":"Jesus","given":"Roberta A.","non-dropping-particle":"de","parse-names":false,"suffix":""},{"dropping-particle":"","family":"Santos","given":"Danilo O.","non-dropping-particle":"","parse-names":false,"suffix":""},{"dropping-particle":"","family":"Mano","given":"João F.","non-dropping-particle":"","parse-names":false,"suffix":""},{"dropping-particle":"","family":"Romão","given":"Luciane P.C.","non-dropping-particle":"","parse-names":false,"suffix":""},{"dropping-particle":"","family":"Paranhos","given":"Caio M.","non-dropping-particle":"","parse-names":false,"suffix":""}],"container-title":"Microporous and Mesoporous Materials","id":"ITEM-1","issued":{"date-parts":[["2020","1","1"]]},"page":"109698","publisher":"Elsevier","title":"Recent progresses in the adsorption of organic, inorganic, and gas compounds by MCM-41-based mesoporous materials","type":"article-journal","volume":"291"},"uris":["http://www.mendeley.com/documents/?uuid=09275875-0882-3f50-a6e9-81ba4e4e2e9b"]}],"mendeley":{"formattedCitation":"(Costa et al., 2020)","plainTextFormattedCitation":"(Costa et al., 2020)","previouslyFormattedCitation":"(Costa et al., 2020)"},"properties":{"noteIndex":0},"schema":"https://github.com/citation-style-language/schema/raw/master/csl-citation.json"}</w:instrText>
      </w:r>
      <w:r w:rsidRPr="00E37747">
        <w:rPr>
          <w:lang w:val="en-GB"/>
        </w:rPr>
        <w:fldChar w:fldCharType="separate"/>
      </w:r>
      <w:r w:rsidRPr="00E37747">
        <w:rPr>
          <w:lang w:val="en-GB"/>
        </w:rPr>
        <w:t>(Costa et al., 2020)</w:t>
      </w:r>
      <w:r w:rsidRPr="00E37747">
        <w:rPr>
          <w:lang w:val="en-GB"/>
        </w:rPr>
        <w:fldChar w:fldCharType="end"/>
      </w:r>
      <w:r w:rsidRPr="00E37747">
        <w:rPr>
          <w:lang w:val="en-GB"/>
        </w:rPr>
        <w:t xml:space="preserve">. </w:t>
      </w:r>
    </w:p>
    <w:p w14:paraId="7A6A7D9E" w14:textId="2CA888FB" w:rsidR="00E37747" w:rsidRDefault="00067A5A" w:rsidP="00D86DF8">
      <w:pPr>
        <w:pStyle w:val="CETBodytext"/>
        <w:rPr>
          <w:lang w:val="en-GB"/>
        </w:rPr>
      </w:pPr>
      <w:r w:rsidRPr="00067A5A">
        <w:rPr>
          <w:noProof/>
          <w:lang w:val="en-GB"/>
        </w:rPr>
        <w:drawing>
          <wp:anchor distT="0" distB="0" distL="114300" distR="114300" simplePos="0" relativeHeight="251678720" behindDoc="1" locked="0" layoutInCell="1" allowOverlap="1" wp14:anchorId="787080E6" wp14:editId="7895849E">
            <wp:simplePos x="0" y="0"/>
            <wp:positionH relativeFrom="margin">
              <wp:align>left</wp:align>
            </wp:positionH>
            <wp:positionV relativeFrom="paragraph">
              <wp:posOffset>50165</wp:posOffset>
            </wp:positionV>
            <wp:extent cx="2357755" cy="1778000"/>
            <wp:effectExtent l="0" t="0" r="4445" b="0"/>
            <wp:wrapTight wrapText="bothSides">
              <wp:wrapPolygon edited="0">
                <wp:start x="0" y="0"/>
                <wp:lineTo x="0" y="21291"/>
                <wp:lineTo x="21466" y="21291"/>
                <wp:lineTo x="21466" y="0"/>
                <wp:lineTo x="0" y="0"/>
              </wp:wrapPolygon>
            </wp:wrapTight>
            <wp:docPr id="13" name="Imagen 4">
              <a:extLst xmlns:a="http://schemas.openxmlformats.org/drawingml/2006/main">
                <a:ext uri="{FF2B5EF4-FFF2-40B4-BE49-F238E27FC236}">
                  <a16:creationId xmlns:a16="http://schemas.microsoft.com/office/drawing/2014/main" id="{E065D370-4CF2-33B5-E60B-92491B999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065D370-4CF2-33B5-E60B-92491B999C7F}"/>
                        </a:ext>
                      </a:extLst>
                    </pic:cNvPr>
                    <pic:cNvPicPr>
                      <a:picLocks noChangeAspect="1"/>
                    </pic:cNvPicPr>
                  </pic:nvPicPr>
                  <pic:blipFill rotWithShape="1">
                    <a:blip r:embed="rId16"/>
                    <a:srcRect l="1192" t="8445" r="2028" b="1185"/>
                    <a:stretch/>
                  </pic:blipFill>
                  <pic:spPr>
                    <a:xfrm>
                      <a:off x="0" y="0"/>
                      <a:ext cx="2362654" cy="1781376"/>
                    </a:xfrm>
                    <a:prstGeom prst="rect">
                      <a:avLst/>
                    </a:prstGeom>
                  </pic:spPr>
                </pic:pic>
              </a:graphicData>
            </a:graphic>
            <wp14:sizeRelH relativeFrom="margin">
              <wp14:pctWidth>0</wp14:pctWidth>
            </wp14:sizeRelH>
            <wp14:sizeRelV relativeFrom="margin">
              <wp14:pctHeight>0</wp14:pctHeight>
            </wp14:sizeRelV>
          </wp:anchor>
        </w:drawing>
      </w:r>
    </w:p>
    <w:p w14:paraId="67536C2D" w14:textId="77777777" w:rsidR="00067A5A" w:rsidRDefault="00067A5A" w:rsidP="00E37747">
      <w:pPr>
        <w:pStyle w:val="CETBodytext"/>
        <w:rPr>
          <w:bCs/>
          <w:i/>
          <w:iCs/>
        </w:rPr>
      </w:pPr>
    </w:p>
    <w:p w14:paraId="2881BEA2" w14:textId="77777777" w:rsidR="00067A5A" w:rsidRDefault="00067A5A" w:rsidP="00E37747">
      <w:pPr>
        <w:pStyle w:val="CETBodytext"/>
        <w:rPr>
          <w:bCs/>
          <w:i/>
          <w:iCs/>
        </w:rPr>
      </w:pPr>
    </w:p>
    <w:p w14:paraId="4FE1F001" w14:textId="77777777" w:rsidR="00067A5A" w:rsidRDefault="00067A5A" w:rsidP="00E37747">
      <w:pPr>
        <w:pStyle w:val="CETBodytext"/>
        <w:rPr>
          <w:bCs/>
          <w:i/>
          <w:iCs/>
        </w:rPr>
      </w:pPr>
    </w:p>
    <w:p w14:paraId="72D07328" w14:textId="77777777" w:rsidR="00067A5A" w:rsidRDefault="00067A5A" w:rsidP="00E37747">
      <w:pPr>
        <w:pStyle w:val="CETBodytext"/>
        <w:rPr>
          <w:bCs/>
          <w:i/>
          <w:iCs/>
        </w:rPr>
      </w:pPr>
    </w:p>
    <w:p w14:paraId="1743D26D" w14:textId="77777777" w:rsidR="00067A5A" w:rsidRDefault="00067A5A" w:rsidP="00E37747">
      <w:pPr>
        <w:pStyle w:val="CETBodytext"/>
        <w:rPr>
          <w:bCs/>
          <w:i/>
          <w:iCs/>
        </w:rPr>
      </w:pPr>
    </w:p>
    <w:p w14:paraId="4C2144B3" w14:textId="77777777" w:rsidR="00067A5A" w:rsidRDefault="00067A5A" w:rsidP="00E37747">
      <w:pPr>
        <w:pStyle w:val="CETBodytext"/>
        <w:rPr>
          <w:bCs/>
          <w:i/>
          <w:iCs/>
        </w:rPr>
      </w:pPr>
    </w:p>
    <w:p w14:paraId="6BCB6954" w14:textId="77777777" w:rsidR="00067A5A" w:rsidRDefault="00067A5A" w:rsidP="00E37747">
      <w:pPr>
        <w:pStyle w:val="CETBodytext"/>
        <w:rPr>
          <w:bCs/>
          <w:i/>
          <w:iCs/>
        </w:rPr>
      </w:pPr>
    </w:p>
    <w:p w14:paraId="64AD8247" w14:textId="77777777" w:rsidR="00067A5A" w:rsidRDefault="00067A5A" w:rsidP="00E37747">
      <w:pPr>
        <w:pStyle w:val="CETBodytext"/>
        <w:rPr>
          <w:bCs/>
          <w:i/>
          <w:iCs/>
        </w:rPr>
      </w:pPr>
    </w:p>
    <w:p w14:paraId="1544F2F0" w14:textId="77777777" w:rsidR="00067A5A" w:rsidRDefault="00067A5A" w:rsidP="00E37747">
      <w:pPr>
        <w:pStyle w:val="CETBodytext"/>
        <w:rPr>
          <w:bCs/>
          <w:i/>
          <w:iCs/>
        </w:rPr>
      </w:pPr>
    </w:p>
    <w:p w14:paraId="5C69149A" w14:textId="77777777" w:rsidR="00067A5A" w:rsidRDefault="00067A5A" w:rsidP="00E37747">
      <w:pPr>
        <w:pStyle w:val="CETBodytext"/>
        <w:rPr>
          <w:bCs/>
          <w:i/>
          <w:iCs/>
        </w:rPr>
      </w:pPr>
    </w:p>
    <w:p w14:paraId="5C4E6ACF" w14:textId="77777777" w:rsidR="00067A5A" w:rsidRDefault="00067A5A" w:rsidP="00E37747">
      <w:pPr>
        <w:pStyle w:val="CETBodytext"/>
        <w:rPr>
          <w:bCs/>
          <w:i/>
          <w:iCs/>
        </w:rPr>
      </w:pPr>
    </w:p>
    <w:p w14:paraId="1211347D" w14:textId="77777777" w:rsidR="00067A5A" w:rsidRDefault="00067A5A" w:rsidP="00E37747">
      <w:pPr>
        <w:pStyle w:val="CETBodytext"/>
        <w:rPr>
          <w:bCs/>
          <w:i/>
          <w:iCs/>
        </w:rPr>
      </w:pPr>
    </w:p>
    <w:p w14:paraId="1E34E56C" w14:textId="61443E26" w:rsidR="00E37747" w:rsidRPr="00D86DF8" w:rsidRDefault="00E37747" w:rsidP="00E37747">
      <w:pPr>
        <w:pStyle w:val="CETBodytext"/>
        <w:rPr>
          <w:lang w:val="en-GB"/>
        </w:rPr>
      </w:pPr>
      <w:r w:rsidRPr="00844CE1">
        <w:rPr>
          <w:bCs/>
          <w:i/>
          <w:iCs/>
        </w:rPr>
        <w:t xml:space="preserve">Figure 1: </w:t>
      </w:r>
      <w:r w:rsidRPr="00E37747">
        <w:rPr>
          <w:i/>
          <w:iCs/>
          <w:lang w:val="en-GB"/>
        </w:rPr>
        <w:t>Time course of acetic acid, α-pinene and H</w:t>
      </w:r>
      <w:r w:rsidRPr="00E37747">
        <w:rPr>
          <w:i/>
          <w:iCs/>
          <w:vertAlign w:val="subscript"/>
          <w:lang w:val="en-GB"/>
        </w:rPr>
        <w:t>2</w:t>
      </w:r>
      <w:r w:rsidRPr="00E37747">
        <w:rPr>
          <w:i/>
          <w:iCs/>
          <w:lang w:val="en-GB"/>
        </w:rPr>
        <w:t>S headspace concentrations under abiotic conditions</w:t>
      </w:r>
    </w:p>
    <w:p w14:paraId="0636B784" w14:textId="701AA2A7" w:rsidR="00453E24" w:rsidRPr="007568CF" w:rsidRDefault="00FA30A4" w:rsidP="00D5098E">
      <w:pPr>
        <w:pStyle w:val="CETheadingx"/>
      </w:pPr>
      <w:r w:rsidRPr="007568CF">
        <w:t>3.</w:t>
      </w:r>
      <w:r w:rsidR="00D86DF8" w:rsidRPr="007568CF">
        <w:t>2</w:t>
      </w:r>
      <w:r w:rsidRPr="007568CF">
        <w:t xml:space="preserve"> </w:t>
      </w:r>
      <w:r w:rsidR="008F677A" w:rsidRPr="007568CF">
        <w:t>Influence of N-NO</w:t>
      </w:r>
      <w:r w:rsidR="008F677A" w:rsidRPr="007568CF">
        <w:rPr>
          <w:vertAlign w:val="subscript"/>
        </w:rPr>
        <w:t>x</w:t>
      </w:r>
      <w:r w:rsidR="008F677A" w:rsidRPr="007568CF">
        <w:t xml:space="preserve"> and activated sludge concentration on odorant fate</w:t>
      </w:r>
    </w:p>
    <w:p w14:paraId="7C2B0064" w14:textId="61ED6A6C" w:rsidR="00453E24" w:rsidRDefault="009429B1" w:rsidP="00453E24">
      <w:pPr>
        <w:pStyle w:val="CETBodytext"/>
        <w:rPr>
          <w:lang w:val="en-GB"/>
        </w:rPr>
      </w:pPr>
      <w:r w:rsidRPr="008F677A">
        <w:rPr>
          <w:lang w:val="en-GB"/>
        </w:rPr>
        <w:t>In this study, the biological oxidation of H</w:t>
      </w:r>
      <w:r w:rsidRPr="008F677A">
        <w:rPr>
          <w:vertAlign w:val="subscript"/>
          <w:lang w:val="en-GB"/>
        </w:rPr>
        <w:t>2</w:t>
      </w:r>
      <w:r w:rsidRPr="008F677A">
        <w:rPr>
          <w:lang w:val="en-GB"/>
        </w:rPr>
        <w:t xml:space="preserve">S under anoxic conditions was confirmed (Figure </w:t>
      </w:r>
      <w:r>
        <w:rPr>
          <w:lang w:val="en-GB"/>
        </w:rPr>
        <w:t>2</w:t>
      </w:r>
      <w:r w:rsidRPr="008F677A">
        <w:rPr>
          <w:lang w:val="en-GB"/>
        </w:rPr>
        <w:t xml:space="preserve">). </w:t>
      </w:r>
      <w:r>
        <w:rPr>
          <w:lang w:val="en-GB"/>
        </w:rPr>
        <w:t>The headspace concentration of H</w:t>
      </w:r>
      <w:r w:rsidRPr="009429B1">
        <w:rPr>
          <w:vertAlign w:val="subscript"/>
          <w:lang w:val="en-GB"/>
        </w:rPr>
        <w:t>2</w:t>
      </w:r>
      <w:r>
        <w:rPr>
          <w:lang w:val="en-GB"/>
        </w:rPr>
        <w:t xml:space="preserve">S </w:t>
      </w:r>
      <w:r w:rsidRPr="009429B1">
        <w:rPr>
          <w:lang w:val="en-GB"/>
        </w:rPr>
        <w:t>progressively decreased as the concentration of</w:t>
      </w:r>
      <w:r>
        <w:rPr>
          <w:lang w:val="en-GB"/>
        </w:rPr>
        <w:t xml:space="preserve"> </w:t>
      </w:r>
      <w:r w:rsidRPr="008F677A">
        <w:rPr>
          <w:lang w:val="en-GB"/>
        </w:rPr>
        <w:t>NO</w:t>
      </w:r>
      <w:r w:rsidRPr="008F677A">
        <w:rPr>
          <w:vertAlign w:val="subscript"/>
          <w:lang w:val="en-GB"/>
        </w:rPr>
        <w:t>3</w:t>
      </w:r>
      <w:r w:rsidRPr="008F677A">
        <w:rPr>
          <w:vertAlign w:val="superscript"/>
          <w:lang w:val="en-GB"/>
        </w:rPr>
        <w:t>-</w:t>
      </w:r>
      <w:r w:rsidRPr="008F677A">
        <w:rPr>
          <w:lang w:val="en-GB"/>
        </w:rPr>
        <w:t>, NO</w:t>
      </w:r>
      <w:r w:rsidRPr="008F677A">
        <w:rPr>
          <w:vertAlign w:val="subscript"/>
          <w:lang w:val="en-GB"/>
        </w:rPr>
        <w:t>2</w:t>
      </w:r>
      <w:r w:rsidRPr="008F677A">
        <w:rPr>
          <w:vertAlign w:val="superscript"/>
          <w:lang w:val="en-GB"/>
        </w:rPr>
        <w:t xml:space="preserve">- </w:t>
      </w:r>
      <w:r w:rsidRPr="008F677A">
        <w:rPr>
          <w:lang w:val="en-GB"/>
        </w:rPr>
        <w:t>and AS</w:t>
      </w:r>
      <w:r>
        <w:rPr>
          <w:lang w:val="en-GB"/>
        </w:rPr>
        <w:t xml:space="preserve"> increased</w:t>
      </w:r>
      <w:r w:rsidRPr="008F677A">
        <w:rPr>
          <w:lang w:val="en-GB"/>
        </w:rPr>
        <w:t>. More specifically, a sharp decrease in H</w:t>
      </w:r>
      <w:r w:rsidRPr="008F677A">
        <w:rPr>
          <w:vertAlign w:val="subscript"/>
          <w:lang w:val="en-GB"/>
        </w:rPr>
        <w:t>2</w:t>
      </w:r>
      <w:r w:rsidRPr="008F677A">
        <w:rPr>
          <w:lang w:val="en-GB"/>
        </w:rPr>
        <w:t>S headspace concentration was recorded for the first 60 min of assay, followed by a gradual decrease in H</w:t>
      </w:r>
      <w:r w:rsidRPr="008F677A">
        <w:rPr>
          <w:vertAlign w:val="subscript"/>
          <w:lang w:val="en-GB"/>
        </w:rPr>
        <w:t>2</w:t>
      </w:r>
      <w:r w:rsidRPr="008F677A">
        <w:rPr>
          <w:lang w:val="en-GB"/>
        </w:rPr>
        <w:t>S fate along with the occurrence of lower gas-liquid concentrations gradients. The fastest depletion of H</w:t>
      </w:r>
      <w:r w:rsidRPr="008F677A">
        <w:rPr>
          <w:vertAlign w:val="subscript"/>
          <w:lang w:val="en-GB"/>
        </w:rPr>
        <w:t>2</w:t>
      </w:r>
      <w:r w:rsidRPr="008F677A">
        <w:rPr>
          <w:lang w:val="en-GB"/>
        </w:rPr>
        <w:t>S was observed at 10 mg NO</w:t>
      </w:r>
      <w:r w:rsidRPr="008F677A">
        <w:rPr>
          <w:vertAlign w:val="subscript"/>
          <w:lang w:val="en-GB"/>
        </w:rPr>
        <w:t>x</w:t>
      </w:r>
      <w:r w:rsidRPr="008F677A">
        <w:rPr>
          <w:lang w:val="en-GB"/>
        </w:rPr>
        <w:t>/L and 100 mg VSS/L. In this context, the supplementation of septic wastewater with 100 mg VSS/L reduced H</w:t>
      </w:r>
      <w:r w:rsidRPr="008F677A">
        <w:rPr>
          <w:vertAlign w:val="subscript"/>
          <w:lang w:val="en-GB"/>
        </w:rPr>
        <w:t>2</w:t>
      </w:r>
      <w:r w:rsidRPr="008F677A">
        <w:rPr>
          <w:lang w:val="en-GB"/>
        </w:rPr>
        <w:t xml:space="preserve">S concentration to 0 </w:t>
      </w:r>
      <w:proofErr w:type="spellStart"/>
      <w:r w:rsidRPr="008F677A">
        <w:rPr>
          <w:lang w:val="en-GB"/>
        </w:rPr>
        <w:t>ppm</w:t>
      </w:r>
      <w:r w:rsidRPr="008F677A">
        <w:rPr>
          <w:vertAlign w:val="subscript"/>
          <w:lang w:val="en-GB"/>
        </w:rPr>
        <w:t>v</w:t>
      </w:r>
      <w:proofErr w:type="spellEnd"/>
      <w:r w:rsidRPr="008F677A">
        <w:rPr>
          <w:lang w:val="en-GB"/>
        </w:rPr>
        <w:t xml:space="preserve"> in 4.5 h even at the lowest NO</w:t>
      </w:r>
      <w:r w:rsidRPr="008F677A">
        <w:rPr>
          <w:vertAlign w:val="subscript"/>
          <w:lang w:val="en-GB"/>
        </w:rPr>
        <w:t>3</w:t>
      </w:r>
      <w:r w:rsidRPr="008F677A">
        <w:rPr>
          <w:vertAlign w:val="superscript"/>
          <w:lang w:val="en-GB"/>
        </w:rPr>
        <w:t>-</w:t>
      </w:r>
      <w:r w:rsidRPr="008F677A">
        <w:rPr>
          <w:lang w:val="en-GB"/>
        </w:rPr>
        <w:t xml:space="preserve"> and NO</w:t>
      </w:r>
      <w:r w:rsidRPr="008F677A">
        <w:rPr>
          <w:vertAlign w:val="subscript"/>
          <w:lang w:val="en-GB"/>
        </w:rPr>
        <w:t>2</w:t>
      </w:r>
      <w:r w:rsidRPr="008F677A">
        <w:rPr>
          <w:vertAlign w:val="superscript"/>
          <w:lang w:val="en-GB"/>
        </w:rPr>
        <w:t>-</w:t>
      </w:r>
      <w:r w:rsidRPr="008F677A">
        <w:rPr>
          <w:lang w:val="en-GB"/>
        </w:rPr>
        <w:t xml:space="preserve"> concentrations tested.</w:t>
      </w:r>
      <w:r>
        <w:rPr>
          <w:lang w:val="en-GB"/>
        </w:rPr>
        <w:t xml:space="preserve"> </w:t>
      </w:r>
      <w:r w:rsidR="008F677A" w:rsidRPr="008F677A">
        <w:rPr>
          <w:lang w:val="en-GB"/>
        </w:rPr>
        <w:t xml:space="preserve">The addition of </w:t>
      </w:r>
      <w:r w:rsidR="001D0114" w:rsidRPr="008F677A">
        <w:rPr>
          <w:lang w:val="en-GB"/>
        </w:rPr>
        <w:t>NO</w:t>
      </w:r>
      <w:r w:rsidR="001D0114" w:rsidRPr="008F677A">
        <w:rPr>
          <w:vertAlign w:val="subscript"/>
          <w:lang w:val="en-GB"/>
        </w:rPr>
        <w:t>3</w:t>
      </w:r>
      <w:r w:rsidR="001D0114" w:rsidRPr="008F677A">
        <w:rPr>
          <w:vertAlign w:val="superscript"/>
          <w:lang w:val="en-GB"/>
        </w:rPr>
        <w:t>-</w:t>
      </w:r>
      <w:r w:rsidR="008F677A" w:rsidRPr="008F677A">
        <w:rPr>
          <w:lang w:val="en-GB"/>
        </w:rPr>
        <w:t xml:space="preserve"> or </w:t>
      </w:r>
      <w:r w:rsidR="001D0114" w:rsidRPr="008F677A">
        <w:rPr>
          <w:lang w:val="en-GB"/>
        </w:rPr>
        <w:t>NO</w:t>
      </w:r>
      <w:r w:rsidR="001D0114" w:rsidRPr="008F677A">
        <w:rPr>
          <w:vertAlign w:val="subscript"/>
          <w:lang w:val="en-GB"/>
        </w:rPr>
        <w:t>2</w:t>
      </w:r>
      <w:r w:rsidR="001D0114" w:rsidRPr="008F677A">
        <w:rPr>
          <w:vertAlign w:val="superscript"/>
          <w:lang w:val="en-GB"/>
        </w:rPr>
        <w:t>-</w:t>
      </w:r>
      <w:r w:rsidR="008F677A" w:rsidRPr="008F677A">
        <w:rPr>
          <w:lang w:val="en-GB"/>
        </w:rPr>
        <w:t xml:space="preserve"> to the influent wastewater promotes anoxic conditions, where oxidized nitrogen is used as an electron acceptor by microorganisms (e.g., </w:t>
      </w:r>
      <w:proofErr w:type="spellStart"/>
      <w:r w:rsidR="008F677A" w:rsidRPr="008F677A">
        <w:rPr>
          <w:lang w:val="en-GB"/>
        </w:rPr>
        <w:lastRenderedPageBreak/>
        <w:t>chemolithotrophic</w:t>
      </w:r>
      <w:proofErr w:type="spellEnd"/>
      <w:r w:rsidR="008F677A" w:rsidRPr="008F677A">
        <w:rPr>
          <w:lang w:val="en-GB"/>
        </w:rPr>
        <w:t xml:space="preserve"> bacterial species or Sulphur Oxidizing Bacteria “SOB”) </w:t>
      </w:r>
      <w:r w:rsidR="001D0114" w:rsidRPr="001D0114">
        <w:rPr>
          <w:lang w:val="en-GB"/>
        </w:rPr>
        <w:t xml:space="preserve">which are capable of oxidizing dissolved </w:t>
      </w:r>
      <w:r w:rsidR="005F6193" w:rsidRPr="001D0114">
        <w:rPr>
          <w:lang w:val="en-GB"/>
        </w:rPr>
        <w:t>sulphide</w:t>
      </w:r>
      <w:r w:rsidR="008F677A" w:rsidRPr="008F677A">
        <w:rPr>
          <w:lang w:val="en-GB"/>
        </w:rPr>
        <w:t xml:space="preserve"> and </w:t>
      </w:r>
      <w:r w:rsidR="005F6193">
        <w:rPr>
          <w:lang w:val="en-GB"/>
        </w:rPr>
        <w:t>other</w:t>
      </w:r>
      <w:r w:rsidR="008F677A" w:rsidRPr="008F677A">
        <w:rPr>
          <w:lang w:val="en-GB"/>
        </w:rPr>
        <w:t xml:space="preserve"> biodegradable odorants, thus preventing their further release as malodorous emissions </w:t>
      </w:r>
      <w:r w:rsidR="00035E08" w:rsidRPr="006D4FFA">
        <w:rPr>
          <w:lang w:val="en-GB"/>
        </w:rPr>
        <w:fldChar w:fldCharType="begin" w:fldLock="1"/>
      </w:r>
      <w:r w:rsidR="00035E08" w:rsidRPr="006D4FFA">
        <w:rPr>
          <w:lang w:val="en-GB"/>
        </w:rPr>
        <w:instrText>ADDIN CSL_CITATION {"citationItems":[{"id":"ITEM-1","itemData":{"DOI":"10.2175/193864712811700363","ISSN":"19386478","author":[{"dropping-particle":"","family":"Kiesewetter","given":"Jonathan","non-dropping-particle":"","parse-names":false,"suffix":""},{"dropping-particle":"","family":"Kraakman","given":"Bart","non-dropping-particle":"","parse-names":false,"suffix":""},{"dropping-particle":"","family":"Cesca","given":"Josef","non-dropping-particle":"","parse-names":false,"suffix":""},{"dropping-particle":"","family":"Trainor","given":"Sean","non-dropping-particle":"","parse-names":false,"suffix":""},{"dropping-particle":"","family":"Witherspoon","given":"Jay","non-dropping-particle":"","parse-names":false,"suffix":""}],"container-title":"Proceedings of the Water Environment Federation","id":"ITEM-1","issue":"3","issued":{"date-parts":[["2014","4","19"]]},"page":"600-614","publisher":"Water Environment Federation","title":"Expanding the Use of Activated Sludge at Biological Waste Water Treatment Plants for Odor Control","type":"article-journal","volume":"2012"},"uris":["http://www.mendeley.com/documents/?uuid=2e11cc97-2b52-3f15-9123-e75115f613c1"]}],"mendeley":{"formattedCitation":"(Kiesewetter et al., 2014)","plainTextFormattedCitation":"(Kiesewetter et al., 2014)","previouslyFormattedCitation":"(Kiesewetter et al., 2014)"},"properties":{"noteIndex":0},"schema":"https://github.com/citation-style-language/schema/raw/master/csl-citation.json"}</w:instrText>
      </w:r>
      <w:r w:rsidR="00035E08" w:rsidRPr="006D4FFA">
        <w:rPr>
          <w:lang w:val="en-GB"/>
        </w:rPr>
        <w:fldChar w:fldCharType="separate"/>
      </w:r>
      <w:r w:rsidR="00035E08" w:rsidRPr="006D4FFA">
        <w:rPr>
          <w:lang w:val="en-GB"/>
        </w:rPr>
        <w:t>(Kiesewetter et al., 2014)</w:t>
      </w:r>
      <w:r w:rsidR="00035E08" w:rsidRPr="006D4FFA">
        <w:rPr>
          <w:lang w:val="en-GB"/>
        </w:rPr>
        <w:fldChar w:fldCharType="end"/>
      </w:r>
      <w:r w:rsidR="008F677A" w:rsidRPr="008F677A">
        <w:rPr>
          <w:lang w:val="en-GB"/>
        </w:rPr>
        <w:t>. Overall, NO</w:t>
      </w:r>
      <w:r w:rsidR="008F677A" w:rsidRPr="008F677A">
        <w:rPr>
          <w:vertAlign w:val="subscript"/>
          <w:lang w:val="en-GB"/>
        </w:rPr>
        <w:t>3</w:t>
      </w:r>
      <w:r w:rsidR="008F677A" w:rsidRPr="008F677A">
        <w:rPr>
          <w:vertAlign w:val="superscript"/>
          <w:lang w:val="en-GB"/>
        </w:rPr>
        <w:t>-</w:t>
      </w:r>
      <w:r w:rsidR="008F677A" w:rsidRPr="008F677A">
        <w:rPr>
          <w:lang w:val="en-GB"/>
        </w:rPr>
        <w:t xml:space="preserve"> </w:t>
      </w:r>
      <w:r w:rsidR="00F1736C">
        <w:rPr>
          <w:lang w:val="en-GB"/>
        </w:rPr>
        <w:t xml:space="preserve">(Figure 2a) </w:t>
      </w:r>
      <w:r w:rsidR="008F677A" w:rsidRPr="008F677A">
        <w:rPr>
          <w:lang w:val="en-GB"/>
        </w:rPr>
        <w:t>was more effective than NO</w:t>
      </w:r>
      <w:r w:rsidR="008F677A" w:rsidRPr="008F677A">
        <w:rPr>
          <w:vertAlign w:val="subscript"/>
          <w:lang w:val="en-GB"/>
        </w:rPr>
        <w:t>2</w:t>
      </w:r>
      <w:r w:rsidR="008F677A" w:rsidRPr="008F677A">
        <w:rPr>
          <w:vertAlign w:val="superscript"/>
          <w:lang w:val="en-GB"/>
        </w:rPr>
        <w:t>-</w:t>
      </w:r>
      <w:r w:rsidR="008F677A" w:rsidRPr="008F677A">
        <w:rPr>
          <w:lang w:val="en-GB"/>
        </w:rPr>
        <w:t xml:space="preserve"> </w:t>
      </w:r>
      <w:r w:rsidR="00F1736C">
        <w:rPr>
          <w:lang w:val="en-GB"/>
        </w:rPr>
        <w:t xml:space="preserve">(Figure 2b) </w:t>
      </w:r>
      <w:r w:rsidR="008F677A" w:rsidRPr="008F677A">
        <w:rPr>
          <w:lang w:val="en-GB"/>
        </w:rPr>
        <w:t>to biodegrade H</w:t>
      </w:r>
      <w:r w:rsidR="008F677A" w:rsidRPr="008F677A">
        <w:rPr>
          <w:vertAlign w:val="subscript"/>
          <w:lang w:val="en-GB"/>
        </w:rPr>
        <w:t>2</w:t>
      </w:r>
      <w:r w:rsidR="008F677A" w:rsidRPr="008F677A">
        <w:rPr>
          <w:lang w:val="en-GB"/>
        </w:rPr>
        <w:t>S regardless of the AS and N-NO</w:t>
      </w:r>
      <w:r w:rsidR="008F677A" w:rsidRPr="008F677A">
        <w:rPr>
          <w:vertAlign w:val="subscript"/>
          <w:lang w:val="en-GB"/>
        </w:rPr>
        <w:t>x</w:t>
      </w:r>
      <w:r w:rsidR="008F677A" w:rsidRPr="008F677A">
        <w:rPr>
          <w:lang w:val="en-GB"/>
        </w:rPr>
        <w:t xml:space="preserve"> concentrations. The anoxic oxidation of H</w:t>
      </w:r>
      <w:r w:rsidR="008F677A" w:rsidRPr="008F677A">
        <w:rPr>
          <w:vertAlign w:val="subscript"/>
          <w:lang w:val="en-GB"/>
        </w:rPr>
        <w:t>2</w:t>
      </w:r>
      <w:r w:rsidR="008F677A" w:rsidRPr="008F677A">
        <w:rPr>
          <w:lang w:val="en-GB"/>
        </w:rPr>
        <w:t xml:space="preserve">S by OAR and ASR can be described by </w:t>
      </w:r>
      <w:proofErr w:type="spellStart"/>
      <w:r w:rsidR="008F677A" w:rsidRPr="008F677A">
        <w:rPr>
          <w:lang w:val="en-GB"/>
        </w:rPr>
        <w:t>Eq</w:t>
      </w:r>
      <w:proofErr w:type="spellEnd"/>
      <w:r w:rsidR="008F677A" w:rsidRPr="008F677A">
        <w:rPr>
          <w:lang w:val="en-GB"/>
        </w:rPr>
        <w:t xml:space="preserve"> </w:t>
      </w:r>
      <w:r w:rsidR="008F677A">
        <w:rPr>
          <w:lang w:val="en-GB"/>
        </w:rPr>
        <w:t>(</w:t>
      </w:r>
      <w:r w:rsidR="009A0A05">
        <w:rPr>
          <w:lang w:val="en-GB"/>
        </w:rPr>
        <w:t>1</w:t>
      </w:r>
      <w:r w:rsidR="008F677A">
        <w:rPr>
          <w:lang w:val="en-GB"/>
        </w:rPr>
        <w:t>)</w:t>
      </w:r>
      <w:r w:rsidR="008F677A" w:rsidRPr="008F677A">
        <w:rPr>
          <w:lang w:val="en-GB"/>
        </w:rPr>
        <w:t xml:space="preserve"> and </w:t>
      </w:r>
      <w:proofErr w:type="spellStart"/>
      <w:r w:rsidR="008F677A">
        <w:rPr>
          <w:lang w:val="en-GB"/>
        </w:rPr>
        <w:t>Eq</w:t>
      </w:r>
      <w:proofErr w:type="spellEnd"/>
      <w:r w:rsidR="008F677A">
        <w:rPr>
          <w:lang w:val="en-GB"/>
        </w:rPr>
        <w:t xml:space="preserve"> (</w:t>
      </w:r>
      <w:r w:rsidR="009A0A05">
        <w:rPr>
          <w:lang w:val="en-GB"/>
        </w:rPr>
        <w:t>2</w:t>
      </w:r>
      <w:r w:rsidR="008F677A">
        <w:rPr>
          <w:lang w:val="en-GB"/>
        </w:rPr>
        <w:t>)</w:t>
      </w:r>
      <w:r w:rsidR="008F677A" w:rsidRPr="008F677A">
        <w:rPr>
          <w:lang w:val="en-GB"/>
        </w:rPr>
        <w:t xml:space="preserve"> </w:t>
      </w:r>
      <w:r w:rsidR="00035E08">
        <w:rPr>
          <w:lang w:val="en-GB"/>
        </w:rPr>
        <w:t>(Yang et al., 2005)</w:t>
      </w:r>
      <w:r w:rsidR="008F677A" w:rsidRPr="008F677A">
        <w:rPr>
          <w:lang w:val="en-GB"/>
        </w:rPr>
        <w:t>:</w:t>
      </w:r>
    </w:p>
    <w:p w14:paraId="477C0F82" w14:textId="1C80C0C5" w:rsidR="008F677A" w:rsidRDefault="008F677A" w:rsidP="00453E24">
      <w:pPr>
        <w:pStyle w:val="CETBodytext"/>
        <w:rPr>
          <w:lang w:val="en-GB"/>
        </w:rPr>
      </w:pPr>
    </w:p>
    <w:p w14:paraId="02581370" w14:textId="68C73B1E" w:rsidR="008F677A" w:rsidRPr="008F677A" w:rsidRDefault="00000000" w:rsidP="008F677A">
      <w:pPr>
        <w:pStyle w:val="CETBodytext"/>
      </w:pPr>
      <m:oMath>
        <m:sSub>
          <m:sSubPr>
            <m:ctrlPr>
              <w:rPr>
                <w:rFonts w:ascii="Cambria Math" w:hAnsi="Cambria Math"/>
                <w:i/>
              </w:rPr>
            </m:ctrlPr>
          </m:sSubPr>
          <m:e>
            <m:r>
              <w:rPr>
                <w:rFonts w:ascii="Cambria Math" w:hAnsi="Cambria Math"/>
              </w:rPr>
              <m:t>3H</m:t>
            </m:r>
          </m:e>
          <m:sub>
            <m:r>
              <w:rPr>
                <w:rFonts w:ascii="Cambria Math" w:hAnsi="Cambria Math"/>
              </w:rPr>
              <m:t>2</m:t>
            </m:r>
          </m:sub>
        </m:sSub>
        <m:r>
          <w:rPr>
            <w:rFonts w:ascii="Cambria Math" w:hAnsi="Cambria Math"/>
          </w:rPr>
          <m:t>S+</m:t>
        </m:r>
        <m:sSubSup>
          <m:sSubSupPr>
            <m:ctrlPr>
              <w:rPr>
                <w:rFonts w:ascii="Cambria Math" w:hAnsi="Cambria Math"/>
                <w:i/>
              </w:rPr>
            </m:ctrlPr>
          </m:sSubSupPr>
          <m:e>
            <m:r>
              <w:rPr>
                <w:rFonts w:ascii="Cambria Math" w:hAnsi="Cambria Math"/>
              </w:rPr>
              <m:t>2NO</m:t>
            </m:r>
          </m:e>
          <m:sub>
            <m:r>
              <w:rPr>
                <w:rFonts w:ascii="Cambria Math" w:hAnsi="Cambria Math"/>
              </w:rPr>
              <m:t>2</m:t>
            </m:r>
          </m:sub>
          <m:sup>
            <m:r>
              <w:rPr>
                <w:rFonts w:ascii="Cambria Math" w:hAnsi="Cambria Math"/>
              </w:rPr>
              <m:t>-</m:t>
            </m:r>
          </m:sup>
        </m:sSubSup>
        <m:r>
          <w:rPr>
            <w:rFonts w:ascii="Cambria Math" w:hAnsi="Cambria Math"/>
          </w:rPr>
          <m:t>+</m:t>
        </m:r>
        <m:sSup>
          <m:sSupPr>
            <m:ctrlPr>
              <w:rPr>
                <w:rFonts w:ascii="Cambria Math" w:hAnsi="Cambria Math"/>
                <w:i/>
              </w:rPr>
            </m:ctrlPr>
          </m:sSupPr>
          <m:e>
            <m:r>
              <w:rPr>
                <w:rFonts w:ascii="Cambria Math" w:hAnsi="Cambria Math"/>
              </w:rPr>
              <m:t>2H</m:t>
            </m:r>
          </m:e>
          <m:sup>
            <m:r>
              <w:rPr>
                <w:rFonts w:ascii="Cambria Math" w:hAnsi="Cambria Math"/>
              </w:rPr>
              <m:t>+</m:t>
            </m:r>
          </m:sup>
        </m:sSup>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SOB</m:t>
                </m:r>
              </m:e>
            </m:groupChr>
            <m:sSup>
              <m:sSupPr>
                <m:ctrlPr>
                  <w:rPr>
                    <w:rFonts w:ascii="Cambria Math" w:hAnsi="Cambria Math"/>
                    <w:i/>
                  </w:rPr>
                </m:ctrlPr>
              </m:sSupPr>
              <m:e>
                <m:r>
                  <w:rPr>
                    <w:rFonts w:ascii="Cambria Math" w:hAnsi="Cambria Math"/>
                  </w:rPr>
                  <m:t>3S</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4H</m:t>
                </m:r>
              </m:e>
              <m:sub>
                <m:r>
                  <w:rPr>
                    <w:rFonts w:ascii="Cambria Math" w:hAnsi="Cambria Math"/>
                  </w:rPr>
                  <m:t>2</m:t>
                </m:r>
              </m:sub>
            </m:sSub>
            <m:r>
              <w:rPr>
                <w:rFonts w:ascii="Cambria Math" w:hAnsi="Cambria Math"/>
              </w:rPr>
              <m:t>O</m:t>
            </m:r>
          </m:e>
        </m:box>
      </m:oMath>
      <w:r w:rsidR="008F677A" w:rsidRPr="008F677A">
        <w:tab/>
      </w:r>
      <w:r w:rsidR="008F677A" w:rsidRPr="008F677A">
        <w:tab/>
      </w:r>
      <w:r w:rsidR="008F677A">
        <w:tab/>
        <w:t xml:space="preserve"> </w:t>
      </w:r>
      <w:r w:rsidR="008F677A" w:rsidRPr="008F677A">
        <w:t>(</w:t>
      </w:r>
      <w:r w:rsidR="009A0A05">
        <w:t>1</w:t>
      </w:r>
      <w:r w:rsidR="008F677A" w:rsidRPr="008F677A">
        <w:t>)</w:t>
      </w:r>
    </w:p>
    <w:p w14:paraId="07EE73A7" w14:textId="6631706C" w:rsidR="008F677A" w:rsidRPr="008F677A" w:rsidRDefault="00000000" w:rsidP="008F677A">
      <w:pPr>
        <w:pStyle w:val="CETBodytext"/>
      </w:pPr>
      <m:oMath>
        <m:sSub>
          <m:sSubPr>
            <m:ctrlPr>
              <w:rPr>
                <w:rFonts w:ascii="Cambria Math" w:hAnsi="Cambria Math"/>
                <w:i/>
              </w:rPr>
            </m:ctrlPr>
          </m:sSubPr>
          <m:e>
            <m:r>
              <w:rPr>
                <w:rFonts w:ascii="Cambria Math" w:hAnsi="Cambria Math"/>
              </w:rPr>
              <m:t>5H</m:t>
            </m:r>
          </m:e>
          <m:sub>
            <m:r>
              <w:rPr>
                <w:rFonts w:ascii="Cambria Math" w:hAnsi="Cambria Math"/>
              </w:rPr>
              <m:t>2</m:t>
            </m:r>
          </m:sub>
        </m:sSub>
        <m:r>
          <w:rPr>
            <w:rFonts w:ascii="Cambria Math" w:hAnsi="Cambria Math"/>
          </w:rPr>
          <m:t>S+</m:t>
        </m:r>
        <m:sSubSup>
          <m:sSubSupPr>
            <m:ctrlPr>
              <w:rPr>
                <w:rFonts w:ascii="Cambria Math" w:hAnsi="Cambria Math"/>
                <w:i/>
              </w:rPr>
            </m:ctrlPr>
          </m:sSubSupPr>
          <m:e>
            <m:r>
              <w:rPr>
                <w:rFonts w:ascii="Cambria Math" w:hAnsi="Cambria Math"/>
              </w:rPr>
              <m:t>2NO</m:t>
            </m:r>
          </m:e>
          <m:sub>
            <m:r>
              <w:rPr>
                <w:rFonts w:ascii="Cambria Math" w:hAnsi="Cambria Math"/>
              </w:rPr>
              <m:t>3</m:t>
            </m:r>
          </m:sub>
          <m:sup>
            <m:r>
              <w:rPr>
                <w:rFonts w:ascii="Cambria Math" w:hAnsi="Cambria Math"/>
              </w:rPr>
              <m:t>-</m:t>
            </m:r>
          </m:sup>
        </m:sSubSup>
        <m:r>
          <w:rPr>
            <w:rFonts w:ascii="Cambria Math" w:hAnsi="Cambria Math"/>
          </w:rPr>
          <m:t>+</m:t>
        </m:r>
        <m:sSup>
          <m:sSupPr>
            <m:ctrlPr>
              <w:rPr>
                <w:rFonts w:ascii="Cambria Math" w:hAnsi="Cambria Math"/>
                <w:i/>
              </w:rPr>
            </m:ctrlPr>
          </m:sSupPr>
          <m:e>
            <m:r>
              <w:rPr>
                <w:rFonts w:ascii="Cambria Math" w:hAnsi="Cambria Math"/>
              </w:rPr>
              <m:t>2H</m:t>
            </m:r>
          </m:e>
          <m:sup>
            <m:r>
              <w:rPr>
                <w:rFonts w:ascii="Cambria Math" w:hAnsi="Cambria Math"/>
              </w:rPr>
              <m:t>+</m:t>
            </m:r>
          </m:sup>
        </m:sSup>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SOB</m:t>
                </m:r>
              </m:e>
            </m:groupChr>
            <m:sSup>
              <m:sSupPr>
                <m:ctrlPr>
                  <w:rPr>
                    <w:rFonts w:ascii="Cambria Math" w:hAnsi="Cambria Math"/>
                    <w:i/>
                  </w:rPr>
                </m:ctrlPr>
              </m:sSupPr>
              <m:e>
                <m:r>
                  <w:rPr>
                    <w:rFonts w:ascii="Cambria Math" w:hAnsi="Cambria Math"/>
                  </w:rPr>
                  <m:t>5S</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6H</m:t>
                </m:r>
              </m:e>
              <m:sub>
                <m:r>
                  <w:rPr>
                    <w:rFonts w:ascii="Cambria Math" w:hAnsi="Cambria Math"/>
                  </w:rPr>
                  <m:t>2</m:t>
                </m:r>
              </m:sub>
            </m:sSub>
            <m:r>
              <w:rPr>
                <w:rFonts w:ascii="Cambria Math" w:hAnsi="Cambria Math"/>
              </w:rPr>
              <m:t>O</m:t>
            </m:r>
          </m:e>
        </m:box>
      </m:oMath>
      <w:r w:rsidR="008F677A" w:rsidRPr="008F677A">
        <w:tab/>
      </w:r>
      <w:r w:rsidR="008F677A" w:rsidRPr="008F677A">
        <w:tab/>
      </w:r>
      <w:r w:rsidR="008F677A">
        <w:tab/>
        <w:t xml:space="preserve"> </w:t>
      </w:r>
      <w:r w:rsidR="008F677A" w:rsidRPr="008F677A">
        <w:t>(</w:t>
      </w:r>
      <w:r w:rsidR="009A0A05">
        <w:t>2</w:t>
      </w:r>
      <w:r w:rsidR="008F677A" w:rsidRPr="008F677A">
        <w:t>)</w:t>
      </w:r>
    </w:p>
    <w:p w14:paraId="27835F64" w14:textId="22E96B81" w:rsidR="00844CE1" w:rsidRDefault="0032032A" w:rsidP="00453E24">
      <w:pPr>
        <w:pStyle w:val="CETBodytext"/>
      </w:pPr>
      <w:r w:rsidRPr="00E3762A">
        <w:rPr>
          <w:bCs/>
          <w:i/>
          <w:iCs/>
          <w:noProof/>
          <w:lang w:val="en-GB"/>
        </w:rPr>
        <w:drawing>
          <wp:anchor distT="0" distB="0" distL="114300" distR="114300" simplePos="0" relativeHeight="251662335" behindDoc="1" locked="0" layoutInCell="1" allowOverlap="1" wp14:anchorId="48F45568" wp14:editId="4449078F">
            <wp:simplePos x="0" y="0"/>
            <wp:positionH relativeFrom="column">
              <wp:posOffset>2609215</wp:posOffset>
            </wp:positionH>
            <wp:positionV relativeFrom="paragraph">
              <wp:posOffset>69215</wp:posOffset>
            </wp:positionV>
            <wp:extent cx="2412365" cy="1746250"/>
            <wp:effectExtent l="0" t="0" r="6985" b="6350"/>
            <wp:wrapTight wrapText="bothSides">
              <wp:wrapPolygon edited="0">
                <wp:start x="0" y="0"/>
                <wp:lineTo x="0" y="21443"/>
                <wp:lineTo x="21492" y="21443"/>
                <wp:lineTo x="21492" y="0"/>
                <wp:lineTo x="0" y="0"/>
              </wp:wrapPolygon>
            </wp:wrapTight>
            <wp:docPr id="16" name="Imagen 8">
              <a:extLst xmlns:a="http://schemas.openxmlformats.org/drawingml/2006/main">
                <a:ext uri="{FF2B5EF4-FFF2-40B4-BE49-F238E27FC236}">
                  <a16:creationId xmlns:a16="http://schemas.microsoft.com/office/drawing/2014/main" id="{C531583A-D8A7-D46C-948A-48D4B9668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C531583A-D8A7-D46C-948A-48D4B9668283}"/>
                        </a:ext>
                      </a:extLst>
                    </pic:cNvPr>
                    <pic:cNvPicPr>
                      <a:picLocks noChangeAspect="1"/>
                    </pic:cNvPicPr>
                  </pic:nvPicPr>
                  <pic:blipFill rotWithShape="1">
                    <a:blip r:embed="rId17"/>
                    <a:srcRect l="1201" t="10370" r="1905" b="1037"/>
                    <a:stretch/>
                  </pic:blipFill>
                  <pic:spPr>
                    <a:xfrm>
                      <a:off x="0" y="0"/>
                      <a:ext cx="2412365" cy="1746250"/>
                    </a:xfrm>
                    <a:prstGeom prst="rect">
                      <a:avLst/>
                    </a:prstGeom>
                  </pic:spPr>
                </pic:pic>
              </a:graphicData>
            </a:graphic>
            <wp14:sizeRelH relativeFrom="margin">
              <wp14:pctWidth>0</wp14:pctWidth>
            </wp14:sizeRelH>
            <wp14:sizeRelV relativeFrom="margin">
              <wp14:pctHeight>0</wp14:pctHeight>
            </wp14:sizeRelV>
          </wp:anchor>
        </w:drawing>
      </w:r>
      <w:r w:rsidRPr="00067A5A">
        <w:rPr>
          <w:noProof/>
          <w:lang w:val="en-GB"/>
        </w:rPr>
        <w:drawing>
          <wp:anchor distT="0" distB="0" distL="114300" distR="114300" simplePos="0" relativeHeight="251677951" behindDoc="1" locked="0" layoutInCell="1" allowOverlap="1" wp14:anchorId="15D40B4C" wp14:editId="609D790E">
            <wp:simplePos x="0" y="0"/>
            <wp:positionH relativeFrom="margin">
              <wp:align>left</wp:align>
            </wp:positionH>
            <wp:positionV relativeFrom="paragraph">
              <wp:posOffset>73660</wp:posOffset>
            </wp:positionV>
            <wp:extent cx="2432050" cy="1758950"/>
            <wp:effectExtent l="0" t="0" r="6350" b="0"/>
            <wp:wrapTight wrapText="bothSides">
              <wp:wrapPolygon edited="0">
                <wp:start x="0" y="0"/>
                <wp:lineTo x="0" y="21288"/>
                <wp:lineTo x="21487" y="21288"/>
                <wp:lineTo x="21487" y="0"/>
                <wp:lineTo x="0" y="0"/>
              </wp:wrapPolygon>
            </wp:wrapTight>
            <wp:docPr id="7" name="Imagen 6">
              <a:extLst xmlns:a="http://schemas.openxmlformats.org/drawingml/2006/main">
                <a:ext uri="{FF2B5EF4-FFF2-40B4-BE49-F238E27FC236}">
                  <a16:creationId xmlns:a16="http://schemas.microsoft.com/office/drawing/2014/main" id="{7AC73B96-5969-54F0-B976-CB9EF6DA0A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AC73B96-5969-54F0-B976-CB9EF6DA0A06}"/>
                        </a:ext>
                      </a:extLst>
                    </pic:cNvPr>
                    <pic:cNvPicPr>
                      <a:picLocks noChangeAspect="1"/>
                    </pic:cNvPicPr>
                  </pic:nvPicPr>
                  <pic:blipFill rotWithShape="1">
                    <a:blip r:embed="rId18"/>
                    <a:srcRect l="1085" t="10222" r="1788" b="1037"/>
                    <a:stretch/>
                  </pic:blipFill>
                  <pic:spPr>
                    <a:xfrm>
                      <a:off x="0" y="0"/>
                      <a:ext cx="2434845" cy="1760600"/>
                    </a:xfrm>
                    <a:prstGeom prst="rect">
                      <a:avLst/>
                    </a:prstGeom>
                  </pic:spPr>
                </pic:pic>
              </a:graphicData>
            </a:graphic>
            <wp14:sizeRelH relativeFrom="margin">
              <wp14:pctWidth>0</wp14:pctWidth>
            </wp14:sizeRelH>
            <wp14:sizeRelV relativeFrom="margin">
              <wp14:pctHeight>0</wp14:pctHeight>
            </wp14:sizeRelV>
          </wp:anchor>
        </w:drawing>
      </w:r>
      <w:r w:rsidR="009A0A05">
        <w:rPr>
          <w:noProof/>
        </w:rPr>
        <mc:AlternateContent>
          <mc:Choice Requires="wps">
            <w:drawing>
              <wp:anchor distT="45720" distB="45720" distL="114300" distR="114300" simplePos="0" relativeHeight="251663360" behindDoc="1" locked="0" layoutInCell="1" allowOverlap="1" wp14:anchorId="257040F8" wp14:editId="63671B88">
                <wp:simplePos x="0" y="0"/>
                <wp:positionH relativeFrom="column">
                  <wp:posOffset>3174365</wp:posOffset>
                </wp:positionH>
                <wp:positionV relativeFrom="paragraph">
                  <wp:posOffset>179705</wp:posOffset>
                </wp:positionV>
                <wp:extent cx="241300" cy="234950"/>
                <wp:effectExtent l="0" t="0" r="6350" b="0"/>
                <wp:wrapTight wrapText="bothSides">
                  <wp:wrapPolygon edited="0">
                    <wp:start x="0" y="0"/>
                    <wp:lineTo x="0" y="19265"/>
                    <wp:lineTo x="20463" y="19265"/>
                    <wp:lineTo x="20463" y="0"/>
                    <wp:lineTo x="0" y="0"/>
                  </wp:wrapPolygon>
                </wp:wrapTight>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noFill/>
                          <a:miter lim="800000"/>
                          <a:headEnd/>
                          <a:tailEnd/>
                        </a:ln>
                      </wps:spPr>
                      <wps:txbx>
                        <w:txbxContent>
                          <w:p w14:paraId="6AD1AAB7" w14:textId="331336E5" w:rsidR="00844CE1" w:rsidRPr="00844CE1" w:rsidRDefault="00844CE1" w:rsidP="00844CE1">
                            <w:pPr>
                              <w:rPr>
                                <w:lang w:val="es-ES"/>
                              </w:rPr>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040F8" id="_x0000_t202" coordsize="21600,21600" o:spt="202" path="m,l,21600r21600,l21600,xe">
                <v:stroke joinstyle="miter"/>
                <v:path gradientshapeok="t" o:connecttype="rect"/>
              </v:shapetype>
              <v:shape id="Cuadro de texto 2" o:spid="_x0000_s1026" type="#_x0000_t202" style="position:absolute;left:0;text-align:left;margin-left:249.95pt;margin-top:14.15pt;width:19pt;height:1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" stroked="f">
                <v:textbox>
                  <w:txbxContent>
                    <w:p w14:paraId="6AD1AAB7" w14:textId="331336E5" w:rsidR="00844CE1" w:rsidRPr="00844CE1" w:rsidRDefault="00844CE1" w:rsidP="00844CE1">
                      <w:pPr>
                        <w:rPr>
                          <w:lang w:val="es-ES"/>
                        </w:rPr>
                      </w:pPr>
                      <w:r>
                        <w:t>b</w:t>
                      </w:r>
                    </w:p>
                  </w:txbxContent>
                </v:textbox>
                <w10:wrap type="tight"/>
              </v:shape>
            </w:pict>
          </mc:Fallback>
        </mc:AlternateContent>
      </w:r>
      <w:r w:rsidR="009A0A05">
        <w:rPr>
          <w:noProof/>
        </w:rPr>
        <mc:AlternateContent>
          <mc:Choice Requires="wps">
            <w:drawing>
              <wp:anchor distT="45720" distB="45720" distL="114300" distR="114300" simplePos="0" relativeHeight="251678207" behindDoc="0" locked="0" layoutInCell="1" allowOverlap="1" wp14:anchorId="5B94DCF9" wp14:editId="213F9C1D">
                <wp:simplePos x="0" y="0"/>
                <wp:positionH relativeFrom="column">
                  <wp:posOffset>589915</wp:posOffset>
                </wp:positionH>
                <wp:positionV relativeFrom="paragraph">
                  <wp:posOffset>180975</wp:posOffset>
                </wp:positionV>
                <wp:extent cx="241300" cy="234950"/>
                <wp:effectExtent l="0" t="0" r="635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noFill/>
                          <a:miter lim="800000"/>
                          <a:headEnd/>
                          <a:tailEnd/>
                        </a:ln>
                      </wps:spPr>
                      <wps:txbx>
                        <w:txbxContent>
                          <w:p w14:paraId="624024E6" w14:textId="00E8F102" w:rsidR="00844CE1" w:rsidRPr="00844CE1" w:rsidRDefault="00844CE1">
                            <w:pPr>
                              <w:rPr>
                                <w:lang w:val="es-ES"/>
                              </w:rP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DCF9" id="_x0000_s1027" type="#_x0000_t202" style="position:absolute;left:0;text-align:left;margin-left:46.45pt;margin-top:14.25pt;width:19pt;height:18.5pt;z-index:2516782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" stroked="f">
                <v:textbox>
                  <w:txbxContent>
                    <w:p w14:paraId="624024E6" w14:textId="00E8F102" w:rsidR="00844CE1" w:rsidRPr="00844CE1" w:rsidRDefault="00844CE1">
                      <w:pPr>
                        <w:rPr>
                          <w:lang w:val="es-ES"/>
                        </w:rPr>
                      </w:pPr>
                      <w:r>
                        <w:t>a</w:t>
                      </w:r>
                    </w:p>
                  </w:txbxContent>
                </v:textbox>
              </v:shape>
            </w:pict>
          </mc:Fallback>
        </mc:AlternateContent>
      </w:r>
    </w:p>
    <w:p w14:paraId="5D26C361" w14:textId="6627E0D6" w:rsidR="00E3762A" w:rsidRDefault="00E3762A" w:rsidP="00844CE1">
      <w:pPr>
        <w:pStyle w:val="CETBodytext"/>
        <w:rPr>
          <w:bCs/>
          <w:i/>
          <w:iCs/>
        </w:rPr>
      </w:pPr>
    </w:p>
    <w:p w14:paraId="44DE2EA2" w14:textId="2A0D342B" w:rsidR="00E3762A" w:rsidRDefault="00E3762A" w:rsidP="00844CE1">
      <w:pPr>
        <w:pStyle w:val="CETBodytext"/>
        <w:rPr>
          <w:bCs/>
          <w:i/>
          <w:iCs/>
        </w:rPr>
      </w:pPr>
    </w:p>
    <w:p w14:paraId="67812DD3" w14:textId="07165E3D" w:rsidR="00E3762A" w:rsidRDefault="00E3762A" w:rsidP="00844CE1">
      <w:pPr>
        <w:pStyle w:val="CETBodytext"/>
        <w:rPr>
          <w:bCs/>
          <w:i/>
          <w:iCs/>
        </w:rPr>
      </w:pPr>
    </w:p>
    <w:p w14:paraId="4B0171D5" w14:textId="42BEB790" w:rsidR="00E3762A" w:rsidRDefault="00E3762A" w:rsidP="00844CE1">
      <w:pPr>
        <w:pStyle w:val="CETBodytext"/>
        <w:rPr>
          <w:bCs/>
          <w:i/>
          <w:iCs/>
        </w:rPr>
      </w:pPr>
    </w:p>
    <w:p w14:paraId="624829F9" w14:textId="7D7DCC4D" w:rsidR="00E3762A" w:rsidRDefault="00E3762A" w:rsidP="00844CE1">
      <w:pPr>
        <w:pStyle w:val="CETBodytext"/>
        <w:rPr>
          <w:bCs/>
          <w:i/>
          <w:iCs/>
        </w:rPr>
      </w:pPr>
    </w:p>
    <w:p w14:paraId="0BF9806D" w14:textId="1782E0B0" w:rsidR="00E3762A" w:rsidRDefault="00E3762A" w:rsidP="00844CE1">
      <w:pPr>
        <w:pStyle w:val="CETBodytext"/>
        <w:rPr>
          <w:bCs/>
          <w:i/>
          <w:iCs/>
        </w:rPr>
      </w:pPr>
    </w:p>
    <w:p w14:paraId="5DFE5395" w14:textId="054D561E" w:rsidR="00E3762A" w:rsidRDefault="00E3762A" w:rsidP="00844CE1">
      <w:pPr>
        <w:pStyle w:val="CETBodytext"/>
        <w:rPr>
          <w:bCs/>
          <w:i/>
          <w:iCs/>
        </w:rPr>
      </w:pPr>
    </w:p>
    <w:p w14:paraId="2E74EA8F" w14:textId="77777777" w:rsidR="00E3762A" w:rsidRDefault="00E3762A" w:rsidP="00844CE1">
      <w:pPr>
        <w:pStyle w:val="CETBodytext"/>
        <w:rPr>
          <w:bCs/>
          <w:i/>
          <w:iCs/>
        </w:rPr>
      </w:pPr>
    </w:p>
    <w:p w14:paraId="6A191132" w14:textId="77777777" w:rsidR="00E3762A" w:rsidRDefault="00E3762A" w:rsidP="00844CE1">
      <w:pPr>
        <w:pStyle w:val="CETBodytext"/>
        <w:rPr>
          <w:bCs/>
          <w:i/>
          <w:iCs/>
        </w:rPr>
      </w:pPr>
    </w:p>
    <w:p w14:paraId="7A3FA988" w14:textId="259BD272" w:rsidR="00E3762A" w:rsidRDefault="00E3762A" w:rsidP="00844CE1">
      <w:pPr>
        <w:pStyle w:val="CETBodytext"/>
        <w:rPr>
          <w:bCs/>
          <w:i/>
          <w:iCs/>
        </w:rPr>
      </w:pPr>
    </w:p>
    <w:p w14:paraId="7ED2702D" w14:textId="3ADCFE1D" w:rsidR="00E3762A" w:rsidRDefault="00E3762A" w:rsidP="00844CE1">
      <w:pPr>
        <w:pStyle w:val="CETBodytext"/>
        <w:rPr>
          <w:bCs/>
          <w:i/>
          <w:iCs/>
        </w:rPr>
      </w:pPr>
    </w:p>
    <w:p w14:paraId="5CE805F0" w14:textId="5F0492A7" w:rsidR="00E3762A" w:rsidRDefault="00E3762A" w:rsidP="00844CE1">
      <w:pPr>
        <w:pStyle w:val="CETBodytext"/>
        <w:rPr>
          <w:bCs/>
          <w:i/>
          <w:iCs/>
        </w:rPr>
      </w:pPr>
    </w:p>
    <w:p w14:paraId="4D93C6AA" w14:textId="37AC1AC9" w:rsidR="00844CE1" w:rsidRPr="00844CE1" w:rsidRDefault="00844CE1" w:rsidP="00844CE1">
      <w:pPr>
        <w:pStyle w:val="CETBodytext"/>
        <w:rPr>
          <w:bCs/>
          <w:i/>
          <w:iCs/>
        </w:rPr>
      </w:pPr>
      <w:r w:rsidRPr="00844CE1">
        <w:rPr>
          <w:bCs/>
          <w:i/>
          <w:iCs/>
        </w:rPr>
        <w:t xml:space="preserve">Figure </w:t>
      </w:r>
      <w:r w:rsidR="00F1736C">
        <w:rPr>
          <w:bCs/>
          <w:i/>
          <w:iCs/>
        </w:rPr>
        <w:t>2</w:t>
      </w:r>
      <w:r w:rsidRPr="00844CE1">
        <w:rPr>
          <w:bCs/>
          <w:i/>
          <w:iCs/>
        </w:rPr>
        <w:t xml:space="preserve">: </w:t>
      </w:r>
      <w:r w:rsidRPr="00844CE1">
        <w:rPr>
          <w:i/>
          <w:iCs/>
        </w:rPr>
        <w:t>Time course of H</w:t>
      </w:r>
      <w:r w:rsidRPr="00844CE1">
        <w:rPr>
          <w:i/>
          <w:iCs/>
          <w:vertAlign w:val="subscript"/>
        </w:rPr>
        <w:t>2</w:t>
      </w:r>
      <w:r w:rsidRPr="00844CE1">
        <w:rPr>
          <w:i/>
          <w:iCs/>
        </w:rPr>
        <w:t>S headspace concentration under different concentrations of N-NO</w:t>
      </w:r>
      <w:r w:rsidRPr="00844CE1">
        <w:rPr>
          <w:i/>
          <w:iCs/>
          <w:vertAlign w:val="subscript"/>
        </w:rPr>
        <w:t>3</w:t>
      </w:r>
      <w:r w:rsidRPr="00844CE1">
        <w:rPr>
          <w:i/>
          <w:iCs/>
          <w:vertAlign w:val="superscript"/>
        </w:rPr>
        <w:t>-</w:t>
      </w:r>
      <w:r w:rsidRPr="00844CE1">
        <w:rPr>
          <w:i/>
          <w:iCs/>
        </w:rPr>
        <w:t xml:space="preserve"> (a), N-NO</w:t>
      </w:r>
      <w:r w:rsidRPr="00844CE1">
        <w:rPr>
          <w:i/>
          <w:iCs/>
          <w:vertAlign w:val="subscript"/>
        </w:rPr>
        <w:t>2</w:t>
      </w:r>
      <w:r w:rsidRPr="00844CE1">
        <w:rPr>
          <w:i/>
          <w:iCs/>
          <w:vertAlign w:val="superscript"/>
        </w:rPr>
        <w:t>-</w:t>
      </w:r>
      <w:r w:rsidRPr="00844CE1">
        <w:rPr>
          <w:i/>
          <w:iCs/>
        </w:rPr>
        <w:t xml:space="preserve"> (b) and activated sludge (100 mg VSS/L)</w:t>
      </w:r>
    </w:p>
    <w:p w14:paraId="36F2D73C" w14:textId="27A54701" w:rsidR="00844CE1" w:rsidRDefault="00844CE1" w:rsidP="00453E24">
      <w:pPr>
        <w:pStyle w:val="CETBodytext"/>
        <w:rPr>
          <w:lang w:val="en-GB"/>
        </w:rPr>
      </w:pPr>
    </w:p>
    <w:p w14:paraId="09684D8B" w14:textId="788EC935" w:rsidR="00844CE1" w:rsidRDefault="00844CE1" w:rsidP="00453E24">
      <w:pPr>
        <w:pStyle w:val="CETBodytext"/>
        <w:rPr>
          <w:lang w:val="en-GB"/>
        </w:rPr>
      </w:pPr>
      <w:r w:rsidRPr="00844CE1">
        <w:rPr>
          <w:lang w:val="en-GB"/>
        </w:rPr>
        <w:t xml:space="preserve">However, </w:t>
      </w:r>
      <w:r w:rsidR="00136B69">
        <w:rPr>
          <w:lang w:val="en-GB"/>
        </w:rPr>
        <w:t xml:space="preserve">the addition of </w:t>
      </w:r>
      <w:r w:rsidR="00136B69" w:rsidRPr="00844CE1">
        <w:rPr>
          <w:lang w:val="en-GB"/>
        </w:rPr>
        <w:t>NO</w:t>
      </w:r>
      <w:r w:rsidR="00136B69" w:rsidRPr="00844CE1">
        <w:rPr>
          <w:vertAlign w:val="subscript"/>
          <w:lang w:val="en-GB"/>
        </w:rPr>
        <w:t>3</w:t>
      </w:r>
      <w:r w:rsidR="00136B69" w:rsidRPr="00844CE1">
        <w:rPr>
          <w:vertAlign w:val="superscript"/>
          <w:lang w:val="en-GB"/>
        </w:rPr>
        <w:t>-</w:t>
      </w:r>
      <w:r w:rsidR="00136B69">
        <w:rPr>
          <w:vertAlign w:val="superscript"/>
          <w:lang w:val="en-GB"/>
        </w:rPr>
        <w:t xml:space="preserve"> </w:t>
      </w:r>
      <w:r w:rsidR="00136B69" w:rsidRPr="00844CE1">
        <w:rPr>
          <w:lang w:val="en-GB"/>
        </w:rPr>
        <w:t xml:space="preserve">under sulphur limiting conditions </w:t>
      </w:r>
      <w:r w:rsidR="00136B69">
        <w:rPr>
          <w:lang w:val="en-GB"/>
        </w:rPr>
        <w:t xml:space="preserve">could lead to </w:t>
      </w:r>
      <w:r w:rsidR="00136B69" w:rsidRPr="00844CE1">
        <w:rPr>
          <w:lang w:val="en-GB"/>
        </w:rPr>
        <w:t>a potential reduction of NO</w:t>
      </w:r>
      <w:r w:rsidR="00136B69" w:rsidRPr="00844CE1">
        <w:rPr>
          <w:vertAlign w:val="subscript"/>
          <w:lang w:val="en-GB"/>
        </w:rPr>
        <w:t>3</w:t>
      </w:r>
      <w:r w:rsidR="00136B69" w:rsidRPr="00844CE1">
        <w:rPr>
          <w:vertAlign w:val="superscript"/>
          <w:lang w:val="en-GB"/>
        </w:rPr>
        <w:t>-</w:t>
      </w:r>
      <w:r w:rsidR="00136B69" w:rsidRPr="00844CE1">
        <w:rPr>
          <w:lang w:val="en-GB"/>
        </w:rPr>
        <w:t xml:space="preserve"> to NO</w:t>
      </w:r>
      <w:r w:rsidR="00136B69" w:rsidRPr="00844CE1">
        <w:rPr>
          <w:vertAlign w:val="subscript"/>
          <w:lang w:val="en-GB"/>
        </w:rPr>
        <w:t>2</w:t>
      </w:r>
      <w:r w:rsidR="00136B69" w:rsidRPr="00844CE1">
        <w:rPr>
          <w:vertAlign w:val="superscript"/>
          <w:lang w:val="en-GB"/>
        </w:rPr>
        <w:t>-</w:t>
      </w:r>
      <w:r w:rsidR="00136B69">
        <w:rPr>
          <w:vertAlign w:val="superscript"/>
          <w:lang w:val="en-GB"/>
        </w:rPr>
        <w:t xml:space="preserve"> </w:t>
      </w:r>
      <w:r w:rsidRPr="00844CE1">
        <w:rPr>
          <w:lang w:val="en-GB"/>
        </w:rPr>
        <w:t>during biological H</w:t>
      </w:r>
      <w:r w:rsidRPr="00844CE1">
        <w:rPr>
          <w:vertAlign w:val="subscript"/>
          <w:lang w:val="en-GB"/>
        </w:rPr>
        <w:t>2</w:t>
      </w:r>
      <w:r w:rsidRPr="00844CE1">
        <w:rPr>
          <w:lang w:val="en-GB"/>
        </w:rPr>
        <w:t xml:space="preserve">S oxidation according to </w:t>
      </w:r>
      <w:proofErr w:type="spellStart"/>
      <w:r w:rsidRPr="00844CE1">
        <w:rPr>
          <w:lang w:val="en-GB"/>
        </w:rPr>
        <w:t>Eq</w:t>
      </w:r>
      <w:proofErr w:type="spellEnd"/>
      <w:r w:rsidRPr="00844CE1">
        <w:rPr>
          <w:lang w:val="en-GB"/>
        </w:rPr>
        <w:t xml:space="preserve"> </w:t>
      </w:r>
      <w:r>
        <w:rPr>
          <w:lang w:val="en-GB"/>
        </w:rPr>
        <w:t>(</w:t>
      </w:r>
      <w:r w:rsidR="009A0A05">
        <w:rPr>
          <w:lang w:val="en-GB"/>
        </w:rPr>
        <w:t>3</w:t>
      </w:r>
      <w:r>
        <w:rPr>
          <w:lang w:val="en-GB"/>
        </w:rPr>
        <w:t>)</w:t>
      </w:r>
      <w:r w:rsidRPr="00844CE1">
        <w:rPr>
          <w:lang w:val="en-GB"/>
        </w:rPr>
        <w:t xml:space="preserve">. </w:t>
      </w:r>
      <w:r w:rsidR="00136B69">
        <w:rPr>
          <w:lang w:val="en-GB"/>
        </w:rPr>
        <w:t>This fact</w:t>
      </w:r>
      <w:r w:rsidRPr="00844CE1">
        <w:rPr>
          <w:lang w:val="en-GB"/>
        </w:rPr>
        <w:t xml:space="preserve"> could cause toxicity problems in the environment or river ecosystems, </w:t>
      </w:r>
      <w:proofErr w:type="gramStart"/>
      <w:r w:rsidRPr="00844CE1">
        <w:rPr>
          <w:lang w:val="en-GB"/>
        </w:rPr>
        <w:t>in particular at</w:t>
      </w:r>
      <w:proofErr w:type="gramEnd"/>
      <w:r w:rsidRPr="00844CE1">
        <w:rPr>
          <w:lang w:val="en-GB"/>
        </w:rPr>
        <w:t xml:space="preserve"> low pH values </w:t>
      </w:r>
      <w:r w:rsidR="00035E08">
        <w:rPr>
          <w:lang w:val="en-GB"/>
        </w:rPr>
        <w:t>(Alleman, 1985).</w:t>
      </w:r>
    </w:p>
    <w:p w14:paraId="0D64A541" w14:textId="3FB34F87" w:rsidR="00844CE1" w:rsidRDefault="00844CE1" w:rsidP="00453E24">
      <w:pPr>
        <w:pStyle w:val="CETBodytext"/>
        <w:rPr>
          <w:lang w:val="en-GB"/>
        </w:rPr>
      </w:pPr>
    </w:p>
    <w:p w14:paraId="31AED6BB" w14:textId="25F83367" w:rsidR="00844CE1" w:rsidRDefault="00000000" w:rsidP="00453E24">
      <w:pPr>
        <w:pStyle w:val="CETBodytext"/>
        <w:rPr>
          <w:lang w:val="en-GB"/>
        </w:rPr>
      </w:pP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S+</m:t>
        </m:r>
        <m:sSubSup>
          <m:sSubSupPr>
            <m:ctrlPr>
              <w:rPr>
                <w:rFonts w:ascii="Cambria Math" w:hAnsi="Cambria Math"/>
                <w:i/>
                <w:lang w:val="en-GB"/>
              </w:rPr>
            </m:ctrlPr>
          </m:sSubSupPr>
          <m:e>
            <m:r>
              <w:rPr>
                <w:rFonts w:ascii="Cambria Math" w:hAnsi="Cambria Math"/>
                <w:lang w:val="en-GB"/>
              </w:rPr>
              <m:t>NO</m:t>
            </m:r>
          </m:e>
          <m:sub>
            <m:r>
              <w:rPr>
                <w:rFonts w:ascii="Cambria Math" w:hAnsi="Cambria Math"/>
                <w:lang w:val="en-GB"/>
              </w:rPr>
              <m:t>3</m:t>
            </m:r>
          </m:sub>
          <m:sup>
            <m:r>
              <w:rPr>
                <w:rFonts w:ascii="Cambria Math" w:hAnsi="Cambria Math"/>
                <w:lang w:val="en-GB"/>
              </w:rPr>
              <m:t>-</m:t>
            </m:r>
          </m:sup>
        </m:sSubSup>
        <m:r>
          <w:rPr>
            <w:rFonts w:ascii="Cambria Math" w:hAnsi="Cambria Math"/>
            <w:lang w:val="en-GB"/>
          </w:rPr>
          <m:t>+</m:t>
        </m:r>
        <m:sSup>
          <m:sSupPr>
            <m:ctrlPr>
              <w:rPr>
                <w:rFonts w:ascii="Cambria Math" w:hAnsi="Cambria Math"/>
                <w:i/>
                <w:lang w:val="en-GB"/>
              </w:rPr>
            </m:ctrlPr>
          </m:sSupPr>
          <m:e>
            <m:r>
              <w:rPr>
                <w:rFonts w:ascii="Cambria Math" w:hAnsi="Cambria Math"/>
                <w:lang w:val="en-GB"/>
              </w:rPr>
              <m:t>2H</m:t>
            </m:r>
          </m:e>
          <m:sup>
            <m:r>
              <w:rPr>
                <w:rFonts w:ascii="Cambria Math" w:hAnsi="Cambria Math"/>
                <w:lang w:val="en-GB"/>
              </w:rPr>
              <m:t>+</m:t>
            </m:r>
          </m:sup>
        </m:sSup>
        <m:box>
          <m:boxPr>
            <m:opEmu m:val="1"/>
            <m:ctrlPr>
              <w:rPr>
                <w:rFonts w:ascii="Cambria Math" w:hAnsi="Cambria Math"/>
                <w:i/>
                <w:lang w:val="en-GB"/>
              </w:rPr>
            </m:ctrlPr>
          </m:boxPr>
          <m:e>
            <m:groupChr>
              <m:groupChrPr>
                <m:chr m:val="→"/>
                <m:vertJc m:val="bot"/>
                <m:ctrlPr>
                  <w:rPr>
                    <w:rFonts w:ascii="Cambria Math" w:hAnsi="Cambria Math"/>
                    <w:i/>
                    <w:lang w:val="en-GB"/>
                  </w:rPr>
                </m:ctrlPr>
              </m:groupChrPr>
              <m:e>
                <m:r>
                  <w:rPr>
                    <w:rFonts w:ascii="Cambria Math" w:hAnsi="Cambria Math"/>
                    <w:lang w:val="en-GB"/>
                  </w:rPr>
                  <m:t>SOB</m:t>
                </m:r>
              </m:e>
            </m:groupCh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0</m:t>
                </m:r>
              </m:sup>
            </m:s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NO</m:t>
                </m:r>
              </m:e>
              <m:sub>
                <m:r>
                  <w:rPr>
                    <w:rFonts w:ascii="Cambria Math" w:hAnsi="Cambria Math"/>
                    <w:lang w:val="en-GB"/>
                  </w:rPr>
                  <m:t>2</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e>
        </m:box>
      </m:oMath>
      <w:r w:rsidR="00844CE1" w:rsidRPr="00844CE1">
        <w:rPr>
          <w:lang w:val="en-GB"/>
        </w:rPr>
        <w:tab/>
      </w:r>
      <w:r w:rsidR="00844CE1" w:rsidRPr="00844CE1">
        <w:rPr>
          <w:lang w:val="en-GB"/>
        </w:rPr>
        <w:tab/>
      </w:r>
      <w:r w:rsidR="00844CE1" w:rsidRPr="00844CE1">
        <w:rPr>
          <w:lang w:val="en-GB"/>
        </w:rPr>
        <w:tab/>
      </w:r>
      <w:r w:rsidR="00844CE1">
        <w:rPr>
          <w:lang w:val="en-GB"/>
        </w:rPr>
        <w:t xml:space="preserve"> </w:t>
      </w:r>
      <w:r w:rsidR="00844CE1" w:rsidRPr="00844CE1">
        <w:rPr>
          <w:lang w:val="en-GB"/>
        </w:rPr>
        <w:t>(</w:t>
      </w:r>
      <w:r w:rsidR="009A0A05">
        <w:rPr>
          <w:lang w:val="en-GB"/>
        </w:rPr>
        <w:t>3</w:t>
      </w:r>
      <w:r w:rsidR="00844CE1" w:rsidRPr="00844CE1">
        <w:rPr>
          <w:lang w:val="en-GB"/>
        </w:rPr>
        <w:t>)</w:t>
      </w:r>
    </w:p>
    <w:p w14:paraId="1C86D85F" w14:textId="5A2B746D" w:rsidR="00DF0744" w:rsidRDefault="00DF0744" w:rsidP="00453E24">
      <w:pPr>
        <w:pStyle w:val="CETBodytext"/>
        <w:rPr>
          <w:lang w:val="en-GB"/>
        </w:rPr>
      </w:pPr>
    </w:p>
    <w:p w14:paraId="12EEF6FE" w14:textId="48552A62" w:rsidR="00DF0744" w:rsidRDefault="00502081" w:rsidP="00453E24">
      <w:pPr>
        <w:pStyle w:val="CETBodytext"/>
        <w:rPr>
          <w:lang w:val="en-GB"/>
        </w:rPr>
      </w:pPr>
      <w:r>
        <w:rPr>
          <w:noProof/>
        </w:rPr>
        <mc:AlternateContent>
          <mc:Choice Requires="wps">
            <w:drawing>
              <wp:anchor distT="45720" distB="45720" distL="114300" distR="114300" simplePos="0" relativeHeight="251671552" behindDoc="1" locked="0" layoutInCell="1" allowOverlap="1" wp14:anchorId="1552DBED" wp14:editId="7E549023">
                <wp:simplePos x="0" y="0"/>
                <wp:positionH relativeFrom="column">
                  <wp:posOffset>3123565</wp:posOffset>
                </wp:positionH>
                <wp:positionV relativeFrom="paragraph">
                  <wp:posOffset>1918970</wp:posOffset>
                </wp:positionV>
                <wp:extent cx="241300" cy="234950"/>
                <wp:effectExtent l="0" t="0" r="6350" b="0"/>
                <wp:wrapTight wrapText="bothSides">
                  <wp:wrapPolygon edited="0">
                    <wp:start x="0" y="0"/>
                    <wp:lineTo x="0" y="19265"/>
                    <wp:lineTo x="20463" y="19265"/>
                    <wp:lineTo x="20463" y="0"/>
                    <wp:lineTo x="0" y="0"/>
                  </wp:wrapPolygon>
                </wp:wrapTight>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noFill/>
                          <a:miter lim="800000"/>
                          <a:headEnd/>
                          <a:tailEnd/>
                        </a:ln>
                      </wps:spPr>
                      <wps:txbx>
                        <w:txbxContent>
                          <w:p w14:paraId="5CDCBCF0" w14:textId="5FCAAA2C" w:rsidR="00DF0744" w:rsidRPr="00844CE1" w:rsidRDefault="00DF0744" w:rsidP="00DF0744">
                            <w:pPr>
                              <w:rPr>
                                <w:lang w:val="es-ES"/>
                              </w:rPr>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2DBED" id="_x0000_s1028" type="#_x0000_t202" style="position:absolute;left:0;text-align:left;margin-left:245.95pt;margin-top:151.1pt;width:19pt;height:1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gREAIAAPw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" stroked="f">
                <v:textbox>
                  <w:txbxContent>
                    <w:p w14:paraId="5CDCBCF0" w14:textId="5FCAAA2C" w:rsidR="00DF0744" w:rsidRPr="00844CE1" w:rsidRDefault="00DF0744" w:rsidP="00DF0744">
                      <w:pPr>
                        <w:rPr>
                          <w:lang w:val="es-ES"/>
                        </w:rPr>
                      </w:pPr>
                      <w:r>
                        <w:t>b</w:t>
                      </w:r>
                    </w:p>
                  </w:txbxContent>
                </v:textbox>
                <w10:wrap type="tight"/>
              </v:shape>
            </w:pict>
          </mc:Fallback>
        </mc:AlternateContent>
      </w:r>
      <w:r>
        <w:rPr>
          <w:noProof/>
        </w:rPr>
        <mc:AlternateContent>
          <mc:Choice Requires="wps">
            <w:drawing>
              <wp:anchor distT="45720" distB="45720" distL="114300" distR="114300" simplePos="0" relativeHeight="251669504" behindDoc="1" locked="0" layoutInCell="1" allowOverlap="1" wp14:anchorId="78817C06" wp14:editId="3F872EC3">
                <wp:simplePos x="0" y="0"/>
                <wp:positionH relativeFrom="column">
                  <wp:posOffset>304800</wp:posOffset>
                </wp:positionH>
                <wp:positionV relativeFrom="paragraph">
                  <wp:posOffset>1925320</wp:posOffset>
                </wp:positionV>
                <wp:extent cx="241300" cy="234950"/>
                <wp:effectExtent l="0" t="0" r="6350" b="0"/>
                <wp:wrapTight wrapText="bothSides">
                  <wp:wrapPolygon edited="0">
                    <wp:start x="0" y="0"/>
                    <wp:lineTo x="0" y="19265"/>
                    <wp:lineTo x="20463" y="19265"/>
                    <wp:lineTo x="20463"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noFill/>
                          <a:miter lim="800000"/>
                          <a:headEnd/>
                          <a:tailEnd/>
                        </a:ln>
                      </wps:spPr>
                      <wps:txbx>
                        <w:txbxContent>
                          <w:p w14:paraId="4BDB91B6" w14:textId="77777777" w:rsidR="00DF0744" w:rsidRPr="00844CE1" w:rsidRDefault="00DF0744" w:rsidP="00DF0744">
                            <w:pPr>
                              <w:rPr>
                                <w:lang w:val="es-ES"/>
                              </w:rP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17C06" id="_x0000_s1029" type="#_x0000_t202" style="position:absolute;left:0;text-align:left;margin-left:24pt;margin-top:151.6pt;width:19pt;height:1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" stroked="f">
                <v:textbox>
                  <w:txbxContent>
                    <w:p w14:paraId="4BDB91B6" w14:textId="77777777" w:rsidR="00DF0744" w:rsidRPr="00844CE1" w:rsidRDefault="00DF0744" w:rsidP="00DF0744">
                      <w:pPr>
                        <w:rPr>
                          <w:lang w:val="es-ES"/>
                        </w:rPr>
                      </w:pPr>
                      <w:r>
                        <w:t>a</w:t>
                      </w:r>
                    </w:p>
                  </w:txbxContent>
                </v:textbox>
                <w10:wrap type="tight"/>
              </v:shape>
            </w:pict>
          </mc:Fallback>
        </mc:AlternateContent>
      </w:r>
      <w:r w:rsidRPr="00502081">
        <w:rPr>
          <w:noProof/>
          <w:lang w:val="en-GB"/>
        </w:rPr>
        <w:drawing>
          <wp:anchor distT="0" distB="0" distL="114300" distR="114300" simplePos="0" relativeHeight="251665407" behindDoc="1" locked="0" layoutInCell="1" allowOverlap="1" wp14:anchorId="78599496" wp14:editId="5825AC03">
            <wp:simplePos x="0" y="0"/>
            <wp:positionH relativeFrom="margin">
              <wp:posOffset>-635</wp:posOffset>
            </wp:positionH>
            <wp:positionV relativeFrom="paragraph">
              <wp:posOffset>1793240</wp:posOffset>
            </wp:positionV>
            <wp:extent cx="2767330" cy="1822450"/>
            <wp:effectExtent l="0" t="0" r="0" b="6350"/>
            <wp:wrapTight wrapText="bothSides">
              <wp:wrapPolygon edited="0">
                <wp:start x="0" y="0"/>
                <wp:lineTo x="0" y="21449"/>
                <wp:lineTo x="21412" y="21449"/>
                <wp:lineTo x="21412" y="0"/>
                <wp:lineTo x="0" y="0"/>
              </wp:wrapPolygon>
            </wp:wrapTight>
            <wp:docPr id="15" name="Imagen 14">
              <a:extLst xmlns:a="http://schemas.openxmlformats.org/drawingml/2006/main">
                <a:ext uri="{FF2B5EF4-FFF2-40B4-BE49-F238E27FC236}">
                  <a16:creationId xmlns:a16="http://schemas.microsoft.com/office/drawing/2014/main" id="{19B97656-9305-1A6A-5784-30A74E6A9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19B97656-9305-1A6A-5784-30A74E6A946D}"/>
                        </a:ext>
                      </a:extLst>
                    </pic:cNvPr>
                    <pic:cNvPicPr>
                      <a:picLocks noChangeAspect="1"/>
                    </pic:cNvPicPr>
                  </pic:nvPicPr>
                  <pic:blipFill rotWithShape="1">
                    <a:blip r:embed="rId19"/>
                    <a:srcRect l="905" t="3555" r="3043" b="4444"/>
                    <a:stretch/>
                  </pic:blipFill>
                  <pic:spPr>
                    <a:xfrm>
                      <a:off x="0" y="0"/>
                      <a:ext cx="2767330" cy="1822450"/>
                    </a:xfrm>
                    <a:prstGeom prst="rect">
                      <a:avLst/>
                    </a:prstGeom>
                  </pic:spPr>
                </pic:pic>
              </a:graphicData>
            </a:graphic>
            <wp14:sizeRelH relativeFrom="margin">
              <wp14:pctWidth>0</wp14:pctWidth>
            </wp14:sizeRelH>
            <wp14:sizeRelV relativeFrom="margin">
              <wp14:pctHeight>0</wp14:pctHeight>
            </wp14:sizeRelV>
          </wp:anchor>
        </w:drawing>
      </w:r>
      <w:r w:rsidRPr="00502081">
        <w:rPr>
          <w:bCs/>
          <w:i/>
          <w:iCs/>
          <w:noProof/>
          <w:lang w:val="en-GB"/>
        </w:rPr>
        <w:drawing>
          <wp:anchor distT="0" distB="0" distL="114300" distR="114300" simplePos="0" relativeHeight="251667455" behindDoc="1" locked="0" layoutInCell="1" allowOverlap="1" wp14:anchorId="45E1F698" wp14:editId="387C5B5D">
            <wp:simplePos x="0" y="0"/>
            <wp:positionH relativeFrom="margin">
              <wp:posOffset>2812415</wp:posOffset>
            </wp:positionH>
            <wp:positionV relativeFrom="paragraph">
              <wp:posOffset>1774190</wp:posOffset>
            </wp:positionV>
            <wp:extent cx="2762250" cy="1847850"/>
            <wp:effectExtent l="0" t="0" r="0" b="0"/>
            <wp:wrapTight wrapText="bothSides">
              <wp:wrapPolygon edited="0">
                <wp:start x="0" y="0"/>
                <wp:lineTo x="0" y="21377"/>
                <wp:lineTo x="21451" y="21377"/>
                <wp:lineTo x="21451" y="0"/>
                <wp:lineTo x="0" y="0"/>
              </wp:wrapPolygon>
            </wp:wrapTight>
            <wp:docPr id="17" name="Imagen 16">
              <a:extLst xmlns:a="http://schemas.openxmlformats.org/drawingml/2006/main">
                <a:ext uri="{FF2B5EF4-FFF2-40B4-BE49-F238E27FC236}">
                  <a16:creationId xmlns:a16="http://schemas.microsoft.com/office/drawing/2014/main" id="{0FAC9D26-DA87-D019-962F-76DBA3399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0FAC9D26-DA87-D019-962F-76DBA33990BC}"/>
                        </a:ext>
                      </a:extLst>
                    </pic:cNvPr>
                    <pic:cNvPicPr>
                      <a:picLocks noChangeAspect="1"/>
                    </pic:cNvPicPr>
                  </pic:nvPicPr>
                  <pic:blipFill rotWithShape="1">
                    <a:blip r:embed="rId20"/>
                    <a:srcRect l="979" t="3260" r="3142" b="4445"/>
                    <a:stretch/>
                  </pic:blipFill>
                  <pic:spPr>
                    <a:xfrm>
                      <a:off x="0" y="0"/>
                      <a:ext cx="2762250" cy="1847850"/>
                    </a:xfrm>
                    <a:prstGeom prst="rect">
                      <a:avLst/>
                    </a:prstGeom>
                  </pic:spPr>
                </pic:pic>
              </a:graphicData>
            </a:graphic>
            <wp14:sizeRelH relativeFrom="margin">
              <wp14:pctWidth>0</wp14:pctWidth>
            </wp14:sizeRelH>
            <wp14:sizeRelV relativeFrom="margin">
              <wp14:pctHeight>0</wp14:pctHeight>
            </wp14:sizeRelV>
          </wp:anchor>
        </w:drawing>
      </w:r>
      <w:r w:rsidR="00DF0744" w:rsidRPr="00DF0744">
        <w:rPr>
          <w:lang w:val="en-GB"/>
        </w:rPr>
        <w:t xml:space="preserve">In the case of acetic acid (Figure </w:t>
      </w:r>
      <w:r w:rsidR="00503B5E">
        <w:rPr>
          <w:lang w:val="en-GB"/>
        </w:rPr>
        <w:t>3</w:t>
      </w:r>
      <w:r w:rsidR="00FA30A4">
        <w:rPr>
          <w:lang w:val="en-GB"/>
        </w:rPr>
        <w:t>a</w:t>
      </w:r>
      <w:r w:rsidR="00DF0744" w:rsidRPr="00DF0744">
        <w:rPr>
          <w:lang w:val="en-GB"/>
        </w:rPr>
        <w:t>), the</w:t>
      </w:r>
      <w:r w:rsidR="00C74E4F">
        <w:rPr>
          <w:lang w:val="en-GB"/>
        </w:rPr>
        <w:t xml:space="preserve"> experiments</w:t>
      </w:r>
      <w:r w:rsidR="00DF0744" w:rsidRPr="00DF0744">
        <w:rPr>
          <w:lang w:val="en-GB"/>
        </w:rPr>
        <w:t xml:space="preserve"> </w:t>
      </w:r>
      <w:r w:rsidR="00C74E4F">
        <w:rPr>
          <w:lang w:val="en-GB"/>
        </w:rPr>
        <w:t>conducted</w:t>
      </w:r>
      <w:r w:rsidR="00DF0744" w:rsidRPr="00DF0744">
        <w:rPr>
          <w:lang w:val="en-GB"/>
        </w:rPr>
        <w:t xml:space="preserve"> at 0, 10 and 25 mg VSS/L </w:t>
      </w:r>
      <w:r w:rsidR="00C74E4F">
        <w:rPr>
          <w:lang w:val="en-GB"/>
        </w:rPr>
        <w:t>showed</w:t>
      </w:r>
      <w:r w:rsidR="00DF0744" w:rsidRPr="00DF0744">
        <w:rPr>
          <w:lang w:val="en-GB"/>
        </w:rPr>
        <w:t xml:space="preserve"> a slight increase in acetic acid concentration regardless to the concentration of NO</w:t>
      </w:r>
      <w:r w:rsidR="00DF0744" w:rsidRPr="00DF0744">
        <w:rPr>
          <w:vertAlign w:val="subscript"/>
          <w:lang w:val="en-GB"/>
        </w:rPr>
        <w:t>3</w:t>
      </w:r>
      <w:r w:rsidR="00DF0744" w:rsidRPr="00DF0744">
        <w:rPr>
          <w:vertAlign w:val="superscript"/>
          <w:lang w:val="en-GB"/>
        </w:rPr>
        <w:t>-</w:t>
      </w:r>
      <w:r w:rsidR="00DF0744" w:rsidRPr="00DF0744">
        <w:rPr>
          <w:lang w:val="en-GB"/>
        </w:rPr>
        <w:t>, NO</w:t>
      </w:r>
      <w:r w:rsidR="00DF0744" w:rsidRPr="00DF0744">
        <w:rPr>
          <w:vertAlign w:val="subscript"/>
          <w:lang w:val="en-GB"/>
        </w:rPr>
        <w:t>2</w:t>
      </w:r>
      <w:r w:rsidR="00DF0744" w:rsidRPr="00DF0744">
        <w:rPr>
          <w:vertAlign w:val="superscript"/>
          <w:lang w:val="en-GB"/>
        </w:rPr>
        <w:t>-</w:t>
      </w:r>
      <w:r w:rsidR="00DF0744" w:rsidRPr="00DF0744">
        <w:rPr>
          <w:lang w:val="en-GB"/>
        </w:rPr>
        <w:t xml:space="preserve"> and AS supplemented, reaching a maximum value of 30 - 31 </w:t>
      </w:r>
      <w:proofErr w:type="spellStart"/>
      <w:r w:rsidR="00DF0744" w:rsidRPr="00DF0744">
        <w:rPr>
          <w:lang w:val="en-GB"/>
        </w:rPr>
        <w:t>ppm</w:t>
      </w:r>
      <w:r w:rsidR="00DF0744" w:rsidRPr="00DF0744">
        <w:rPr>
          <w:vertAlign w:val="subscript"/>
          <w:lang w:val="en-GB"/>
        </w:rPr>
        <w:t>v</w:t>
      </w:r>
      <w:proofErr w:type="spellEnd"/>
      <w:r w:rsidR="00DF0744" w:rsidRPr="00DF0744">
        <w:rPr>
          <w:lang w:val="en-GB"/>
        </w:rPr>
        <w:t xml:space="preserve">. In the </w:t>
      </w:r>
      <w:r w:rsidR="00C74E4F">
        <w:rPr>
          <w:lang w:val="en-GB"/>
        </w:rPr>
        <w:t>assays carried out</w:t>
      </w:r>
      <w:r w:rsidR="00DF0744" w:rsidRPr="00DF0744">
        <w:rPr>
          <w:lang w:val="en-GB"/>
        </w:rPr>
        <w:t xml:space="preserve"> at 50 and 100 mg VSS/L, acetic acid concentration remained almost constant for the first 180 min and a gradual decrease in concentration was observed from 27 ± 1 to 23 ± 1 </w:t>
      </w:r>
      <w:proofErr w:type="spellStart"/>
      <w:r w:rsidR="00DF0744" w:rsidRPr="00DF0744">
        <w:rPr>
          <w:lang w:val="en-GB"/>
        </w:rPr>
        <w:t>ppm</w:t>
      </w:r>
      <w:r w:rsidR="00DF0744" w:rsidRPr="00DF0744">
        <w:rPr>
          <w:vertAlign w:val="subscript"/>
          <w:lang w:val="en-GB"/>
        </w:rPr>
        <w:t>v</w:t>
      </w:r>
      <w:proofErr w:type="spellEnd"/>
      <w:r w:rsidR="00DF0744" w:rsidRPr="00DF0744">
        <w:rPr>
          <w:lang w:val="en-GB"/>
        </w:rPr>
        <w:t xml:space="preserve"> due to the anox</w:t>
      </w:r>
      <w:r w:rsidR="00DF0744">
        <w:rPr>
          <w:lang w:val="en-GB"/>
        </w:rPr>
        <w:t>i</w:t>
      </w:r>
      <w:r w:rsidR="00DF0744" w:rsidRPr="00DF0744">
        <w:rPr>
          <w:lang w:val="en-GB"/>
        </w:rPr>
        <w:t xml:space="preserve">c biodegradation of this odorant. In fact, most microorganisms present in </w:t>
      </w:r>
      <w:r w:rsidR="00C74E4F">
        <w:rPr>
          <w:lang w:val="en-GB"/>
        </w:rPr>
        <w:t>AS</w:t>
      </w:r>
      <w:r w:rsidR="00DF0744" w:rsidRPr="00DF0744">
        <w:rPr>
          <w:lang w:val="en-GB"/>
        </w:rPr>
        <w:t xml:space="preserve"> can use the electron acceptor capacity of NO</w:t>
      </w:r>
      <w:r w:rsidR="00DF0744" w:rsidRPr="00DF0744">
        <w:rPr>
          <w:vertAlign w:val="subscript"/>
          <w:lang w:val="en-GB"/>
        </w:rPr>
        <w:t>3</w:t>
      </w:r>
      <w:r w:rsidR="00DF0744" w:rsidRPr="00DF0744">
        <w:rPr>
          <w:vertAlign w:val="superscript"/>
          <w:lang w:val="en-GB"/>
        </w:rPr>
        <w:t>-</w:t>
      </w:r>
      <w:r w:rsidR="00DF0744" w:rsidRPr="00DF0744">
        <w:rPr>
          <w:lang w:val="en-GB"/>
        </w:rPr>
        <w:t xml:space="preserve"> or NO</w:t>
      </w:r>
      <w:r w:rsidR="00DF0744" w:rsidRPr="00DF0744">
        <w:rPr>
          <w:vertAlign w:val="subscript"/>
          <w:lang w:val="en-GB"/>
        </w:rPr>
        <w:t>2</w:t>
      </w:r>
      <w:r w:rsidR="00DF0744" w:rsidRPr="00DF0744">
        <w:rPr>
          <w:vertAlign w:val="superscript"/>
          <w:lang w:val="en-GB"/>
        </w:rPr>
        <w:t>-</w:t>
      </w:r>
      <w:r w:rsidR="00DF0744" w:rsidRPr="00DF0744">
        <w:rPr>
          <w:lang w:val="en-GB"/>
        </w:rPr>
        <w:t xml:space="preserve"> to metabolize readily biodegradable compounds such as VFAs, which are key substrates in the biological removal of phosphate and nitrogen in AS processes </w:t>
      </w:r>
      <w:r w:rsidR="00D774E4">
        <w:rPr>
          <w:lang w:val="en-GB"/>
        </w:rPr>
        <w:t>(Janssen et al., 2002)</w:t>
      </w:r>
      <w:r w:rsidR="00DF0744" w:rsidRPr="00DF0744">
        <w:rPr>
          <w:lang w:val="en-GB"/>
        </w:rPr>
        <w:t xml:space="preserve">. On the other hand, the initial concentration of α-pinene of 13 ± 2 </w:t>
      </w:r>
      <w:proofErr w:type="spellStart"/>
      <w:r w:rsidR="00DF0744" w:rsidRPr="00DF0744">
        <w:rPr>
          <w:lang w:val="en-GB"/>
        </w:rPr>
        <w:t>ppm</w:t>
      </w:r>
      <w:r w:rsidR="00DF0744" w:rsidRPr="00DF0744">
        <w:rPr>
          <w:vertAlign w:val="subscript"/>
          <w:lang w:val="en-GB"/>
        </w:rPr>
        <w:t>v</w:t>
      </w:r>
      <w:proofErr w:type="spellEnd"/>
      <w:r w:rsidR="00DF0744" w:rsidRPr="00DF0744">
        <w:rPr>
          <w:lang w:val="en-GB"/>
        </w:rPr>
        <w:t xml:space="preserve"> gradually decreased to a final concentration of 8 ± 1.5 </w:t>
      </w:r>
      <w:proofErr w:type="spellStart"/>
      <w:r w:rsidR="00DF0744" w:rsidRPr="00DF0744">
        <w:rPr>
          <w:lang w:val="en-GB"/>
        </w:rPr>
        <w:t>ppm</w:t>
      </w:r>
      <w:r w:rsidR="00DF0744" w:rsidRPr="00DF0744">
        <w:rPr>
          <w:vertAlign w:val="subscript"/>
          <w:lang w:val="en-GB"/>
        </w:rPr>
        <w:t>v</w:t>
      </w:r>
      <w:proofErr w:type="spellEnd"/>
      <w:r w:rsidR="00DF0744" w:rsidRPr="00DF0744">
        <w:rPr>
          <w:lang w:val="en-GB"/>
        </w:rPr>
        <w:t xml:space="preserve">, which accounted for a removal of 20 </w:t>
      </w:r>
      <w:r w:rsidR="00DF0744">
        <w:rPr>
          <w:lang w:val="en-GB"/>
        </w:rPr>
        <w:t>-</w:t>
      </w:r>
      <w:r w:rsidR="00DF0744" w:rsidRPr="00DF0744">
        <w:rPr>
          <w:lang w:val="en-GB"/>
        </w:rPr>
        <w:t xml:space="preserve"> 25</w:t>
      </w:r>
      <w:r w:rsidR="00DF0744">
        <w:rPr>
          <w:lang w:val="en-GB"/>
        </w:rPr>
        <w:t xml:space="preserve"> </w:t>
      </w:r>
      <w:r w:rsidR="00DF0744" w:rsidRPr="00DF0744">
        <w:rPr>
          <w:lang w:val="en-GB"/>
        </w:rPr>
        <w:t>% of this odorant compound. Based on the low aqueous solubility of α-pinene</w:t>
      </w:r>
      <w:r w:rsidR="00072E9B">
        <w:rPr>
          <w:lang w:val="en-GB"/>
        </w:rPr>
        <w:t xml:space="preserve"> (Table 1)</w:t>
      </w:r>
      <w:r w:rsidR="00DF0744" w:rsidRPr="00DF0744">
        <w:rPr>
          <w:lang w:val="en-GB"/>
        </w:rPr>
        <w:t xml:space="preserve"> and the low influence of NO</w:t>
      </w:r>
      <w:r w:rsidR="00DF0744" w:rsidRPr="00DF0744">
        <w:rPr>
          <w:vertAlign w:val="subscript"/>
          <w:lang w:val="en-GB"/>
        </w:rPr>
        <w:t>3</w:t>
      </w:r>
      <w:r w:rsidR="00DF0744" w:rsidRPr="00DF0744">
        <w:rPr>
          <w:vertAlign w:val="superscript"/>
          <w:lang w:val="en-GB"/>
        </w:rPr>
        <w:t>-</w:t>
      </w:r>
      <w:r w:rsidR="00DF0744" w:rsidRPr="00DF0744">
        <w:rPr>
          <w:lang w:val="en-GB"/>
        </w:rPr>
        <w:t>, NO</w:t>
      </w:r>
      <w:r w:rsidR="00DF0744" w:rsidRPr="00DF0744">
        <w:rPr>
          <w:vertAlign w:val="subscript"/>
          <w:lang w:val="en-GB"/>
        </w:rPr>
        <w:t>2</w:t>
      </w:r>
      <w:r w:rsidR="00DF0744" w:rsidRPr="00DF0744">
        <w:rPr>
          <w:vertAlign w:val="superscript"/>
          <w:lang w:val="en-GB"/>
        </w:rPr>
        <w:t>-</w:t>
      </w:r>
      <w:r w:rsidR="00DF0744" w:rsidRPr="00DF0744">
        <w:rPr>
          <w:lang w:val="en-GB"/>
        </w:rPr>
        <w:t xml:space="preserve"> and AS concentrations on α-pinene fate (Figure </w:t>
      </w:r>
      <w:r w:rsidR="00503B5E">
        <w:rPr>
          <w:lang w:val="en-GB"/>
        </w:rPr>
        <w:t>3</w:t>
      </w:r>
      <w:r w:rsidR="00FA30A4">
        <w:rPr>
          <w:lang w:val="en-GB"/>
        </w:rPr>
        <w:t>b</w:t>
      </w:r>
      <w:r w:rsidR="00DF0744" w:rsidRPr="00DF0744">
        <w:rPr>
          <w:lang w:val="en-GB"/>
        </w:rPr>
        <w:t xml:space="preserve">), the observed decrease in concentration could be attributed to adsorption phenomena on solid surfaces </w:t>
      </w:r>
      <w:r w:rsidR="002647CD">
        <w:rPr>
          <w:lang w:val="en-GB"/>
        </w:rPr>
        <w:t>(Hale et al., 2015)</w:t>
      </w:r>
      <w:r w:rsidR="00DF0744" w:rsidRPr="00DF0744">
        <w:rPr>
          <w:lang w:val="en-GB"/>
        </w:rPr>
        <w:t>.</w:t>
      </w:r>
    </w:p>
    <w:p w14:paraId="7C8F3E75" w14:textId="6CA9BD45" w:rsidR="00DF0744" w:rsidRDefault="00DF0744" w:rsidP="00453E24">
      <w:pPr>
        <w:pStyle w:val="CETBodytext"/>
        <w:rPr>
          <w:i/>
          <w:iCs/>
          <w:lang w:val="en-GB"/>
        </w:rPr>
      </w:pPr>
      <w:r w:rsidRPr="00844CE1">
        <w:rPr>
          <w:bCs/>
          <w:i/>
          <w:iCs/>
        </w:rPr>
        <w:t xml:space="preserve">Figure </w:t>
      </w:r>
      <w:r w:rsidR="00503B5E">
        <w:rPr>
          <w:bCs/>
          <w:i/>
          <w:iCs/>
        </w:rPr>
        <w:t>3</w:t>
      </w:r>
      <w:r w:rsidRPr="00844CE1">
        <w:rPr>
          <w:bCs/>
          <w:i/>
          <w:iCs/>
        </w:rPr>
        <w:t xml:space="preserve">: </w:t>
      </w:r>
      <w:r w:rsidRPr="00DF0744">
        <w:rPr>
          <w:i/>
          <w:iCs/>
          <w:lang w:val="en-GB"/>
        </w:rPr>
        <w:t>Initial and final concentrations of acetic acid</w:t>
      </w:r>
      <w:r>
        <w:rPr>
          <w:i/>
          <w:iCs/>
          <w:lang w:val="en-GB"/>
        </w:rPr>
        <w:t xml:space="preserve"> (a)</w:t>
      </w:r>
      <w:r w:rsidRPr="00DF0744">
        <w:rPr>
          <w:i/>
          <w:iCs/>
          <w:lang w:val="en-GB"/>
        </w:rPr>
        <w:t xml:space="preserve"> and α-pinene</w:t>
      </w:r>
      <w:r>
        <w:rPr>
          <w:i/>
          <w:iCs/>
          <w:lang w:val="en-GB"/>
        </w:rPr>
        <w:t xml:space="preserve"> (b)</w:t>
      </w:r>
      <w:r w:rsidRPr="00DF0744">
        <w:rPr>
          <w:i/>
          <w:iCs/>
          <w:lang w:val="en-GB"/>
        </w:rPr>
        <w:t xml:space="preserve"> at the different activated sludge and N-NO</w:t>
      </w:r>
      <w:r w:rsidRPr="00DF0744">
        <w:rPr>
          <w:i/>
          <w:iCs/>
          <w:vertAlign w:val="subscript"/>
          <w:lang w:val="en-GB"/>
        </w:rPr>
        <w:t>x</w:t>
      </w:r>
      <w:r w:rsidRPr="00DF0744">
        <w:rPr>
          <w:i/>
          <w:iCs/>
          <w:lang w:val="en-GB"/>
        </w:rPr>
        <w:t xml:space="preserve"> (NO</w:t>
      </w:r>
      <w:r w:rsidRPr="00DF0744">
        <w:rPr>
          <w:i/>
          <w:iCs/>
          <w:vertAlign w:val="subscript"/>
          <w:lang w:val="en-GB"/>
        </w:rPr>
        <w:t>3</w:t>
      </w:r>
      <w:r w:rsidRPr="00DF0744">
        <w:rPr>
          <w:i/>
          <w:iCs/>
          <w:vertAlign w:val="superscript"/>
          <w:lang w:val="en-GB"/>
        </w:rPr>
        <w:t>-</w:t>
      </w:r>
      <w:r w:rsidRPr="00DF0744">
        <w:rPr>
          <w:i/>
          <w:iCs/>
          <w:lang w:val="en-GB"/>
        </w:rPr>
        <w:t xml:space="preserve"> </w:t>
      </w:r>
      <w:r w:rsidR="00CD452A">
        <w:rPr>
          <w:i/>
          <w:iCs/>
          <w:lang w:val="en-GB"/>
        </w:rPr>
        <w:t>or</w:t>
      </w:r>
      <w:r w:rsidRPr="00DF0744">
        <w:rPr>
          <w:i/>
          <w:iCs/>
          <w:lang w:val="en-GB"/>
        </w:rPr>
        <w:t xml:space="preserve"> NO</w:t>
      </w:r>
      <w:r w:rsidRPr="00DF0744">
        <w:rPr>
          <w:i/>
          <w:iCs/>
          <w:vertAlign w:val="subscript"/>
          <w:lang w:val="en-GB"/>
        </w:rPr>
        <w:t>2</w:t>
      </w:r>
      <w:r w:rsidRPr="00DF0744">
        <w:rPr>
          <w:i/>
          <w:iCs/>
          <w:vertAlign w:val="superscript"/>
          <w:lang w:val="en-GB"/>
        </w:rPr>
        <w:t>-</w:t>
      </w:r>
      <w:r w:rsidRPr="00DF0744">
        <w:rPr>
          <w:i/>
          <w:iCs/>
          <w:lang w:val="en-GB"/>
        </w:rPr>
        <w:t>) concentrations</w:t>
      </w:r>
    </w:p>
    <w:p w14:paraId="1A8A0EB7" w14:textId="0A1677F6" w:rsidR="00FA30A4" w:rsidRDefault="00FA30A4" w:rsidP="00453E24">
      <w:pPr>
        <w:pStyle w:val="CETBodytext"/>
        <w:rPr>
          <w:b/>
          <w:bCs/>
          <w:lang w:val="en-GB"/>
        </w:rPr>
      </w:pPr>
      <w:r w:rsidRPr="00FA30A4">
        <w:rPr>
          <w:b/>
          <w:bCs/>
          <w:lang w:val="en-GB"/>
        </w:rPr>
        <w:lastRenderedPageBreak/>
        <w:t>3.</w:t>
      </w:r>
      <w:r w:rsidR="007568CF">
        <w:rPr>
          <w:b/>
          <w:bCs/>
          <w:lang w:val="en-GB"/>
        </w:rPr>
        <w:t>3</w:t>
      </w:r>
      <w:r w:rsidRPr="00FA30A4">
        <w:rPr>
          <w:b/>
          <w:bCs/>
          <w:lang w:val="en-GB"/>
        </w:rPr>
        <w:t xml:space="preserve"> Evaluation of N-NO</w:t>
      </w:r>
      <w:r w:rsidRPr="007568CF">
        <w:rPr>
          <w:b/>
          <w:bCs/>
          <w:vertAlign w:val="subscript"/>
          <w:lang w:val="en-GB"/>
        </w:rPr>
        <w:t>x</w:t>
      </w:r>
      <w:r w:rsidRPr="00FA30A4">
        <w:rPr>
          <w:b/>
          <w:bCs/>
          <w:lang w:val="en-GB"/>
        </w:rPr>
        <w:t xml:space="preserve"> fate during odorant oxidation</w:t>
      </w:r>
    </w:p>
    <w:p w14:paraId="4DBDC1C9" w14:textId="4680702D" w:rsidR="00FA30A4" w:rsidRPr="00E2209C" w:rsidRDefault="00FA30A4" w:rsidP="00453E24">
      <w:pPr>
        <w:pStyle w:val="CETBodytext"/>
        <w:rPr>
          <w:b/>
          <w:bCs/>
          <w:sz w:val="10"/>
          <w:szCs w:val="10"/>
          <w:lang w:val="en-GB"/>
        </w:rPr>
      </w:pPr>
    </w:p>
    <w:p w14:paraId="4C42AC5C" w14:textId="334EB6FC" w:rsidR="00DF0744" w:rsidRDefault="0032032A" w:rsidP="00453E24">
      <w:pPr>
        <w:pStyle w:val="CETBodytext"/>
        <w:rPr>
          <w:lang w:val="en-GB"/>
        </w:rPr>
      </w:pPr>
      <w:r w:rsidRPr="00EF540C">
        <w:rPr>
          <w:bCs/>
          <w:i/>
          <w:iCs/>
          <w:noProof/>
          <w:lang w:val="en-GB"/>
        </w:rPr>
        <w:drawing>
          <wp:anchor distT="0" distB="0" distL="114300" distR="114300" simplePos="0" relativeHeight="251673599" behindDoc="1" locked="0" layoutInCell="1" allowOverlap="1" wp14:anchorId="205A9435" wp14:editId="53A3AF99">
            <wp:simplePos x="0" y="0"/>
            <wp:positionH relativeFrom="margin">
              <wp:align>right</wp:align>
            </wp:positionH>
            <wp:positionV relativeFrom="paragraph">
              <wp:posOffset>822325</wp:posOffset>
            </wp:positionV>
            <wp:extent cx="2725420" cy="1930400"/>
            <wp:effectExtent l="0" t="0" r="0" b="0"/>
            <wp:wrapTight wrapText="bothSides">
              <wp:wrapPolygon edited="0">
                <wp:start x="0" y="0"/>
                <wp:lineTo x="0" y="21316"/>
                <wp:lineTo x="21439" y="21316"/>
                <wp:lineTo x="21439" y="0"/>
                <wp:lineTo x="0" y="0"/>
              </wp:wrapPolygon>
            </wp:wrapTight>
            <wp:docPr id="24" name="Imagen 23">
              <a:extLst xmlns:a="http://schemas.openxmlformats.org/drawingml/2006/main">
                <a:ext uri="{FF2B5EF4-FFF2-40B4-BE49-F238E27FC236}">
                  <a16:creationId xmlns:a16="http://schemas.microsoft.com/office/drawing/2014/main" id="{3FAF1CAA-1C1E-442E-6A17-3B591A4A1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a:extLst>
                        <a:ext uri="{FF2B5EF4-FFF2-40B4-BE49-F238E27FC236}">
                          <a16:creationId xmlns:a16="http://schemas.microsoft.com/office/drawing/2014/main" id="{3FAF1CAA-1C1E-442E-6A17-3B591A4A1FE6}"/>
                        </a:ext>
                      </a:extLst>
                    </pic:cNvPr>
                    <pic:cNvPicPr>
                      <a:picLocks noChangeAspect="1"/>
                    </pic:cNvPicPr>
                  </pic:nvPicPr>
                  <pic:blipFill rotWithShape="1">
                    <a:blip r:embed="rId21"/>
                    <a:srcRect l="2301" t="6666" r="2969" b="4148"/>
                    <a:stretch/>
                  </pic:blipFill>
                  <pic:spPr>
                    <a:xfrm>
                      <a:off x="0" y="0"/>
                      <a:ext cx="2725420" cy="1930400"/>
                    </a:xfrm>
                    <a:prstGeom prst="rect">
                      <a:avLst/>
                    </a:prstGeom>
                  </pic:spPr>
                </pic:pic>
              </a:graphicData>
            </a:graphic>
            <wp14:sizeRelH relativeFrom="margin">
              <wp14:pctWidth>0</wp14:pctWidth>
            </wp14:sizeRelH>
            <wp14:sizeRelV relativeFrom="margin">
              <wp14:pctHeight>0</wp14:pctHeight>
            </wp14:sizeRelV>
          </wp:anchor>
        </w:drawing>
      </w:r>
      <w:r w:rsidR="00FA30A4" w:rsidRPr="00FA30A4">
        <w:rPr>
          <w:lang w:val="en-GB"/>
        </w:rPr>
        <w:t>Test carried out at 1.5 and 5 mg NO</w:t>
      </w:r>
      <w:r w:rsidR="00FA30A4" w:rsidRPr="00FA30A4">
        <w:rPr>
          <w:vertAlign w:val="subscript"/>
          <w:lang w:val="en-GB"/>
        </w:rPr>
        <w:t>3</w:t>
      </w:r>
      <w:r w:rsidR="00FA30A4" w:rsidRPr="00FA30A4">
        <w:rPr>
          <w:vertAlign w:val="superscript"/>
          <w:lang w:val="en-GB"/>
        </w:rPr>
        <w:t>-</w:t>
      </w:r>
      <w:r w:rsidR="00FA30A4" w:rsidRPr="00FA30A4">
        <w:rPr>
          <w:lang w:val="en-GB"/>
        </w:rPr>
        <w:t>/L supported a complete NO</w:t>
      </w:r>
      <w:r w:rsidR="00FA30A4" w:rsidRPr="00FA30A4">
        <w:rPr>
          <w:vertAlign w:val="subscript"/>
          <w:lang w:val="en-GB"/>
        </w:rPr>
        <w:t>3</w:t>
      </w:r>
      <w:r w:rsidR="00FA30A4" w:rsidRPr="00FA30A4">
        <w:rPr>
          <w:vertAlign w:val="superscript"/>
          <w:lang w:val="en-GB"/>
        </w:rPr>
        <w:t>-</w:t>
      </w:r>
      <w:r w:rsidR="00FA30A4" w:rsidRPr="00FA30A4">
        <w:rPr>
          <w:lang w:val="en-GB"/>
        </w:rPr>
        <w:t xml:space="preserve"> depletion at AS concentrations higher than 25 mg VSS/L (Figure </w:t>
      </w:r>
      <w:r w:rsidR="00503B5E">
        <w:rPr>
          <w:lang w:val="en-GB"/>
        </w:rPr>
        <w:t>4a</w:t>
      </w:r>
      <w:r w:rsidR="00FA30A4" w:rsidRPr="00FA30A4">
        <w:rPr>
          <w:lang w:val="en-GB"/>
        </w:rPr>
        <w:t>), which was likely responsible for the incomplete biological oxidation of H</w:t>
      </w:r>
      <w:r w:rsidR="00FA30A4" w:rsidRPr="00FA30A4">
        <w:rPr>
          <w:vertAlign w:val="subscript"/>
          <w:lang w:val="en-GB"/>
        </w:rPr>
        <w:t>2</w:t>
      </w:r>
      <w:r w:rsidR="00FA30A4" w:rsidRPr="00FA30A4">
        <w:rPr>
          <w:lang w:val="en-GB"/>
        </w:rPr>
        <w:t>S. However, the reduction of NO</w:t>
      </w:r>
      <w:r w:rsidR="00FA30A4" w:rsidRPr="00FA30A4">
        <w:rPr>
          <w:vertAlign w:val="subscript"/>
          <w:lang w:val="en-GB"/>
        </w:rPr>
        <w:t>2</w:t>
      </w:r>
      <w:r w:rsidR="00FA30A4" w:rsidRPr="00FA30A4">
        <w:rPr>
          <w:vertAlign w:val="superscript"/>
          <w:lang w:val="en-GB"/>
        </w:rPr>
        <w:t>-</w:t>
      </w:r>
      <w:r w:rsidR="00FA30A4" w:rsidRPr="00FA30A4">
        <w:rPr>
          <w:lang w:val="en-GB"/>
        </w:rPr>
        <w:t xml:space="preserve"> was considerably more pronounced than that of NO</w:t>
      </w:r>
      <w:r w:rsidR="00FA30A4" w:rsidRPr="00FA30A4">
        <w:rPr>
          <w:vertAlign w:val="subscript"/>
          <w:lang w:val="en-GB"/>
        </w:rPr>
        <w:t>3</w:t>
      </w:r>
      <w:r w:rsidR="00FA30A4" w:rsidRPr="00FA30A4">
        <w:rPr>
          <w:vertAlign w:val="superscript"/>
          <w:lang w:val="en-GB"/>
        </w:rPr>
        <w:t>-</w:t>
      </w:r>
      <w:r w:rsidR="00FA30A4" w:rsidRPr="00FA30A4">
        <w:rPr>
          <w:lang w:val="en-GB"/>
        </w:rPr>
        <w:t xml:space="preserve"> regardless of the concentration of AS (Figure </w:t>
      </w:r>
      <w:r w:rsidR="00503B5E">
        <w:rPr>
          <w:lang w:val="en-GB"/>
        </w:rPr>
        <w:t>4b</w:t>
      </w:r>
      <w:r w:rsidR="00FA30A4" w:rsidRPr="00FA30A4">
        <w:rPr>
          <w:lang w:val="en-GB"/>
        </w:rPr>
        <w:t>). This fact explains the lower effectiveness of NO</w:t>
      </w:r>
      <w:r w:rsidR="00FA30A4" w:rsidRPr="00FA30A4">
        <w:rPr>
          <w:vertAlign w:val="subscript"/>
          <w:lang w:val="en-GB"/>
        </w:rPr>
        <w:t>2</w:t>
      </w:r>
      <w:r w:rsidR="00FA30A4" w:rsidRPr="00FA30A4">
        <w:rPr>
          <w:vertAlign w:val="superscript"/>
          <w:lang w:val="en-GB"/>
        </w:rPr>
        <w:t>-</w:t>
      </w:r>
      <w:r w:rsidR="00FA30A4" w:rsidRPr="00FA30A4">
        <w:rPr>
          <w:lang w:val="en-GB"/>
        </w:rPr>
        <w:t xml:space="preserve"> during odorant oxidation (see section 3.1) and suggests that higher concentrations of NO</w:t>
      </w:r>
      <w:r w:rsidR="00FA30A4" w:rsidRPr="00FA30A4">
        <w:rPr>
          <w:vertAlign w:val="subscript"/>
          <w:lang w:val="en-GB"/>
        </w:rPr>
        <w:t>2</w:t>
      </w:r>
      <w:r w:rsidR="00FA30A4" w:rsidRPr="00FA30A4">
        <w:rPr>
          <w:vertAlign w:val="superscript"/>
          <w:lang w:val="en-GB"/>
        </w:rPr>
        <w:t>-</w:t>
      </w:r>
      <w:r w:rsidR="00FA30A4" w:rsidRPr="00FA30A4">
        <w:rPr>
          <w:lang w:val="en-GB"/>
        </w:rPr>
        <w:t xml:space="preserve"> are required to carry out the complete biological oxidation of H</w:t>
      </w:r>
      <w:r w:rsidR="00FA30A4" w:rsidRPr="00FA30A4">
        <w:rPr>
          <w:vertAlign w:val="subscript"/>
          <w:lang w:val="en-GB"/>
        </w:rPr>
        <w:t>2</w:t>
      </w:r>
      <w:r w:rsidR="00FA30A4" w:rsidRPr="00FA30A4">
        <w:rPr>
          <w:lang w:val="en-GB"/>
        </w:rPr>
        <w:t>S.</w:t>
      </w:r>
    </w:p>
    <w:p w14:paraId="1DE281C6" w14:textId="03F61534" w:rsidR="00DF0744" w:rsidRDefault="00EF540C" w:rsidP="00453E24">
      <w:pPr>
        <w:pStyle w:val="CETBodytext"/>
        <w:rPr>
          <w:lang w:val="en-GB"/>
        </w:rPr>
      </w:pPr>
      <w:r w:rsidRPr="00EF540C">
        <w:rPr>
          <w:noProof/>
          <w:lang w:val="en-GB"/>
        </w:rPr>
        <w:drawing>
          <wp:anchor distT="0" distB="0" distL="114300" distR="114300" simplePos="0" relativeHeight="251668479" behindDoc="1" locked="0" layoutInCell="1" allowOverlap="1" wp14:anchorId="02750EBF" wp14:editId="15065EAE">
            <wp:simplePos x="0" y="0"/>
            <wp:positionH relativeFrom="margin">
              <wp:align>left</wp:align>
            </wp:positionH>
            <wp:positionV relativeFrom="paragraph">
              <wp:posOffset>85090</wp:posOffset>
            </wp:positionV>
            <wp:extent cx="2798445" cy="1968500"/>
            <wp:effectExtent l="0" t="0" r="1905" b="0"/>
            <wp:wrapTight wrapText="bothSides">
              <wp:wrapPolygon edited="0">
                <wp:start x="0" y="0"/>
                <wp:lineTo x="0" y="21321"/>
                <wp:lineTo x="21468" y="21321"/>
                <wp:lineTo x="21468" y="0"/>
                <wp:lineTo x="0" y="0"/>
              </wp:wrapPolygon>
            </wp:wrapTight>
            <wp:docPr id="22" name="Imagen 21">
              <a:extLst xmlns:a="http://schemas.openxmlformats.org/drawingml/2006/main">
                <a:ext uri="{FF2B5EF4-FFF2-40B4-BE49-F238E27FC236}">
                  <a16:creationId xmlns:a16="http://schemas.microsoft.com/office/drawing/2014/main" id="{706E5E52-4DC3-27F3-9413-C6A4291ABE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706E5E52-4DC3-27F3-9413-C6A4291ABE92}"/>
                        </a:ext>
                      </a:extLst>
                    </pic:cNvPr>
                    <pic:cNvPicPr>
                      <a:picLocks noChangeAspect="1"/>
                    </pic:cNvPicPr>
                  </pic:nvPicPr>
                  <pic:blipFill rotWithShape="1">
                    <a:blip r:embed="rId22"/>
                    <a:srcRect l="2078" t="6815" r="2858" b="4296"/>
                    <a:stretch/>
                  </pic:blipFill>
                  <pic:spPr>
                    <a:xfrm>
                      <a:off x="0" y="0"/>
                      <a:ext cx="2803577" cy="1972108"/>
                    </a:xfrm>
                    <a:prstGeom prst="rect">
                      <a:avLst/>
                    </a:prstGeom>
                  </pic:spPr>
                </pic:pic>
              </a:graphicData>
            </a:graphic>
            <wp14:sizeRelH relativeFrom="margin">
              <wp14:pctWidth>0</wp14:pctWidth>
            </wp14:sizeRelH>
            <wp14:sizeRelV relativeFrom="margin">
              <wp14:pctHeight>0</wp14:pctHeight>
            </wp14:sizeRelV>
          </wp:anchor>
        </w:drawing>
      </w:r>
      <w:r w:rsidR="00B76D31">
        <w:rPr>
          <w:noProof/>
        </w:rPr>
        <mc:AlternateContent>
          <mc:Choice Requires="wps">
            <w:drawing>
              <wp:anchor distT="45720" distB="45720" distL="114300" distR="114300" simplePos="0" relativeHeight="251677696" behindDoc="1" locked="0" layoutInCell="1" allowOverlap="1" wp14:anchorId="297AD36C" wp14:editId="4944FCB5">
                <wp:simplePos x="0" y="0"/>
                <wp:positionH relativeFrom="column">
                  <wp:posOffset>5257165</wp:posOffset>
                </wp:positionH>
                <wp:positionV relativeFrom="paragraph">
                  <wp:posOffset>186690</wp:posOffset>
                </wp:positionV>
                <wp:extent cx="241300" cy="234950"/>
                <wp:effectExtent l="0" t="0" r="6350" b="0"/>
                <wp:wrapTight wrapText="bothSides">
                  <wp:wrapPolygon edited="0">
                    <wp:start x="0" y="0"/>
                    <wp:lineTo x="0" y="19265"/>
                    <wp:lineTo x="20463" y="19265"/>
                    <wp:lineTo x="20463" y="0"/>
                    <wp:lineTo x="0" y="0"/>
                  </wp:wrapPolygon>
                </wp:wrapTight>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noFill/>
                          <a:miter lim="800000"/>
                          <a:headEnd/>
                          <a:tailEnd/>
                        </a:ln>
                      </wps:spPr>
                      <wps:txbx>
                        <w:txbxContent>
                          <w:p w14:paraId="441F71B0" w14:textId="5A8B93C0" w:rsidR="00B76D31" w:rsidRPr="00844CE1" w:rsidRDefault="00B76D31" w:rsidP="00B76D31">
                            <w:pPr>
                              <w:rPr>
                                <w:lang w:val="es-ES"/>
                              </w:rPr>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AD36C" id="_x0000_s1030" type="#_x0000_t202" style="position:absolute;left:0;text-align:left;margin-left:413.95pt;margin-top:14.7pt;width:19pt;height:18.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xJEAIAAPw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" stroked="f">
                <v:textbox>
                  <w:txbxContent>
                    <w:p w14:paraId="441F71B0" w14:textId="5A8B93C0" w:rsidR="00B76D31" w:rsidRPr="00844CE1" w:rsidRDefault="00B76D31" w:rsidP="00B76D31">
                      <w:pPr>
                        <w:rPr>
                          <w:lang w:val="es-ES"/>
                        </w:rPr>
                      </w:pPr>
                      <w:r>
                        <w:t>b</w:t>
                      </w:r>
                    </w:p>
                  </w:txbxContent>
                </v:textbox>
                <w10:wrap type="tight"/>
              </v:shape>
            </w:pict>
          </mc:Fallback>
        </mc:AlternateContent>
      </w:r>
      <w:r w:rsidR="00B76D31">
        <w:rPr>
          <w:noProof/>
        </w:rPr>
        <mc:AlternateContent>
          <mc:Choice Requires="wps">
            <w:drawing>
              <wp:anchor distT="45720" distB="45720" distL="114300" distR="114300" simplePos="0" relativeHeight="251675648" behindDoc="1" locked="0" layoutInCell="1" allowOverlap="1" wp14:anchorId="6862C88E" wp14:editId="47767CF7">
                <wp:simplePos x="0" y="0"/>
                <wp:positionH relativeFrom="column">
                  <wp:posOffset>2463165</wp:posOffset>
                </wp:positionH>
                <wp:positionV relativeFrom="paragraph">
                  <wp:posOffset>193040</wp:posOffset>
                </wp:positionV>
                <wp:extent cx="241300" cy="234950"/>
                <wp:effectExtent l="0" t="0" r="6350" b="0"/>
                <wp:wrapTight wrapText="bothSides">
                  <wp:wrapPolygon edited="0">
                    <wp:start x="0" y="0"/>
                    <wp:lineTo x="0" y="19265"/>
                    <wp:lineTo x="20463" y="19265"/>
                    <wp:lineTo x="20463" y="0"/>
                    <wp:lineTo x="0" y="0"/>
                  </wp:wrapPolygon>
                </wp:wrapTight>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noFill/>
                          <a:miter lim="800000"/>
                          <a:headEnd/>
                          <a:tailEnd/>
                        </a:ln>
                      </wps:spPr>
                      <wps:txbx>
                        <w:txbxContent>
                          <w:p w14:paraId="150FF4D8" w14:textId="77777777" w:rsidR="00B76D31" w:rsidRPr="00844CE1" w:rsidRDefault="00B76D31" w:rsidP="00B76D31">
                            <w:pPr>
                              <w:rPr>
                                <w:lang w:val="es-ES"/>
                              </w:rP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2C88E" id="_x0000_s1031" type="#_x0000_t202" style="position:absolute;left:0;text-align:left;margin-left:193.95pt;margin-top:15.2pt;width:19pt;height:1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K/EAIAAPw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" stroked="f">
                <v:textbox>
                  <w:txbxContent>
                    <w:p w14:paraId="150FF4D8" w14:textId="77777777" w:rsidR="00B76D31" w:rsidRPr="00844CE1" w:rsidRDefault="00B76D31" w:rsidP="00B76D31">
                      <w:pPr>
                        <w:rPr>
                          <w:lang w:val="es-ES"/>
                        </w:rPr>
                      </w:pPr>
                      <w:r>
                        <w:t>a</w:t>
                      </w:r>
                    </w:p>
                  </w:txbxContent>
                </v:textbox>
                <w10:wrap type="tight"/>
              </v:shape>
            </w:pict>
          </mc:Fallback>
        </mc:AlternateContent>
      </w:r>
      <w:r w:rsidR="00FA30A4" w:rsidRPr="00844CE1">
        <w:rPr>
          <w:bCs/>
          <w:i/>
          <w:iCs/>
        </w:rPr>
        <w:t xml:space="preserve">Figure </w:t>
      </w:r>
      <w:r w:rsidR="00FA30A4">
        <w:rPr>
          <w:bCs/>
          <w:i/>
          <w:iCs/>
        </w:rPr>
        <w:t>3</w:t>
      </w:r>
      <w:r w:rsidR="00FA30A4" w:rsidRPr="00844CE1">
        <w:rPr>
          <w:bCs/>
          <w:i/>
          <w:iCs/>
        </w:rPr>
        <w:t xml:space="preserve">: </w:t>
      </w:r>
      <w:r w:rsidR="00FA30A4" w:rsidRPr="00FA30A4">
        <w:rPr>
          <w:i/>
          <w:iCs/>
          <w:lang w:val="en-GB"/>
        </w:rPr>
        <w:t>Final concentration of N-NO</w:t>
      </w:r>
      <w:r w:rsidR="00FA30A4" w:rsidRPr="00FA30A4">
        <w:rPr>
          <w:i/>
          <w:iCs/>
          <w:vertAlign w:val="subscript"/>
          <w:lang w:val="en-GB"/>
        </w:rPr>
        <w:t>3</w:t>
      </w:r>
      <w:r w:rsidR="00FA30A4" w:rsidRPr="00FA30A4">
        <w:rPr>
          <w:i/>
          <w:iCs/>
          <w:vertAlign w:val="superscript"/>
          <w:lang w:val="en-GB"/>
        </w:rPr>
        <w:t>-</w:t>
      </w:r>
      <w:r w:rsidR="00FA30A4" w:rsidRPr="00FA30A4">
        <w:rPr>
          <w:i/>
          <w:iCs/>
          <w:lang w:val="en-GB"/>
        </w:rPr>
        <w:t xml:space="preserve"> (</w:t>
      </w:r>
      <w:r w:rsidR="00B76D31">
        <w:rPr>
          <w:i/>
          <w:iCs/>
          <w:lang w:val="en-GB"/>
        </w:rPr>
        <w:t>a</w:t>
      </w:r>
      <w:r w:rsidR="00FA30A4" w:rsidRPr="00FA30A4">
        <w:rPr>
          <w:i/>
          <w:iCs/>
          <w:lang w:val="en-GB"/>
        </w:rPr>
        <w:t>) and N-NO</w:t>
      </w:r>
      <w:r w:rsidR="00FA30A4" w:rsidRPr="00FA30A4">
        <w:rPr>
          <w:i/>
          <w:iCs/>
          <w:vertAlign w:val="subscript"/>
          <w:lang w:val="en-GB"/>
        </w:rPr>
        <w:t>2</w:t>
      </w:r>
      <w:r w:rsidR="00FA30A4" w:rsidRPr="00FA30A4">
        <w:rPr>
          <w:i/>
          <w:iCs/>
          <w:vertAlign w:val="superscript"/>
          <w:lang w:val="en-GB"/>
        </w:rPr>
        <w:t>-</w:t>
      </w:r>
      <w:r w:rsidR="00FA30A4" w:rsidRPr="00FA30A4">
        <w:rPr>
          <w:i/>
          <w:iCs/>
          <w:lang w:val="en-GB"/>
        </w:rPr>
        <w:t xml:space="preserve"> (</w:t>
      </w:r>
      <w:r w:rsidR="00B76D31">
        <w:rPr>
          <w:i/>
          <w:iCs/>
          <w:lang w:val="en-GB"/>
        </w:rPr>
        <w:t>b</w:t>
      </w:r>
      <w:r w:rsidR="00FA30A4" w:rsidRPr="00FA30A4">
        <w:rPr>
          <w:i/>
          <w:iCs/>
          <w:lang w:val="en-GB"/>
        </w:rPr>
        <w:t>) as a function of the initial N-NO</w:t>
      </w:r>
      <w:r w:rsidR="00FA30A4" w:rsidRPr="00FA30A4">
        <w:rPr>
          <w:i/>
          <w:iCs/>
          <w:vertAlign w:val="subscript"/>
          <w:lang w:val="en-GB"/>
        </w:rPr>
        <w:t>x</w:t>
      </w:r>
      <w:r w:rsidR="003461B6">
        <w:rPr>
          <w:i/>
          <w:iCs/>
          <w:lang w:val="en-GB"/>
        </w:rPr>
        <w:t xml:space="preserve"> (</w:t>
      </w:r>
      <w:r w:rsidR="003461B6" w:rsidRPr="00FA30A4">
        <w:rPr>
          <w:i/>
          <w:iCs/>
          <w:lang w:val="en-GB"/>
        </w:rPr>
        <w:t>N-NO</w:t>
      </w:r>
      <w:r w:rsidR="003461B6" w:rsidRPr="00FA30A4">
        <w:rPr>
          <w:i/>
          <w:iCs/>
          <w:vertAlign w:val="subscript"/>
          <w:lang w:val="en-GB"/>
        </w:rPr>
        <w:t>3</w:t>
      </w:r>
      <w:r w:rsidR="003461B6" w:rsidRPr="00FA30A4">
        <w:rPr>
          <w:i/>
          <w:iCs/>
          <w:vertAlign w:val="superscript"/>
          <w:lang w:val="en-GB"/>
        </w:rPr>
        <w:t>-</w:t>
      </w:r>
      <w:r w:rsidR="003461B6" w:rsidRPr="00FA30A4">
        <w:rPr>
          <w:i/>
          <w:iCs/>
          <w:lang w:val="en-GB"/>
        </w:rPr>
        <w:t xml:space="preserve"> </w:t>
      </w:r>
      <w:r w:rsidR="003461B6">
        <w:rPr>
          <w:i/>
          <w:iCs/>
          <w:lang w:val="en-GB"/>
        </w:rPr>
        <w:t>or</w:t>
      </w:r>
      <w:r w:rsidR="003461B6" w:rsidRPr="00FA30A4">
        <w:rPr>
          <w:i/>
          <w:iCs/>
          <w:lang w:val="en-GB"/>
        </w:rPr>
        <w:t xml:space="preserve"> N-NO</w:t>
      </w:r>
      <w:r w:rsidR="003461B6" w:rsidRPr="00FA30A4">
        <w:rPr>
          <w:i/>
          <w:iCs/>
          <w:vertAlign w:val="subscript"/>
          <w:lang w:val="en-GB"/>
        </w:rPr>
        <w:t>2</w:t>
      </w:r>
      <w:r w:rsidR="003461B6" w:rsidRPr="00FA30A4">
        <w:rPr>
          <w:i/>
          <w:iCs/>
          <w:vertAlign w:val="superscript"/>
          <w:lang w:val="en-GB"/>
        </w:rPr>
        <w:t>-</w:t>
      </w:r>
      <w:r w:rsidR="003461B6">
        <w:rPr>
          <w:i/>
          <w:iCs/>
          <w:lang w:val="en-GB"/>
        </w:rPr>
        <w:t>)</w:t>
      </w:r>
      <w:r w:rsidR="00FA30A4" w:rsidRPr="00FA30A4">
        <w:rPr>
          <w:i/>
          <w:iCs/>
          <w:lang w:val="en-GB"/>
        </w:rPr>
        <w:t xml:space="preserve"> supplemented at different concentration of activated sludge</w:t>
      </w:r>
    </w:p>
    <w:p w14:paraId="346CBF69" w14:textId="1C46D6CA" w:rsidR="00DF0744" w:rsidRDefault="00DF0744" w:rsidP="00453E24">
      <w:pPr>
        <w:pStyle w:val="CETBodytext"/>
        <w:rPr>
          <w:lang w:val="en-GB"/>
        </w:rPr>
      </w:pPr>
    </w:p>
    <w:p w14:paraId="42032B1E" w14:textId="57F18F55" w:rsidR="005A7165" w:rsidRDefault="00B76D31" w:rsidP="00453E24">
      <w:pPr>
        <w:pStyle w:val="CETBodytext"/>
        <w:rPr>
          <w:lang w:val="en-GB"/>
        </w:rPr>
      </w:pPr>
      <w:r w:rsidRPr="00B76D31">
        <w:rPr>
          <w:lang w:val="en-GB"/>
        </w:rPr>
        <w:t>In addition, the reduction of NO</w:t>
      </w:r>
      <w:r w:rsidRPr="00B76D31">
        <w:rPr>
          <w:vertAlign w:val="subscript"/>
          <w:lang w:val="en-GB"/>
        </w:rPr>
        <w:t>3</w:t>
      </w:r>
      <w:r w:rsidRPr="00B76D31">
        <w:rPr>
          <w:vertAlign w:val="superscript"/>
          <w:lang w:val="en-GB"/>
        </w:rPr>
        <w:t>-</w:t>
      </w:r>
      <w:r w:rsidRPr="00B76D31">
        <w:rPr>
          <w:lang w:val="en-GB"/>
        </w:rPr>
        <w:t xml:space="preserve"> to NO</w:t>
      </w:r>
      <w:r w:rsidRPr="00B76D31">
        <w:rPr>
          <w:vertAlign w:val="subscript"/>
          <w:lang w:val="en-GB"/>
        </w:rPr>
        <w:t>2</w:t>
      </w:r>
      <w:r w:rsidRPr="00B76D31">
        <w:rPr>
          <w:vertAlign w:val="superscript"/>
          <w:lang w:val="en-GB"/>
        </w:rPr>
        <w:t>-</w:t>
      </w:r>
      <w:r w:rsidRPr="00B76D31">
        <w:rPr>
          <w:lang w:val="en-GB"/>
        </w:rPr>
        <w:t xml:space="preserve"> during OAR and ASR simulations was also evaluated (Table 2). The tests carried out at concentrations ≥ 5 mg NO</w:t>
      </w:r>
      <w:r w:rsidRPr="00B76D31">
        <w:rPr>
          <w:vertAlign w:val="subscript"/>
          <w:lang w:val="en-GB"/>
        </w:rPr>
        <w:t>3</w:t>
      </w:r>
      <w:r w:rsidRPr="00B76D31">
        <w:rPr>
          <w:vertAlign w:val="superscript"/>
          <w:lang w:val="en-GB"/>
        </w:rPr>
        <w:t>-</w:t>
      </w:r>
      <w:r w:rsidRPr="00B76D31">
        <w:rPr>
          <w:lang w:val="en-GB"/>
        </w:rPr>
        <w:t>/L and 25 mg VSS/L experience</w:t>
      </w:r>
      <w:r w:rsidR="00CE2CC6">
        <w:rPr>
          <w:lang w:val="en-GB"/>
        </w:rPr>
        <w:t>d</w:t>
      </w:r>
      <w:r w:rsidRPr="00B76D31">
        <w:rPr>
          <w:lang w:val="en-GB"/>
        </w:rPr>
        <w:t xml:space="preserve"> a partial reduction of NO</w:t>
      </w:r>
      <w:r w:rsidRPr="00B76D31">
        <w:rPr>
          <w:vertAlign w:val="subscript"/>
          <w:lang w:val="en-GB"/>
        </w:rPr>
        <w:t>3</w:t>
      </w:r>
      <w:r w:rsidRPr="00B76D31">
        <w:rPr>
          <w:vertAlign w:val="superscript"/>
          <w:lang w:val="en-GB"/>
        </w:rPr>
        <w:t>-</w:t>
      </w:r>
      <w:r w:rsidRPr="00B76D31">
        <w:rPr>
          <w:lang w:val="en-GB"/>
        </w:rPr>
        <w:t xml:space="preserve"> to NO</w:t>
      </w:r>
      <w:r w:rsidRPr="00B76D31">
        <w:rPr>
          <w:vertAlign w:val="subscript"/>
          <w:lang w:val="en-GB"/>
        </w:rPr>
        <w:t>2</w:t>
      </w:r>
      <w:r w:rsidRPr="00B76D31">
        <w:rPr>
          <w:vertAlign w:val="superscript"/>
          <w:lang w:val="en-GB"/>
        </w:rPr>
        <w:t>-</w:t>
      </w:r>
      <w:r w:rsidRPr="00B76D31">
        <w:rPr>
          <w:lang w:val="en-GB"/>
        </w:rPr>
        <w:t>. Indeed, final values of 2.40, 2.86 and 4.44 mg NO</w:t>
      </w:r>
      <w:r w:rsidRPr="00B76D31">
        <w:rPr>
          <w:vertAlign w:val="subscript"/>
          <w:lang w:val="en-GB"/>
        </w:rPr>
        <w:t>2</w:t>
      </w:r>
      <w:r w:rsidRPr="00B76D31">
        <w:rPr>
          <w:vertAlign w:val="superscript"/>
          <w:lang w:val="en-GB"/>
        </w:rPr>
        <w:t>-</w:t>
      </w:r>
      <w:r w:rsidRPr="00B76D31">
        <w:rPr>
          <w:lang w:val="en-GB"/>
        </w:rPr>
        <w:t>/L were recorded in the tests conducted with initial concentrations of nitrate of 5, 7.5 and 10 mg NO</w:t>
      </w:r>
      <w:r w:rsidRPr="00B76D31">
        <w:rPr>
          <w:vertAlign w:val="subscript"/>
          <w:lang w:val="en-GB"/>
        </w:rPr>
        <w:t>3</w:t>
      </w:r>
      <w:r w:rsidRPr="00B76D31">
        <w:rPr>
          <w:vertAlign w:val="superscript"/>
          <w:lang w:val="en-GB"/>
        </w:rPr>
        <w:t>-</w:t>
      </w:r>
      <w:r w:rsidRPr="00B76D31">
        <w:rPr>
          <w:lang w:val="en-GB"/>
        </w:rPr>
        <w:t>/L, respectively, when 100 mg VSS/L were supplemented.</w:t>
      </w:r>
    </w:p>
    <w:p w14:paraId="60F76068" w14:textId="4459873C" w:rsidR="00F23688" w:rsidRPr="00B57B36" w:rsidRDefault="00F23688" w:rsidP="00F23688">
      <w:pPr>
        <w:pStyle w:val="CETTabletitle"/>
      </w:pPr>
      <w:r w:rsidRPr="00F23688">
        <w:rPr>
          <w:rStyle w:val="CETBodytextCarattere"/>
        </w:rPr>
        <w:t>T</w:t>
      </w:r>
      <w:r w:rsidRPr="004F1D43">
        <w:rPr>
          <w:lang w:val="en-US"/>
        </w:rPr>
        <w:t xml:space="preserve">able </w:t>
      </w:r>
      <w:r w:rsidR="001B1A7D">
        <w:rPr>
          <w:lang w:val="en-US"/>
        </w:rPr>
        <w:t>2</w:t>
      </w:r>
      <w:r w:rsidRPr="004F1D43">
        <w:rPr>
          <w:lang w:val="en-US"/>
        </w:rPr>
        <w:t xml:space="preserve">: </w:t>
      </w:r>
      <w:r w:rsidR="001B1A7D" w:rsidRPr="001B1A7D">
        <w:rPr>
          <w:lang w:val="en-US"/>
        </w:rPr>
        <w:t>Reduction of NO</w:t>
      </w:r>
      <w:r w:rsidR="001B1A7D" w:rsidRPr="001B1A7D">
        <w:rPr>
          <w:vertAlign w:val="subscript"/>
          <w:lang w:val="en-US"/>
        </w:rPr>
        <w:t>3</w:t>
      </w:r>
      <w:r w:rsidR="001B1A7D" w:rsidRPr="001B1A7D">
        <w:rPr>
          <w:vertAlign w:val="superscript"/>
          <w:lang w:val="en-US"/>
        </w:rPr>
        <w:t>-</w:t>
      </w:r>
      <w:r w:rsidR="001B1A7D" w:rsidRPr="001B1A7D">
        <w:rPr>
          <w:lang w:val="en-US"/>
        </w:rPr>
        <w:t xml:space="preserve"> to NO</w:t>
      </w:r>
      <w:r w:rsidR="001B1A7D" w:rsidRPr="001B1A7D">
        <w:rPr>
          <w:vertAlign w:val="subscript"/>
          <w:lang w:val="en-US"/>
        </w:rPr>
        <w:t>2</w:t>
      </w:r>
      <w:r w:rsidR="001B1A7D" w:rsidRPr="001B1A7D">
        <w:rPr>
          <w:vertAlign w:val="superscript"/>
          <w:lang w:val="en-US"/>
        </w:rPr>
        <w:t>-</w:t>
      </w:r>
      <w:r w:rsidR="001B1A7D" w:rsidRPr="001B1A7D">
        <w:rPr>
          <w:lang w:val="en-US"/>
        </w:rPr>
        <w:t xml:space="preserve"> during OAR and ASR simulations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42"/>
        <w:gridCol w:w="2268"/>
        <w:gridCol w:w="142"/>
        <w:gridCol w:w="2268"/>
        <w:gridCol w:w="2126"/>
      </w:tblGrid>
      <w:tr w:rsidR="001B1A7D" w:rsidRPr="00B57B36" w14:paraId="230DCBDA" w14:textId="77777777" w:rsidTr="001B1A7D">
        <w:tc>
          <w:tcPr>
            <w:tcW w:w="1843" w:type="dxa"/>
            <w:tcBorders>
              <w:top w:val="single" w:sz="12" w:space="0" w:color="008000"/>
              <w:bottom w:val="single" w:sz="6" w:space="0" w:color="008000"/>
            </w:tcBorders>
            <w:shd w:val="clear" w:color="auto" w:fill="FFFFFF"/>
          </w:tcPr>
          <w:p w14:paraId="0D3A56F7" w14:textId="0D0254F4" w:rsidR="001B1A7D" w:rsidRPr="001B1A7D" w:rsidRDefault="001B1A7D" w:rsidP="001B1A7D">
            <w:pPr>
              <w:pStyle w:val="CETBodytext"/>
              <w:jc w:val="center"/>
              <w:rPr>
                <w:rFonts w:cs="Arial"/>
                <w:szCs w:val="18"/>
                <w:lang w:val="en-GB"/>
              </w:rPr>
            </w:pPr>
            <w:r w:rsidRPr="001B1A7D">
              <w:rPr>
                <w:rFonts w:cs="Arial"/>
                <w:b/>
                <w:bCs/>
                <w:szCs w:val="18"/>
              </w:rPr>
              <w:t>AS concentration (mg VSS/L)</w:t>
            </w:r>
          </w:p>
        </w:tc>
        <w:tc>
          <w:tcPr>
            <w:tcW w:w="2410" w:type="dxa"/>
            <w:gridSpan w:val="2"/>
            <w:tcBorders>
              <w:top w:val="single" w:sz="12" w:space="0" w:color="008000"/>
              <w:bottom w:val="single" w:sz="6" w:space="0" w:color="008000"/>
            </w:tcBorders>
            <w:shd w:val="clear" w:color="auto" w:fill="FFFFFF"/>
          </w:tcPr>
          <w:p w14:paraId="7EFAFCFF" w14:textId="689BE4E9" w:rsidR="001B1A7D" w:rsidRPr="001B1A7D" w:rsidRDefault="001B1A7D" w:rsidP="001B1A7D">
            <w:pPr>
              <w:pStyle w:val="CETBodytext"/>
              <w:jc w:val="center"/>
              <w:rPr>
                <w:rFonts w:cs="Arial"/>
                <w:szCs w:val="18"/>
                <w:lang w:val="en-GB"/>
              </w:rPr>
            </w:pPr>
            <w:r w:rsidRPr="001B1A7D">
              <w:rPr>
                <w:rFonts w:cs="Arial"/>
                <w:b/>
                <w:bCs/>
                <w:szCs w:val="18"/>
              </w:rPr>
              <w:t>Initial NO</w:t>
            </w:r>
            <w:r w:rsidRPr="001B1A7D">
              <w:rPr>
                <w:rFonts w:cs="Arial"/>
                <w:b/>
                <w:bCs/>
                <w:szCs w:val="18"/>
                <w:vertAlign w:val="subscript"/>
              </w:rPr>
              <w:t>3</w:t>
            </w:r>
            <w:r w:rsidRPr="001B1A7D">
              <w:rPr>
                <w:rFonts w:cs="Arial"/>
                <w:b/>
                <w:bCs/>
                <w:szCs w:val="18"/>
                <w:vertAlign w:val="superscript"/>
              </w:rPr>
              <w:t>-</w:t>
            </w:r>
            <w:r w:rsidRPr="001B1A7D">
              <w:rPr>
                <w:rFonts w:cs="Arial"/>
                <w:b/>
                <w:bCs/>
                <w:szCs w:val="18"/>
              </w:rPr>
              <w:t xml:space="preserve"> concentration (mg N/L)</w:t>
            </w:r>
          </w:p>
        </w:tc>
        <w:tc>
          <w:tcPr>
            <w:tcW w:w="2410" w:type="dxa"/>
            <w:gridSpan w:val="2"/>
            <w:tcBorders>
              <w:top w:val="single" w:sz="12" w:space="0" w:color="008000"/>
              <w:bottom w:val="single" w:sz="6" w:space="0" w:color="008000"/>
            </w:tcBorders>
            <w:shd w:val="clear" w:color="auto" w:fill="FFFFFF"/>
          </w:tcPr>
          <w:p w14:paraId="7DC8B593" w14:textId="6C173301" w:rsidR="001B1A7D" w:rsidRPr="001B1A7D" w:rsidRDefault="001B1A7D" w:rsidP="001B1A7D">
            <w:pPr>
              <w:pStyle w:val="CETBodytext"/>
              <w:jc w:val="center"/>
              <w:rPr>
                <w:rFonts w:cs="Arial"/>
                <w:szCs w:val="18"/>
                <w:lang w:val="en-GB"/>
              </w:rPr>
            </w:pPr>
            <w:r w:rsidRPr="001B1A7D">
              <w:rPr>
                <w:rFonts w:cs="Arial"/>
                <w:b/>
                <w:bCs/>
                <w:szCs w:val="18"/>
              </w:rPr>
              <w:t>Final NO</w:t>
            </w:r>
            <w:r w:rsidRPr="001B1A7D">
              <w:rPr>
                <w:rFonts w:cs="Arial"/>
                <w:b/>
                <w:bCs/>
                <w:szCs w:val="18"/>
                <w:vertAlign w:val="subscript"/>
              </w:rPr>
              <w:t>3</w:t>
            </w:r>
            <w:r w:rsidRPr="001B1A7D">
              <w:rPr>
                <w:rFonts w:cs="Arial"/>
                <w:b/>
                <w:bCs/>
                <w:szCs w:val="18"/>
                <w:vertAlign w:val="superscript"/>
              </w:rPr>
              <w:t>-</w:t>
            </w:r>
            <w:r w:rsidRPr="001B1A7D">
              <w:rPr>
                <w:rFonts w:cs="Arial"/>
                <w:b/>
                <w:bCs/>
                <w:szCs w:val="18"/>
              </w:rPr>
              <w:t xml:space="preserve"> concentration (mg N/L)</w:t>
            </w:r>
          </w:p>
        </w:tc>
        <w:tc>
          <w:tcPr>
            <w:tcW w:w="2126" w:type="dxa"/>
            <w:tcBorders>
              <w:top w:val="single" w:sz="12" w:space="0" w:color="008000"/>
              <w:bottom w:val="single" w:sz="6" w:space="0" w:color="008000"/>
            </w:tcBorders>
            <w:shd w:val="clear" w:color="auto" w:fill="FFFFFF"/>
          </w:tcPr>
          <w:p w14:paraId="17EABAD2" w14:textId="6C93FAA1" w:rsidR="001B1A7D" w:rsidRPr="001B1A7D" w:rsidRDefault="001B1A7D" w:rsidP="001B1A7D">
            <w:pPr>
              <w:pStyle w:val="CETBodytext"/>
              <w:ind w:right="-1"/>
              <w:jc w:val="center"/>
              <w:rPr>
                <w:rFonts w:cs="Arial"/>
                <w:szCs w:val="18"/>
                <w:lang w:val="en-GB"/>
              </w:rPr>
            </w:pPr>
            <w:r w:rsidRPr="001B1A7D">
              <w:rPr>
                <w:rFonts w:cs="Arial"/>
                <w:b/>
                <w:bCs/>
                <w:szCs w:val="18"/>
              </w:rPr>
              <w:t>Final NO</w:t>
            </w:r>
            <w:r w:rsidRPr="001B1A7D">
              <w:rPr>
                <w:rFonts w:cs="Arial"/>
                <w:b/>
                <w:bCs/>
                <w:szCs w:val="18"/>
                <w:vertAlign w:val="subscript"/>
              </w:rPr>
              <w:t>2</w:t>
            </w:r>
            <w:r w:rsidRPr="001B1A7D">
              <w:rPr>
                <w:rFonts w:cs="Arial"/>
                <w:b/>
                <w:bCs/>
                <w:szCs w:val="18"/>
                <w:vertAlign w:val="superscript"/>
              </w:rPr>
              <w:t>-</w:t>
            </w:r>
            <w:r w:rsidRPr="001B1A7D">
              <w:rPr>
                <w:rFonts w:cs="Arial"/>
                <w:b/>
                <w:bCs/>
                <w:szCs w:val="18"/>
              </w:rPr>
              <w:t xml:space="preserve"> concentration (mg N/L)</w:t>
            </w:r>
          </w:p>
        </w:tc>
      </w:tr>
      <w:tr w:rsidR="00F23688" w:rsidRPr="00B57B36" w14:paraId="52C1B5DE" w14:textId="77777777" w:rsidTr="001B1A7D">
        <w:tc>
          <w:tcPr>
            <w:tcW w:w="1985" w:type="dxa"/>
            <w:gridSpan w:val="2"/>
            <w:shd w:val="clear" w:color="auto" w:fill="FFFFFF"/>
          </w:tcPr>
          <w:p w14:paraId="6352418F" w14:textId="206019FD" w:rsidR="00F23688" w:rsidRPr="00E713F1" w:rsidRDefault="00F23688" w:rsidP="00F23688">
            <w:pPr>
              <w:pStyle w:val="CETBodytext"/>
              <w:jc w:val="center"/>
              <w:rPr>
                <w:rFonts w:cs="Arial"/>
                <w:szCs w:val="18"/>
                <w:lang w:val="en-GB"/>
              </w:rPr>
            </w:pPr>
            <w:r w:rsidRPr="00E713F1">
              <w:rPr>
                <w:rFonts w:cs="Arial"/>
                <w:szCs w:val="18"/>
              </w:rPr>
              <w:t>0</w:t>
            </w:r>
          </w:p>
        </w:tc>
        <w:tc>
          <w:tcPr>
            <w:tcW w:w="2410" w:type="dxa"/>
            <w:gridSpan w:val="2"/>
            <w:vMerge w:val="restart"/>
            <w:shd w:val="clear" w:color="auto" w:fill="FFFFFF"/>
            <w:vAlign w:val="center"/>
          </w:tcPr>
          <w:p w14:paraId="65AA0335" w14:textId="029AA928" w:rsidR="00F23688" w:rsidRPr="00B57B36" w:rsidRDefault="00F23688" w:rsidP="00F23688">
            <w:pPr>
              <w:pStyle w:val="CETBodytext"/>
              <w:jc w:val="center"/>
              <w:rPr>
                <w:lang w:val="en-GB"/>
              </w:rPr>
            </w:pPr>
            <w:r>
              <w:rPr>
                <w:lang w:val="en-GB"/>
              </w:rPr>
              <w:t>1.5</w:t>
            </w:r>
          </w:p>
        </w:tc>
        <w:tc>
          <w:tcPr>
            <w:tcW w:w="2268" w:type="dxa"/>
            <w:shd w:val="clear" w:color="auto" w:fill="FFFFFF"/>
          </w:tcPr>
          <w:p w14:paraId="4649F68C" w14:textId="477D6ECD" w:rsidR="00F23688" w:rsidRPr="00F23688" w:rsidRDefault="00F23688" w:rsidP="00F23688">
            <w:pPr>
              <w:pStyle w:val="CETBodytext"/>
              <w:ind w:right="-1"/>
              <w:jc w:val="center"/>
              <w:rPr>
                <w:rFonts w:cs="Arial"/>
                <w:szCs w:val="18"/>
                <w:lang w:val="en-GB"/>
              </w:rPr>
            </w:pPr>
            <w:r w:rsidRPr="00F23688">
              <w:rPr>
                <w:rFonts w:cs="Arial"/>
                <w:szCs w:val="18"/>
              </w:rPr>
              <w:t>1.55</w:t>
            </w:r>
          </w:p>
        </w:tc>
        <w:tc>
          <w:tcPr>
            <w:tcW w:w="2126" w:type="dxa"/>
            <w:shd w:val="clear" w:color="auto" w:fill="FFFFFF"/>
            <w:vAlign w:val="bottom"/>
          </w:tcPr>
          <w:p w14:paraId="1E844116" w14:textId="5A779C4A" w:rsidR="00F23688" w:rsidRPr="00F23688" w:rsidRDefault="00F23688" w:rsidP="00F23688">
            <w:pPr>
              <w:pStyle w:val="CETBodytext"/>
              <w:ind w:right="-1"/>
              <w:jc w:val="center"/>
              <w:rPr>
                <w:rFonts w:cs="Arial"/>
                <w:szCs w:val="18"/>
                <w:lang w:val="en-GB"/>
              </w:rPr>
            </w:pPr>
            <w:r w:rsidRPr="00F23688">
              <w:rPr>
                <w:rFonts w:cs="Arial"/>
                <w:color w:val="000000"/>
                <w:szCs w:val="18"/>
              </w:rPr>
              <w:t>-</w:t>
            </w:r>
          </w:p>
        </w:tc>
      </w:tr>
      <w:tr w:rsidR="00F23688" w:rsidRPr="00B57B36" w14:paraId="5A7C8961" w14:textId="77777777" w:rsidTr="001B1A7D">
        <w:tc>
          <w:tcPr>
            <w:tcW w:w="1985" w:type="dxa"/>
            <w:gridSpan w:val="2"/>
            <w:shd w:val="clear" w:color="auto" w:fill="FFFFFF"/>
          </w:tcPr>
          <w:p w14:paraId="6C6AED6C" w14:textId="21D1B9E2" w:rsidR="00F23688" w:rsidRPr="00E713F1" w:rsidRDefault="00F23688" w:rsidP="00F23688">
            <w:pPr>
              <w:pStyle w:val="CETBodytext"/>
              <w:jc w:val="center"/>
              <w:rPr>
                <w:rFonts w:cs="Arial"/>
                <w:szCs w:val="18"/>
                <w:lang w:val="en-GB"/>
              </w:rPr>
            </w:pPr>
            <w:r w:rsidRPr="00E713F1">
              <w:rPr>
                <w:rFonts w:cs="Arial"/>
                <w:szCs w:val="18"/>
              </w:rPr>
              <w:t>10</w:t>
            </w:r>
          </w:p>
        </w:tc>
        <w:tc>
          <w:tcPr>
            <w:tcW w:w="2410" w:type="dxa"/>
            <w:gridSpan w:val="2"/>
            <w:vMerge/>
            <w:shd w:val="clear" w:color="auto" w:fill="FFFFFF"/>
            <w:vAlign w:val="center"/>
          </w:tcPr>
          <w:p w14:paraId="5D233807" w14:textId="171516DC" w:rsidR="00F23688" w:rsidRPr="00B57B36" w:rsidRDefault="00F23688" w:rsidP="00F23688">
            <w:pPr>
              <w:pStyle w:val="CETBodytext"/>
              <w:jc w:val="center"/>
              <w:rPr>
                <w:lang w:val="en-GB"/>
              </w:rPr>
            </w:pPr>
          </w:p>
        </w:tc>
        <w:tc>
          <w:tcPr>
            <w:tcW w:w="2268" w:type="dxa"/>
            <w:shd w:val="clear" w:color="auto" w:fill="FFFFFF"/>
          </w:tcPr>
          <w:p w14:paraId="2B293EAF" w14:textId="3FEB2F7E" w:rsidR="00F23688" w:rsidRPr="00F23688" w:rsidRDefault="00F23688" w:rsidP="00F23688">
            <w:pPr>
              <w:pStyle w:val="CETBodytext"/>
              <w:ind w:right="-1"/>
              <w:jc w:val="center"/>
              <w:rPr>
                <w:rFonts w:cs="Arial"/>
                <w:szCs w:val="18"/>
                <w:lang w:val="en-GB"/>
              </w:rPr>
            </w:pPr>
            <w:r w:rsidRPr="00F23688">
              <w:rPr>
                <w:rFonts w:cs="Arial"/>
                <w:szCs w:val="18"/>
              </w:rPr>
              <w:t>-</w:t>
            </w:r>
          </w:p>
        </w:tc>
        <w:tc>
          <w:tcPr>
            <w:tcW w:w="2126" w:type="dxa"/>
            <w:shd w:val="clear" w:color="auto" w:fill="FFFFFF"/>
            <w:vAlign w:val="bottom"/>
          </w:tcPr>
          <w:p w14:paraId="685686C1" w14:textId="39B3B84C" w:rsidR="00F23688" w:rsidRPr="00F23688" w:rsidRDefault="00F23688" w:rsidP="00F23688">
            <w:pPr>
              <w:pStyle w:val="CETBodytext"/>
              <w:ind w:right="-1"/>
              <w:jc w:val="center"/>
              <w:rPr>
                <w:rFonts w:cs="Arial"/>
                <w:szCs w:val="18"/>
                <w:lang w:val="en-GB"/>
              </w:rPr>
            </w:pPr>
            <w:r w:rsidRPr="00F23688">
              <w:rPr>
                <w:rFonts w:cs="Arial"/>
                <w:color w:val="000000"/>
                <w:szCs w:val="18"/>
              </w:rPr>
              <w:t>-</w:t>
            </w:r>
          </w:p>
        </w:tc>
      </w:tr>
      <w:tr w:rsidR="00F23688" w:rsidRPr="00B57B36" w14:paraId="1C17A708" w14:textId="77777777" w:rsidTr="001B1A7D">
        <w:tc>
          <w:tcPr>
            <w:tcW w:w="1985" w:type="dxa"/>
            <w:gridSpan w:val="2"/>
            <w:shd w:val="clear" w:color="auto" w:fill="FFFFFF"/>
          </w:tcPr>
          <w:p w14:paraId="76AF4452" w14:textId="05D4C4B5" w:rsidR="00F23688" w:rsidRPr="00E713F1" w:rsidRDefault="00F23688" w:rsidP="00F23688">
            <w:pPr>
              <w:pStyle w:val="CETBodytext"/>
              <w:jc w:val="center"/>
              <w:rPr>
                <w:rFonts w:cs="Arial"/>
                <w:szCs w:val="18"/>
                <w:lang w:val="en-GB"/>
              </w:rPr>
            </w:pPr>
            <w:r w:rsidRPr="00E713F1">
              <w:rPr>
                <w:rFonts w:cs="Arial"/>
                <w:szCs w:val="18"/>
              </w:rPr>
              <w:t>25</w:t>
            </w:r>
          </w:p>
        </w:tc>
        <w:tc>
          <w:tcPr>
            <w:tcW w:w="2410" w:type="dxa"/>
            <w:gridSpan w:val="2"/>
            <w:vMerge/>
            <w:shd w:val="clear" w:color="auto" w:fill="FFFFFF"/>
            <w:vAlign w:val="center"/>
          </w:tcPr>
          <w:p w14:paraId="3CDD082F" w14:textId="2A41F0A2" w:rsidR="00F23688" w:rsidRPr="00B57B36" w:rsidRDefault="00F23688" w:rsidP="00F23688">
            <w:pPr>
              <w:pStyle w:val="CETBodytext"/>
              <w:jc w:val="center"/>
              <w:rPr>
                <w:lang w:val="en-GB"/>
              </w:rPr>
            </w:pPr>
          </w:p>
        </w:tc>
        <w:tc>
          <w:tcPr>
            <w:tcW w:w="2268" w:type="dxa"/>
            <w:shd w:val="clear" w:color="auto" w:fill="FFFFFF"/>
          </w:tcPr>
          <w:p w14:paraId="068FB970" w14:textId="0D9FF085" w:rsidR="00F23688" w:rsidRPr="00F23688" w:rsidRDefault="00F23688" w:rsidP="00F23688">
            <w:pPr>
              <w:pStyle w:val="CETBodytext"/>
              <w:ind w:right="-1"/>
              <w:jc w:val="center"/>
              <w:rPr>
                <w:rFonts w:cs="Arial"/>
                <w:szCs w:val="18"/>
                <w:lang w:val="en-GB"/>
              </w:rPr>
            </w:pPr>
            <w:r w:rsidRPr="00F23688">
              <w:rPr>
                <w:rFonts w:cs="Arial"/>
                <w:szCs w:val="18"/>
              </w:rPr>
              <w:t>-</w:t>
            </w:r>
          </w:p>
        </w:tc>
        <w:tc>
          <w:tcPr>
            <w:tcW w:w="2126" w:type="dxa"/>
            <w:shd w:val="clear" w:color="auto" w:fill="FFFFFF"/>
            <w:vAlign w:val="bottom"/>
          </w:tcPr>
          <w:p w14:paraId="52C9A04E" w14:textId="3EB2074A" w:rsidR="00F23688" w:rsidRPr="00F23688" w:rsidRDefault="00F23688" w:rsidP="00F23688">
            <w:pPr>
              <w:pStyle w:val="CETBodytext"/>
              <w:ind w:right="-1"/>
              <w:jc w:val="center"/>
              <w:rPr>
                <w:rFonts w:cs="Arial"/>
                <w:szCs w:val="18"/>
                <w:lang w:val="en-GB"/>
              </w:rPr>
            </w:pPr>
            <w:r w:rsidRPr="00F23688">
              <w:rPr>
                <w:rFonts w:cs="Arial"/>
                <w:color w:val="000000"/>
                <w:szCs w:val="18"/>
              </w:rPr>
              <w:t>-</w:t>
            </w:r>
          </w:p>
        </w:tc>
      </w:tr>
      <w:tr w:rsidR="00F23688" w:rsidRPr="00B57B36" w14:paraId="770C9297" w14:textId="77777777" w:rsidTr="001B1A7D">
        <w:tc>
          <w:tcPr>
            <w:tcW w:w="1985" w:type="dxa"/>
            <w:gridSpan w:val="2"/>
            <w:shd w:val="clear" w:color="auto" w:fill="FFFFFF"/>
          </w:tcPr>
          <w:p w14:paraId="526F9773" w14:textId="4E8B10AC" w:rsidR="00F23688" w:rsidRPr="00E713F1" w:rsidRDefault="00F23688" w:rsidP="00F23688">
            <w:pPr>
              <w:pStyle w:val="CETBodytext"/>
              <w:jc w:val="center"/>
              <w:rPr>
                <w:rFonts w:cs="Arial"/>
                <w:szCs w:val="18"/>
                <w:lang w:val="en-GB"/>
              </w:rPr>
            </w:pPr>
            <w:r w:rsidRPr="00E713F1">
              <w:rPr>
                <w:rFonts w:cs="Arial"/>
                <w:szCs w:val="18"/>
              </w:rPr>
              <w:t>50</w:t>
            </w:r>
          </w:p>
        </w:tc>
        <w:tc>
          <w:tcPr>
            <w:tcW w:w="2410" w:type="dxa"/>
            <w:gridSpan w:val="2"/>
            <w:vMerge/>
            <w:shd w:val="clear" w:color="auto" w:fill="FFFFFF"/>
            <w:vAlign w:val="center"/>
          </w:tcPr>
          <w:p w14:paraId="1E1203CD" w14:textId="0F93C866" w:rsidR="00F23688" w:rsidRPr="00B57B36" w:rsidRDefault="00F23688" w:rsidP="00F23688">
            <w:pPr>
              <w:pStyle w:val="CETBodytext"/>
              <w:jc w:val="center"/>
              <w:rPr>
                <w:lang w:val="en-GB"/>
              </w:rPr>
            </w:pPr>
          </w:p>
        </w:tc>
        <w:tc>
          <w:tcPr>
            <w:tcW w:w="2268" w:type="dxa"/>
            <w:shd w:val="clear" w:color="auto" w:fill="FFFFFF"/>
          </w:tcPr>
          <w:p w14:paraId="34288DF7" w14:textId="278389D4" w:rsidR="00F23688" w:rsidRPr="00F23688" w:rsidRDefault="00F23688" w:rsidP="00F23688">
            <w:pPr>
              <w:pStyle w:val="Textonotapie"/>
              <w:ind w:right="-1"/>
              <w:jc w:val="center"/>
              <w:rPr>
                <w:rFonts w:cs="Arial"/>
                <w:szCs w:val="18"/>
              </w:rPr>
            </w:pPr>
            <w:r w:rsidRPr="00F23688">
              <w:rPr>
                <w:rFonts w:cs="Arial"/>
                <w:szCs w:val="18"/>
              </w:rPr>
              <w:t>-</w:t>
            </w:r>
          </w:p>
        </w:tc>
        <w:tc>
          <w:tcPr>
            <w:tcW w:w="2126" w:type="dxa"/>
            <w:shd w:val="clear" w:color="auto" w:fill="FFFFFF"/>
            <w:vAlign w:val="bottom"/>
          </w:tcPr>
          <w:p w14:paraId="12DB02F1" w14:textId="4ECE66E4" w:rsidR="00F23688" w:rsidRPr="00F23688" w:rsidRDefault="00F23688" w:rsidP="00F23688">
            <w:pPr>
              <w:pStyle w:val="CETBodytext"/>
              <w:ind w:right="-1"/>
              <w:jc w:val="center"/>
              <w:rPr>
                <w:rFonts w:cs="Arial"/>
                <w:szCs w:val="18"/>
                <w:lang w:val="en-GB"/>
              </w:rPr>
            </w:pPr>
            <w:r w:rsidRPr="00F23688">
              <w:rPr>
                <w:rFonts w:cs="Arial"/>
                <w:color w:val="000000"/>
                <w:szCs w:val="18"/>
              </w:rPr>
              <w:t>-</w:t>
            </w:r>
          </w:p>
        </w:tc>
      </w:tr>
      <w:tr w:rsidR="00F23688" w:rsidRPr="00B57B36" w14:paraId="237E43FB" w14:textId="77777777" w:rsidTr="001B1A7D">
        <w:tc>
          <w:tcPr>
            <w:tcW w:w="1985" w:type="dxa"/>
            <w:gridSpan w:val="2"/>
            <w:shd w:val="clear" w:color="auto" w:fill="FFFFFF"/>
          </w:tcPr>
          <w:p w14:paraId="3860B027" w14:textId="480B63CF" w:rsidR="00F23688" w:rsidRPr="00E713F1" w:rsidRDefault="00F23688" w:rsidP="00F23688">
            <w:pPr>
              <w:pStyle w:val="CETBodytext"/>
              <w:jc w:val="center"/>
              <w:rPr>
                <w:rFonts w:cs="Arial"/>
                <w:szCs w:val="18"/>
                <w:lang w:val="en-GB"/>
              </w:rPr>
            </w:pPr>
            <w:r w:rsidRPr="00E713F1">
              <w:rPr>
                <w:rFonts w:cs="Arial"/>
                <w:szCs w:val="18"/>
              </w:rPr>
              <w:t>100</w:t>
            </w:r>
          </w:p>
        </w:tc>
        <w:tc>
          <w:tcPr>
            <w:tcW w:w="2410" w:type="dxa"/>
            <w:gridSpan w:val="2"/>
            <w:vMerge/>
            <w:shd w:val="clear" w:color="auto" w:fill="FFFFFF"/>
            <w:vAlign w:val="center"/>
          </w:tcPr>
          <w:p w14:paraId="7052A766" w14:textId="0EA5D537" w:rsidR="00F23688" w:rsidRPr="00B57B36" w:rsidRDefault="00F23688" w:rsidP="00F23688">
            <w:pPr>
              <w:pStyle w:val="CETBodytext"/>
              <w:jc w:val="center"/>
              <w:rPr>
                <w:lang w:val="en-GB"/>
              </w:rPr>
            </w:pPr>
          </w:p>
        </w:tc>
        <w:tc>
          <w:tcPr>
            <w:tcW w:w="2268" w:type="dxa"/>
            <w:shd w:val="clear" w:color="auto" w:fill="FFFFFF"/>
          </w:tcPr>
          <w:p w14:paraId="2DECEF17" w14:textId="72C9DFA9" w:rsidR="00F23688" w:rsidRPr="00F23688" w:rsidRDefault="00F23688" w:rsidP="00F23688">
            <w:pPr>
              <w:pStyle w:val="CETBodytext"/>
              <w:ind w:right="-1"/>
              <w:jc w:val="center"/>
              <w:rPr>
                <w:rFonts w:cs="Arial"/>
                <w:szCs w:val="18"/>
                <w:lang w:val="en-GB"/>
              </w:rPr>
            </w:pPr>
            <w:r w:rsidRPr="00F23688">
              <w:rPr>
                <w:rFonts w:cs="Arial"/>
                <w:szCs w:val="18"/>
              </w:rPr>
              <w:t>-</w:t>
            </w:r>
          </w:p>
        </w:tc>
        <w:tc>
          <w:tcPr>
            <w:tcW w:w="2126" w:type="dxa"/>
            <w:shd w:val="clear" w:color="auto" w:fill="FFFFFF"/>
            <w:vAlign w:val="bottom"/>
          </w:tcPr>
          <w:p w14:paraId="759D02B8" w14:textId="5F4E1DD4" w:rsidR="00F23688" w:rsidRPr="00F23688" w:rsidRDefault="00F23688" w:rsidP="00F23688">
            <w:pPr>
              <w:pStyle w:val="CETBodytext"/>
              <w:ind w:right="-1"/>
              <w:jc w:val="center"/>
              <w:rPr>
                <w:rFonts w:cs="Arial"/>
                <w:szCs w:val="18"/>
                <w:lang w:val="en-GB"/>
              </w:rPr>
            </w:pPr>
            <w:r w:rsidRPr="00F23688">
              <w:rPr>
                <w:rFonts w:cs="Arial"/>
                <w:color w:val="000000"/>
                <w:szCs w:val="18"/>
              </w:rPr>
              <w:t>-</w:t>
            </w:r>
          </w:p>
        </w:tc>
      </w:tr>
      <w:tr w:rsidR="00F23688" w:rsidRPr="00B57B36" w14:paraId="38F2282C" w14:textId="77777777" w:rsidTr="001B1A7D">
        <w:tc>
          <w:tcPr>
            <w:tcW w:w="1985" w:type="dxa"/>
            <w:gridSpan w:val="2"/>
            <w:shd w:val="clear" w:color="auto" w:fill="FFFFFF"/>
          </w:tcPr>
          <w:p w14:paraId="3E02C6D4" w14:textId="7800E76B" w:rsidR="00F23688" w:rsidRPr="00E713F1" w:rsidRDefault="00F23688" w:rsidP="00F23688">
            <w:pPr>
              <w:pStyle w:val="CETBodytext"/>
              <w:jc w:val="center"/>
              <w:rPr>
                <w:rFonts w:cs="Arial"/>
                <w:szCs w:val="18"/>
                <w:lang w:val="en-GB"/>
              </w:rPr>
            </w:pPr>
            <w:r w:rsidRPr="00E713F1">
              <w:rPr>
                <w:rFonts w:cs="Arial"/>
                <w:szCs w:val="18"/>
              </w:rPr>
              <w:t>0</w:t>
            </w:r>
          </w:p>
        </w:tc>
        <w:tc>
          <w:tcPr>
            <w:tcW w:w="2410" w:type="dxa"/>
            <w:gridSpan w:val="2"/>
            <w:vMerge w:val="restart"/>
            <w:shd w:val="clear" w:color="auto" w:fill="FFFFFF"/>
            <w:vAlign w:val="center"/>
          </w:tcPr>
          <w:p w14:paraId="0B929A45" w14:textId="3C0D992A" w:rsidR="00F23688" w:rsidRPr="00B57B36" w:rsidRDefault="00F23688" w:rsidP="00F23688">
            <w:pPr>
              <w:pStyle w:val="CETBodytext"/>
              <w:jc w:val="center"/>
              <w:rPr>
                <w:lang w:val="en-GB"/>
              </w:rPr>
            </w:pPr>
            <w:r>
              <w:rPr>
                <w:lang w:val="en-GB"/>
              </w:rPr>
              <w:t>5</w:t>
            </w:r>
          </w:p>
        </w:tc>
        <w:tc>
          <w:tcPr>
            <w:tcW w:w="2268" w:type="dxa"/>
            <w:shd w:val="clear" w:color="auto" w:fill="FFFFFF"/>
          </w:tcPr>
          <w:p w14:paraId="12350816" w14:textId="30A51E70" w:rsidR="00F23688" w:rsidRPr="00F23688" w:rsidRDefault="00F23688" w:rsidP="00F23688">
            <w:pPr>
              <w:pStyle w:val="CETBodytext"/>
              <w:ind w:right="-1"/>
              <w:jc w:val="center"/>
              <w:rPr>
                <w:rFonts w:cs="Arial"/>
                <w:szCs w:val="18"/>
                <w:lang w:val="en-GB"/>
              </w:rPr>
            </w:pPr>
            <w:r w:rsidRPr="00F23688">
              <w:rPr>
                <w:rFonts w:cs="Arial"/>
                <w:szCs w:val="18"/>
              </w:rPr>
              <w:t>5.56</w:t>
            </w:r>
          </w:p>
        </w:tc>
        <w:tc>
          <w:tcPr>
            <w:tcW w:w="2126" w:type="dxa"/>
            <w:shd w:val="clear" w:color="auto" w:fill="FFFFFF"/>
          </w:tcPr>
          <w:p w14:paraId="1783DE41" w14:textId="52DB4886" w:rsidR="00F23688" w:rsidRPr="00F23688" w:rsidRDefault="00F23688" w:rsidP="00F23688">
            <w:pPr>
              <w:pStyle w:val="CETBodytext"/>
              <w:ind w:right="-1"/>
              <w:jc w:val="center"/>
              <w:rPr>
                <w:rFonts w:cs="Arial"/>
                <w:szCs w:val="18"/>
                <w:lang w:val="en-GB"/>
              </w:rPr>
            </w:pPr>
            <w:r w:rsidRPr="00F23688">
              <w:rPr>
                <w:rFonts w:cs="Arial"/>
                <w:szCs w:val="18"/>
              </w:rPr>
              <w:t>-</w:t>
            </w:r>
          </w:p>
        </w:tc>
      </w:tr>
      <w:tr w:rsidR="00F23688" w:rsidRPr="00B57B36" w14:paraId="6225CFF7" w14:textId="77777777" w:rsidTr="001B1A7D">
        <w:tc>
          <w:tcPr>
            <w:tcW w:w="1985" w:type="dxa"/>
            <w:gridSpan w:val="2"/>
            <w:shd w:val="clear" w:color="auto" w:fill="FFFFFF"/>
          </w:tcPr>
          <w:p w14:paraId="3CFC018B" w14:textId="55BAF14D" w:rsidR="00F23688" w:rsidRPr="00E713F1" w:rsidRDefault="00F23688" w:rsidP="00F23688">
            <w:pPr>
              <w:pStyle w:val="CETBodytext"/>
              <w:jc w:val="center"/>
              <w:rPr>
                <w:rFonts w:cs="Arial"/>
                <w:szCs w:val="18"/>
                <w:lang w:val="en-GB"/>
              </w:rPr>
            </w:pPr>
            <w:r w:rsidRPr="00E713F1">
              <w:rPr>
                <w:rFonts w:cs="Arial"/>
                <w:szCs w:val="18"/>
              </w:rPr>
              <w:t>10</w:t>
            </w:r>
          </w:p>
        </w:tc>
        <w:tc>
          <w:tcPr>
            <w:tcW w:w="2410" w:type="dxa"/>
            <w:gridSpan w:val="2"/>
            <w:vMerge/>
            <w:shd w:val="clear" w:color="auto" w:fill="FFFFFF"/>
            <w:vAlign w:val="center"/>
          </w:tcPr>
          <w:p w14:paraId="2AD3F801" w14:textId="7D1E8DED" w:rsidR="00F23688" w:rsidRPr="00B57B36" w:rsidRDefault="00F23688" w:rsidP="00F23688">
            <w:pPr>
              <w:pStyle w:val="CETBodytext"/>
              <w:jc w:val="center"/>
              <w:rPr>
                <w:lang w:val="en-GB"/>
              </w:rPr>
            </w:pPr>
          </w:p>
        </w:tc>
        <w:tc>
          <w:tcPr>
            <w:tcW w:w="2268" w:type="dxa"/>
            <w:shd w:val="clear" w:color="auto" w:fill="FFFFFF"/>
          </w:tcPr>
          <w:p w14:paraId="20DE1548" w14:textId="53D5AA92" w:rsidR="00F23688" w:rsidRPr="00F23688" w:rsidRDefault="00F23688" w:rsidP="00F23688">
            <w:pPr>
              <w:pStyle w:val="CETBodytext"/>
              <w:ind w:right="-1"/>
              <w:jc w:val="center"/>
              <w:rPr>
                <w:rFonts w:cs="Arial"/>
                <w:szCs w:val="18"/>
                <w:lang w:val="en-GB"/>
              </w:rPr>
            </w:pPr>
            <w:r w:rsidRPr="00F23688">
              <w:rPr>
                <w:rFonts w:cs="Arial"/>
                <w:szCs w:val="18"/>
              </w:rPr>
              <w:t>4.97</w:t>
            </w:r>
          </w:p>
        </w:tc>
        <w:tc>
          <w:tcPr>
            <w:tcW w:w="2126" w:type="dxa"/>
            <w:shd w:val="clear" w:color="auto" w:fill="FFFFFF"/>
          </w:tcPr>
          <w:p w14:paraId="02E3399C" w14:textId="417A15D8" w:rsidR="00F23688" w:rsidRPr="00F23688" w:rsidRDefault="00F23688" w:rsidP="00F23688">
            <w:pPr>
              <w:pStyle w:val="CETBodytext"/>
              <w:ind w:right="-1"/>
              <w:jc w:val="center"/>
              <w:rPr>
                <w:rFonts w:cs="Arial"/>
                <w:szCs w:val="18"/>
                <w:lang w:val="en-GB"/>
              </w:rPr>
            </w:pPr>
            <w:r w:rsidRPr="00F23688">
              <w:rPr>
                <w:rFonts w:cs="Arial"/>
                <w:szCs w:val="18"/>
              </w:rPr>
              <w:t>-</w:t>
            </w:r>
          </w:p>
        </w:tc>
      </w:tr>
      <w:tr w:rsidR="00F23688" w:rsidRPr="00B57B36" w14:paraId="08C10BEC" w14:textId="77777777" w:rsidTr="001B1A7D">
        <w:tc>
          <w:tcPr>
            <w:tcW w:w="1985" w:type="dxa"/>
            <w:gridSpan w:val="2"/>
            <w:shd w:val="clear" w:color="auto" w:fill="FFFFFF"/>
          </w:tcPr>
          <w:p w14:paraId="5FA81CB5" w14:textId="7FC7F381" w:rsidR="00F23688" w:rsidRPr="00E713F1" w:rsidRDefault="00F23688" w:rsidP="00F23688">
            <w:pPr>
              <w:pStyle w:val="CETBodytext"/>
              <w:jc w:val="center"/>
              <w:rPr>
                <w:rFonts w:cs="Arial"/>
                <w:szCs w:val="18"/>
                <w:lang w:val="en-GB"/>
              </w:rPr>
            </w:pPr>
            <w:r w:rsidRPr="00E713F1">
              <w:rPr>
                <w:rFonts w:cs="Arial"/>
                <w:szCs w:val="18"/>
              </w:rPr>
              <w:t>25</w:t>
            </w:r>
          </w:p>
        </w:tc>
        <w:tc>
          <w:tcPr>
            <w:tcW w:w="2410" w:type="dxa"/>
            <w:gridSpan w:val="2"/>
            <w:vMerge/>
            <w:shd w:val="clear" w:color="auto" w:fill="FFFFFF"/>
            <w:vAlign w:val="center"/>
          </w:tcPr>
          <w:p w14:paraId="4F6244C3" w14:textId="09602F93" w:rsidR="00F23688" w:rsidRPr="00B57B36" w:rsidRDefault="00F23688" w:rsidP="00F23688">
            <w:pPr>
              <w:pStyle w:val="CETBodytext"/>
              <w:jc w:val="center"/>
              <w:rPr>
                <w:lang w:val="en-GB"/>
              </w:rPr>
            </w:pPr>
          </w:p>
        </w:tc>
        <w:tc>
          <w:tcPr>
            <w:tcW w:w="2268" w:type="dxa"/>
            <w:shd w:val="clear" w:color="auto" w:fill="FFFFFF"/>
          </w:tcPr>
          <w:p w14:paraId="07F4D418" w14:textId="067E6BF9" w:rsidR="00F23688" w:rsidRPr="00F23688" w:rsidRDefault="00F23688" w:rsidP="00F23688">
            <w:pPr>
              <w:pStyle w:val="CETBodytext"/>
              <w:ind w:right="-1"/>
              <w:jc w:val="center"/>
              <w:rPr>
                <w:rFonts w:cs="Arial"/>
                <w:szCs w:val="18"/>
                <w:lang w:val="en-GB"/>
              </w:rPr>
            </w:pPr>
            <w:r w:rsidRPr="00F23688">
              <w:rPr>
                <w:rFonts w:cs="Arial"/>
                <w:szCs w:val="18"/>
              </w:rPr>
              <w:t>4.36</w:t>
            </w:r>
          </w:p>
        </w:tc>
        <w:tc>
          <w:tcPr>
            <w:tcW w:w="2126" w:type="dxa"/>
            <w:shd w:val="clear" w:color="auto" w:fill="FFFFFF"/>
          </w:tcPr>
          <w:p w14:paraId="56795BBB" w14:textId="03A4DF28" w:rsidR="00F23688" w:rsidRPr="00F23688" w:rsidRDefault="00F23688" w:rsidP="00F23688">
            <w:pPr>
              <w:pStyle w:val="CETBodytext"/>
              <w:ind w:right="-1"/>
              <w:jc w:val="center"/>
              <w:rPr>
                <w:rFonts w:cs="Arial"/>
                <w:szCs w:val="18"/>
                <w:lang w:val="en-GB"/>
              </w:rPr>
            </w:pPr>
            <w:r w:rsidRPr="00F23688">
              <w:rPr>
                <w:rFonts w:cs="Arial"/>
                <w:szCs w:val="18"/>
              </w:rPr>
              <w:t>-</w:t>
            </w:r>
          </w:p>
        </w:tc>
      </w:tr>
      <w:tr w:rsidR="00F23688" w:rsidRPr="00B57B36" w14:paraId="17D6E8B3" w14:textId="77777777" w:rsidTr="001B1A7D">
        <w:tc>
          <w:tcPr>
            <w:tcW w:w="1985" w:type="dxa"/>
            <w:gridSpan w:val="2"/>
            <w:shd w:val="clear" w:color="auto" w:fill="FFFFFF"/>
          </w:tcPr>
          <w:p w14:paraId="70F3214B" w14:textId="34D5A894" w:rsidR="00F23688" w:rsidRPr="00E713F1" w:rsidRDefault="00F23688" w:rsidP="00F23688">
            <w:pPr>
              <w:pStyle w:val="CETBodytext"/>
              <w:jc w:val="center"/>
              <w:rPr>
                <w:rFonts w:cs="Arial"/>
                <w:szCs w:val="18"/>
                <w:lang w:val="en-GB"/>
              </w:rPr>
            </w:pPr>
            <w:r w:rsidRPr="00E713F1">
              <w:rPr>
                <w:rFonts w:cs="Arial"/>
                <w:szCs w:val="18"/>
              </w:rPr>
              <w:t>50</w:t>
            </w:r>
          </w:p>
        </w:tc>
        <w:tc>
          <w:tcPr>
            <w:tcW w:w="2410" w:type="dxa"/>
            <w:gridSpan w:val="2"/>
            <w:vMerge/>
            <w:shd w:val="clear" w:color="auto" w:fill="FFFFFF"/>
            <w:vAlign w:val="center"/>
          </w:tcPr>
          <w:p w14:paraId="3A511BCE" w14:textId="3E5FA869" w:rsidR="00F23688" w:rsidRPr="00B57B36" w:rsidRDefault="00F23688" w:rsidP="00F23688">
            <w:pPr>
              <w:pStyle w:val="CETBodytext"/>
              <w:jc w:val="center"/>
              <w:rPr>
                <w:lang w:val="en-GB"/>
              </w:rPr>
            </w:pPr>
          </w:p>
        </w:tc>
        <w:tc>
          <w:tcPr>
            <w:tcW w:w="2268" w:type="dxa"/>
            <w:shd w:val="clear" w:color="auto" w:fill="FFFFFF"/>
          </w:tcPr>
          <w:p w14:paraId="54A4747E" w14:textId="2CE652CC" w:rsidR="00F23688" w:rsidRPr="00F23688" w:rsidRDefault="00F23688" w:rsidP="00F23688">
            <w:pPr>
              <w:pStyle w:val="CETBodytext"/>
              <w:ind w:right="-1"/>
              <w:jc w:val="center"/>
              <w:rPr>
                <w:rFonts w:cs="Arial"/>
                <w:szCs w:val="18"/>
                <w:lang w:val="en-GB"/>
              </w:rPr>
            </w:pPr>
            <w:r w:rsidRPr="00F23688">
              <w:rPr>
                <w:rFonts w:cs="Arial"/>
                <w:szCs w:val="18"/>
              </w:rPr>
              <w:t>-</w:t>
            </w:r>
          </w:p>
        </w:tc>
        <w:tc>
          <w:tcPr>
            <w:tcW w:w="2126" w:type="dxa"/>
            <w:shd w:val="clear" w:color="auto" w:fill="FFFFFF"/>
          </w:tcPr>
          <w:p w14:paraId="4415EAA1" w14:textId="6711B348" w:rsidR="00F23688" w:rsidRPr="00F23688" w:rsidRDefault="00F23688" w:rsidP="00F23688">
            <w:pPr>
              <w:pStyle w:val="CETBodytext"/>
              <w:ind w:right="-1"/>
              <w:jc w:val="center"/>
              <w:rPr>
                <w:rFonts w:cs="Arial"/>
                <w:szCs w:val="18"/>
                <w:lang w:val="en-GB"/>
              </w:rPr>
            </w:pPr>
            <w:r w:rsidRPr="00F23688">
              <w:rPr>
                <w:rFonts w:cs="Arial"/>
                <w:szCs w:val="18"/>
              </w:rPr>
              <w:t>2.40</w:t>
            </w:r>
          </w:p>
        </w:tc>
      </w:tr>
      <w:tr w:rsidR="00F23688" w:rsidRPr="00B57B36" w14:paraId="0D20C549" w14:textId="77777777" w:rsidTr="001B1A7D">
        <w:tc>
          <w:tcPr>
            <w:tcW w:w="1985" w:type="dxa"/>
            <w:gridSpan w:val="2"/>
            <w:shd w:val="clear" w:color="auto" w:fill="FFFFFF"/>
          </w:tcPr>
          <w:p w14:paraId="2AA9D613" w14:textId="03B11467" w:rsidR="00F23688" w:rsidRPr="00E713F1" w:rsidRDefault="00F23688" w:rsidP="00F23688">
            <w:pPr>
              <w:pStyle w:val="CETBodytext"/>
              <w:jc w:val="center"/>
              <w:rPr>
                <w:rFonts w:cs="Arial"/>
                <w:szCs w:val="18"/>
                <w:lang w:val="en-GB"/>
              </w:rPr>
            </w:pPr>
            <w:r w:rsidRPr="00E713F1">
              <w:rPr>
                <w:rFonts w:cs="Arial"/>
                <w:szCs w:val="18"/>
              </w:rPr>
              <w:t>100</w:t>
            </w:r>
          </w:p>
        </w:tc>
        <w:tc>
          <w:tcPr>
            <w:tcW w:w="2410" w:type="dxa"/>
            <w:gridSpan w:val="2"/>
            <w:vMerge/>
            <w:shd w:val="clear" w:color="auto" w:fill="FFFFFF"/>
            <w:vAlign w:val="center"/>
          </w:tcPr>
          <w:p w14:paraId="50864F79" w14:textId="63DE4DCF" w:rsidR="00F23688" w:rsidRPr="00B57B36" w:rsidRDefault="00F23688" w:rsidP="00F23688">
            <w:pPr>
              <w:pStyle w:val="CETBodytext"/>
              <w:jc w:val="center"/>
              <w:rPr>
                <w:lang w:val="en-GB"/>
              </w:rPr>
            </w:pPr>
          </w:p>
        </w:tc>
        <w:tc>
          <w:tcPr>
            <w:tcW w:w="2268" w:type="dxa"/>
            <w:shd w:val="clear" w:color="auto" w:fill="FFFFFF"/>
          </w:tcPr>
          <w:p w14:paraId="4BA3B41E" w14:textId="64D4E179" w:rsidR="00F23688" w:rsidRPr="00F23688" w:rsidRDefault="00F23688" w:rsidP="00F23688">
            <w:pPr>
              <w:pStyle w:val="CETBodytext"/>
              <w:ind w:right="-1"/>
              <w:jc w:val="center"/>
              <w:rPr>
                <w:rFonts w:cs="Arial"/>
                <w:szCs w:val="18"/>
                <w:lang w:val="en-GB"/>
              </w:rPr>
            </w:pPr>
            <w:r w:rsidRPr="00F23688">
              <w:rPr>
                <w:rFonts w:cs="Arial"/>
                <w:szCs w:val="18"/>
              </w:rPr>
              <w:t>-</w:t>
            </w:r>
          </w:p>
        </w:tc>
        <w:tc>
          <w:tcPr>
            <w:tcW w:w="2126" w:type="dxa"/>
            <w:shd w:val="clear" w:color="auto" w:fill="FFFFFF"/>
          </w:tcPr>
          <w:p w14:paraId="6241B099" w14:textId="2D17C260" w:rsidR="00F23688" w:rsidRPr="00F23688" w:rsidRDefault="00F23688" w:rsidP="00F23688">
            <w:pPr>
              <w:pStyle w:val="CETBodytext"/>
              <w:ind w:right="-1"/>
              <w:jc w:val="center"/>
              <w:rPr>
                <w:rFonts w:cs="Arial"/>
                <w:szCs w:val="18"/>
                <w:lang w:val="en-GB"/>
              </w:rPr>
            </w:pPr>
            <w:r w:rsidRPr="00F23688">
              <w:rPr>
                <w:rFonts w:cs="Arial"/>
                <w:szCs w:val="18"/>
              </w:rPr>
              <w:t>2.40</w:t>
            </w:r>
          </w:p>
        </w:tc>
      </w:tr>
      <w:tr w:rsidR="00F23688" w:rsidRPr="00B57B36" w14:paraId="74AA4D8C" w14:textId="77777777" w:rsidTr="001B1A7D">
        <w:tc>
          <w:tcPr>
            <w:tcW w:w="1985" w:type="dxa"/>
            <w:gridSpan w:val="2"/>
            <w:shd w:val="clear" w:color="auto" w:fill="FFFFFF"/>
          </w:tcPr>
          <w:p w14:paraId="3D3D43FB" w14:textId="3B6876B4" w:rsidR="00F23688" w:rsidRPr="00E713F1" w:rsidRDefault="00F23688" w:rsidP="00F23688">
            <w:pPr>
              <w:pStyle w:val="CETBodytext"/>
              <w:jc w:val="center"/>
              <w:rPr>
                <w:rFonts w:cs="Arial"/>
                <w:szCs w:val="18"/>
                <w:lang w:val="en-GB"/>
              </w:rPr>
            </w:pPr>
            <w:r w:rsidRPr="00E713F1">
              <w:rPr>
                <w:rFonts w:cs="Arial"/>
                <w:szCs w:val="18"/>
              </w:rPr>
              <w:t>0</w:t>
            </w:r>
          </w:p>
        </w:tc>
        <w:tc>
          <w:tcPr>
            <w:tcW w:w="2410" w:type="dxa"/>
            <w:gridSpan w:val="2"/>
            <w:vMerge w:val="restart"/>
            <w:shd w:val="clear" w:color="auto" w:fill="FFFFFF"/>
            <w:vAlign w:val="center"/>
          </w:tcPr>
          <w:p w14:paraId="7265D271" w14:textId="2761846D" w:rsidR="00F23688" w:rsidRPr="00B57B36" w:rsidRDefault="00F23688" w:rsidP="00F23688">
            <w:pPr>
              <w:pStyle w:val="CETBodytext"/>
              <w:jc w:val="center"/>
              <w:rPr>
                <w:lang w:val="en-GB"/>
              </w:rPr>
            </w:pPr>
            <w:r>
              <w:rPr>
                <w:lang w:val="en-GB"/>
              </w:rPr>
              <w:t>7.5</w:t>
            </w:r>
          </w:p>
        </w:tc>
        <w:tc>
          <w:tcPr>
            <w:tcW w:w="2268" w:type="dxa"/>
            <w:shd w:val="clear" w:color="auto" w:fill="FFFFFF"/>
          </w:tcPr>
          <w:p w14:paraId="47472639" w14:textId="473D2A40" w:rsidR="00F23688" w:rsidRPr="00F23688" w:rsidRDefault="00F23688" w:rsidP="00F23688">
            <w:pPr>
              <w:pStyle w:val="CETBodytext"/>
              <w:ind w:right="-1"/>
              <w:jc w:val="center"/>
              <w:rPr>
                <w:rFonts w:cs="Arial"/>
                <w:szCs w:val="18"/>
                <w:lang w:val="en-GB"/>
              </w:rPr>
            </w:pPr>
            <w:r w:rsidRPr="00F23688">
              <w:rPr>
                <w:rFonts w:cs="Arial"/>
                <w:szCs w:val="18"/>
              </w:rPr>
              <w:t>6.26</w:t>
            </w:r>
          </w:p>
        </w:tc>
        <w:tc>
          <w:tcPr>
            <w:tcW w:w="2126" w:type="dxa"/>
            <w:shd w:val="clear" w:color="auto" w:fill="FFFFFF"/>
          </w:tcPr>
          <w:p w14:paraId="0F922536" w14:textId="0388A1F7" w:rsidR="00F23688" w:rsidRPr="00F23688" w:rsidRDefault="00F23688" w:rsidP="00F23688">
            <w:pPr>
              <w:pStyle w:val="CETBodytext"/>
              <w:ind w:right="-1"/>
              <w:jc w:val="center"/>
              <w:rPr>
                <w:rFonts w:cs="Arial"/>
                <w:szCs w:val="18"/>
                <w:lang w:val="en-GB"/>
              </w:rPr>
            </w:pPr>
            <w:r w:rsidRPr="00F23688">
              <w:rPr>
                <w:rFonts w:cs="Arial"/>
                <w:szCs w:val="18"/>
              </w:rPr>
              <w:t>-</w:t>
            </w:r>
          </w:p>
        </w:tc>
      </w:tr>
      <w:tr w:rsidR="00F23688" w:rsidRPr="00B57B36" w14:paraId="3BC66CA1" w14:textId="77777777" w:rsidTr="001B1A7D">
        <w:tc>
          <w:tcPr>
            <w:tcW w:w="1985" w:type="dxa"/>
            <w:gridSpan w:val="2"/>
            <w:shd w:val="clear" w:color="auto" w:fill="FFFFFF"/>
          </w:tcPr>
          <w:p w14:paraId="446DF842" w14:textId="319EB594" w:rsidR="00F23688" w:rsidRPr="00E713F1" w:rsidRDefault="00F23688" w:rsidP="00F23688">
            <w:pPr>
              <w:pStyle w:val="CETBodytext"/>
              <w:jc w:val="center"/>
              <w:rPr>
                <w:rFonts w:cs="Arial"/>
                <w:szCs w:val="18"/>
                <w:lang w:val="en-GB"/>
              </w:rPr>
            </w:pPr>
            <w:r w:rsidRPr="00E713F1">
              <w:rPr>
                <w:rFonts w:cs="Arial"/>
                <w:szCs w:val="18"/>
              </w:rPr>
              <w:t>10</w:t>
            </w:r>
          </w:p>
        </w:tc>
        <w:tc>
          <w:tcPr>
            <w:tcW w:w="2410" w:type="dxa"/>
            <w:gridSpan w:val="2"/>
            <w:vMerge/>
            <w:shd w:val="clear" w:color="auto" w:fill="FFFFFF"/>
            <w:vAlign w:val="center"/>
          </w:tcPr>
          <w:p w14:paraId="49D9D451" w14:textId="2B3BF55B" w:rsidR="00F23688" w:rsidRPr="00B57B36" w:rsidRDefault="00F23688" w:rsidP="00F23688">
            <w:pPr>
              <w:pStyle w:val="CETBodytext"/>
              <w:jc w:val="center"/>
              <w:rPr>
                <w:lang w:val="en-GB"/>
              </w:rPr>
            </w:pPr>
          </w:p>
        </w:tc>
        <w:tc>
          <w:tcPr>
            <w:tcW w:w="2268" w:type="dxa"/>
            <w:shd w:val="clear" w:color="auto" w:fill="FFFFFF"/>
          </w:tcPr>
          <w:p w14:paraId="44B3072F" w14:textId="3322353F" w:rsidR="00F23688" w:rsidRPr="00F23688" w:rsidRDefault="00F23688" w:rsidP="00F23688">
            <w:pPr>
              <w:pStyle w:val="CETBodytext"/>
              <w:ind w:right="-1"/>
              <w:jc w:val="center"/>
              <w:rPr>
                <w:rFonts w:cs="Arial"/>
                <w:szCs w:val="18"/>
                <w:lang w:val="en-GB"/>
              </w:rPr>
            </w:pPr>
            <w:r w:rsidRPr="00F23688">
              <w:rPr>
                <w:rFonts w:cs="Arial"/>
                <w:szCs w:val="18"/>
              </w:rPr>
              <w:t>5.58</w:t>
            </w:r>
          </w:p>
        </w:tc>
        <w:tc>
          <w:tcPr>
            <w:tcW w:w="2126" w:type="dxa"/>
            <w:shd w:val="clear" w:color="auto" w:fill="FFFFFF"/>
          </w:tcPr>
          <w:p w14:paraId="23277529" w14:textId="2BBA1FFA" w:rsidR="00F23688" w:rsidRPr="00F23688" w:rsidRDefault="00F23688" w:rsidP="00F23688">
            <w:pPr>
              <w:pStyle w:val="CETBodytext"/>
              <w:ind w:right="-1"/>
              <w:jc w:val="center"/>
              <w:rPr>
                <w:rFonts w:cs="Arial"/>
                <w:szCs w:val="18"/>
                <w:lang w:val="en-GB"/>
              </w:rPr>
            </w:pPr>
            <w:r w:rsidRPr="00F23688">
              <w:rPr>
                <w:rFonts w:cs="Arial"/>
                <w:szCs w:val="18"/>
              </w:rPr>
              <w:t>-</w:t>
            </w:r>
          </w:p>
        </w:tc>
      </w:tr>
      <w:tr w:rsidR="00F23688" w:rsidRPr="00B57B36" w14:paraId="69DC80C7" w14:textId="77777777" w:rsidTr="001B1A7D">
        <w:tc>
          <w:tcPr>
            <w:tcW w:w="1985" w:type="dxa"/>
            <w:gridSpan w:val="2"/>
            <w:shd w:val="clear" w:color="auto" w:fill="FFFFFF"/>
          </w:tcPr>
          <w:p w14:paraId="464221F2" w14:textId="30A8AE9B" w:rsidR="00F23688" w:rsidRPr="00E713F1" w:rsidRDefault="00F23688" w:rsidP="00F23688">
            <w:pPr>
              <w:pStyle w:val="CETBodytext"/>
              <w:jc w:val="center"/>
              <w:rPr>
                <w:rFonts w:cs="Arial"/>
                <w:szCs w:val="18"/>
                <w:lang w:val="en-GB"/>
              </w:rPr>
            </w:pPr>
            <w:r w:rsidRPr="00E713F1">
              <w:rPr>
                <w:rFonts w:cs="Arial"/>
                <w:szCs w:val="18"/>
              </w:rPr>
              <w:t>25</w:t>
            </w:r>
          </w:p>
        </w:tc>
        <w:tc>
          <w:tcPr>
            <w:tcW w:w="2410" w:type="dxa"/>
            <w:gridSpan w:val="2"/>
            <w:vMerge/>
            <w:shd w:val="clear" w:color="auto" w:fill="FFFFFF"/>
            <w:vAlign w:val="center"/>
          </w:tcPr>
          <w:p w14:paraId="721D295D" w14:textId="52EE2E17" w:rsidR="00F23688" w:rsidRPr="00B57B36" w:rsidRDefault="00F23688" w:rsidP="00F23688">
            <w:pPr>
              <w:pStyle w:val="CETBodytext"/>
              <w:jc w:val="center"/>
              <w:rPr>
                <w:lang w:val="en-GB"/>
              </w:rPr>
            </w:pPr>
          </w:p>
        </w:tc>
        <w:tc>
          <w:tcPr>
            <w:tcW w:w="2268" w:type="dxa"/>
            <w:shd w:val="clear" w:color="auto" w:fill="FFFFFF"/>
          </w:tcPr>
          <w:p w14:paraId="63C8B691" w14:textId="3034F308" w:rsidR="00F23688" w:rsidRPr="00F23688" w:rsidRDefault="00F23688" w:rsidP="00F23688">
            <w:pPr>
              <w:pStyle w:val="CETBodytext"/>
              <w:ind w:right="-1"/>
              <w:jc w:val="center"/>
              <w:rPr>
                <w:rFonts w:cs="Arial"/>
                <w:szCs w:val="18"/>
                <w:lang w:val="en-GB"/>
              </w:rPr>
            </w:pPr>
            <w:r w:rsidRPr="00F23688">
              <w:rPr>
                <w:rFonts w:cs="Arial"/>
                <w:szCs w:val="18"/>
              </w:rPr>
              <w:t>4.90</w:t>
            </w:r>
          </w:p>
        </w:tc>
        <w:tc>
          <w:tcPr>
            <w:tcW w:w="2126" w:type="dxa"/>
            <w:shd w:val="clear" w:color="auto" w:fill="FFFFFF"/>
          </w:tcPr>
          <w:p w14:paraId="2610B42A" w14:textId="1E6989D9" w:rsidR="00F23688" w:rsidRPr="00F23688" w:rsidRDefault="00F23688" w:rsidP="00F23688">
            <w:pPr>
              <w:pStyle w:val="CETBodytext"/>
              <w:ind w:right="-1"/>
              <w:jc w:val="center"/>
              <w:rPr>
                <w:rFonts w:cs="Arial"/>
                <w:szCs w:val="18"/>
                <w:lang w:val="en-GB"/>
              </w:rPr>
            </w:pPr>
            <w:r w:rsidRPr="00F23688">
              <w:rPr>
                <w:rFonts w:cs="Arial"/>
                <w:szCs w:val="18"/>
              </w:rPr>
              <w:t>1.77</w:t>
            </w:r>
          </w:p>
        </w:tc>
      </w:tr>
      <w:tr w:rsidR="00F23688" w:rsidRPr="00B57B36" w14:paraId="76DC3A88" w14:textId="77777777" w:rsidTr="001B1A7D">
        <w:tc>
          <w:tcPr>
            <w:tcW w:w="1985" w:type="dxa"/>
            <w:gridSpan w:val="2"/>
            <w:shd w:val="clear" w:color="auto" w:fill="FFFFFF"/>
          </w:tcPr>
          <w:p w14:paraId="4B45441C" w14:textId="523F40DB" w:rsidR="00F23688" w:rsidRPr="00E713F1" w:rsidRDefault="00F23688" w:rsidP="00F23688">
            <w:pPr>
              <w:pStyle w:val="CETBodytext"/>
              <w:jc w:val="center"/>
              <w:rPr>
                <w:rFonts w:cs="Arial"/>
                <w:szCs w:val="18"/>
                <w:lang w:val="en-GB"/>
              </w:rPr>
            </w:pPr>
            <w:r w:rsidRPr="00E713F1">
              <w:rPr>
                <w:rFonts w:cs="Arial"/>
                <w:szCs w:val="18"/>
              </w:rPr>
              <w:t>50</w:t>
            </w:r>
          </w:p>
        </w:tc>
        <w:tc>
          <w:tcPr>
            <w:tcW w:w="2410" w:type="dxa"/>
            <w:gridSpan w:val="2"/>
            <w:vMerge/>
            <w:shd w:val="clear" w:color="auto" w:fill="FFFFFF"/>
            <w:vAlign w:val="center"/>
          </w:tcPr>
          <w:p w14:paraId="3B52BCA4" w14:textId="224B4BB1" w:rsidR="00F23688" w:rsidRPr="00B57B36" w:rsidRDefault="00F23688" w:rsidP="00F23688">
            <w:pPr>
              <w:pStyle w:val="CETBodytext"/>
              <w:jc w:val="center"/>
              <w:rPr>
                <w:lang w:val="en-GB"/>
              </w:rPr>
            </w:pPr>
          </w:p>
        </w:tc>
        <w:tc>
          <w:tcPr>
            <w:tcW w:w="2268" w:type="dxa"/>
            <w:shd w:val="clear" w:color="auto" w:fill="FFFFFF"/>
          </w:tcPr>
          <w:p w14:paraId="701BAA94" w14:textId="425BFFB0" w:rsidR="00F23688" w:rsidRPr="00F23688" w:rsidRDefault="00F23688" w:rsidP="00F23688">
            <w:pPr>
              <w:pStyle w:val="CETBodytext"/>
              <w:ind w:right="-1"/>
              <w:jc w:val="center"/>
              <w:rPr>
                <w:rFonts w:cs="Arial"/>
                <w:szCs w:val="18"/>
                <w:lang w:val="en-GB"/>
              </w:rPr>
            </w:pPr>
            <w:r w:rsidRPr="00F23688">
              <w:rPr>
                <w:rFonts w:cs="Arial"/>
                <w:szCs w:val="18"/>
              </w:rPr>
              <w:t>3.31</w:t>
            </w:r>
          </w:p>
        </w:tc>
        <w:tc>
          <w:tcPr>
            <w:tcW w:w="2126" w:type="dxa"/>
            <w:shd w:val="clear" w:color="auto" w:fill="FFFFFF"/>
          </w:tcPr>
          <w:p w14:paraId="706BE926" w14:textId="51D9FD02" w:rsidR="00F23688" w:rsidRPr="00F23688" w:rsidRDefault="00F23688" w:rsidP="00F23688">
            <w:pPr>
              <w:pStyle w:val="CETBodytext"/>
              <w:ind w:right="-1"/>
              <w:jc w:val="center"/>
              <w:rPr>
                <w:rFonts w:cs="Arial"/>
                <w:szCs w:val="18"/>
                <w:lang w:val="en-GB"/>
              </w:rPr>
            </w:pPr>
            <w:r w:rsidRPr="00F23688">
              <w:rPr>
                <w:rFonts w:cs="Arial"/>
                <w:szCs w:val="18"/>
              </w:rPr>
              <w:t>2.96</w:t>
            </w:r>
          </w:p>
        </w:tc>
      </w:tr>
      <w:tr w:rsidR="00F23688" w:rsidRPr="00B57B36" w14:paraId="5D023ADF" w14:textId="77777777" w:rsidTr="001B1A7D">
        <w:tc>
          <w:tcPr>
            <w:tcW w:w="1985" w:type="dxa"/>
            <w:gridSpan w:val="2"/>
            <w:shd w:val="clear" w:color="auto" w:fill="FFFFFF"/>
          </w:tcPr>
          <w:p w14:paraId="79BE6A9D" w14:textId="5FA7F583" w:rsidR="00F23688" w:rsidRPr="00E713F1" w:rsidRDefault="00F23688" w:rsidP="00F23688">
            <w:pPr>
              <w:pStyle w:val="CETBodytext"/>
              <w:jc w:val="center"/>
              <w:rPr>
                <w:rFonts w:cs="Arial"/>
                <w:szCs w:val="18"/>
                <w:lang w:val="en-GB"/>
              </w:rPr>
            </w:pPr>
            <w:r w:rsidRPr="00E713F1">
              <w:rPr>
                <w:rFonts w:cs="Arial"/>
                <w:szCs w:val="18"/>
              </w:rPr>
              <w:t>100</w:t>
            </w:r>
          </w:p>
        </w:tc>
        <w:tc>
          <w:tcPr>
            <w:tcW w:w="2410" w:type="dxa"/>
            <w:gridSpan w:val="2"/>
            <w:vMerge/>
            <w:shd w:val="clear" w:color="auto" w:fill="FFFFFF"/>
            <w:vAlign w:val="center"/>
          </w:tcPr>
          <w:p w14:paraId="190D08F1" w14:textId="20ADE572" w:rsidR="00F23688" w:rsidRPr="00B57B36" w:rsidRDefault="00F23688" w:rsidP="00F23688">
            <w:pPr>
              <w:pStyle w:val="CETBodytext"/>
              <w:jc w:val="center"/>
              <w:rPr>
                <w:lang w:val="en-GB"/>
              </w:rPr>
            </w:pPr>
          </w:p>
        </w:tc>
        <w:tc>
          <w:tcPr>
            <w:tcW w:w="2268" w:type="dxa"/>
            <w:shd w:val="clear" w:color="auto" w:fill="FFFFFF"/>
          </w:tcPr>
          <w:p w14:paraId="241CBB6D" w14:textId="13417A3E" w:rsidR="00F23688" w:rsidRPr="00F23688" w:rsidRDefault="00F23688" w:rsidP="00F23688">
            <w:pPr>
              <w:pStyle w:val="Textonotapie"/>
              <w:ind w:right="-1"/>
              <w:jc w:val="center"/>
              <w:rPr>
                <w:rFonts w:cs="Arial"/>
                <w:szCs w:val="18"/>
              </w:rPr>
            </w:pPr>
            <w:r w:rsidRPr="00F23688">
              <w:rPr>
                <w:rFonts w:cs="Arial"/>
                <w:szCs w:val="18"/>
              </w:rPr>
              <w:t>-</w:t>
            </w:r>
          </w:p>
        </w:tc>
        <w:tc>
          <w:tcPr>
            <w:tcW w:w="2126" w:type="dxa"/>
            <w:shd w:val="clear" w:color="auto" w:fill="FFFFFF"/>
          </w:tcPr>
          <w:p w14:paraId="7D4F0F13" w14:textId="32CC11E4" w:rsidR="00F23688" w:rsidRPr="00F23688" w:rsidRDefault="00F23688" w:rsidP="00F23688">
            <w:pPr>
              <w:pStyle w:val="CETBodytext"/>
              <w:ind w:right="-1"/>
              <w:jc w:val="center"/>
              <w:rPr>
                <w:rFonts w:cs="Arial"/>
                <w:szCs w:val="18"/>
                <w:lang w:val="en-GB"/>
              </w:rPr>
            </w:pPr>
            <w:r w:rsidRPr="00F23688">
              <w:rPr>
                <w:rFonts w:cs="Arial"/>
                <w:szCs w:val="18"/>
              </w:rPr>
              <w:t>2.86</w:t>
            </w:r>
          </w:p>
        </w:tc>
      </w:tr>
      <w:tr w:rsidR="00F23688" w:rsidRPr="00B57B36" w14:paraId="387AF8E4" w14:textId="77777777" w:rsidTr="001B1A7D">
        <w:tc>
          <w:tcPr>
            <w:tcW w:w="1985" w:type="dxa"/>
            <w:gridSpan w:val="2"/>
            <w:shd w:val="clear" w:color="auto" w:fill="FFFFFF"/>
          </w:tcPr>
          <w:p w14:paraId="3999574D" w14:textId="49828844" w:rsidR="00F23688" w:rsidRPr="00E713F1" w:rsidRDefault="00F23688" w:rsidP="00F23688">
            <w:pPr>
              <w:pStyle w:val="CETBodytext"/>
              <w:jc w:val="center"/>
              <w:rPr>
                <w:rFonts w:cs="Arial"/>
                <w:szCs w:val="18"/>
                <w:lang w:val="en-GB"/>
              </w:rPr>
            </w:pPr>
            <w:r w:rsidRPr="00E713F1">
              <w:rPr>
                <w:rFonts w:cs="Arial"/>
                <w:szCs w:val="18"/>
              </w:rPr>
              <w:t>0</w:t>
            </w:r>
          </w:p>
        </w:tc>
        <w:tc>
          <w:tcPr>
            <w:tcW w:w="2410" w:type="dxa"/>
            <w:gridSpan w:val="2"/>
            <w:vMerge w:val="restart"/>
            <w:shd w:val="clear" w:color="auto" w:fill="FFFFFF"/>
            <w:vAlign w:val="center"/>
          </w:tcPr>
          <w:p w14:paraId="4AB6FA17" w14:textId="12CDEA8C" w:rsidR="00F23688" w:rsidRPr="00B57B36" w:rsidRDefault="00F23688" w:rsidP="00F23688">
            <w:pPr>
              <w:pStyle w:val="CETBodytext"/>
              <w:jc w:val="center"/>
              <w:rPr>
                <w:lang w:val="en-GB"/>
              </w:rPr>
            </w:pPr>
            <w:r>
              <w:rPr>
                <w:lang w:val="en-GB"/>
              </w:rPr>
              <w:t>10</w:t>
            </w:r>
          </w:p>
        </w:tc>
        <w:tc>
          <w:tcPr>
            <w:tcW w:w="2268" w:type="dxa"/>
            <w:shd w:val="clear" w:color="auto" w:fill="FFFFFF"/>
          </w:tcPr>
          <w:p w14:paraId="68A52B61" w14:textId="30E2A58E" w:rsidR="00F23688" w:rsidRPr="00F23688" w:rsidRDefault="00F23688" w:rsidP="00F23688">
            <w:pPr>
              <w:pStyle w:val="CETBodytext"/>
              <w:ind w:right="-1"/>
              <w:jc w:val="center"/>
              <w:rPr>
                <w:rFonts w:cs="Arial"/>
                <w:szCs w:val="18"/>
                <w:lang w:val="en-GB"/>
              </w:rPr>
            </w:pPr>
            <w:r w:rsidRPr="00F23688">
              <w:rPr>
                <w:rFonts w:cs="Arial"/>
                <w:szCs w:val="18"/>
              </w:rPr>
              <w:t>9.46</w:t>
            </w:r>
          </w:p>
        </w:tc>
        <w:tc>
          <w:tcPr>
            <w:tcW w:w="2126" w:type="dxa"/>
            <w:shd w:val="clear" w:color="auto" w:fill="FFFFFF"/>
          </w:tcPr>
          <w:p w14:paraId="237E1F14" w14:textId="59D71B56" w:rsidR="00F23688" w:rsidRPr="00F23688" w:rsidRDefault="00F23688" w:rsidP="00F23688">
            <w:pPr>
              <w:pStyle w:val="CETBodytext"/>
              <w:ind w:right="-1"/>
              <w:jc w:val="center"/>
              <w:rPr>
                <w:rFonts w:cs="Arial"/>
                <w:szCs w:val="18"/>
                <w:lang w:val="en-GB"/>
              </w:rPr>
            </w:pPr>
            <w:r w:rsidRPr="00F23688">
              <w:rPr>
                <w:rFonts w:cs="Arial"/>
                <w:szCs w:val="18"/>
              </w:rPr>
              <w:t>-</w:t>
            </w:r>
          </w:p>
        </w:tc>
      </w:tr>
      <w:tr w:rsidR="00F23688" w:rsidRPr="00B57B36" w14:paraId="1993F80D" w14:textId="77777777" w:rsidTr="001B1A7D">
        <w:tc>
          <w:tcPr>
            <w:tcW w:w="1985" w:type="dxa"/>
            <w:gridSpan w:val="2"/>
            <w:shd w:val="clear" w:color="auto" w:fill="FFFFFF"/>
          </w:tcPr>
          <w:p w14:paraId="60AB0643" w14:textId="2FB28533" w:rsidR="00F23688" w:rsidRPr="00E713F1" w:rsidRDefault="00F23688" w:rsidP="00F23688">
            <w:pPr>
              <w:pStyle w:val="CETBodytext"/>
              <w:jc w:val="center"/>
              <w:rPr>
                <w:rFonts w:cs="Arial"/>
                <w:szCs w:val="18"/>
                <w:lang w:val="en-GB"/>
              </w:rPr>
            </w:pPr>
            <w:r w:rsidRPr="00E713F1">
              <w:rPr>
                <w:rFonts w:cs="Arial"/>
                <w:szCs w:val="18"/>
              </w:rPr>
              <w:t>10</w:t>
            </w:r>
          </w:p>
        </w:tc>
        <w:tc>
          <w:tcPr>
            <w:tcW w:w="2410" w:type="dxa"/>
            <w:gridSpan w:val="2"/>
            <w:vMerge/>
            <w:shd w:val="clear" w:color="auto" w:fill="FFFFFF"/>
            <w:vAlign w:val="center"/>
          </w:tcPr>
          <w:p w14:paraId="1C1C2477" w14:textId="7DF2250C" w:rsidR="00F23688" w:rsidRPr="00B57B36" w:rsidRDefault="00F23688" w:rsidP="00F23688">
            <w:pPr>
              <w:pStyle w:val="CETBodytext"/>
              <w:jc w:val="center"/>
              <w:rPr>
                <w:lang w:val="en-GB"/>
              </w:rPr>
            </w:pPr>
          </w:p>
        </w:tc>
        <w:tc>
          <w:tcPr>
            <w:tcW w:w="2268" w:type="dxa"/>
            <w:shd w:val="clear" w:color="auto" w:fill="FFFFFF"/>
          </w:tcPr>
          <w:p w14:paraId="7EAFA0D3" w14:textId="53A46584" w:rsidR="00F23688" w:rsidRPr="00F23688" w:rsidRDefault="00F23688" w:rsidP="00F23688">
            <w:pPr>
              <w:pStyle w:val="CETBodytext"/>
              <w:ind w:right="-1"/>
              <w:jc w:val="center"/>
              <w:rPr>
                <w:rFonts w:cs="Arial"/>
                <w:szCs w:val="18"/>
                <w:lang w:val="en-GB"/>
              </w:rPr>
            </w:pPr>
            <w:r w:rsidRPr="00F23688">
              <w:rPr>
                <w:rFonts w:cs="Arial"/>
                <w:szCs w:val="18"/>
              </w:rPr>
              <w:t>8.86</w:t>
            </w:r>
          </w:p>
        </w:tc>
        <w:tc>
          <w:tcPr>
            <w:tcW w:w="2126" w:type="dxa"/>
            <w:shd w:val="clear" w:color="auto" w:fill="FFFFFF"/>
          </w:tcPr>
          <w:p w14:paraId="32B9B650" w14:textId="2C40A555" w:rsidR="00F23688" w:rsidRPr="00F23688" w:rsidRDefault="00F23688" w:rsidP="00F23688">
            <w:pPr>
              <w:pStyle w:val="CETBodytext"/>
              <w:ind w:right="-1"/>
              <w:jc w:val="center"/>
              <w:rPr>
                <w:rFonts w:cs="Arial"/>
                <w:szCs w:val="18"/>
                <w:lang w:val="en-GB"/>
              </w:rPr>
            </w:pPr>
            <w:r w:rsidRPr="00F23688">
              <w:rPr>
                <w:rFonts w:cs="Arial"/>
                <w:szCs w:val="18"/>
              </w:rPr>
              <w:t>-</w:t>
            </w:r>
          </w:p>
        </w:tc>
      </w:tr>
      <w:tr w:rsidR="00F23688" w:rsidRPr="00B57B36" w14:paraId="2FFE0CAC" w14:textId="77777777" w:rsidTr="001B1A7D">
        <w:tc>
          <w:tcPr>
            <w:tcW w:w="1985" w:type="dxa"/>
            <w:gridSpan w:val="2"/>
            <w:shd w:val="clear" w:color="auto" w:fill="FFFFFF"/>
          </w:tcPr>
          <w:p w14:paraId="5C9FCE28" w14:textId="6EACCFF7" w:rsidR="00F23688" w:rsidRPr="00E713F1" w:rsidRDefault="00F23688" w:rsidP="00F23688">
            <w:pPr>
              <w:pStyle w:val="CETBodytext"/>
              <w:jc w:val="center"/>
              <w:rPr>
                <w:rFonts w:cs="Arial"/>
                <w:szCs w:val="18"/>
                <w:lang w:val="en-GB"/>
              </w:rPr>
            </w:pPr>
            <w:r w:rsidRPr="00E713F1">
              <w:rPr>
                <w:rFonts w:cs="Arial"/>
                <w:szCs w:val="18"/>
              </w:rPr>
              <w:t>25</w:t>
            </w:r>
          </w:p>
        </w:tc>
        <w:tc>
          <w:tcPr>
            <w:tcW w:w="2410" w:type="dxa"/>
            <w:gridSpan w:val="2"/>
            <w:vMerge/>
            <w:shd w:val="clear" w:color="auto" w:fill="FFFFFF"/>
          </w:tcPr>
          <w:p w14:paraId="79B4C0A6" w14:textId="77777777" w:rsidR="00F23688" w:rsidRPr="00B57B36" w:rsidRDefault="00F23688" w:rsidP="00F23688">
            <w:pPr>
              <w:pStyle w:val="CETBodytext"/>
              <w:rPr>
                <w:lang w:val="en-GB"/>
              </w:rPr>
            </w:pPr>
          </w:p>
        </w:tc>
        <w:tc>
          <w:tcPr>
            <w:tcW w:w="2268" w:type="dxa"/>
            <w:shd w:val="clear" w:color="auto" w:fill="FFFFFF"/>
          </w:tcPr>
          <w:p w14:paraId="264FA4A1" w14:textId="35C944D1" w:rsidR="00F23688" w:rsidRPr="00F23688" w:rsidRDefault="00F23688" w:rsidP="00F23688">
            <w:pPr>
              <w:pStyle w:val="CETBodytext"/>
              <w:ind w:right="-1"/>
              <w:jc w:val="center"/>
              <w:rPr>
                <w:rFonts w:cs="Arial"/>
                <w:szCs w:val="18"/>
                <w:lang w:val="en-GB"/>
              </w:rPr>
            </w:pPr>
            <w:r w:rsidRPr="00F23688">
              <w:rPr>
                <w:rFonts w:cs="Arial"/>
                <w:szCs w:val="18"/>
              </w:rPr>
              <w:t>7.76</w:t>
            </w:r>
          </w:p>
        </w:tc>
        <w:tc>
          <w:tcPr>
            <w:tcW w:w="2126" w:type="dxa"/>
            <w:shd w:val="clear" w:color="auto" w:fill="FFFFFF"/>
          </w:tcPr>
          <w:p w14:paraId="586B85EF" w14:textId="471387B8" w:rsidR="00F23688" w:rsidRPr="00F23688" w:rsidRDefault="00F23688" w:rsidP="00F23688">
            <w:pPr>
              <w:pStyle w:val="CETBodytext"/>
              <w:ind w:right="-1"/>
              <w:jc w:val="center"/>
              <w:rPr>
                <w:rFonts w:cs="Arial"/>
                <w:szCs w:val="18"/>
                <w:lang w:val="en-GB"/>
              </w:rPr>
            </w:pPr>
            <w:r w:rsidRPr="00F23688">
              <w:rPr>
                <w:rFonts w:cs="Arial"/>
                <w:szCs w:val="18"/>
              </w:rPr>
              <w:t>1.98</w:t>
            </w:r>
          </w:p>
        </w:tc>
      </w:tr>
      <w:tr w:rsidR="00F23688" w:rsidRPr="00B57B36" w14:paraId="3A881D26" w14:textId="77777777" w:rsidTr="001B1A7D">
        <w:tc>
          <w:tcPr>
            <w:tcW w:w="1985" w:type="dxa"/>
            <w:gridSpan w:val="2"/>
            <w:shd w:val="clear" w:color="auto" w:fill="FFFFFF"/>
          </w:tcPr>
          <w:p w14:paraId="4038FD13" w14:textId="76B319C8" w:rsidR="00F23688" w:rsidRPr="00E713F1" w:rsidRDefault="00F23688" w:rsidP="00F23688">
            <w:pPr>
              <w:pStyle w:val="CETBodytext"/>
              <w:jc w:val="center"/>
              <w:rPr>
                <w:rFonts w:cs="Arial"/>
                <w:szCs w:val="18"/>
                <w:lang w:val="en-GB"/>
              </w:rPr>
            </w:pPr>
            <w:r w:rsidRPr="00E713F1">
              <w:rPr>
                <w:rFonts w:cs="Arial"/>
                <w:szCs w:val="18"/>
              </w:rPr>
              <w:t>50</w:t>
            </w:r>
          </w:p>
        </w:tc>
        <w:tc>
          <w:tcPr>
            <w:tcW w:w="2410" w:type="dxa"/>
            <w:gridSpan w:val="2"/>
            <w:vMerge/>
            <w:shd w:val="clear" w:color="auto" w:fill="FFFFFF"/>
          </w:tcPr>
          <w:p w14:paraId="65518C87" w14:textId="77777777" w:rsidR="00F23688" w:rsidRPr="00B57B36" w:rsidRDefault="00F23688" w:rsidP="00F23688">
            <w:pPr>
              <w:pStyle w:val="CETBodytext"/>
              <w:rPr>
                <w:lang w:val="en-GB"/>
              </w:rPr>
            </w:pPr>
          </w:p>
        </w:tc>
        <w:tc>
          <w:tcPr>
            <w:tcW w:w="2268" w:type="dxa"/>
            <w:shd w:val="clear" w:color="auto" w:fill="FFFFFF"/>
          </w:tcPr>
          <w:p w14:paraId="048913F4" w14:textId="13D87626" w:rsidR="00F23688" w:rsidRPr="00F23688" w:rsidRDefault="00F23688" w:rsidP="00F23688">
            <w:pPr>
              <w:pStyle w:val="CETBodytext"/>
              <w:ind w:right="-1"/>
              <w:jc w:val="center"/>
              <w:rPr>
                <w:rFonts w:cs="Arial"/>
                <w:szCs w:val="18"/>
                <w:lang w:val="en-GB"/>
              </w:rPr>
            </w:pPr>
            <w:r w:rsidRPr="00F23688">
              <w:rPr>
                <w:rFonts w:cs="Arial"/>
                <w:szCs w:val="18"/>
              </w:rPr>
              <w:t>5.93</w:t>
            </w:r>
          </w:p>
        </w:tc>
        <w:tc>
          <w:tcPr>
            <w:tcW w:w="2126" w:type="dxa"/>
            <w:shd w:val="clear" w:color="auto" w:fill="FFFFFF"/>
          </w:tcPr>
          <w:p w14:paraId="19CF2340" w14:textId="534A6F84" w:rsidR="00F23688" w:rsidRPr="00F23688" w:rsidRDefault="00F23688" w:rsidP="00F23688">
            <w:pPr>
              <w:pStyle w:val="CETBodytext"/>
              <w:ind w:right="-1"/>
              <w:jc w:val="center"/>
              <w:rPr>
                <w:rFonts w:cs="Arial"/>
                <w:szCs w:val="18"/>
                <w:lang w:val="en-GB"/>
              </w:rPr>
            </w:pPr>
            <w:r w:rsidRPr="00F23688">
              <w:rPr>
                <w:rFonts w:cs="Arial"/>
                <w:szCs w:val="18"/>
              </w:rPr>
              <w:t>4.14</w:t>
            </w:r>
          </w:p>
        </w:tc>
      </w:tr>
      <w:tr w:rsidR="00F23688" w:rsidRPr="00B57B36" w14:paraId="5729CDF5" w14:textId="77777777" w:rsidTr="001B1A7D">
        <w:tc>
          <w:tcPr>
            <w:tcW w:w="1985" w:type="dxa"/>
            <w:gridSpan w:val="2"/>
            <w:shd w:val="clear" w:color="auto" w:fill="FFFFFF"/>
          </w:tcPr>
          <w:p w14:paraId="12D31EE9" w14:textId="4FF112F4" w:rsidR="00F23688" w:rsidRPr="00E713F1" w:rsidRDefault="00F23688" w:rsidP="00F23688">
            <w:pPr>
              <w:pStyle w:val="CETBodytext"/>
              <w:ind w:right="-1"/>
              <w:jc w:val="center"/>
              <w:rPr>
                <w:rFonts w:cs="Arial"/>
                <w:szCs w:val="18"/>
                <w:lang w:val="en-GB"/>
              </w:rPr>
            </w:pPr>
            <w:r w:rsidRPr="00E713F1">
              <w:rPr>
                <w:rFonts w:cs="Arial"/>
                <w:szCs w:val="18"/>
              </w:rPr>
              <w:t>100</w:t>
            </w:r>
          </w:p>
        </w:tc>
        <w:tc>
          <w:tcPr>
            <w:tcW w:w="2410" w:type="dxa"/>
            <w:gridSpan w:val="2"/>
            <w:vMerge/>
            <w:shd w:val="clear" w:color="auto" w:fill="FFFFFF"/>
          </w:tcPr>
          <w:p w14:paraId="48559DE5" w14:textId="77777777" w:rsidR="00F23688" w:rsidRPr="00B57B36" w:rsidRDefault="00F23688" w:rsidP="00F23688">
            <w:pPr>
              <w:pStyle w:val="CETBodytext"/>
              <w:ind w:right="-1"/>
              <w:rPr>
                <w:rFonts w:cs="Arial"/>
                <w:szCs w:val="18"/>
                <w:lang w:val="en-GB"/>
              </w:rPr>
            </w:pPr>
          </w:p>
        </w:tc>
        <w:tc>
          <w:tcPr>
            <w:tcW w:w="2268" w:type="dxa"/>
            <w:shd w:val="clear" w:color="auto" w:fill="FFFFFF"/>
          </w:tcPr>
          <w:p w14:paraId="17973E73" w14:textId="1C74B4B3" w:rsidR="00F23688" w:rsidRPr="00F23688" w:rsidRDefault="00F23688" w:rsidP="00F23688">
            <w:pPr>
              <w:pStyle w:val="CETBodytext"/>
              <w:ind w:right="-1"/>
              <w:jc w:val="center"/>
              <w:rPr>
                <w:rFonts w:cs="Arial"/>
                <w:szCs w:val="18"/>
                <w:lang w:val="en-GB"/>
              </w:rPr>
            </w:pPr>
            <w:r w:rsidRPr="00F23688">
              <w:rPr>
                <w:rFonts w:cs="Arial"/>
                <w:szCs w:val="18"/>
              </w:rPr>
              <w:t>1.77</w:t>
            </w:r>
          </w:p>
        </w:tc>
        <w:tc>
          <w:tcPr>
            <w:tcW w:w="2126" w:type="dxa"/>
            <w:shd w:val="clear" w:color="auto" w:fill="FFFFFF"/>
          </w:tcPr>
          <w:p w14:paraId="2043769B" w14:textId="69A4F457" w:rsidR="00F23688" w:rsidRPr="00F23688" w:rsidRDefault="00F23688" w:rsidP="00F23688">
            <w:pPr>
              <w:pStyle w:val="CETBodytext"/>
              <w:ind w:right="-1"/>
              <w:jc w:val="center"/>
              <w:rPr>
                <w:rFonts w:cs="Arial"/>
                <w:szCs w:val="18"/>
                <w:lang w:val="en-GB"/>
              </w:rPr>
            </w:pPr>
            <w:r w:rsidRPr="00F23688">
              <w:rPr>
                <w:rFonts w:cs="Arial"/>
                <w:szCs w:val="18"/>
              </w:rPr>
              <w:t>4.44</w:t>
            </w:r>
          </w:p>
        </w:tc>
      </w:tr>
    </w:tbl>
    <w:p w14:paraId="5647B520" w14:textId="4F134099" w:rsidR="00DF0744" w:rsidRDefault="001B1A7D" w:rsidP="001B1A7D">
      <w:pPr>
        <w:pStyle w:val="CETHeading1"/>
      </w:pPr>
      <w:r>
        <w:t>Conclusions</w:t>
      </w:r>
    </w:p>
    <w:p w14:paraId="30A1FB95" w14:textId="4D4BE2B3" w:rsidR="001B1A7D" w:rsidRPr="001B1A7D" w:rsidRDefault="001B1A7D" w:rsidP="001B1A7D">
      <w:pPr>
        <w:pStyle w:val="CETBodytext"/>
      </w:pPr>
      <w:r w:rsidRPr="001B1A7D">
        <w:rPr>
          <w:lang w:val="en-GB"/>
        </w:rPr>
        <w:t>ASR and OAR were confirmed as an effective and low-cost odour control strategy. According to the results obtained, the most effective and rapid H</w:t>
      </w:r>
      <w:r w:rsidRPr="001B1A7D">
        <w:rPr>
          <w:vertAlign w:val="subscript"/>
          <w:lang w:val="en-GB"/>
        </w:rPr>
        <w:t>2</w:t>
      </w:r>
      <w:r w:rsidRPr="001B1A7D">
        <w:rPr>
          <w:lang w:val="en-GB"/>
        </w:rPr>
        <w:t>S abatement was found at oxidized nitrogen</w:t>
      </w:r>
      <w:r w:rsidR="00816F53">
        <w:rPr>
          <w:lang w:val="en-GB"/>
        </w:rPr>
        <w:t xml:space="preserve"> (</w:t>
      </w:r>
      <w:r w:rsidR="00816F53" w:rsidRPr="00816F53">
        <w:rPr>
          <w:lang w:val="en-GB"/>
        </w:rPr>
        <w:t>N-NO</w:t>
      </w:r>
      <w:r w:rsidR="00816F53" w:rsidRPr="00816F53">
        <w:rPr>
          <w:vertAlign w:val="subscript"/>
          <w:lang w:val="en-GB"/>
        </w:rPr>
        <w:t>3</w:t>
      </w:r>
      <w:r w:rsidR="00816F53" w:rsidRPr="00816F53">
        <w:rPr>
          <w:vertAlign w:val="superscript"/>
          <w:lang w:val="en-GB"/>
        </w:rPr>
        <w:t>-</w:t>
      </w:r>
      <w:r w:rsidR="00816F53" w:rsidRPr="00816F53">
        <w:rPr>
          <w:lang w:val="en-GB"/>
        </w:rPr>
        <w:t xml:space="preserve"> or N-NO</w:t>
      </w:r>
      <w:r w:rsidR="00816F53" w:rsidRPr="00816F53">
        <w:rPr>
          <w:vertAlign w:val="subscript"/>
          <w:lang w:val="en-GB"/>
        </w:rPr>
        <w:t>2</w:t>
      </w:r>
      <w:r w:rsidR="00816F53" w:rsidRPr="00816F53">
        <w:rPr>
          <w:vertAlign w:val="superscript"/>
          <w:lang w:val="en-GB"/>
        </w:rPr>
        <w:t>-</w:t>
      </w:r>
      <w:r w:rsidR="00816F53">
        <w:rPr>
          <w:lang w:val="en-GB"/>
        </w:rPr>
        <w:t>)</w:t>
      </w:r>
      <w:r w:rsidRPr="001B1A7D">
        <w:rPr>
          <w:lang w:val="en-GB"/>
        </w:rPr>
        <w:t xml:space="preserve"> activated sludge concentrations of </w:t>
      </w:r>
      <w:bookmarkStart w:id="1" w:name="_Hlk90469648"/>
      <w:r w:rsidRPr="001B1A7D">
        <w:rPr>
          <w:lang w:val="en-GB"/>
        </w:rPr>
        <w:t>7.5 - 10 mg/L and 50 - 100 mg VSS/L</w:t>
      </w:r>
      <w:bookmarkEnd w:id="1"/>
      <w:r w:rsidRPr="001B1A7D">
        <w:rPr>
          <w:lang w:val="en-GB"/>
        </w:rPr>
        <w:t xml:space="preserve">, respectively. Acetic acid was partially </w:t>
      </w:r>
      <w:r w:rsidRPr="001B1A7D">
        <w:rPr>
          <w:lang w:val="en-GB"/>
        </w:rPr>
        <w:lastRenderedPageBreak/>
        <w:t>metabolized by microorganisms</w:t>
      </w:r>
      <w:r w:rsidR="005A7165">
        <w:rPr>
          <w:lang w:val="en-GB"/>
        </w:rPr>
        <w:t xml:space="preserve"> </w:t>
      </w:r>
      <w:r w:rsidR="005A7165" w:rsidRPr="005A7165">
        <w:rPr>
          <w:lang w:val="en-GB"/>
        </w:rPr>
        <w:t xml:space="preserve">(from 27 to 23 </w:t>
      </w:r>
      <w:proofErr w:type="spellStart"/>
      <w:r w:rsidR="005A7165" w:rsidRPr="005A7165">
        <w:rPr>
          <w:lang w:val="en-GB"/>
        </w:rPr>
        <w:t>ppm</w:t>
      </w:r>
      <w:r w:rsidR="005A7165" w:rsidRPr="005A7165">
        <w:rPr>
          <w:vertAlign w:val="subscript"/>
          <w:lang w:val="en-GB"/>
        </w:rPr>
        <w:t>v</w:t>
      </w:r>
      <w:proofErr w:type="spellEnd"/>
      <w:r w:rsidR="005A7165" w:rsidRPr="005A7165">
        <w:rPr>
          <w:lang w:val="en-GB"/>
        </w:rPr>
        <w:t xml:space="preserve"> in 4.5 h)</w:t>
      </w:r>
      <w:r w:rsidRPr="001B1A7D">
        <w:rPr>
          <w:lang w:val="en-GB"/>
        </w:rPr>
        <w:t xml:space="preserve"> when complete biological oxidation of H</w:t>
      </w:r>
      <w:r w:rsidRPr="001B1A7D">
        <w:rPr>
          <w:vertAlign w:val="subscript"/>
          <w:lang w:val="en-GB"/>
        </w:rPr>
        <w:t>2</w:t>
      </w:r>
      <w:r w:rsidRPr="001B1A7D">
        <w:rPr>
          <w:lang w:val="en-GB"/>
        </w:rPr>
        <w:t>S was reached and a slight decrease in α-pinene concentration was observed</w:t>
      </w:r>
      <w:r w:rsidR="00CE2AF2">
        <w:rPr>
          <w:lang w:val="en-GB"/>
        </w:rPr>
        <w:t xml:space="preserve"> </w:t>
      </w:r>
      <w:r w:rsidR="00CE2AF2" w:rsidRPr="005A7165">
        <w:rPr>
          <w:lang w:val="en-GB"/>
        </w:rPr>
        <w:t xml:space="preserve">(from </w:t>
      </w:r>
      <w:r w:rsidR="00CE2AF2">
        <w:rPr>
          <w:lang w:val="en-GB"/>
        </w:rPr>
        <w:t>13</w:t>
      </w:r>
      <w:r w:rsidR="00CE2AF2" w:rsidRPr="005A7165">
        <w:rPr>
          <w:lang w:val="en-GB"/>
        </w:rPr>
        <w:t xml:space="preserve"> to </w:t>
      </w:r>
      <w:r w:rsidR="00CE2AF2">
        <w:rPr>
          <w:lang w:val="en-GB"/>
        </w:rPr>
        <w:t>8</w:t>
      </w:r>
      <w:r w:rsidR="00CE2AF2" w:rsidRPr="005A7165">
        <w:rPr>
          <w:lang w:val="en-GB"/>
        </w:rPr>
        <w:t xml:space="preserve"> </w:t>
      </w:r>
      <w:proofErr w:type="spellStart"/>
      <w:r w:rsidR="00CE2AF2" w:rsidRPr="005A7165">
        <w:rPr>
          <w:lang w:val="en-GB"/>
        </w:rPr>
        <w:t>ppm</w:t>
      </w:r>
      <w:r w:rsidR="00CE2AF2" w:rsidRPr="005A7165">
        <w:rPr>
          <w:vertAlign w:val="subscript"/>
          <w:lang w:val="en-GB"/>
        </w:rPr>
        <w:t>v</w:t>
      </w:r>
      <w:proofErr w:type="spellEnd"/>
      <w:r w:rsidR="00CE2AF2" w:rsidRPr="005A7165">
        <w:rPr>
          <w:lang w:val="en-GB"/>
        </w:rPr>
        <w:t xml:space="preserve"> in 4.5 h)</w:t>
      </w:r>
      <w:r w:rsidRPr="001B1A7D">
        <w:rPr>
          <w:lang w:val="en-GB"/>
        </w:rPr>
        <w:t xml:space="preserve"> by adsorption phenomena. Moreover, </w:t>
      </w:r>
      <w:bookmarkStart w:id="2" w:name="_Hlk90469865"/>
      <w:r w:rsidRPr="001B1A7D">
        <w:rPr>
          <w:lang w:val="en-GB"/>
        </w:rPr>
        <w:t>NO</w:t>
      </w:r>
      <w:r w:rsidRPr="001B1A7D">
        <w:rPr>
          <w:vertAlign w:val="subscript"/>
          <w:lang w:val="en-GB"/>
        </w:rPr>
        <w:t>3</w:t>
      </w:r>
      <w:r w:rsidRPr="001B1A7D">
        <w:rPr>
          <w:vertAlign w:val="superscript"/>
          <w:lang w:val="en-GB"/>
        </w:rPr>
        <w:t>-</w:t>
      </w:r>
      <w:r w:rsidRPr="001B1A7D">
        <w:rPr>
          <w:lang w:val="en-GB"/>
        </w:rPr>
        <w:t xml:space="preserve"> supported a more effective odorant abatement than NO</w:t>
      </w:r>
      <w:r w:rsidRPr="001B1A7D">
        <w:rPr>
          <w:vertAlign w:val="subscript"/>
          <w:lang w:val="en-GB"/>
        </w:rPr>
        <w:t>2</w:t>
      </w:r>
      <w:r w:rsidRPr="001B1A7D">
        <w:rPr>
          <w:vertAlign w:val="superscript"/>
          <w:lang w:val="en-GB"/>
        </w:rPr>
        <w:t>-</w:t>
      </w:r>
      <w:bookmarkEnd w:id="2"/>
      <w:r w:rsidRPr="001B1A7D">
        <w:rPr>
          <w:lang w:val="en-GB"/>
        </w:rPr>
        <w:t>. Finally, a marked reduction of NO</w:t>
      </w:r>
      <w:r w:rsidRPr="001B1A7D">
        <w:rPr>
          <w:vertAlign w:val="subscript"/>
          <w:lang w:val="en-GB"/>
        </w:rPr>
        <w:t>2</w:t>
      </w:r>
      <w:r w:rsidRPr="001B1A7D">
        <w:rPr>
          <w:vertAlign w:val="superscript"/>
          <w:lang w:val="en-GB"/>
        </w:rPr>
        <w:t>-</w:t>
      </w:r>
      <w:r w:rsidRPr="001B1A7D">
        <w:rPr>
          <w:lang w:val="en-GB"/>
        </w:rPr>
        <w:t xml:space="preserve"> was observed when increasing AS concentration, suggesting that higher concentrations of NO</w:t>
      </w:r>
      <w:r w:rsidRPr="001B1A7D">
        <w:rPr>
          <w:vertAlign w:val="subscript"/>
          <w:lang w:val="en-GB"/>
        </w:rPr>
        <w:t>2</w:t>
      </w:r>
      <w:r w:rsidRPr="001B1A7D">
        <w:rPr>
          <w:vertAlign w:val="superscript"/>
          <w:lang w:val="en-GB"/>
        </w:rPr>
        <w:t>-</w:t>
      </w:r>
      <w:r w:rsidRPr="001B1A7D">
        <w:rPr>
          <w:lang w:val="en-GB"/>
        </w:rPr>
        <w:t xml:space="preserve"> compared to NO</w:t>
      </w:r>
      <w:r w:rsidRPr="001B1A7D">
        <w:rPr>
          <w:vertAlign w:val="subscript"/>
          <w:lang w:val="en-GB"/>
        </w:rPr>
        <w:t>3</w:t>
      </w:r>
      <w:r w:rsidRPr="001B1A7D">
        <w:rPr>
          <w:vertAlign w:val="superscript"/>
          <w:lang w:val="en-GB"/>
        </w:rPr>
        <w:t>-</w:t>
      </w:r>
      <w:r w:rsidRPr="001B1A7D">
        <w:rPr>
          <w:lang w:val="en-GB"/>
        </w:rPr>
        <w:t xml:space="preserve"> are required to carry out the complete biological oxidation of odorants during wastewater treatment.</w:t>
      </w:r>
    </w:p>
    <w:p w14:paraId="77649CD6" w14:textId="77777777" w:rsidR="00497C4E" w:rsidRDefault="00876756" w:rsidP="00497C4E">
      <w:pPr>
        <w:pStyle w:val="CETHeading1"/>
        <w:numPr>
          <w:ilvl w:val="0"/>
          <w:numId w:val="0"/>
        </w:numPr>
      </w:pPr>
      <w:r w:rsidRPr="00497C4E">
        <w:t>Acknowledgments</w:t>
      </w:r>
    </w:p>
    <w:p w14:paraId="13CE0647" w14:textId="77777777" w:rsidR="00497C4E" w:rsidRDefault="00F302D5" w:rsidP="00497C4E">
      <w:pPr>
        <w:pStyle w:val="CETHeading1"/>
        <w:numPr>
          <w:ilvl w:val="0"/>
          <w:numId w:val="0"/>
        </w:numPr>
        <w:jc w:val="both"/>
        <w:rPr>
          <w:b w:val="0"/>
          <w:bCs/>
          <w:sz w:val="18"/>
          <w:szCs w:val="18"/>
          <w:lang w:val="en-GB"/>
        </w:rPr>
      </w:pPr>
      <w:r w:rsidRPr="00497C4E">
        <w:rPr>
          <w:b w:val="0"/>
          <w:bCs/>
          <w:sz w:val="18"/>
          <w:szCs w:val="18"/>
        </w:rPr>
        <w:t>This work was supported by the Regional Government of Castilla y León and the EU-FEDER programme (CLU 2017</w:t>
      </w:r>
      <w:r w:rsidRPr="00497C4E">
        <w:rPr>
          <w:b w:val="0"/>
          <w:bCs/>
          <w:sz w:val="18"/>
          <w:szCs w:val="18"/>
          <w:lang w:val="en-GB"/>
        </w:rPr>
        <w:t>-09 and UIC 315). The financial support from the Spanish Ministry of Science and Innovation is gratefully acknowledged (FJC2019-039791-I).</w:t>
      </w:r>
    </w:p>
    <w:p w14:paraId="56E4C254" w14:textId="7A89CEC3" w:rsidR="00F302D5" w:rsidRPr="00497C4E" w:rsidRDefault="00F302D5" w:rsidP="00497C4E">
      <w:pPr>
        <w:pStyle w:val="CETHeading1"/>
        <w:numPr>
          <w:ilvl w:val="0"/>
          <w:numId w:val="0"/>
        </w:numPr>
        <w:jc w:val="both"/>
        <w:rPr>
          <w:sz w:val="18"/>
          <w:szCs w:val="18"/>
        </w:rPr>
      </w:pPr>
      <w:r w:rsidRPr="00497C4E">
        <w:rPr>
          <w:lang w:val="en-GB"/>
        </w:rPr>
        <w:t>References</w:t>
      </w:r>
    </w:p>
    <w:p w14:paraId="0E0D1E2B" w14:textId="284B1B22" w:rsidR="007568CF" w:rsidRDefault="007568CF" w:rsidP="001F43EF">
      <w:pPr>
        <w:pStyle w:val="CETReferencetext"/>
        <w:rPr>
          <w:szCs w:val="18"/>
        </w:rPr>
      </w:pPr>
      <w:r w:rsidRPr="00035E08">
        <w:rPr>
          <w:szCs w:val="18"/>
          <w:lang w:val="en-US"/>
        </w:rPr>
        <w:t>Alleman, J.E., 1985</w:t>
      </w:r>
      <w:r>
        <w:rPr>
          <w:szCs w:val="18"/>
        </w:rPr>
        <w:t>,</w:t>
      </w:r>
      <w:r w:rsidRPr="00035E08">
        <w:rPr>
          <w:szCs w:val="18"/>
          <w:lang w:val="en-US"/>
        </w:rPr>
        <w:t xml:space="preserve"> Elevated Nitrite Occurrence in Biological Wastewater Treatment Systems</w:t>
      </w:r>
      <w:r>
        <w:rPr>
          <w:szCs w:val="18"/>
        </w:rPr>
        <w:t>,</w:t>
      </w:r>
      <w:r w:rsidRPr="00035E08">
        <w:rPr>
          <w:szCs w:val="18"/>
          <w:lang w:val="en-US"/>
        </w:rPr>
        <w:t xml:space="preserve"> </w:t>
      </w:r>
      <w:r w:rsidRPr="00035E08">
        <w:rPr>
          <w:szCs w:val="18"/>
        </w:rPr>
        <w:t>Water Science &amp; Technology</w:t>
      </w:r>
      <w:r>
        <w:rPr>
          <w:szCs w:val="18"/>
        </w:rPr>
        <w:t>,</w:t>
      </w:r>
      <w:r w:rsidRPr="00035E08">
        <w:rPr>
          <w:szCs w:val="18"/>
          <w:lang w:val="en-US"/>
        </w:rPr>
        <w:t xml:space="preserve"> 17, 409–419.</w:t>
      </w:r>
    </w:p>
    <w:p w14:paraId="30758521" w14:textId="38886FF1" w:rsidR="007568CF" w:rsidRDefault="007568CF" w:rsidP="001F43EF">
      <w:pPr>
        <w:pStyle w:val="CETReferencetext"/>
        <w:rPr>
          <w:szCs w:val="18"/>
          <w:lang w:val="en-US"/>
        </w:rPr>
      </w:pPr>
      <w:r w:rsidRPr="00AD0D99">
        <w:rPr>
          <w:szCs w:val="18"/>
          <w:lang w:val="en-US"/>
        </w:rPr>
        <w:t xml:space="preserve">Bajaj, M., </w:t>
      </w:r>
      <w:proofErr w:type="spellStart"/>
      <w:r w:rsidRPr="00AD0D99">
        <w:rPr>
          <w:szCs w:val="18"/>
          <w:lang w:val="en-US"/>
        </w:rPr>
        <w:t>Gallert</w:t>
      </w:r>
      <w:proofErr w:type="spellEnd"/>
      <w:r w:rsidRPr="00AD0D99">
        <w:rPr>
          <w:szCs w:val="18"/>
          <w:lang w:val="en-US"/>
        </w:rPr>
        <w:t>, C., Winter, J., 2008</w:t>
      </w:r>
      <w:r>
        <w:rPr>
          <w:szCs w:val="18"/>
        </w:rPr>
        <w:t>,</w:t>
      </w:r>
      <w:r w:rsidRPr="00AD0D99">
        <w:rPr>
          <w:szCs w:val="18"/>
          <w:lang w:val="en-US"/>
        </w:rPr>
        <w:t xml:space="preserve"> Biodegradation of high phenol containing synthetic wastewater by an aerobic fixed bed reactor</w:t>
      </w:r>
      <w:r>
        <w:rPr>
          <w:szCs w:val="18"/>
        </w:rPr>
        <w:t>,</w:t>
      </w:r>
      <w:r w:rsidRPr="00AD0D99">
        <w:rPr>
          <w:szCs w:val="18"/>
          <w:lang w:val="en-US"/>
        </w:rPr>
        <w:t xml:space="preserve"> Bioresource Technology, 99, 8376–8381.</w:t>
      </w:r>
    </w:p>
    <w:p w14:paraId="653B3555" w14:textId="28FBD682" w:rsidR="00F6070B" w:rsidRDefault="00F6070B" w:rsidP="001F43EF">
      <w:pPr>
        <w:pStyle w:val="CETReferencetext"/>
        <w:rPr>
          <w:szCs w:val="18"/>
        </w:rPr>
      </w:pPr>
      <w:proofErr w:type="spellStart"/>
      <w:r w:rsidRPr="00F6070B">
        <w:rPr>
          <w:szCs w:val="18"/>
        </w:rPr>
        <w:t>Beghi</w:t>
      </w:r>
      <w:proofErr w:type="spellEnd"/>
      <w:r>
        <w:rPr>
          <w:szCs w:val="18"/>
        </w:rPr>
        <w:t>,</w:t>
      </w:r>
      <w:r w:rsidRPr="00F6070B">
        <w:rPr>
          <w:szCs w:val="18"/>
        </w:rPr>
        <w:t xml:space="preserve"> S., Rodrigues</w:t>
      </w:r>
      <w:r>
        <w:rPr>
          <w:szCs w:val="18"/>
        </w:rPr>
        <w:t>,</w:t>
      </w:r>
      <w:r w:rsidRPr="00F6070B">
        <w:rPr>
          <w:szCs w:val="18"/>
        </w:rPr>
        <w:t xml:space="preserve"> A., De Sa</w:t>
      </w:r>
      <w:r>
        <w:rPr>
          <w:szCs w:val="18"/>
        </w:rPr>
        <w:t>,</w:t>
      </w:r>
      <w:r w:rsidRPr="00F6070B">
        <w:rPr>
          <w:szCs w:val="18"/>
        </w:rPr>
        <w:t xml:space="preserve"> L., Santos</w:t>
      </w:r>
      <w:r>
        <w:rPr>
          <w:szCs w:val="18"/>
        </w:rPr>
        <w:t>,</w:t>
      </w:r>
      <w:r w:rsidRPr="00F6070B">
        <w:rPr>
          <w:szCs w:val="18"/>
        </w:rPr>
        <w:t xml:space="preserve"> J., 2012, Estimating Hydrogen Sulphide Emissions from an Anaerobic Lagoon, Chemical Engineering Transactions, 30, 91</w:t>
      </w:r>
      <w:r w:rsidRPr="00AD0D99">
        <w:rPr>
          <w:szCs w:val="18"/>
          <w:lang w:val="en-US"/>
        </w:rPr>
        <w:t>–</w:t>
      </w:r>
      <w:r w:rsidRPr="00F6070B">
        <w:rPr>
          <w:szCs w:val="18"/>
        </w:rPr>
        <w:t>96.</w:t>
      </w:r>
    </w:p>
    <w:p w14:paraId="5387F3A0" w14:textId="4DBF832E" w:rsidR="009E2041" w:rsidRDefault="009E2041" w:rsidP="001F43EF">
      <w:pPr>
        <w:pStyle w:val="CETReferencetext"/>
        <w:rPr>
          <w:szCs w:val="18"/>
        </w:rPr>
      </w:pPr>
      <w:r w:rsidRPr="009E2041">
        <w:rPr>
          <w:szCs w:val="18"/>
          <w:lang w:val="en-US"/>
        </w:rPr>
        <w:t xml:space="preserve">Costa, J.A.S., de Jesus, R.A., Santos, D.O., Mano, J.F., </w:t>
      </w:r>
      <w:proofErr w:type="spellStart"/>
      <w:r w:rsidRPr="009E2041">
        <w:rPr>
          <w:szCs w:val="18"/>
          <w:lang w:val="en-US"/>
        </w:rPr>
        <w:t>Romão</w:t>
      </w:r>
      <w:proofErr w:type="spellEnd"/>
      <w:r w:rsidRPr="009E2041">
        <w:rPr>
          <w:szCs w:val="18"/>
          <w:lang w:val="en-US"/>
        </w:rPr>
        <w:t xml:space="preserve">, L.P.C., </w:t>
      </w:r>
      <w:proofErr w:type="spellStart"/>
      <w:r w:rsidRPr="009E2041">
        <w:rPr>
          <w:szCs w:val="18"/>
          <w:lang w:val="en-US"/>
        </w:rPr>
        <w:t>Paranhos</w:t>
      </w:r>
      <w:proofErr w:type="spellEnd"/>
      <w:r w:rsidRPr="009E2041">
        <w:rPr>
          <w:szCs w:val="18"/>
          <w:lang w:val="en-US"/>
        </w:rPr>
        <w:t>, C.M., 2020, Recent progresses in the adsorption of organic, inorganic, and gas compounds by MCM-41-based mesoporous materials. Microporous and Mesoporous Materials, 291, 109698.</w:t>
      </w:r>
    </w:p>
    <w:p w14:paraId="020E32DD" w14:textId="75C1FBE8" w:rsidR="007568CF" w:rsidRDefault="007568CF" w:rsidP="001F43EF">
      <w:pPr>
        <w:pStyle w:val="CETReferencetext"/>
        <w:rPr>
          <w:szCs w:val="18"/>
        </w:rPr>
      </w:pPr>
      <w:proofErr w:type="spellStart"/>
      <w:r w:rsidRPr="005F0063">
        <w:rPr>
          <w:szCs w:val="18"/>
          <w:lang w:val="en-US"/>
        </w:rPr>
        <w:t>Dinçer</w:t>
      </w:r>
      <w:proofErr w:type="spellEnd"/>
      <w:r w:rsidRPr="005F0063">
        <w:rPr>
          <w:szCs w:val="18"/>
          <w:lang w:val="en-US"/>
        </w:rPr>
        <w:t xml:space="preserve">, F., </w:t>
      </w:r>
      <w:proofErr w:type="spellStart"/>
      <w:r w:rsidRPr="005F0063">
        <w:rPr>
          <w:szCs w:val="18"/>
          <w:lang w:val="en-US"/>
        </w:rPr>
        <w:t>Dinçer</w:t>
      </w:r>
      <w:proofErr w:type="spellEnd"/>
      <w:r w:rsidRPr="005F0063">
        <w:rPr>
          <w:szCs w:val="18"/>
          <w:lang w:val="en-US"/>
        </w:rPr>
        <w:t xml:space="preserve">, F.K., </w:t>
      </w:r>
      <w:proofErr w:type="spellStart"/>
      <w:r w:rsidRPr="005F0063">
        <w:rPr>
          <w:szCs w:val="18"/>
          <w:lang w:val="en-US"/>
        </w:rPr>
        <w:t>Sarı</w:t>
      </w:r>
      <w:proofErr w:type="spellEnd"/>
      <w:r w:rsidRPr="005F0063">
        <w:rPr>
          <w:szCs w:val="18"/>
          <w:lang w:val="en-US"/>
        </w:rPr>
        <w:t xml:space="preserve">, D., </w:t>
      </w:r>
      <w:proofErr w:type="spellStart"/>
      <w:r w:rsidRPr="005F0063">
        <w:rPr>
          <w:szCs w:val="18"/>
          <w:lang w:val="en-US"/>
        </w:rPr>
        <w:t>Ceylan</w:t>
      </w:r>
      <w:proofErr w:type="spellEnd"/>
      <w:r w:rsidRPr="005F0063">
        <w:rPr>
          <w:szCs w:val="18"/>
          <w:lang w:val="en-US"/>
        </w:rPr>
        <w:t xml:space="preserve">, Ö., </w:t>
      </w:r>
      <w:proofErr w:type="spellStart"/>
      <w:r w:rsidRPr="005F0063">
        <w:rPr>
          <w:szCs w:val="18"/>
          <w:lang w:val="en-US"/>
        </w:rPr>
        <w:t>Ercan</w:t>
      </w:r>
      <w:proofErr w:type="spellEnd"/>
      <w:r w:rsidRPr="005F0063">
        <w:rPr>
          <w:szCs w:val="18"/>
          <w:lang w:val="en-US"/>
        </w:rPr>
        <w:t>, Ö., 2020, Dispersion modeling and air quality measurements to evaluate the odor impact of a wastewater treatment plant in İzmir</w:t>
      </w:r>
      <w:r>
        <w:rPr>
          <w:szCs w:val="18"/>
        </w:rPr>
        <w:t>,</w:t>
      </w:r>
      <w:r w:rsidRPr="005F0063">
        <w:rPr>
          <w:szCs w:val="18"/>
          <w:lang w:val="en-US"/>
        </w:rPr>
        <w:t xml:space="preserve"> </w:t>
      </w:r>
      <w:r w:rsidRPr="005F0063">
        <w:rPr>
          <w:szCs w:val="18"/>
        </w:rPr>
        <w:t>Atmospheric Pollution Research</w:t>
      </w:r>
      <w:r>
        <w:rPr>
          <w:szCs w:val="18"/>
        </w:rPr>
        <w:t xml:space="preserve">, </w:t>
      </w:r>
      <w:r w:rsidRPr="005F0063">
        <w:rPr>
          <w:szCs w:val="18"/>
          <w:lang w:val="en-US"/>
        </w:rPr>
        <w:t>11, 2119–2125.</w:t>
      </w:r>
    </w:p>
    <w:p w14:paraId="00FC40CD" w14:textId="684EAC3F" w:rsidR="007568CF" w:rsidRDefault="007568CF" w:rsidP="001F43EF">
      <w:pPr>
        <w:pStyle w:val="CETReferencetext"/>
        <w:rPr>
          <w:szCs w:val="18"/>
        </w:rPr>
      </w:pPr>
      <w:r w:rsidRPr="006D4FFA">
        <w:rPr>
          <w:szCs w:val="18"/>
          <w:lang w:val="en-US"/>
        </w:rPr>
        <w:t xml:space="preserve">Estrada, J.M., </w:t>
      </w:r>
      <w:proofErr w:type="spellStart"/>
      <w:r w:rsidRPr="006D4FFA">
        <w:rPr>
          <w:szCs w:val="18"/>
          <w:lang w:val="en-US"/>
        </w:rPr>
        <w:t>Kraakman</w:t>
      </w:r>
      <w:proofErr w:type="spellEnd"/>
      <w:r w:rsidRPr="006D4FFA">
        <w:rPr>
          <w:szCs w:val="18"/>
          <w:lang w:val="en-US"/>
        </w:rPr>
        <w:t xml:space="preserve">, N.J.R., </w:t>
      </w:r>
      <w:proofErr w:type="spellStart"/>
      <w:r w:rsidRPr="006D4FFA">
        <w:rPr>
          <w:szCs w:val="18"/>
          <w:lang w:val="en-US"/>
        </w:rPr>
        <w:t>Lebrero</w:t>
      </w:r>
      <w:proofErr w:type="spellEnd"/>
      <w:r w:rsidRPr="006D4FFA">
        <w:rPr>
          <w:szCs w:val="18"/>
          <w:lang w:val="en-US"/>
        </w:rPr>
        <w:t>, R., Muñoz, R., 2015, Integral approaches to wastewater treatment plant upgrading for odor prevention: Activated Sludge and Oxidized Ammonium Recycling</w:t>
      </w:r>
      <w:r>
        <w:rPr>
          <w:szCs w:val="18"/>
        </w:rPr>
        <w:t>,</w:t>
      </w:r>
      <w:r w:rsidRPr="006D4FFA">
        <w:rPr>
          <w:szCs w:val="18"/>
          <w:lang w:val="en-US"/>
        </w:rPr>
        <w:t xml:space="preserve"> Bioresour</w:t>
      </w:r>
      <w:r>
        <w:rPr>
          <w:szCs w:val="18"/>
        </w:rPr>
        <w:t>ce</w:t>
      </w:r>
      <w:r w:rsidRPr="006D4FFA">
        <w:rPr>
          <w:szCs w:val="18"/>
          <w:lang w:val="en-US"/>
        </w:rPr>
        <w:t xml:space="preserve"> Technol</w:t>
      </w:r>
      <w:r>
        <w:rPr>
          <w:szCs w:val="18"/>
        </w:rPr>
        <w:t>ogy, 196, 685</w:t>
      </w:r>
      <w:r w:rsidRPr="005F0063">
        <w:rPr>
          <w:szCs w:val="18"/>
          <w:lang w:val="en-US"/>
        </w:rPr>
        <w:t>–</w:t>
      </w:r>
      <w:r>
        <w:rPr>
          <w:szCs w:val="18"/>
        </w:rPr>
        <w:t>693.</w:t>
      </w:r>
    </w:p>
    <w:p w14:paraId="4F1B8B49" w14:textId="0950C306" w:rsidR="007568CF" w:rsidRDefault="007568CF" w:rsidP="001F43EF">
      <w:pPr>
        <w:pStyle w:val="CETReferencetext"/>
        <w:rPr>
          <w:szCs w:val="18"/>
        </w:rPr>
      </w:pPr>
      <w:r w:rsidRPr="00D774E4">
        <w:rPr>
          <w:szCs w:val="18"/>
          <w:lang w:val="en-US"/>
        </w:rPr>
        <w:t>Hale, S.E., Endo, S., Arp, H.P.H., Zimmerman, A.R., Cornelissen, G., 2015</w:t>
      </w:r>
      <w:r>
        <w:rPr>
          <w:szCs w:val="18"/>
        </w:rPr>
        <w:t>,</w:t>
      </w:r>
      <w:r w:rsidRPr="00D774E4">
        <w:rPr>
          <w:szCs w:val="18"/>
          <w:lang w:val="en-US"/>
        </w:rPr>
        <w:t xml:space="preserve"> Sorption of the monoterpenes </w:t>
      </w:r>
      <w:r w:rsidRPr="00D774E4">
        <w:rPr>
          <w:szCs w:val="18"/>
          <w:lang w:val="es-ES"/>
        </w:rPr>
        <w:t>α</w:t>
      </w:r>
      <w:r w:rsidRPr="00D774E4">
        <w:rPr>
          <w:szCs w:val="18"/>
          <w:lang w:val="en-US"/>
        </w:rPr>
        <w:t xml:space="preserve">-pinene and limonene to carbonaceous </w:t>
      </w:r>
      <w:proofErr w:type="spellStart"/>
      <w:r w:rsidRPr="00D774E4">
        <w:rPr>
          <w:szCs w:val="18"/>
          <w:lang w:val="en-US"/>
        </w:rPr>
        <w:t>geosorbents</w:t>
      </w:r>
      <w:proofErr w:type="spellEnd"/>
      <w:r w:rsidRPr="00D774E4">
        <w:rPr>
          <w:szCs w:val="18"/>
          <w:lang w:val="en-US"/>
        </w:rPr>
        <w:t xml:space="preserve"> including biochar</w:t>
      </w:r>
      <w:r>
        <w:rPr>
          <w:szCs w:val="18"/>
        </w:rPr>
        <w:t>,</w:t>
      </w:r>
      <w:r w:rsidRPr="00D774E4">
        <w:rPr>
          <w:szCs w:val="18"/>
          <w:lang w:val="en-US"/>
        </w:rPr>
        <w:t xml:space="preserve"> Chemospher</w:t>
      </w:r>
      <w:r>
        <w:rPr>
          <w:szCs w:val="18"/>
        </w:rPr>
        <w:t>e,</w:t>
      </w:r>
      <w:r w:rsidRPr="00D774E4">
        <w:rPr>
          <w:szCs w:val="18"/>
          <w:lang w:val="en-US"/>
        </w:rPr>
        <w:t xml:space="preserve"> 119, 881–888.</w:t>
      </w:r>
    </w:p>
    <w:p w14:paraId="7A566197" w14:textId="6229C13C" w:rsidR="00497C4E" w:rsidRDefault="00497C4E" w:rsidP="001F43EF">
      <w:pPr>
        <w:pStyle w:val="CETReferencetext"/>
        <w:rPr>
          <w:szCs w:val="18"/>
          <w:lang w:val="en-US"/>
        </w:rPr>
      </w:pPr>
      <w:proofErr w:type="spellStart"/>
      <w:r w:rsidRPr="00497C4E">
        <w:rPr>
          <w:szCs w:val="18"/>
          <w:lang w:val="en-US"/>
        </w:rPr>
        <w:t>Hartungen</w:t>
      </w:r>
      <w:proofErr w:type="spellEnd"/>
      <w:r w:rsidRPr="00497C4E">
        <w:rPr>
          <w:szCs w:val="18"/>
          <w:lang w:val="en-US"/>
        </w:rPr>
        <w:t xml:space="preserve">, E. Von, </w:t>
      </w:r>
      <w:proofErr w:type="spellStart"/>
      <w:r w:rsidRPr="00497C4E">
        <w:rPr>
          <w:szCs w:val="18"/>
          <w:lang w:val="en-US"/>
        </w:rPr>
        <w:t>Wisthaler</w:t>
      </w:r>
      <w:proofErr w:type="spellEnd"/>
      <w:r w:rsidRPr="00497C4E">
        <w:rPr>
          <w:szCs w:val="18"/>
          <w:lang w:val="en-US"/>
        </w:rPr>
        <w:t xml:space="preserve">, A., </w:t>
      </w:r>
      <w:proofErr w:type="spellStart"/>
      <w:r w:rsidRPr="00497C4E">
        <w:rPr>
          <w:szCs w:val="18"/>
          <w:lang w:val="en-US"/>
        </w:rPr>
        <w:t>Mikoviny</w:t>
      </w:r>
      <w:proofErr w:type="spellEnd"/>
      <w:r w:rsidRPr="00497C4E">
        <w:rPr>
          <w:szCs w:val="18"/>
          <w:lang w:val="en-US"/>
        </w:rPr>
        <w:t xml:space="preserve">, T., </w:t>
      </w:r>
      <w:proofErr w:type="spellStart"/>
      <w:r w:rsidRPr="00497C4E">
        <w:rPr>
          <w:szCs w:val="18"/>
          <w:lang w:val="en-US"/>
        </w:rPr>
        <w:t>Jaksch</w:t>
      </w:r>
      <w:proofErr w:type="spellEnd"/>
      <w:r w:rsidRPr="00497C4E">
        <w:rPr>
          <w:szCs w:val="18"/>
          <w:lang w:val="en-US"/>
        </w:rPr>
        <w:t xml:space="preserve">, D., </w:t>
      </w:r>
      <w:proofErr w:type="spellStart"/>
      <w:r w:rsidRPr="00497C4E">
        <w:rPr>
          <w:szCs w:val="18"/>
          <w:lang w:val="en-US"/>
        </w:rPr>
        <w:t>Boscaini</w:t>
      </w:r>
      <w:proofErr w:type="spellEnd"/>
      <w:r w:rsidRPr="00497C4E">
        <w:rPr>
          <w:szCs w:val="18"/>
          <w:lang w:val="en-US"/>
        </w:rPr>
        <w:t xml:space="preserve">, E., Dunphy, P.J., </w:t>
      </w:r>
      <w:proofErr w:type="spellStart"/>
      <w:r w:rsidRPr="00497C4E">
        <w:rPr>
          <w:szCs w:val="18"/>
          <w:lang w:val="en-US"/>
        </w:rPr>
        <w:t>Märk</w:t>
      </w:r>
      <w:proofErr w:type="spellEnd"/>
      <w:r w:rsidRPr="00497C4E">
        <w:rPr>
          <w:szCs w:val="18"/>
          <w:lang w:val="en-US"/>
        </w:rPr>
        <w:t>, T.D., 2004</w:t>
      </w:r>
      <w:r>
        <w:rPr>
          <w:szCs w:val="18"/>
        </w:rPr>
        <w:t>,</w:t>
      </w:r>
      <w:r w:rsidRPr="00497C4E">
        <w:rPr>
          <w:szCs w:val="18"/>
          <w:lang w:val="en-US"/>
        </w:rPr>
        <w:t xml:space="preserve"> Proton-transfer-reaction mass spectrometry (PTR-MS) of carboxylic acids: Determination of Henry’s law constants and axillary </w:t>
      </w:r>
      <w:proofErr w:type="spellStart"/>
      <w:r w:rsidRPr="00497C4E">
        <w:rPr>
          <w:szCs w:val="18"/>
          <w:lang w:val="en-US"/>
        </w:rPr>
        <w:t>odour</w:t>
      </w:r>
      <w:proofErr w:type="spellEnd"/>
      <w:r w:rsidRPr="00497C4E">
        <w:rPr>
          <w:szCs w:val="18"/>
          <w:lang w:val="en-US"/>
        </w:rPr>
        <w:t xml:space="preserve"> investigations</w:t>
      </w:r>
      <w:r>
        <w:rPr>
          <w:szCs w:val="18"/>
        </w:rPr>
        <w:t>,</w:t>
      </w:r>
      <w:r w:rsidRPr="00497C4E">
        <w:rPr>
          <w:szCs w:val="18"/>
          <w:lang w:val="en-US"/>
        </w:rPr>
        <w:t xml:space="preserve"> International Journal of Mass Spectrometry, 239, 243–248.</w:t>
      </w:r>
    </w:p>
    <w:p w14:paraId="5FCF7EE4" w14:textId="020B53E2" w:rsidR="007B2457" w:rsidRDefault="007B2457" w:rsidP="001F43EF">
      <w:pPr>
        <w:pStyle w:val="CETReferencetext"/>
        <w:rPr>
          <w:szCs w:val="18"/>
        </w:rPr>
      </w:pPr>
      <w:r w:rsidRPr="007B2457">
        <w:rPr>
          <w:szCs w:val="18"/>
        </w:rPr>
        <w:t>Hu</w:t>
      </w:r>
      <w:r>
        <w:rPr>
          <w:szCs w:val="18"/>
        </w:rPr>
        <w:t>,</w:t>
      </w:r>
      <w:r w:rsidRPr="007B2457">
        <w:rPr>
          <w:szCs w:val="18"/>
        </w:rPr>
        <w:t xml:space="preserve"> Z., Liu</w:t>
      </w:r>
      <w:r>
        <w:rPr>
          <w:szCs w:val="18"/>
        </w:rPr>
        <w:t>,</w:t>
      </w:r>
      <w:r w:rsidRPr="007B2457">
        <w:rPr>
          <w:szCs w:val="18"/>
        </w:rPr>
        <w:t xml:space="preserve"> L., 2018, The </w:t>
      </w:r>
      <w:proofErr w:type="spellStart"/>
      <w:r w:rsidRPr="007B2457">
        <w:rPr>
          <w:szCs w:val="18"/>
        </w:rPr>
        <w:t>Odor</w:t>
      </w:r>
      <w:proofErr w:type="spellEnd"/>
      <w:r w:rsidRPr="007B2457">
        <w:rPr>
          <w:szCs w:val="18"/>
        </w:rPr>
        <w:t xml:space="preserve"> Treatment Methods of Wastewater Treatment Plant Based on Biological Oxidation Process, Chemical Engineering Transactions, 68, 493</w:t>
      </w:r>
      <w:r w:rsidRPr="00497C4E">
        <w:rPr>
          <w:szCs w:val="18"/>
          <w:lang w:val="en-US"/>
        </w:rPr>
        <w:t>–</w:t>
      </w:r>
      <w:r w:rsidRPr="007B2457">
        <w:rPr>
          <w:szCs w:val="18"/>
        </w:rPr>
        <w:t>498.</w:t>
      </w:r>
    </w:p>
    <w:p w14:paraId="1392ABC9" w14:textId="67D41AF8" w:rsidR="007568CF" w:rsidRDefault="007568CF" w:rsidP="001F43EF">
      <w:pPr>
        <w:pStyle w:val="CETReferencetext"/>
        <w:rPr>
          <w:szCs w:val="18"/>
        </w:rPr>
      </w:pPr>
      <w:r w:rsidRPr="00D774E4">
        <w:rPr>
          <w:szCs w:val="18"/>
          <w:lang w:val="en-US"/>
        </w:rPr>
        <w:t xml:space="preserve">Janssen, P., </w:t>
      </w:r>
      <w:proofErr w:type="spellStart"/>
      <w:r w:rsidRPr="00D774E4">
        <w:rPr>
          <w:szCs w:val="18"/>
          <w:lang w:val="en-US"/>
        </w:rPr>
        <w:t>Meinema</w:t>
      </w:r>
      <w:proofErr w:type="spellEnd"/>
      <w:r w:rsidRPr="00D774E4">
        <w:rPr>
          <w:szCs w:val="18"/>
          <w:lang w:val="en-US"/>
        </w:rPr>
        <w:t xml:space="preserve">, K., van der </w:t>
      </w:r>
      <w:proofErr w:type="spellStart"/>
      <w:r w:rsidRPr="00D774E4">
        <w:rPr>
          <w:szCs w:val="18"/>
          <w:lang w:val="en-US"/>
        </w:rPr>
        <w:t>Roest</w:t>
      </w:r>
      <w:proofErr w:type="spellEnd"/>
      <w:r w:rsidRPr="00D774E4">
        <w:rPr>
          <w:szCs w:val="18"/>
          <w:lang w:val="en-US"/>
        </w:rPr>
        <w:t xml:space="preserve">, H., 2002, Biological Phosphorus Removal: Manual for Design and Operation, </w:t>
      </w:r>
      <w:proofErr w:type="spellStart"/>
      <w:r w:rsidRPr="00D774E4">
        <w:rPr>
          <w:szCs w:val="18"/>
          <w:lang w:val="en-US"/>
        </w:rPr>
        <w:t>Stowa</w:t>
      </w:r>
      <w:proofErr w:type="spellEnd"/>
      <w:r w:rsidRPr="00D774E4">
        <w:rPr>
          <w:szCs w:val="18"/>
          <w:lang w:val="en-US"/>
        </w:rPr>
        <w:t xml:space="preserve"> Reports</w:t>
      </w:r>
      <w:r>
        <w:rPr>
          <w:szCs w:val="18"/>
        </w:rPr>
        <w:t>,</w:t>
      </w:r>
      <w:r w:rsidRPr="00D774E4">
        <w:rPr>
          <w:szCs w:val="18"/>
          <w:lang w:val="en-US"/>
        </w:rPr>
        <w:t xml:space="preserve"> IWA Publishing, London.</w:t>
      </w:r>
    </w:p>
    <w:p w14:paraId="60D6939F" w14:textId="77D72426" w:rsidR="007568CF" w:rsidRDefault="007568CF" w:rsidP="001F43EF">
      <w:pPr>
        <w:pStyle w:val="CETReferencetext"/>
        <w:rPr>
          <w:szCs w:val="18"/>
        </w:rPr>
      </w:pPr>
      <w:proofErr w:type="spellStart"/>
      <w:r w:rsidRPr="006D4FFA">
        <w:rPr>
          <w:szCs w:val="18"/>
          <w:lang w:val="en-US"/>
        </w:rPr>
        <w:t>Kiesewetter</w:t>
      </w:r>
      <w:proofErr w:type="spellEnd"/>
      <w:r w:rsidRPr="006D4FFA">
        <w:rPr>
          <w:szCs w:val="18"/>
          <w:lang w:val="en-US"/>
        </w:rPr>
        <w:t xml:space="preserve">, J., </w:t>
      </w:r>
      <w:proofErr w:type="spellStart"/>
      <w:r w:rsidRPr="006D4FFA">
        <w:rPr>
          <w:szCs w:val="18"/>
          <w:lang w:val="en-US"/>
        </w:rPr>
        <w:t>Kraakman</w:t>
      </w:r>
      <w:proofErr w:type="spellEnd"/>
      <w:r w:rsidRPr="006D4FFA">
        <w:rPr>
          <w:szCs w:val="18"/>
          <w:lang w:val="en-US"/>
        </w:rPr>
        <w:t xml:space="preserve">, B., </w:t>
      </w:r>
      <w:proofErr w:type="spellStart"/>
      <w:r w:rsidRPr="006D4FFA">
        <w:rPr>
          <w:szCs w:val="18"/>
          <w:lang w:val="en-US"/>
        </w:rPr>
        <w:t>Cesca</w:t>
      </w:r>
      <w:proofErr w:type="spellEnd"/>
      <w:r w:rsidRPr="006D4FFA">
        <w:rPr>
          <w:szCs w:val="18"/>
          <w:lang w:val="en-US"/>
        </w:rPr>
        <w:t>, J., Trainor, S., Witherspoon, J., 2014</w:t>
      </w:r>
      <w:r>
        <w:rPr>
          <w:szCs w:val="18"/>
        </w:rPr>
        <w:t>,</w:t>
      </w:r>
      <w:r w:rsidRPr="006D4FFA">
        <w:rPr>
          <w:szCs w:val="18"/>
          <w:lang w:val="en-US"/>
        </w:rPr>
        <w:t xml:space="preserve"> Expanding the Use of Activated Sludge at Biological </w:t>
      </w:r>
      <w:proofErr w:type="gramStart"/>
      <w:r w:rsidRPr="006D4FFA">
        <w:rPr>
          <w:szCs w:val="18"/>
          <w:lang w:val="en-US"/>
        </w:rPr>
        <w:t>Waste Water</w:t>
      </w:r>
      <w:proofErr w:type="gramEnd"/>
      <w:r w:rsidRPr="006D4FFA">
        <w:rPr>
          <w:szCs w:val="18"/>
          <w:lang w:val="en-US"/>
        </w:rPr>
        <w:t xml:space="preserve"> Treatment Plants for Odor Control</w:t>
      </w:r>
      <w:r>
        <w:rPr>
          <w:szCs w:val="18"/>
        </w:rPr>
        <w:t>,</w:t>
      </w:r>
      <w:r w:rsidRPr="006D4FFA">
        <w:rPr>
          <w:szCs w:val="18"/>
          <w:lang w:val="en-US"/>
        </w:rPr>
        <w:t xml:space="preserve"> </w:t>
      </w:r>
      <w:r w:rsidRPr="006D4FFA">
        <w:rPr>
          <w:szCs w:val="18"/>
        </w:rPr>
        <w:t>Proceedings of the Water Environment Federation</w:t>
      </w:r>
      <w:r>
        <w:rPr>
          <w:szCs w:val="18"/>
        </w:rPr>
        <w:t xml:space="preserve">, </w:t>
      </w:r>
      <w:r w:rsidRPr="006D4FFA">
        <w:rPr>
          <w:szCs w:val="18"/>
          <w:lang w:val="en-US"/>
        </w:rPr>
        <w:t>2012, 600–614.</w:t>
      </w:r>
    </w:p>
    <w:p w14:paraId="578E1DB3" w14:textId="77777777" w:rsidR="00497C4E" w:rsidRDefault="007568CF" w:rsidP="001F43EF">
      <w:pPr>
        <w:pStyle w:val="CETReferencetext"/>
        <w:rPr>
          <w:szCs w:val="18"/>
        </w:rPr>
      </w:pPr>
      <w:proofErr w:type="spellStart"/>
      <w:r w:rsidRPr="005F0063">
        <w:rPr>
          <w:szCs w:val="18"/>
          <w:lang w:val="en-US"/>
        </w:rPr>
        <w:t>Lebrero</w:t>
      </w:r>
      <w:proofErr w:type="spellEnd"/>
      <w:r w:rsidRPr="005F0063">
        <w:rPr>
          <w:szCs w:val="18"/>
          <w:lang w:val="en-US"/>
        </w:rPr>
        <w:t xml:space="preserve">, R., </w:t>
      </w:r>
      <w:proofErr w:type="spellStart"/>
      <w:r w:rsidRPr="005F0063">
        <w:rPr>
          <w:szCs w:val="18"/>
          <w:lang w:val="en-US"/>
        </w:rPr>
        <w:t>Bouchy</w:t>
      </w:r>
      <w:proofErr w:type="spellEnd"/>
      <w:r w:rsidRPr="005F0063">
        <w:rPr>
          <w:szCs w:val="18"/>
          <w:lang w:val="en-US"/>
        </w:rPr>
        <w:t xml:space="preserve">, L., </w:t>
      </w:r>
      <w:proofErr w:type="spellStart"/>
      <w:r w:rsidRPr="005F0063">
        <w:rPr>
          <w:szCs w:val="18"/>
          <w:lang w:val="en-US"/>
        </w:rPr>
        <w:t>Stuetz</w:t>
      </w:r>
      <w:proofErr w:type="spellEnd"/>
      <w:r w:rsidRPr="005F0063">
        <w:rPr>
          <w:szCs w:val="18"/>
          <w:lang w:val="en-US"/>
        </w:rPr>
        <w:t>, R., Muñoz, R., 2011</w:t>
      </w:r>
      <w:r>
        <w:rPr>
          <w:szCs w:val="18"/>
        </w:rPr>
        <w:t>,</w:t>
      </w:r>
      <w:r w:rsidRPr="005F0063">
        <w:rPr>
          <w:szCs w:val="18"/>
          <w:lang w:val="en-US"/>
        </w:rPr>
        <w:t xml:space="preserve"> Odor Assessment and Management in Wastewater Treatment Plants: A Review</w:t>
      </w:r>
      <w:r>
        <w:rPr>
          <w:szCs w:val="18"/>
        </w:rPr>
        <w:t>,</w:t>
      </w:r>
      <w:r w:rsidRPr="005F0063">
        <w:rPr>
          <w:szCs w:val="18"/>
          <w:lang w:val="en-US"/>
        </w:rPr>
        <w:t xml:space="preserve"> </w:t>
      </w:r>
      <w:hyperlink r:id="rId23" w:history="1">
        <w:r w:rsidRPr="005F0063">
          <w:rPr>
            <w:rStyle w:val="Hipervnculo"/>
            <w:color w:val="auto"/>
            <w:szCs w:val="18"/>
            <w:u w:val="none"/>
            <w:lang w:val="en-US"/>
          </w:rPr>
          <w:t>Critical Reviews in Environmental Science and Technology</w:t>
        </w:r>
      </w:hyperlink>
      <w:r>
        <w:rPr>
          <w:szCs w:val="18"/>
        </w:rPr>
        <w:t xml:space="preserve">, </w:t>
      </w:r>
      <w:r w:rsidRPr="005F0063">
        <w:rPr>
          <w:szCs w:val="18"/>
          <w:lang w:val="en-US"/>
        </w:rPr>
        <w:t>41, 915–950.</w:t>
      </w:r>
    </w:p>
    <w:p w14:paraId="14493CC2" w14:textId="70798D3E" w:rsidR="007568CF" w:rsidRPr="00F302D5" w:rsidRDefault="00497C4E" w:rsidP="001F43EF">
      <w:pPr>
        <w:pStyle w:val="CETReferencetext"/>
        <w:rPr>
          <w:szCs w:val="18"/>
          <w:lang w:val="en-US"/>
        </w:rPr>
      </w:pPr>
      <w:proofErr w:type="spellStart"/>
      <w:r w:rsidRPr="00497C4E">
        <w:rPr>
          <w:szCs w:val="18"/>
          <w:lang w:val="en-US"/>
        </w:rPr>
        <w:t>Leng</w:t>
      </w:r>
      <w:proofErr w:type="spellEnd"/>
      <w:r w:rsidRPr="00497C4E">
        <w:rPr>
          <w:szCs w:val="18"/>
          <w:lang w:val="en-US"/>
        </w:rPr>
        <w:t xml:space="preserve">, C., Kish, J.D., Kelley, J., Mach, M., </w:t>
      </w:r>
      <w:proofErr w:type="spellStart"/>
      <w:r w:rsidRPr="00497C4E">
        <w:rPr>
          <w:szCs w:val="18"/>
          <w:lang w:val="en-US"/>
        </w:rPr>
        <w:t>Hiltner</w:t>
      </w:r>
      <w:proofErr w:type="spellEnd"/>
      <w:r w:rsidRPr="00497C4E">
        <w:rPr>
          <w:szCs w:val="18"/>
          <w:lang w:val="en-US"/>
        </w:rPr>
        <w:t>, J., Zhang, Y., Liu, Y., 2013</w:t>
      </w:r>
      <w:r>
        <w:rPr>
          <w:szCs w:val="18"/>
        </w:rPr>
        <w:t>,</w:t>
      </w:r>
      <w:r w:rsidRPr="00497C4E">
        <w:rPr>
          <w:szCs w:val="18"/>
          <w:lang w:val="en-US"/>
        </w:rPr>
        <w:t xml:space="preserve"> Temperature-dependent Henry’s law constants of atmospheric organics of biogenic origin. The Journal of Physical Chemistry A</w:t>
      </w:r>
      <w:r>
        <w:rPr>
          <w:szCs w:val="18"/>
        </w:rPr>
        <w:t>,</w:t>
      </w:r>
      <w:r w:rsidRPr="00497C4E">
        <w:rPr>
          <w:szCs w:val="18"/>
          <w:lang w:val="en-US"/>
        </w:rPr>
        <w:t xml:space="preserve"> 117, 10359–10367.</w:t>
      </w:r>
      <w:r w:rsidR="007568CF" w:rsidRPr="00F302D5">
        <w:rPr>
          <w:szCs w:val="18"/>
          <w:lang w:val="en-US"/>
        </w:rPr>
        <w:t xml:space="preserve"> </w:t>
      </w:r>
    </w:p>
    <w:p w14:paraId="6F341E3A" w14:textId="66C37DCD" w:rsidR="00F302D5" w:rsidRDefault="00A918E9" w:rsidP="001F43EF">
      <w:pPr>
        <w:pStyle w:val="CETReferencetext"/>
        <w:rPr>
          <w:szCs w:val="18"/>
        </w:rPr>
      </w:pPr>
      <w:proofErr w:type="spellStart"/>
      <w:r w:rsidRPr="00A918E9">
        <w:rPr>
          <w:szCs w:val="18"/>
        </w:rPr>
        <w:t>Lewkowska</w:t>
      </w:r>
      <w:proofErr w:type="spellEnd"/>
      <w:r w:rsidRPr="00A918E9">
        <w:rPr>
          <w:szCs w:val="18"/>
        </w:rPr>
        <w:t xml:space="preserve">, P., </w:t>
      </w:r>
      <w:proofErr w:type="spellStart"/>
      <w:r w:rsidRPr="00A918E9">
        <w:rPr>
          <w:szCs w:val="18"/>
        </w:rPr>
        <w:t>Cieślik</w:t>
      </w:r>
      <w:proofErr w:type="spellEnd"/>
      <w:r w:rsidRPr="00A918E9">
        <w:rPr>
          <w:szCs w:val="18"/>
        </w:rPr>
        <w:t xml:space="preserve">, B., </w:t>
      </w:r>
      <w:proofErr w:type="spellStart"/>
      <w:r w:rsidRPr="00A918E9">
        <w:rPr>
          <w:szCs w:val="18"/>
        </w:rPr>
        <w:t>Dymerski</w:t>
      </w:r>
      <w:proofErr w:type="spellEnd"/>
      <w:r w:rsidRPr="00A918E9">
        <w:rPr>
          <w:szCs w:val="18"/>
        </w:rPr>
        <w:t xml:space="preserve">, T., </w:t>
      </w:r>
      <w:proofErr w:type="spellStart"/>
      <w:r w:rsidRPr="00A918E9">
        <w:rPr>
          <w:szCs w:val="18"/>
        </w:rPr>
        <w:t>Konieczka</w:t>
      </w:r>
      <w:proofErr w:type="spellEnd"/>
      <w:r w:rsidRPr="00A918E9">
        <w:rPr>
          <w:szCs w:val="18"/>
        </w:rPr>
        <w:t xml:space="preserve">, P., </w:t>
      </w:r>
      <w:proofErr w:type="spellStart"/>
      <w:r w:rsidRPr="00A918E9">
        <w:rPr>
          <w:szCs w:val="18"/>
        </w:rPr>
        <w:t>Namieśnik</w:t>
      </w:r>
      <w:proofErr w:type="spellEnd"/>
      <w:r w:rsidRPr="00A918E9">
        <w:rPr>
          <w:szCs w:val="18"/>
        </w:rPr>
        <w:t>, J., 2016</w:t>
      </w:r>
      <w:r>
        <w:rPr>
          <w:szCs w:val="18"/>
        </w:rPr>
        <w:t>,</w:t>
      </w:r>
      <w:r w:rsidRPr="00A918E9">
        <w:rPr>
          <w:szCs w:val="18"/>
        </w:rPr>
        <w:t xml:space="preserve"> </w:t>
      </w:r>
      <w:r w:rsidRPr="00A918E9">
        <w:rPr>
          <w:szCs w:val="18"/>
          <w:lang w:val="en-US"/>
        </w:rPr>
        <w:t>Characteristics of odors emitted from municipal wastewater treatment plant and methods for their identification and deodorization techniques</w:t>
      </w:r>
      <w:r>
        <w:rPr>
          <w:szCs w:val="18"/>
        </w:rPr>
        <w:t>,</w:t>
      </w:r>
      <w:r w:rsidRPr="00A918E9">
        <w:rPr>
          <w:szCs w:val="18"/>
          <w:lang w:val="en-US"/>
        </w:rPr>
        <w:t xml:space="preserve"> Environ</w:t>
      </w:r>
      <w:r>
        <w:rPr>
          <w:szCs w:val="18"/>
        </w:rPr>
        <w:t>mental</w:t>
      </w:r>
      <w:r w:rsidRPr="00A918E9">
        <w:rPr>
          <w:szCs w:val="18"/>
          <w:lang w:val="en-US"/>
        </w:rPr>
        <w:t xml:space="preserve"> Res</w:t>
      </w:r>
      <w:r>
        <w:rPr>
          <w:szCs w:val="18"/>
        </w:rPr>
        <w:t>earch</w:t>
      </w:r>
      <w:r w:rsidR="005F0063">
        <w:rPr>
          <w:szCs w:val="18"/>
        </w:rPr>
        <w:t>,</w:t>
      </w:r>
      <w:r w:rsidRPr="00A918E9">
        <w:rPr>
          <w:szCs w:val="18"/>
          <w:lang w:val="en-US"/>
        </w:rPr>
        <w:t xml:space="preserve"> 151, 573–586.</w:t>
      </w:r>
      <w:r w:rsidR="00F302D5" w:rsidRPr="00F302D5">
        <w:rPr>
          <w:szCs w:val="18"/>
          <w:lang w:val="en-US"/>
        </w:rPr>
        <w:t xml:space="preserve"> </w:t>
      </w:r>
    </w:p>
    <w:p w14:paraId="74BE0BB8" w14:textId="64B8E8F7" w:rsidR="00497C4E" w:rsidRDefault="00497C4E" w:rsidP="001F43EF">
      <w:pPr>
        <w:pStyle w:val="CETReferencetext"/>
        <w:rPr>
          <w:szCs w:val="18"/>
        </w:rPr>
      </w:pPr>
      <w:r w:rsidRPr="00497C4E">
        <w:rPr>
          <w:szCs w:val="18"/>
          <w:lang w:val="en-US"/>
        </w:rPr>
        <w:t>Nagata, Y., 2003</w:t>
      </w:r>
      <w:r>
        <w:rPr>
          <w:szCs w:val="18"/>
        </w:rPr>
        <w:t>,</w:t>
      </w:r>
      <w:r w:rsidRPr="00497C4E">
        <w:rPr>
          <w:szCs w:val="18"/>
          <w:lang w:val="en-US"/>
        </w:rPr>
        <w:t xml:space="preserve"> Measurement of Odor Threshold by Triangle Odor Bag Method. Odor Measurement Review, 118–127.</w:t>
      </w:r>
    </w:p>
    <w:p w14:paraId="24CE2892" w14:textId="2FCC4D11" w:rsidR="00497C4E" w:rsidRDefault="00497C4E" w:rsidP="001F43EF">
      <w:pPr>
        <w:pStyle w:val="CETReferencetext"/>
        <w:rPr>
          <w:szCs w:val="18"/>
          <w:lang w:val="en-US"/>
        </w:rPr>
      </w:pPr>
      <w:r w:rsidRPr="00497C4E">
        <w:rPr>
          <w:szCs w:val="18"/>
          <w:lang w:val="en-US"/>
        </w:rPr>
        <w:t>Rinker, E.B., Sandall, O.C., 2000</w:t>
      </w:r>
      <w:r>
        <w:rPr>
          <w:szCs w:val="18"/>
        </w:rPr>
        <w:t>,</w:t>
      </w:r>
      <w:r w:rsidRPr="00497C4E">
        <w:rPr>
          <w:szCs w:val="18"/>
          <w:lang w:val="en-US"/>
        </w:rPr>
        <w:t xml:space="preserve"> Physical solubility of hydrogen sulfide in several aqueous solvents. The Canadian Journal of Chemical Engineering, 78, 232–236.</w:t>
      </w:r>
    </w:p>
    <w:p w14:paraId="4BB56083" w14:textId="079DB2BD" w:rsidR="0032032A" w:rsidRPr="00670E47" w:rsidRDefault="00670E47" w:rsidP="001F43EF">
      <w:pPr>
        <w:pStyle w:val="CETReferencetext"/>
        <w:rPr>
          <w:szCs w:val="18"/>
          <w:lang w:val="en-US"/>
        </w:rPr>
      </w:pPr>
      <w:r w:rsidRPr="00670E47">
        <w:rPr>
          <w:szCs w:val="18"/>
        </w:rPr>
        <w:t>Toledo</w:t>
      </w:r>
      <w:r>
        <w:rPr>
          <w:szCs w:val="18"/>
        </w:rPr>
        <w:t xml:space="preserve">, </w:t>
      </w:r>
      <w:r w:rsidRPr="00670E47">
        <w:rPr>
          <w:szCs w:val="18"/>
        </w:rPr>
        <w:t>M.</w:t>
      </w:r>
      <w:r>
        <w:rPr>
          <w:szCs w:val="18"/>
        </w:rPr>
        <w:t xml:space="preserve">, </w:t>
      </w:r>
      <w:r w:rsidRPr="00670E47">
        <w:rPr>
          <w:szCs w:val="18"/>
        </w:rPr>
        <w:t>Muñoz</w:t>
      </w:r>
      <w:r>
        <w:rPr>
          <w:szCs w:val="18"/>
        </w:rPr>
        <w:t xml:space="preserve">, </w:t>
      </w:r>
      <w:r w:rsidRPr="00670E47">
        <w:rPr>
          <w:szCs w:val="18"/>
        </w:rPr>
        <w:t>R.</w:t>
      </w:r>
      <w:r>
        <w:rPr>
          <w:szCs w:val="18"/>
        </w:rPr>
        <w:t xml:space="preserve">, 2022, </w:t>
      </w:r>
      <w:r w:rsidRPr="00670E47">
        <w:rPr>
          <w:szCs w:val="18"/>
        </w:rPr>
        <w:t>Optimization of activated sludge recycling and oxidized ammonium recycling as odour control strategies in wastewater treatment plants</w:t>
      </w:r>
      <w:r>
        <w:rPr>
          <w:szCs w:val="18"/>
        </w:rPr>
        <w:t xml:space="preserve">. </w:t>
      </w:r>
      <w:r w:rsidRPr="00670E47">
        <w:rPr>
          <w:szCs w:val="18"/>
        </w:rPr>
        <w:t>Journal of Water Process Engineering</w:t>
      </w:r>
      <w:r>
        <w:rPr>
          <w:szCs w:val="18"/>
        </w:rPr>
        <w:t xml:space="preserve">, 47, </w:t>
      </w:r>
      <w:r w:rsidRPr="00670E47">
        <w:rPr>
          <w:szCs w:val="18"/>
        </w:rPr>
        <w:t>102655</w:t>
      </w:r>
      <w:r>
        <w:rPr>
          <w:szCs w:val="18"/>
        </w:rPr>
        <w:t>.</w:t>
      </w:r>
    </w:p>
    <w:p w14:paraId="71AA17CF" w14:textId="25604CB3" w:rsidR="002211FD" w:rsidRPr="002211FD" w:rsidRDefault="007568CF" w:rsidP="002211FD">
      <w:pPr>
        <w:pStyle w:val="CETReferencetext"/>
        <w:rPr>
          <w:szCs w:val="18"/>
          <w:lang w:val="en-US"/>
        </w:rPr>
      </w:pPr>
      <w:r w:rsidRPr="00035E08">
        <w:rPr>
          <w:szCs w:val="18"/>
          <w:lang w:val="en-US"/>
        </w:rPr>
        <w:t xml:space="preserve">Yang, W., Vollertsen, J., </w:t>
      </w:r>
      <w:proofErr w:type="spellStart"/>
      <w:r w:rsidRPr="00035E08">
        <w:rPr>
          <w:szCs w:val="18"/>
          <w:lang w:val="en-US"/>
        </w:rPr>
        <w:t>Hvitved</w:t>
      </w:r>
      <w:proofErr w:type="spellEnd"/>
      <w:r w:rsidRPr="00035E08">
        <w:rPr>
          <w:szCs w:val="18"/>
          <w:lang w:val="en-US"/>
        </w:rPr>
        <w:t>-Jacobsen, T., 2005</w:t>
      </w:r>
      <w:r>
        <w:rPr>
          <w:szCs w:val="18"/>
        </w:rPr>
        <w:t>,</w:t>
      </w:r>
      <w:r w:rsidRPr="00035E08">
        <w:rPr>
          <w:szCs w:val="18"/>
          <w:lang w:val="en-US"/>
        </w:rPr>
        <w:t xml:space="preserve"> Anoxic sulfide oxidation in wastewater of sewer networks. </w:t>
      </w:r>
      <w:r w:rsidRPr="00035E08">
        <w:rPr>
          <w:szCs w:val="18"/>
        </w:rPr>
        <w:t>Water Science &amp; Technology</w:t>
      </w:r>
      <w:r w:rsidRPr="00035E08">
        <w:rPr>
          <w:szCs w:val="18"/>
          <w:lang w:val="en-US"/>
        </w:rPr>
        <w:t>, 52, 191–199.</w:t>
      </w:r>
    </w:p>
    <w:sectPr w:rsidR="002211FD" w:rsidRPr="002211F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E3F6" w14:textId="77777777" w:rsidR="00D55909" w:rsidRDefault="00D55909" w:rsidP="004F5E36">
      <w:r>
        <w:separator/>
      </w:r>
    </w:p>
  </w:endnote>
  <w:endnote w:type="continuationSeparator" w:id="0">
    <w:p w14:paraId="2670F55D" w14:textId="77777777" w:rsidR="00D55909" w:rsidRDefault="00D5590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BFC4" w14:textId="77777777" w:rsidR="00D55909" w:rsidRDefault="00D55909" w:rsidP="004F5E36">
      <w:r>
        <w:separator/>
      </w:r>
    </w:p>
  </w:footnote>
  <w:footnote w:type="continuationSeparator" w:id="0">
    <w:p w14:paraId="51040DFF" w14:textId="77777777" w:rsidR="00D55909" w:rsidRDefault="00D5590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5305166">
    <w:abstractNumId w:val="10"/>
  </w:num>
  <w:num w:numId="2" w16cid:durableId="1162434373">
    <w:abstractNumId w:val="8"/>
  </w:num>
  <w:num w:numId="3" w16cid:durableId="2091386709">
    <w:abstractNumId w:val="3"/>
  </w:num>
  <w:num w:numId="4" w16cid:durableId="261762253">
    <w:abstractNumId w:val="2"/>
  </w:num>
  <w:num w:numId="5" w16cid:durableId="513689782">
    <w:abstractNumId w:val="1"/>
  </w:num>
  <w:num w:numId="6" w16cid:durableId="770201876">
    <w:abstractNumId w:val="0"/>
  </w:num>
  <w:num w:numId="7" w16cid:durableId="1713993964">
    <w:abstractNumId w:val="9"/>
  </w:num>
  <w:num w:numId="8" w16cid:durableId="1065178899">
    <w:abstractNumId w:val="7"/>
  </w:num>
  <w:num w:numId="9" w16cid:durableId="1374113774">
    <w:abstractNumId w:val="6"/>
  </w:num>
  <w:num w:numId="10" w16cid:durableId="1017273581">
    <w:abstractNumId w:val="5"/>
  </w:num>
  <w:num w:numId="11" w16cid:durableId="829105329">
    <w:abstractNumId w:val="4"/>
  </w:num>
  <w:num w:numId="12" w16cid:durableId="715931618">
    <w:abstractNumId w:val="17"/>
  </w:num>
  <w:num w:numId="13" w16cid:durableId="2026708629">
    <w:abstractNumId w:val="12"/>
  </w:num>
  <w:num w:numId="14" w16cid:durableId="1311835593">
    <w:abstractNumId w:val="18"/>
  </w:num>
  <w:num w:numId="15" w16cid:durableId="1786072617">
    <w:abstractNumId w:val="20"/>
  </w:num>
  <w:num w:numId="16" w16cid:durableId="1496845205">
    <w:abstractNumId w:val="19"/>
  </w:num>
  <w:num w:numId="17" w16cid:durableId="118766438">
    <w:abstractNumId w:val="11"/>
  </w:num>
  <w:num w:numId="18" w16cid:durableId="970017068">
    <w:abstractNumId w:val="12"/>
    <w:lvlOverride w:ilvl="0">
      <w:startOverride w:val="1"/>
    </w:lvlOverride>
  </w:num>
  <w:num w:numId="19" w16cid:durableId="1551500254">
    <w:abstractNumId w:val="16"/>
  </w:num>
  <w:num w:numId="20" w16cid:durableId="939680550">
    <w:abstractNumId w:val="15"/>
  </w:num>
  <w:num w:numId="21" w16cid:durableId="252322929">
    <w:abstractNumId w:val="14"/>
  </w:num>
  <w:num w:numId="22" w16cid:durableId="2041200000">
    <w:abstractNumId w:val="13"/>
  </w:num>
  <w:num w:numId="23" w16cid:durableId="1733966557">
    <w:abstractNumId w:val="10"/>
    <w:lvlOverride w:ilvl="0">
      <w:startOverride w:val="1"/>
    </w:lvlOverride>
    <w:lvlOverride w:ilvl="1">
      <w:startOverride w:val="3"/>
    </w:lvlOverride>
  </w:num>
  <w:num w:numId="24" w16cid:durableId="1932853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5E08"/>
    <w:rsid w:val="00051566"/>
    <w:rsid w:val="00062A9A"/>
    <w:rsid w:val="00064130"/>
    <w:rsid w:val="00064536"/>
    <w:rsid w:val="00065058"/>
    <w:rsid w:val="00067A5A"/>
    <w:rsid w:val="00072E9B"/>
    <w:rsid w:val="00085CFC"/>
    <w:rsid w:val="00086C39"/>
    <w:rsid w:val="000A03B2"/>
    <w:rsid w:val="000A0E54"/>
    <w:rsid w:val="000C6AD7"/>
    <w:rsid w:val="000D0268"/>
    <w:rsid w:val="000D34BE"/>
    <w:rsid w:val="000E102F"/>
    <w:rsid w:val="000E36F1"/>
    <w:rsid w:val="000E3A73"/>
    <w:rsid w:val="000E414A"/>
    <w:rsid w:val="000F093C"/>
    <w:rsid w:val="000F787B"/>
    <w:rsid w:val="00100AA3"/>
    <w:rsid w:val="0012091F"/>
    <w:rsid w:val="00126BC2"/>
    <w:rsid w:val="001308B6"/>
    <w:rsid w:val="0013121F"/>
    <w:rsid w:val="00131FE6"/>
    <w:rsid w:val="0013263F"/>
    <w:rsid w:val="001331DF"/>
    <w:rsid w:val="00134DE4"/>
    <w:rsid w:val="00136B69"/>
    <w:rsid w:val="001371F6"/>
    <w:rsid w:val="0014034D"/>
    <w:rsid w:val="001426AB"/>
    <w:rsid w:val="00144D16"/>
    <w:rsid w:val="00150E59"/>
    <w:rsid w:val="00152DE3"/>
    <w:rsid w:val="00164CF9"/>
    <w:rsid w:val="001667A6"/>
    <w:rsid w:val="00167B3B"/>
    <w:rsid w:val="00184AD6"/>
    <w:rsid w:val="001A4AF7"/>
    <w:rsid w:val="001B0349"/>
    <w:rsid w:val="001B1A7D"/>
    <w:rsid w:val="001B1E93"/>
    <w:rsid w:val="001B517A"/>
    <w:rsid w:val="001B65C1"/>
    <w:rsid w:val="001C684B"/>
    <w:rsid w:val="001D0114"/>
    <w:rsid w:val="001D0CFB"/>
    <w:rsid w:val="001D21AF"/>
    <w:rsid w:val="001D53FC"/>
    <w:rsid w:val="001E6937"/>
    <w:rsid w:val="001F42A5"/>
    <w:rsid w:val="001F43EF"/>
    <w:rsid w:val="001F7B9D"/>
    <w:rsid w:val="00200AB6"/>
    <w:rsid w:val="00201C93"/>
    <w:rsid w:val="002211FD"/>
    <w:rsid w:val="002224B4"/>
    <w:rsid w:val="0023651E"/>
    <w:rsid w:val="002447EF"/>
    <w:rsid w:val="00251550"/>
    <w:rsid w:val="00263B05"/>
    <w:rsid w:val="002647CD"/>
    <w:rsid w:val="0027221A"/>
    <w:rsid w:val="00275B61"/>
    <w:rsid w:val="00280FAF"/>
    <w:rsid w:val="00282656"/>
    <w:rsid w:val="00296B83"/>
    <w:rsid w:val="002B3651"/>
    <w:rsid w:val="002B4015"/>
    <w:rsid w:val="002B5F4E"/>
    <w:rsid w:val="002B78CE"/>
    <w:rsid w:val="002C2FB6"/>
    <w:rsid w:val="002E0335"/>
    <w:rsid w:val="002E5FA7"/>
    <w:rsid w:val="002F3309"/>
    <w:rsid w:val="003008CE"/>
    <w:rsid w:val="003009B7"/>
    <w:rsid w:val="00300E56"/>
    <w:rsid w:val="0030469C"/>
    <w:rsid w:val="00317FCD"/>
    <w:rsid w:val="0032032A"/>
    <w:rsid w:val="00321CA6"/>
    <w:rsid w:val="00323763"/>
    <w:rsid w:val="00323C5F"/>
    <w:rsid w:val="00326E14"/>
    <w:rsid w:val="00334C09"/>
    <w:rsid w:val="003461B6"/>
    <w:rsid w:val="003723D4"/>
    <w:rsid w:val="00381905"/>
    <w:rsid w:val="00384CC8"/>
    <w:rsid w:val="003871FD"/>
    <w:rsid w:val="00391831"/>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5F63"/>
    <w:rsid w:val="004760DE"/>
    <w:rsid w:val="004763D7"/>
    <w:rsid w:val="00497C4E"/>
    <w:rsid w:val="004A004E"/>
    <w:rsid w:val="004A24CF"/>
    <w:rsid w:val="004C3D1D"/>
    <w:rsid w:val="004C3D84"/>
    <w:rsid w:val="004C7913"/>
    <w:rsid w:val="004E4DD6"/>
    <w:rsid w:val="004F1D43"/>
    <w:rsid w:val="004F5E36"/>
    <w:rsid w:val="00500109"/>
    <w:rsid w:val="00502081"/>
    <w:rsid w:val="00503B5E"/>
    <w:rsid w:val="00507B47"/>
    <w:rsid w:val="00507BEF"/>
    <w:rsid w:val="00507CC9"/>
    <w:rsid w:val="005119A5"/>
    <w:rsid w:val="005278B7"/>
    <w:rsid w:val="00532016"/>
    <w:rsid w:val="005346C8"/>
    <w:rsid w:val="00535F57"/>
    <w:rsid w:val="00543E7D"/>
    <w:rsid w:val="0054664D"/>
    <w:rsid w:val="00547A68"/>
    <w:rsid w:val="005531C9"/>
    <w:rsid w:val="00570C43"/>
    <w:rsid w:val="005848C8"/>
    <w:rsid w:val="0059509E"/>
    <w:rsid w:val="005A7165"/>
    <w:rsid w:val="005B2110"/>
    <w:rsid w:val="005B61E6"/>
    <w:rsid w:val="005C77E1"/>
    <w:rsid w:val="005D668A"/>
    <w:rsid w:val="005D6A2F"/>
    <w:rsid w:val="005E1A82"/>
    <w:rsid w:val="005E794C"/>
    <w:rsid w:val="005F0063"/>
    <w:rsid w:val="005F0A28"/>
    <w:rsid w:val="005F0E5E"/>
    <w:rsid w:val="005F6193"/>
    <w:rsid w:val="00600147"/>
    <w:rsid w:val="00600535"/>
    <w:rsid w:val="00610CD6"/>
    <w:rsid w:val="006124E1"/>
    <w:rsid w:val="00620DEE"/>
    <w:rsid w:val="00621F92"/>
    <w:rsid w:val="0062280A"/>
    <w:rsid w:val="00625639"/>
    <w:rsid w:val="00631B33"/>
    <w:rsid w:val="006365DB"/>
    <w:rsid w:val="0064184D"/>
    <w:rsid w:val="006422CC"/>
    <w:rsid w:val="00642B8C"/>
    <w:rsid w:val="00647B88"/>
    <w:rsid w:val="00660E3E"/>
    <w:rsid w:val="00662E74"/>
    <w:rsid w:val="00670E47"/>
    <w:rsid w:val="00680C23"/>
    <w:rsid w:val="00690519"/>
    <w:rsid w:val="00693766"/>
    <w:rsid w:val="006A3281"/>
    <w:rsid w:val="006B16C5"/>
    <w:rsid w:val="006B4888"/>
    <w:rsid w:val="006C2E45"/>
    <w:rsid w:val="006C359C"/>
    <w:rsid w:val="006C5579"/>
    <w:rsid w:val="006C6128"/>
    <w:rsid w:val="006D4FFA"/>
    <w:rsid w:val="006D6E8B"/>
    <w:rsid w:val="006E737D"/>
    <w:rsid w:val="00713973"/>
    <w:rsid w:val="007157BB"/>
    <w:rsid w:val="00716C21"/>
    <w:rsid w:val="00720A24"/>
    <w:rsid w:val="00732386"/>
    <w:rsid w:val="0073514D"/>
    <w:rsid w:val="007447F3"/>
    <w:rsid w:val="00744C7D"/>
    <w:rsid w:val="0075499F"/>
    <w:rsid w:val="007568CF"/>
    <w:rsid w:val="007661C8"/>
    <w:rsid w:val="0077098D"/>
    <w:rsid w:val="0077390A"/>
    <w:rsid w:val="007931FA"/>
    <w:rsid w:val="007A4861"/>
    <w:rsid w:val="007A72D2"/>
    <w:rsid w:val="007A7BBA"/>
    <w:rsid w:val="007B0C50"/>
    <w:rsid w:val="007B2457"/>
    <w:rsid w:val="007B48F9"/>
    <w:rsid w:val="007C1A43"/>
    <w:rsid w:val="0080013E"/>
    <w:rsid w:val="00813288"/>
    <w:rsid w:val="008168FC"/>
    <w:rsid w:val="00816F53"/>
    <w:rsid w:val="00830996"/>
    <w:rsid w:val="008345F1"/>
    <w:rsid w:val="00844CE1"/>
    <w:rsid w:val="00865B07"/>
    <w:rsid w:val="008667EA"/>
    <w:rsid w:val="0087637F"/>
    <w:rsid w:val="00876756"/>
    <w:rsid w:val="008918B8"/>
    <w:rsid w:val="00892AD5"/>
    <w:rsid w:val="008A1512"/>
    <w:rsid w:val="008D14EB"/>
    <w:rsid w:val="008D32B9"/>
    <w:rsid w:val="008D433B"/>
    <w:rsid w:val="008D4A16"/>
    <w:rsid w:val="008E566E"/>
    <w:rsid w:val="008F677A"/>
    <w:rsid w:val="0090161A"/>
    <w:rsid w:val="00901EB6"/>
    <w:rsid w:val="00904C62"/>
    <w:rsid w:val="00922BA8"/>
    <w:rsid w:val="00924DAC"/>
    <w:rsid w:val="00927058"/>
    <w:rsid w:val="00942750"/>
    <w:rsid w:val="009429B1"/>
    <w:rsid w:val="009450CE"/>
    <w:rsid w:val="00947179"/>
    <w:rsid w:val="0095164B"/>
    <w:rsid w:val="00954090"/>
    <w:rsid w:val="009573E7"/>
    <w:rsid w:val="00963E05"/>
    <w:rsid w:val="00964A45"/>
    <w:rsid w:val="00967843"/>
    <w:rsid w:val="00967D54"/>
    <w:rsid w:val="00971028"/>
    <w:rsid w:val="00974CBB"/>
    <w:rsid w:val="00993B84"/>
    <w:rsid w:val="00996483"/>
    <w:rsid w:val="00996F5A"/>
    <w:rsid w:val="009A0A05"/>
    <w:rsid w:val="009B041A"/>
    <w:rsid w:val="009C37C3"/>
    <w:rsid w:val="009C7C86"/>
    <w:rsid w:val="009D2FF7"/>
    <w:rsid w:val="009E2041"/>
    <w:rsid w:val="009E7884"/>
    <w:rsid w:val="009E788A"/>
    <w:rsid w:val="009F0E08"/>
    <w:rsid w:val="00A1763D"/>
    <w:rsid w:val="00A17CEC"/>
    <w:rsid w:val="00A27EF0"/>
    <w:rsid w:val="00A42361"/>
    <w:rsid w:val="00A50B20"/>
    <w:rsid w:val="00A51390"/>
    <w:rsid w:val="00A60D13"/>
    <w:rsid w:val="00A7223D"/>
    <w:rsid w:val="00A72745"/>
    <w:rsid w:val="00A76EFC"/>
    <w:rsid w:val="00A91010"/>
    <w:rsid w:val="00A918E9"/>
    <w:rsid w:val="00A97F29"/>
    <w:rsid w:val="00AA702E"/>
    <w:rsid w:val="00AB0964"/>
    <w:rsid w:val="00AB10BB"/>
    <w:rsid w:val="00AB5011"/>
    <w:rsid w:val="00AC7368"/>
    <w:rsid w:val="00AD0D99"/>
    <w:rsid w:val="00AD16B9"/>
    <w:rsid w:val="00AD661F"/>
    <w:rsid w:val="00AE377D"/>
    <w:rsid w:val="00AE5916"/>
    <w:rsid w:val="00AF0EBA"/>
    <w:rsid w:val="00B02C8A"/>
    <w:rsid w:val="00B17FBD"/>
    <w:rsid w:val="00B3125A"/>
    <w:rsid w:val="00B315A6"/>
    <w:rsid w:val="00B31813"/>
    <w:rsid w:val="00B33365"/>
    <w:rsid w:val="00B34805"/>
    <w:rsid w:val="00B36D11"/>
    <w:rsid w:val="00B57B36"/>
    <w:rsid w:val="00B57E6F"/>
    <w:rsid w:val="00B7037D"/>
    <w:rsid w:val="00B76D31"/>
    <w:rsid w:val="00B8686D"/>
    <w:rsid w:val="00B93F69"/>
    <w:rsid w:val="00BB1DDC"/>
    <w:rsid w:val="00BC30C9"/>
    <w:rsid w:val="00BD077D"/>
    <w:rsid w:val="00BD1467"/>
    <w:rsid w:val="00BE3E58"/>
    <w:rsid w:val="00C01616"/>
    <w:rsid w:val="00C0162B"/>
    <w:rsid w:val="00C068ED"/>
    <w:rsid w:val="00C135BA"/>
    <w:rsid w:val="00C22E0C"/>
    <w:rsid w:val="00C345B1"/>
    <w:rsid w:val="00C40142"/>
    <w:rsid w:val="00C52C3C"/>
    <w:rsid w:val="00C570A3"/>
    <w:rsid w:val="00C57182"/>
    <w:rsid w:val="00C57863"/>
    <w:rsid w:val="00C640AF"/>
    <w:rsid w:val="00C655FD"/>
    <w:rsid w:val="00C74E4F"/>
    <w:rsid w:val="00C75407"/>
    <w:rsid w:val="00C870A8"/>
    <w:rsid w:val="00C94434"/>
    <w:rsid w:val="00CA0D75"/>
    <w:rsid w:val="00CA1C95"/>
    <w:rsid w:val="00CA5A9C"/>
    <w:rsid w:val="00CB3B08"/>
    <w:rsid w:val="00CC4C20"/>
    <w:rsid w:val="00CD3517"/>
    <w:rsid w:val="00CD452A"/>
    <w:rsid w:val="00CD5FE2"/>
    <w:rsid w:val="00CE2AF2"/>
    <w:rsid w:val="00CE2CC6"/>
    <w:rsid w:val="00CE7C68"/>
    <w:rsid w:val="00CF4DCA"/>
    <w:rsid w:val="00D02B4C"/>
    <w:rsid w:val="00D040C4"/>
    <w:rsid w:val="00D20AD1"/>
    <w:rsid w:val="00D46B7E"/>
    <w:rsid w:val="00D5098E"/>
    <w:rsid w:val="00D51212"/>
    <w:rsid w:val="00D55909"/>
    <w:rsid w:val="00D57C84"/>
    <w:rsid w:val="00D6057D"/>
    <w:rsid w:val="00D71640"/>
    <w:rsid w:val="00D774E4"/>
    <w:rsid w:val="00D836C5"/>
    <w:rsid w:val="00D84576"/>
    <w:rsid w:val="00D86DF8"/>
    <w:rsid w:val="00DA1399"/>
    <w:rsid w:val="00DA17BF"/>
    <w:rsid w:val="00DA24C6"/>
    <w:rsid w:val="00DA4D7B"/>
    <w:rsid w:val="00DC6B8D"/>
    <w:rsid w:val="00DD271C"/>
    <w:rsid w:val="00DE264A"/>
    <w:rsid w:val="00DF0744"/>
    <w:rsid w:val="00DF5072"/>
    <w:rsid w:val="00E02D18"/>
    <w:rsid w:val="00E041E7"/>
    <w:rsid w:val="00E2209C"/>
    <w:rsid w:val="00E22596"/>
    <w:rsid w:val="00E23CA1"/>
    <w:rsid w:val="00E3762A"/>
    <w:rsid w:val="00E37747"/>
    <w:rsid w:val="00E409A8"/>
    <w:rsid w:val="00E50C12"/>
    <w:rsid w:val="00E646DE"/>
    <w:rsid w:val="00E65B91"/>
    <w:rsid w:val="00E65C6E"/>
    <w:rsid w:val="00E713F1"/>
    <w:rsid w:val="00E7209D"/>
    <w:rsid w:val="00E72EAD"/>
    <w:rsid w:val="00E77223"/>
    <w:rsid w:val="00E85212"/>
    <w:rsid w:val="00E8528B"/>
    <w:rsid w:val="00E85B94"/>
    <w:rsid w:val="00E9464E"/>
    <w:rsid w:val="00E978D0"/>
    <w:rsid w:val="00EA4613"/>
    <w:rsid w:val="00EA7F91"/>
    <w:rsid w:val="00EB1523"/>
    <w:rsid w:val="00EC0E49"/>
    <w:rsid w:val="00EC101F"/>
    <w:rsid w:val="00EC1D9F"/>
    <w:rsid w:val="00EE0131"/>
    <w:rsid w:val="00EE17B0"/>
    <w:rsid w:val="00EE5A95"/>
    <w:rsid w:val="00EF06D9"/>
    <w:rsid w:val="00EF1348"/>
    <w:rsid w:val="00EF540C"/>
    <w:rsid w:val="00F05D11"/>
    <w:rsid w:val="00F11C62"/>
    <w:rsid w:val="00F1736C"/>
    <w:rsid w:val="00F23688"/>
    <w:rsid w:val="00F254C3"/>
    <w:rsid w:val="00F302D5"/>
    <w:rsid w:val="00F307C4"/>
    <w:rsid w:val="00F30C64"/>
    <w:rsid w:val="00F32BA2"/>
    <w:rsid w:val="00F32CDB"/>
    <w:rsid w:val="00F54A1F"/>
    <w:rsid w:val="00F565FE"/>
    <w:rsid w:val="00F6070B"/>
    <w:rsid w:val="00F63A70"/>
    <w:rsid w:val="00F63D8C"/>
    <w:rsid w:val="00F7534E"/>
    <w:rsid w:val="00FA1802"/>
    <w:rsid w:val="00FA21D0"/>
    <w:rsid w:val="00FA30A4"/>
    <w:rsid w:val="00FA5F5F"/>
    <w:rsid w:val="00FB730C"/>
    <w:rsid w:val="00FC2695"/>
    <w:rsid w:val="00FC3E03"/>
    <w:rsid w:val="00FC3FC1"/>
    <w:rsid w:val="00FC531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5098E"/>
    <w:pPr>
      <w:suppressAutoHyphens/>
      <w:spacing w:before="120" w:after="120" w:line="240" w:lineRule="auto"/>
      <w:jc w:val="both"/>
    </w:pPr>
    <w:rPr>
      <w:rFonts w:ascii="Arial" w:eastAsia="Times New Roman" w:hAnsi="Arial" w:cs="Times New Roman"/>
      <w:b/>
      <w:bCs/>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5098E"/>
    <w:rPr>
      <w:rFonts w:ascii="Arial" w:eastAsia="Times New Roman" w:hAnsi="Arial" w:cs="Times New Roman"/>
      <w:b/>
      <w:bCs/>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bCs/>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5F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8973">
      <w:bodyDiv w:val="1"/>
      <w:marLeft w:val="0"/>
      <w:marRight w:val="0"/>
      <w:marTop w:val="0"/>
      <w:marBottom w:val="0"/>
      <w:divBdr>
        <w:top w:val="none" w:sz="0" w:space="0" w:color="auto"/>
        <w:left w:val="none" w:sz="0" w:space="0" w:color="auto"/>
        <w:bottom w:val="none" w:sz="0" w:space="0" w:color="auto"/>
        <w:right w:val="none" w:sz="0" w:space="0" w:color="auto"/>
      </w:divBdr>
    </w:div>
    <w:div w:id="221869492">
      <w:bodyDiv w:val="1"/>
      <w:marLeft w:val="0"/>
      <w:marRight w:val="0"/>
      <w:marTop w:val="0"/>
      <w:marBottom w:val="0"/>
      <w:divBdr>
        <w:top w:val="none" w:sz="0" w:space="0" w:color="auto"/>
        <w:left w:val="none" w:sz="0" w:space="0" w:color="auto"/>
        <w:bottom w:val="none" w:sz="0" w:space="0" w:color="auto"/>
        <w:right w:val="none" w:sz="0" w:space="0" w:color="auto"/>
      </w:divBdr>
    </w:div>
    <w:div w:id="65549786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640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9888">
      <w:bodyDiv w:val="1"/>
      <w:marLeft w:val="0"/>
      <w:marRight w:val="0"/>
      <w:marTop w:val="0"/>
      <w:marBottom w:val="0"/>
      <w:divBdr>
        <w:top w:val="none" w:sz="0" w:space="0" w:color="auto"/>
        <w:left w:val="none" w:sz="0" w:space="0" w:color="auto"/>
        <w:bottom w:val="none" w:sz="0" w:space="0" w:color="auto"/>
        <w:right w:val="none" w:sz="0" w:space="0" w:color="auto"/>
      </w:divBdr>
    </w:div>
    <w:div w:id="1100224452">
      <w:bodyDiv w:val="1"/>
      <w:marLeft w:val="0"/>
      <w:marRight w:val="0"/>
      <w:marTop w:val="0"/>
      <w:marBottom w:val="0"/>
      <w:divBdr>
        <w:top w:val="none" w:sz="0" w:space="0" w:color="auto"/>
        <w:left w:val="none" w:sz="0" w:space="0" w:color="auto"/>
        <w:bottom w:val="none" w:sz="0" w:space="0" w:color="auto"/>
        <w:right w:val="none" w:sz="0" w:space="0" w:color="auto"/>
      </w:divBdr>
    </w:div>
    <w:div w:id="1195650082">
      <w:bodyDiv w:val="1"/>
      <w:marLeft w:val="0"/>
      <w:marRight w:val="0"/>
      <w:marTop w:val="0"/>
      <w:marBottom w:val="0"/>
      <w:divBdr>
        <w:top w:val="none" w:sz="0" w:space="0" w:color="auto"/>
        <w:left w:val="none" w:sz="0" w:space="0" w:color="auto"/>
        <w:bottom w:val="none" w:sz="0" w:space="0" w:color="auto"/>
        <w:right w:val="none" w:sz="0" w:space="0" w:color="auto"/>
      </w:divBdr>
    </w:div>
    <w:div w:id="1224632846">
      <w:bodyDiv w:val="1"/>
      <w:marLeft w:val="0"/>
      <w:marRight w:val="0"/>
      <w:marTop w:val="0"/>
      <w:marBottom w:val="0"/>
      <w:divBdr>
        <w:top w:val="none" w:sz="0" w:space="0" w:color="auto"/>
        <w:left w:val="none" w:sz="0" w:space="0" w:color="auto"/>
        <w:bottom w:val="none" w:sz="0" w:space="0" w:color="auto"/>
        <w:right w:val="none" w:sz="0" w:space="0" w:color="auto"/>
      </w:divBdr>
    </w:div>
    <w:div w:id="1234043172">
      <w:bodyDiv w:val="1"/>
      <w:marLeft w:val="0"/>
      <w:marRight w:val="0"/>
      <w:marTop w:val="0"/>
      <w:marBottom w:val="0"/>
      <w:divBdr>
        <w:top w:val="none" w:sz="0" w:space="0" w:color="auto"/>
        <w:left w:val="none" w:sz="0" w:space="0" w:color="auto"/>
        <w:bottom w:val="none" w:sz="0" w:space="0" w:color="auto"/>
        <w:right w:val="none" w:sz="0" w:space="0" w:color="auto"/>
      </w:divBdr>
    </w:div>
    <w:div w:id="136959926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5006">
      <w:bodyDiv w:val="1"/>
      <w:marLeft w:val="0"/>
      <w:marRight w:val="0"/>
      <w:marTop w:val="0"/>
      <w:marBottom w:val="0"/>
      <w:divBdr>
        <w:top w:val="none" w:sz="0" w:space="0" w:color="auto"/>
        <w:left w:val="none" w:sz="0" w:space="0" w:color="auto"/>
        <w:bottom w:val="none" w:sz="0" w:space="0" w:color="auto"/>
        <w:right w:val="none" w:sz="0" w:space="0" w:color="auto"/>
      </w:divBdr>
    </w:div>
    <w:div w:id="2072774194">
      <w:bodyDiv w:val="1"/>
      <w:marLeft w:val="0"/>
      <w:marRight w:val="0"/>
      <w:marTop w:val="0"/>
      <w:marBottom w:val="0"/>
      <w:divBdr>
        <w:top w:val="none" w:sz="0" w:space="0" w:color="auto"/>
        <w:left w:val="none" w:sz="0" w:space="0" w:color="auto"/>
        <w:bottom w:val="none" w:sz="0" w:space="0" w:color="auto"/>
        <w:right w:val="none" w:sz="0" w:space="0" w:color="auto"/>
      </w:divBdr>
    </w:div>
    <w:div w:id="208070649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tandfonline.com/toc/best20/current" TargetMode="Externa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6</Pages>
  <Words>6167</Words>
  <Characters>33920</Characters>
  <Application>Microsoft Office Word</Application>
  <DocSecurity>0</DocSecurity>
  <Lines>282</Lines>
  <Paragraphs>80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 Toledo</cp:lastModifiedBy>
  <cp:revision>25</cp:revision>
  <cp:lastPrinted>2015-05-12T18:31:00Z</cp:lastPrinted>
  <dcterms:created xsi:type="dcterms:W3CDTF">2022-07-12T11:51:00Z</dcterms:created>
  <dcterms:modified xsi:type="dcterms:W3CDTF">2022-07-15T11:52:00Z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