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2" w:type="dxa"/>
        <w:jc w:val="center"/>
        <w:tblBorders>
          <w:right w:val="single" w:sz="4" w:space="0" w:color="00000A"/>
          <w:insideV w:val="single" w:sz="4" w:space="0" w:color="00000A"/>
        </w:tblBorders>
        <w:tblLook w:val="04A0" w:firstRow="1" w:lastRow="0" w:firstColumn="1" w:lastColumn="0" w:noHBand="0" w:noVBand="1"/>
      </w:tblPr>
      <w:tblGrid>
        <w:gridCol w:w="6940"/>
        <w:gridCol w:w="1842"/>
      </w:tblGrid>
      <w:tr w:rsidR="000370D0" w:rsidRPr="000370D0">
        <w:trPr>
          <w:trHeight w:val="852"/>
          <w:jc w:val="center"/>
        </w:trPr>
        <w:tc>
          <w:tcPr>
            <w:tcW w:w="6939" w:type="dxa"/>
            <w:vMerge w:val="restart"/>
            <w:tcBorders>
              <w:right w:val="single" w:sz="4" w:space="0" w:color="00000A"/>
            </w:tcBorders>
            <w:shd w:val="clear" w:color="auto" w:fill="auto"/>
          </w:tcPr>
          <w:p w:rsidR="005F0E9E" w:rsidRPr="000370D0" w:rsidRDefault="00336FE7">
            <w:pPr>
              <w:tabs>
                <w:tab w:val="left" w:pos="-108"/>
              </w:tabs>
              <w:ind w:left="-108"/>
              <w:jc w:val="left"/>
              <w:rPr>
                <w:rFonts w:cs="Arial"/>
                <w:b/>
                <w:bCs/>
                <w:i/>
                <w:iCs/>
                <w:sz w:val="12"/>
                <w:szCs w:val="12"/>
                <w:lang w:eastAsia="it-IT"/>
              </w:rPr>
            </w:pPr>
            <w:r w:rsidRPr="000370D0">
              <w:rPr>
                <w:noProof/>
                <w:lang w:val="fr-FR" w:eastAsia="fr-FR"/>
              </w:rPr>
              <w:drawing>
                <wp:inline distT="0" distB="0" distL="0" distR="0">
                  <wp:extent cx="640080" cy="373380"/>
                  <wp:effectExtent l="0" t="0" r="0" b="0"/>
                  <wp:docPr id="1" name="Picture"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etlogo"/>
                          <pic:cNvPicPr>
                            <a:picLocks noChangeAspect="1" noChangeArrowheads="1"/>
                          </pic:cNvPicPr>
                        </pic:nvPicPr>
                        <pic:blipFill>
                          <a:blip r:embed="rId6"/>
                          <a:stretch>
                            <a:fillRect/>
                          </a:stretch>
                        </pic:blipFill>
                        <pic:spPr bwMode="auto">
                          <a:xfrm>
                            <a:off x="0" y="0"/>
                            <a:ext cx="640080" cy="373380"/>
                          </a:xfrm>
                          <a:prstGeom prst="rect">
                            <a:avLst/>
                          </a:prstGeom>
                          <a:noFill/>
                          <a:ln w="9525">
                            <a:noFill/>
                            <a:miter lim="800000"/>
                            <a:headEnd/>
                            <a:tailEnd/>
                          </a:ln>
                        </pic:spPr>
                      </pic:pic>
                    </a:graphicData>
                  </a:graphic>
                </wp:inline>
              </w:drawing>
            </w:r>
            <w:r w:rsidRPr="000370D0">
              <w:rPr>
                <w:rFonts w:ascii="AdvP6960" w:hAnsi="AdvP6960" w:cs="AdvP6960"/>
                <w:szCs w:val="18"/>
                <w:lang w:eastAsia="it-IT"/>
              </w:rPr>
              <w:t xml:space="preserve"> </w:t>
            </w:r>
            <w:r w:rsidRPr="000370D0">
              <w:rPr>
                <w:rFonts w:cs="Arial"/>
                <w:b/>
                <w:bCs/>
                <w:i/>
                <w:iCs/>
                <w:sz w:val="24"/>
                <w:szCs w:val="24"/>
                <w:lang w:eastAsia="it-IT"/>
              </w:rPr>
              <w:t>CHEMICAL ENGINEERING TRANSACTIONS</w:t>
            </w:r>
            <w:r w:rsidRPr="000370D0">
              <w:rPr>
                <w:sz w:val="24"/>
                <w:szCs w:val="24"/>
                <w:lang w:eastAsia="it-IT"/>
              </w:rPr>
              <w:t xml:space="preserve"> </w:t>
            </w:r>
            <w:r w:rsidRPr="000370D0">
              <w:rPr>
                <w:rFonts w:cs="Arial"/>
                <w:b/>
                <w:bCs/>
                <w:i/>
                <w:iCs/>
                <w:sz w:val="27"/>
                <w:szCs w:val="27"/>
                <w:lang w:eastAsia="it-IT"/>
              </w:rPr>
              <w:br/>
            </w:r>
          </w:p>
          <w:p w:rsidR="005F0E9E" w:rsidRPr="000370D0" w:rsidRDefault="00336FE7">
            <w:pPr>
              <w:tabs>
                <w:tab w:val="left" w:pos="-108"/>
              </w:tabs>
              <w:ind w:left="-108"/>
              <w:rPr>
                <w:rFonts w:cs="Arial"/>
                <w:b/>
                <w:bCs/>
                <w:i/>
                <w:iCs/>
                <w:sz w:val="22"/>
                <w:szCs w:val="22"/>
                <w:lang w:eastAsia="it-IT"/>
              </w:rPr>
            </w:pPr>
            <w:r w:rsidRPr="000370D0">
              <w:rPr>
                <w:rFonts w:cs="Arial"/>
                <w:b/>
                <w:bCs/>
                <w:i/>
                <w:iCs/>
                <w:sz w:val="22"/>
                <w:szCs w:val="22"/>
                <w:lang w:eastAsia="it-IT"/>
              </w:rPr>
              <w:t>VOL. 95, 2022</w:t>
            </w:r>
          </w:p>
        </w:tc>
        <w:tc>
          <w:tcPr>
            <w:tcW w:w="1842" w:type="dxa"/>
            <w:tcBorders>
              <w:left w:val="single" w:sz="4" w:space="0" w:color="00000A"/>
              <w:right w:val="single" w:sz="4" w:space="0" w:color="00000A"/>
            </w:tcBorders>
            <w:shd w:val="clear" w:color="auto" w:fill="auto"/>
            <w:tcMar>
              <w:left w:w="103" w:type="dxa"/>
            </w:tcMar>
          </w:tcPr>
          <w:p w:rsidR="005F0E9E" w:rsidRPr="000370D0" w:rsidRDefault="00336FE7">
            <w:pPr>
              <w:spacing w:line="140" w:lineRule="atLeast"/>
              <w:jc w:val="right"/>
              <w:rPr>
                <w:rFonts w:cs="Arial"/>
                <w:sz w:val="14"/>
                <w:szCs w:val="14"/>
              </w:rPr>
            </w:pPr>
            <w:r w:rsidRPr="000370D0">
              <w:rPr>
                <w:rFonts w:cs="Arial"/>
                <w:sz w:val="14"/>
                <w:szCs w:val="14"/>
              </w:rPr>
              <w:t>A publication of</w:t>
            </w:r>
          </w:p>
          <w:p w:rsidR="005F0E9E" w:rsidRPr="000370D0" w:rsidRDefault="00336FE7">
            <w:pPr>
              <w:jc w:val="right"/>
            </w:pPr>
            <w:r w:rsidRPr="000370D0">
              <w:rPr>
                <w:noProof/>
                <w:lang w:val="fr-FR" w:eastAsia="fr-FR"/>
              </w:rPr>
              <w:drawing>
                <wp:inline distT="0" distB="0" distL="0" distR="0">
                  <wp:extent cx="670560" cy="358140"/>
                  <wp:effectExtent l="0" t="0" r="0" b="0"/>
                  <wp:docPr id="2" name="Picture"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aidiclogo_grande"/>
                          <pic:cNvPicPr>
                            <a:picLocks noChangeAspect="1" noChangeArrowheads="1"/>
                          </pic:cNvPicPr>
                        </pic:nvPicPr>
                        <pic:blipFill>
                          <a:blip r:embed="rId7"/>
                          <a:stretch>
                            <a:fillRect/>
                          </a:stretch>
                        </pic:blipFill>
                        <pic:spPr bwMode="auto">
                          <a:xfrm>
                            <a:off x="0" y="0"/>
                            <a:ext cx="670560" cy="358140"/>
                          </a:xfrm>
                          <a:prstGeom prst="rect">
                            <a:avLst/>
                          </a:prstGeom>
                          <a:noFill/>
                          <a:ln w="9525">
                            <a:noFill/>
                            <a:miter lim="800000"/>
                            <a:headEnd/>
                            <a:tailEnd/>
                          </a:ln>
                        </pic:spPr>
                      </pic:pic>
                    </a:graphicData>
                  </a:graphic>
                </wp:inline>
              </w:drawing>
            </w:r>
          </w:p>
        </w:tc>
      </w:tr>
      <w:tr w:rsidR="000370D0" w:rsidRPr="000370D0">
        <w:trPr>
          <w:trHeight w:val="567"/>
          <w:jc w:val="center"/>
        </w:trPr>
        <w:tc>
          <w:tcPr>
            <w:tcW w:w="6939" w:type="dxa"/>
            <w:vMerge/>
            <w:tcBorders>
              <w:right w:val="single" w:sz="4" w:space="0" w:color="00000A"/>
            </w:tcBorders>
            <w:shd w:val="clear" w:color="auto" w:fill="auto"/>
          </w:tcPr>
          <w:p w:rsidR="005F0E9E" w:rsidRPr="000370D0" w:rsidRDefault="005F0E9E">
            <w:pPr>
              <w:tabs>
                <w:tab w:val="left" w:pos="-108"/>
              </w:tabs>
            </w:pPr>
          </w:p>
        </w:tc>
        <w:tc>
          <w:tcPr>
            <w:tcW w:w="1842" w:type="dxa"/>
            <w:tcBorders>
              <w:left w:val="single" w:sz="4" w:space="0" w:color="00000A"/>
              <w:right w:val="single" w:sz="4" w:space="0" w:color="00000A"/>
            </w:tcBorders>
            <w:shd w:val="clear" w:color="auto" w:fill="auto"/>
            <w:tcMar>
              <w:left w:w="103" w:type="dxa"/>
            </w:tcMar>
          </w:tcPr>
          <w:p w:rsidR="005F0E9E" w:rsidRPr="000370D0" w:rsidRDefault="00336FE7">
            <w:pPr>
              <w:spacing w:line="140" w:lineRule="atLeast"/>
              <w:jc w:val="right"/>
              <w:rPr>
                <w:rFonts w:cs="Arial"/>
                <w:sz w:val="14"/>
                <w:szCs w:val="14"/>
              </w:rPr>
            </w:pPr>
            <w:r w:rsidRPr="000370D0">
              <w:rPr>
                <w:rFonts w:cs="Arial"/>
                <w:sz w:val="14"/>
                <w:szCs w:val="14"/>
              </w:rPr>
              <w:t>The Italian Association</w:t>
            </w:r>
          </w:p>
          <w:p w:rsidR="005F0E9E" w:rsidRPr="000370D0" w:rsidRDefault="00336FE7">
            <w:pPr>
              <w:spacing w:line="140" w:lineRule="atLeast"/>
              <w:jc w:val="right"/>
              <w:rPr>
                <w:rFonts w:cs="Arial"/>
                <w:sz w:val="14"/>
                <w:szCs w:val="14"/>
              </w:rPr>
            </w:pPr>
            <w:r w:rsidRPr="000370D0">
              <w:rPr>
                <w:rFonts w:cs="Arial"/>
                <w:sz w:val="14"/>
                <w:szCs w:val="14"/>
              </w:rPr>
              <w:t>of Chemical Engineering</w:t>
            </w:r>
          </w:p>
          <w:p w:rsidR="005F0E9E" w:rsidRPr="000370D0" w:rsidRDefault="00336FE7">
            <w:pPr>
              <w:spacing w:line="140" w:lineRule="atLeast"/>
              <w:jc w:val="right"/>
              <w:rPr>
                <w:rFonts w:cs="Arial"/>
                <w:sz w:val="13"/>
                <w:szCs w:val="13"/>
              </w:rPr>
            </w:pPr>
            <w:r w:rsidRPr="000370D0">
              <w:rPr>
                <w:rFonts w:cs="Arial"/>
                <w:sz w:val="13"/>
                <w:szCs w:val="13"/>
              </w:rPr>
              <w:t>Online at www.cetjournal.it</w:t>
            </w:r>
          </w:p>
        </w:tc>
      </w:tr>
      <w:tr w:rsidR="000370D0" w:rsidRPr="000370D0">
        <w:trPr>
          <w:trHeight w:val="68"/>
          <w:jc w:val="center"/>
        </w:trPr>
        <w:tc>
          <w:tcPr>
            <w:tcW w:w="8781" w:type="dxa"/>
            <w:gridSpan w:val="2"/>
            <w:tcBorders>
              <w:bottom w:val="single" w:sz="4" w:space="0" w:color="00000A"/>
            </w:tcBorders>
            <w:shd w:val="clear" w:color="auto" w:fill="auto"/>
          </w:tcPr>
          <w:p w:rsidR="005F0E9E" w:rsidRPr="000370D0" w:rsidRDefault="00336FE7">
            <w:pPr>
              <w:ind w:left="-107"/>
              <w:outlineLvl w:val="2"/>
              <w:rPr>
                <w:rFonts w:ascii="Tahoma" w:hAnsi="Tahoma" w:cs="Tahoma"/>
                <w:bCs/>
                <w:sz w:val="14"/>
                <w:szCs w:val="14"/>
                <w:lang w:val="it-IT" w:eastAsia="it-IT"/>
              </w:rPr>
            </w:pPr>
            <w:r w:rsidRPr="000370D0">
              <w:rPr>
                <w:rFonts w:ascii="Tahoma" w:hAnsi="Tahoma" w:cs="Tahoma"/>
                <w:iCs/>
                <w:sz w:val="14"/>
                <w:szCs w:val="14"/>
                <w:lang w:val="it-IT" w:eastAsia="it-IT"/>
              </w:rPr>
              <w:t>Guest Editors:</w:t>
            </w:r>
            <w:r w:rsidRPr="000370D0">
              <w:rPr>
                <w:rFonts w:ascii="Tahoma" w:hAnsi="Tahoma" w:cs="Tahoma"/>
                <w:sz w:val="14"/>
                <w:szCs w:val="14"/>
                <w:shd w:val="clear" w:color="auto" w:fill="FFFFFF"/>
                <w:lang w:val="it-IT"/>
              </w:rPr>
              <w:t xml:space="preserve"> </w:t>
            </w:r>
            <w:r w:rsidRPr="000370D0">
              <w:rPr>
                <w:sz w:val="14"/>
                <w:szCs w:val="14"/>
                <w:lang w:val="it-IT"/>
              </w:rPr>
              <w:t>Selena Sironi, Laura Capelli</w:t>
            </w:r>
          </w:p>
          <w:p w:rsidR="005F0E9E" w:rsidRPr="000370D0" w:rsidRDefault="00336FE7">
            <w:pPr>
              <w:tabs>
                <w:tab w:val="left" w:pos="-108"/>
              </w:tabs>
              <w:spacing w:line="140" w:lineRule="atLeast"/>
              <w:ind w:left="-107"/>
              <w:jc w:val="left"/>
            </w:pPr>
            <w:r w:rsidRPr="000370D0">
              <w:rPr>
                <w:rFonts w:ascii="Tahoma" w:hAnsi="Tahoma" w:cs="Tahoma"/>
                <w:iCs/>
                <w:sz w:val="14"/>
                <w:szCs w:val="14"/>
                <w:lang w:eastAsia="it-IT"/>
              </w:rPr>
              <w:t xml:space="preserve">Copyright © 2022, AIDIC </w:t>
            </w:r>
            <w:proofErr w:type="spellStart"/>
            <w:r w:rsidRPr="000370D0">
              <w:rPr>
                <w:rFonts w:ascii="Tahoma" w:hAnsi="Tahoma" w:cs="Tahoma"/>
                <w:iCs/>
                <w:sz w:val="14"/>
                <w:szCs w:val="14"/>
                <w:lang w:eastAsia="it-IT"/>
              </w:rPr>
              <w:t>Servizi</w:t>
            </w:r>
            <w:proofErr w:type="spellEnd"/>
            <w:r w:rsidRPr="000370D0">
              <w:rPr>
                <w:rFonts w:ascii="Tahoma" w:hAnsi="Tahoma" w:cs="Tahoma"/>
                <w:iCs/>
                <w:sz w:val="14"/>
                <w:szCs w:val="14"/>
                <w:lang w:eastAsia="it-IT"/>
              </w:rPr>
              <w:t xml:space="preserve"> </w:t>
            </w:r>
            <w:proofErr w:type="spellStart"/>
            <w:r w:rsidRPr="000370D0">
              <w:rPr>
                <w:rFonts w:ascii="Tahoma" w:hAnsi="Tahoma" w:cs="Tahoma"/>
                <w:iCs/>
                <w:sz w:val="14"/>
                <w:szCs w:val="14"/>
                <w:lang w:eastAsia="it-IT"/>
              </w:rPr>
              <w:t>S.r.l</w:t>
            </w:r>
            <w:proofErr w:type="spellEnd"/>
            <w:r w:rsidRPr="000370D0">
              <w:rPr>
                <w:rFonts w:ascii="Tahoma" w:hAnsi="Tahoma" w:cs="Tahoma"/>
                <w:iCs/>
                <w:sz w:val="14"/>
                <w:szCs w:val="14"/>
                <w:lang w:eastAsia="it-IT"/>
              </w:rPr>
              <w:t>.</w:t>
            </w:r>
            <w:r w:rsidRPr="000370D0">
              <w:rPr>
                <w:rFonts w:ascii="Tahoma" w:hAnsi="Tahoma" w:cs="Tahoma"/>
                <w:iCs/>
                <w:sz w:val="14"/>
                <w:szCs w:val="14"/>
                <w:lang w:eastAsia="it-IT"/>
              </w:rPr>
              <w:br/>
            </w:r>
            <w:r w:rsidRPr="000370D0">
              <w:rPr>
                <w:rFonts w:ascii="Tahoma" w:hAnsi="Tahoma" w:cs="Tahoma"/>
                <w:b/>
                <w:iCs/>
                <w:sz w:val="14"/>
                <w:szCs w:val="14"/>
                <w:lang w:eastAsia="it-IT"/>
              </w:rPr>
              <w:t>ISBN</w:t>
            </w:r>
            <w:r w:rsidRPr="000370D0">
              <w:rPr>
                <w:rFonts w:ascii="Tahoma" w:hAnsi="Tahoma" w:cs="Tahoma"/>
                <w:iCs/>
                <w:sz w:val="14"/>
                <w:szCs w:val="14"/>
                <w:lang w:eastAsia="it-IT"/>
              </w:rPr>
              <w:t xml:space="preserve"> </w:t>
            </w:r>
            <w:r w:rsidRPr="000370D0">
              <w:rPr>
                <w:rFonts w:ascii="Tahoma" w:hAnsi="Tahoma" w:cs="Tahoma"/>
                <w:sz w:val="14"/>
                <w:szCs w:val="14"/>
              </w:rPr>
              <w:t>978-88-95608-94-5</w:t>
            </w:r>
            <w:r w:rsidRPr="000370D0">
              <w:rPr>
                <w:rFonts w:ascii="Tahoma" w:hAnsi="Tahoma" w:cs="Tahoma"/>
                <w:iCs/>
                <w:sz w:val="14"/>
                <w:szCs w:val="14"/>
                <w:lang w:eastAsia="it-IT"/>
              </w:rPr>
              <w:t xml:space="preserve">; </w:t>
            </w:r>
            <w:r w:rsidRPr="000370D0">
              <w:rPr>
                <w:rFonts w:ascii="Tahoma" w:hAnsi="Tahoma" w:cs="Tahoma"/>
                <w:b/>
                <w:iCs/>
                <w:sz w:val="14"/>
                <w:szCs w:val="14"/>
                <w:lang w:eastAsia="it-IT"/>
              </w:rPr>
              <w:t>ISSN</w:t>
            </w:r>
            <w:r w:rsidRPr="000370D0">
              <w:rPr>
                <w:rFonts w:ascii="Tahoma" w:hAnsi="Tahoma" w:cs="Tahoma"/>
                <w:iCs/>
                <w:sz w:val="14"/>
                <w:szCs w:val="14"/>
                <w:lang w:eastAsia="it-IT"/>
              </w:rPr>
              <w:t xml:space="preserve"> 2283-9216</w:t>
            </w:r>
          </w:p>
        </w:tc>
      </w:tr>
    </w:tbl>
    <w:p w:rsidR="005F0E9E" w:rsidRPr="000370D0" w:rsidRDefault="00336FE7">
      <w:pPr>
        <w:pStyle w:val="CETTitle"/>
      </w:pPr>
      <w:r w:rsidRPr="000370D0">
        <w:t xml:space="preserve">Limitations of FIDOL factors for odour </w:t>
      </w:r>
      <w:proofErr w:type="gramStart"/>
      <w:r w:rsidRPr="000370D0">
        <w:t>impact</w:t>
      </w:r>
      <w:proofErr w:type="gramEnd"/>
      <w:r w:rsidRPr="000370D0">
        <w:t xml:space="preserve"> assessment: potential ways of improvements</w:t>
      </w:r>
    </w:p>
    <w:p w:rsidR="005F0E9E" w:rsidRPr="000370D0" w:rsidRDefault="00336FE7">
      <w:pPr>
        <w:pStyle w:val="CETAuthors"/>
        <w:rPr>
          <w:lang w:val="fr-FR"/>
        </w:rPr>
      </w:pPr>
      <w:r w:rsidRPr="000370D0">
        <w:rPr>
          <w:lang w:val="fr-FR"/>
        </w:rPr>
        <w:t xml:space="preserve">Jean-Michel </w:t>
      </w:r>
      <w:proofErr w:type="spellStart"/>
      <w:r w:rsidRPr="000370D0">
        <w:rPr>
          <w:lang w:val="fr-FR"/>
        </w:rPr>
        <w:t>GUILLOT</w:t>
      </w:r>
      <w:r w:rsidRPr="000370D0">
        <w:rPr>
          <w:vertAlign w:val="superscript"/>
          <w:lang w:val="fr-FR"/>
        </w:rPr>
        <w:t>a</w:t>
      </w:r>
      <w:proofErr w:type="spellEnd"/>
      <w:r w:rsidRPr="000370D0">
        <w:rPr>
          <w:lang w:val="fr-FR"/>
        </w:rPr>
        <w:t xml:space="preserve">, François </w:t>
      </w:r>
      <w:proofErr w:type="spellStart"/>
      <w:r w:rsidRPr="000370D0">
        <w:rPr>
          <w:lang w:val="fr-FR"/>
        </w:rPr>
        <w:t>TROUSSET</w:t>
      </w:r>
      <w:r w:rsidRPr="000370D0">
        <w:rPr>
          <w:vertAlign w:val="superscript"/>
          <w:lang w:val="fr-FR"/>
        </w:rPr>
        <w:t>a</w:t>
      </w:r>
      <w:proofErr w:type="spellEnd"/>
      <w:r w:rsidRPr="000370D0">
        <w:rPr>
          <w:lang w:val="fr-FR"/>
        </w:rPr>
        <w:t xml:space="preserve">, Nicolas </w:t>
      </w:r>
      <w:proofErr w:type="spellStart"/>
      <w:r w:rsidRPr="000370D0">
        <w:rPr>
          <w:lang w:val="fr-FR"/>
        </w:rPr>
        <w:t>DACLIN</w:t>
      </w:r>
      <w:r w:rsidRPr="000370D0">
        <w:rPr>
          <w:vertAlign w:val="superscript"/>
          <w:lang w:val="fr-FR"/>
        </w:rPr>
        <w:t>a</w:t>
      </w:r>
      <w:proofErr w:type="spellEnd"/>
    </w:p>
    <w:p w:rsidR="005F0E9E" w:rsidRPr="000370D0" w:rsidRDefault="00336FE7">
      <w:pPr>
        <w:pStyle w:val="CETAddress"/>
        <w:rPr>
          <w:lang w:val="fr-FR"/>
        </w:rPr>
      </w:pPr>
      <w:proofErr w:type="spellStart"/>
      <w:proofErr w:type="gramStart"/>
      <w:r w:rsidRPr="000370D0">
        <w:rPr>
          <w:vertAlign w:val="superscript"/>
          <w:lang w:val="fr-FR"/>
        </w:rPr>
        <w:t>a</w:t>
      </w:r>
      <w:proofErr w:type="spellEnd"/>
      <w:r w:rsidRPr="000370D0">
        <w:rPr>
          <w:lang w:val="fr-FR"/>
        </w:rPr>
        <w:t xml:space="preserve">  IMT</w:t>
      </w:r>
      <w:proofErr w:type="gramEnd"/>
      <w:r w:rsidRPr="000370D0">
        <w:rPr>
          <w:lang w:val="fr-FR"/>
        </w:rPr>
        <w:t xml:space="preserve"> Mines Ales, LSR, 30319 Ales cedex, France</w:t>
      </w:r>
    </w:p>
    <w:p w:rsidR="005F0E9E" w:rsidRPr="000370D0" w:rsidRDefault="0081532F">
      <w:pPr>
        <w:pStyle w:val="CETBodytext"/>
        <w:rPr>
          <w:lang w:val="fr-FR"/>
        </w:rPr>
      </w:pPr>
      <w:hyperlink r:id="rId8">
        <w:r w:rsidR="00336FE7" w:rsidRPr="000370D0">
          <w:rPr>
            <w:rStyle w:val="LienInternet"/>
            <w:color w:val="auto"/>
            <w:lang w:val="fr-FR"/>
          </w:rPr>
          <w:t>jean-michel.guillot@mines-ales.fr</w:t>
        </w:r>
      </w:hyperlink>
    </w:p>
    <w:p w:rsidR="005F0E9E" w:rsidRPr="000370D0" w:rsidRDefault="005F0E9E">
      <w:pPr>
        <w:pStyle w:val="CETBodytext"/>
        <w:rPr>
          <w:lang w:val="fr-FR"/>
        </w:rPr>
      </w:pPr>
    </w:p>
    <w:p w:rsidR="005F0E9E" w:rsidRPr="000370D0" w:rsidRDefault="00336FE7">
      <w:pPr>
        <w:pStyle w:val="CETBodytext"/>
        <w:rPr>
          <w:lang w:val="en-GB"/>
        </w:rPr>
      </w:pPr>
      <w:r w:rsidRPr="000370D0">
        <w:rPr>
          <w:lang w:val="en-GB"/>
        </w:rPr>
        <w:t xml:space="preserve">FIDOL factors that represent five dimensions (Frequency, Intensity, Duration, Offensiveness and Location) are tools for odour impact assessment. If the four factors (F, I, D, O) are clearly identified parameters, the fifth one (L) can be interpreted in different ways. Some recent communications are based on FIDOR (R as Receptor) or FIDOS (S as Sensitivity) to integrate larger impact than only the location (L). For location, the perception is not the same at work place or in a residential area, but the difference also depends on the considered period (workday, weekend or holidays) and also on sensitivity caused by tiredness or on any other “aggressive” perception (noise, very bad weather…). Therefore, two approaches are eligible: adding new dimensions (R and/or S) to obtain six/seven factors or considering the fifth one (L) as a multidimensional factor (LRS). All factors describe a characteristic of odour impact and for each of </w:t>
      </w:r>
      <w:r w:rsidR="005C7709" w:rsidRPr="000370D0">
        <w:rPr>
          <w:lang w:val="en-GB"/>
        </w:rPr>
        <w:t>them;</w:t>
      </w:r>
      <w:r w:rsidRPr="000370D0">
        <w:rPr>
          <w:lang w:val="en-GB"/>
        </w:rPr>
        <w:t xml:space="preserve"> a scale has to </w:t>
      </w:r>
      <w:proofErr w:type="gramStart"/>
      <w:r w:rsidRPr="000370D0">
        <w:rPr>
          <w:lang w:val="en-GB"/>
        </w:rPr>
        <w:t>be defined</w:t>
      </w:r>
      <w:proofErr w:type="gramEnd"/>
      <w:r w:rsidRPr="000370D0">
        <w:rPr>
          <w:lang w:val="en-GB"/>
        </w:rPr>
        <w:t xml:space="preserve"> to give a value representing/describing its impact. Thus, what is the more acceptable and representative scale for each </w:t>
      </w:r>
      <w:proofErr w:type="gramStart"/>
      <w:r w:rsidR="005C7709" w:rsidRPr="000370D0">
        <w:rPr>
          <w:lang w:val="en-GB"/>
        </w:rPr>
        <w:t>factor?</w:t>
      </w:r>
      <w:proofErr w:type="gramEnd"/>
      <w:r w:rsidR="005C7709" w:rsidRPr="000370D0">
        <w:rPr>
          <w:lang w:val="en-GB"/>
        </w:rPr>
        <w:t xml:space="preserve"> </w:t>
      </w:r>
      <w:r w:rsidRPr="000370D0">
        <w:rPr>
          <w:lang w:val="en-GB"/>
        </w:rPr>
        <w:t xml:space="preserve">After such a choice, the potential weight of each factor on the global perception is also a real </w:t>
      </w:r>
      <w:proofErr w:type="gramStart"/>
      <w:r w:rsidR="005C7709" w:rsidRPr="000370D0">
        <w:rPr>
          <w:lang w:val="en-GB"/>
        </w:rPr>
        <w:t>question?</w:t>
      </w:r>
      <w:proofErr w:type="gramEnd"/>
    </w:p>
    <w:p w:rsidR="005F0E9E" w:rsidRPr="000370D0" w:rsidRDefault="00336FE7">
      <w:pPr>
        <w:pStyle w:val="CETBodytext"/>
        <w:rPr>
          <w:lang w:val="en-GB"/>
        </w:rPr>
      </w:pPr>
      <w:r w:rsidRPr="000370D0">
        <w:rPr>
          <w:lang w:val="en-GB"/>
        </w:rPr>
        <w:t>Global odour perception is, in fact, subjective due to the interpretation of perceived smells in a context. Therefore, factors must integrate the subjectivity for all dimensions they represent. That means it could be interesting to keep the subjective feeling avoiding interference by objective external quantitative measurement like chemical or physical sensors (for example estimating exposure time or intensity based on pollution detection by sensors).</w:t>
      </w:r>
    </w:p>
    <w:p w:rsidR="005F0E9E" w:rsidRPr="000370D0" w:rsidRDefault="00336FE7">
      <w:pPr>
        <w:pStyle w:val="CETHeading1"/>
        <w:numPr>
          <w:ilvl w:val="1"/>
          <w:numId w:val="1"/>
        </w:numPr>
        <w:rPr>
          <w:lang w:val="en-GB"/>
        </w:rPr>
      </w:pPr>
      <w:r w:rsidRPr="000370D0">
        <w:rPr>
          <w:lang w:val="en-GB"/>
        </w:rPr>
        <w:t>Introduction</w:t>
      </w:r>
    </w:p>
    <w:p w:rsidR="00E93E65" w:rsidRPr="000370D0" w:rsidRDefault="00FC1073">
      <w:pPr>
        <w:pStyle w:val="CETBodytext"/>
        <w:rPr>
          <w:lang w:val="en-GB"/>
        </w:rPr>
      </w:pPr>
      <w:r w:rsidRPr="000370D0">
        <w:rPr>
          <w:lang w:val="en-GB"/>
        </w:rPr>
        <w:t xml:space="preserve">Air quality is a wide domain and generally, measurement </w:t>
      </w:r>
      <w:proofErr w:type="gramStart"/>
      <w:r w:rsidRPr="000370D0">
        <w:rPr>
          <w:lang w:val="en-GB"/>
        </w:rPr>
        <w:t>are based</w:t>
      </w:r>
      <w:proofErr w:type="gramEnd"/>
      <w:r w:rsidRPr="000370D0">
        <w:rPr>
          <w:lang w:val="en-GB"/>
        </w:rPr>
        <w:t xml:space="preserve"> on chemical or physical approaches. The case of pollution by odorous compounds can </w:t>
      </w:r>
      <w:r w:rsidR="00530F4B" w:rsidRPr="000370D0">
        <w:rPr>
          <w:lang w:val="en-GB"/>
        </w:rPr>
        <w:t xml:space="preserve">be </w:t>
      </w:r>
      <w:r w:rsidRPr="000370D0">
        <w:rPr>
          <w:lang w:val="en-GB"/>
        </w:rPr>
        <w:t xml:space="preserve">characterised in a chemical point of view by classical analytical tools like GC/MS or </w:t>
      </w:r>
      <w:r w:rsidR="00530F4B" w:rsidRPr="000370D0">
        <w:rPr>
          <w:lang w:val="en-GB"/>
        </w:rPr>
        <w:t xml:space="preserve">with specific detectors for chemical families. </w:t>
      </w:r>
      <w:proofErr w:type="gramStart"/>
      <w:r w:rsidR="00530F4B" w:rsidRPr="000370D0">
        <w:rPr>
          <w:lang w:val="en-GB"/>
        </w:rPr>
        <w:t>But</w:t>
      </w:r>
      <w:proofErr w:type="gramEnd"/>
      <w:r w:rsidR="00530F4B" w:rsidRPr="000370D0">
        <w:rPr>
          <w:lang w:val="en-GB"/>
        </w:rPr>
        <w:t>, the characterisation of global odour (and not the chemical composition) is linked to s</w:t>
      </w:r>
      <w:r w:rsidR="00E93E65" w:rsidRPr="000370D0">
        <w:rPr>
          <w:lang w:val="en-GB"/>
        </w:rPr>
        <w:t xml:space="preserve">ensorial measurement. The human odour perception and its impacts on wellbeing must also be assessed with sensorial approaches and/or methodologies based on feelings. </w:t>
      </w:r>
      <w:r w:rsidR="00A62601" w:rsidRPr="000370D0">
        <w:rPr>
          <w:lang w:val="en-GB"/>
        </w:rPr>
        <w:t xml:space="preserve">Because environmental odours had impacts on population, regulations </w:t>
      </w:r>
      <w:proofErr w:type="gramStart"/>
      <w:r w:rsidR="00A62601" w:rsidRPr="000370D0">
        <w:rPr>
          <w:lang w:val="en-GB"/>
        </w:rPr>
        <w:t>were developed</w:t>
      </w:r>
      <w:proofErr w:type="gramEnd"/>
      <w:r w:rsidR="00A62601" w:rsidRPr="000370D0">
        <w:rPr>
          <w:lang w:val="en-GB"/>
        </w:rPr>
        <w:t xml:space="preserve"> worldwide (Bokowa et al.</w:t>
      </w:r>
      <w:r w:rsidR="00D57BA1" w:rsidRPr="000370D0">
        <w:rPr>
          <w:lang w:val="en-GB"/>
        </w:rPr>
        <w:t>,</w:t>
      </w:r>
      <w:r w:rsidR="00A62601" w:rsidRPr="000370D0">
        <w:rPr>
          <w:lang w:val="en-GB"/>
        </w:rPr>
        <w:t xml:space="preserve"> 2021) but these regulations needs tools to measure </w:t>
      </w:r>
      <w:r w:rsidR="00D90DC1" w:rsidRPr="000370D0">
        <w:rPr>
          <w:lang w:val="en-GB"/>
        </w:rPr>
        <w:t>and/</w:t>
      </w:r>
      <w:r w:rsidR="00A62601" w:rsidRPr="000370D0">
        <w:rPr>
          <w:lang w:val="en-GB"/>
        </w:rPr>
        <w:t>or estimate emissions, methodologies to quantify concentrations, impacts…</w:t>
      </w:r>
      <w:r w:rsidR="00D90DC1" w:rsidRPr="000370D0">
        <w:rPr>
          <w:lang w:val="en-GB"/>
        </w:rPr>
        <w:t>(Capelli et al., 2013).</w:t>
      </w:r>
    </w:p>
    <w:p w:rsidR="005F0E9E" w:rsidRPr="000370D0" w:rsidRDefault="00336FE7">
      <w:pPr>
        <w:pStyle w:val="CETBodytext"/>
        <w:rPr>
          <w:lang w:val="en-GB"/>
        </w:rPr>
      </w:pPr>
      <w:r w:rsidRPr="000370D0">
        <w:rPr>
          <w:lang w:val="en-GB"/>
        </w:rPr>
        <w:t>Environmental odour characterization can be characterised using different complementary approaches</w:t>
      </w:r>
      <w:r w:rsidR="006564DE" w:rsidRPr="000370D0">
        <w:rPr>
          <w:lang w:val="en-GB"/>
        </w:rPr>
        <w:t xml:space="preserve"> often linked to standards like EN standards developed by European Committee for Standardization</w:t>
      </w:r>
      <w:r w:rsidRPr="000370D0">
        <w:rPr>
          <w:lang w:val="en-GB"/>
        </w:rPr>
        <w:t xml:space="preserve">. At the emission, the EN-13725:2022 standard describes the way to quantify odour determining odour concentration by dynamic </w:t>
      </w:r>
      <w:proofErr w:type="spellStart"/>
      <w:r w:rsidRPr="000370D0">
        <w:rPr>
          <w:lang w:val="en-GB"/>
        </w:rPr>
        <w:t>olfactometry</w:t>
      </w:r>
      <w:proofErr w:type="spellEnd"/>
      <w:r w:rsidRPr="000370D0">
        <w:rPr>
          <w:lang w:val="en-GB"/>
        </w:rPr>
        <w:t xml:space="preserve"> and odour emission rate. In ambient air, the determination of odour can be carried out by using field inspection with the grid method (EN-16841-1:2016) or with the plume method (EN-16841-2:2016). If these standards describe efficient methods to characterise environmental odour in terms of concentration at the emission site, exposure and presence or absence in a defined area, other parameters generate the impact on population. To try to integrate all d</w:t>
      </w:r>
      <w:r w:rsidR="006863B4">
        <w:rPr>
          <w:lang w:val="en-GB"/>
        </w:rPr>
        <w:t>imensions, FID</w:t>
      </w:r>
      <w:r w:rsidRPr="000370D0">
        <w:rPr>
          <w:lang w:val="en-GB"/>
        </w:rPr>
        <w:t xml:space="preserve">OL factors for Frequency, Intensity, Duration, Offensiveness and Location are cited to assess the impact </w:t>
      </w:r>
      <w:proofErr w:type="gramStart"/>
      <w:r w:rsidRPr="000370D0">
        <w:rPr>
          <w:lang w:val="en-GB"/>
        </w:rPr>
        <w:t>and also</w:t>
      </w:r>
      <w:proofErr w:type="gramEnd"/>
      <w:r w:rsidRPr="000370D0">
        <w:rPr>
          <w:lang w:val="en-GB"/>
        </w:rPr>
        <w:t xml:space="preserve"> to propose odour regulation (</w:t>
      </w:r>
      <w:proofErr w:type="spellStart"/>
      <w:r w:rsidRPr="000370D0">
        <w:rPr>
          <w:lang w:val="en-GB"/>
        </w:rPr>
        <w:t>Nicell</w:t>
      </w:r>
      <w:proofErr w:type="spellEnd"/>
      <w:r w:rsidRPr="000370D0">
        <w:rPr>
          <w:lang w:val="en-GB"/>
        </w:rPr>
        <w:t xml:space="preserve">, 2009). In regulation context, objective odour limits are fixed. The objective approach is common and even logical in physical or chemical measurement but for a sensorial perception, with a wide variability between persons, </w:t>
      </w:r>
      <w:proofErr w:type="gramStart"/>
      <w:r w:rsidRPr="000370D0">
        <w:rPr>
          <w:lang w:val="en-GB"/>
        </w:rPr>
        <w:t>it’s</w:t>
      </w:r>
      <w:proofErr w:type="gramEnd"/>
      <w:r w:rsidRPr="000370D0">
        <w:rPr>
          <w:lang w:val="en-GB"/>
        </w:rPr>
        <w:t xml:space="preserve"> typically more complex due to subjectivity. For example, when a doctor asks a patient to rate his pain on a scale from 1 to 10, </w:t>
      </w:r>
      <w:r w:rsidRPr="000370D0">
        <w:rPr>
          <w:lang w:val="en-GB"/>
        </w:rPr>
        <w:lastRenderedPageBreak/>
        <w:t xml:space="preserve">it’s the real feeling of the patient and not temperature, cardiac rhythm or another factor that describe the pain. </w:t>
      </w:r>
      <w:proofErr w:type="gramStart"/>
      <w:r w:rsidRPr="000370D0">
        <w:rPr>
          <w:lang w:val="en-GB"/>
        </w:rPr>
        <w:t>So</w:t>
      </w:r>
      <w:proofErr w:type="gramEnd"/>
      <w:r w:rsidRPr="000370D0">
        <w:rPr>
          <w:lang w:val="en-GB"/>
        </w:rPr>
        <w:t>, it is important to explain limits of FIDOL factors and to propose how a full subjective approach could be another way to assess impact on populations.</w:t>
      </w:r>
    </w:p>
    <w:p w:rsidR="005F0E9E" w:rsidRPr="000370D0" w:rsidRDefault="005F0E9E">
      <w:pPr>
        <w:pStyle w:val="CETBodytext"/>
        <w:rPr>
          <w:lang w:val="en-GB"/>
        </w:rPr>
      </w:pPr>
    </w:p>
    <w:p w:rsidR="005F0E9E" w:rsidRPr="000370D0" w:rsidRDefault="00336FE7">
      <w:pPr>
        <w:pStyle w:val="CETHeading1"/>
        <w:numPr>
          <w:ilvl w:val="1"/>
          <w:numId w:val="1"/>
        </w:numPr>
        <w:rPr>
          <w:lang w:val="en-GB"/>
        </w:rPr>
      </w:pPr>
      <w:r w:rsidRPr="000370D0">
        <w:rPr>
          <w:lang w:val="en-GB"/>
        </w:rPr>
        <w:t>Limits of the FIDOL factors</w:t>
      </w:r>
    </w:p>
    <w:p w:rsidR="005F0E9E" w:rsidRPr="000370D0" w:rsidRDefault="006331E4">
      <w:pPr>
        <w:pStyle w:val="CETBodytext"/>
        <w:rPr>
          <w:lang w:val="en-GB"/>
        </w:rPr>
      </w:pPr>
      <w:r w:rsidRPr="000370D0">
        <w:rPr>
          <w:lang w:val="en-GB"/>
        </w:rPr>
        <w:t>FIDOL factors are pertinent and efficient</w:t>
      </w:r>
      <w:r w:rsidR="00336FE7" w:rsidRPr="000370D0">
        <w:rPr>
          <w:lang w:val="en-GB"/>
        </w:rPr>
        <w:t xml:space="preserve"> </w:t>
      </w:r>
      <w:r w:rsidRPr="000370D0">
        <w:rPr>
          <w:lang w:val="en-GB"/>
        </w:rPr>
        <w:t xml:space="preserve">indicators to assess an impact. </w:t>
      </w:r>
      <w:proofErr w:type="gramStart"/>
      <w:r w:rsidRPr="000370D0">
        <w:rPr>
          <w:lang w:val="en-GB"/>
        </w:rPr>
        <w:t>But</w:t>
      </w:r>
      <w:proofErr w:type="gramEnd"/>
      <w:r w:rsidRPr="000370D0">
        <w:rPr>
          <w:lang w:val="en-GB"/>
        </w:rPr>
        <w:t>, even if such an approach defines a way to manage environmental odours, these five factors present some limits and th</w:t>
      </w:r>
      <w:r w:rsidR="00336FE7" w:rsidRPr="000370D0">
        <w:rPr>
          <w:lang w:val="en-GB"/>
        </w:rPr>
        <w:t>e following p</w:t>
      </w:r>
      <w:r w:rsidRPr="000370D0">
        <w:rPr>
          <w:lang w:val="en-GB"/>
        </w:rPr>
        <w:t xml:space="preserve">aragraphs describe these limits by factors but also on a global view. </w:t>
      </w:r>
      <w:r w:rsidR="009A7FF8" w:rsidRPr="000370D0">
        <w:rPr>
          <w:lang w:val="en-GB"/>
        </w:rPr>
        <w:t xml:space="preserve">It </w:t>
      </w:r>
      <w:proofErr w:type="gramStart"/>
      <w:r w:rsidR="009A7FF8" w:rsidRPr="000370D0">
        <w:rPr>
          <w:lang w:val="en-GB"/>
        </w:rPr>
        <w:t>must be noticed</w:t>
      </w:r>
      <w:proofErr w:type="gramEnd"/>
      <w:r w:rsidR="009A7FF8" w:rsidRPr="000370D0">
        <w:rPr>
          <w:lang w:val="en-GB"/>
        </w:rPr>
        <w:t xml:space="preserve"> that FIDOL approach is quite specific in environmental assessment. </w:t>
      </w:r>
      <w:r w:rsidR="002F29D9" w:rsidRPr="000370D0">
        <w:rPr>
          <w:lang w:val="en-GB"/>
        </w:rPr>
        <w:t>Generally,</w:t>
      </w:r>
      <w:r w:rsidR="009A7FF8" w:rsidRPr="000370D0">
        <w:rPr>
          <w:lang w:val="en-GB"/>
        </w:rPr>
        <w:t xml:space="preserve"> pollution is mainly characterised by concentrations, flows, accumulations and compared with values defi</w:t>
      </w:r>
      <w:r w:rsidR="002F29D9" w:rsidRPr="000370D0">
        <w:rPr>
          <w:lang w:val="en-GB"/>
        </w:rPr>
        <w:t xml:space="preserve">ned in regulation texts. So, analytical results </w:t>
      </w:r>
      <w:proofErr w:type="gramStart"/>
      <w:r w:rsidR="002F29D9" w:rsidRPr="000370D0">
        <w:rPr>
          <w:lang w:val="en-GB"/>
        </w:rPr>
        <w:t>can be easily compared</w:t>
      </w:r>
      <w:proofErr w:type="gramEnd"/>
      <w:r w:rsidR="002F29D9" w:rsidRPr="000370D0">
        <w:rPr>
          <w:lang w:val="en-GB"/>
        </w:rPr>
        <w:t xml:space="preserve"> with references values to not exceed. In environmental approach, a more complex assessment could be life cycle analysis (LCA) because for complex products, input data is very numerous. FIDOL factors </w:t>
      </w:r>
      <w:proofErr w:type="gramStart"/>
      <w:r w:rsidR="002F29D9" w:rsidRPr="000370D0">
        <w:rPr>
          <w:lang w:val="en-GB"/>
        </w:rPr>
        <w:t>can be considered</w:t>
      </w:r>
      <w:proofErr w:type="gramEnd"/>
      <w:r w:rsidR="002F29D9" w:rsidRPr="000370D0">
        <w:rPr>
          <w:lang w:val="en-GB"/>
        </w:rPr>
        <w:t xml:space="preserve"> as a less complex approach than LCA but need knowledge on odours to be understood.</w:t>
      </w:r>
    </w:p>
    <w:p w:rsidR="00233003" w:rsidRPr="000370D0" w:rsidRDefault="00233003">
      <w:pPr>
        <w:pStyle w:val="CETBodytext"/>
        <w:rPr>
          <w:lang w:val="en-GB"/>
        </w:rPr>
      </w:pPr>
    </w:p>
    <w:p w:rsidR="005F0E9E" w:rsidRPr="000370D0" w:rsidRDefault="00336FE7">
      <w:pPr>
        <w:pStyle w:val="CETheadingx"/>
        <w:numPr>
          <w:ilvl w:val="2"/>
          <w:numId w:val="1"/>
        </w:numPr>
      </w:pPr>
      <w:r w:rsidRPr="000370D0">
        <w:t>Frequency</w:t>
      </w:r>
    </w:p>
    <w:p w:rsidR="005F0E9E" w:rsidRPr="000370D0" w:rsidRDefault="00336FE7">
      <w:pPr>
        <w:pStyle w:val="CETBodytext"/>
        <w:rPr>
          <w:lang w:val="en-GB"/>
        </w:rPr>
      </w:pPr>
      <w:r w:rsidRPr="000370D0">
        <w:rPr>
          <w:lang w:val="en-GB"/>
        </w:rPr>
        <w:t xml:space="preserve">With a sensor and a defined baseline, it is easy to count the number of values ​​above this baseline. With permanent or regular recording, the frequency of exceeding baseline level </w:t>
      </w:r>
      <w:proofErr w:type="gramStart"/>
      <w:r w:rsidRPr="000370D0">
        <w:rPr>
          <w:lang w:val="en-GB"/>
        </w:rPr>
        <w:t>can be easily calculated</w:t>
      </w:r>
      <w:proofErr w:type="gramEnd"/>
      <w:r w:rsidRPr="000370D0">
        <w:rPr>
          <w:lang w:val="en-GB"/>
        </w:rPr>
        <w:t xml:space="preserve">. Then, the percentile of exceeding or non-exceeding </w:t>
      </w:r>
      <w:proofErr w:type="gramStart"/>
      <w:r w:rsidRPr="000370D0">
        <w:rPr>
          <w:lang w:val="en-GB"/>
        </w:rPr>
        <w:t>is recorded</w:t>
      </w:r>
      <w:proofErr w:type="gramEnd"/>
      <w:r w:rsidRPr="000370D0">
        <w:rPr>
          <w:lang w:val="en-GB"/>
        </w:rPr>
        <w:t>. This approach is typically developed for regulation based on percentiles 95% or 98% that express than 95% or 98% of the time, odour is absent because lower of 1 UO</w:t>
      </w:r>
      <w:r w:rsidRPr="000370D0">
        <w:rPr>
          <w:vertAlign w:val="subscript"/>
          <w:lang w:val="en-GB"/>
        </w:rPr>
        <w:t>E</w:t>
      </w:r>
      <w:r w:rsidRPr="000370D0">
        <w:rPr>
          <w:lang w:val="en-GB"/>
        </w:rPr>
        <w:t>/m</w:t>
      </w:r>
      <w:r w:rsidRPr="000370D0">
        <w:rPr>
          <w:vertAlign w:val="superscript"/>
          <w:lang w:val="en-GB"/>
        </w:rPr>
        <w:t>3</w:t>
      </w:r>
      <w:r w:rsidRPr="000370D0">
        <w:rPr>
          <w:lang w:val="en-GB"/>
        </w:rPr>
        <w:t xml:space="preserve">. Such a percentile is in fact a combination of frequency and duration so tries to represent these both factors. Considering a case where people are exposed twice a day (at 7h and 19h for example) to a strong odour peak for 12 minutes each, the calculation will give 2x12min/day so 0.4h/24h that is in fact 1,6% of the time. This case is compatible with a percentile of no exceeding for 98% of the time so can be considered very far from a potential nuisance but what is the real feeling of a person exposed each day and twice a day to a stench </w:t>
      </w:r>
      <w:proofErr w:type="gramStart"/>
      <w:r w:rsidRPr="000370D0">
        <w:rPr>
          <w:lang w:val="en-GB"/>
        </w:rPr>
        <w:t>atmosphere !</w:t>
      </w:r>
      <w:proofErr w:type="gramEnd"/>
      <w:r w:rsidRPr="000370D0">
        <w:rPr>
          <w:lang w:val="en-GB"/>
        </w:rPr>
        <w:t xml:space="preserve">  Because of regularity, the perceived frequency is probably close to “often” for a subjective description when an objective description will propose no significant exceeding. Such an example clearly illustrate that an objective measurement cannot be representative of real feeling in some cases. It also exists the measurement of odour frequency with the protocol defined by German guide VDI3940 part 1 </w:t>
      </w:r>
      <w:r w:rsidR="00326E6E" w:rsidRPr="000370D0">
        <w:rPr>
          <w:lang w:val="en-GB"/>
        </w:rPr>
        <w:t xml:space="preserve">(2006) </w:t>
      </w:r>
      <w:r w:rsidRPr="000370D0">
        <w:rPr>
          <w:lang w:val="en-GB"/>
        </w:rPr>
        <w:t xml:space="preserve">and used for odour exposure measurement with grid method EN16841. To synthetize the method for a single measurement in one point, the assessor (with normal sensitivity to n-butanol) sniffs the air every 10 seconds. He records the presence of odour (and the quality) on a record sheet or an application on mobile. After 10 minutes, he has assessed 60 breath of air for this period. The quotient of the number of positive assessments (odour detected) divided by the number of assessments in the cycle gives the percentage odour time so a representation of frequency. Defining a certain percentage of odour presence in advance, the percentage time reaching or exceeding the defined level is considered an odour hour. </w:t>
      </w:r>
      <w:proofErr w:type="gramStart"/>
      <w:r w:rsidRPr="000370D0">
        <w:rPr>
          <w:lang w:val="en-GB"/>
        </w:rPr>
        <w:t>It’s</w:t>
      </w:r>
      <w:proofErr w:type="gramEnd"/>
      <w:r w:rsidRPr="000370D0">
        <w:rPr>
          <w:lang w:val="en-GB"/>
        </w:rPr>
        <w:t xml:space="preserve"> not well adapted for situations with very punctual peaks of odours like the specific case cited previously. Clearly, measurements with a chemical analysis, a sensor or even a sensorial method during a period can give an objective result about odour frequency but that could differ to subjective perception.</w:t>
      </w:r>
    </w:p>
    <w:p w:rsidR="00EB3B1E" w:rsidRPr="000370D0" w:rsidRDefault="00EB3B1E">
      <w:pPr>
        <w:pStyle w:val="CETBodytext"/>
        <w:rPr>
          <w:lang w:val="en-GB"/>
        </w:rPr>
      </w:pPr>
    </w:p>
    <w:p w:rsidR="005F0E9E" w:rsidRPr="000370D0" w:rsidRDefault="00336FE7">
      <w:pPr>
        <w:pStyle w:val="CETheadingx"/>
        <w:numPr>
          <w:ilvl w:val="2"/>
          <w:numId w:val="1"/>
        </w:numPr>
      </w:pPr>
      <w:r w:rsidRPr="000370D0">
        <w:t>Intensity</w:t>
      </w:r>
    </w:p>
    <w:p w:rsidR="005F0E9E" w:rsidRPr="000370D0" w:rsidRDefault="00336FE7">
      <w:pPr>
        <w:pStyle w:val="CETBodytext"/>
        <w:rPr>
          <w:lang w:val="en-GB"/>
        </w:rPr>
      </w:pPr>
      <w:r w:rsidRPr="000370D0">
        <w:rPr>
          <w:lang w:val="en-GB"/>
        </w:rPr>
        <w:t xml:space="preserve">The intensity seems easier to characterize because it’s link to the concentration. With a chemical measurement, a concentration of an odorous compound can be determined and then with the odour threshold and the knowledge about the molecule, an estimation of odour intensity </w:t>
      </w:r>
      <w:proofErr w:type="gramStart"/>
      <w:r w:rsidRPr="000370D0">
        <w:rPr>
          <w:lang w:val="en-GB"/>
        </w:rPr>
        <w:t>can be proposed</w:t>
      </w:r>
      <w:proofErr w:type="gramEnd"/>
      <w:r w:rsidRPr="000370D0">
        <w:rPr>
          <w:lang w:val="en-GB"/>
        </w:rPr>
        <w:t xml:space="preserve">. </w:t>
      </w:r>
      <w:proofErr w:type="gramStart"/>
      <w:r w:rsidRPr="000370D0">
        <w:rPr>
          <w:lang w:val="en-GB"/>
        </w:rPr>
        <w:t>But</w:t>
      </w:r>
      <w:proofErr w:type="gramEnd"/>
      <w:r w:rsidRPr="000370D0">
        <w:rPr>
          <w:lang w:val="en-GB"/>
        </w:rPr>
        <w:t xml:space="preserve">, in reality, because odours are the results of perceived mixtures (odorants + non-odorant compounds), the intensity cannot be defined by chemical concentrations. </w:t>
      </w:r>
      <w:proofErr w:type="gramStart"/>
      <w:r w:rsidRPr="000370D0">
        <w:rPr>
          <w:lang w:val="en-GB"/>
        </w:rPr>
        <w:t>So</w:t>
      </w:r>
      <w:proofErr w:type="gramEnd"/>
      <w:r w:rsidRPr="000370D0">
        <w:rPr>
          <w:lang w:val="en-GB"/>
        </w:rPr>
        <w:t xml:space="preserve"> intensity is typically given by smelling the source or a sample collect from it. </w:t>
      </w:r>
      <w:proofErr w:type="gramStart"/>
      <w:r w:rsidRPr="000370D0">
        <w:rPr>
          <w:lang w:val="en-GB"/>
        </w:rPr>
        <w:t>But</w:t>
      </w:r>
      <w:proofErr w:type="gramEnd"/>
      <w:r w:rsidRPr="000370D0">
        <w:rPr>
          <w:lang w:val="en-GB"/>
        </w:rPr>
        <w:t>, how precise must be the scale? Is it an open scale (just the feeling) or do we organize intensity measurement comparing odours with an odour from different solutions (or gas samples) of a reference scale? Such a scale, with n-butanol, exists in many countries and d</w:t>
      </w:r>
      <w:r w:rsidR="001D638B" w:rsidRPr="000370D0">
        <w:rPr>
          <w:lang w:val="en-GB"/>
        </w:rPr>
        <w:t xml:space="preserve">escribed in national standards like in </w:t>
      </w:r>
      <w:r w:rsidRPr="000370D0">
        <w:rPr>
          <w:lang w:val="en-GB"/>
        </w:rPr>
        <w:t xml:space="preserve">France: NF X43-103 </w:t>
      </w:r>
      <w:r w:rsidR="001D638B" w:rsidRPr="000370D0">
        <w:rPr>
          <w:lang w:val="en-GB"/>
        </w:rPr>
        <w:t xml:space="preserve">(1996) </w:t>
      </w:r>
      <w:r w:rsidRPr="000370D0">
        <w:rPr>
          <w:lang w:val="en-GB"/>
        </w:rPr>
        <w:t xml:space="preserve">or </w:t>
      </w:r>
      <w:r w:rsidR="001D638B" w:rsidRPr="000370D0">
        <w:rPr>
          <w:lang w:val="en-GB"/>
        </w:rPr>
        <w:t xml:space="preserve">in </w:t>
      </w:r>
      <w:r w:rsidRPr="000370D0">
        <w:rPr>
          <w:lang w:val="en-GB"/>
        </w:rPr>
        <w:t>USA: ASTME E544-75</w:t>
      </w:r>
      <w:r w:rsidR="001D638B" w:rsidRPr="000370D0">
        <w:rPr>
          <w:lang w:val="en-GB"/>
        </w:rPr>
        <w:t xml:space="preserve"> (1997</w:t>
      </w:r>
      <w:r w:rsidRPr="000370D0">
        <w:rPr>
          <w:lang w:val="en-GB"/>
        </w:rPr>
        <w:t>). In this last American example, "</w:t>
      </w:r>
      <w:proofErr w:type="spellStart"/>
      <w:r w:rsidRPr="000370D0">
        <w:rPr>
          <w:lang w:val="en-GB"/>
        </w:rPr>
        <w:t>Odor</w:t>
      </w:r>
      <w:proofErr w:type="spellEnd"/>
      <w:r w:rsidRPr="000370D0">
        <w:rPr>
          <w:lang w:val="en-GB"/>
        </w:rPr>
        <w:t xml:space="preserve"> Intensity Referencing Scale" (OIRS) </w:t>
      </w:r>
      <w:proofErr w:type="gramStart"/>
      <w:r w:rsidRPr="000370D0">
        <w:rPr>
          <w:lang w:val="en-GB"/>
        </w:rPr>
        <w:t>can be expressed</w:t>
      </w:r>
      <w:proofErr w:type="gramEnd"/>
      <w:r w:rsidRPr="000370D0">
        <w:rPr>
          <w:lang w:val="en-GB"/>
        </w:rPr>
        <w:t xml:space="preserve"> with different scales:</w:t>
      </w:r>
    </w:p>
    <w:p w:rsidR="005F0E9E" w:rsidRPr="000370D0" w:rsidRDefault="00336FE7">
      <w:pPr>
        <w:pStyle w:val="CETBodytext"/>
        <w:numPr>
          <w:ilvl w:val="0"/>
          <w:numId w:val="4"/>
        </w:numPr>
        <w:rPr>
          <w:lang w:val="en-GB"/>
        </w:rPr>
      </w:pPr>
      <w:r w:rsidRPr="000370D0">
        <w:rPr>
          <w:lang w:val="en-GB"/>
        </w:rPr>
        <w:t>12-point static scale starting at 10 ppm butanol with a geometric progression of 2;</w:t>
      </w:r>
    </w:p>
    <w:p w:rsidR="005F0E9E" w:rsidRPr="000370D0" w:rsidRDefault="00336FE7">
      <w:pPr>
        <w:pStyle w:val="CETBodytext"/>
        <w:numPr>
          <w:ilvl w:val="0"/>
          <w:numId w:val="4"/>
        </w:numPr>
        <w:rPr>
          <w:lang w:val="en-GB"/>
        </w:rPr>
      </w:pPr>
      <w:r w:rsidRPr="000370D0">
        <w:rPr>
          <w:lang w:val="en-GB"/>
        </w:rPr>
        <w:t>10-point static scale starting at 12 ppm butanol with a geometric progression of 2;</w:t>
      </w:r>
    </w:p>
    <w:p w:rsidR="005F0E9E" w:rsidRPr="000370D0" w:rsidRDefault="00336FE7">
      <w:pPr>
        <w:pStyle w:val="CETBodytext"/>
        <w:numPr>
          <w:ilvl w:val="0"/>
          <w:numId w:val="4"/>
        </w:numPr>
        <w:rPr>
          <w:lang w:val="en-GB"/>
        </w:rPr>
      </w:pPr>
      <w:r w:rsidRPr="000370D0">
        <w:rPr>
          <w:lang w:val="en-GB"/>
        </w:rPr>
        <w:t>8-point static scale starting at 12 ppm butanol with a geometric progression of 2;</w:t>
      </w:r>
    </w:p>
    <w:p w:rsidR="005F0E9E" w:rsidRPr="000370D0" w:rsidRDefault="00336FE7">
      <w:pPr>
        <w:pStyle w:val="CETBodytext"/>
        <w:numPr>
          <w:ilvl w:val="0"/>
          <w:numId w:val="4"/>
        </w:numPr>
        <w:rPr>
          <w:lang w:val="en-GB"/>
        </w:rPr>
      </w:pPr>
      <w:r w:rsidRPr="000370D0">
        <w:rPr>
          <w:lang w:val="en-GB"/>
        </w:rPr>
        <w:t xml:space="preserve">5-point static-scale starting at 25-ppm butanol with a geometric progression of </w:t>
      </w:r>
      <w:proofErr w:type="gramStart"/>
      <w:r w:rsidRPr="000370D0">
        <w:rPr>
          <w:lang w:val="en-GB"/>
        </w:rPr>
        <w:t>3</w:t>
      </w:r>
      <w:proofErr w:type="gramEnd"/>
      <w:r w:rsidRPr="000370D0">
        <w:rPr>
          <w:lang w:val="en-GB"/>
        </w:rPr>
        <w:t xml:space="preserve"> given as example in Table 1.</w:t>
      </w:r>
    </w:p>
    <w:p w:rsidR="005F0E9E" w:rsidRPr="000370D0" w:rsidRDefault="00336FE7">
      <w:pPr>
        <w:pStyle w:val="CETTabletitle"/>
      </w:pPr>
      <w:r w:rsidRPr="000370D0">
        <w:lastRenderedPageBreak/>
        <w:t>Table 1: OIRS with 5 points and a</w:t>
      </w:r>
      <w:r w:rsidR="00074ECA" w:rsidRPr="000370D0">
        <w:t xml:space="preserve"> geometric progression of three and potential intensity </w:t>
      </w:r>
      <w:r w:rsidR="002F3D87" w:rsidRPr="000370D0">
        <w:t>description</w:t>
      </w:r>
    </w:p>
    <w:tbl>
      <w:tblPr>
        <w:tblW w:w="8363" w:type="dxa"/>
        <w:tblBorders>
          <w:top w:val="single" w:sz="12" w:space="0" w:color="008000"/>
          <w:bottom w:val="single" w:sz="6" w:space="0" w:color="008000"/>
          <w:insideH w:val="single" w:sz="6" w:space="0" w:color="008000"/>
        </w:tblBorders>
        <w:tblCellMar>
          <w:left w:w="0" w:type="dxa"/>
          <w:right w:w="0" w:type="dxa"/>
        </w:tblCellMar>
        <w:tblLook w:val="04A0" w:firstRow="1" w:lastRow="0" w:firstColumn="1" w:lastColumn="0" w:noHBand="0" w:noVBand="1"/>
      </w:tblPr>
      <w:tblGrid>
        <w:gridCol w:w="1985"/>
        <w:gridCol w:w="709"/>
        <w:gridCol w:w="1133"/>
        <w:gridCol w:w="1134"/>
        <w:gridCol w:w="1133"/>
        <w:gridCol w:w="1133"/>
        <w:gridCol w:w="1136"/>
      </w:tblGrid>
      <w:tr w:rsidR="000370D0" w:rsidRPr="000370D0">
        <w:trPr>
          <w:trHeight w:val="228"/>
        </w:trPr>
        <w:tc>
          <w:tcPr>
            <w:tcW w:w="1984" w:type="dxa"/>
            <w:tcBorders>
              <w:top w:val="single" w:sz="12" w:space="0" w:color="008000"/>
              <w:bottom w:val="single" w:sz="6" w:space="0" w:color="008000"/>
            </w:tcBorders>
            <w:shd w:val="clear" w:color="auto" w:fill="FFFFFF"/>
          </w:tcPr>
          <w:p w:rsidR="005F0E9E" w:rsidRPr="000370D0" w:rsidRDefault="00336FE7">
            <w:pPr>
              <w:pStyle w:val="CETBodytext"/>
              <w:rPr>
                <w:lang w:val="en-GB"/>
              </w:rPr>
            </w:pPr>
            <w:r w:rsidRPr="000370D0">
              <w:rPr>
                <w:lang w:val="en-GB"/>
              </w:rPr>
              <w:t xml:space="preserve">Reference Level </w:t>
            </w:r>
          </w:p>
        </w:tc>
        <w:tc>
          <w:tcPr>
            <w:tcW w:w="709" w:type="dxa"/>
            <w:tcBorders>
              <w:top w:val="single" w:sz="12" w:space="0" w:color="008000"/>
              <w:bottom w:val="single" w:sz="6" w:space="0" w:color="008000"/>
            </w:tcBorders>
            <w:shd w:val="clear" w:color="auto" w:fill="FFFFFF"/>
          </w:tcPr>
          <w:p w:rsidR="005F0E9E" w:rsidRPr="000370D0" w:rsidRDefault="00336FE7">
            <w:pPr>
              <w:pStyle w:val="CETBodytext"/>
              <w:jc w:val="center"/>
              <w:rPr>
                <w:lang w:val="en-GB"/>
              </w:rPr>
            </w:pPr>
            <w:r w:rsidRPr="000370D0">
              <w:rPr>
                <w:lang w:val="en-GB"/>
              </w:rPr>
              <w:t>0</w:t>
            </w:r>
          </w:p>
        </w:tc>
        <w:tc>
          <w:tcPr>
            <w:tcW w:w="1133" w:type="dxa"/>
            <w:tcBorders>
              <w:top w:val="single" w:sz="12" w:space="0" w:color="008000"/>
              <w:bottom w:val="single" w:sz="6" w:space="0" w:color="008000"/>
            </w:tcBorders>
            <w:shd w:val="clear" w:color="auto" w:fill="FFFFFF"/>
          </w:tcPr>
          <w:p w:rsidR="005F0E9E" w:rsidRPr="000370D0" w:rsidRDefault="00336FE7">
            <w:pPr>
              <w:pStyle w:val="CETBodytext"/>
              <w:jc w:val="center"/>
              <w:rPr>
                <w:lang w:val="en-GB"/>
              </w:rPr>
            </w:pPr>
            <w:r w:rsidRPr="000370D0">
              <w:rPr>
                <w:lang w:val="en-GB"/>
              </w:rPr>
              <w:t>1</w:t>
            </w:r>
          </w:p>
        </w:tc>
        <w:tc>
          <w:tcPr>
            <w:tcW w:w="1134" w:type="dxa"/>
            <w:tcBorders>
              <w:top w:val="single" w:sz="12" w:space="0" w:color="008000"/>
              <w:bottom w:val="single" w:sz="6" w:space="0" w:color="008000"/>
            </w:tcBorders>
            <w:shd w:val="clear" w:color="auto" w:fill="FFFFFF"/>
          </w:tcPr>
          <w:p w:rsidR="005F0E9E" w:rsidRPr="000370D0" w:rsidRDefault="00336FE7">
            <w:pPr>
              <w:pStyle w:val="CETBodytext"/>
              <w:ind w:right="-1"/>
              <w:jc w:val="center"/>
              <w:rPr>
                <w:rFonts w:cs="Arial"/>
                <w:szCs w:val="18"/>
                <w:lang w:val="en-GB"/>
              </w:rPr>
            </w:pPr>
            <w:r w:rsidRPr="000370D0">
              <w:rPr>
                <w:rFonts w:cs="Arial"/>
                <w:szCs w:val="18"/>
                <w:lang w:val="en-GB"/>
              </w:rPr>
              <w:t>2</w:t>
            </w:r>
          </w:p>
        </w:tc>
        <w:tc>
          <w:tcPr>
            <w:tcW w:w="1133" w:type="dxa"/>
            <w:tcBorders>
              <w:top w:val="single" w:sz="12" w:space="0" w:color="008000"/>
              <w:bottom w:val="single" w:sz="6" w:space="0" w:color="008000"/>
            </w:tcBorders>
            <w:shd w:val="clear" w:color="auto" w:fill="FFFFFF"/>
          </w:tcPr>
          <w:p w:rsidR="005F0E9E" w:rsidRPr="000370D0" w:rsidRDefault="00336FE7">
            <w:pPr>
              <w:pStyle w:val="CETBodytext"/>
              <w:ind w:right="-1"/>
              <w:jc w:val="center"/>
              <w:rPr>
                <w:rFonts w:cs="Arial"/>
                <w:szCs w:val="18"/>
                <w:lang w:val="en-GB"/>
              </w:rPr>
            </w:pPr>
            <w:r w:rsidRPr="000370D0">
              <w:rPr>
                <w:rFonts w:cs="Arial"/>
                <w:szCs w:val="18"/>
                <w:lang w:val="en-GB"/>
              </w:rPr>
              <w:t>3</w:t>
            </w:r>
          </w:p>
        </w:tc>
        <w:tc>
          <w:tcPr>
            <w:tcW w:w="1133" w:type="dxa"/>
            <w:tcBorders>
              <w:top w:val="single" w:sz="12" w:space="0" w:color="008000"/>
              <w:bottom w:val="single" w:sz="6" w:space="0" w:color="008000"/>
            </w:tcBorders>
            <w:shd w:val="clear" w:color="auto" w:fill="FFFFFF"/>
          </w:tcPr>
          <w:p w:rsidR="005F0E9E" w:rsidRPr="000370D0" w:rsidRDefault="00336FE7">
            <w:pPr>
              <w:pStyle w:val="CETBodytext"/>
              <w:ind w:right="-1"/>
              <w:jc w:val="center"/>
              <w:rPr>
                <w:rFonts w:cs="Arial"/>
                <w:szCs w:val="18"/>
                <w:lang w:val="en-GB"/>
              </w:rPr>
            </w:pPr>
            <w:r w:rsidRPr="000370D0">
              <w:rPr>
                <w:rFonts w:cs="Arial"/>
                <w:szCs w:val="18"/>
                <w:lang w:val="en-GB"/>
              </w:rPr>
              <w:t>4</w:t>
            </w:r>
          </w:p>
        </w:tc>
        <w:tc>
          <w:tcPr>
            <w:tcW w:w="1136" w:type="dxa"/>
            <w:tcBorders>
              <w:top w:val="single" w:sz="12" w:space="0" w:color="008000"/>
              <w:bottom w:val="single" w:sz="6" w:space="0" w:color="008000"/>
            </w:tcBorders>
            <w:shd w:val="clear" w:color="auto" w:fill="FFFFFF"/>
          </w:tcPr>
          <w:p w:rsidR="005F0E9E" w:rsidRPr="000370D0" w:rsidRDefault="00336FE7">
            <w:pPr>
              <w:pStyle w:val="CETBodytext"/>
              <w:ind w:right="-1"/>
              <w:jc w:val="center"/>
              <w:rPr>
                <w:rFonts w:cs="Arial"/>
                <w:szCs w:val="18"/>
                <w:lang w:val="en-GB"/>
              </w:rPr>
            </w:pPr>
            <w:r w:rsidRPr="000370D0">
              <w:rPr>
                <w:rFonts w:cs="Arial"/>
                <w:szCs w:val="18"/>
                <w:lang w:val="en-GB"/>
              </w:rPr>
              <w:t>5</w:t>
            </w:r>
          </w:p>
        </w:tc>
      </w:tr>
      <w:tr w:rsidR="000370D0" w:rsidRPr="000370D0" w:rsidTr="00074ECA">
        <w:trPr>
          <w:trHeight w:val="228"/>
        </w:trPr>
        <w:tc>
          <w:tcPr>
            <w:tcW w:w="1984" w:type="dxa"/>
            <w:shd w:val="clear" w:color="auto" w:fill="FFFFFF"/>
          </w:tcPr>
          <w:p w:rsidR="005F0E9E" w:rsidRPr="000370D0" w:rsidRDefault="00336FE7">
            <w:pPr>
              <w:pStyle w:val="CETBodytext"/>
              <w:rPr>
                <w:lang w:val="en-GB"/>
              </w:rPr>
            </w:pPr>
            <w:r w:rsidRPr="000370D0">
              <w:rPr>
                <w:lang w:val="en-GB"/>
              </w:rPr>
              <w:t>n-Butanol (ppm in air)</w:t>
            </w:r>
          </w:p>
        </w:tc>
        <w:tc>
          <w:tcPr>
            <w:tcW w:w="709" w:type="dxa"/>
            <w:shd w:val="clear" w:color="auto" w:fill="FFFFFF"/>
          </w:tcPr>
          <w:p w:rsidR="005F0E9E" w:rsidRPr="000370D0" w:rsidRDefault="00336FE7">
            <w:pPr>
              <w:pStyle w:val="CETBodytext"/>
              <w:jc w:val="center"/>
              <w:rPr>
                <w:lang w:val="en-GB"/>
              </w:rPr>
            </w:pPr>
            <w:r w:rsidRPr="000370D0">
              <w:rPr>
                <w:lang w:val="en-GB"/>
              </w:rPr>
              <w:t>0</w:t>
            </w:r>
          </w:p>
        </w:tc>
        <w:tc>
          <w:tcPr>
            <w:tcW w:w="1133" w:type="dxa"/>
            <w:shd w:val="clear" w:color="auto" w:fill="FFFFFF"/>
          </w:tcPr>
          <w:p w:rsidR="005F0E9E" w:rsidRPr="000370D0" w:rsidRDefault="00336FE7">
            <w:pPr>
              <w:pStyle w:val="CETBodytext"/>
              <w:jc w:val="center"/>
              <w:rPr>
                <w:lang w:val="en-GB"/>
              </w:rPr>
            </w:pPr>
            <w:r w:rsidRPr="000370D0">
              <w:rPr>
                <w:lang w:val="en-GB"/>
              </w:rPr>
              <w:t>25</w:t>
            </w:r>
          </w:p>
        </w:tc>
        <w:tc>
          <w:tcPr>
            <w:tcW w:w="1134" w:type="dxa"/>
            <w:shd w:val="clear" w:color="auto" w:fill="FFFFFF"/>
          </w:tcPr>
          <w:p w:rsidR="005F0E9E" w:rsidRPr="000370D0" w:rsidRDefault="00336FE7">
            <w:pPr>
              <w:pStyle w:val="CETBodytext"/>
              <w:ind w:right="-1"/>
              <w:jc w:val="center"/>
              <w:rPr>
                <w:rFonts w:cs="Arial"/>
                <w:szCs w:val="18"/>
                <w:lang w:val="en-GB"/>
              </w:rPr>
            </w:pPr>
            <w:r w:rsidRPr="000370D0">
              <w:rPr>
                <w:rFonts w:cs="Arial"/>
                <w:szCs w:val="18"/>
                <w:lang w:val="en-GB"/>
              </w:rPr>
              <w:t>75</w:t>
            </w:r>
          </w:p>
        </w:tc>
        <w:tc>
          <w:tcPr>
            <w:tcW w:w="1133" w:type="dxa"/>
            <w:shd w:val="clear" w:color="auto" w:fill="FFFFFF"/>
          </w:tcPr>
          <w:p w:rsidR="005F0E9E" w:rsidRPr="000370D0" w:rsidRDefault="00336FE7">
            <w:pPr>
              <w:pStyle w:val="CETBodytext"/>
              <w:ind w:right="-1"/>
              <w:jc w:val="center"/>
              <w:rPr>
                <w:rFonts w:cs="Arial"/>
                <w:szCs w:val="18"/>
                <w:lang w:val="en-GB"/>
              </w:rPr>
            </w:pPr>
            <w:r w:rsidRPr="000370D0">
              <w:rPr>
                <w:rFonts w:cs="Arial"/>
                <w:szCs w:val="18"/>
                <w:lang w:val="en-GB"/>
              </w:rPr>
              <w:t>225</w:t>
            </w:r>
          </w:p>
        </w:tc>
        <w:tc>
          <w:tcPr>
            <w:tcW w:w="1133" w:type="dxa"/>
            <w:shd w:val="clear" w:color="auto" w:fill="FFFFFF"/>
          </w:tcPr>
          <w:p w:rsidR="005F0E9E" w:rsidRPr="000370D0" w:rsidRDefault="00336FE7">
            <w:pPr>
              <w:pStyle w:val="CETBodytext"/>
              <w:ind w:right="-1"/>
              <w:jc w:val="center"/>
              <w:rPr>
                <w:rFonts w:cs="Arial"/>
                <w:szCs w:val="18"/>
                <w:lang w:val="en-GB"/>
              </w:rPr>
            </w:pPr>
            <w:r w:rsidRPr="000370D0">
              <w:rPr>
                <w:rFonts w:cs="Arial"/>
                <w:szCs w:val="18"/>
                <w:lang w:val="en-GB"/>
              </w:rPr>
              <w:t>675</w:t>
            </w:r>
          </w:p>
        </w:tc>
        <w:tc>
          <w:tcPr>
            <w:tcW w:w="1136" w:type="dxa"/>
            <w:shd w:val="clear" w:color="auto" w:fill="FFFFFF"/>
          </w:tcPr>
          <w:p w:rsidR="005F0E9E" w:rsidRPr="000370D0" w:rsidRDefault="00336FE7">
            <w:pPr>
              <w:pStyle w:val="CETBodytext"/>
              <w:ind w:right="-1"/>
              <w:jc w:val="center"/>
              <w:rPr>
                <w:rFonts w:cs="Arial"/>
                <w:szCs w:val="18"/>
                <w:lang w:val="en-GB"/>
              </w:rPr>
            </w:pPr>
            <w:r w:rsidRPr="000370D0">
              <w:rPr>
                <w:rFonts w:cs="Arial"/>
                <w:szCs w:val="18"/>
                <w:lang w:val="en-GB"/>
              </w:rPr>
              <w:t>2025</w:t>
            </w:r>
          </w:p>
        </w:tc>
      </w:tr>
      <w:tr w:rsidR="000370D0" w:rsidRPr="000370D0">
        <w:trPr>
          <w:trHeight w:val="228"/>
        </w:trPr>
        <w:tc>
          <w:tcPr>
            <w:tcW w:w="1984" w:type="dxa"/>
            <w:tcBorders>
              <w:bottom w:val="single" w:sz="12" w:space="0" w:color="008000"/>
            </w:tcBorders>
            <w:shd w:val="clear" w:color="auto" w:fill="FFFFFF"/>
          </w:tcPr>
          <w:p w:rsidR="00074ECA" w:rsidRPr="000370D0" w:rsidRDefault="00074ECA" w:rsidP="002F3D87">
            <w:pPr>
              <w:pStyle w:val="CETBodytext"/>
              <w:jc w:val="left"/>
              <w:rPr>
                <w:lang w:val="en-GB"/>
              </w:rPr>
            </w:pPr>
            <w:r w:rsidRPr="000370D0">
              <w:rPr>
                <w:lang w:val="en-GB"/>
              </w:rPr>
              <w:t xml:space="preserve">Potential intensity </w:t>
            </w:r>
            <w:r w:rsidR="002F3D87" w:rsidRPr="000370D0">
              <w:rPr>
                <w:lang w:val="en-GB"/>
              </w:rPr>
              <w:t>descrip</w:t>
            </w:r>
            <w:r w:rsidRPr="000370D0">
              <w:rPr>
                <w:lang w:val="en-GB"/>
              </w:rPr>
              <w:t>tion</w:t>
            </w:r>
          </w:p>
        </w:tc>
        <w:tc>
          <w:tcPr>
            <w:tcW w:w="709" w:type="dxa"/>
            <w:tcBorders>
              <w:bottom w:val="single" w:sz="12" w:space="0" w:color="008000"/>
            </w:tcBorders>
            <w:shd w:val="clear" w:color="auto" w:fill="FFFFFF"/>
          </w:tcPr>
          <w:p w:rsidR="00074ECA" w:rsidRPr="000370D0" w:rsidRDefault="00074ECA">
            <w:pPr>
              <w:pStyle w:val="CETBodytext"/>
              <w:jc w:val="center"/>
              <w:rPr>
                <w:lang w:val="en-GB"/>
              </w:rPr>
            </w:pPr>
            <w:r w:rsidRPr="000370D0">
              <w:rPr>
                <w:lang w:val="en-GB"/>
              </w:rPr>
              <w:t>None</w:t>
            </w:r>
          </w:p>
        </w:tc>
        <w:tc>
          <w:tcPr>
            <w:tcW w:w="1133" w:type="dxa"/>
            <w:tcBorders>
              <w:bottom w:val="single" w:sz="12" w:space="0" w:color="008000"/>
            </w:tcBorders>
            <w:shd w:val="clear" w:color="auto" w:fill="FFFFFF"/>
          </w:tcPr>
          <w:p w:rsidR="00074ECA" w:rsidRPr="000370D0" w:rsidRDefault="00074ECA">
            <w:pPr>
              <w:pStyle w:val="CETBodytext"/>
              <w:jc w:val="center"/>
              <w:rPr>
                <w:lang w:val="en-GB"/>
              </w:rPr>
            </w:pPr>
            <w:r w:rsidRPr="000370D0">
              <w:rPr>
                <w:lang w:val="en-GB"/>
              </w:rPr>
              <w:t>Slight</w:t>
            </w:r>
          </w:p>
        </w:tc>
        <w:tc>
          <w:tcPr>
            <w:tcW w:w="1134" w:type="dxa"/>
            <w:tcBorders>
              <w:bottom w:val="single" w:sz="12" w:space="0" w:color="008000"/>
            </w:tcBorders>
            <w:shd w:val="clear" w:color="auto" w:fill="FFFFFF"/>
          </w:tcPr>
          <w:p w:rsidR="00074ECA" w:rsidRPr="000370D0" w:rsidRDefault="00074ECA">
            <w:pPr>
              <w:pStyle w:val="CETBodytext"/>
              <w:ind w:right="-1"/>
              <w:jc w:val="center"/>
              <w:rPr>
                <w:rFonts w:cs="Arial"/>
                <w:szCs w:val="18"/>
                <w:lang w:val="en-GB"/>
              </w:rPr>
            </w:pPr>
            <w:r w:rsidRPr="000370D0">
              <w:rPr>
                <w:rFonts w:cs="Arial"/>
                <w:szCs w:val="18"/>
                <w:lang w:val="en-GB"/>
              </w:rPr>
              <w:t>Noticeable</w:t>
            </w:r>
          </w:p>
        </w:tc>
        <w:tc>
          <w:tcPr>
            <w:tcW w:w="1133" w:type="dxa"/>
            <w:tcBorders>
              <w:bottom w:val="single" w:sz="12" w:space="0" w:color="008000"/>
            </w:tcBorders>
            <w:shd w:val="clear" w:color="auto" w:fill="FFFFFF"/>
          </w:tcPr>
          <w:p w:rsidR="00074ECA" w:rsidRPr="000370D0" w:rsidRDefault="00074ECA">
            <w:pPr>
              <w:pStyle w:val="CETBodytext"/>
              <w:ind w:right="-1"/>
              <w:jc w:val="center"/>
              <w:rPr>
                <w:rFonts w:cs="Arial"/>
                <w:szCs w:val="18"/>
                <w:lang w:val="en-GB"/>
              </w:rPr>
            </w:pPr>
            <w:r w:rsidRPr="000370D0">
              <w:rPr>
                <w:rFonts w:cs="Arial"/>
                <w:szCs w:val="18"/>
                <w:lang w:val="en-GB"/>
              </w:rPr>
              <w:t>Very Noticeable</w:t>
            </w:r>
          </w:p>
        </w:tc>
        <w:tc>
          <w:tcPr>
            <w:tcW w:w="1133" w:type="dxa"/>
            <w:tcBorders>
              <w:bottom w:val="single" w:sz="12" w:space="0" w:color="008000"/>
            </w:tcBorders>
            <w:shd w:val="clear" w:color="auto" w:fill="FFFFFF"/>
          </w:tcPr>
          <w:p w:rsidR="00074ECA" w:rsidRPr="000370D0" w:rsidRDefault="00074ECA">
            <w:pPr>
              <w:pStyle w:val="CETBodytext"/>
              <w:ind w:right="-1"/>
              <w:jc w:val="center"/>
              <w:rPr>
                <w:rFonts w:cs="Arial"/>
                <w:szCs w:val="18"/>
                <w:lang w:val="en-GB"/>
              </w:rPr>
            </w:pPr>
            <w:r w:rsidRPr="000370D0">
              <w:rPr>
                <w:rFonts w:cs="Arial"/>
                <w:szCs w:val="18"/>
                <w:lang w:val="en-GB"/>
              </w:rPr>
              <w:t>Strong</w:t>
            </w:r>
          </w:p>
        </w:tc>
        <w:tc>
          <w:tcPr>
            <w:tcW w:w="1136" w:type="dxa"/>
            <w:tcBorders>
              <w:bottom w:val="single" w:sz="12" w:space="0" w:color="008000"/>
            </w:tcBorders>
            <w:shd w:val="clear" w:color="auto" w:fill="FFFFFF"/>
          </w:tcPr>
          <w:p w:rsidR="00074ECA" w:rsidRPr="000370D0" w:rsidRDefault="00074ECA">
            <w:pPr>
              <w:pStyle w:val="CETBodytext"/>
              <w:ind w:right="-1"/>
              <w:jc w:val="center"/>
              <w:rPr>
                <w:rFonts w:cs="Arial"/>
                <w:szCs w:val="18"/>
                <w:lang w:val="en-GB"/>
              </w:rPr>
            </w:pPr>
            <w:r w:rsidRPr="000370D0">
              <w:rPr>
                <w:rFonts w:cs="Arial"/>
                <w:szCs w:val="18"/>
                <w:lang w:val="en-GB"/>
              </w:rPr>
              <w:t>Very strong</w:t>
            </w:r>
          </w:p>
        </w:tc>
      </w:tr>
    </w:tbl>
    <w:p w:rsidR="005F0E9E" w:rsidRPr="000370D0" w:rsidRDefault="005F0E9E">
      <w:pPr>
        <w:pStyle w:val="CETBodytext"/>
        <w:rPr>
          <w:lang w:val="en-GB"/>
        </w:rPr>
      </w:pPr>
    </w:p>
    <w:p w:rsidR="005F0E9E" w:rsidRDefault="005D32E4">
      <w:pPr>
        <w:pStyle w:val="CETBodytext"/>
        <w:rPr>
          <w:lang w:val="en-GB"/>
        </w:rPr>
      </w:pPr>
      <w:r>
        <w:rPr>
          <w:lang w:val="en-GB"/>
        </w:rPr>
        <w:t xml:space="preserve">A scale with seven level from </w:t>
      </w:r>
      <w:proofErr w:type="gramStart"/>
      <w:r>
        <w:rPr>
          <w:lang w:val="en-GB"/>
        </w:rPr>
        <w:t>0</w:t>
      </w:r>
      <w:proofErr w:type="gramEnd"/>
      <w:r>
        <w:rPr>
          <w:lang w:val="en-GB"/>
        </w:rPr>
        <w:t xml:space="preserve"> to 6 is also describes in German guideline VDI 3882 part 1 (1992).</w:t>
      </w:r>
    </w:p>
    <w:p w:rsidR="005D32E4" w:rsidRPr="000370D0" w:rsidRDefault="005D32E4">
      <w:pPr>
        <w:pStyle w:val="CETBodytext"/>
        <w:rPr>
          <w:lang w:val="en-GB"/>
        </w:rPr>
      </w:pPr>
    </w:p>
    <w:p w:rsidR="005F0E9E" w:rsidRPr="000370D0" w:rsidRDefault="00336FE7">
      <w:pPr>
        <w:pStyle w:val="CETheadingx"/>
        <w:numPr>
          <w:ilvl w:val="2"/>
          <w:numId w:val="1"/>
        </w:numPr>
      </w:pPr>
      <w:r w:rsidRPr="000370D0">
        <w:t>Duration</w:t>
      </w:r>
    </w:p>
    <w:p w:rsidR="005F0E9E" w:rsidRPr="000370D0" w:rsidRDefault="00336FE7">
      <w:pPr>
        <w:pStyle w:val="CETBodytext"/>
      </w:pPr>
      <w:r w:rsidRPr="000370D0">
        <w:t xml:space="preserve">Duration is probably less complex to characterize comparatively to other factors. As mentioned in the paragraph about frequency, such parameter can be included in a percentile with an objective measurement. For subjective perception of duration, one parameter is the stability of </w:t>
      </w:r>
      <w:proofErr w:type="spellStart"/>
      <w:r w:rsidRPr="000370D0">
        <w:t>odour</w:t>
      </w:r>
      <w:proofErr w:type="spellEnd"/>
      <w:r w:rsidRPr="000370D0">
        <w:t xml:space="preserve">. In case of stable </w:t>
      </w:r>
      <w:proofErr w:type="spellStart"/>
      <w:r w:rsidRPr="000370D0">
        <w:t>odour</w:t>
      </w:r>
      <w:proofErr w:type="spellEnd"/>
      <w:r w:rsidRPr="000370D0">
        <w:t xml:space="preserve">, habituation can set in and then decrease the impact of real duration of exposure. Of course, variations of intensity (and/or quality) cannot lead to habituation and the weight of duration in the global impact could increase. As for the frequency, a chemical measurement with a sensor records a signal. If this signal exceeds the baseline level considered for </w:t>
      </w:r>
      <w:proofErr w:type="spellStart"/>
      <w:r w:rsidRPr="000370D0">
        <w:t>odour</w:t>
      </w:r>
      <w:proofErr w:type="spellEnd"/>
      <w:r w:rsidRPr="000370D0">
        <w:t xml:space="preserve"> presence, </w:t>
      </w:r>
      <w:proofErr w:type="gramStart"/>
      <w:r w:rsidRPr="000370D0">
        <w:t>it’s</w:t>
      </w:r>
      <w:proofErr w:type="gramEnd"/>
      <w:r w:rsidRPr="000370D0">
        <w:t xml:space="preserve"> easy to count the time of exceeding, the duration of each peak, the global duration (sum of period of </w:t>
      </w:r>
      <w:proofErr w:type="spellStart"/>
      <w:r w:rsidRPr="000370D0">
        <w:t>odour</w:t>
      </w:r>
      <w:proofErr w:type="spellEnd"/>
      <w:r w:rsidRPr="000370D0">
        <w:t xml:space="preserve"> peaks). Once more, objective values </w:t>
      </w:r>
      <w:proofErr w:type="gramStart"/>
      <w:r w:rsidRPr="000370D0">
        <w:t>can be obtained</w:t>
      </w:r>
      <w:proofErr w:type="gramEnd"/>
      <w:r w:rsidRPr="000370D0">
        <w:t xml:space="preserve"> without total warranty to represent the real feeling of people exposed.</w:t>
      </w:r>
    </w:p>
    <w:p w:rsidR="00EB3B1E" w:rsidRPr="000370D0" w:rsidRDefault="00EB3B1E">
      <w:pPr>
        <w:pStyle w:val="CETBodytext"/>
      </w:pPr>
    </w:p>
    <w:p w:rsidR="005F0E9E" w:rsidRPr="000370D0" w:rsidRDefault="00336FE7">
      <w:pPr>
        <w:pStyle w:val="CETheadingx"/>
        <w:numPr>
          <w:ilvl w:val="2"/>
          <w:numId w:val="1"/>
        </w:numPr>
      </w:pPr>
      <w:r w:rsidRPr="000370D0">
        <w:t>Offensiveness</w:t>
      </w:r>
    </w:p>
    <w:p w:rsidR="005F0E9E" w:rsidRPr="000370D0" w:rsidRDefault="00336FE7">
      <w:pPr>
        <w:pStyle w:val="CETBodytext"/>
        <w:rPr>
          <w:lang w:val="en-GB"/>
        </w:rPr>
      </w:pPr>
      <w:r w:rsidRPr="000370D0">
        <w:rPr>
          <w:lang w:val="en-GB"/>
        </w:rPr>
        <w:t xml:space="preserve">The offensiveness criteria, which is characteristic to the hedonic, tone i.e. the appreciation as good/bad or eventually neutral. By definition, such a classification good/bad is typically subjective and differs from people because related to education, life, quality of life... </w:t>
      </w:r>
      <w:proofErr w:type="gramStart"/>
      <w:r w:rsidRPr="000370D0">
        <w:rPr>
          <w:lang w:val="en-GB"/>
        </w:rPr>
        <w:t>So</w:t>
      </w:r>
      <w:proofErr w:type="gramEnd"/>
      <w:r w:rsidRPr="000370D0">
        <w:rPr>
          <w:lang w:val="en-GB"/>
        </w:rPr>
        <w:t xml:space="preserve"> it’s probably with this factor that heterogeneous answers can be obtained. This fact must be integrated because </w:t>
      </w:r>
      <w:proofErr w:type="gramStart"/>
      <w:r w:rsidRPr="000370D0">
        <w:rPr>
          <w:lang w:val="en-GB"/>
        </w:rPr>
        <w:t>it’s</w:t>
      </w:r>
      <w:proofErr w:type="gramEnd"/>
      <w:r w:rsidRPr="000370D0">
        <w:rPr>
          <w:lang w:val="en-GB"/>
        </w:rPr>
        <w:t xml:space="preserve"> an important part for acceptability (pleasant/unpleasant). Of course, the odour quality is important for acceptability because the probability to appreciate a perfume is higher than the appreciation of odours from wastes (wastewater, organic wastes in putrefaction). </w:t>
      </w:r>
      <w:proofErr w:type="gramStart"/>
      <w:r w:rsidRPr="000370D0">
        <w:rPr>
          <w:lang w:val="en-GB"/>
        </w:rPr>
        <w:t>But</w:t>
      </w:r>
      <w:proofErr w:type="gramEnd"/>
      <w:r w:rsidRPr="000370D0">
        <w:rPr>
          <w:lang w:val="en-GB"/>
        </w:rPr>
        <w:t xml:space="preserve"> the intensity has also an impact on such appreciation because an increase can move the perception from pleasant to just acceptable or acceptable to unpleasant. A perfume at very high level of concentration so high intensity </w:t>
      </w:r>
      <w:proofErr w:type="gramStart"/>
      <w:r w:rsidRPr="000370D0">
        <w:rPr>
          <w:lang w:val="en-GB"/>
        </w:rPr>
        <w:t>can be perceived</w:t>
      </w:r>
      <w:proofErr w:type="gramEnd"/>
      <w:r w:rsidRPr="000370D0">
        <w:rPr>
          <w:lang w:val="en-GB"/>
        </w:rPr>
        <w:t xml:space="preserve"> as unpleasant.</w:t>
      </w:r>
      <w:r w:rsidR="00A35C22">
        <w:rPr>
          <w:lang w:val="en-GB"/>
        </w:rPr>
        <w:t xml:space="preserve"> A scale from very unpleasant (-4) to extremely pleasant (+4) is proposed in German guideline VDI 3882 part 2 (1992). This hedonic approach </w:t>
      </w:r>
      <w:proofErr w:type="gramStart"/>
      <w:r w:rsidR="00A35C22">
        <w:rPr>
          <w:lang w:val="en-GB"/>
        </w:rPr>
        <w:t>is completed</w:t>
      </w:r>
      <w:proofErr w:type="gramEnd"/>
      <w:r w:rsidR="00A35C22">
        <w:rPr>
          <w:lang w:val="en-GB"/>
        </w:rPr>
        <w:t xml:space="preserve"> by the concept of odour profile based on pairs of opposite adjectives (</w:t>
      </w:r>
      <w:r w:rsidR="00A35C22">
        <w:rPr>
          <w:lang w:val="en-GB"/>
        </w:rPr>
        <w:t>VDI 3882 part 2</w:t>
      </w:r>
      <w:r w:rsidR="00A35C22">
        <w:rPr>
          <w:lang w:val="en-GB"/>
        </w:rPr>
        <w:t xml:space="preserve">, </w:t>
      </w:r>
      <w:r w:rsidR="00A35C22">
        <w:rPr>
          <w:lang w:val="en-GB"/>
        </w:rPr>
        <w:t>1992</w:t>
      </w:r>
      <w:r w:rsidR="00A35C22">
        <w:rPr>
          <w:lang w:val="en-GB"/>
        </w:rPr>
        <w:t xml:space="preserve"> and VDI 3940 part 4, 2010). This last concept implies more data treatment and generally, only a scale unpleasant/Pleasant is kept for offensiveness description.</w:t>
      </w:r>
    </w:p>
    <w:p w:rsidR="00EB3B1E" w:rsidRPr="000370D0" w:rsidRDefault="00EB3B1E">
      <w:pPr>
        <w:pStyle w:val="CETBodytext"/>
        <w:rPr>
          <w:lang w:val="en-GB"/>
        </w:rPr>
      </w:pPr>
    </w:p>
    <w:p w:rsidR="005F0E9E" w:rsidRPr="000370D0" w:rsidRDefault="00336FE7">
      <w:pPr>
        <w:pStyle w:val="CETheadingx"/>
        <w:numPr>
          <w:ilvl w:val="2"/>
          <w:numId w:val="1"/>
        </w:numPr>
      </w:pPr>
      <w:r w:rsidRPr="000370D0">
        <w:t>Location</w:t>
      </w:r>
    </w:p>
    <w:p w:rsidR="005F0E9E" w:rsidRPr="000370D0" w:rsidRDefault="00336FE7">
      <w:pPr>
        <w:pStyle w:val="CETBodytext"/>
        <w:rPr>
          <w:lang w:val="en-GB"/>
        </w:rPr>
      </w:pPr>
      <w:r w:rsidRPr="000370D0">
        <w:rPr>
          <w:lang w:val="en-GB"/>
        </w:rPr>
        <w:t xml:space="preserve">The fifth factor described as Location is in fact a multidimensional factor. Some alternatives of FIDOL are FIDOR or FIDOS for Receptor or Sensitivity respectively. These difference of definitions have the objective to describe a vulnerability to the odorous stimuli depending not only on the place (work place, shopping area, house…) but also on the receptor itself (the human body during a work day, a week-end or holidays…) with its sensitivity (tiredness, illness, busyness, stress…). </w:t>
      </w:r>
      <w:proofErr w:type="gramStart"/>
      <w:r w:rsidRPr="000370D0">
        <w:rPr>
          <w:lang w:val="en-GB"/>
        </w:rPr>
        <w:t>So</w:t>
      </w:r>
      <w:proofErr w:type="gramEnd"/>
      <w:r w:rsidRPr="000370D0">
        <w:rPr>
          <w:lang w:val="en-GB"/>
        </w:rPr>
        <w:t xml:space="preserve"> this factor represents more the person than the odour episode and the level of complaint for this factor is linked to the ability to manage the odour event and its impact on his/her life. If this fifth factor must represent all sensitivities not considered by other factors, it must integrate physiological and psychological health, age, social level…</w:t>
      </w:r>
    </w:p>
    <w:p w:rsidR="00EB3B1E" w:rsidRPr="000370D0" w:rsidRDefault="00EB3B1E">
      <w:pPr>
        <w:pStyle w:val="CETBodytext"/>
        <w:rPr>
          <w:lang w:val="en-GB"/>
        </w:rPr>
      </w:pPr>
    </w:p>
    <w:p w:rsidR="005F0E9E" w:rsidRPr="000370D0" w:rsidRDefault="00EF4023">
      <w:pPr>
        <w:pStyle w:val="CETheadingx"/>
        <w:numPr>
          <w:ilvl w:val="2"/>
          <w:numId w:val="1"/>
        </w:numPr>
      </w:pPr>
      <w:r>
        <w:t xml:space="preserve">Not studied </w:t>
      </w:r>
      <w:r w:rsidR="00336FE7" w:rsidRPr="000370D0">
        <w:t>interactions</w:t>
      </w:r>
    </w:p>
    <w:p w:rsidR="00832F11" w:rsidRDefault="00832F11" w:rsidP="00832F11">
      <w:pPr>
        <w:pStyle w:val="CETBodytext"/>
      </w:pPr>
      <w:r>
        <w:t xml:space="preserve">Because </w:t>
      </w:r>
      <w:proofErr w:type="spellStart"/>
      <w:r>
        <w:t>odour</w:t>
      </w:r>
      <w:proofErr w:type="spellEnd"/>
      <w:r>
        <w:t xml:space="preserve"> perception is complex, FIDOL/FIDOR/FIDOS describe a situation. Sometimes, it can be difficult to understand results for example for both </w:t>
      </w:r>
      <w:r>
        <w:t xml:space="preserve">following </w:t>
      </w:r>
      <w:r>
        <w:t xml:space="preserve">cases: unknown synergistic effects and unknown masking/inhibition effects. In the first situation, the impact is increased when </w:t>
      </w:r>
      <w:proofErr w:type="gramStart"/>
      <w:r>
        <w:t>it’s</w:t>
      </w:r>
      <w:proofErr w:type="gramEnd"/>
      <w:r>
        <w:t xml:space="preserve"> decreased in the second one.</w:t>
      </w:r>
      <w:r>
        <w:t xml:space="preserve"> Of course</w:t>
      </w:r>
      <w:r w:rsidR="00EF4023">
        <w:t>,</w:t>
      </w:r>
      <w:r>
        <w:t xml:space="preserve"> FIDOL factors will describe the real situation and the exact feeling that is the most important but punctual interactions</w:t>
      </w:r>
      <w:r w:rsidRPr="00832F11">
        <w:t xml:space="preserve"> </w:t>
      </w:r>
      <w:r>
        <w:t xml:space="preserve">with such </w:t>
      </w:r>
      <w:r>
        <w:t xml:space="preserve">unknown effects </w:t>
      </w:r>
      <w:r>
        <w:t xml:space="preserve">will complexity data analysis. </w:t>
      </w:r>
      <w:r w:rsidR="00EF4023">
        <w:t>Also because perception with FIDOL approach describes a situation, when many odorous sources are responsible, the result depend on the perception of the global mixture and cannot be correlate with one specific source.</w:t>
      </w:r>
    </w:p>
    <w:p w:rsidR="00EF4023" w:rsidRDefault="00EF4023" w:rsidP="00832F11">
      <w:pPr>
        <w:pStyle w:val="CETBodytext"/>
      </w:pPr>
    </w:p>
    <w:p w:rsidR="00EF4023" w:rsidRPr="000370D0" w:rsidRDefault="00EF4023" w:rsidP="00EF4023">
      <w:pPr>
        <w:pStyle w:val="CETheadingx"/>
        <w:numPr>
          <w:ilvl w:val="2"/>
          <w:numId w:val="1"/>
        </w:numPr>
      </w:pPr>
      <w:r>
        <w:lastRenderedPageBreak/>
        <w:t>Studied</w:t>
      </w:r>
      <w:r>
        <w:t xml:space="preserve"> </w:t>
      </w:r>
      <w:r w:rsidRPr="000370D0">
        <w:t>interactions</w:t>
      </w:r>
    </w:p>
    <w:p w:rsidR="005F0E9E" w:rsidRPr="000370D0" w:rsidRDefault="00336FE7">
      <w:pPr>
        <w:pStyle w:val="CETBodytext"/>
        <w:rPr>
          <w:lang w:val="en-GB"/>
        </w:rPr>
      </w:pPr>
      <w:r w:rsidRPr="000370D0">
        <w:rPr>
          <w:lang w:val="en-GB"/>
        </w:rPr>
        <w:t>With the description of each factors, it was clear that some of them are in strong interaction</w:t>
      </w:r>
      <w:r w:rsidR="00EF4023">
        <w:rPr>
          <w:lang w:val="en-GB"/>
        </w:rPr>
        <w:t xml:space="preserve"> with each other</w:t>
      </w:r>
      <w:r w:rsidRPr="000370D0">
        <w:rPr>
          <w:lang w:val="en-GB"/>
        </w:rPr>
        <w:t xml:space="preserve">. A study (Griffiths, 2014) propose models based on intensity and frequency to characterise annoyance and odour impact criteria. If the combination of intensity and frequency can be linked to annoyance, </w:t>
      </w:r>
      <w:proofErr w:type="gramStart"/>
      <w:r w:rsidRPr="000370D0">
        <w:rPr>
          <w:lang w:val="en-GB"/>
        </w:rPr>
        <w:t>a single percentile odour criteria</w:t>
      </w:r>
      <w:proofErr w:type="gramEnd"/>
      <w:r w:rsidRPr="000370D0">
        <w:rPr>
          <w:lang w:val="en-GB"/>
        </w:rPr>
        <w:t xml:space="preserve"> cannot reflect the complexity of factor interactions to predict nuisance. The need is then more complex with, as example, multi-percentile approach.</w:t>
      </w:r>
    </w:p>
    <w:p w:rsidR="005F0E9E" w:rsidRDefault="00336FE7">
      <w:pPr>
        <w:pStyle w:val="CETBodytext"/>
      </w:pPr>
      <w:r w:rsidRPr="000370D0">
        <w:rPr>
          <w:lang w:val="en-GB"/>
        </w:rPr>
        <w:t xml:space="preserve">These factors </w:t>
      </w:r>
      <w:proofErr w:type="gramStart"/>
      <w:r w:rsidRPr="000370D0">
        <w:rPr>
          <w:lang w:val="en-GB"/>
        </w:rPr>
        <w:t>are often found</w:t>
      </w:r>
      <w:proofErr w:type="gramEnd"/>
      <w:r w:rsidRPr="000370D0">
        <w:rPr>
          <w:lang w:val="en-GB"/>
        </w:rPr>
        <w:t xml:space="preserve"> in Odour Impact Criteria (OIC) with the objective to integrate several parameters. In such a criteria, </w:t>
      </w:r>
      <w:proofErr w:type="gramStart"/>
      <w:r w:rsidRPr="000370D0">
        <w:rPr>
          <w:lang w:val="en-GB"/>
        </w:rPr>
        <w:t xml:space="preserve">the </w:t>
      </w:r>
      <w:r w:rsidRPr="000370D0">
        <w:t xml:space="preserve"> combination</w:t>
      </w:r>
      <w:proofErr w:type="gramEnd"/>
      <w:r w:rsidRPr="000370D0">
        <w:t xml:space="preserve"> of an </w:t>
      </w:r>
      <w:proofErr w:type="spellStart"/>
      <w:r w:rsidRPr="000370D0">
        <w:t>odour</w:t>
      </w:r>
      <w:proofErr w:type="spellEnd"/>
      <w:r w:rsidRPr="000370D0">
        <w:t xml:space="preserve"> concentration threshold (expressed in OU</w:t>
      </w:r>
      <w:r w:rsidRPr="000370D0">
        <w:rPr>
          <w:vertAlign w:val="subscript"/>
        </w:rPr>
        <w:t>E</w:t>
      </w:r>
      <w:r w:rsidRPr="000370D0">
        <w:t>/m3) and a probability of exceedance (in %), lead to percentile (</w:t>
      </w:r>
      <w:proofErr w:type="spellStart"/>
      <w:r w:rsidRPr="000370D0">
        <w:t>Brancher</w:t>
      </w:r>
      <w:proofErr w:type="spellEnd"/>
      <w:r w:rsidRPr="000370D0">
        <w:t xml:space="preserve"> et al., 2017; </w:t>
      </w:r>
      <w:proofErr w:type="spellStart"/>
      <w:r w:rsidRPr="000370D0">
        <w:t>Sommer-Quabach</w:t>
      </w:r>
      <w:proofErr w:type="spellEnd"/>
      <w:r w:rsidRPr="000370D0">
        <w:t xml:space="preserve"> et al., 2014).</w:t>
      </w:r>
    </w:p>
    <w:p w:rsidR="00832F11" w:rsidRPr="000370D0" w:rsidRDefault="00832F11" w:rsidP="00832F11">
      <w:pPr>
        <w:pStyle w:val="CETBodytext"/>
      </w:pPr>
    </w:p>
    <w:p w:rsidR="005F0E9E" w:rsidRPr="000370D0" w:rsidRDefault="00336FE7">
      <w:pPr>
        <w:pStyle w:val="CETheadingx"/>
        <w:numPr>
          <w:ilvl w:val="2"/>
          <w:numId w:val="1"/>
        </w:numPr>
      </w:pPr>
      <w:r w:rsidRPr="000370D0">
        <w:t>Global limits</w:t>
      </w:r>
    </w:p>
    <w:p w:rsidR="005F0E9E" w:rsidRPr="000370D0" w:rsidRDefault="00336FE7">
      <w:pPr>
        <w:pStyle w:val="CETBodytext"/>
        <w:rPr>
          <w:lang w:val="en-GB"/>
        </w:rPr>
      </w:pPr>
      <w:r w:rsidRPr="000370D0">
        <w:rPr>
          <w:lang w:val="en-GB"/>
        </w:rPr>
        <w:t xml:space="preserve">These factors </w:t>
      </w:r>
      <w:proofErr w:type="gramStart"/>
      <w:r w:rsidRPr="000370D0">
        <w:rPr>
          <w:lang w:val="en-GB"/>
        </w:rPr>
        <w:t>are based</w:t>
      </w:r>
      <w:proofErr w:type="gramEnd"/>
      <w:r w:rsidRPr="000370D0">
        <w:rPr>
          <w:lang w:val="en-GB"/>
        </w:rPr>
        <w:t xml:space="preserve"> on perception but the boundary between perception and judgment is very narrow in odorous situations. By definition, a judgment involves a cognitive process and hedonic tone, integrated in offensiveness, is clearly more than a simple perception and a typical judgment. Without considering if the answer is rational or irrational when a factor </w:t>
      </w:r>
      <w:proofErr w:type="gramStart"/>
      <w:r w:rsidRPr="000370D0">
        <w:rPr>
          <w:lang w:val="en-GB"/>
        </w:rPr>
        <w:t>is assessed</w:t>
      </w:r>
      <w:proofErr w:type="gramEnd"/>
      <w:r w:rsidRPr="000370D0">
        <w:rPr>
          <w:lang w:val="en-GB"/>
        </w:rPr>
        <w:t xml:space="preserve">, the observation is subjective because depending on each observers at a specific time in some conditions… </w:t>
      </w:r>
      <w:proofErr w:type="gramStart"/>
      <w:r w:rsidRPr="000370D0">
        <w:rPr>
          <w:lang w:val="en-GB"/>
        </w:rPr>
        <w:t>So</w:t>
      </w:r>
      <w:proofErr w:type="gramEnd"/>
      <w:r w:rsidRPr="000370D0">
        <w:rPr>
          <w:lang w:val="en-GB"/>
        </w:rPr>
        <w:t>, the acceptation of a subjective answer allows to consider both perception and judgement in the same assessment.</w:t>
      </w:r>
    </w:p>
    <w:p w:rsidR="005F0E9E" w:rsidRPr="000370D0" w:rsidRDefault="00336FE7">
      <w:pPr>
        <w:pStyle w:val="CETBodytext"/>
        <w:rPr>
          <w:lang w:val="en-GB"/>
        </w:rPr>
      </w:pPr>
      <w:r w:rsidRPr="000370D0">
        <w:rPr>
          <w:lang w:val="en-GB"/>
        </w:rPr>
        <w:t xml:space="preserve">If each factors show some limits, the combination of all factors in order to obtain a global assess of the situation is complex. Can we consider that all factors present the same weight? If not, how a ponderation </w:t>
      </w:r>
      <w:proofErr w:type="gramStart"/>
      <w:r w:rsidRPr="000370D0">
        <w:rPr>
          <w:lang w:val="en-GB"/>
        </w:rPr>
        <w:t>can be proposed</w:t>
      </w:r>
      <w:proofErr w:type="gramEnd"/>
      <w:r w:rsidRPr="000370D0">
        <w:rPr>
          <w:lang w:val="en-GB"/>
        </w:rPr>
        <w:t>? The real need could be a global description based on integration of factor responses.</w:t>
      </w:r>
    </w:p>
    <w:p w:rsidR="005F0E9E" w:rsidRPr="000370D0" w:rsidRDefault="00336FE7">
      <w:pPr>
        <w:pStyle w:val="CETBodytext"/>
        <w:rPr>
          <w:lang w:val="en-GB"/>
        </w:rPr>
      </w:pPr>
      <w:r w:rsidRPr="000370D0">
        <w:rPr>
          <w:lang w:val="en-GB"/>
        </w:rPr>
        <w:t xml:space="preserve">With OIC and a percentile, hedonic tone (Offensiveness), living quality and psychosocial situation (Location, Sensitivity, </w:t>
      </w:r>
      <w:proofErr w:type="gramStart"/>
      <w:r w:rsidRPr="000370D0">
        <w:rPr>
          <w:lang w:val="en-GB"/>
        </w:rPr>
        <w:t>Receptor</w:t>
      </w:r>
      <w:proofErr w:type="gramEnd"/>
      <w:r w:rsidRPr="000370D0">
        <w:rPr>
          <w:lang w:val="en-GB"/>
        </w:rPr>
        <w:t>) are not taken into account</w:t>
      </w:r>
      <w:r w:rsidR="00ED5687" w:rsidRPr="000370D0">
        <w:rPr>
          <w:lang w:val="en-GB"/>
        </w:rPr>
        <w:t xml:space="preserve">. With FIDOL, qualitative description </w:t>
      </w:r>
      <w:proofErr w:type="gramStart"/>
      <w:r w:rsidR="00ED5687" w:rsidRPr="000370D0">
        <w:rPr>
          <w:lang w:val="en-GB"/>
        </w:rPr>
        <w:t>is not developed</w:t>
      </w:r>
      <w:proofErr w:type="gramEnd"/>
      <w:r w:rsidR="00ED5687" w:rsidRPr="000370D0">
        <w:rPr>
          <w:lang w:val="en-GB"/>
        </w:rPr>
        <w:t xml:space="preserve"> because offensiveness concerns mainly pleasantness or unpleasantness. Qualitative descriptors like in odour wheel (Suffet et al., 2004) are not included.</w:t>
      </w:r>
    </w:p>
    <w:p w:rsidR="005F0E9E" w:rsidRPr="000370D0" w:rsidRDefault="005F0E9E">
      <w:pPr>
        <w:pStyle w:val="CETBodytext"/>
        <w:rPr>
          <w:lang w:val="en-GB"/>
        </w:rPr>
      </w:pPr>
    </w:p>
    <w:p w:rsidR="005F0E9E" w:rsidRPr="000370D0" w:rsidRDefault="00336FE7">
      <w:pPr>
        <w:pStyle w:val="CETHeading1"/>
        <w:numPr>
          <w:ilvl w:val="1"/>
          <w:numId w:val="1"/>
        </w:numPr>
        <w:rPr>
          <w:lang w:val="en-GB"/>
        </w:rPr>
      </w:pPr>
      <w:r w:rsidRPr="000370D0">
        <w:rPr>
          <w:lang w:val="en-GB"/>
        </w:rPr>
        <w:t>Proposal of a full subjective approach</w:t>
      </w:r>
    </w:p>
    <w:p w:rsidR="005F0E9E" w:rsidRPr="000370D0" w:rsidRDefault="00336FE7">
      <w:pPr>
        <w:pStyle w:val="CETBodytext"/>
        <w:rPr>
          <w:lang w:val="en-GB"/>
        </w:rPr>
      </w:pPr>
      <w:r w:rsidRPr="000370D0">
        <w:rPr>
          <w:lang w:val="en-GB"/>
        </w:rPr>
        <w:t xml:space="preserve">As shown in previous paragraph about limitations, a key point is to choose between objective or subjective criteria. The possibility to mix both objective and subjective criteria seems incompatible with data treatment in order to express a real feeling and to be in a frame of “psychometric measurement”. Firstly, a number of levels </w:t>
      </w:r>
      <w:proofErr w:type="gramStart"/>
      <w:r w:rsidRPr="000370D0">
        <w:rPr>
          <w:lang w:val="en-GB"/>
        </w:rPr>
        <w:t>must be selected</w:t>
      </w:r>
      <w:proofErr w:type="gramEnd"/>
      <w:r w:rsidRPr="000370D0">
        <w:rPr>
          <w:lang w:val="en-GB"/>
        </w:rPr>
        <w:t xml:space="preserve"> and these levels must be qualified by descriptors accessible for everybody and that ca represent their feeling. Secondly, a mathematical treatment </w:t>
      </w:r>
      <w:proofErr w:type="gramStart"/>
      <w:r w:rsidRPr="000370D0">
        <w:rPr>
          <w:lang w:val="en-GB"/>
        </w:rPr>
        <w:t>must be proposed</w:t>
      </w:r>
      <w:proofErr w:type="gramEnd"/>
      <w:r w:rsidRPr="000370D0">
        <w:rPr>
          <w:lang w:val="en-GB"/>
        </w:rPr>
        <w:t xml:space="preserve"> to integrate recorded level of each factor in an odorous situation. Both aspects </w:t>
      </w:r>
      <w:proofErr w:type="gramStart"/>
      <w:r w:rsidRPr="000370D0">
        <w:rPr>
          <w:lang w:val="en-GB"/>
        </w:rPr>
        <w:t>are described</w:t>
      </w:r>
      <w:proofErr w:type="gramEnd"/>
      <w:r w:rsidRPr="000370D0">
        <w:rPr>
          <w:lang w:val="en-GB"/>
        </w:rPr>
        <w:t xml:space="preserve"> in following paragraphs.</w:t>
      </w:r>
    </w:p>
    <w:p w:rsidR="005F0E9E" w:rsidRPr="000370D0" w:rsidRDefault="005F0E9E">
      <w:pPr>
        <w:pStyle w:val="CETBodytext"/>
        <w:rPr>
          <w:lang w:val="en-GB"/>
        </w:rPr>
      </w:pPr>
    </w:p>
    <w:p w:rsidR="005F0E9E" w:rsidRPr="000370D0" w:rsidRDefault="00336FE7">
      <w:pPr>
        <w:pStyle w:val="CETheadingx"/>
        <w:numPr>
          <w:ilvl w:val="2"/>
          <w:numId w:val="1"/>
        </w:numPr>
      </w:pPr>
      <w:r w:rsidRPr="000370D0">
        <w:t>Proposed levels for factors</w:t>
      </w:r>
    </w:p>
    <w:p w:rsidR="005F0E9E" w:rsidRPr="000370D0" w:rsidRDefault="00336FE7">
      <w:pPr>
        <w:pStyle w:val="CETBodytext"/>
        <w:rPr>
          <w:lang w:val="en-GB"/>
        </w:rPr>
      </w:pPr>
      <w:r w:rsidRPr="000370D0">
        <w:rPr>
          <w:lang w:val="en-GB"/>
        </w:rPr>
        <w:t xml:space="preserve">To characterise the feeling, the table 2 gives an example of subjective data for the different factors. </w:t>
      </w:r>
    </w:p>
    <w:p w:rsidR="005F0E9E" w:rsidRPr="000370D0" w:rsidRDefault="00336FE7">
      <w:pPr>
        <w:pStyle w:val="CETTabletitle"/>
      </w:pPr>
      <w:r w:rsidRPr="000370D0">
        <w:t xml:space="preserve">Table 2: Example of five qualitative levels for each factor based only on perception </w:t>
      </w:r>
    </w:p>
    <w:tbl>
      <w:tblPr>
        <w:tblW w:w="8646" w:type="dxa"/>
        <w:tblBorders>
          <w:top w:val="single" w:sz="12" w:space="0" w:color="008000"/>
          <w:bottom w:val="single" w:sz="6" w:space="0" w:color="008000"/>
          <w:insideH w:val="single" w:sz="6" w:space="0" w:color="008000"/>
        </w:tblBorders>
        <w:tblCellMar>
          <w:left w:w="0" w:type="dxa"/>
          <w:right w:w="0" w:type="dxa"/>
        </w:tblCellMar>
        <w:tblLook w:val="04A0" w:firstRow="1" w:lastRow="0" w:firstColumn="1" w:lastColumn="0" w:noHBand="0" w:noVBand="1"/>
      </w:tblPr>
      <w:tblGrid>
        <w:gridCol w:w="1418"/>
        <w:gridCol w:w="1416"/>
        <w:gridCol w:w="1417"/>
        <w:gridCol w:w="1416"/>
        <w:gridCol w:w="1417"/>
        <w:gridCol w:w="1562"/>
      </w:tblGrid>
      <w:tr w:rsidR="000370D0" w:rsidRPr="000370D0">
        <w:tc>
          <w:tcPr>
            <w:tcW w:w="1417" w:type="dxa"/>
            <w:tcBorders>
              <w:top w:val="single" w:sz="12" w:space="0" w:color="008000"/>
              <w:bottom w:val="single" w:sz="6" w:space="0" w:color="008000"/>
            </w:tcBorders>
            <w:shd w:val="clear" w:color="auto" w:fill="FFFFFF"/>
            <w:vAlign w:val="center"/>
          </w:tcPr>
          <w:p w:rsidR="005F0E9E" w:rsidRPr="000370D0" w:rsidRDefault="005F0E9E">
            <w:pPr>
              <w:pStyle w:val="CETBodytext"/>
              <w:rPr>
                <w:lang w:val="en-GB"/>
              </w:rPr>
            </w:pPr>
          </w:p>
        </w:tc>
        <w:tc>
          <w:tcPr>
            <w:tcW w:w="1416" w:type="dxa"/>
            <w:tcBorders>
              <w:top w:val="single" w:sz="12" w:space="0" w:color="008000"/>
              <w:bottom w:val="single" w:sz="6" w:space="0" w:color="008000"/>
            </w:tcBorders>
            <w:shd w:val="clear" w:color="auto" w:fill="FFFFFF"/>
            <w:vAlign w:val="center"/>
          </w:tcPr>
          <w:p w:rsidR="005F0E9E" w:rsidRPr="000370D0" w:rsidRDefault="00336FE7">
            <w:pPr>
              <w:pStyle w:val="CETBodytext"/>
              <w:jc w:val="center"/>
              <w:rPr>
                <w:i/>
                <w:lang w:val="en-GB"/>
              </w:rPr>
            </w:pPr>
            <w:r w:rsidRPr="000370D0">
              <w:rPr>
                <w:rFonts w:ascii="Calibri" w:hAnsi="Calibri" w:cs="Calibri"/>
                <w:bCs/>
                <w:i/>
                <w:sz w:val="22"/>
                <w:szCs w:val="22"/>
              </w:rPr>
              <w:t>Frequency</w:t>
            </w:r>
          </w:p>
        </w:tc>
        <w:tc>
          <w:tcPr>
            <w:tcW w:w="1417" w:type="dxa"/>
            <w:tcBorders>
              <w:top w:val="single" w:sz="12" w:space="0" w:color="008000"/>
              <w:bottom w:val="single" w:sz="6" w:space="0" w:color="008000"/>
            </w:tcBorders>
            <w:shd w:val="clear" w:color="auto" w:fill="FFFFFF"/>
            <w:vAlign w:val="center"/>
          </w:tcPr>
          <w:p w:rsidR="005F0E9E" w:rsidRPr="000370D0" w:rsidRDefault="00336FE7">
            <w:pPr>
              <w:pStyle w:val="CETBodytext"/>
              <w:jc w:val="center"/>
              <w:rPr>
                <w:i/>
                <w:lang w:val="en-GB"/>
              </w:rPr>
            </w:pPr>
            <w:r w:rsidRPr="000370D0">
              <w:rPr>
                <w:rFonts w:ascii="Calibri" w:hAnsi="Calibri" w:cs="Calibri"/>
                <w:bCs/>
                <w:i/>
                <w:sz w:val="22"/>
                <w:szCs w:val="22"/>
              </w:rPr>
              <w:t>Intensity</w:t>
            </w:r>
          </w:p>
        </w:tc>
        <w:tc>
          <w:tcPr>
            <w:tcW w:w="1416" w:type="dxa"/>
            <w:tcBorders>
              <w:top w:val="single" w:sz="12" w:space="0" w:color="008000"/>
              <w:bottom w:val="single" w:sz="6" w:space="0" w:color="008000"/>
            </w:tcBorders>
            <w:shd w:val="clear" w:color="auto" w:fill="FFFFFF"/>
            <w:vAlign w:val="center"/>
          </w:tcPr>
          <w:p w:rsidR="005F0E9E" w:rsidRPr="000370D0" w:rsidRDefault="00336FE7">
            <w:pPr>
              <w:pStyle w:val="CETBodytext"/>
              <w:ind w:right="-1"/>
              <w:jc w:val="center"/>
              <w:rPr>
                <w:rFonts w:cs="Arial"/>
                <w:i/>
                <w:szCs w:val="18"/>
                <w:lang w:val="en-GB"/>
              </w:rPr>
            </w:pPr>
            <w:r w:rsidRPr="000370D0">
              <w:rPr>
                <w:rFonts w:ascii="Calibri" w:hAnsi="Calibri" w:cs="Calibri"/>
                <w:bCs/>
                <w:i/>
                <w:sz w:val="22"/>
                <w:szCs w:val="22"/>
              </w:rPr>
              <w:t>Duration</w:t>
            </w:r>
          </w:p>
        </w:tc>
        <w:tc>
          <w:tcPr>
            <w:tcW w:w="1417" w:type="dxa"/>
            <w:tcBorders>
              <w:top w:val="single" w:sz="12" w:space="0" w:color="008000"/>
              <w:bottom w:val="single" w:sz="6" w:space="0" w:color="008000"/>
            </w:tcBorders>
            <w:shd w:val="clear" w:color="auto" w:fill="FFFFFF"/>
            <w:vAlign w:val="center"/>
          </w:tcPr>
          <w:p w:rsidR="005F0E9E" w:rsidRPr="000370D0" w:rsidRDefault="00336FE7">
            <w:pPr>
              <w:pStyle w:val="CETBodytext"/>
              <w:ind w:right="-1"/>
              <w:jc w:val="center"/>
              <w:rPr>
                <w:rFonts w:cs="Arial"/>
                <w:i/>
                <w:szCs w:val="18"/>
                <w:lang w:val="en-GB"/>
              </w:rPr>
            </w:pPr>
            <w:r w:rsidRPr="000370D0">
              <w:rPr>
                <w:rFonts w:ascii="Calibri" w:hAnsi="Calibri" w:cs="Calibri"/>
                <w:bCs/>
                <w:i/>
                <w:sz w:val="22"/>
                <w:szCs w:val="22"/>
              </w:rPr>
              <w:t>Offensiveness</w:t>
            </w:r>
          </w:p>
        </w:tc>
        <w:tc>
          <w:tcPr>
            <w:tcW w:w="1562" w:type="dxa"/>
            <w:tcBorders>
              <w:top w:val="single" w:sz="12" w:space="0" w:color="008000"/>
              <w:bottom w:val="single" w:sz="6" w:space="0" w:color="008000"/>
            </w:tcBorders>
            <w:shd w:val="clear" w:color="auto" w:fill="FFFFFF"/>
            <w:vAlign w:val="center"/>
          </w:tcPr>
          <w:p w:rsidR="005F0E9E" w:rsidRPr="000370D0" w:rsidRDefault="00336FE7">
            <w:pPr>
              <w:pStyle w:val="CETBodytext"/>
              <w:ind w:right="-1"/>
              <w:jc w:val="center"/>
              <w:rPr>
                <w:rFonts w:cs="Arial"/>
                <w:i/>
                <w:szCs w:val="18"/>
                <w:lang w:val="en-GB"/>
              </w:rPr>
            </w:pPr>
            <w:r w:rsidRPr="000370D0">
              <w:rPr>
                <w:rFonts w:ascii="Calibri" w:hAnsi="Calibri" w:cs="Calibri"/>
                <w:bCs/>
                <w:i/>
                <w:sz w:val="22"/>
                <w:szCs w:val="22"/>
              </w:rPr>
              <w:t>Location, Sensitivity of Receptor</w:t>
            </w:r>
          </w:p>
        </w:tc>
      </w:tr>
      <w:tr w:rsidR="000370D0" w:rsidRPr="000370D0">
        <w:tc>
          <w:tcPr>
            <w:tcW w:w="1417" w:type="dxa"/>
            <w:shd w:val="clear" w:color="auto" w:fill="FFFFFF"/>
            <w:vAlign w:val="center"/>
          </w:tcPr>
          <w:p w:rsidR="005F0E9E" w:rsidRPr="000370D0" w:rsidRDefault="005F0E9E">
            <w:pPr>
              <w:pStyle w:val="CETBodytext"/>
              <w:jc w:val="center"/>
              <w:rPr>
                <w:rFonts w:ascii="Calibri" w:hAnsi="Calibri" w:cs="Calibri"/>
                <w:i/>
                <w:sz w:val="22"/>
                <w:szCs w:val="22"/>
              </w:rPr>
            </w:pPr>
          </w:p>
          <w:p w:rsidR="005F0E9E" w:rsidRPr="000370D0" w:rsidRDefault="005F0E9E">
            <w:pPr>
              <w:pStyle w:val="CETBodytext"/>
              <w:rPr>
                <w:i/>
                <w:lang w:val="en-GB"/>
              </w:rPr>
            </w:pPr>
          </w:p>
        </w:tc>
        <w:tc>
          <w:tcPr>
            <w:tcW w:w="1416" w:type="dxa"/>
            <w:tcBorders>
              <w:top w:val="single" w:sz="6" w:space="0" w:color="008000"/>
              <w:bottom w:val="single" w:sz="6" w:space="0" w:color="008000"/>
            </w:tcBorders>
            <w:shd w:val="clear" w:color="auto" w:fill="FFFFFF"/>
            <w:vAlign w:val="center"/>
          </w:tcPr>
          <w:p w:rsidR="005F0E9E" w:rsidRPr="000370D0" w:rsidRDefault="00336FE7">
            <w:pPr>
              <w:pStyle w:val="CETBodytext"/>
              <w:jc w:val="center"/>
              <w:rPr>
                <w:rFonts w:ascii="Calibri" w:hAnsi="Calibri" w:cs="Calibri"/>
                <w:sz w:val="22"/>
                <w:szCs w:val="22"/>
              </w:rPr>
            </w:pPr>
            <w:r w:rsidRPr="000370D0">
              <w:rPr>
                <w:rFonts w:ascii="Calibri" w:hAnsi="Calibri" w:cs="Calibri"/>
                <w:sz w:val="22"/>
                <w:szCs w:val="22"/>
              </w:rPr>
              <w:t>Very</w:t>
            </w:r>
          </w:p>
          <w:p w:rsidR="005F0E9E" w:rsidRPr="000370D0" w:rsidRDefault="00336FE7">
            <w:pPr>
              <w:pStyle w:val="CETBodytext"/>
              <w:jc w:val="center"/>
              <w:rPr>
                <w:lang w:val="en-GB"/>
              </w:rPr>
            </w:pPr>
            <w:r w:rsidRPr="000370D0">
              <w:rPr>
                <w:rFonts w:ascii="Calibri" w:hAnsi="Calibri" w:cs="Calibri"/>
                <w:sz w:val="22"/>
                <w:szCs w:val="22"/>
              </w:rPr>
              <w:t>often</w:t>
            </w:r>
          </w:p>
        </w:tc>
        <w:tc>
          <w:tcPr>
            <w:tcW w:w="1417" w:type="dxa"/>
            <w:tcBorders>
              <w:top w:val="single" w:sz="6" w:space="0" w:color="008000"/>
              <w:bottom w:val="single" w:sz="6" w:space="0" w:color="008000"/>
            </w:tcBorders>
            <w:shd w:val="clear" w:color="auto" w:fill="FFFFFF"/>
            <w:vAlign w:val="center"/>
          </w:tcPr>
          <w:p w:rsidR="005F0E9E" w:rsidRPr="000370D0" w:rsidRDefault="00336FE7">
            <w:pPr>
              <w:pStyle w:val="CETBodytext"/>
              <w:jc w:val="center"/>
              <w:rPr>
                <w:rFonts w:ascii="Calibri" w:hAnsi="Calibri" w:cs="Calibri"/>
                <w:sz w:val="22"/>
                <w:szCs w:val="22"/>
              </w:rPr>
            </w:pPr>
            <w:r w:rsidRPr="000370D0">
              <w:rPr>
                <w:rFonts w:ascii="Calibri" w:hAnsi="Calibri" w:cs="Calibri"/>
                <w:sz w:val="22"/>
                <w:szCs w:val="22"/>
              </w:rPr>
              <w:t>Very</w:t>
            </w:r>
          </w:p>
          <w:p w:rsidR="005F0E9E" w:rsidRPr="000370D0" w:rsidRDefault="00336FE7">
            <w:pPr>
              <w:pStyle w:val="CETBodytext"/>
              <w:jc w:val="center"/>
              <w:rPr>
                <w:lang w:val="en-GB"/>
              </w:rPr>
            </w:pPr>
            <w:r w:rsidRPr="000370D0">
              <w:rPr>
                <w:rFonts w:ascii="Calibri" w:hAnsi="Calibri" w:cs="Calibri"/>
                <w:sz w:val="22"/>
                <w:szCs w:val="22"/>
              </w:rPr>
              <w:t>strong</w:t>
            </w:r>
          </w:p>
        </w:tc>
        <w:tc>
          <w:tcPr>
            <w:tcW w:w="1416" w:type="dxa"/>
            <w:tcBorders>
              <w:top w:val="single" w:sz="6" w:space="0" w:color="008000"/>
              <w:bottom w:val="single" w:sz="6" w:space="0" w:color="008000"/>
            </w:tcBorders>
            <w:shd w:val="clear" w:color="auto" w:fill="FFFFFF"/>
            <w:vAlign w:val="center"/>
          </w:tcPr>
          <w:p w:rsidR="005F0E9E" w:rsidRPr="000370D0" w:rsidRDefault="00336FE7">
            <w:pPr>
              <w:pStyle w:val="CETBodytext"/>
              <w:ind w:right="-1"/>
              <w:jc w:val="center"/>
              <w:rPr>
                <w:rFonts w:ascii="Calibri" w:hAnsi="Calibri" w:cs="Calibri"/>
                <w:sz w:val="22"/>
                <w:szCs w:val="22"/>
              </w:rPr>
            </w:pPr>
            <w:r w:rsidRPr="000370D0">
              <w:rPr>
                <w:rFonts w:ascii="Calibri" w:hAnsi="Calibri" w:cs="Calibri"/>
                <w:sz w:val="22"/>
                <w:szCs w:val="22"/>
              </w:rPr>
              <w:t>Very</w:t>
            </w:r>
          </w:p>
          <w:p w:rsidR="005F0E9E" w:rsidRPr="000370D0" w:rsidRDefault="00336FE7">
            <w:pPr>
              <w:pStyle w:val="CETBodytext"/>
              <w:ind w:right="-1"/>
              <w:jc w:val="center"/>
              <w:rPr>
                <w:rFonts w:cs="Arial"/>
                <w:szCs w:val="18"/>
                <w:lang w:val="en-GB"/>
              </w:rPr>
            </w:pPr>
            <w:r w:rsidRPr="000370D0">
              <w:rPr>
                <w:rFonts w:ascii="Calibri" w:hAnsi="Calibri" w:cs="Calibri"/>
                <w:sz w:val="22"/>
                <w:szCs w:val="22"/>
              </w:rPr>
              <w:t>Long</w:t>
            </w:r>
          </w:p>
        </w:tc>
        <w:tc>
          <w:tcPr>
            <w:tcW w:w="1417" w:type="dxa"/>
            <w:tcBorders>
              <w:top w:val="single" w:sz="6" w:space="0" w:color="008000"/>
              <w:bottom w:val="single" w:sz="6" w:space="0" w:color="008000"/>
            </w:tcBorders>
            <w:shd w:val="clear" w:color="auto" w:fill="FFFFFF"/>
            <w:vAlign w:val="center"/>
          </w:tcPr>
          <w:p w:rsidR="005F0E9E" w:rsidRPr="000370D0" w:rsidRDefault="00336FE7">
            <w:pPr>
              <w:pStyle w:val="CETBodytext"/>
              <w:ind w:right="-1"/>
              <w:jc w:val="center"/>
              <w:rPr>
                <w:rFonts w:cs="Arial"/>
                <w:szCs w:val="18"/>
                <w:lang w:val="en-GB"/>
              </w:rPr>
            </w:pPr>
            <w:r w:rsidRPr="000370D0">
              <w:rPr>
                <w:rFonts w:ascii="Calibri" w:hAnsi="Calibri" w:cs="Calibri"/>
                <w:sz w:val="22"/>
                <w:szCs w:val="22"/>
              </w:rPr>
              <w:t>Very unpleasant</w:t>
            </w:r>
          </w:p>
        </w:tc>
        <w:tc>
          <w:tcPr>
            <w:tcW w:w="1562" w:type="dxa"/>
            <w:tcBorders>
              <w:top w:val="single" w:sz="6" w:space="0" w:color="008000"/>
              <w:bottom w:val="single" w:sz="6" w:space="0" w:color="008000"/>
            </w:tcBorders>
            <w:shd w:val="clear" w:color="auto" w:fill="FFFFFF"/>
            <w:vAlign w:val="center"/>
          </w:tcPr>
          <w:p w:rsidR="005F0E9E" w:rsidRPr="000370D0" w:rsidRDefault="00336FE7">
            <w:pPr>
              <w:pStyle w:val="CETBodytext"/>
              <w:ind w:right="-1"/>
              <w:jc w:val="center"/>
              <w:rPr>
                <w:rFonts w:ascii="Calibri" w:hAnsi="Calibri" w:cs="Calibri"/>
                <w:sz w:val="22"/>
                <w:szCs w:val="22"/>
              </w:rPr>
            </w:pPr>
            <w:r w:rsidRPr="000370D0">
              <w:rPr>
                <w:rFonts w:ascii="Calibri" w:hAnsi="Calibri" w:cs="Calibri"/>
                <w:sz w:val="22"/>
                <w:szCs w:val="22"/>
              </w:rPr>
              <w:t>Very</w:t>
            </w:r>
          </w:p>
          <w:p w:rsidR="005F0E9E" w:rsidRPr="000370D0" w:rsidRDefault="00336FE7">
            <w:pPr>
              <w:pStyle w:val="CETBodytext"/>
              <w:ind w:right="-1"/>
              <w:jc w:val="center"/>
              <w:rPr>
                <w:rFonts w:cs="Arial"/>
                <w:szCs w:val="18"/>
                <w:lang w:val="en-GB"/>
              </w:rPr>
            </w:pPr>
            <w:r w:rsidRPr="000370D0">
              <w:rPr>
                <w:rFonts w:ascii="Calibri" w:hAnsi="Calibri" w:cs="Calibri"/>
                <w:sz w:val="22"/>
                <w:szCs w:val="22"/>
              </w:rPr>
              <w:t>high</w:t>
            </w:r>
          </w:p>
        </w:tc>
      </w:tr>
      <w:tr w:rsidR="000370D0" w:rsidRPr="000370D0">
        <w:tc>
          <w:tcPr>
            <w:tcW w:w="1417" w:type="dxa"/>
            <w:shd w:val="clear" w:color="auto" w:fill="FFFFFF"/>
            <w:vAlign w:val="center"/>
          </w:tcPr>
          <w:p w:rsidR="005F0E9E" w:rsidRPr="000370D0" w:rsidRDefault="00336FE7">
            <w:pPr>
              <w:pStyle w:val="CETBodytext"/>
              <w:jc w:val="center"/>
              <w:rPr>
                <w:i/>
                <w:lang w:val="en-GB"/>
              </w:rPr>
            </w:pPr>
            <w:r w:rsidRPr="000370D0">
              <w:rPr>
                <w:rFonts w:ascii="Calibri" w:hAnsi="Calibri" w:cs="Calibri"/>
                <w:i/>
                <w:sz w:val="22"/>
                <w:szCs w:val="22"/>
              </w:rPr>
              <w:t>(5 qualitative levels)</w:t>
            </w:r>
          </w:p>
        </w:tc>
        <w:tc>
          <w:tcPr>
            <w:tcW w:w="1416" w:type="dxa"/>
            <w:tcBorders>
              <w:top w:val="single" w:sz="6" w:space="0" w:color="008000"/>
              <w:bottom w:val="single" w:sz="6" w:space="0" w:color="008000"/>
            </w:tcBorders>
            <w:shd w:val="clear" w:color="auto" w:fill="FFFFFF"/>
            <w:vAlign w:val="center"/>
          </w:tcPr>
          <w:p w:rsidR="005F0E9E" w:rsidRPr="000370D0" w:rsidRDefault="00336FE7">
            <w:pPr>
              <w:pStyle w:val="CETBodytext"/>
              <w:jc w:val="center"/>
              <w:rPr>
                <w:rFonts w:ascii="Calibri" w:hAnsi="Calibri" w:cs="Calibri"/>
                <w:sz w:val="22"/>
                <w:szCs w:val="22"/>
              </w:rPr>
            </w:pPr>
            <w:r w:rsidRPr="000370D0">
              <w:rPr>
                <w:rFonts w:ascii="Calibri" w:hAnsi="Calibri" w:cs="Calibri"/>
                <w:sz w:val="22"/>
                <w:szCs w:val="22"/>
              </w:rPr>
              <w:t>Often</w:t>
            </w:r>
          </w:p>
          <w:p w:rsidR="005F0E9E" w:rsidRPr="000370D0" w:rsidRDefault="005F0E9E">
            <w:pPr>
              <w:pStyle w:val="CETBodytext"/>
              <w:jc w:val="center"/>
              <w:rPr>
                <w:lang w:val="en-GB"/>
              </w:rPr>
            </w:pPr>
          </w:p>
        </w:tc>
        <w:tc>
          <w:tcPr>
            <w:tcW w:w="1417" w:type="dxa"/>
            <w:tcBorders>
              <w:top w:val="single" w:sz="6" w:space="0" w:color="008000"/>
              <w:bottom w:val="single" w:sz="6" w:space="0" w:color="008000"/>
            </w:tcBorders>
            <w:shd w:val="clear" w:color="auto" w:fill="FFFFFF"/>
            <w:vAlign w:val="center"/>
          </w:tcPr>
          <w:p w:rsidR="005F0E9E" w:rsidRPr="000370D0" w:rsidRDefault="00336FE7">
            <w:pPr>
              <w:pStyle w:val="CETBodytext"/>
              <w:jc w:val="center"/>
              <w:rPr>
                <w:rFonts w:ascii="Calibri" w:hAnsi="Calibri" w:cs="Calibri"/>
                <w:sz w:val="22"/>
                <w:szCs w:val="22"/>
              </w:rPr>
            </w:pPr>
            <w:r w:rsidRPr="000370D0">
              <w:rPr>
                <w:rFonts w:ascii="Calibri" w:hAnsi="Calibri" w:cs="Calibri"/>
                <w:sz w:val="22"/>
                <w:szCs w:val="22"/>
              </w:rPr>
              <w:t>Strong</w:t>
            </w:r>
          </w:p>
          <w:p w:rsidR="005F0E9E" w:rsidRPr="000370D0" w:rsidRDefault="005F0E9E">
            <w:pPr>
              <w:pStyle w:val="CETBodytext"/>
              <w:jc w:val="center"/>
              <w:rPr>
                <w:lang w:val="en-GB"/>
              </w:rPr>
            </w:pPr>
          </w:p>
        </w:tc>
        <w:tc>
          <w:tcPr>
            <w:tcW w:w="1416" w:type="dxa"/>
            <w:tcBorders>
              <w:top w:val="single" w:sz="6" w:space="0" w:color="008000"/>
              <w:bottom w:val="single" w:sz="6" w:space="0" w:color="008000"/>
            </w:tcBorders>
            <w:shd w:val="clear" w:color="auto" w:fill="FFFFFF"/>
            <w:vAlign w:val="center"/>
          </w:tcPr>
          <w:p w:rsidR="005F0E9E" w:rsidRPr="000370D0" w:rsidRDefault="00336FE7">
            <w:pPr>
              <w:pStyle w:val="CETBodytext"/>
              <w:ind w:right="-1"/>
              <w:jc w:val="center"/>
              <w:rPr>
                <w:rFonts w:ascii="Calibri" w:hAnsi="Calibri" w:cs="Calibri"/>
                <w:sz w:val="22"/>
                <w:szCs w:val="22"/>
              </w:rPr>
            </w:pPr>
            <w:r w:rsidRPr="000370D0">
              <w:rPr>
                <w:rFonts w:ascii="Calibri" w:hAnsi="Calibri" w:cs="Calibri"/>
                <w:sz w:val="22"/>
                <w:szCs w:val="22"/>
              </w:rPr>
              <w:t>Long</w:t>
            </w:r>
          </w:p>
          <w:p w:rsidR="005F0E9E" w:rsidRPr="000370D0" w:rsidRDefault="005F0E9E">
            <w:pPr>
              <w:pStyle w:val="CETBodytext"/>
              <w:ind w:right="-1"/>
              <w:jc w:val="center"/>
              <w:rPr>
                <w:rFonts w:cs="Arial"/>
                <w:szCs w:val="18"/>
                <w:lang w:val="en-GB"/>
              </w:rPr>
            </w:pPr>
          </w:p>
        </w:tc>
        <w:tc>
          <w:tcPr>
            <w:tcW w:w="1417" w:type="dxa"/>
            <w:tcBorders>
              <w:top w:val="single" w:sz="6" w:space="0" w:color="008000"/>
              <w:bottom w:val="single" w:sz="6" w:space="0" w:color="008000"/>
            </w:tcBorders>
            <w:shd w:val="clear" w:color="auto" w:fill="FFFFFF"/>
            <w:vAlign w:val="center"/>
          </w:tcPr>
          <w:p w:rsidR="005F0E9E" w:rsidRPr="000370D0" w:rsidRDefault="00336FE7">
            <w:pPr>
              <w:pStyle w:val="CETBodytext"/>
              <w:ind w:right="-1"/>
              <w:jc w:val="center"/>
              <w:rPr>
                <w:rFonts w:ascii="Calibri" w:hAnsi="Calibri" w:cs="Calibri"/>
                <w:sz w:val="22"/>
                <w:szCs w:val="22"/>
              </w:rPr>
            </w:pPr>
            <w:r w:rsidRPr="000370D0">
              <w:rPr>
                <w:rFonts w:ascii="Calibri" w:hAnsi="Calibri" w:cs="Calibri"/>
                <w:sz w:val="22"/>
                <w:szCs w:val="22"/>
              </w:rPr>
              <w:t>Unpleasant</w:t>
            </w:r>
          </w:p>
          <w:p w:rsidR="005F0E9E" w:rsidRPr="000370D0" w:rsidRDefault="005F0E9E">
            <w:pPr>
              <w:pStyle w:val="CETBodytext"/>
              <w:ind w:right="-1"/>
              <w:jc w:val="center"/>
              <w:rPr>
                <w:rFonts w:cs="Arial"/>
                <w:szCs w:val="18"/>
                <w:lang w:val="en-GB"/>
              </w:rPr>
            </w:pPr>
          </w:p>
        </w:tc>
        <w:tc>
          <w:tcPr>
            <w:tcW w:w="1562" w:type="dxa"/>
            <w:tcBorders>
              <w:top w:val="single" w:sz="6" w:space="0" w:color="008000"/>
              <w:bottom w:val="single" w:sz="6" w:space="0" w:color="008000"/>
            </w:tcBorders>
            <w:shd w:val="clear" w:color="auto" w:fill="FFFFFF"/>
            <w:vAlign w:val="center"/>
          </w:tcPr>
          <w:p w:rsidR="005F0E9E" w:rsidRPr="000370D0" w:rsidRDefault="00336FE7">
            <w:pPr>
              <w:pStyle w:val="CETBodytext"/>
              <w:ind w:right="-1"/>
              <w:jc w:val="center"/>
              <w:rPr>
                <w:rFonts w:ascii="Calibri" w:hAnsi="Calibri" w:cs="Calibri"/>
                <w:sz w:val="22"/>
                <w:szCs w:val="22"/>
              </w:rPr>
            </w:pPr>
            <w:r w:rsidRPr="000370D0">
              <w:rPr>
                <w:rFonts w:ascii="Calibri" w:hAnsi="Calibri" w:cs="Calibri"/>
                <w:sz w:val="22"/>
                <w:szCs w:val="22"/>
              </w:rPr>
              <w:t>High</w:t>
            </w:r>
          </w:p>
          <w:p w:rsidR="005F0E9E" w:rsidRPr="000370D0" w:rsidRDefault="005F0E9E">
            <w:pPr>
              <w:pStyle w:val="CETBodytext"/>
              <w:ind w:right="-1"/>
              <w:jc w:val="center"/>
              <w:rPr>
                <w:rFonts w:cs="Arial"/>
                <w:szCs w:val="18"/>
                <w:lang w:val="en-GB"/>
              </w:rPr>
            </w:pPr>
          </w:p>
        </w:tc>
      </w:tr>
      <w:tr w:rsidR="000370D0" w:rsidRPr="000370D0">
        <w:tc>
          <w:tcPr>
            <w:tcW w:w="1417" w:type="dxa"/>
            <w:shd w:val="clear" w:color="auto" w:fill="FFFFFF"/>
            <w:vAlign w:val="center"/>
          </w:tcPr>
          <w:p w:rsidR="005F0E9E" w:rsidRPr="000370D0" w:rsidRDefault="005F0E9E">
            <w:pPr>
              <w:pStyle w:val="CETBodytext"/>
              <w:rPr>
                <w:lang w:val="en-GB"/>
              </w:rPr>
            </w:pPr>
          </w:p>
        </w:tc>
        <w:tc>
          <w:tcPr>
            <w:tcW w:w="1416" w:type="dxa"/>
            <w:tcBorders>
              <w:top w:val="single" w:sz="6" w:space="0" w:color="008000"/>
              <w:bottom w:val="single" w:sz="6" w:space="0" w:color="008000"/>
            </w:tcBorders>
            <w:shd w:val="clear" w:color="auto" w:fill="FFFFFF"/>
            <w:vAlign w:val="center"/>
          </w:tcPr>
          <w:p w:rsidR="005F0E9E" w:rsidRPr="000370D0" w:rsidRDefault="00336FE7">
            <w:pPr>
              <w:pStyle w:val="CETBodytext"/>
              <w:jc w:val="center"/>
              <w:rPr>
                <w:rFonts w:ascii="Calibri" w:hAnsi="Calibri" w:cs="Calibri"/>
                <w:sz w:val="22"/>
                <w:szCs w:val="22"/>
              </w:rPr>
            </w:pPr>
            <w:r w:rsidRPr="000370D0">
              <w:rPr>
                <w:rFonts w:ascii="Calibri" w:hAnsi="Calibri" w:cs="Calibri"/>
                <w:sz w:val="22"/>
                <w:szCs w:val="22"/>
              </w:rPr>
              <w:t>Sometimes</w:t>
            </w:r>
          </w:p>
          <w:p w:rsidR="005F0E9E" w:rsidRPr="000370D0" w:rsidRDefault="005F0E9E">
            <w:pPr>
              <w:pStyle w:val="CETBodytext"/>
              <w:jc w:val="center"/>
              <w:rPr>
                <w:lang w:val="en-GB"/>
              </w:rPr>
            </w:pPr>
          </w:p>
        </w:tc>
        <w:tc>
          <w:tcPr>
            <w:tcW w:w="1417" w:type="dxa"/>
            <w:tcBorders>
              <w:top w:val="single" w:sz="6" w:space="0" w:color="008000"/>
              <w:bottom w:val="single" w:sz="6" w:space="0" w:color="008000"/>
            </w:tcBorders>
            <w:shd w:val="clear" w:color="auto" w:fill="FFFFFF"/>
            <w:vAlign w:val="center"/>
          </w:tcPr>
          <w:p w:rsidR="005F0E9E" w:rsidRPr="000370D0" w:rsidRDefault="00336FE7">
            <w:pPr>
              <w:pStyle w:val="CETBodytext"/>
              <w:jc w:val="center"/>
              <w:rPr>
                <w:rFonts w:ascii="Calibri" w:hAnsi="Calibri" w:cs="Calibri"/>
                <w:sz w:val="22"/>
                <w:szCs w:val="22"/>
              </w:rPr>
            </w:pPr>
            <w:r w:rsidRPr="000370D0">
              <w:rPr>
                <w:rFonts w:ascii="Calibri" w:hAnsi="Calibri" w:cs="Calibri"/>
                <w:sz w:val="22"/>
                <w:szCs w:val="22"/>
              </w:rPr>
              <w:t>Medium</w:t>
            </w:r>
          </w:p>
          <w:p w:rsidR="005F0E9E" w:rsidRPr="000370D0" w:rsidRDefault="005F0E9E">
            <w:pPr>
              <w:pStyle w:val="CETBodytext"/>
              <w:jc w:val="center"/>
              <w:rPr>
                <w:lang w:val="en-GB"/>
              </w:rPr>
            </w:pPr>
          </w:p>
        </w:tc>
        <w:tc>
          <w:tcPr>
            <w:tcW w:w="1416" w:type="dxa"/>
            <w:tcBorders>
              <w:top w:val="single" w:sz="6" w:space="0" w:color="008000"/>
              <w:bottom w:val="single" w:sz="6" w:space="0" w:color="008000"/>
            </w:tcBorders>
            <w:shd w:val="clear" w:color="auto" w:fill="FFFFFF"/>
            <w:vAlign w:val="center"/>
          </w:tcPr>
          <w:p w:rsidR="005F0E9E" w:rsidRPr="000370D0" w:rsidRDefault="00336FE7">
            <w:pPr>
              <w:pStyle w:val="CETBodytext"/>
              <w:ind w:right="-1"/>
              <w:jc w:val="center"/>
              <w:rPr>
                <w:rFonts w:ascii="Calibri" w:hAnsi="Calibri" w:cs="Calibri"/>
                <w:sz w:val="22"/>
                <w:szCs w:val="22"/>
              </w:rPr>
            </w:pPr>
            <w:r w:rsidRPr="000370D0">
              <w:rPr>
                <w:rFonts w:ascii="Calibri" w:hAnsi="Calibri" w:cs="Calibri"/>
                <w:sz w:val="22"/>
                <w:szCs w:val="22"/>
              </w:rPr>
              <w:t>Medium</w:t>
            </w:r>
          </w:p>
          <w:p w:rsidR="005F0E9E" w:rsidRPr="000370D0" w:rsidRDefault="005F0E9E">
            <w:pPr>
              <w:pStyle w:val="CETBodytext"/>
              <w:ind w:right="-1"/>
              <w:jc w:val="center"/>
              <w:rPr>
                <w:rFonts w:cs="Arial"/>
                <w:szCs w:val="18"/>
                <w:lang w:val="en-GB"/>
              </w:rPr>
            </w:pPr>
          </w:p>
        </w:tc>
        <w:tc>
          <w:tcPr>
            <w:tcW w:w="1417" w:type="dxa"/>
            <w:tcBorders>
              <w:top w:val="single" w:sz="6" w:space="0" w:color="008000"/>
              <w:bottom w:val="single" w:sz="6" w:space="0" w:color="008000"/>
            </w:tcBorders>
            <w:shd w:val="clear" w:color="auto" w:fill="FFFFFF"/>
            <w:vAlign w:val="center"/>
          </w:tcPr>
          <w:p w:rsidR="005F0E9E" w:rsidRPr="000370D0" w:rsidRDefault="00336FE7">
            <w:pPr>
              <w:pStyle w:val="CETBodytext"/>
              <w:ind w:right="-1"/>
              <w:jc w:val="center"/>
              <w:rPr>
                <w:rFonts w:ascii="Calibri" w:hAnsi="Calibri" w:cs="Calibri"/>
                <w:sz w:val="22"/>
                <w:szCs w:val="22"/>
              </w:rPr>
            </w:pPr>
            <w:r w:rsidRPr="000370D0">
              <w:rPr>
                <w:rFonts w:ascii="Calibri" w:hAnsi="Calibri" w:cs="Calibri"/>
                <w:sz w:val="22"/>
                <w:szCs w:val="22"/>
              </w:rPr>
              <w:t>Neutral</w:t>
            </w:r>
          </w:p>
          <w:p w:rsidR="005F0E9E" w:rsidRPr="000370D0" w:rsidRDefault="005F0E9E">
            <w:pPr>
              <w:pStyle w:val="CETBodytext"/>
              <w:ind w:right="-1"/>
              <w:jc w:val="center"/>
              <w:rPr>
                <w:rFonts w:cs="Arial"/>
                <w:szCs w:val="18"/>
                <w:lang w:val="en-GB"/>
              </w:rPr>
            </w:pPr>
          </w:p>
        </w:tc>
        <w:tc>
          <w:tcPr>
            <w:tcW w:w="1562" w:type="dxa"/>
            <w:tcBorders>
              <w:top w:val="single" w:sz="6" w:space="0" w:color="008000"/>
              <w:bottom w:val="single" w:sz="6" w:space="0" w:color="008000"/>
            </w:tcBorders>
            <w:shd w:val="clear" w:color="auto" w:fill="FFFFFF"/>
            <w:vAlign w:val="center"/>
          </w:tcPr>
          <w:p w:rsidR="005F0E9E" w:rsidRPr="000370D0" w:rsidRDefault="00336FE7">
            <w:pPr>
              <w:pStyle w:val="CETBodytext"/>
              <w:ind w:right="-1"/>
              <w:jc w:val="center"/>
              <w:rPr>
                <w:rFonts w:ascii="Calibri" w:hAnsi="Calibri" w:cs="Calibri"/>
                <w:sz w:val="22"/>
                <w:szCs w:val="22"/>
              </w:rPr>
            </w:pPr>
            <w:r w:rsidRPr="000370D0">
              <w:rPr>
                <w:rFonts w:ascii="Calibri" w:hAnsi="Calibri" w:cs="Calibri"/>
                <w:sz w:val="22"/>
                <w:szCs w:val="22"/>
              </w:rPr>
              <w:t>Medium</w:t>
            </w:r>
          </w:p>
          <w:p w:rsidR="005F0E9E" w:rsidRPr="000370D0" w:rsidRDefault="005F0E9E">
            <w:pPr>
              <w:pStyle w:val="CETBodytext"/>
              <w:ind w:right="-1"/>
              <w:jc w:val="center"/>
              <w:rPr>
                <w:rFonts w:cs="Arial"/>
                <w:szCs w:val="18"/>
                <w:lang w:val="en-GB"/>
              </w:rPr>
            </w:pPr>
          </w:p>
        </w:tc>
      </w:tr>
      <w:tr w:rsidR="000370D0" w:rsidRPr="000370D0">
        <w:tc>
          <w:tcPr>
            <w:tcW w:w="1417" w:type="dxa"/>
            <w:shd w:val="clear" w:color="auto" w:fill="FFFFFF"/>
            <w:vAlign w:val="center"/>
          </w:tcPr>
          <w:p w:rsidR="005F0E9E" w:rsidRPr="000370D0" w:rsidRDefault="005F0E9E">
            <w:pPr>
              <w:pStyle w:val="CETBodytext"/>
              <w:rPr>
                <w:lang w:val="en-GB"/>
              </w:rPr>
            </w:pPr>
          </w:p>
        </w:tc>
        <w:tc>
          <w:tcPr>
            <w:tcW w:w="1416" w:type="dxa"/>
            <w:tcBorders>
              <w:top w:val="single" w:sz="6" w:space="0" w:color="008000"/>
              <w:bottom w:val="single" w:sz="6" w:space="0" w:color="008000"/>
            </w:tcBorders>
            <w:shd w:val="clear" w:color="auto" w:fill="FFFFFF"/>
            <w:vAlign w:val="center"/>
          </w:tcPr>
          <w:p w:rsidR="005F0E9E" w:rsidRPr="000370D0" w:rsidRDefault="00336FE7">
            <w:pPr>
              <w:pStyle w:val="CETBodytext"/>
              <w:jc w:val="center"/>
              <w:rPr>
                <w:rFonts w:ascii="Calibri" w:hAnsi="Calibri" w:cs="Calibri"/>
                <w:sz w:val="22"/>
                <w:szCs w:val="22"/>
              </w:rPr>
            </w:pPr>
            <w:r w:rsidRPr="000370D0">
              <w:rPr>
                <w:rFonts w:ascii="Calibri" w:hAnsi="Calibri" w:cs="Calibri"/>
                <w:sz w:val="22"/>
                <w:szCs w:val="22"/>
              </w:rPr>
              <w:t>Rare</w:t>
            </w:r>
          </w:p>
          <w:p w:rsidR="005F0E9E" w:rsidRPr="000370D0" w:rsidRDefault="005F0E9E">
            <w:pPr>
              <w:pStyle w:val="CETBodytext"/>
              <w:jc w:val="center"/>
              <w:rPr>
                <w:lang w:val="en-GB"/>
              </w:rPr>
            </w:pPr>
          </w:p>
        </w:tc>
        <w:tc>
          <w:tcPr>
            <w:tcW w:w="1417" w:type="dxa"/>
            <w:tcBorders>
              <w:top w:val="single" w:sz="6" w:space="0" w:color="008000"/>
              <w:bottom w:val="single" w:sz="6" w:space="0" w:color="008000"/>
            </w:tcBorders>
            <w:shd w:val="clear" w:color="auto" w:fill="FFFFFF"/>
            <w:vAlign w:val="center"/>
          </w:tcPr>
          <w:p w:rsidR="005F0E9E" w:rsidRPr="000370D0" w:rsidRDefault="00336FE7">
            <w:pPr>
              <w:pStyle w:val="CETBodytext"/>
              <w:jc w:val="center"/>
              <w:rPr>
                <w:rFonts w:ascii="Calibri" w:hAnsi="Calibri" w:cs="Calibri"/>
                <w:sz w:val="22"/>
                <w:szCs w:val="22"/>
              </w:rPr>
            </w:pPr>
            <w:r w:rsidRPr="000370D0">
              <w:rPr>
                <w:rFonts w:ascii="Calibri" w:hAnsi="Calibri" w:cs="Calibri"/>
                <w:sz w:val="22"/>
                <w:szCs w:val="22"/>
              </w:rPr>
              <w:t>Weak</w:t>
            </w:r>
          </w:p>
          <w:p w:rsidR="005F0E9E" w:rsidRPr="000370D0" w:rsidRDefault="005F0E9E">
            <w:pPr>
              <w:pStyle w:val="CETBodytext"/>
              <w:jc w:val="center"/>
              <w:rPr>
                <w:lang w:val="en-GB"/>
              </w:rPr>
            </w:pPr>
          </w:p>
        </w:tc>
        <w:tc>
          <w:tcPr>
            <w:tcW w:w="1416" w:type="dxa"/>
            <w:tcBorders>
              <w:top w:val="single" w:sz="6" w:space="0" w:color="008000"/>
              <w:bottom w:val="single" w:sz="6" w:space="0" w:color="008000"/>
            </w:tcBorders>
            <w:shd w:val="clear" w:color="auto" w:fill="FFFFFF"/>
            <w:vAlign w:val="center"/>
          </w:tcPr>
          <w:p w:rsidR="005F0E9E" w:rsidRPr="000370D0" w:rsidRDefault="00336FE7">
            <w:pPr>
              <w:pStyle w:val="CETBodytext"/>
              <w:ind w:right="-1"/>
              <w:jc w:val="center"/>
              <w:rPr>
                <w:rFonts w:ascii="Calibri" w:hAnsi="Calibri" w:cs="Calibri"/>
                <w:sz w:val="22"/>
                <w:szCs w:val="22"/>
              </w:rPr>
            </w:pPr>
            <w:r w:rsidRPr="000370D0">
              <w:rPr>
                <w:rFonts w:ascii="Calibri" w:hAnsi="Calibri" w:cs="Calibri"/>
                <w:sz w:val="22"/>
                <w:szCs w:val="22"/>
              </w:rPr>
              <w:t>Short</w:t>
            </w:r>
          </w:p>
          <w:p w:rsidR="005F0E9E" w:rsidRPr="000370D0" w:rsidRDefault="005F0E9E">
            <w:pPr>
              <w:pStyle w:val="CETBodytext"/>
              <w:ind w:right="-1"/>
              <w:jc w:val="center"/>
              <w:rPr>
                <w:rFonts w:cs="Arial"/>
                <w:szCs w:val="18"/>
                <w:lang w:val="en-GB"/>
              </w:rPr>
            </w:pPr>
          </w:p>
        </w:tc>
        <w:tc>
          <w:tcPr>
            <w:tcW w:w="1417" w:type="dxa"/>
            <w:tcBorders>
              <w:top w:val="single" w:sz="6" w:space="0" w:color="008000"/>
              <w:bottom w:val="single" w:sz="6" w:space="0" w:color="008000"/>
            </w:tcBorders>
            <w:shd w:val="clear" w:color="auto" w:fill="FFFFFF"/>
            <w:vAlign w:val="center"/>
          </w:tcPr>
          <w:p w:rsidR="005F0E9E" w:rsidRPr="000370D0" w:rsidRDefault="00336FE7">
            <w:pPr>
              <w:pStyle w:val="CETBodytext"/>
              <w:ind w:right="-1"/>
              <w:jc w:val="center"/>
              <w:rPr>
                <w:rFonts w:ascii="Calibri" w:hAnsi="Calibri" w:cs="Calibri"/>
                <w:sz w:val="22"/>
                <w:szCs w:val="22"/>
              </w:rPr>
            </w:pPr>
            <w:r w:rsidRPr="000370D0">
              <w:rPr>
                <w:rFonts w:ascii="Calibri" w:hAnsi="Calibri" w:cs="Calibri"/>
                <w:sz w:val="22"/>
                <w:szCs w:val="22"/>
              </w:rPr>
              <w:t>Pleasant</w:t>
            </w:r>
          </w:p>
          <w:p w:rsidR="005F0E9E" w:rsidRPr="000370D0" w:rsidRDefault="005F0E9E">
            <w:pPr>
              <w:pStyle w:val="CETBodytext"/>
              <w:ind w:right="-1"/>
              <w:jc w:val="center"/>
              <w:rPr>
                <w:rFonts w:cs="Arial"/>
                <w:szCs w:val="18"/>
                <w:lang w:val="en-GB"/>
              </w:rPr>
            </w:pPr>
          </w:p>
        </w:tc>
        <w:tc>
          <w:tcPr>
            <w:tcW w:w="1562" w:type="dxa"/>
            <w:tcBorders>
              <w:top w:val="single" w:sz="6" w:space="0" w:color="008000"/>
              <w:bottom w:val="single" w:sz="6" w:space="0" w:color="008000"/>
            </w:tcBorders>
            <w:shd w:val="clear" w:color="auto" w:fill="FFFFFF"/>
            <w:vAlign w:val="center"/>
          </w:tcPr>
          <w:p w:rsidR="005F0E9E" w:rsidRPr="000370D0" w:rsidRDefault="00336FE7">
            <w:pPr>
              <w:pStyle w:val="CETBodytext"/>
              <w:ind w:right="-1"/>
              <w:jc w:val="center"/>
              <w:rPr>
                <w:rFonts w:ascii="Calibri" w:hAnsi="Calibri" w:cs="Calibri"/>
                <w:sz w:val="22"/>
                <w:szCs w:val="22"/>
              </w:rPr>
            </w:pPr>
            <w:r w:rsidRPr="000370D0">
              <w:rPr>
                <w:rFonts w:ascii="Calibri" w:hAnsi="Calibri" w:cs="Calibri"/>
                <w:sz w:val="22"/>
                <w:szCs w:val="22"/>
              </w:rPr>
              <w:t>Low</w:t>
            </w:r>
          </w:p>
          <w:p w:rsidR="005F0E9E" w:rsidRPr="000370D0" w:rsidRDefault="005F0E9E">
            <w:pPr>
              <w:pStyle w:val="CETBodytext"/>
              <w:ind w:right="-1"/>
              <w:jc w:val="center"/>
              <w:rPr>
                <w:rFonts w:cs="Arial"/>
                <w:szCs w:val="18"/>
                <w:lang w:val="en-GB"/>
              </w:rPr>
            </w:pPr>
          </w:p>
        </w:tc>
      </w:tr>
      <w:tr w:rsidR="000370D0" w:rsidRPr="000370D0">
        <w:tc>
          <w:tcPr>
            <w:tcW w:w="1417" w:type="dxa"/>
            <w:tcBorders>
              <w:bottom w:val="single" w:sz="12" w:space="0" w:color="008000"/>
            </w:tcBorders>
            <w:shd w:val="clear" w:color="auto" w:fill="FFFFFF"/>
            <w:vAlign w:val="center"/>
          </w:tcPr>
          <w:p w:rsidR="005F0E9E" w:rsidRPr="000370D0" w:rsidRDefault="005F0E9E">
            <w:pPr>
              <w:pStyle w:val="CETBodytext"/>
              <w:ind w:right="-1"/>
              <w:rPr>
                <w:rFonts w:cs="Arial"/>
                <w:szCs w:val="18"/>
                <w:lang w:val="en-GB"/>
              </w:rPr>
            </w:pPr>
          </w:p>
        </w:tc>
        <w:tc>
          <w:tcPr>
            <w:tcW w:w="1416" w:type="dxa"/>
            <w:tcBorders>
              <w:top w:val="single" w:sz="6" w:space="0" w:color="008000"/>
              <w:bottom w:val="single" w:sz="12" w:space="0" w:color="008000"/>
            </w:tcBorders>
            <w:shd w:val="clear" w:color="auto" w:fill="FFFFFF"/>
            <w:vAlign w:val="center"/>
          </w:tcPr>
          <w:p w:rsidR="005F0E9E" w:rsidRPr="000370D0" w:rsidRDefault="00336FE7">
            <w:pPr>
              <w:pStyle w:val="CETBodytext"/>
              <w:ind w:right="-1"/>
              <w:jc w:val="center"/>
              <w:rPr>
                <w:rFonts w:ascii="Calibri" w:hAnsi="Calibri" w:cs="Calibri"/>
                <w:sz w:val="22"/>
                <w:szCs w:val="22"/>
              </w:rPr>
            </w:pPr>
            <w:r w:rsidRPr="000370D0">
              <w:rPr>
                <w:rFonts w:ascii="Calibri" w:hAnsi="Calibri" w:cs="Calibri"/>
                <w:sz w:val="22"/>
                <w:szCs w:val="22"/>
              </w:rPr>
              <w:t>Very rare</w:t>
            </w:r>
          </w:p>
          <w:p w:rsidR="005F0E9E" w:rsidRPr="000370D0" w:rsidRDefault="005F0E9E">
            <w:pPr>
              <w:pStyle w:val="CETBodytext"/>
              <w:ind w:right="-1"/>
              <w:jc w:val="center"/>
              <w:rPr>
                <w:rFonts w:cs="Arial"/>
                <w:szCs w:val="18"/>
                <w:lang w:val="en-GB"/>
              </w:rPr>
            </w:pPr>
          </w:p>
        </w:tc>
        <w:tc>
          <w:tcPr>
            <w:tcW w:w="1417" w:type="dxa"/>
            <w:tcBorders>
              <w:top w:val="single" w:sz="6" w:space="0" w:color="008000"/>
              <w:bottom w:val="single" w:sz="12" w:space="0" w:color="008000"/>
            </w:tcBorders>
            <w:shd w:val="clear" w:color="auto" w:fill="FFFFFF"/>
            <w:vAlign w:val="center"/>
          </w:tcPr>
          <w:p w:rsidR="005F0E9E" w:rsidRPr="000370D0" w:rsidRDefault="00336FE7">
            <w:pPr>
              <w:pStyle w:val="CETBodytext"/>
              <w:ind w:right="-1"/>
              <w:jc w:val="center"/>
              <w:rPr>
                <w:rFonts w:ascii="Calibri" w:hAnsi="Calibri" w:cs="Calibri"/>
                <w:sz w:val="22"/>
                <w:szCs w:val="22"/>
              </w:rPr>
            </w:pPr>
            <w:r w:rsidRPr="000370D0">
              <w:rPr>
                <w:rFonts w:ascii="Calibri" w:hAnsi="Calibri" w:cs="Calibri"/>
                <w:sz w:val="22"/>
                <w:szCs w:val="22"/>
              </w:rPr>
              <w:t>Very weak</w:t>
            </w:r>
          </w:p>
          <w:p w:rsidR="005F0E9E" w:rsidRPr="000370D0" w:rsidRDefault="005F0E9E">
            <w:pPr>
              <w:pStyle w:val="CETBodytext"/>
              <w:ind w:right="-1"/>
              <w:jc w:val="center"/>
              <w:rPr>
                <w:rFonts w:cs="Arial"/>
                <w:szCs w:val="18"/>
                <w:lang w:val="en-GB"/>
              </w:rPr>
            </w:pPr>
          </w:p>
        </w:tc>
        <w:tc>
          <w:tcPr>
            <w:tcW w:w="1416" w:type="dxa"/>
            <w:tcBorders>
              <w:top w:val="single" w:sz="6" w:space="0" w:color="008000"/>
              <w:bottom w:val="single" w:sz="12" w:space="0" w:color="008000"/>
            </w:tcBorders>
            <w:shd w:val="clear" w:color="auto" w:fill="FFFFFF"/>
            <w:vAlign w:val="center"/>
          </w:tcPr>
          <w:p w:rsidR="005F0E9E" w:rsidRPr="000370D0" w:rsidRDefault="00336FE7">
            <w:pPr>
              <w:pStyle w:val="CETBodytext"/>
              <w:ind w:right="-1"/>
              <w:jc w:val="center"/>
              <w:rPr>
                <w:rFonts w:ascii="Calibri" w:hAnsi="Calibri" w:cs="Calibri"/>
                <w:sz w:val="22"/>
                <w:szCs w:val="22"/>
              </w:rPr>
            </w:pPr>
            <w:r w:rsidRPr="000370D0">
              <w:rPr>
                <w:rFonts w:ascii="Calibri" w:hAnsi="Calibri" w:cs="Calibri"/>
                <w:sz w:val="22"/>
                <w:szCs w:val="22"/>
              </w:rPr>
              <w:t>Very short</w:t>
            </w:r>
          </w:p>
          <w:p w:rsidR="005F0E9E" w:rsidRPr="000370D0" w:rsidRDefault="005F0E9E">
            <w:pPr>
              <w:pStyle w:val="CETBodytext"/>
              <w:ind w:right="-1"/>
              <w:jc w:val="center"/>
              <w:rPr>
                <w:rFonts w:cs="Arial"/>
                <w:szCs w:val="18"/>
                <w:lang w:val="en-GB"/>
              </w:rPr>
            </w:pPr>
          </w:p>
        </w:tc>
        <w:tc>
          <w:tcPr>
            <w:tcW w:w="1417" w:type="dxa"/>
            <w:tcBorders>
              <w:top w:val="single" w:sz="6" w:space="0" w:color="008000"/>
              <w:bottom w:val="single" w:sz="12" w:space="0" w:color="008000"/>
            </w:tcBorders>
            <w:shd w:val="clear" w:color="auto" w:fill="FFFFFF"/>
            <w:vAlign w:val="center"/>
          </w:tcPr>
          <w:p w:rsidR="005F0E9E" w:rsidRPr="000370D0" w:rsidRDefault="00336FE7">
            <w:pPr>
              <w:pStyle w:val="CETBodytext"/>
              <w:ind w:right="-1"/>
              <w:jc w:val="center"/>
              <w:rPr>
                <w:rFonts w:ascii="Calibri" w:hAnsi="Calibri" w:cs="Calibri"/>
                <w:sz w:val="22"/>
                <w:szCs w:val="22"/>
              </w:rPr>
            </w:pPr>
            <w:r w:rsidRPr="000370D0">
              <w:rPr>
                <w:rFonts w:ascii="Calibri" w:hAnsi="Calibri" w:cs="Calibri"/>
                <w:sz w:val="22"/>
                <w:szCs w:val="22"/>
              </w:rPr>
              <w:t>Very pleasant</w:t>
            </w:r>
          </w:p>
          <w:p w:rsidR="005F0E9E" w:rsidRPr="000370D0" w:rsidRDefault="005F0E9E">
            <w:pPr>
              <w:pStyle w:val="CETBodytext"/>
              <w:ind w:right="-1"/>
              <w:jc w:val="center"/>
              <w:rPr>
                <w:rFonts w:cs="Arial"/>
                <w:szCs w:val="18"/>
                <w:lang w:val="en-GB"/>
              </w:rPr>
            </w:pPr>
          </w:p>
        </w:tc>
        <w:tc>
          <w:tcPr>
            <w:tcW w:w="1562" w:type="dxa"/>
            <w:tcBorders>
              <w:top w:val="single" w:sz="6" w:space="0" w:color="008000"/>
              <w:bottom w:val="single" w:sz="12" w:space="0" w:color="008000"/>
            </w:tcBorders>
            <w:shd w:val="clear" w:color="auto" w:fill="FFFFFF"/>
            <w:vAlign w:val="center"/>
          </w:tcPr>
          <w:p w:rsidR="005F0E9E" w:rsidRPr="000370D0" w:rsidRDefault="00336FE7">
            <w:pPr>
              <w:pStyle w:val="CETBodytext"/>
              <w:ind w:right="-1"/>
              <w:jc w:val="center"/>
              <w:rPr>
                <w:rFonts w:ascii="Calibri" w:hAnsi="Calibri" w:cs="Calibri"/>
                <w:sz w:val="22"/>
                <w:szCs w:val="22"/>
              </w:rPr>
            </w:pPr>
            <w:r w:rsidRPr="000370D0">
              <w:rPr>
                <w:rFonts w:ascii="Calibri" w:hAnsi="Calibri" w:cs="Calibri"/>
                <w:sz w:val="22"/>
                <w:szCs w:val="22"/>
              </w:rPr>
              <w:t>Very low</w:t>
            </w:r>
          </w:p>
          <w:p w:rsidR="005F0E9E" w:rsidRPr="000370D0" w:rsidRDefault="005F0E9E">
            <w:pPr>
              <w:pStyle w:val="CETBodytext"/>
              <w:ind w:right="-1"/>
              <w:jc w:val="center"/>
              <w:rPr>
                <w:rFonts w:cs="Arial"/>
                <w:szCs w:val="18"/>
                <w:lang w:val="en-GB"/>
              </w:rPr>
            </w:pPr>
          </w:p>
        </w:tc>
      </w:tr>
    </w:tbl>
    <w:p w:rsidR="005F0E9E" w:rsidRPr="000370D0" w:rsidRDefault="005F0E9E">
      <w:pPr>
        <w:pStyle w:val="CETBodytext"/>
        <w:rPr>
          <w:lang w:val="en-GB"/>
        </w:rPr>
      </w:pPr>
    </w:p>
    <w:p w:rsidR="001C06B1" w:rsidRPr="000370D0" w:rsidRDefault="001C06B1" w:rsidP="001C06B1">
      <w:pPr>
        <w:pStyle w:val="CETBodytext"/>
        <w:rPr>
          <w:lang w:val="en-GB"/>
        </w:rPr>
      </w:pPr>
      <w:r w:rsidRPr="000370D0">
        <w:rPr>
          <w:lang w:val="en-GB"/>
        </w:rPr>
        <w:lastRenderedPageBreak/>
        <w:t xml:space="preserve">Five levels </w:t>
      </w:r>
      <w:proofErr w:type="gramStart"/>
      <w:r w:rsidRPr="000370D0">
        <w:rPr>
          <w:lang w:val="en-GB"/>
        </w:rPr>
        <w:t>are retained</w:t>
      </w:r>
      <w:proofErr w:type="gramEnd"/>
      <w:r w:rsidR="008A10DC">
        <w:rPr>
          <w:lang w:val="en-GB"/>
        </w:rPr>
        <w:t>,</w:t>
      </w:r>
      <w:r w:rsidRPr="000370D0">
        <w:rPr>
          <w:lang w:val="en-GB"/>
        </w:rPr>
        <w:t xml:space="preserve"> </w:t>
      </w:r>
      <w:r w:rsidR="008A10DC">
        <w:rPr>
          <w:lang w:val="en-GB"/>
        </w:rPr>
        <w:t xml:space="preserve">in Table 2, </w:t>
      </w:r>
      <w:r w:rsidRPr="000370D0">
        <w:rPr>
          <w:lang w:val="en-GB"/>
        </w:rPr>
        <w:t>to e</w:t>
      </w:r>
      <w:r w:rsidR="008A10DC">
        <w:rPr>
          <w:lang w:val="en-GB"/>
        </w:rPr>
        <w:t>stimate the difference between</w:t>
      </w:r>
      <w:r w:rsidRPr="000370D0">
        <w:rPr>
          <w:lang w:val="en-GB"/>
        </w:rPr>
        <w:t xml:space="preserve"> feelings. If a scale presents too many levels (10 for example), </w:t>
      </w:r>
      <w:proofErr w:type="gramStart"/>
      <w:r w:rsidRPr="000370D0">
        <w:rPr>
          <w:lang w:val="en-GB"/>
        </w:rPr>
        <w:t>it’s</w:t>
      </w:r>
      <w:proofErr w:type="gramEnd"/>
      <w:r w:rsidRPr="000370D0">
        <w:rPr>
          <w:lang w:val="en-GB"/>
        </w:rPr>
        <w:t xml:space="preserve"> then difficult to choose between too close level. By reducing the number of level, the precision seems lower but the stability for the same situation must be better.</w:t>
      </w:r>
    </w:p>
    <w:p w:rsidR="005F0E9E" w:rsidRPr="000370D0" w:rsidRDefault="00336FE7">
      <w:pPr>
        <w:pStyle w:val="CETBodytext"/>
        <w:rPr>
          <w:lang w:val="en-GB"/>
        </w:rPr>
      </w:pPr>
      <w:r w:rsidRPr="000370D0">
        <w:rPr>
          <w:lang w:val="en-GB"/>
        </w:rPr>
        <w:t xml:space="preserve">These factors are based on perception at a </w:t>
      </w:r>
      <w:proofErr w:type="gramStart"/>
      <w:r w:rsidRPr="000370D0">
        <w:rPr>
          <w:lang w:val="en-GB"/>
        </w:rPr>
        <w:t>period of time</w:t>
      </w:r>
      <w:proofErr w:type="gramEnd"/>
      <w:r w:rsidRPr="000370D0">
        <w:rPr>
          <w:lang w:val="en-GB"/>
        </w:rPr>
        <w:t xml:space="preserve"> and because the boundary between perception and judgment is very narrow, the answers are probably more reflecting the feeling of the human exposed to malodorous atmosphere.</w:t>
      </w:r>
    </w:p>
    <w:p w:rsidR="005F0E9E" w:rsidRPr="000370D0" w:rsidRDefault="005F0E9E">
      <w:pPr>
        <w:pStyle w:val="CETBodytext"/>
        <w:rPr>
          <w:lang w:val="en-GB"/>
        </w:rPr>
      </w:pPr>
    </w:p>
    <w:p w:rsidR="005F0E9E" w:rsidRPr="000370D0" w:rsidRDefault="00336FE7">
      <w:pPr>
        <w:pStyle w:val="CETBodytext"/>
        <w:rPr>
          <w:lang w:val="en-GB"/>
        </w:rPr>
      </w:pPr>
      <w:proofErr w:type="gramStart"/>
      <w:r w:rsidRPr="000370D0">
        <w:rPr>
          <w:lang w:val="en-GB"/>
        </w:rPr>
        <w:t>So</w:t>
      </w:r>
      <w:proofErr w:type="gramEnd"/>
      <w:r w:rsidRPr="000370D0">
        <w:rPr>
          <w:lang w:val="en-GB"/>
        </w:rPr>
        <w:t xml:space="preserve">, within the frame of this full objective approach, the methodology must define if the five levels are sufficient to quantify each factor. Then, it is necessary to identify if the methodology for aggregating factors to give a global answer can be limited to five levels (as example shown in Table 3) or </w:t>
      </w:r>
      <w:proofErr w:type="gramStart"/>
      <w:r w:rsidRPr="000370D0">
        <w:rPr>
          <w:lang w:val="en-GB"/>
        </w:rPr>
        <w:t>must be placed</w:t>
      </w:r>
      <w:proofErr w:type="gramEnd"/>
      <w:r w:rsidRPr="000370D0">
        <w:rPr>
          <w:lang w:val="en-GB"/>
        </w:rPr>
        <w:t xml:space="preserve"> on a </w:t>
      </w:r>
      <w:r w:rsidR="00A40722" w:rsidRPr="000370D0">
        <w:rPr>
          <w:lang w:val="en-GB"/>
        </w:rPr>
        <w:t>more defined scale with higher n</w:t>
      </w:r>
      <w:r w:rsidRPr="000370D0">
        <w:rPr>
          <w:lang w:val="en-GB"/>
        </w:rPr>
        <w:t>umber of levels.</w:t>
      </w:r>
    </w:p>
    <w:p w:rsidR="005F0E9E" w:rsidRPr="000370D0" w:rsidRDefault="00336FE7">
      <w:pPr>
        <w:pStyle w:val="CETTabletitle"/>
      </w:pPr>
      <w:r w:rsidRPr="000370D0">
        <w:t>Table 3: Global answer integrating the five factors to describe impact assessment with five integrated qualitative levels</w:t>
      </w:r>
    </w:p>
    <w:tbl>
      <w:tblPr>
        <w:tblW w:w="8646" w:type="dxa"/>
        <w:tblBorders>
          <w:top w:val="single" w:sz="12" w:space="0" w:color="008000"/>
          <w:bottom w:val="single" w:sz="6" w:space="0" w:color="008000"/>
          <w:insideH w:val="single" w:sz="6" w:space="0" w:color="008000"/>
        </w:tblBorders>
        <w:tblCellMar>
          <w:left w:w="0" w:type="dxa"/>
          <w:right w:w="0" w:type="dxa"/>
        </w:tblCellMar>
        <w:tblLook w:val="04A0" w:firstRow="1" w:lastRow="0" w:firstColumn="1" w:lastColumn="0" w:noHBand="0" w:noVBand="1"/>
      </w:tblPr>
      <w:tblGrid>
        <w:gridCol w:w="1418"/>
        <w:gridCol w:w="1416"/>
        <w:gridCol w:w="1417"/>
        <w:gridCol w:w="1416"/>
        <w:gridCol w:w="1417"/>
        <w:gridCol w:w="1562"/>
      </w:tblGrid>
      <w:tr w:rsidR="000370D0" w:rsidRPr="000370D0">
        <w:tc>
          <w:tcPr>
            <w:tcW w:w="1417" w:type="dxa"/>
            <w:tcBorders>
              <w:top w:val="single" w:sz="12" w:space="0" w:color="008000"/>
              <w:bottom w:val="single" w:sz="6" w:space="0" w:color="008000"/>
            </w:tcBorders>
            <w:shd w:val="clear" w:color="auto" w:fill="FFFFFF"/>
            <w:vAlign w:val="center"/>
          </w:tcPr>
          <w:p w:rsidR="005F0E9E" w:rsidRPr="000370D0" w:rsidRDefault="005F0E9E">
            <w:pPr>
              <w:pStyle w:val="CETBodytext"/>
              <w:rPr>
                <w:lang w:val="en-GB"/>
              </w:rPr>
            </w:pPr>
          </w:p>
        </w:tc>
        <w:tc>
          <w:tcPr>
            <w:tcW w:w="1416" w:type="dxa"/>
            <w:tcBorders>
              <w:top w:val="single" w:sz="12" w:space="0" w:color="008000"/>
              <w:bottom w:val="single" w:sz="6" w:space="0" w:color="008000"/>
            </w:tcBorders>
            <w:shd w:val="clear" w:color="auto" w:fill="FFFFFF"/>
            <w:vAlign w:val="center"/>
          </w:tcPr>
          <w:p w:rsidR="005F0E9E" w:rsidRPr="000370D0" w:rsidRDefault="00336FE7">
            <w:pPr>
              <w:pStyle w:val="CETBodytext"/>
              <w:jc w:val="center"/>
              <w:rPr>
                <w:i/>
                <w:lang w:val="en-GB"/>
              </w:rPr>
            </w:pPr>
            <w:r w:rsidRPr="000370D0">
              <w:rPr>
                <w:rFonts w:ascii="Calibri" w:hAnsi="Calibri" w:cs="Calibri"/>
                <w:bCs/>
                <w:i/>
                <w:sz w:val="22"/>
                <w:szCs w:val="22"/>
              </w:rPr>
              <w:t>Lowest global Impact</w:t>
            </w:r>
          </w:p>
        </w:tc>
        <w:tc>
          <w:tcPr>
            <w:tcW w:w="1417" w:type="dxa"/>
            <w:tcBorders>
              <w:top w:val="single" w:sz="12" w:space="0" w:color="008000"/>
              <w:bottom w:val="single" w:sz="6" w:space="0" w:color="008000"/>
            </w:tcBorders>
            <w:shd w:val="clear" w:color="auto" w:fill="FFFFFF"/>
            <w:vAlign w:val="center"/>
          </w:tcPr>
          <w:p w:rsidR="005F0E9E" w:rsidRPr="000370D0" w:rsidRDefault="005F0E9E">
            <w:pPr>
              <w:pStyle w:val="CETBodytext"/>
              <w:jc w:val="center"/>
              <w:rPr>
                <w:i/>
                <w:lang w:val="en-GB"/>
              </w:rPr>
            </w:pPr>
          </w:p>
        </w:tc>
        <w:tc>
          <w:tcPr>
            <w:tcW w:w="1416" w:type="dxa"/>
            <w:tcBorders>
              <w:top w:val="single" w:sz="12" w:space="0" w:color="008000"/>
              <w:bottom w:val="single" w:sz="6" w:space="0" w:color="008000"/>
            </w:tcBorders>
            <w:shd w:val="clear" w:color="auto" w:fill="FFFFFF"/>
            <w:vAlign w:val="center"/>
          </w:tcPr>
          <w:p w:rsidR="005F0E9E" w:rsidRPr="000370D0" w:rsidRDefault="005F0E9E">
            <w:pPr>
              <w:pStyle w:val="CETBodytext"/>
              <w:ind w:right="-1"/>
              <w:jc w:val="center"/>
              <w:rPr>
                <w:rFonts w:cs="Arial"/>
                <w:i/>
                <w:szCs w:val="18"/>
                <w:lang w:val="en-GB"/>
              </w:rPr>
            </w:pPr>
          </w:p>
        </w:tc>
        <w:tc>
          <w:tcPr>
            <w:tcW w:w="1417" w:type="dxa"/>
            <w:tcBorders>
              <w:top w:val="single" w:sz="12" w:space="0" w:color="008000"/>
              <w:bottom w:val="single" w:sz="6" w:space="0" w:color="008000"/>
            </w:tcBorders>
            <w:shd w:val="clear" w:color="auto" w:fill="FFFFFF"/>
            <w:vAlign w:val="center"/>
          </w:tcPr>
          <w:p w:rsidR="005F0E9E" w:rsidRPr="000370D0" w:rsidRDefault="005F0E9E">
            <w:pPr>
              <w:pStyle w:val="CETBodytext"/>
              <w:ind w:right="-1"/>
              <w:jc w:val="center"/>
              <w:rPr>
                <w:rFonts w:cs="Arial"/>
                <w:i/>
                <w:szCs w:val="18"/>
                <w:lang w:val="en-GB"/>
              </w:rPr>
            </w:pPr>
          </w:p>
        </w:tc>
        <w:tc>
          <w:tcPr>
            <w:tcW w:w="1562" w:type="dxa"/>
            <w:tcBorders>
              <w:top w:val="single" w:sz="12" w:space="0" w:color="008000"/>
              <w:bottom w:val="single" w:sz="6" w:space="0" w:color="008000"/>
            </w:tcBorders>
            <w:shd w:val="clear" w:color="auto" w:fill="FFFFFF"/>
            <w:vAlign w:val="center"/>
          </w:tcPr>
          <w:p w:rsidR="005F0E9E" w:rsidRPr="000370D0" w:rsidRDefault="00336FE7">
            <w:pPr>
              <w:pStyle w:val="CETBodytext"/>
              <w:ind w:right="-1"/>
              <w:jc w:val="center"/>
              <w:rPr>
                <w:rFonts w:cs="Arial"/>
                <w:i/>
                <w:szCs w:val="18"/>
                <w:lang w:val="en-GB"/>
              </w:rPr>
            </w:pPr>
            <w:r w:rsidRPr="000370D0">
              <w:rPr>
                <w:rFonts w:ascii="Calibri" w:hAnsi="Calibri" w:cs="Calibri"/>
                <w:bCs/>
                <w:i/>
                <w:sz w:val="22"/>
                <w:szCs w:val="22"/>
              </w:rPr>
              <w:t>Highest global impact</w:t>
            </w:r>
          </w:p>
        </w:tc>
      </w:tr>
      <w:tr w:rsidR="000370D0" w:rsidRPr="000370D0" w:rsidTr="00183926">
        <w:tc>
          <w:tcPr>
            <w:tcW w:w="1417" w:type="dxa"/>
            <w:shd w:val="clear" w:color="auto" w:fill="FFFFFF"/>
            <w:vAlign w:val="center"/>
          </w:tcPr>
          <w:p w:rsidR="005F0E9E" w:rsidRPr="000370D0" w:rsidRDefault="00336FE7">
            <w:pPr>
              <w:pStyle w:val="CETBodytext"/>
              <w:jc w:val="center"/>
              <w:rPr>
                <w:rFonts w:ascii="Calibri" w:hAnsi="Calibri" w:cs="Calibri"/>
                <w:i/>
                <w:sz w:val="22"/>
                <w:szCs w:val="22"/>
              </w:rPr>
            </w:pPr>
            <w:r w:rsidRPr="000370D0">
              <w:rPr>
                <w:rFonts w:ascii="Calibri" w:hAnsi="Calibri" w:cs="Calibri"/>
                <w:i/>
                <w:sz w:val="22"/>
                <w:szCs w:val="22"/>
              </w:rPr>
              <w:t>Integrated levels</w:t>
            </w:r>
          </w:p>
        </w:tc>
        <w:tc>
          <w:tcPr>
            <w:tcW w:w="1416" w:type="dxa"/>
            <w:tcBorders>
              <w:top w:val="single" w:sz="6" w:space="0" w:color="008000"/>
              <w:bottom w:val="single" w:sz="6" w:space="0" w:color="008000"/>
            </w:tcBorders>
            <w:shd w:val="clear" w:color="auto" w:fill="FFFFFF"/>
            <w:vAlign w:val="center"/>
          </w:tcPr>
          <w:p w:rsidR="005F0E9E" w:rsidRPr="000370D0" w:rsidRDefault="00336FE7">
            <w:pPr>
              <w:pStyle w:val="CETBodytext"/>
              <w:jc w:val="center"/>
              <w:rPr>
                <w:rFonts w:ascii="Calibri" w:hAnsi="Calibri" w:cs="Calibri"/>
                <w:i/>
                <w:sz w:val="22"/>
                <w:szCs w:val="22"/>
              </w:rPr>
            </w:pPr>
            <w:r w:rsidRPr="000370D0">
              <w:rPr>
                <w:rFonts w:ascii="Calibri" w:hAnsi="Calibri" w:cs="Calibri"/>
                <w:i/>
                <w:sz w:val="22"/>
                <w:szCs w:val="22"/>
              </w:rPr>
              <w:t>Mild</w:t>
            </w:r>
          </w:p>
          <w:p w:rsidR="005F0E9E" w:rsidRPr="000370D0" w:rsidRDefault="005F0E9E">
            <w:pPr>
              <w:pStyle w:val="CETBodytext"/>
              <w:jc w:val="center"/>
              <w:rPr>
                <w:lang w:val="en-GB"/>
              </w:rPr>
            </w:pPr>
          </w:p>
        </w:tc>
        <w:tc>
          <w:tcPr>
            <w:tcW w:w="1417" w:type="dxa"/>
            <w:tcBorders>
              <w:top w:val="single" w:sz="6" w:space="0" w:color="008000"/>
              <w:bottom w:val="single" w:sz="6" w:space="0" w:color="008000"/>
            </w:tcBorders>
            <w:shd w:val="clear" w:color="auto" w:fill="FFFFFF"/>
            <w:vAlign w:val="center"/>
          </w:tcPr>
          <w:p w:rsidR="005F0E9E" w:rsidRPr="000370D0" w:rsidRDefault="00336FE7">
            <w:pPr>
              <w:pStyle w:val="CETBodytext"/>
              <w:jc w:val="center"/>
              <w:rPr>
                <w:rFonts w:ascii="Calibri" w:hAnsi="Calibri" w:cs="Calibri"/>
                <w:i/>
                <w:sz w:val="22"/>
                <w:szCs w:val="22"/>
              </w:rPr>
            </w:pPr>
            <w:r w:rsidRPr="000370D0">
              <w:rPr>
                <w:rFonts w:ascii="Calibri" w:hAnsi="Calibri" w:cs="Calibri"/>
                <w:i/>
                <w:sz w:val="22"/>
                <w:szCs w:val="22"/>
              </w:rPr>
              <w:t>Moderate</w:t>
            </w:r>
          </w:p>
          <w:p w:rsidR="005F0E9E" w:rsidRPr="000370D0" w:rsidRDefault="005F0E9E">
            <w:pPr>
              <w:pStyle w:val="CETBodytext"/>
              <w:jc w:val="center"/>
              <w:rPr>
                <w:lang w:val="en-GB"/>
              </w:rPr>
            </w:pPr>
          </w:p>
        </w:tc>
        <w:tc>
          <w:tcPr>
            <w:tcW w:w="1416" w:type="dxa"/>
            <w:tcBorders>
              <w:top w:val="single" w:sz="6" w:space="0" w:color="008000"/>
              <w:bottom w:val="single" w:sz="6" w:space="0" w:color="008000"/>
            </w:tcBorders>
            <w:shd w:val="clear" w:color="auto" w:fill="FFFFFF"/>
            <w:vAlign w:val="center"/>
          </w:tcPr>
          <w:p w:rsidR="005F0E9E" w:rsidRPr="000370D0" w:rsidRDefault="00336FE7">
            <w:pPr>
              <w:pStyle w:val="CETBodytext"/>
              <w:jc w:val="center"/>
              <w:rPr>
                <w:rFonts w:ascii="Calibri" w:hAnsi="Calibri" w:cs="Calibri"/>
                <w:i/>
                <w:sz w:val="22"/>
                <w:szCs w:val="22"/>
              </w:rPr>
            </w:pPr>
            <w:r w:rsidRPr="000370D0">
              <w:rPr>
                <w:rFonts w:ascii="Calibri" w:hAnsi="Calibri" w:cs="Calibri"/>
                <w:i/>
                <w:sz w:val="22"/>
                <w:szCs w:val="22"/>
              </w:rPr>
              <w:t>Severe</w:t>
            </w:r>
          </w:p>
          <w:p w:rsidR="005F0E9E" w:rsidRPr="000370D0" w:rsidRDefault="005F0E9E">
            <w:pPr>
              <w:pStyle w:val="CETBodytext"/>
              <w:ind w:right="-1"/>
              <w:jc w:val="center"/>
              <w:rPr>
                <w:rFonts w:cs="Arial"/>
                <w:szCs w:val="18"/>
                <w:lang w:val="en-GB"/>
              </w:rPr>
            </w:pPr>
          </w:p>
        </w:tc>
        <w:tc>
          <w:tcPr>
            <w:tcW w:w="1417" w:type="dxa"/>
            <w:tcBorders>
              <w:top w:val="single" w:sz="6" w:space="0" w:color="008000"/>
              <w:bottom w:val="single" w:sz="6" w:space="0" w:color="008000"/>
            </w:tcBorders>
            <w:shd w:val="clear" w:color="auto" w:fill="FFFFFF"/>
            <w:vAlign w:val="center"/>
          </w:tcPr>
          <w:p w:rsidR="005F0E9E" w:rsidRPr="000370D0" w:rsidRDefault="00336FE7">
            <w:pPr>
              <w:pStyle w:val="CETBodytext"/>
              <w:jc w:val="center"/>
              <w:rPr>
                <w:rFonts w:ascii="Calibri" w:hAnsi="Calibri" w:cs="Calibri"/>
                <w:i/>
                <w:sz w:val="22"/>
                <w:szCs w:val="22"/>
              </w:rPr>
            </w:pPr>
            <w:r w:rsidRPr="000370D0">
              <w:rPr>
                <w:rFonts w:ascii="Calibri" w:hAnsi="Calibri" w:cs="Calibri"/>
                <w:i/>
                <w:sz w:val="22"/>
                <w:szCs w:val="22"/>
              </w:rPr>
              <w:t>Very severe</w:t>
            </w:r>
          </w:p>
          <w:p w:rsidR="005F0E9E" w:rsidRPr="000370D0" w:rsidRDefault="005F0E9E">
            <w:pPr>
              <w:pStyle w:val="CETBodytext"/>
              <w:ind w:right="-1"/>
              <w:jc w:val="center"/>
              <w:rPr>
                <w:rFonts w:cs="Arial"/>
                <w:szCs w:val="18"/>
                <w:lang w:val="en-GB"/>
              </w:rPr>
            </w:pPr>
          </w:p>
        </w:tc>
        <w:tc>
          <w:tcPr>
            <w:tcW w:w="1562" w:type="dxa"/>
            <w:tcBorders>
              <w:top w:val="single" w:sz="6" w:space="0" w:color="008000"/>
              <w:bottom w:val="single" w:sz="6" w:space="0" w:color="008000"/>
            </w:tcBorders>
            <w:shd w:val="clear" w:color="auto" w:fill="FFFFFF"/>
            <w:vAlign w:val="center"/>
          </w:tcPr>
          <w:p w:rsidR="005F0E9E" w:rsidRPr="000370D0" w:rsidRDefault="00336FE7">
            <w:pPr>
              <w:pStyle w:val="CETBodytext"/>
              <w:jc w:val="center"/>
              <w:rPr>
                <w:rFonts w:cs="Arial"/>
                <w:szCs w:val="18"/>
                <w:lang w:val="en-GB"/>
              </w:rPr>
            </w:pPr>
            <w:r w:rsidRPr="000370D0">
              <w:rPr>
                <w:rFonts w:ascii="Calibri" w:hAnsi="Calibri" w:cs="Calibri"/>
                <w:i/>
                <w:sz w:val="22"/>
                <w:szCs w:val="22"/>
              </w:rPr>
              <w:t>Extremely horrible</w:t>
            </w:r>
          </w:p>
        </w:tc>
      </w:tr>
      <w:tr w:rsidR="00183926" w:rsidRPr="000370D0">
        <w:tc>
          <w:tcPr>
            <w:tcW w:w="1417" w:type="dxa"/>
            <w:tcBorders>
              <w:bottom w:val="single" w:sz="12" w:space="0" w:color="008000"/>
            </w:tcBorders>
            <w:shd w:val="clear" w:color="auto" w:fill="FFFFFF"/>
            <w:vAlign w:val="center"/>
          </w:tcPr>
          <w:p w:rsidR="00183926" w:rsidRPr="000370D0" w:rsidRDefault="00744B1E">
            <w:pPr>
              <w:pStyle w:val="CETBodytext"/>
              <w:jc w:val="center"/>
              <w:rPr>
                <w:rFonts w:ascii="Calibri" w:hAnsi="Calibri" w:cs="Calibri"/>
                <w:i/>
                <w:sz w:val="22"/>
                <w:szCs w:val="22"/>
              </w:rPr>
            </w:pPr>
            <w:r>
              <w:rPr>
                <w:rFonts w:ascii="Calibri" w:hAnsi="Calibri" w:cs="Calibri"/>
                <w:i/>
                <w:sz w:val="22"/>
                <w:szCs w:val="22"/>
              </w:rPr>
              <w:t>Numerical levels</w:t>
            </w:r>
          </w:p>
        </w:tc>
        <w:tc>
          <w:tcPr>
            <w:tcW w:w="1416" w:type="dxa"/>
            <w:tcBorders>
              <w:top w:val="single" w:sz="6" w:space="0" w:color="008000"/>
              <w:bottom w:val="single" w:sz="12" w:space="0" w:color="008000"/>
            </w:tcBorders>
            <w:shd w:val="clear" w:color="auto" w:fill="FFFFFF"/>
            <w:vAlign w:val="center"/>
          </w:tcPr>
          <w:p w:rsidR="00183926" w:rsidRPr="000370D0" w:rsidRDefault="00744B1E">
            <w:pPr>
              <w:pStyle w:val="CETBodytext"/>
              <w:jc w:val="center"/>
              <w:rPr>
                <w:rFonts w:ascii="Calibri" w:hAnsi="Calibri" w:cs="Calibri"/>
                <w:i/>
                <w:sz w:val="22"/>
                <w:szCs w:val="22"/>
              </w:rPr>
            </w:pPr>
            <w:r>
              <w:rPr>
                <w:rFonts w:ascii="Calibri" w:hAnsi="Calibri" w:cs="Calibri"/>
                <w:i/>
                <w:sz w:val="22"/>
                <w:szCs w:val="22"/>
              </w:rPr>
              <w:t>1</w:t>
            </w:r>
          </w:p>
        </w:tc>
        <w:tc>
          <w:tcPr>
            <w:tcW w:w="1417" w:type="dxa"/>
            <w:tcBorders>
              <w:top w:val="single" w:sz="6" w:space="0" w:color="008000"/>
              <w:bottom w:val="single" w:sz="12" w:space="0" w:color="008000"/>
            </w:tcBorders>
            <w:shd w:val="clear" w:color="auto" w:fill="FFFFFF"/>
            <w:vAlign w:val="center"/>
          </w:tcPr>
          <w:p w:rsidR="00183926" w:rsidRPr="000370D0" w:rsidRDefault="00744B1E">
            <w:pPr>
              <w:pStyle w:val="CETBodytext"/>
              <w:jc w:val="center"/>
              <w:rPr>
                <w:rFonts w:ascii="Calibri" w:hAnsi="Calibri" w:cs="Calibri"/>
                <w:i/>
                <w:sz w:val="22"/>
                <w:szCs w:val="22"/>
              </w:rPr>
            </w:pPr>
            <w:r>
              <w:rPr>
                <w:rFonts w:ascii="Calibri" w:hAnsi="Calibri" w:cs="Calibri"/>
                <w:i/>
                <w:sz w:val="22"/>
                <w:szCs w:val="22"/>
              </w:rPr>
              <w:t>2</w:t>
            </w:r>
          </w:p>
        </w:tc>
        <w:tc>
          <w:tcPr>
            <w:tcW w:w="1416" w:type="dxa"/>
            <w:tcBorders>
              <w:top w:val="single" w:sz="6" w:space="0" w:color="008000"/>
              <w:bottom w:val="single" w:sz="12" w:space="0" w:color="008000"/>
            </w:tcBorders>
            <w:shd w:val="clear" w:color="auto" w:fill="FFFFFF"/>
            <w:vAlign w:val="center"/>
          </w:tcPr>
          <w:p w:rsidR="00183926" w:rsidRPr="000370D0" w:rsidRDefault="00744B1E">
            <w:pPr>
              <w:pStyle w:val="CETBodytext"/>
              <w:jc w:val="center"/>
              <w:rPr>
                <w:rFonts w:ascii="Calibri" w:hAnsi="Calibri" w:cs="Calibri"/>
                <w:i/>
                <w:sz w:val="22"/>
                <w:szCs w:val="22"/>
              </w:rPr>
            </w:pPr>
            <w:r>
              <w:rPr>
                <w:rFonts w:ascii="Calibri" w:hAnsi="Calibri" w:cs="Calibri"/>
                <w:i/>
                <w:sz w:val="22"/>
                <w:szCs w:val="22"/>
              </w:rPr>
              <w:t>3</w:t>
            </w:r>
          </w:p>
        </w:tc>
        <w:tc>
          <w:tcPr>
            <w:tcW w:w="1417" w:type="dxa"/>
            <w:tcBorders>
              <w:top w:val="single" w:sz="6" w:space="0" w:color="008000"/>
              <w:bottom w:val="single" w:sz="12" w:space="0" w:color="008000"/>
            </w:tcBorders>
            <w:shd w:val="clear" w:color="auto" w:fill="FFFFFF"/>
            <w:vAlign w:val="center"/>
          </w:tcPr>
          <w:p w:rsidR="00183926" w:rsidRPr="000370D0" w:rsidRDefault="00744B1E">
            <w:pPr>
              <w:pStyle w:val="CETBodytext"/>
              <w:jc w:val="center"/>
              <w:rPr>
                <w:rFonts w:ascii="Calibri" w:hAnsi="Calibri" w:cs="Calibri"/>
                <w:i/>
                <w:sz w:val="22"/>
                <w:szCs w:val="22"/>
              </w:rPr>
            </w:pPr>
            <w:r>
              <w:rPr>
                <w:rFonts w:ascii="Calibri" w:hAnsi="Calibri" w:cs="Calibri"/>
                <w:i/>
                <w:sz w:val="22"/>
                <w:szCs w:val="22"/>
              </w:rPr>
              <w:t>4</w:t>
            </w:r>
          </w:p>
        </w:tc>
        <w:tc>
          <w:tcPr>
            <w:tcW w:w="1562" w:type="dxa"/>
            <w:tcBorders>
              <w:top w:val="single" w:sz="6" w:space="0" w:color="008000"/>
              <w:bottom w:val="single" w:sz="12" w:space="0" w:color="008000"/>
            </w:tcBorders>
            <w:shd w:val="clear" w:color="auto" w:fill="FFFFFF"/>
            <w:vAlign w:val="center"/>
          </w:tcPr>
          <w:p w:rsidR="00183926" w:rsidRPr="000370D0" w:rsidRDefault="00744B1E">
            <w:pPr>
              <w:pStyle w:val="CETBodytext"/>
              <w:jc w:val="center"/>
              <w:rPr>
                <w:rFonts w:ascii="Calibri" w:hAnsi="Calibri" w:cs="Calibri"/>
                <w:i/>
                <w:sz w:val="22"/>
                <w:szCs w:val="22"/>
              </w:rPr>
            </w:pPr>
            <w:r>
              <w:rPr>
                <w:rFonts w:ascii="Calibri" w:hAnsi="Calibri" w:cs="Calibri"/>
                <w:i/>
                <w:sz w:val="22"/>
                <w:szCs w:val="22"/>
              </w:rPr>
              <w:t>5</w:t>
            </w:r>
          </w:p>
        </w:tc>
      </w:tr>
    </w:tbl>
    <w:p w:rsidR="005F0E9E" w:rsidRPr="000370D0" w:rsidRDefault="005F0E9E">
      <w:pPr>
        <w:pStyle w:val="CETBodytext"/>
        <w:rPr>
          <w:lang w:val="en-GB"/>
        </w:rPr>
      </w:pPr>
    </w:p>
    <w:p w:rsidR="005F0E9E" w:rsidRPr="000370D0" w:rsidRDefault="005F0E9E">
      <w:pPr>
        <w:pStyle w:val="CETBodytext"/>
        <w:rPr>
          <w:lang w:val="en-GB"/>
        </w:rPr>
      </w:pPr>
    </w:p>
    <w:p w:rsidR="005F0E9E" w:rsidRPr="000370D0" w:rsidRDefault="00336FE7">
      <w:pPr>
        <w:pStyle w:val="CETheadingx"/>
        <w:numPr>
          <w:ilvl w:val="2"/>
          <w:numId w:val="1"/>
        </w:numPr>
      </w:pPr>
      <w:r w:rsidRPr="000370D0">
        <w:t xml:space="preserve">Proposed methodology to combine answers </w:t>
      </w:r>
    </w:p>
    <w:p w:rsidR="005F0E9E" w:rsidRPr="000370D0" w:rsidRDefault="005F0E9E">
      <w:pPr>
        <w:pStyle w:val="CETBodytext"/>
        <w:rPr>
          <w:lang w:val="en-GB"/>
        </w:rPr>
      </w:pPr>
    </w:p>
    <w:p w:rsidR="005F0E9E" w:rsidRPr="000370D0" w:rsidRDefault="00336FE7">
      <w:pPr>
        <w:pStyle w:val="CETBodytext"/>
      </w:pPr>
      <w:bookmarkStart w:id="0" w:name="CITEREFGeorgescu-Roegen1936"/>
      <w:bookmarkEnd w:id="0"/>
      <w:r w:rsidRPr="000370D0">
        <w:rPr>
          <w:lang w:val="en-GB"/>
        </w:rPr>
        <w:t>The problem of identifying the global assessment of a situation based on multip</w:t>
      </w:r>
      <w:r w:rsidR="00B94603" w:rsidRPr="000370D0">
        <w:rPr>
          <w:lang w:val="en-GB"/>
        </w:rPr>
        <w:t xml:space="preserve">le factors </w:t>
      </w:r>
      <w:proofErr w:type="gramStart"/>
      <w:r w:rsidR="00B94603" w:rsidRPr="000370D0">
        <w:rPr>
          <w:lang w:val="en-GB"/>
        </w:rPr>
        <w:t>has been studied</w:t>
      </w:r>
      <w:proofErr w:type="gramEnd"/>
      <w:r w:rsidR="00B94603" w:rsidRPr="000370D0">
        <w:rPr>
          <w:lang w:val="en-GB"/>
        </w:rPr>
        <w:t xml:space="preserve"> for</w:t>
      </w:r>
      <w:r w:rsidRPr="000370D0">
        <w:rPr>
          <w:lang w:val="en-GB"/>
        </w:rPr>
        <w:t xml:space="preserve"> years (</w:t>
      </w:r>
      <w:proofErr w:type="spellStart"/>
      <w:r w:rsidR="00753902" w:rsidRPr="000370D0">
        <w:rPr>
          <w:lang w:val="en-GB"/>
        </w:rPr>
        <w:t>Fishburn</w:t>
      </w:r>
      <w:proofErr w:type="spellEnd"/>
      <w:r w:rsidR="00753902" w:rsidRPr="000370D0">
        <w:rPr>
          <w:lang w:val="en-GB"/>
        </w:rPr>
        <w:t xml:space="preserve">, 1970; </w:t>
      </w:r>
      <w:proofErr w:type="spellStart"/>
      <w:r w:rsidR="008343B8" w:rsidRPr="000370D0">
        <w:rPr>
          <w:lang w:val="en-GB"/>
        </w:rPr>
        <w:t>Mardani</w:t>
      </w:r>
      <w:proofErr w:type="spellEnd"/>
      <w:r w:rsidR="008343B8" w:rsidRPr="000370D0">
        <w:rPr>
          <w:lang w:val="en-GB"/>
        </w:rPr>
        <w:t xml:space="preserve"> et al., 2015</w:t>
      </w:r>
      <w:r w:rsidRPr="000370D0">
        <w:rPr>
          <w:lang w:val="en-GB"/>
        </w:rPr>
        <w:t>) and refers to multi-c</w:t>
      </w:r>
      <w:r w:rsidR="00B94603" w:rsidRPr="000370D0">
        <w:rPr>
          <w:lang w:val="en-GB"/>
        </w:rPr>
        <w:t>riteria decision making. Many me</w:t>
      </w:r>
      <w:r w:rsidRPr="000370D0">
        <w:rPr>
          <w:lang w:val="en-GB"/>
        </w:rPr>
        <w:t>thods can be used (</w:t>
      </w:r>
      <w:proofErr w:type="spellStart"/>
      <w:r w:rsidR="00B94603" w:rsidRPr="000370D0">
        <w:rPr>
          <w:lang w:val="en-GB"/>
        </w:rPr>
        <w:t>Mardani</w:t>
      </w:r>
      <w:proofErr w:type="spellEnd"/>
      <w:r w:rsidR="00B94603" w:rsidRPr="000370D0">
        <w:rPr>
          <w:lang w:val="en-GB"/>
        </w:rPr>
        <w:t xml:space="preserve"> et al., 2015</w:t>
      </w:r>
      <w:r w:rsidRPr="000370D0">
        <w:rPr>
          <w:lang w:val="en-GB"/>
        </w:rPr>
        <w:t xml:space="preserve">) to identify such overall assessment function. Lots of them are based on utility </w:t>
      </w:r>
      <w:proofErr w:type="gramStart"/>
      <w:r w:rsidRPr="000370D0">
        <w:rPr>
          <w:lang w:val="en-GB"/>
        </w:rPr>
        <w:t>function which</w:t>
      </w:r>
      <w:proofErr w:type="gramEnd"/>
      <w:r w:rsidRPr="000370D0">
        <w:rPr>
          <w:lang w:val="en-GB"/>
        </w:rPr>
        <w:t xml:space="preserve"> will capture a customer's preference or measure the customer's level of pleasure with a choice. These utilities will differ from one customer to another. This is why the chosen factors do not express a physical dimension but how the customer feels about this dimension and then can express the customer's utility for that dimension. The utilities have then to </w:t>
      </w:r>
      <w:proofErr w:type="gramStart"/>
      <w:r w:rsidRPr="000370D0">
        <w:rPr>
          <w:lang w:val="en-GB"/>
        </w:rPr>
        <w:t>be aggregated</w:t>
      </w:r>
      <w:proofErr w:type="gramEnd"/>
      <w:r w:rsidRPr="000370D0">
        <w:rPr>
          <w:lang w:val="en-GB"/>
        </w:rPr>
        <w:t xml:space="preserve"> to obtain the overall assessment. This overall assessment too may vary from one customer to another, especially if the set of criteria is not sufficient to represent the overall assessment (which means that the final decision also depends on other criteria). Considering that it is not the case, we intend to interview a group of people to find out their feelings on a set of situations, giving both their evaluation on each of the criteria and their overall evaluation. From this data set, we will find the multi-criteria decision technique that best fits the data. Using statistical </w:t>
      </w:r>
      <w:proofErr w:type="gramStart"/>
      <w:r w:rsidRPr="000370D0">
        <w:rPr>
          <w:lang w:val="en-GB"/>
        </w:rPr>
        <w:t>methods</w:t>
      </w:r>
      <w:proofErr w:type="gramEnd"/>
      <w:r w:rsidRPr="000370D0">
        <w:rPr>
          <w:lang w:val="en-GB"/>
        </w:rPr>
        <w:t xml:space="preserve"> we can als</w:t>
      </w:r>
      <w:r w:rsidR="00B94603" w:rsidRPr="000370D0">
        <w:rPr>
          <w:lang w:val="en-GB"/>
        </w:rPr>
        <w:t>o identify conflicts and deduce</w:t>
      </w:r>
      <w:r w:rsidRPr="000370D0">
        <w:rPr>
          <w:lang w:val="en-GB"/>
        </w:rPr>
        <w:t xml:space="preserve"> whether there are one or more aggregation operators, and then whether they all have a similar decision method or </w:t>
      </w:r>
      <w:proofErr w:type="spellStart"/>
      <w:r w:rsidRPr="000370D0">
        <w:rPr>
          <w:lang w:val="en-GB"/>
        </w:rPr>
        <w:t>wether</w:t>
      </w:r>
      <w:proofErr w:type="spellEnd"/>
      <w:r w:rsidRPr="000370D0">
        <w:rPr>
          <w:lang w:val="en-GB"/>
        </w:rPr>
        <w:t xml:space="preserve"> we need to define groups of people according of their decision type. If several groups exist, we then should investigate in order to identify what are the specifics of each group. As the set of criteria and qualitative values are not so important, the result could be a 5-dimensional matrix giving the overall assessment for each possible values of each criteria (i</w:t>
      </w:r>
      <w:r w:rsidRPr="000370D0">
        <w:rPr>
          <w:i/>
          <w:iCs/>
          <w:lang w:val="en-GB"/>
        </w:rPr>
        <w:t xml:space="preserve">.e. </w:t>
      </w:r>
      <w:r w:rsidRPr="000370D0">
        <w:rPr>
          <w:lang w:val="en-GB"/>
        </w:rPr>
        <w:t xml:space="preserve">one for each identified decision type). </w:t>
      </w:r>
    </w:p>
    <w:p w:rsidR="005F0E9E" w:rsidRPr="000370D0" w:rsidRDefault="005F0E9E">
      <w:pPr>
        <w:pStyle w:val="CETBodytext"/>
        <w:rPr>
          <w:lang w:val="en-GB"/>
        </w:rPr>
      </w:pPr>
    </w:p>
    <w:p w:rsidR="00B94603" w:rsidRPr="000370D0" w:rsidRDefault="00B94603" w:rsidP="00B94603">
      <w:pPr>
        <w:pStyle w:val="CETHeading1"/>
        <w:numPr>
          <w:ilvl w:val="1"/>
          <w:numId w:val="1"/>
        </w:numPr>
        <w:rPr>
          <w:lang w:val="en-GB"/>
        </w:rPr>
      </w:pPr>
      <w:r w:rsidRPr="000370D0">
        <w:rPr>
          <w:lang w:val="en-GB"/>
        </w:rPr>
        <w:t>Conclusion</w:t>
      </w:r>
    </w:p>
    <w:p w:rsidR="00B94603" w:rsidRPr="000370D0" w:rsidRDefault="00020A09" w:rsidP="00B94603">
      <w:pPr>
        <w:pStyle w:val="CETBodytext"/>
        <w:rPr>
          <w:lang w:val="en-GB"/>
        </w:rPr>
      </w:pPr>
      <w:r w:rsidRPr="000370D0">
        <w:rPr>
          <w:lang w:val="en-GB"/>
        </w:rPr>
        <w:t>Potential o</w:t>
      </w:r>
      <w:r w:rsidR="00B94603" w:rsidRPr="000370D0">
        <w:rPr>
          <w:lang w:val="en-GB"/>
        </w:rPr>
        <w:t xml:space="preserve">dour </w:t>
      </w:r>
      <w:r w:rsidRPr="000370D0">
        <w:rPr>
          <w:lang w:val="en-GB"/>
        </w:rPr>
        <w:t>annoyance</w:t>
      </w:r>
      <w:r w:rsidR="00B94603" w:rsidRPr="000370D0">
        <w:rPr>
          <w:lang w:val="en-GB"/>
        </w:rPr>
        <w:t xml:space="preserve"> and especially environmental odour characterization is still complex to </w:t>
      </w:r>
      <w:r w:rsidRPr="000370D0">
        <w:rPr>
          <w:lang w:val="en-GB"/>
        </w:rPr>
        <w:t>assess. The approach base</w:t>
      </w:r>
      <w:r w:rsidR="00B67FB7" w:rsidRPr="000370D0">
        <w:rPr>
          <w:lang w:val="en-GB"/>
        </w:rPr>
        <w:t>d</w:t>
      </w:r>
      <w:r w:rsidRPr="000370D0">
        <w:rPr>
          <w:lang w:val="en-GB"/>
        </w:rPr>
        <w:t xml:space="preserve"> on FIDOL/FIDOR/FIDOS factors </w:t>
      </w:r>
      <w:proofErr w:type="gramStart"/>
      <w:r w:rsidR="00B67FB7" w:rsidRPr="000370D0">
        <w:rPr>
          <w:lang w:val="en-GB"/>
        </w:rPr>
        <w:t>was developed</w:t>
      </w:r>
      <w:proofErr w:type="gramEnd"/>
      <w:r w:rsidR="00B67FB7" w:rsidRPr="000370D0">
        <w:rPr>
          <w:lang w:val="en-GB"/>
        </w:rPr>
        <w:t xml:space="preserve"> to characterise the multidimensional feeling caused by odour perception. By definition, odour perception is variable from one subject to another one and so this perception is very dependent on how a subject considers the feeling for all FIDOL dimensions.</w:t>
      </w:r>
      <w:r w:rsidR="00542B76" w:rsidRPr="000370D0">
        <w:rPr>
          <w:lang w:val="en-GB"/>
        </w:rPr>
        <w:t xml:space="preserve"> This difference of perception between people can be characterise by subjectivity that is in opposition to objectivity. Measurements of chemical pollution with analytical devices is objective but odour perception and its complexity must consider subjectivit</w:t>
      </w:r>
      <w:r w:rsidR="005F373C">
        <w:rPr>
          <w:lang w:val="en-GB"/>
        </w:rPr>
        <w:t>y. That is</w:t>
      </w:r>
      <w:r w:rsidR="00542B76" w:rsidRPr="000370D0">
        <w:rPr>
          <w:lang w:val="en-GB"/>
        </w:rPr>
        <w:t xml:space="preserve"> the reason why, the global odour assessment based on multiple factors must be the result of aggregation of utilities</w:t>
      </w:r>
      <w:r w:rsidR="005D3B05" w:rsidRPr="000370D0">
        <w:rPr>
          <w:lang w:val="en-GB"/>
        </w:rPr>
        <w:t xml:space="preserve"> that </w:t>
      </w:r>
      <w:proofErr w:type="gramStart"/>
      <w:r w:rsidR="005D3B05" w:rsidRPr="000370D0">
        <w:rPr>
          <w:lang w:val="en-GB"/>
        </w:rPr>
        <w:t>are expressed</w:t>
      </w:r>
      <w:proofErr w:type="gramEnd"/>
      <w:r w:rsidR="005D3B05" w:rsidRPr="000370D0">
        <w:rPr>
          <w:lang w:val="en-GB"/>
        </w:rPr>
        <w:t xml:space="preserve"> for all dimensions.</w:t>
      </w:r>
    </w:p>
    <w:p w:rsidR="00B67FB7" w:rsidRPr="000370D0" w:rsidRDefault="005D3B05" w:rsidP="00B94603">
      <w:pPr>
        <w:pStyle w:val="CETBodytext"/>
        <w:rPr>
          <w:lang w:val="en-GB"/>
        </w:rPr>
      </w:pPr>
      <w:r w:rsidRPr="000370D0">
        <w:rPr>
          <w:lang w:val="en-GB"/>
        </w:rPr>
        <w:t>This work is a first step of a process to propose a global assessment. This first step is based both on matrix definition (description of levels for factors) and on data treatment methodology.</w:t>
      </w:r>
      <w:r w:rsidR="003E3959" w:rsidRPr="000370D0">
        <w:rPr>
          <w:lang w:val="en-GB"/>
        </w:rPr>
        <w:t xml:space="preserve"> The proposed matrix with five </w:t>
      </w:r>
      <w:r w:rsidR="003E3959" w:rsidRPr="000370D0">
        <w:rPr>
          <w:lang w:val="en-GB"/>
        </w:rPr>
        <w:lastRenderedPageBreak/>
        <w:t>levels for five factors and integration of results to propose also a global answer (potentially five levels as well) are key points of data collection and data treatment to try to cover odorous situations.</w:t>
      </w:r>
      <w:r w:rsidR="00A40722" w:rsidRPr="000370D0">
        <w:rPr>
          <w:lang w:val="en-GB"/>
        </w:rPr>
        <w:t xml:space="preserve"> This first step </w:t>
      </w:r>
      <w:proofErr w:type="gramStart"/>
      <w:r w:rsidR="00A40722" w:rsidRPr="000370D0">
        <w:rPr>
          <w:lang w:val="en-GB"/>
        </w:rPr>
        <w:t xml:space="preserve">is </w:t>
      </w:r>
      <w:r w:rsidR="00183926">
        <w:rPr>
          <w:lang w:val="en-GB"/>
        </w:rPr>
        <w:t>made</w:t>
      </w:r>
      <w:proofErr w:type="gramEnd"/>
      <w:r w:rsidR="00A40722" w:rsidRPr="000370D0">
        <w:rPr>
          <w:lang w:val="en-GB"/>
        </w:rPr>
        <w:t xml:space="preserve"> with five levels that can be clearly distinguished by a population. It is always possible to propose a scale with more levels (up to ten for example) but in such a case, it becomes hard to find a quantitative descriptor fo</w:t>
      </w:r>
      <w:r w:rsidR="00FC1073" w:rsidRPr="000370D0">
        <w:rPr>
          <w:lang w:val="en-GB"/>
        </w:rPr>
        <w:t>r each of them. This limitation</w:t>
      </w:r>
      <w:r w:rsidR="00A40722" w:rsidRPr="000370D0">
        <w:rPr>
          <w:lang w:val="en-GB"/>
        </w:rPr>
        <w:t xml:space="preserve"> in vocabulary is also </w:t>
      </w:r>
      <w:proofErr w:type="gramStart"/>
      <w:r w:rsidR="00A40722" w:rsidRPr="000370D0">
        <w:rPr>
          <w:lang w:val="en-GB"/>
        </w:rPr>
        <w:t>based on the fact that</w:t>
      </w:r>
      <w:proofErr w:type="gramEnd"/>
      <w:r w:rsidR="00A40722" w:rsidRPr="000370D0">
        <w:rPr>
          <w:lang w:val="en-GB"/>
        </w:rPr>
        <w:t xml:space="preserve"> subjective </w:t>
      </w:r>
      <w:r w:rsidR="00FC1073" w:rsidRPr="000370D0">
        <w:rPr>
          <w:lang w:val="en-GB"/>
        </w:rPr>
        <w:t>measurement</w:t>
      </w:r>
      <w:r w:rsidR="00A40722" w:rsidRPr="000370D0">
        <w:rPr>
          <w:lang w:val="en-GB"/>
        </w:rPr>
        <w:t xml:space="preserve"> placed on a s</w:t>
      </w:r>
      <w:r w:rsidR="00FC1073" w:rsidRPr="000370D0">
        <w:rPr>
          <w:lang w:val="en-GB"/>
        </w:rPr>
        <w:t>cale with many levels do not give warranties of reproducibility.</w:t>
      </w:r>
    </w:p>
    <w:p w:rsidR="005F0E9E" w:rsidRPr="000370D0" w:rsidRDefault="005F0E9E">
      <w:pPr>
        <w:pStyle w:val="CETBodytext"/>
        <w:rPr>
          <w:lang w:val="en-GB"/>
        </w:rPr>
      </w:pPr>
    </w:p>
    <w:p w:rsidR="005F0E9E" w:rsidRPr="000370D0" w:rsidRDefault="00336FE7">
      <w:pPr>
        <w:pStyle w:val="CETReference"/>
      </w:pPr>
      <w:r w:rsidRPr="000370D0">
        <w:t>References</w:t>
      </w:r>
    </w:p>
    <w:p w:rsidR="00792A28" w:rsidRPr="000370D0" w:rsidRDefault="00792A28" w:rsidP="00792A28">
      <w:pPr>
        <w:pStyle w:val="CETBodytext"/>
        <w:rPr>
          <w:lang w:val="en-GB"/>
        </w:rPr>
      </w:pPr>
    </w:p>
    <w:p w:rsidR="00886D36" w:rsidRPr="000370D0" w:rsidRDefault="00792A28" w:rsidP="00886D36">
      <w:pPr>
        <w:pStyle w:val="CETBodytext"/>
        <w:ind w:left="284" w:hanging="284"/>
        <w:rPr>
          <w:lang w:val="en-GB"/>
        </w:rPr>
      </w:pPr>
      <w:r w:rsidRPr="000370D0">
        <w:rPr>
          <w:lang w:val="en-GB"/>
        </w:rPr>
        <w:t>ASTM</w:t>
      </w:r>
      <w:r w:rsidR="00074ECA" w:rsidRPr="000370D0">
        <w:rPr>
          <w:lang w:val="en-GB"/>
        </w:rPr>
        <w:t> </w:t>
      </w:r>
      <w:r w:rsidRPr="000370D0">
        <w:rPr>
          <w:lang w:val="en-GB"/>
        </w:rPr>
        <w:t xml:space="preserve">E544-75, 1997, </w:t>
      </w:r>
      <w:r w:rsidR="008A10DC">
        <w:t xml:space="preserve">Standard Practice for </w:t>
      </w:r>
      <w:proofErr w:type="spellStart"/>
      <w:r w:rsidR="008A10DC">
        <w:t>Suprathreshold</w:t>
      </w:r>
      <w:proofErr w:type="spellEnd"/>
      <w:r w:rsidR="008A10DC">
        <w:t xml:space="preserve"> Intensity Measurement, American Society for Testing and Materials</w:t>
      </w:r>
      <w:r w:rsidRPr="000370D0">
        <w:rPr>
          <w:lang w:val="en-GB"/>
        </w:rPr>
        <w:t>. Philadelphia: American National Standard.</w:t>
      </w:r>
    </w:p>
    <w:p w:rsidR="00A62601" w:rsidRPr="000370D0" w:rsidRDefault="00A62601" w:rsidP="00886D36">
      <w:pPr>
        <w:pStyle w:val="CETBodytext"/>
        <w:ind w:left="284" w:hanging="284"/>
      </w:pPr>
      <w:r w:rsidRPr="000370D0">
        <w:t>Bokowa, A.; Diaz, C.; Koziel, J.A.; McGinley, M.; Barclay, J.; Schauberger, G.; Guillot, J.M.; Sneath, R.; Capelli, L.; Zorich, V.; Izquierdo, C.; Bilsen, I.; Romain, A.C.; Cabeza, M.C.; Liu, D.; Both, R.; Van Belois, H.; Higuchi, T.; Wahe L., 2021, Summary and Evaluation of the Odour Regulations Worldwide, Atmosphere 12, 206</w:t>
      </w:r>
      <w:r w:rsidR="00D57BA1" w:rsidRPr="000370D0">
        <w:t>,</w:t>
      </w:r>
      <w:r w:rsidRPr="000370D0">
        <w:t xml:space="preserve"> 59p.</w:t>
      </w:r>
    </w:p>
    <w:p w:rsidR="00886D36" w:rsidRPr="000370D0" w:rsidRDefault="00886D36" w:rsidP="00886D36">
      <w:pPr>
        <w:pStyle w:val="CETBodytext"/>
        <w:ind w:left="284" w:hanging="284"/>
        <w:rPr>
          <w:lang w:val="en-GB"/>
        </w:rPr>
      </w:pPr>
      <w:proofErr w:type="spellStart"/>
      <w:r w:rsidRPr="000370D0">
        <w:rPr>
          <w:lang w:val="en-GB"/>
        </w:rPr>
        <w:t>Brancher</w:t>
      </w:r>
      <w:proofErr w:type="spellEnd"/>
      <w:r w:rsidRPr="000370D0">
        <w:rPr>
          <w:lang w:val="en-GB"/>
        </w:rPr>
        <w:t xml:space="preserve">, M.; Griffiths, K.D.; Franco, D.; De </w:t>
      </w:r>
      <w:proofErr w:type="spellStart"/>
      <w:r w:rsidRPr="000370D0">
        <w:rPr>
          <w:lang w:val="en-GB"/>
        </w:rPr>
        <w:t>Melo</w:t>
      </w:r>
      <w:proofErr w:type="spellEnd"/>
      <w:r w:rsidRPr="000370D0">
        <w:rPr>
          <w:lang w:val="en-GB"/>
        </w:rPr>
        <w:t xml:space="preserve"> </w:t>
      </w:r>
      <w:proofErr w:type="spellStart"/>
      <w:r w:rsidRPr="000370D0">
        <w:rPr>
          <w:lang w:val="en-GB"/>
        </w:rPr>
        <w:t>Lisboa</w:t>
      </w:r>
      <w:proofErr w:type="spellEnd"/>
      <w:r w:rsidRPr="000370D0">
        <w:rPr>
          <w:lang w:val="en-GB"/>
        </w:rPr>
        <w:t>, H., 2017, A review of odour impact criteria in selected countries around the world. Chemosphere 168, 1531–1570.</w:t>
      </w:r>
    </w:p>
    <w:p w:rsidR="00D90DC1" w:rsidRPr="000370D0" w:rsidRDefault="00D90DC1" w:rsidP="00886D36">
      <w:pPr>
        <w:pStyle w:val="CETBodytext"/>
        <w:ind w:left="284" w:hanging="284"/>
        <w:rPr>
          <w:lang w:val="en-GB"/>
        </w:rPr>
      </w:pPr>
      <w:r w:rsidRPr="000370D0">
        <w:rPr>
          <w:lang w:val="en-GB"/>
        </w:rPr>
        <w:t xml:space="preserve">Capelli, L.; </w:t>
      </w:r>
      <w:proofErr w:type="spellStart"/>
      <w:r w:rsidRPr="000370D0">
        <w:rPr>
          <w:lang w:val="en-GB"/>
        </w:rPr>
        <w:t>Sironi</w:t>
      </w:r>
      <w:proofErr w:type="spellEnd"/>
      <w:r w:rsidRPr="000370D0">
        <w:rPr>
          <w:lang w:val="en-GB"/>
        </w:rPr>
        <w:t xml:space="preserve">, S.; Del Rosso, R.; Guillot, J.M., 2013, </w:t>
      </w:r>
      <w:proofErr w:type="gramStart"/>
      <w:r w:rsidRPr="000370D0">
        <w:rPr>
          <w:lang w:val="en-GB"/>
        </w:rPr>
        <w:t>Measuring</w:t>
      </w:r>
      <w:proofErr w:type="gramEnd"/>
      <w:r w:rsidRPr="000370D0">
        <w:rPr>
          <w:lang w:val="en-GB"/>
        </w:rPr>
        <w:t xml:space="preserve"> odours in the environment vs. dispersion </w:t>
      </w:r>
      <w:proofErr w:type="spellStart"/>
      <w:r w:rsidRPr="000370D0">
        <w:rPr>
          <w:lang w:val="en-GB"/>
        </w:rPr>
        <w:t>modeling</w:t>
      </w:r>
      <w:proofErr w:type="spellEnd"/>
      <w:r w:rsidRPr="000370D0">
        <w:rPr>
          <w:lang w:val="en-GB"/>
        </w:rPr>
        <w:t xml:space="preserve">: a review, Atmos. Environ. </w:t>
      </w:r>
      <w:proofErr w:type="gramStart"/>
      <w:r w:rsidRPr="000370D0">
        <w:rPr>
          <w:lang w:val="en-GB"/>
        </w:rPr>
        <w:t>79</w:t>
      </w:r>
      <w:proofErr w:type="gramEnd"/>
      <w:r w:rsidRPr="000370D0">
        <w:rPr>
          <w:lang w:val="en-GB"/>
        </w:rPr>
        <w:t>, 731-743.</w:t>
      </w:r>
    </w:p>
    <w:p w:rsidR="00886D36" w:rsidRPr="000370D0" w:rsidRDefault="00886D36" w:rsidP="00886D36">
      <w:pPr>
        <w:pStyle w:val="CETBodytext"/>
        <w:ind w:left="284" w:hanging="284"/>
        <w:rPr>
          <w:lang w:val="en-GB"/>
        </w:rPr>
      </w:pPr>
      <w:r w:rsidRPr="000370D0">
        <w:rPr>
          <w:lang w:val="en-GB"/>
        </w:rPr>
        <w:t xml:space="preserve">EN 13725:2022, Stationary source emissions - Determination of odour concentration by dynamic </w:t>
      </w:r>
      <w:proofErr w:type="spellStart"/>
      <w:r w:rsidRPr="000370D0">
        <w:rPr>
          <w:lang w:val="en-GB"/>
        </w:rPr>
        <w:t>olfactometry</w:t>
      </w:r>
      <w:proofErr w:type="spellEnd"/>
      <w:r w:rsidRPr="000370D0">
        <w:rPr>
          <w:lang w:val="en-GB"/>
        </w:rPr>
        <w:t xml:space="preserve"> and odour emission rate (124p).</w:t>
      </w:r>
    </w:p>
    <w:p w:rsidR="00886D36" w:rsidRPr="000370D0" w:rsidRDefault="00886D36" w:rsidP="00886D36">
      <w:pPr>
        <w:pStyle w:val="CETBodytext"/>
        <w:ind w:left="284" w:hanging="284"/>
        <w:rPr>
          <w:lang w:val="en-GB"/>
        </w:rPr>
      </w:pPr>
      <w:r w:rsidRPr="000370D0">
        <w:rPr>
          <w:lang w:val="en-GB"/>
        </w:rPr>
        <w:t>EN 16841-1:2016, Ambient air - Determination of odour in ambient air by using field inspection – Part 1: Grid method (57p).</w:t>
      </w:r>
    </w:p>
    <w:p w:rsidR="00792A28" w:rsidRPr="000370D0" w:rsidRDefault="00886D36" w:rsidP="00886D36">
      <w:pPr>
        <w:pStyle w:val="CETBodytext"/>
        <w:ind w:left="284" w:hanging="284"/>
        <w:rPr>
          <w:lang w:val="en-GB"/>
        </w:rPr>
      </w:pPr>
      <w:r w:rsidRPr="000370D0">
        <w:rPr>
          <w:lang w:val="en-GB"/>
        </w:rPr>
        <w:t>EN 16841-2:2016, Ambient air - Determination of odour in ambient air by using field inspection – Part 2: Plume method (43p).</w:t>
      </w:r>
    </w:p>
    <w:p w:rsidR="00886D36" w:rsidRPr="000370D0" w:rsidRDefault="00886D36" w:rsidP="00886D36">
      <w:pPr>
        <w:pStyle w:val="CETBodytext"/>
        <w:ind w:left="284" w:hanging="284"/>
        <w:rPr>
          <w:lang w:val="en-GB"/>
        </w:rPr>
      </w:pPr>
      <w:proofErr w:type="spellStart"/>
      <w:r w:rsidRPr="000370D0">
        <w:rPr>
          <w:lang w:val="en-GB"/>
        </w:rPr>
        <w:t>Fishburn</w:t>
      </w:r>
      <w:proofErr w:type="spellEnd"/>
      <w:r w:rsidRPr="000370D0">
        <w:rPr>
          <w:lang w:val="en-GB"/>
        </w:rPr>
        <w:t xml:space="preserve">, P.C., 1970, Utility theory for </w:t>
      </w:r>
      <w:proofErr w:type="gramStart"/>
      <w:r w:rsidRPr="000370D0">
        <w:rPr>
          <w:lang w:val="en-GB"/>
        </w:rPr>
        <w:t>decision making</w:t>
      </w:r>
      <w:proofErr w:type="gramEnd"/>
      <w:r w:rsidRPr="000370D0">
        <w:rPr>
          <w:lang w:val="en-GB"/>
        </w:rPr>
        <w:t xml:space="preserve">. Research analysis </w:t>
      </w:r>
      <w:proofErr w:type="spellStart"/>
      <w:r w:rsidRPr="000370D0">
        <w:rPr>
          <w:lang w:val="en-GB"/>
        </w:rPr>
        <w:t>corp</w:t>
      </w:r>
      <w:proofErr w:type="spellEnd"/>
      <w:r w:rsidRPr="000370D0">
        <w:rPr>
          <w:lang w:val="en-GB"/>
        </w:rPr>
        <w:t xml:space="preserve"> McLean VA</w:t>
      </w:r>
    </w:p>
    <w:p w:rsidR="00886D36" w:rsidRPr="000370D0" w:rsidRDefault="00886D36" w:rsidP="00886D36">
      <w:pPr>
        <w:pStyle w:val="CETBodytext"/>
        <w:ind w:left="284" w:hanging="284"/>
        <w:rPr>
          <w:lang w:val="en-GB"/>
        </w:rPr>
      </w:pPr>
      <w:r w:rsidRPr="000370D0">
        <w:rPr>
          <w:lang w:val="en-GB"/>
        </w:rPr>
        <w:t xml:space="preserve">Griffiths K.A., 2014, </w:t>
      </w:r>
      <w:proofErr w:type="gramStart"/>
      <w:r w:rsidRPr="000370D0">
        <w:rPr>
          <w:lang w:val="en-GB"/>
        </w:rPr>
        <w:t>Disentangling</w:t>
      </w:r>
      <w:proofErr w:type="gramEnd"/>
      <w:r w:rsidRPr="000370D0">
        <w:rPr>
          <w:lang w:val="en-GB"/>
        </w:rPr>
        <w:t xml:space="preserve"> the frequency and intensity dimensions of nuisance odour, and implications for jurisdictional odour impact criteria, Atmospheric Environment, 90, 125-132. DOI: 10.1016/j.atmosenv.2014.03.022</w:t>
      </w:r>
    </w:p>
    <w:p w:rsidR="00886D36" w:rsidRPr="000370D0" w:rsidRDefault="00886D36" w:rsidP="00886D36">
      <w:pPr>
        <w:pStyle w:val="CETBodytext"/>
        <w:ind w:left="284" w:hanging="284"/>
        <w:rPr>
          <w:lang w:val="en-GB"/>
        </w:rPr>
      </w:pPr>
      <w:proofErr w:type="spellStart"/>
      <w:r w:rsidRPr="000370D0">
        <w:rPr>
          <w:lang w:val="en-GB"/>
        </w:rPr>
        <w:t>Mardani</w:t>
      </w:r>
      <w:proofErr w:type="spellEnd"/>
      <w:r w:rsidRPr="000370D0">
        <w:rPr>
          <w:lang w:val="en-GB"/>
        </w:rPr>
        <w:t xml:space="preserve">, A.; </w:t>
      </w:r>
      <w:proofErr w:type="spellStart"/>
      <w:r w:rsidRPr="000370D0">
        <w:rPr>
          <w:lang w:val="en-GB"/>
        </w:rPr>
        <w:t>Jusoh</w:t>
      </w:r>
      <w:proofErr w:type="spellEnd"/>
      <w:r w:rsidRPr="000370D0">
        <w:rPr>
          <w:lang w:val="en-GB"/>
        </w:rPr>
        <w:t xml:space="preserve">, A.; Nor, K.; </w:t>
      </w:r>
      <w:proofErr w:type="spellStart"/>
      <w:r w:rsidRPr="000370D0">
        <w:rPr>
          <w:lang w:val="en-GB"/>
        </w:rPr>
        <w:t>Khalifah</w:t>
      </w:r>
      <w:proofErr w:type="spellEnd"/>
      <w:r w:rsidRPr="000370D0">
        <w:rPr>
          <w:lang w:val="en-GB"/>
        </w:rPr>
        <w:t xml:space="preserve">, Z.; </w:t>
      </w:r>
      <w:proofErr w:type="spellStart"/>
      <w:r w:rsidRPr="000370D0">
        <w:rPr>
          <w:lang w:val="en-GB"/>
        </w:rPr>
        <w:t>Zakwan</w:t>
      </w:r>
      <w:proofErr w:type="spellEnd"/>
      <w:r w:rsidRPr="000370D0">
        <w:rPr>
          <w:lang w:val="en-GB"/>
        </w:rPr>
        <w:t xml:space="preserve">, N.; </w:t>
      </w:r>
      <w:proofErr w:type="spellStart"/>
      <w:r w:rsidRPr="000370D0">
        <w:rPr>
          <w:lang w:val="en-GB"/>
        </w:rPr>
        <w:t>Valipour</w:t>
      </w:r>
      <w:proofErr w:type="spellEnd"/>
      <w:r w:rsidRPr="000370D0">
        <w:rPr>
          <w:lang w:val="en-GB"/>
        </w:rPr>
        <w:t>, A., 2015, Multiple criteria decision-making techniques and their applications–a review of the literature from 2000 to 2014. Economic research-</w:t>
      </w:r>
      <w:proofErr w:type="spellStart"/>
      <w:r w:rsidRPr="000370D0">
        <w:rPr>
          <w:lang w:val="en-GB"/>
        </w:rPr>
        <w:t>Ekonomska</w:t>
      </w:r>
      <w:proofErr w:type="spellEnd"/>
      <w:r w:rsidRPr="000370D0">
        <w:rPr>
          <w:lang w:val="en-GB"/>
        </w:rPr>
        <w:t xml:space="preserve"> </w:t>
      </w:r>
      <w:proofErr w:type="spellStart"/>
      <w:r w:rsidRPr="000370D0">
        <w:rPr>
          <w:lang w:val="en-GB"/>
        </w:rPr>
        <w:t>istraživanja</w:t>
      </w:r>
      <w:proofErr w:type="spellEnd"/>
      <w:r w:rsidRPr="000370D0">
        <w:rPr>
          <w:lang w:val="en-GB"/>
        </w:rPr>
        <w:t>, 28(1), 516-571. DOI: 10.1080/1331677X.2015.1075139</w:t>
      </w:r>
    </w:p>
    <w:p w:rsidR="00886D36" w:rsidRPr="000370D0" w:rsidRDefault="00886D36" w:rsidP="00886D36">
      <w:pPr>
        <w:pStyle w:val="CETBodytext"/>
        <w:ind w:left="284" w:hanging="284"/>
        <w:rPr>
          <w:lang w:val="fr-FR"/>
        </w:rPr>
      </w:pPr>
      <w:r w:rsidRPr="000370D0">
        <w:rPr>
          <w:lang w:val="en-GB"/>
        </w:rPr>
        <w:t xml:space="preserve">NF X43-103, 1996, </w:t>
      </w:r>
      <w:r w:rsidR="00A40722" w:rsidRPr="000370D0">
        <w:rPr>
          <w:lang w:val="en-GB"/>
        </w:rPr>
        <w:t xml:space="preserve">Air quality - </w:t>
      </w:r>
      <w:proofErr w:type="spellStart"/>
      <w:r w:rsidR="00A40722" w:rsidRPr="000370D0">
        <w:rPr>
          <w:lang w:val="en-GB"/>
        </w:rPr>
        <w:t>Olfactometric</w:t>
      </w:r>
      <w:proofErr w:type="spellEnd"/>
      <w:r w:rsidR="00A40722" w:rsidRPr="000370D0">
        <w:rPr>
          <w:lang w:val="en-GB"/>
        </w:rPr>
        <w:t xml:space="preserve"> measurement - Measurement of the odour of a gaseous effluent - </w:t>
      </w:r>
      <w:proofErr w:type="spellStart"/>
      <w:r w:rsidR="00A40722" w:rsidRPr="000370D0">
        <w:rPr>
          <w:lang w:val="en-GB"/>
        </w:rPr>
        <w:t>Supraliminary</w:t>
      </w:r>
      <w:proofErr w:type="spellEnd"/>
      <w:r w:rsidR="00A40722" w:rsidRPr="000370D0">
        <w:rPr>
          <w:lang w:val="en-GB"/>
        </w:rPr>
        <w:t xml:space="preserve"> methods. </w:t>
      </w:r>
      <w:r w:rsidR="00A40722" w:rsidRPr="000370D0">
        <w:rPr>
          <w:lang w:val="fr-FR"/>
        </w:rPr>
        <w:t>(</w:t>
      </w:r>
      <w:proofErr w:type="gramStart"/>
      <w:r w:rsidR="00A40722" w:rsidRPr="000370D0">
        <w:rPr>
          <w:lang w:val="fr-FR"/>
        </w:rPr>
        <w:t>in</w:t>
      </w:r>
      <w:proofErr w:type="gramEnd"/>
      <w:r w:rsidR="00A40722" w:rsidRPr="000370D0">
        <w:rPr>
          <w:lang w:val="fr-FR"/>
        </w:rPr>
        <w:t xml:space="preserve"> French</w:t>
      </w:r>
      <w:r w:rsidR="00A40722" w:rsidRPr="000370D0">
        <w:rPr>
          <w:lang w:val="fr-FR"/>
        </w:rPr>
        <w:t xml:space="preserve">: </w:t>
      </w:r>
      <w:r w:rsidRPr="000370D0">
        <w:rPr>
          <w:lang w:val="fr-FR"/>
        </w:rPr>
        <w:t xml:space="preserve">Qualité de l'air - Mesurage </w:t>
      </w:r>
      <w:proofErr w:type="spellStart"/>
      <w:r w:rsidRPr="000370D0">
        <w:rPr>
          <w:lang w:val="fr-FR"/>
        </w:rPr>
        <w:t>olfactométriques</w:t>
      </w:r>
      <w:proofErr w:type="spellEnd"/>
      <w:r w:rsidRPr="000370D0">
        <w:rPr>
          <w:lang w:val="fr-FR"/>
        </w:rPr>
        <w:t xml:space="preserve"> - Mesurage de l'odeur d'un effluent ga</w:t>
      </w:r>
      <w:r w:rsidR="00A40722" w:rsidRPr="000370D0">
        <w:rPr>
          <w:lang w:val="fr-FR"/>
        </w:rPr>
        <w:t>zeux - Méthodes supraliminaires</w:t>
      </w:r>
      <w:r w:rsidRPr="000370D0">
        <w:rPr>
          <w:lang w:val="fr-FR"/>
        </w:rPr>
        <w:t>), 20p.</w:t>
      </w:r>
    </w:p>
    <w:p w:rsidR="00886D36" w:rsidRPr="000370D0" w:rsidRDefault="00886D36" w:rsidP="00886D36">
      <w:pPr>
        <w:pStyle w:val="CETBodytext"/>
        <w:ind w:left="284" w:hanging="284"/>
        <w:rPr>
          <w:lang w:val="en-GB"/>
        </w:rPr>
      </w:pPr>
      <w:proofErr w:type="spellStart"/>
      <w:r w:rsidRPr="000370D0">
        <w:rPr>
          <w:lang w:val="en-GB"/>
        </w:rPr>
        <w:t>Nicell</w:t>
      </w:r>
      <w:proofErr w:type="spellEnd"/>
      <w:r w:rsidRPr="000370D0">
        <w:rPr>
          <w:lang w:val="en-GB"/>
        </w:rPr>
        <w:t xml:space="preserve"> J.A., 2009, Assessment and regulation of </w:t>
      </w:r>
      <w:proofErr w:type="spellStart"/>
      <w:r w:rsidRPr="000370D0">
        <w:rPr>
          <w:lang w:val="en-GB"/>
        </w:rPr>
        <w:t>odor</w:t>
      </w:r>
      <w:proofErr w:type="spellEnd"/>
      <w:r w:rsidRPr="000370D0">
        <w:rPr>
          <w:lang w:val="en-GB"/>
        </w:rPr>
        <w:t xml:space="preserve"> </w:t>
      </w:r>
      <w:proofErr w:type="gramStart"/>
      <w:r w:rsidRPr="000370D0">
        <w:rPr>
          <w:lang w:val="en-GB"/>
        </w:rPr>
        <w:t>impacts</w:t>
      </w:r>
      <w:proofErr w:type="gramEnd"/>
      <w:r w:rsidRPr="000370D0">
        <w:rPr>
          <w:lang w:val="en-GB"/>
        </w:rPr>
        <w:t>, Atmospheric Environment, 43, 196-206. DOI: 10.1016/j.atmosenv.2008.09.033</w:t>
      </w:r>
    </w:p>
    <w:p w:rsidR="00886D36" w:rsidRPr="000370D0" w:rsidRDefault="00886D36" w:rsidP="00886D36">
      <w:pPr>
        <w:pStyle w:val="CETBodytext"/>
        <w:ind w:left="284" w:hanging="284"/>
        <w:rPr>
          <w:lang w:val="en-GB"/>
        </w:rPr>
      </w:pPr>
      <w:proofErr w:type="spellStart"/>
      <w:r w:rsidRPr="000370D0">
        <w:rPr>
          <w:lang w:val="en-GB"/>
        </w:rPr>
        <w:t>Sommer-Quabach</w:t>
      </w:r>
      <w:proofErr w:type="spellEnd"/>
      <w:r w:rsidRPr="000370D0">
        <w:rPr>
          <w:lang w:val="en-GB"/>
        </w:rPr>
        <w:t xml:space="preserve">, E.; Piringer, M.; </w:t>
      </w:r>
      <w:proofErr w:type="spellStart"/>
      <w:r w:rsidRPr="000370D0">
        <w:rPr>
          <w:lang w:val="en-GB"/>
        </w:rPr>
        <w:t>Petz</w:t>
      </w:r>
      <w:proofErr w:type="spellEnd"/>
      <w:r w:rsidRPr="000370D0">
        <w:rPr>
          <w:lang w:val="en-GB"/>
        </w:rPr>
        <w:t xml:space="preserve">, E.; Schauberger, G., 2014, Comparability of separation distances between odour sources and residential areas determined by various national odour impact criteria. Atmos. Environ. </w:t>
      </w:r>
      <w:proofErr w:type="gramStart"/>
      <w:r w:rsidRPr="000370D0">
        <w:rPr>
          <w:lang w:val="en-GB"/>
        </w:rPr>
        <w:t>95</w:t>
      </w:r>
      <w:proofErr w:type="gramEnd"/>
      <w:r w:rsidRPr="000370D0">
        <w:rPr>
          <w:lang w:val="en-GB"/>
        </w:rPr>
        <w:t>, 20–28.</w:t>
      </w:r>
    </w:p>
    <w:p w:rsidR="00886D36" w:rsidRPr="000370D0" w:rsidRDefault="00886D36" w:rsidP="00886D36">
      <w:pPr>
        <w:pStyle w:val="CETBodytext"/>
        <w:ind w:left="284" w:hanging="284"/>
        <w:rPr>
          <w:lang w:val="en-GB"/>
        </w:rPr>
      </w:pPr>
      <w:r w:rsidRPr="000370D0">
        <w:rPr>
          <w:lang w:val="en-GB"/>
        </w:rPr>
        <w:t xml:space="preserve">Suffet, M.; Burlingame, G.A.; Rosenfeld, P.; </w:t>
      </w:r>
      <w:proofErr w:type="spellStart"/>
      <w:r w:rsidRPr="000370D0">
        <w:rPr>
          <w:lang w:val="en-GB"/>
        </w:rPr>
        <w:t>Bruchet</w:t>
      </w:r>
      <w:proofErr w:type="spellEnd"/>
      <w:r w:rsidRPr="000370D0">
        <w:rPr>
          <w:lang w:val="en-GB"/>
        </w:rPr>
        <w:t xml:space="preserve">, A., 2004, </w:t>
      </w:r>
      <w:proofErr w:type="gramStart"/>
      <w:r w:rsidRPr="000370D0">
        <w:rPr>
          <w:lang w:val="en-GB"/>
        </w:rPr>
        <w:t>The</w:t>
      </w:r>
      <w:proofErr w:type="gramEnd"/>
      <w:r w:rsidRPr="000370D0">
        <w:rPr>
          <w:lang w:val="en-GB"/>
        </w:rPr>
        <w:t xml:space="preserve"> value of an </w:t>
      </w:r>
      <w:proofErr w:type="spellStart"/>
      <w:r w:rsidRPr="000370D0">
        <w:rPr>
          <w:lang w:val="en-GB"/>
        </w:rPr>
        <w:t>odor</w:t>
      </w:r>
      <w:proofErr w:type="spellEnd"/>
      <w:r w:rsidRPr="000370D0">
        <w:rPr>
          <w:lang w:val="en-GB"/>
        </w:rPr>
        <w:t>-quality-wheel classification scheme for wastewater plants, Water Science &amp; Technology, 50, 25-32. DOI: 10.2166/wst.2004.0211</w:t>
      </w:r>
    </w:p>
    <w:p w:rsidR="005D32E4" w:rsidRPr="000370D0" w:rsidRDefault="005D32E4" w:rsidP="005D32E4">
      <w:pPr>
        <w:pStyle w:val="CETBodytext"/>
        <w:ind w:left="284" w:hanging="284"/>
        <w:rPr>
          <w:lang w:val="en-GB"/>
        </w:rPr>
      </w:pPr>
      <w:r>
        <w:rPr>
          <w:lang w:val="en-GB"/>
        </w:rPr>
        <w:t>VDI </w:t>
      </w:r>
      <w:r w:rsidRPr="000370D0">
        <w:rPr>
          <w:lang w:val="en-GB"/>
        </w:rPr>
        <w:t>3</w:t>
      </w:r>
      <w:r>
        <w:rPr>
          <w:lang w:val="en-GB"/>
        </w:rPr>
        <w:t>882 Part 1, 1992</w:t>
      </w:r>
      <w:r w:rsidRPr="000370D0">
        <w:rPr>
          <w:lang w:val="en-GB"/>
        </w:rPr>
        <w:t xml:space="preserve">, </w:t>
      </w:r>
      <w:proofErr w:type="spellStart"/>
      <w:r>
        <w:rPr>
          <w:lang w:val="en-GB"/>
        </w:rPr>
        <w:t>Olfactometry</w:t>
      </w:r>
      <w:proofErr w:type="spellEnd"/>
      <w:r>
        <w:rPr>
          <w:lang w:val="en-GB"/>
        </w:rPr>
        <w:t xml:space="preserve"> – Determination of odour intensity, 26</w:t>
      </w:r>
      <w:r w:rsidRPr="000370D0">
        <w:rPr>
          <w:lang w:val="en-GB"/>
        </w:rPr>
        <w:t>p.</w:t>
      </w:r>
    </w:p>
    <w:p w:rsidR="00DE0B28" w:rsidRPr="000370D0" w:rsidRDefault="00DE0B28" w:rsidP="00DE0B28">
      <w:pPr>
        <w:pStyle w:val="CETBodytext"/>
        <w:ind w:left="284" w:hanging="284"/>
        <w:rPr>
          <w:lang w:val="en-GB"/>
        </w:rPr>
      </w:pPr>
      <w:r>
        <w:rPr>
          <w:lang w:val="en-GB"/>
        </w:rPr>
        <w:t>VDI </w:t>
      </w:r>
      <w:r w:rsidRPr="000370D0">
        <w:rPr>
          <w:lang w:val="en-GB"/>
        </w:rPr>
        <w:t>3</w:t>
      </w:r>
      <w:r>
        <w:rPr>
          <w:lang w:val="en-GB"/>
        </w:rPr>
        <w:t xml:space="preserve">882 Part </w:t>
      </w:r>
      <w:r>
        <w:rPr>
          <w:lang w:val="en-GB"/>
        </w:rPr>
        <w:t>2</w:t>
      </w:r>
      <w:r>
        <w:rPr>
          <w:lang w:val="en-GB"/>
        </w:rPr>
        <w:t>, 1992</w:t>
      </w:r>
      <w:r w:rsidRPr="000370D0">
        <w:rPr>
          <w:lang w:val="en-GB"/>
        </w:rPr>
        <w:t xml:space="preserve">, </w:t>
      </w:r>
      <w:proofErr w:type="spellStart"/>
      <w:r>
        <w:rPr>
          <w:lang w:val="en-GB"/>
        </w:rPr>
        <w:t>Olfactometry</w:t>
      </w:r>
      <w:proofErr w:type="spellEnd"/>
      <w:r>
        <w:rPr>
          <w:lang w:val="en-GB"/>
        </w:rPr>
        <w:t xml:space="preserve"> – Determination of </w:t>
      </w:r>
      <w:r>
        <w:rPr>
          <w:lang w:val="en-GB"/>
        </w:rPr>
        <w:t>hedonic odour tone, 19</w:t>
      </w:r>
      <w:r w:rsidRPr="000370D0">
        <w:rPr>
          <w:lang w:val="en-GB"/>
        </w:rPr>
        <w:t>p.</w:t>
      </w:r>
    </w:p>
    <w:p w:rsidR="00886D36" w:rsidRPr="000370D0" w:rsidRDefault="005D32E4" w:rsidP="00886D36">
      <w:pPr>
        <w:pStyle w:val="CETBodytext"/>
        <w:ind w:left="284" w:hanging="284"/>
        <w:rPr>
          <w:lang w:val="en-GB"/>
        </w:rPr>
      </w:pPr>
      <w:r>
        <w:rPr>
          <w:lang w:val="en-GB"/>
        </w:rPr>
        <w:t>VDI 3940 Part </w:t>
      </w:r>
      <w:r w:rsidR="00886D36" w:rsidRPr="000370D0">
        <w:rPr>
          <w:lang w:val="en-GB"/>
        </w:rPr>
        <w:t>1, 2006, Measurement of Odour Impact by Field Inspection - Measurement of the Impact Frequency of Recognizable Odours Grid Measurement, 44p.</w:t>
      </w:r>
    </w:p>
    <w:p w:rsidR="00886D36" w:rsidRPr="000370D0" w:rsidRDefault="00886D36" w:rsidP="00886D36">
      <w:pPr>
        <w:pStyle w:val="CETBodytext"/>
        <w:ind w:left="284" w:hanging="284"/>
        <w:rPr>
          <w:lang w:val="en-GB"/>
        </w:rPr>
      </w:pPr>
      <w:r w:rsidRPr="000370D0">
        <w:rPr>
          <w:lang w:val="en-GB"/>
        </w:rPr>
        <w:t>VDI 3940 Part 4, 2010, Determination of the hedonic odour tone – polarity profile, 40p.</w:t>
      </w:r>
    </w:p>
    <w:p w:rsidR="00886D36" w:rsidRPr="000370D0" w:rsidRDefault="00886D36" w:rsidP="00886D36">
      <w:pPr>
        <w:pStyle w:val="CETBodytext"/>
        <w:ind w:left="284" w:hanging="284"/>
        <w:rPr>
          <w:lang w:val="en-GB"/>
        </w:rPr>
      </w:pPr>
      <w:bookmarkStart w:id="1" w:name="_GoBack"/>
      <w:bookmarkEnd w:id="1"/>
    </w:p>
    <w:sectPr w:rsidR="00886D36" w:rsidRPr="000370D0">
      <w:pgSz w:w="11906" w:h="16838"/>
      <w:pgMar w:top="1701" w:right="1418" w:bottom="1701" w:left="1701" w:header="0" w:footer="0" w:gutter="0"/>
      <w:cols w:space="720"/>
      <w:formProt w:val="0"/>
      <w:titlePg/>
      <w:docGrid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1"/>
    <w:family w:val="swiss"/>
    <w:pitch w:val="variable"/>
    <w:sig w:usb0="E0000AFF" w:usb1="500078FF" w:usb2="00000021" w:usb3="00000000" w:csb0="000001BF" w:csb1="00000000"/>
  </w:font>
  <w:font w:name="AR PL SungtiL GB">
    <w:panose1 w:val="00000000000000000000"/>
    <w:charset w:val="00"/>
    <w:family w:val="roman"/>
    <w:notTrueType/>
    <w:pitch w:val="default"/>
  </w:font>
  <w:font w:name="Lohit Devanagari">
    <w:panose1 w:val="00000000000000000000"/>
    <w:charset w:val="00"/>
    <w:family w:val="roman"/>
    <w:notTrueType/>
    <w:pitch w:val="default"/>
  </w:font>
  <w:font w:name="AdvP6960">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4218"/>
    <w:multiLevelType w:val="multilevel"/>
    <w:tmpl w:val="AE42C2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6553AF"/>
    <w:multiLevelType w:val="multilevel"/>
    <w:tmpl w:val="50240C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A037AAF"/>
    <w:multiLevelType w:val="hybridMultilevel"/>
    <w:tmpl w:val="3F26F42E"/>
    <w:lvl w:ilvl="0" w:tplc="18A860D4">
      <w:start w:val="1"/>
      <w:numFmt w:val="decimal"/>
      <w:lvlText w:val="%1-"/>
      <w:lvlJc w:val="left"/>
      <w:pPr>
        <w:ind w:left="502" w:hanging="360"/>
      </w:pPr>
      <w:rPr>
        <w:rFonts w:hint="default"/>
        <w:lang w:val="en-U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317F96"/>
    <w:multiLevelType w:val="multilevel"/>
    <w:tmpl w:val="F6E8CF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77F78CF"/>
    <w:multiLevelType w:val="multilevel"/>
    <w:tmpl w:val="DF5EA42E"/>
    <w:lvl w:ilvl="0">
      <w:start w:val="1"/>
      <w:numFmt w:val="decimal"/>
      <w:suff w:val="space"/>
      <w:lvlText w:val="Chapter %1"/>
      <w:lvlJc w:val="left"/>
      <w:pPr>
        <w:ind w:left="0" w:firstLine="0"/>
      </w:pPr>
    </w:lvl>
    <w:lvl w:ilvl="1">
      <w:start w:val="1"/>
      <w:numFmt w:val="decimal"/>
      <w:suff w:val="space"/>
      <w:lvlText w:val="%2."/>
      <w:lvlJc w:val="left"/>
      <w:pPr>
        <w:ind w:left="0" w:firstLine="0"/>
      </w:pPr>
    </w:lvl>
    <w:lvl w:ilvl="2">
      <w:start w:val="1"/>
      <w:numFmt w:val="decimal"/>
      <w:suff w:val="space"/>
      <w:lvlText w:val="%2.%3"/>
      <w:lvlJc w:val="left"/>
      <w:pPr>
        <w:ind w:left="0" w:firstLine="0"/>
      </w:pPr>
    </w:lvl>
    <w:lvl w:ilvl="3">
      <w:start w:val="1"/>
      <w:numFmt w:val="decimal"/>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5" w15:restartNumberingAfterBreak="0">
    <w:nsid w:val="7357278B"/>
    <w:multiLevelType w:val="multilevel"/>
    <w:tmpl w:val="4E1A936C"/>
    <w:lvl w:ilvl="0">
      <w:start w:val="1"/>
      <w:numFmt w:val="bullet"/>
      <w:lvlText w:val=""/>
      <w:lvlJc w:val="left"/>
      <w:pPr>
        <w:ind w:left="340" w:hanging="22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9E"/>
    <w:rsid w:val="00020A09"/>
    <w:rsid w:val="000370D0"/>
    <w:rsid w:val="00074ECA"/>
    <w:rsid w:val="00130B34"/>
    <w:rsid w:val="00183926"/>
    <w:rsid w:val="001C06B1"/>
    <w:rsid w:val="001D638B"/>
    <w:rsid w:val="00233003"/>
    <w:rsid w:val="002F29D9"/>
    <w:rsid w:val="002F3D87"/>
    <w:rsid w:val="00326E6E"/>
    <w:rsid w:val="00336FE7"/>
    <w:rsid w:val="003E3959"/>
    <w:rsid w:val="00402C15"/>
    <w:rsid w:val="00463FE9"/>
    <w:rsid w:val="00530F4B"/>
    <w:rsid w:val="00542B76"/>
    <w:rsid w:val="005C7709"/>
    <w:rsid w:val="005D32E4"/>
    <w:rsid w:val="005D3B05"/>
    <w:rsid w:val="005F0E9E"/>
    <w:rsid w:val="005F373C"/>
    <w:rsid w:val="006331E4"/>
    <w:rsid w:val="006564DE"/>
    <w:rsid w:val="006863B4"/>
    <w:rsid w:val="006F0EA9"/>
    <w:rsid w:val="00737660"/>
    <w:rsid w:val="00744B1E"/>
    <w:rsid w:val="00753902"/>
    <w:rsid w:val="00792A28"/>
    <w:rsid w:val="00832F11"/>
    <w:rsid w:val="008343B8"/>
    <w:rsid w:val="00886D36"/>
    <w:rsid w:val="008A10DC"/>
    <w:rsid w:val="009A7FF8"/>
    <w:rsid w:val="00A124B7"/>
    <w:rsid w:val="00A35C22"/>
    <w:rsid w:val="00A40722"/>
    <w:rsid w:val="00A41BE2"/>
    <w:rsid w:val="00A62601"/>
    <w:rsid w:val="00B67FB7"/>
    <w:rsid w:val="00B94603"/>
    <w:rsid w:val="00C77644"/>
    <w:rsid w:val="00C80F8B"/>
    <w:rsid w:val="00CB5291"/>
    <w:rsid w:val="00D57BA1"/>
    <w:rsid w:val="00D90DC1"/>
    <w:rsid w:val="00DE0B28"/>
    <w:rsid w:val="00E743FD"/>
    <w:rsid w:val="00E93E65"/>
    <w:rsid w:val="00EB3B1E"/>
    <w:rsid w:val="00ED5687"/>
    <w:rsid w:val="00EF4023"/>
    <w:rsid w:val="00FC1073"/>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0906"/>
  <w15:docId w15:val="{BF06C9BC-2251-4F50-A74F-DEB211EA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0DEE"/>
    <w:pPr>
      <w:tabs>
        <w:tab w:val="right" w:pos="7100"/>
      </w:tabs>
      <w:suppressAutoHyphens/>
      <w:spacing w:line="264" w:lineRule="auto"/>
      <w:jc w:val="both"/>
    </w:pPr>
    <w:rPr>
      <w:rFonts w:ascii="Arial" w:eastAsia="Times New Roman" w:hAnsi="Arial" w:cs="Times New Roman"/>
      <w:sz w:val="18"/>
      <w:szCs w:val="20"/>
      <w:lang w:val="en-GB"/>
    </w:rPr>
  </w:style>
  <w:style w:type="paragraph" w:styleId="Titre1">
    <w:name w:val="heading 1"/>
    <w:next w:val="Normal"/>
    <w:link w:val="Titre1Car"/>
    <w:uiPriority w:val="9"/>
    <w:rsid w:val="004F5E36"/>
    <w:pPr>
      <w:widowControl w:val="0"/>
      <w:tabs>
        <w:tab w:val="right" w:pos="7100"/>
      </w:tabs>
      <w:suppressAutoHyphens/>
      <w:spacing w:after="200"/>
      <w:jc w:val="both"/>
      <w:outlineLvl w:val="0"/>
    </w:pPr>
    <w:rPr>
      <w:sz w:val="18"/>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ETAuthorsCarattere">
    <w:name w:val="CET Authors Carattere"/>
    <w:link w:val="CETAuthors"/>
    <w:rsid w:val="009E788A"/>
    <w:rPr>
      <w:rFonts w:ascii="Arial" w:eastAsia="Times New Roman" w:hAnsi="Arial" w:cs="Times New Roman"/>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character" w:styleId="Marquedecommentaire">
    <w:name w:val="annotation reference"/>
    <w:basedOn w:val="Policepardfaut"/>
    <w:uiPriority w:val="99"/>
    <w:semiHidden/>
    <w:unhideWhenUsed/>
    <w:rsid w:val="004577FE"/>
    <w:rPr>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character" w:customStyle="1" w:styleId="Corpsdetexte2Car">
    <w:name w:val="Corps de texte 2 Car"/>
    <w:basedOn w:val="Policepardfaut"/>
    <w:link w:val="Corpsdetexte2"/>
    <w:uiPriority w:val="99"/>
    <w:semiHidden/>
    <w:rsid w:val="0003148D"/>
  </w:style>
  <w:style w:type="character" w:customStyle="1" w:styleId="Corpsdetexte3Car">
    <w:name w:val="Corps de texte 3 Car"/>
    <w:basedOn w:val="Policepardfaut"/>
    <w:link w:val="Corpsdetexte3"/>
    <w:uiPriority w:val="99"/>
    <w:semiHidden/>
    <w:rsid w:val="0003148D"/>
    <w:rPr>
      <w:sz w:val="16"/>
      <w:szCs w:val="16"/>
    </w:rPr>
  </w:style>
  <w:style w:type="character" w:customStyle="1" w:styleId="CorpsdetexteCar">
    <w:name w:val="Corps de texte Car"/>
    <w:basedOn w:val="Policepardfaut"/>
    <w:link w:val="Corpsdetexte"/>
    <w:uiPriority w:val="99"/>
    <w:semiHidden/>
    <w:rsid w:val="0003148D"/>
  </w:style>
  <w:style w:type="character" w:customStyle="1" w:styleId="DateCar">
    <w:name w:val="Date Car"/>
    <w:basedOn w:val="Policepardfaut"/>
    <w:link w:val="Date"/>
    <w:uiPriority w:val="99"/>
    <w:semiHidden/>
    <w:rsid w:val="0003148D"/>
  </w:style>
  <w:style w:type="character" w:customStyle="1" w:styleId="SignatureCar">
    <w:name w:val="Signature Car"/>
    <w:basedOn w:val="Policepardfaut"/>
    <w:link w:val="Signature"/>
    <w:uiPriority w:val="99"/>
    <w:semiHidden/>
    <w:rsid w:val="0003148D"/>
  </w:style>
  <w:style w:type="character" w:customStyle="1" w:styleId="SignaturelectroniqueCar">
    <w:name w:val="Signature électronique Car"/>
    <w:basedOn w:val="Policepardfaut"/>
    <w:link w:val="Signaturelectronique"/>
    <w:uiPriority w:val="99"/>
    <w:semiHidden/>
    <w:rsid w:val="0003148D"/>
  </w:style>
  <w:style w:type="character" w:customStyle="1" w:styleId="SalutationsCar">
    <w:name w:val="Salutations Car"/>
    <w:basedOn w:val="Policepardfaut"/>
    <w:link w:val="Formulefinale"/>
    <w:uiPriority w:val="99"/>
    <w:semiHidden/>
    <w:rsid w:val="0003148D"/>
  </w:style>
  <w:style w:type="character" w:customStyle="1" w:styleId="FormuledepolitesseCar">
    <w:name w:val="Formule de politesse Car"/>
    <w:basedOn w:val="Policepardfaut"/>
    <w:link w:val="Formuledepolitesse"/>
    <w:uiPriority w:val="99"/>
    <w:semiHidden/>
    <w:rsid w:val="0003148D"/>
  </w:style>
  <w:style w:type="character" w:customStyle="1" w:styleId="AdresseHTMLCar">
    <w:name w:val="Adresse HTML Car"/>
    <w:basedOn w:val="Policepardfaut"/>
    <w:link w:val="AdresseHTML"/>
    <w:uiPriority w:val="99"/>
    <w:semiHidden/>
    <w:rsid w:val="0003148D"/>
    <w:rPr>
      <w:i/>
      <w:iCs/>
    </w:rPr>
  </w:style>
  <w:style w:type="character" w:customStyle="1" w:styleId="En-ttedemessageCar">
    <w:name w:val="En-tête de message Car"/>
    <w:basedOn w:val="Policepardfaut"/>
    <w:uiPriority w:val="99"/>
    <w:semiHidden/>
    <w:rsid w:val="0003148D"/>
    <w:rPr>
      <w:rFonts w:asciiTheme="majorHAnsi" w:eastAsiaTheme="majorEastAsia" w:hAnsiTheme="majorHAnsi" w:cstheme="majorBidi"/>
      <w:sz w:val="24"/>
      <w:szCs w:val="24"/>
      <w:shd w:val="clear" w:color="auto" w:fill="CCCCCC"/>
    </w:rPr>
  </w:style>
  <w:style w:type="character" w:customStyle="1" w:styleId="TitredenoteCar">
    <w:name w:val="Titre de note Car"/>
    <w:basedOn w:val="Policepardfaut"/>
    <w:link w:val="Titredenote"/>
    <w:uiPriority w:val="99"/>
    <w:semiHidden/>
    <w:rsid w:val="0003148D"/>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character" w:customStyle="1" w:styleId="RetraitcorpsdetexteCar1">
    <w:name w:val="Retrait corps de texte Car1"/>
    <w:basedOn w:val="CorpsdetexteCar"/>
    <w:link w:val="Retraitcorpsdetexte"/>
    <w:uiPriority w:val="99"/>
    <w:semiHidden/>
    <w:rsid w:val="0003148D"/>
  </w:style>
  <w:style w:type="character" w:customStyle="1" w:styleId="RetraitcorpsdetexteCar">
    <w:name w:val="Retrait corps de texte Car"/>
    <w:basedOn w:val="Policepardfaut"/>
    <w:link w:val="Retraitdecorpsdetexte"/>
    <w:uiPriority w:val="99"/>
    <w:semiHidden/>
    <w:rsid w:val="0003148D"/>
  </w:style>
  <w:style w:type="character" w:customStyle="1" w:styleId="Retraitcorpset1religCar">
    <w:name w:val="Retrait corps et 1re lig. Car"/>
    <w:basedOn w:val="RetraitcorpsdetexteCar"/>
    <w:link w:val="Retraitcorpset1relig"/>
    <w:uiPriority w:val="99"/>
    <w:semiHidden/>
    <w:rsid w:val="0003148D"/>
  </w:style>
  <w:style w:type="character" w:customStyle="1" w:styleId="Retraitcorpsdetexte2Car">
    <w:name w:val="Retrait corps de texte 2 Car"/>
    <w:basedOn w:val="Policepardfaut"/>
    <w:link w:val="Retraitcorpsdetexte2"/>
    <w:uiPriority w:val="99"/>
    <w:semiHidden/>
    <w:rsid w:val="0003148D"/>
  </w:style>
  <w:style w:type="character" w:customStyle="1" w:styleId="Retraitcorpsdetexte3Car">
    <w:name w:val="Retrait corps de texte 3 Car"/>
    <w:basedOn w:val="Policepardfaut"/>
    <w:link w:val="Retraitcorpsdetexte3"/>
    <w:uiPriority w:val="99"/>
    <w:semiHidden/>
    <w:rsid w:val="0003148D"/>
    <w:rPr>
      <w:sz w:val="16"/>
      <w:szCs w:val="16"/>
    </w:rPr>
  </w:style>
  <w:style w:type="character" w:customStyle="1" w:styleId="CommentaireCar">
    <w:name w:val="Commentaire Car"/>
    <w:basedOn w:val="Policepardfaut"/>
    <w:link w:val="Commentaire"/>
    <w:uiPriority w:val="99"/>
    <w:rsid w:val="0003148D"/>
    <w:rPr>
      <w:sz w:val="20"/>
      <w:szCs w:val="20"/>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character" w:customStyle="1" w:styleId="NotedebasdepageCar">
    <w:name w:val="Note de bas de page Car"/>
    <w:basedOn w:val="Policepardfaut"/>
    <w:link w:val="Notedebasdepage"/>
    <w:uiPriority w:val="99"/>
    <w:semiHidden/>
    <w:rsid w:val="0003148D"/>
    <w:rPr>
      <w:sz w:val="20"/>
      <w:szCs w:val="20"/>
    </w:r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character" w:customStyle="1" w:styleId="CETAddressCarattere">
    <w:name w:val="CET Address Carattere"/>
    <w:basedOn w:val="Policepardfaut"/>
    <w:link w:val="CETAddress"/>
    <w:rsid w:val="009E788A"/>
    <w:rPr>
      <w:rFonts w:ascii="Arial" w:eastAsia="Times New Roman" w:hAnsi="Arial" w:cs="Times New Roman"/>
      <w:sz w:val="16"/>
      <w:szCs w:val="20"/>
      <w:lang w:val="en-GB"/>
    </w:rPr>
  </w:style>
  <w:style w:type="character" w:customStyle="1" w:styleId="En-tteCar">
    <w:name w:val="En-tête Car"/>
    <w:basedOn w:val="Policepardfaut"/>
    <w:uiPriority w:val="99"/>
    <w:rsid w:val="005278B7"/>
    <w:rPr>
      <w:rFonts w:ascii="Arial" w:eastAsia="Times New Roman" w:hAnsi="Arial" w:cs="Times New Roman"/>
      <w:sz w:val="18"/>
      <w:szCs w:val="20"/>
      <w:lang w:val="en-GB"/>
    </w:r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character" w:customStyle="1" w:styleId="LienInternet">
    <w:name w:val="Lien Internet"/>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Lienhypertextesuivivisit">
    <w:name w:val="FollowedHyperlink"/>
    <w:basedOn w:val="Policepardfaut"/>
    <w:uiPriority w:val="99"/>
    <w:semiHidden/>
    <w:unhideWhenUsed/>
    <w:rsid w:val="00824BE9"/>
    <w:rPr>
      <w:color w:val="800080" w:themeColor="followedHyperlink"/>
      <w:u w:val="single"/>
    </w:rPr>
  </w:style>
  <w:style w:type="character" w:customStyle="1" w:styleId="ListLabel1">
    <w:name w:val="ListLabel 1"/>
    <w:rPr>
      <w:rFonts w:cs="Courier New"/>
    </w:rPr>
  </w:style>
  <w:style w:type="character" w:customStyle="1" w:styleId="ListLabel2">
    <w:name w:val="ListLabel 2"/>
    <w:rPr>
      <w:sz w:val="20"/>
    </w:rPr>
  </w:style>
  <w:style w:type="character" w:customStyle="1" w:styleId="Puces">
    <w:name w:val="Puces"/>
    <w:rPr>
      <w:rFonts w:ascii="OpenSymbol" w:eastAsia="OpenSymbol" w:hAnsi="OpenSymbol" w:cs="OpenSymbol"/>
    </w:rPr>
  </w:style>
  <w:style w:type="character" w:customStyle="1" w:styleId="Citation1">
    <w:name w:val="Citation1"/>
    <w:rPr>
      <w:i/>
      <w:iCs/>
    </w:rPr>
  </w:style>
  <w:style w:type="paragraph" w:styleId="Titre">
    <w:name w:val="Title"/>
    <w:basedOn w:val="Normal"/>
    <w:next w:val="Corpsdetexte"/>
    <w:pPr>
      <w:keepNext/>
      <w:spacing w:before="240" w:after="120"/>
    </w:pPr>
    <w:rPr>
      <w:rFonts w:ascii="Liberation Sans" w:eastAsia="AR PL SungtiL GB" w:hAnsi="Liberation Sans" w:cs="Lohit Devanagari"/>
      <w:sz w:val="28"/>
      <w:szCs w:val="28"/>
    </w:rPr>
  </w:style>
  <w:style w:type="paragraph" w:styleId="Corpsdetexte">
    <w:name w:val="Body Text"/>
    <w:basedOn w:val="Normal"/>
    <w:link w:val="CorpsdetexteCar"/>
    <w:uiPriority w:val="99"/>
    <w:semiHidden/>
    <w:unhideWhenUsed/>
    <w:rsid w:val="0003148D"/>
    <w:pPr>
      <w:spacing w:after="120" w:line="288" w:lineRule="auto"/>
    </w:pPr>
  </w:style>
  <w:style w:type="paragraph" w:styleId="Liste">
    <w:name w:val="List"/>
    <w:basedOn w:val="Normal"/>
    <w:uiPriority w:val="99"/>
    <w:semiHidden/>
    <w:unhideWhenUsed/>
    <w:rsid w:val="0003148D"/>
    <w:pPr>
      <w:ind w:left="283" w:hanging="283"/>
      <w:contextualSpacing/>
    </w:pPr>
    <w:rPr>
      <w:rFonts w:cs="Lohit Devanagari"/>
    </w:rPr>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customStyle="1" w:styleId="Index">
    <w:name w:val="Index"/>
    <w:basedOn w:val="Normal"/>
    <w:pPr>
      <w:suppressLineNumbers/>
    </w:pPr>
    <w:rPr>
      <w:rFonts w:cs="Lohit Devanagari"/>
    </w:rPr>
  </w:style>
  <w:style w:type="paragraph" w:customStyle="1" w:styleId="CETAuthors">
    <w:name w:val="CET Authors"/>
    <w:link w:val="CETAuthorsCarattere"/>
    <w:qFormat/>
    <w:rsid w:val="000E414A"/>
    <w:pPr>
      <w:keepNext/>
      <w:widowControl w:val="0"/>
      <w:suppressAutoHyphens/>
      <w:spacing w:after="120"/>
    </w:pPr>
    <w:rPr>
      <w:sz w:val="24"/>
      <w:lang w:val="en-GB"/>
    </w:rPr>
  </w:style>
  <w:style w:type="paragraph" w:customStyle="1" w:styleId="CETTitle">
    <w:name w:val="CET Title"/>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paragraph" w:customStyle="1" w:styleId="CETHeading1">
    <w:name w:val="CET Heading1"/>
    <w:qFormat/>
    <w:rsid w:val="009E788A"/>
    <w:pPr>
      <w:keepNext/>
      <w:tabs>
        <w:tab w:val="left" w:pos="360"/>
      </w:tabs>
      <w:suppressAutoHyphens/>
      <w:spacing w:before="240" w:after="120" w:line="240" w:lineRule="auto"/>
    </w:pPr>
    <w:rPr>
      <w:rFonts w:ascii="Arial" w:eastAsia="Times New Roman" w:hAnsi="Arial" w:cs="Times New Roman"/>
      <w:b/>
      <w:szCs w:val="20"/>
      <w:lang w:val="en-US"/>
    </w:rPr>
  </w:style>
  <w:style w:type="paragraph" w:customStyle="1" w:styleId="CETBodytext">
    <w:name w:val="CET Body text"/>
    <w:link w:val="CETBodytextCarattere"/>
    <w:qFormat/>
    <w:rsid w:val="000E414A"/>
    <w:pPr>
      <w:tabs>
        <w:tab w:val="right" w:pos="7100"/>
      </w:tabs>
      <w:suppressAutoHyphens/>
      <w:spacing w:line="264" w:lineRule="auto"/>
      <w:jc w:val="both"/>
    </w:pPr>
    <w:rPr>
      <w:rFonts w:ascii="Arial" w:eastAsia="Times New Roman" w:hAnsi="Arial" w:cs="Times New Roman"/>
      <w:sz w:val="18"/>
      <w:szCs w:val="20"/>
      <w:lang w:val="en-US"/>
    </w:rPr>
  </w:style>
  <w:style w:type="paragraph" w:customStyle="1" w:styleId="CETheadingx">
    <w:name w:val="CET headingx"/>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contextualSpacing/>
    </w:pPr>
    <w:rPr>
      <w:rFonts w:ascii="Arial" w:eastAsia="Times New Roman" w:hAnsi="Arial" w:cs="Times New Roman"/>
      <w:sz w:val="16"/>
      <w:szCs w:val="20"/>
      <w:lang w:val="en-GB"/>
    </w:rPr>
  </w:style>
  <w:style w:type="paragraph" w:customStyle="1" w:styleId="CETReference">
    <w:name w:val="CET Reference"/>
    <w:qFormat/>
    <w:rsid w:val="00FC2695"/>
    <w:pPr>
      <w:suppressAutoHyphens/>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uppressAutoHyphens/>
      <w:spacing w:before="240" w:after="240" w:line="264" w:lineRule="auto"/>
      <w:jc w:val="both"/>
    </w:pPr>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paragraph" w:styleId="Bibliographie">
    <w:name w:val="Bibliography"/>
    <w:uiPriority w:val="37"/>
    <w:unhideWhenUsed/>
    <w:rsid w:val="00631B33"/>
    <w:pPr>
      <w:widowControl w:val="0"/>
      <w:suppressAutoHyphens/>
      <w:spacing w:after="200" w:line="240" w:lineRule="auto"/>
      <w:ind w:left="720" w:hanging="720"/>
    </w:pPr>
    <w:rPr>
      <w:sz w:val="18"/>
    </w:rPr>
  </w:style>
  <w:style w:type="paragraph" w:styleId="Corpsdetexte2">
    <w:name w:val="Body Text 2"/>
    <w:basedOn w:val="Normal"/>
    <w:link w:val="Corpsdetexte2Car"/>
    <w:uiPriority w:val="99"/>
    <w:semiHidden/>
    <w:unhideWhenUsed/>
    <w:rsid w:val="0003148D"/>
    <w:pPr>
      <w:spacing w:after="120" w:line="480" w:lineRule="auto"/>
    </w:pPr>
  </w:style>
  <w:style w:type="paragraph" w:styleId="Corpsdetexte3">
    <w:name w:val="Body Text 3"/>
    <w:basedOn w:val="Normal"/>
    <w:link w:val="Corpsdetexte3Car"/>
    <w:uiPriority w:val="99"/>
    <w:semiHidden/>
    <w:unhideWhenUsed/>
    <w:rsid w:val="0003148D"/>
    <w:pPr>
      <w:spacing w:after="120"/>
    </w:pPr>
    <w:rPr>
      <w:sz w:val="16"/>
      <w:szCs w:val="16"/>
    </w:rPr>
  </w:style>
  <w:style w:type="paragraph" w:styleId="Date">
    <w:name w:val="Date"/>
    <w:basedOn w:val="Normal"/>
    <w:next w:val="Normal"/>
    <w:link w:val="DateCar"/>
    <w:uiPriority w:val="99"/>
    <w:semiHidden/>
    <w:unhideWhenUsed/>
    <w:rsid w:val="0003148D"/>
  </w:style>
  <w:style w:type="paragraph" w:customStyle="1" w:styleId="Puce2">
    <w:name w:val="Puce 2"/>
    <w:basedOn w:val="Normal"/>
    <w:uiPriority w:val="99"/>
    <w:semiHidden/>
    <w:unhideWhenUsed/>
    <w:rsid w:val="0003148D"/>
    <w:pPr>
      <w:ind w:left="566" w:hanging="283"/>
      <w:contextualSpacing/>
    </w:pPr>
  </w:style>
  <w:style w:type="paragraph" w:customStyle="1" w:styleId="Puce3">
    <w:name w:val="Puce 3"/>
    <w:basedOn w:val="Normal"/>
    <w:uiPriority w:val="99"/>
    <w:semiHidden/>
    <w:unhideWhenUsed/>
    <w:rsid w:val="0003148D"/>
    <w:pPr>
      <w:ind w:left="849" w:hanging="283"/>
      <w:contextualSpacing/>
    </w:pPr>
  </w:style>
  <w:style w:type="paragraph" w:customStyle="1" w:styleId="Puce4">
    <w:name w:val="Puce 4"/>
    <w:basedOn w:val="Normal"/>
    <w:uiPriority w:val="99"/>
    <w:semiHidden/>
    <w:unhideWhenUsed/>
    <w:rsid w:val="0003148D"/>
    <w:pPr>
      <w:ind w:left="1132" w:hanging="283"/>
      <w:contextualSpacing/>
    </w:pPr>
  </w:style>
  <w:style w:type="paragraph" w:customStyle="1" w:styleId="Puce5">
    <w:name w:val="Puce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paragraph" w:styleId="Signaturelectronique">
    <w:name w:val="E-mail Signature"/>
    <w:basedOn w:val="Normal"/>
    <w:link w:val="SignaturelectroniqueCar"/>
    <w:uiPriority w:val="99"/>
    <w:semiHidden/>
    <w:unhideWhenUsed/>
    <w:rsid w:val="0003148D"/>
    <w:pPr>
      <w:spacing w:line="240" w:lineRule="auto"/>
    </w:pPr>
  </w:style>
  <w:style w:type="paragraph" w:customStyle="1" w:styleId="Formulefinale">
    <w:name w:val="Formule finale"/>
    <w:basedOn w:val="Normal"/>
    <w:next w:val="Normal"/>
    <w:link w:val="SalutationsCar"/>
    <w:uiPriority w:val="99"/>
    <w:semiHidden/>
    <w:unhideWhenUsed/>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uiPriority w:val="99"/>
    <w:semiHidden/>
    <w:unhideWhenUsed/>
    <w:rsid w:val="0003148D"/>
    <w:pPr>
      <w:pBdr>
        <w:top w:val="single" w:sz="6" w:space="1" w:color="00000A"/>
        <w:left w:val="single" w:sz="6" w:space="1" w:color="00000A"/>
        <w:bottom w:val="single" w:sz="6" w:space="1" w:color="00000A"/>
        <w:right w:val="single" w:sz="6" w:space="1" w:color="00000A"/>
      </w:pBdr>
      <w:shd w:val="clear" w:color="auto" w:fill="CCCCCC"/>
      <w:spacing w:line="240" w:lineRule="auto"/>
      <w:ind w:left="1134" w:hanging="1134"/>
    </w:pPr>
    <w:rPr>
      <w:rFonts w:asciiTheme="majorHAnsi" w:eastAsiaTheme="majorEastAsia" w:hAnsiTheme="majorHAnsi" w:cstheme="majorBidi"/>
      <w:sz w:val="24"/>
      <w:szCs w:val="24"/>
    </w:rPr>
  </w:style>
  <w:style w:type="paragraph" w:styleId="Titredenote">
    <w:name w:val="Note Heading"/>
    <w:basedOn w:val="Normal"/>
    <w:next w:val="Normal"/>
    <w:link w:val="TitredenoteCar"/>
    <w:uiPriority w:val="99"/>
    <w:semiHidden/>
    <w:unhideWhenUsed/>
    <w:rsid w:val="0003148D"/>
    <w:pPr>
      <w:spacing w:line="240" w:lineRule="auto"/>
    </w:pPr>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contextualSpacing/>
    </w:pPr>
  </w:style>
  <w:style w:type="paragraph" w:styleId="Listenumros2">
    <w:name w:val="List Number 2"/>
    <w:basedOn w:val="Normal"/>
    <w:uiPriority w:val="99"/>
    <w:semiHidden/>
    <w:unhideWhenUsed/>
    <w:rsid w:val="0003148D"/>
    <w:pPr>
      <w:contextualSpacing/>
    </w:pPr>
  </w:style>
  <w:style w:type="paragraph" w:styleId="Listenumros3">
    <w:name w:val="List Number 3"/>
    <w:basedOn w:val="Normal"/>
    <w:uiPriority w:val="99"/>
    <w:semiHidden/>
    <w:unhideWhenUsed/>
    <w:rsid w:val="0003148D"/>
    <w:pPr>
      <w:contextualSpacing/>
    </w:pPr>
  </w:style>
  <w:style w:type="paragraph" w:styleId="Listenumros4">
    <w:name w:val="List Number 4"/>
    <w:basedOn w:val="Normal"/>
    <w:uiPriority w:val="99"/>
    <w:semiHidden/>
    <w:unhideWhenUsed/>
    <w:rsid w:val="0003148D"/>
    <w:pPr>
      <w:contextualSpacing/>
    </w:pPr>
  </w:style>
  <w:style w:type="paragraph" w:styleId="Listenumros5">
    <w:name w:val="List Number 5"/>
    <w:basedOn w:val="Normal"/>
    <w:uiPriority w:val="99"/>
    <w:semiHidden/>
    <w:unhideWhenUsed/>
    <w:rsid w:val="0003148D"/>
    <w:p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paragraph" w:styleId="Retraitcorpsdetexte">
    <w:name w:val="Body Text Indent"/>
    <w:basedOn w:val="Corpsdetexte"/>
    <w:link w:val="RetraitcorpsdetexteCar1"/>
    <w:uiPriority w:val="99"/>
    <w:semiHidden/>
    <w:unhideWhenUsed/>
    <w:rsid w:val="0003148D"/>
    <w:pPr>
      <w:spacing w:after="200"/>
      <w:ind w:firstLine="360"/>
    </w:pPr>
  </w:style>
  <w:style w:type="paragraph" w:customStyle="1" w:styleId="Retraitdecorpsdetexte">
    <w:name w:val="Retrait de corps de texte"/>
    <w:basedOn w:val="Normal"/>
    <w:link w:val="RetraitcorpsdetexteCar"/>
    <w:uiPriority w:val="99"/>
    <w:semiHidden/>
    <w:unhideWhenUsed/>
    <w:rsid w:val="0003148D"/>
    <w:pPr>
      <w:spacing w:after="120"/>
      <w:ind w:left="283"/>
    </w:pPr>
  </w:style>
  <w:style w:type="paragraph" w:styleId="Retraitcorpset1relig">
    <w:name w:val="Body Text First Indent 2"/>
    <w:basedOn w:val="Retraitdecorpsdetexte"/>
    <w:link w:val="Retraitcorpset1religCar"/>
    <w:uiPriority w:val="99"/>
    <w:semiHidden/>
    <w:unhideWhenUsed/>
    <w:rsid w:val="0003148D"/>
    <w:pPr>
      <w:spacing w:after="200"/>
      <w:ind w:left="360" w:firstLine="360"/>
    </w:pPr>
  </w:style>
  <w:style w:type="paragraph" w:styleId="Listepuces">
    <w:name w:val="List Bullet"/>
    <w:basedOn w:val="Normal"/>
    <w:uiPriority w:val="99"/>
    <w:semiHidden/>
    <w:unhideWhenUsed/>
    <w:rsid w:val="0003148D"/>
    <w:pPr>
      <w:contextualSpacing/>
    </w:pPr>
  </w:style>
  <w:style w:type="paragraph" w:styleId="Listepuces2">
    <w:name w:val="List Bullet 2"/>
    <w:basedOn w:val="Normal"/>
    <w:uiPriority w:val="99"/>
    <w:semiHidden/>
    <w:unhideWhenUsed/>
    <w:rsid w:val="0003148D"/>
    <w:pPr>
      <w:contextualSpacing/>
    </w:pPr>
  </w:style>
  <w:style w:type="paragraph" w:styleId="Listepuces3">
    <w:name w:val="List Bullet 3"/>
    <w:basedOn w:val="Normal"/>
    <w:uiPriority w:val="99"/>
    <w:semiHidden/>
    <w:unhideWhenUsed/>
    <w:rsid w:val="0003148D"/>
    <w:pPr>
      <w:contextualSpacing/>
    </w:pPr>
  </w:style>
  <w:style w:type="paragraph" w:styleId="Listepuces4">
    <w:name w:val="List Bullet 4"/>
    <w:basedOn w:val="Normal"/>
    <w:uiPriority w:val="99"/>
    <w:semiHidden/>
    <w:unhideWhenUsed/>
    <w:rsid w:val="0003148D"/>
    <w:pPr>
      <w:contextualSpacing/>
    </w:pPr>
  </w:style>
  <w:style w:type="paragraph" w:styleId="Listepuces5">
    <w:name w:val="List Bullet 5"/>
    <w:basedOn w:val="Normal"/>
    <w:uiPriority w:val="99"/>
    <w:semiHidden/>
    <w:unhideWhenUsed/>
    <w:rsid w:val="0003148D"/>
    <w:p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paragraph" w:styleId="Objetducommentaire">
    <w:name w:val="annotation subject"/>
    <w:basedOn w:val="Commentaire"/>
    <w:link w:val="ObjetducommentaireCar"/>
    <w:uiPriority w:val="99"/>
    <w:semiHidden/>
    <w:unhideWhenUsed/>
    <w:rsid w:val="0003148D"/>
    <w:rPr>
      <w:b/>
      <w:bCs/>
    </w:rPr>
  </w:style>
  <w:style w:type="paragraph" w:customStyle="1" w:styleId="Tabledesmatiresniveau1">
    <w:name w:val="Table des matières niveau 1"/>
    <w:basedOn w:val="Normal"/>
    <w:next w:val="Normal"/>
    <w:autoRedefine/>
    <w:uiPriority w:val="39"/>
    <w:semiHidden/>
    <w:unhideWhenUsed/>
    <w:rsid w:val="0003148D"/>
    <w:pPr>
      <w:spacing w:after="100"/>
    </w:pPr>
  </w:style>
  <w:style w:type="paragraph" w:customStyle="1" w:styleId="Tabledesmatiresniveau2">
    <w:name w:val="Table des matières niveau 2"/>
    <w:basedOn w:val="Normal"/>
    <w:next w:val="Normal"/>
    <w:autoRedefine/>
    <w:uiPriority w:val="39"/>
    <w:semiHidden/>
    <w:unhideWhenUsed/>
    <w:rsid w:val="0003148D"/>
    <w:pPr>
      <w:spacing w:after="100"/>
      <w:ind w:left="220"/>
    </w:pPr>
  </w:style>
  <w:style w:type="paragraph" w:customStyle="1" w:styleId="Tabledesmatiresniveau3">
    <w:name w:val="Table des matières niveau 3"/>
    <w:basedOn w:val="Normal"/>
    <w:next w:val="Normal"/>
    <w:autoRedefine/>
    <w:uiPriority w:val="39"/>
    <w:semiHidden/>
    <w:unhideWhenUsed/>
    <w:rsid w:val="0003148D"/>
    <w:pPr>
      <w:spacing w:after="100"/>
      <w:ind w:left="440"/>
    </w:pPr>
  </w:style>
  <w:style w:type="paragraph" w:customStyle="1" w:styleId="Tabledesmatiresniveau4">
    <w:name w:val="Table des matières niveau 4"/>
    <w:basedOn w:val="Normal"/>
    <w:next w:val="Normal"/>
    <w:autoRedefine/>
    <w:uiPriority w:val="39"/>
    <w:semiHidden/>
    <w:unhideWhenUsed/>
    <w:rsid w:val="0003148D"/>
    <w:pPr>
      <w:spacing w:after="100"/>
      <w:ind w:left="660"/>
    </w:pPr>
  </w:style>
  <w:style w:type="paragraph" w:customStyle="1" w:styleId="Tabledesmatiresniveau5">
    <w:name w:val="Table des matières niveau 5"/>
    <w:basedOn w:val="Normal"/>
    <w:next w:val="Normal"/>
    <w:autoRedefine/>
    <w:uiPriority w:val="39"/>
    <w:semiHidden/>
    <w:unhideWhenUsed/>
    <w:rsid w:val="0003148D"/>
    <w:pPr>
      <w:spacing w:after="100"/>
      <w:ind w:left="880"/>
    </w:pPr>
  </w:style>
  <w:style w:type="paragraph" w:customStyle="1" w:styleId="Tabledesmatiresniveau6">
    <w:name w:val="Table des matières niveau 6"/>
    <w:basedOn w:val="Normal"/>
    <w:next w:val="Normal"/>
    <w:autoRedefine/>
    <w:uiPriority w:val="39"/>
    <w:semiHidden/>
    <w:unhideWhenUsed/>
    <w:rsid w:val="0003148D"/>
    <w:pPr>
      <w:spacing w:after="100"/>
      <w:ind w:left="1100"/>
    </w:pPr>
  </w:style>
  <w:style w:type="paragraph" w:customStyle="1" w:styleId="Tabledesmatiresniveau7">
    <w:name w:val="Table des matières niveau 7"/>
    <w:basedOn w:val="Normal"/>
    <w:next w:val="Normal"/>
    <w:autoRedefine/>
    <w:uiPriority w:val="39"/>
    <w:semiHidden/>
    <w:unhideWhenUsed/>
    <w:rsid w:val="0003148D"/>
    <w:pPr>
      <w:spacing w:after="100"/>
      <w:ind w:left="1320"/>
    </w:pPr>
  </w:style>
  <w:style w:type="paragraph" w:customStyle="1" w:styleId="Tabledesmatiresniveau8">
    <w:name w:val="Table des matières niveau 8"/>
    <w:basedOn w:val="Normal"/>
    <w:next w:val="Normal"/>
    <w:autoRedefine/>
    <w:uiPriority w:val="39"/>
    <w:semiHidden/>
    <w:unhideWhenUsed/>
    <w:rsid w:val="0003148D"/>
    <w:pPr>
      <w:spacing w:after="100"/>
      <w:ind w:left="1540"/>
    </w:pPr>
  </w:style>
  <w:style w:type="paragraph" w:customStyle="1" w:styleId="Tabledesmatiresniveau9">
    <w:name w:val="Table des matières niveau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left w:val="single" w:sz="2" w:space="10" w:color="4F81BD"/>
        <w:bottom w:val="single" w:sz="2" w:space="10" w:color="4F81BD"/>
        <w:right w:val="single" w:sz="2" w:space="10" w:color="4F81BD"/>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paragraph" w:styleId="Notedefin">
    <w:name w:val="endnote text"/>
    <w:basedOn w:val="Normal"/>
    <w:link w:val="NotedefinCar"/>
    <w:uiPriority w:val="99"/>
    <w:semiHidden/>
    <w:unhideWhenUsed/>
    <w:rsid w:val="0003148D"/>
    <w:pPr>
      <w:spacing w:line="240" w:lineRule="auto"/>
    </w:pPr>
  </w:style>
  <w:style w:type="paragraph" w:styleId="Titreindex">
    <w:name w:val="index heading"/>
    <w:basedOn w:val="Normal"/>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customStyle="1" w:styleId="Titredetabledesmatires">
    <w:name w:val="Titre de table des matières"/>
    <w:basedOn w:val="Titre1"/>
    <w:next w:val="Normal"/>
    <w:uiPriority w:val="39"/>
    <w:semiHidden/>
    <w:unhideWhenUsed/>
    <w:qFormat/>
    <w:rsid w:val="0003148D"/>
  </w:style>
  <w:style w:type="paragraph" w:customStyle="1" w:styleId="CETemail">
    <w:name w:val="CET email"/>
    <w:rsid w:val="009E788A"/>
    <w:pPr>
      <w:suppressAutoHyphens/>
      <w:spacing w:after="240"/>
    </w:pPr>
    <w:rPr>
      <w:rFonts w:ascii="Arial" w:eastAsia="Times New Roman" w:hAnsi="Arial" w:cs="Times New Roman"/>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suppressAutoHyphens/>
      <w:spacing w:line="264" w:lineRule="auto"/>
    </w:pPr>
    <w:rPr>
      <w:rFonts w:ascii="Arial" w:eastAsia="Times New Roman" w:hAnsi="Arial" w:cs="Times New Roman"/>
      <w:sz w:val="18"/>
      <w:szCs w:val="20"/>
      <w:lang w:val="en-GB"/>
    </w:rPr>
  </w:style>
  <w:style w:type="paragraph" w:customStyle="1" w:styleId="CETnumbering1">
    <w:name w:val="CET numbering (1"/>
    <w:rsid w:val="00B57B36"/>
    <w:pPr>
      <w:suppressAutoHyphens/>
      <w:spacing w:line="264" w:lineRule="auto"/>
      <w:ind w:left="340" w:hanging="227"/>
    </w:pPr>
    <w:rPr>
      <w:rFonts w:ascii="Arial" w:eastAsia="Times New Roman" w:hAnsi="Arial" w:cs="Times New Roman"/>
      <w:sz w:val="18"/>
      <w:szCs w:val="20"/>
      <w:lang w:val="en-US"/>
    </w:rPr>
  </w:style>
  <w:style w:type="paragraph" w:customStyle="1" w:styleId="CETnumberinga">
    <w:name w:val="CET numbering (a"/>
    <w:rsid w:val="00B57B36"/>
    <w:pPr>
      <w:suppressAutoHyphens/>
      <w:spacing w:line="264" w:lineRule="auto"/>
    </w:pPr>
    <w:rPr>
      <w:rFonts w:ascii="Arial" w:eastAsia="Times New Roman" w:hAnsi="Arial" w:cs="Times New Roman"/>
      <w:sz w:val="18"/>
      <w:szCs w:val="20"/>
      <w:lang w:val="en-GB"/>
    </w:rPr>
  </w:style>
  <w:style w:type="paragraph" w:styleId="En-tte">
    <w:name w:val="header"/>
    <w:basedOn w:val="Normal"/>
    <w:uiPriority w:val="99"/>
    <w:unhideWhenUsed/>
    <w:rsid w:val="005278B7"/>
    <w:pPr>
      <w:tabs>
        <w:tab w:val="center" w:pos="4819"/>
        <w:tab w:val="right" w:pos="9638"/>
      </w:tabs>
      <w:spacing w:line="240" w:lineRule="auto"/>
    </w:pPr>
  </w:style>
  <w:style w:type="paragraph" w:styleId="Pieddepage">
    <w:name w:val="footer"/>
    <w:basedOn w:val="Normal"/>
    <w:link w:val="PieddepageCar"/>
    <w:uiPriority w:val="99"/>
    <w:unhideWhenUsed/>
    <w:rsid w:val="005278B7"/>
    <w:pPr>
      <w:tabs>
        <w:tab w:val="center" w:pos="4819"/>
        <w:tab w:val="right" w:pos="9638"/>
      </w:tabs>
      <w:spacing w:line="240" w:lineRule="auto"/>
    </w:pPr>
  </w:style>
  <w:style w:type="paragraph" w:customStyle="1" w:styleId="CETListbullets">
    <w:name w:val="CET List bullets"/>
    <w:qFormat/>
    <w:rsid w:val="004577FE"/>
    <w:pPr>
      <w:suppressAutoHyphens/>
      <w:spacing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uppressAutoHyphens/>
      <w:spacing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uppressAutoHyphens/>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qFormat/>
    <w:rsid w:val="00600535"/>
    <w:pPr>
      <w:suppressAutoHyphens/>
      <w:spacing w:before="200" w:after="120"/>
    </w:pPr>
    <w:rPr>
      <w:rFonts w:ascii="Arial" w:eastAsia="Times New Roman" w:hAnsi="Arial" w:cs="Times New Roman"/>
      <w:b/>
      <w:sz w:val="18"/>
      <w:szCs w:val="20"/>
      <w:lang w:val="en-GB"/>
    </w:rPr>
  </w:style>
  <w:style w:type="paragraph" w:customStyle="1" w:styleId="CETEquation">
    <w:name w:val="CET Equation"/>
    <w:basedOn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paragraph" w:styleId="Paragraphedeliste">
    <w:name w:val="List Paragraph"/>
    <w:basedOn w:val="Normal"/>
    <w:uiPriority w:val="34"/>
    <w:rsid w:val="00280FAF"/>
    <w:pPr>
      <w:ind w:left="720"/>
      <w:contextualSpacing/>
    </w:pPr>
  </w:style>
  <w:style w:type="table" w:styleId="Tableausimple1">
    <w:name w:val="Table Simple 1"/>
    <w:basedOn w:val="TableauNormal"/>
    <w:semiHidden/>
    <w:rsid w:val="000E414A"/>
    <w:pPr>
      <w:spacing w:line="264" w:lineRule="auto"/>
      <w:jc w:val="both"/>
    </w:pPr>
    <w:rPr>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Grilledutableau">
    <w:name w:val="Table Grid"/>
    <w:basedOn w:val="TableauNormal"/>
    <w:uiPriority w:val="59"/>
    <w:rsid w:val="00660E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1805">
      <w:bodyDiv w:val="1"/>
      <w:marLeft w:val="0"/>
      <w:marRight w:val="0"/>
      <w:marTop w:val="0"/>
      <w:marBottom w:val="0"/>
      <w:divBdr>
        <w:top w:val="none" w:sz="0" w:space="0" w:color="auto"/>
        <w:left w:val="none" w:sz="0" w:space="0" w:color="auto"/>
        <w:bottom w:val="none" w:sz="0" w:space="0" w:color="auto"/>
        <w:right w:val="none" w:sz="0" w:space="0" w:color="auto"/>
      </w:divBdr>
    </w:div>
    <w:div w:id="401221293">
      <w:bodyDiv w:val="1"/>
      <w:marLeft w:val="0"/>
      <w:marRight w:val="0"/>
      <w:marTop w:val="0"/>
      <w:marBottom w:val="0"/>
      <w:divBdr>
        <w:top w:val="none" w:sz="0" w:space="0" w:color="auto"/>
        <w:left w:val="none" w:sz="0" w:space="0" w:color="auto"/>
        <w:bottom w:val="none" w:sz="0" w:space="0" w:color="auto"/>
        <w:right w:val="none" w:sz="0" w:space="0" w:color="auto"/>
      </w:divBdr>
      <w:divsChild>
        <w:div w:id="910583702">
          <w:marLeft w:val="0"/>
          <w:marRight w:val="0"/>
          <w:marTop w:val="0"/>
          <w:marBottom w:val="0"/>
          <w:divBdr>
            <w:top w:val="none" w:sz="0" w:space="0" w:color="auto"/>
            <w:left w:val="none" w:sz="0" w:space="0" w:color="auto"/>
            <w:bottom w:val="none" w:sz="0" w:space="0" w:color="auto"/>
            <w:right w:val="none" w:sz="0" w:space="0" w:color="auto"/>
          </w:divBdr>
          <w:divsChild>
            <w:div w:id="1442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3601">
      <w:bodyDiv w:val="1"/>
      <w:marLeft w:val="0"/>
      <w:marRight w:val="0"/>
      <w:marTop w:val="0"/>
      <w:marBottom w:val="0"/>
      <w:divBdr>
        <w:top w:val="none" w:sz="0" w:space="0" w:color="auto"/>
        <w:left w:val="none" w:sz="0" w:space="0" w:color="auto"/>
        <w:bottom w:val="none" w:sz="0" w:space="0" w:color="auto"/>
        <w:right w:val="none" w:sz="0" w:space="0" w:color="auto"/>
      </w:divBdr>
    </w:div>
    <w:div w:id="1577400994">
      <w:bodyDiv w:val="1"/>
      <w:marLeft w:val="0"/>
      <w:marRight w:val="0"/>
      <w:marTop w:val="0"/>
      <w:marBottom w:val="0"/>
      <w:divBdr>
        <w:top w:val="none" w:sz="0" w:space="0" w:color="auto"/>
        <w:left w:val="none" w:sz="0" w:space="0" w:color="auto"/>
        <w:bottom w:val="none" w:sz="0" w:space="0" w:color="auto"/>
        <w:right w:val="none" w:sz="0" w:space="0" w:color="auto"/>
      </w:divBdr>
    </w:div>
    <w:div w:id="2038119931">
      <w:bodyDiv w:val="1"/>
      <w:marLeft w:val="0"/>
      <w:marRight w:val="0"/>
      <w:marTop w:val="0"/>
      <w:marBottom w:val="0"/>
      <w:divBdr>
        <w:top w:val="none" w:sz="0" w:space="0" w:color="auto"/>
        <w:left w:val="none" w:sz="0" w:space="0" w:color="auto"/>
        <w:bottom w:val="none" w:sz="0" w:space="0" w:color="auto"/>
        <w:right w:val="none" w:sz="0" w:space="0" w:color="auto"/>
      </w:divBdr>
      <w:divsChild>
        <w:div w:id="1872836600">
          <w:marLeft w:val="0"/>
          <w:marRight w:val="0"/>
          <w:marTop w:val="0"/>
          <w:marBottom w:val="150"/>
          <w:divBdr>
            <w:top w:val="none" w:sz="0" w:space="0" w:color="auto"/>
            <w:left w:val="none" w:sz="0" w:space="0" w:color="auto"/>
            <w:bottom w:val="none" w:sz="0" w:space="0" w:color="auto"/>
            <w:right w:val="none" w:sz="0" w:space="0" w:color="auto"/>
          </w:divBdr>
        </w:div>
        <w:div w:id="657461606">
          <w:marLeft w:val="0"/>
          <w:marRight w:val="0"/>
          <w:marTop w:val="0"/>
          <w:marBottom w:val="225"/>
          <w:divBdr>
            <w:top w:val="none" w:sz="0" w:space="0" w:color="auto"/>
            <w:left w:val="none" w:sz="0" w:space="0" w:color="auto"/>
            <w:bottom w:val="none" w:sz="0" w:space="0" w:color="auto"/>
            <w:right w:val="none" w:sz="0" w:space="0" w:color="auto"/>
          </w:divBdr>
          <w:divsChild>
            <w:div w:id="94518164">
              <w:marLeft w:val="0"/>
              <w:marRight w:val="0"/>
              <w:marTop w:val="0"/>
              <w:marBottom w:val="0"/>
              <w:divBdr>
                <w:top w:val="none" w:sz="0" w:space="0" w:color="auto"/>
                <w:left w:val="none" w:sz="0" w:space="0" w:color="auto"/>
                <w:bottom w:val="none" w:sz="0" w:space="0" w:color="auto"/>
                <w:right w:val="none" w:sz="0" w:space="0" w:color="auto"/>
              </w:divBdr>
              <w:divsChild>
                <w:div w:id="1757021620">
                  <w:marLeft w:val="0"/>
                  <w:marRight w:val="0"/>
                  <w:marTop w:val="0"/>
                  <w:marBottom w:val="75"/>
                  <w:divBdr>
                    <w:top w:val="none" w:sz="0" w:space="0" w:color="auto"/>
                    <w:left w:val="none" w:sz="0" w:space="0" w:color="auto"/>
                    <w:bottom w:val="none" w:sz="0" w:space="0" w:color="auto"/>
                    <w:right w:val="none" w:sz="0" w:space="0" w:color="auto"/>
                  </w:divBdr>
                </w:div>
                <w:div w:id="607593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an-michel.guillot@mines-ales.f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A8051-C5FF-45C6-B0FB-D4B59F45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3828</Words>
  <Characters>21055</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Jean-Michel Guillot</cp:lastModifiedBy>
  <cp:revision>2</cp:revision>
  <cp:lastPrinted>2022-06-23T20:16:00Z</cp:lastPrinted>
  <dcterms:created xsi:type="dcterms:W3CDTF">2022-06-23T20:20:00Z</dcterms:created>
  <dcterms:modified xsi:type="dcterms:W3CDTF">2022-06-23T20:20:00Z</dcterms:modified>
  <dc:language>fr-FR</dc:language>
</cp:coreProperties>
</file>