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GoBack"/>
            <w:bookmarkEnd w:id="0"/>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25570670"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D46B7E">
              <w:rPr>
                <w:rFonts w:cs="Arial"/>
                <w:b/>
                <w:bCs/>
                <w:i/>
                <w:iCs/>
                <w:color w:val="000066"/>
                <w:sz w:val="22"/>
                <w:szCs w:val="22"/>
                <w:lang w:eastAsia="it-IT"/>
              </w:rPr>
              <w:t>9</w:t>
            </w:r>
            <w:r w:rsidR="00323C5F">
              <w:rPr>
                <w:rFonts w:cs="Arial"/>
                <w:b/>
                <w:bCs/>
                <w:i/>
                <w:iCs/>
                <w:color w:val="000066"/>
                <w:sz w:val="22"/>
                <w:szCs w:val="22"/>
                <w:lang w:eastAsia="it-IT"/>
              </w:rPr>
              <w:t>5</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7B48F9">
              <w:rPr>
                <w:rFonts w:cs="Arial"/>
                <w:b/>
                <w:bCs/>
                <w:i/>
                <w:iCs/>
                <w:color w:val="000066"/>
                <w:sz w:val="22"/>
                <w:szCs w:val="22"/>
                <w:lang w:eastAsia="it-IT"/>
              </w:rPr>
              <w:t>2</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1EC8AE73" w:rsidR="00300E56" w:rsidRPr="0044071E" w:rsidRDefault="00300E56" w:rsidP="00B57E6F">
            <w:pPr>
              <w:ind w:left="-107"/>
              <w:outlineLvl w:val="2"/>
              <w:rPr>
                <w:rFonts w:ascii="Tahoma" w:hAnsi="Tahoma" w:cs="Tahoma"/>
                <w:bCs/>
                <w:color w:val="000000"/>
                <w:sz w:val="14"/>
                <w:szCs w:val="14"/>
                <w:lang w:val="it-IT" w:eastAsia="it-IT"/>
              </w:rPr>
            </w:pPr>
            <w:r w:rsidRPr="0044071E">
              <w:rPr>
                <w:rFonts w:ascii="Tahoma" w:hAnsi="Tahoma" w:cs="Tahoma"/>
                <w:iCs/>
                <w:color w:val="333333"/>
                <w:sz w:val="14"/>
                <w:szCs w:val="14"/>
                <w:lang w:val="it-IT" w:eastAsia="it-IT"/>
              </w:rPr>
              <w:t>Guest Editors:</w:t>
            </w:r>
            <w:r w:rsidR="001D21AF" w:rsidRPr="0044071E">
              <w:rPr>
                <w:rFonts w:ascii="Tahoma" w:hAnsi="Tahoma" w:cs="Tahoma"/>
                <w:color w:val="000000"/>
                <w:sz w:val="14"/>
                <w:szCs w:val="14"/>
                <w:shd w:val="clear" w:color="auto" w:fill="FFFFFF"/>
                <w:lang w:val="it-IT"/>
              </w:rPr>
              <w:t xml:space="preserve"> </w:t>
            </w:r>
            <w:r w:rsidR="00323C5F">
              <w:rPr>
                <w:sz w:val="14"/>
                <w:szCs w:val="14"/>
                <w:lang w:val="it-IT"/>
              </w:rPr>
              <w:t>Selena Sironi, Laura Capelli</w:t>
            </w:r>
          </w:p>
          <w:p w14:paraId="1B0F1814" w14:textId="1C3DE831" w:rsidR="000A03B2" w:rsidRPr="00B57B36" w:rsidRDefault="00FA5F5F" w:rsidP="001D21A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E72EAD">
              <w:rPr>
                <w:rFonts w:ascii="Tahoma" w:hAnsi="Tahoma" w:cs="Tahoma"/>
                <w:iCs/>
                <w:color w:val="333333"/>
                <w:sz w:val="14"/>
                <w:szCs w:val="14"/>
                <w:lang w:eastAsia="it-IT"/>
              </w:rPr>
              <w:t>2</w:t>
            </w:r>
            <w:r w:rsidR="00904C62" w:rsidRPr="00B57B36">
              <w:rPr>
                <w:rFonts w:ascii="Tahoma" w:hAnsi="Tahoma" w:cs="Tahoma"/>
                <w:iCs/>
                <w:color w:val="333333"/>
                <w:sz w:val="14"/>
                <w:szCs w:val="14"/>
                <w:lang w:eastAsia="it-IT"/>
              </w:rPr>
              <w:t>, AIDIC Servizi S.r.l.</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978-88-</w:t>
            </w:r>
            <w:r w:rsidR="008D32B9" w:rsidRPr="00EF06D9">
              <w:rPr>
                <w:rFonts w:ascii="Tahoma" w:hAnsi="Tahoma" w:cs="Tahoma"/>
                <w:sz w:val="14"/>
                <w:szCs w:val="14"/>
              </w:rPr>
              <w:t>95608</w:t>
            </w:r>
            <w:r w:rsidR="00D46B7E">
              <w:rPr>
                <w:rFonts w:ascii="Tahoma" w:hAnsi="Tahoma" w:cs="Tahoma"/>
                <w:sz w:val="14"/>
                <w:szCs w:val="14"/>
              </w:rPr>
              <w:t>-</w:t>
            </w:r>
            <w:r w:rsidR="001D21AF">
              <w:rPr>
                <w:rFonts w:ascii="Tahoma" w:hAnsi="Tahoma" w:cs="Tahoma"/>
                <w:sz w:val="14"/>
                <w:szCs w:val="14"/>
              </w:rPr>
              <w:t>9</w:t>
            </w:r>
            <w:r w:rsidR="00323C5F">
              <w:rPr>
                <w:rFonts w:ascii="Tahoma" w:hAnsi="Tahoma" w:cs="Tahoma"/>
                <w:sz w:val="14"/>
                <w:szCs w:val="14"/>
              </w:rPr>
              <w:t>4</w:t>
            </w:r>
            <w:r w:rsidR="00D46B7E">
              <w:rPr>
                <w:rFonts w:ascii="Tahoma" w:hAnsi="Tahoma" w:cs="Tahoma"/>
                <w:sz w:val="14"/>
                <w:szCs w:val="14"/>
              </w:rPr>
              <w:t>-</w:t>
            </w:r>
            <w:r w:rsidR="00323C5F">
              <w:rPr>
                <w:rFonts w:ascii="Tahoma" w:hAnsi="Tahoma" w:cs="Tahoma"/>
                <w:sz w:val="14"/>
                <w:szCs w:val="14"/>
              </w:rPr>
              <w:t>5</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2E667253" w14:textId="150BA037" w:rsidR="00E978D0" w:rsidRPr="00B57B36" w:rsidRDefault="002A0AD6" w:rsidP="00E978D0">
      <w:pPr>
        <w:pStyle w:val="CETTitle"/>
      </w:pPr>
      <w:r>
        <w:t>A method to evaluate odour impacts in the case of highly variable emission scenarios: a case study in a foundry</w:t>
      </w:r>
    </w:p>
    <w:p w14:paraId="0488FED2" w14:textId="45CCABF3" w:rsidR="00B57E6F" w:rsidRPr="00D82292" w:rsidRDefault="00646F1A" w:rsidP="00B57E6F">
      <w:pPr>
        <w:pStyle w:val="CETAuthors"/>
        <w:rPr>
          <w:lang w:val="it-IT"/>
        </w:rPr>
      </w:pPr>
      <w:r w:rsidRPr="00D82292">
        <w:rPr>
          <w:lang w:val="it-IT"/>
        </w:rPr>
        <w:t>Beatric</w:t>
      </w:r>
      <w:r w:rsidR="003F45D7" w:rsidRPr="00D82292">
        <w:rPr>
          <w:lang w:val="it-IT"/>
        </w:rPr>
        <w:t>e J. Lotesoriere*, Alessandra Panzitta</w:t>
      </w:r>
      <w:r w:rsidR="00D82292" w:rsidRPr="00D82292">
        <w:rPr>
          <w:lang w:val="it-IT"/>
        </w:rPr>
        <w:t>, Laura Capelli</w:t>
      </w:r>
    </w:p>
    <w:p w14:paraId="5C26AA42" w14:textId="77777777" w:rsidR="002B1ABC" w:rsidRPr="00C4116C" w:rsidRDefault="002B1ABC" w:rsidP="002B1ABC">
      <w:pPr>
        <w:pStyle w:val="CETAddress"/>
        <w:rPr>
          <w:lang w:val="en-US"/>
        </w:rPr>
      </w:pPr>
      <w:r w:rsidRPr="00C4116C">
        <w:rPr>
          <w:lang w:val="en-US"/>
        </w:rPr>
        <w:t>Politecnico di Milano, Departement of Chemistry, Materials and Chemical Engineering, Piazza Leonardo da Vinci, 32, 20133 Milano, Italy.</w:t>
      </w:r>
    </w:p>
    <w:p w14:paraId="525E8309" w14:textId="430644E8" w:rsidR="002B1ABC" w:rsidRDefault="007C5EDF" w:rsidP="002B1ABC">
      <w:pPr>
        <w:pStyle w:val="CETAddress"/>
      </w:pPr>
      <w:hyperlink r:id="rId10" w:history="1">
        <w:r w:rsidR="00587BCD" w:rsidRPr="00CA601D">
          <w:rPr>
            <w:rStyle w:val="Collegamentoipertestuale"/>
          </w:rPr>
          <w:t>*beatricejulia.lotesoriere@polimi.it</w:t>
        </w:r>
      </w:hyperlink>
    </w:p>
    <w:p w14:paraId="30B990D1" w14:textId="77777777" w:rsidR="002B1ABC" w:rsidRDefault="002B1ABC" w:rsidP="002B1ABC">
      <w:pPr>
        <w:pStyle w:val="CETAddress"/>
      </w:pPr>
    </w:p>
    <w:p w14:paraId="7580F223" w14:textId="38CC56A8" w:rsidR="0050247D" w:rsidRDefault="0050247D" w:rsidP="0050247D">
      <w:pPr>
        <w:pStyle w:val="CETBodytext"/>
        <w:rPr>
          <w:lang w:val="en-GB"/>
        </w:rPr>
      </w:pPr>
      <w:r w:rsidRPr="0050247D">
        <w:rPr>
          <w:lang w:val="en-GB"/>
        </w:rPr>
        <w:t xml:space="preserve">Odour impact assessment </w:t>
      </w:r>
      <w:r w:rsidR="00B26182">
        <w:rPr>
          <w:lang w:val="en-GB"/>
        </w:rPr>
        <w:t>can be a very complex</w:t>
      </w:r>
      <w:r w:rsidRPr="0050247D">
        <w:rPr>
          <w:lang w:val="en-GB"/>
        </w:rPr>
        <w:t xml:space="preserve"> issue for plants characterized by variable emissions associated to different operating conditions occurring with unpredictable frequencies. A</w:t>
      </w:r>
      <w:r w:rsidR="00B26182">
        <w:rPr>
          <w:lang w:val="en-GB"/>
        </w:rPr>
        <w:t>n</w:t>
      </w:r>
      <w:r w:rsidRPr="0050247D">
        <w:rPr>
          <w:lang w:val="en-GB"/>
        </w:rPr>
        <w:t xml:space="preserve"> example of this type of plants are foundries</w:t>
      </w:r>
      <w:r w:rsidR="002E2790">
        <w:rPr>
          <w:lang w:val="en-GB"/>
        </w:rPr>
        <w:t xml:space="preserve"> which, in general,</w:t>
      </w:r>
      <w:r w:rsidRPr="0050247D">
        <w:rPr>
          <w:lang w:val="en-GB"/>
        </w:rPr>
        <w:t xml:space="preserve"> are equipped to treat, transform and process a variety of raw materials </w:t>
      </w:r>
      <w:r w:rsidR="00433693">
        <w:rPr>
          <w:lang w:val="en-GB"/>
        </w:rPr>
        <w:t xml:space="preserve">in order to reach the required prerequisites </w:t>
      </w:r>
      <w:r w:rsidR="00DD0B37">
        <w:rPr>
          <w:lang w:val="en-GB"/>
        </w:rPr>
        <w:t>of the</w:t>
      </w:r>
      <w:r w:rsidR="00FD6B24">
        <w:rPr>
          <w:lang w:val="en-GB"/>
        </w:rPr>
        <w:t>ir final products (i.e.,</w:t>
      </w:r>
      <w:r w:rsidR="00DD0B37">
        <w:rPr>
          <w:lang w:val="en-GB"/>
        </w:rPr>
        <w:t xml:space="preserve"> alloys</w:t>
      </w:r>
      <w:r w:rsidR="00FD6B24">
        <w:rPr>
          <w:lang w:val="en-GB"/>
        </w:rPr>
        <w:t>)</w:t>
      </w:r>
      <w:r w:rsidR="00DD0B37">
        <w:rPr>
          <w:lang w:val="en-GB"/>
        </w:rPr>
        <w:t xml:space="preserve">. </w:t>
      </w:r>
      <w:r w:rsidRPr="0050247D">
        <w:rPr>
          <w:lang w:val="en-GB"/>
        </w:rPr>
        <w:t xml:space="preserve">Thus, depending on the raw materials entering the plant, it could be necessary to change very often, even several times a day, the operating conditions of the plant, leading to a continuous variation of their emissions. In this context, the present work aims to describe a methodology to characterize such complex </w:t>
      </w:r>
      <w:r w:rsidR="00B26182">
        <w:rPr>
          <w:lang w:val="en-GB"/>
        </w:rPr>
        <w:t xml:space="preserve">and variable emission </w:t>
      </w:r>
      <w:r w:rsidRPr="0050247D">
        <w:rPr>
          <w:lang w:val="en-GB"/>
        </w:rPr>
        <w:t>scenario from an olfactory point of view. This case-study focuses on the evaluation of the odour impact assessment of a non-ferrous metal smelting and alloying plant whose odorous emissions demonstrated to strongly differ from each other depending on the processing phase and type of raw materials used. Firstly, several olfactometric campaigns were carried out in different season</w:t>
      </w:r>
      <w:r w:rsidR="00B26182">
        <w:rPr>
          <w:lang w:val="en-GB"/>
        </w:rPr>
        <w:t>s</w:t>
      </w:r>
      <w:r w:rsidRPr="0050247D">
        <w:rPr>
          <w:lang w:val="en-GB"/>
        </w:rPr>
        <w:t xml:space="preserve"> and considering different operating conditions</w:t>
      </w:r>
      <w:r w:rsidR="00FD3A4A">
        <w:rPr>
          <w:lang w:val="en-GB"/>
        </w:rPr>
        <w:t>.</w:t>
      </w:r>
      <w:r w:rsidR="002E3A5A">
        <w:rPr>
          <w:lang w:val="en-GB"/>
        </w:rPr>
        <w:t xml:space="preserve"> </w:t>
      </w:r>
      <w:r w:rsidR="00E16177">
        <w:rPr>
          <w:lang w:val="en-GB"/>
        </w:rPr>
        <w:t xml:space="preserve">By </w:t>
      </w:r>
      <w:r w:rsidR="00772358">
        <w:rPr>
          <w:lang w:val="en-GB"/>
        </w:rPr>
        <w:t>analysing the odour concentration values</w:t>
      </w:r>
      <w:r w:rsidR="00CA7127">
        <w:rPr>
          <w:lang w:val="en-GB"/>
        </w:rPr>
        <w:t xml:space="preserve"> by means of</w:t>
      </w:r>
      <w:r w:rsidR="00E16177">
        <w:rPr>
          <w:lang w:val="en-GB"/>
        </w:rPr>
        <w:t xml:space="preserve"> </w:t>
      </w:r>
      <w:r w:rsidR="0035012F">
        <w:rPr>
          <w:lang w:val="en-GB"/>
        </w:rPr>
        <w:t>a one-way</w:t>
      </w:r>
      <w:r w:rsidR="00E16177">
        <w:rPr>
          <w:lang w:val="en-GB"/>
        </w:rPr>
        <w:t xml:space="preserve"> ANOVA test</w:t>
      </w:r>
      <w:r w:rsidR="00CA7127">
        <w:rPr>
          <w:lang w:val="en-GB"/>
        </w:rPr>
        <w:t xml:space="preserve">, </w:t>
      </w:r>
      <w:r w:rsidR="00826A55">
        <w:rPr>
          <w:lang w:val="en-GB"/>
        </w:rPr>
        <w:t>two</w:t>
      </w:r>
      <w:r w:rsidRPr="0050247D">
        <w:rPr>
          <w:lang w:val="en-GB"/>
        </w:rPr>
        <w:t xml:space="preserve"> “macro</w:t>
      </w:r>
      <w:r w:rsidR="00323A3D">
        <w:rPr>
          <w:lang w:val="en-GB"/>
        </w:rPr>
        <w:t>-</w:t>
      </w:r>
      <w:r w:rsidRPr="0050247D">
        <w:rPr>
          <w:lang w:val="en-GB"/>
        </w:rPr>
        <w:t>classes” of operating conditions characterized by statistically different odour emissions</w:t>
      </w:r>
      <w:r w:rsidR="00EE57E3">
        <w:rPr>
          <w:lang w:val="en-GB"/>
        </w:rPr>
        <w:t xml:space="preserve"> were identified</w:t>
      </w:r>
      <w:r w:rsidR="00826A55">
        <w:rPr>
          <w:lang w:val="en-GB"/>
        </w:rPr>
        <w:t>: “Low” odour condition and “High” odour condition</w:t>
      </w:r>
      <w:r w:rsidRPr="0050247D">
        <w:rPr>
          <w:lang w:val="en-GB"/>
        </w:rPr>
        <w:t>.</w:t>
      </w:r>
      <w:r w:rsidR="00826A55">
        <w:rPr>
          <w:lang w:val="en-GB"/>
        </w:rPr>
        <w:t xml:space="preserve"> </w:t>
      </w:r>
      <w:r w:rsidRPr="0050247D">
        <w:rPr>
          <w:lang w:val="en-GB"/>
        </w:rPr>
        <w:t xml:space="preserve">Then, a randomized dispersion model </w:t>
      </w:r>
      <w:r w:rsidR="007B3F07">
        <w:rPr>
          <w:lang w:val="en-GB"/>
        </w:rPr>
        <w:t>was</w:t>
      </w:r>
      <w:r w:rsidRPr="0050247D">
        <w:rPr>
          <w:lang w:val="en-GB"/>
        </w:rPr>
        <w:t xml:space="preserve"> developed to simulate the variability of emissions of the plant through a statistical approach</w:t>
      </w:r>
      <w:r w:rsidR="007B3F07">
        <w:rPr>
          <w:lang w:val="en-GB"/>
        </w:rPr>
        <w:t xml:space="preserve"> implementing</w:t>
      </w:r>
      <w:r w:rsidRPr="0050247D">
        <w:rPr>
          <w:lang w:val="en-GB"/>
        </w:rPr>
        <w:t xml:space="preserve"> a specific MATLAB® function to randomly distribute the occurrence of the higher-emission conditions over the year. Finally, 6 different scenarios</w:t>
      </w:r>
      <w:r w:rsidR="00B41817">
        <w:rPr>
          <w:lang w:val="en-GB"/>
        </w:rPr>
        <w:t xml:space="preserve"> </w:t>
      </w:r>
      <w:r w:rsidRPr="0050247D">
        <w:rPr>
          <w:lang w:val="en-GB"/>
        </w:rPr>
        <w:t>have been simulated by CALPUFF and the results obtained have been compared and evaluated</w:t>
      </w:r>
      <w:r w:rsidR="00C30E94">
        <w:rPr>
          <w:lang w:val="en-GB"/>
        </w:rPr>
        <w:t>, proving</w:t>
      </w:r>
      <w:r w:rsidRPr="0050247D">
        <w:rPr>
          <w:lang w:val="en-GB"/>
        </w:rPr>
        <w:t xml:space="preserve"> the importance of </w:t>
      </w:r>
      <w:r w:rsidR="00C92405">
        <w:rPr>
          <w:lang w:val="en-GB"/>
        </w:rPr>
        <w:t>investigat</w:t>
      </w:r>
      <w:r w:rsidRPr="0050247D">
        <w:rPr>
          <w:lang w:val="en-GB"/>
        </w:rPr>
        <w:t>ing the model sensitivity towards the choice of the hours in which the higher-emissions conditions occur.</w:t>
      </w:r>
    </w:p>
    <w:p w14:paraId="2566D313" w14:textId="77777777" w:rsidR="0050247D" w:rsidRDefault="0050247D" w:rsidP="0050247D">
      <w:pPr>
        <w:pStyle w:val="CETBodytext"/>
        <w:rPr>
          <w:lang w:val="en-GB"/>
        </w:rPr>
      </w:pPr>
    </w:p>
    <w:p w14:paraId="7A14844D" w14:textId="46351172" w:rsidR="00B951AA" w:rsidRPr="00583B1D" w:rsidRDefault="00600535" w:rsidP="001F0C6A">
      <w:pPr>
        <w:pStyle w:val="CETHeading1"/>
        <w:rPr>
          <w:lang w:val="en-GB"/>
        </w:rPr>
      </w:pPr>
      <w:r w:rsidRPr="00583B1D">
        <w:rPr>
          <w:lang w:val="en-GB"/>
        </w:rPr>
        <w:t>Introduction</w:t>
      </w:r>
    </w:p>
    <w:p w14:paraId="02134E58" w14:textId="2BCB8910" w:rsidR="00343951" w:rsidRDefault="006D4697" w:rsidP="00600535">
      <w:pPr>
        <w:pStyle w:val="CETBodytext"/>
        <w:rPr>
          <w:lang w:val="en-GB"/>
        </w:rPr>
      </w:pPr>
      <w:r>
        <w:rPr>
          <w:lang w:val="en-GB"/>
        </w:rPr>
        <w:t xml:space="preserve">The interest in </w:t>
      </w:r>
      <w:r w:rsidR="00803112">
        <w:rPr>
          <w:lang w:val="en-GB"/>
        </w:rPr>
        <w:t xml:space="preserve">odour pollution is </w:t>
      </w:r>
      <w:r w:rsidR="00C723F2">
        <w:rPr>
          <w:lang w:val="en-GB"/>
        </w:rPr>
        <w:t>continuously growing</w:t>
      </w:r>
      <w:r w:rsidR="005D4B18">
        <w:rPr>
          <w:lang w:val="en-GB"/>
        </w:rPr>
        <w:t xml:space="preserve"> </w:t>
      </w:r>
      <w:r w:rsidR="00E2744F">
        <w:rPr>
          <w:lang w:val="en-GB"/>
        </w:rPr>
        <w:t xml:space="preserve">among </w:t>
      </w:r>
      <w:r w:rsidR="00E5410F">
        <w:rPr>
          <w:lang w:val="en-GB"/>
        </w:rPr>
        <w:t xml:space="preserve">local authorities and </w:t>
      </w:r>
      <w:r w:rsidR="00774E36">
        <w:rPr>
          <w:lang w:val="en-GB"/>
        </w:rPr>
        <w:t>communit</w:t>
      </w:r>
      <w:r w:rsidR="00C2019F">
        <w:rPr>
          <w:lang w:val="en-GB"/>
        </w:rPr>
        <w:t>ies</w:t>
      </w:r>
      <w:r w:rsidR="00B26182">
        <w:rPr>
          <w:lang w:val="en-GB"/>
        </w:rPr>
        <w:t>,</w:t>
      </w:r>
      <w:r w:rsidR="00774E36">
        <w:rPr>
          <w:lang w:val="en-GB"/>
        </w:rPr>
        <w:t xml:space="preserve"> </w:t>
      </w:r>
      <w:r w:rsidR="00F20A48">
        <w:rPr>
          <w:lang w:val="en-GB"/>
        </w:rPr>
        <w:t xml:space="preserve">leading to an extensive </w:t>
      </w:r>
      <w:r w:rsidR="00B26182">
        <w:rPr>
          <w:lang w:val="en-GB"/>
        </w:rPr>
        <w:t>research</w:t>
      </w:r>
      <w:r w:rsidR="008A084B">
        <w:rPr>
          <w:lang w:val="en-GB"/>
        </w:rPr>
        <w:t xml:space="preserve"> </w:t>
      </w:r>
      <w:r w:rsidR="00E616EF">
        <w:rPr>
          <w:lang w:val="en-GB"/>
        </w:rPr>
        <w:t>aim</w:t>
      </w:r>
      <w:r w:rsidR="00B26182">
        <w:rPr>
          <w:lang w:val="en-GB"/>
        </w:rPr>
        <w:t>ed at the</w:t>
      </w:r>
      <w:r w:rsidR="00871633">
        <w:rPr>
          <w:lang w:val="en-GB"/>
        </w:rPr>
        <w:t xml:space="preserve"> develop</w:t>
      </w:r>
      <w:r w:rsidR="00B26182">
        <w:rPr>
          <w:lang w:val="en-GB"/>
        </w:rPr>
        <w:t>ment</w:t>
      </w:r>
      <w:r w:rsidR="00871633">
        <w:rPr>
          <w:lang w:val="en-GB"/>
        </w:rPr>
        <w:t xml:space="preserve"> and defin</w:t>
      </w:r>
      <w:r w:rsidR="00B26182">
        <w:rPr>
          <w:lang w:val="en-GB"/>
        </w:rPr>
        <w:t>ition of</w:t>
      </w:r>
      <w:r w:rsidR="00871633">
        <w:rPr>
          <w:lang w:val="en-GB"/>
        </w:rPr>
        <w:t xml:space="preserve"> </w:t>
      </w:r>
      <w:r w:rsidR="009F6FC6">
        <w:rPr>
          <w:lang w:val="en-GB"/>
        </w:rPr>
        <w:t>method</w:t>
      </w:r>
      <w:r w:rsidR="00B823EF">
        <w:rPr>
          <w:lang w:val="en-GB"/>
        </w:rPr>
        <w:t>ologies</w:t>
      </w:r>
      <w:r w:rsidR="009F6FC6">
        <w:rPr>
          <w:lang w:val="en-GB"/>
        </w:rPr>
        <w:t xml:space="preserve"> for odour impact assessment</w:t>
      </w:r>
      <w:r w:rsidR="008965BB">
        <w:rPr>
          <w:lang w:val="en-GB"/>
        </w:rPr>
        <w:t xml:space="preserve"> (</w:t>
      </w:r>
      <w:r w:rsidR="005D51AC">
        <w:rPr>
          <w:lang w:val="en-GB"/>
        </w:rPr>
        <w:t>Sironi et al., 2010; Piringer et al., 2021)</w:t>
      </w:r>
      <w:r w:rsidR="009F6FC6">
        <w:rPr>
          <w:lang w:val="en-GB"/>
        </w:rPr>
        <w:t>.</w:t>
      </w:r>
      <w:r w:rsidR="009B5FB6">
        <w:rPr>
          <w:lang w:val="en-GB"/>
        </w:rPr>
        <w:t xml:space="preserve"> </w:t>
      </w:r>
      <w:r w:rsidR="004330E4">
        <w:rPr>
          <w:lang w:val="en-GB"/>
        </w:rPr>
        <w:t xml:space="preserve">Moreover, </w:t>
      </w:r>
      <w:r w:rsidR="000F1CE5">
        <w:rPr>
          <w:lang w:val="en-GB"/>
        </w:rPr>
        <w:t xml:space="preserve">the sensitivity among the population to the issue of the olfactory nuisance </w:t>
      </w:r>
      <w:r w:rsidR="00A82506">
        <w:rPr>
          <w:lang w:val="en-GB"/>
        </w:rPr>
        <w:t xml:space="preserve">is growing </w:t>
      </w:r>
      <w:r w:rsidR="00AA3408">
        <w:rPr>
          <w:lang w:val="en-GB"/>
        </w:rPr>
        <w:t xml:space="preserve">because of the increasing presence of malodours in residential areas ever closer to the industrial </w:t>
      </w:r>
      <w:r w:rsidR="00732AED">
        <w:rPr>
          <w:lang w:val="en-GB"/>
        </w:rPr>
        <w:t>area</w:t>
      </w:r>
      <w:r w:rsidR="00AA3408">
        <w:rPr>
          <w:lang w:val="en-GB"/>
        </w:rPr>
        <w:t xml:space="preserve">s </w:t>
      </w:r>
      <w:r w:rsidR="005D51AC">
        <w:rPr>
          <w:lang w:val="en-GB"/>
        </w:rPr>
        <w:t>(Lotesoriere et al., 20</w:t>
      </w:r>
      <w:r w:rsidR="00410D00">
        <w:rPr>
          <w:lang w:val="en-GB"/>
        </w:rPr>
        <w:t>20;</w:t>
      </w:r>
      <w:r w:rsidR="00410D00" w:rsidRPr="00410D00">
        <w:t xml:space="preserve"> </w:t>
      </w:r>
      <w:r w:rsidR="00410D00" w:rsidRPr="00F03D85">
        <w:t>Magalhães</w:t>
      </w:r>
      <w:r w:rsidR="00410D00">
        <w:t xml:space="preserve"> et al., 2022)</w:t>
      </w:r>
      <w:r w:rsidR="00765EFF">
        <w:rPr>
          <w:lang w:val="en-GB"/>
        </w:rPr>
        <w:t>.</w:t>
      </w:r>
    </w:p>
    <w:p w14:paraId="5A8B5186" w14:textId="272ABC8F" w:rsidR="00912A31" w:rsidRDefault="00ED0BDF" w:rsidP="00600535">
      <w:pPr>
        <w:pStyle w:val="CETBodytext"/>
      </w:pPr>
      <w:r>
        <w:t>In this c</w:t>
      </w:r>
      <w:r w:rsidR="00907A9F">
        <w:t>ontext</w:t>
      </w:r>
      <w:r>
        <w:t xml:space="preserve">, </w:t>
      </w:r>
      <w:r w:rsidR="00EF4F70">
        <w:t xml:space="preserve">one challenge is related to the impact assessment from complex sources. Complex sources include highly variable emissions, for which a precise characterization of the hourly emission rate is hardly achieved. </w:t>
      </w:r>
      <w:r w:rsidR="004C42BA">
        <w:t xml:space="preserve">One </w:t>
      </w:r>
      <w:r w:rsidR="00EF4F70">
        <w:t>type</w:t>
      </w:r>
      <w:r w:rsidR="004C42BA">
        <w:t xml:space="preserve"> of industrial plant </w:t>
      </w:r>
      <w:r w:rsidR="00726CDE">
        <w:t>characterized by highly variable emissions</w:t>
      </w:r>
      <w:r w:rsidR="0088400E">
        <w:t xml:space="preserve"> </w:t>
      </w:r>
      <w:r w:rsidR="00EF4F70">
        <w:t>includes foundries</w:t>
      </w:r>
      <w:r w:rsidR="00C03AC4">
        <w:t xml:space="preserve">, which </w:t>
      </w:r>
      <w:r w:rsidR="00EF4F70">
        <w:t>are particularly problematic from the point of view of the odour impacts</w:t>
      </w:r>
      <w:r w:rsidR="008529FE">
        <w:t>.</w:t>
      </w:r>
      <w:r w:rsidR="00D679F2">
        <w:t xml:space="preserve"> </w:t>
      </w:r>
      <w:r w:rsidR="009C2FF1">
        <w:t xml:space="preserve">Historically, the primary source of air pollution </w:t>
      </w:r>
      <w:r w:rsidR="00F25944">
        <w:t xml:space="preserve">from foundries was the melting process and its associated particulate emissions. However, </w:t>
      </w:r>
      <w:r w:rsidR="00E0260F">
        <w:t>during the years</w:t>
      </w:r>
      <w:r w:rsidR="00EF4F70">
        <w:t>,</w:t>
      </w:r>
      <w:r w:rsidR="00E0260F">
        <w:t xml:space="preserve"> chemical products started to be employed in melting process to improve </w:t>
      </w:r>
      <w:r w:rsidR="00D30E39">
        <w:t xml:space="preserve">the yield of the process and </w:t>
      </w:r>
      <w:r w:rsidR="001230F2">
        <w:t>the quality of the alloys produced as final product (</w:t>
      </w:r>
      <w:r w:rsidR="00F26402">
        <w:t>Morag-Levine</w:t>
      </w:r>
      <w:r w:rsidR="00AE4AAE">
        <w:t>, 2009</w:t>
      </w:r>
      <w:r w:rsidR="001230F2">
        <w:t>).</w:t>
      </w:r>
      <w:r w:rsidR="00001828">
        <w:t xml:space="preserve"> This </w:t>
      </w:r>
      <w:r w:rsidR="008C6B62">
        <w:t>led</w:t>
      </w:r>
      <w:r w:rsidR="00001828">
        <w:t xml:space="preserve"> to </w:t>
      </w:r>
      <w:r w:rsidR="005457CF">
        <w:t>an increase of</w:t>
      </w:r>
      <w:r w:rsidR="000357C4">
        <w:t xml:space="preserve"> odour emissions associated to th</w:t>
      </w:r>
      <w:r w:rsidR="00FF6ADC">
        <w:t>e different operating conditions of foundries</w:t>
      </w:r>
      <w:r w:rsidR="00BA64FF">
        <w:t>.</w:t>
      </w:r>
      <w:r w:rsidR="00D10917">
        <w:t xml:space="preserve"> </w:t>
      </w:r>
      <w:r w:rsidR="00912A31">
        <w:t xml:space="preserve">The variability of the emissions </w:t>
      </w:r>
      <w:r w:rsidR="004C5FBF">
        <w:t xml:space="preserve">in foundries </w:t>
      </w:r>
      <w:r w:rsidR="00BA64FF">
        <w:t>is related to</w:t>
      </w:r>
      <w:r w:rsidR="004C5FBF">
        <w:t xml:space="preserve"> the </w:t>
      </w:r>
      <w:r w:rsidR="004B7B42">
        <w:t>variety of operations</w:t>
      </w:r>
      <w:r w:rsidR="001B46D3">
        <w:t xml:space="preserve"> </w:t>
      </w:r>
      <w:r w:rsidR="0032349F">
        <w:t xml:space="preserve">that are </w:t>
      </w:r>
      <w:r w:rsidR="004B7B42">
        <w:t>carried out</w:t>
      </w:r>
      <w:r w:rsidR="00C31CC3">
        <w:t>,</w:t>
      </w:r>
      <w:r w:rsidR="004B7B42">
        <w:t xml:space="preserve"> </w:t>
      </w:r>
      <w:r w:rsidR="00A57AA7">
        <w:t xml:space="preserve">dealing with </w:t>
      </w:r>
      <w:r w:rsidR="000F49BF">
        <w:t>the selection and the pre-treatment of the raw materials, the melting process</w:t>
      </w:r>
      <w:r w:rsidR="00243269">
        <w:t xml:space="preserve">, </w:t>
      </w:r>
      <w:r w:rsidR="001B2684">
        <w:t>and</w:t>
      </w:r>
      <w:r w:rsidR="000F49BF">
        <w:t xml:space="preserve"> the </w:t>
      </w:r>
      <w:r w:rsidR="00A24CC1">
        <w:t>processing of the waste produc</w:t>
      </w:r>
      <w:r w:rsidR="00243269">
        <w:t xml:space="preserve">ed </w:t>
      </w:r>
      <w:r w:rsidR="00EB1D23">
        <w:t>during the melting processes</w:t>
      </w:r>
      <w:r w:rsidR="00A24CC1">
        <w:t>.</w:t>
      </w:r>
      <w:r w:rsidR="00EB1D23">
        <w:t xml:space="preserve"> Moreover, </w:t>
      </w:r>
      <w:r w:rsidR="002531F9">
        <w:t>t</w:t>
      </w:r>
      <w:r w:rsidR="00225CD8">
        <w:t>he working conditions of the plant continuously change</w:t>
      </w:r>
      <w:r w:rsidR="00477B78">
        <w:t xml:space="preserve"> according to </w:t>
      </w:r>
      <w:r w:rsidR="004947AE">
        <w:t>the</w:t>
      </w:r>
      <w:r w:rsidR="007960EF">
        <w:t xml:space="preserve"> </w:t>
      </w:r>
      <w:r w:rsidR="000911D3">
        <w:t xml:space="preserve">physical and chemical </w:t>
      </w:r>
      <w:r w:rsidR="007960EF">
        <w:t>characteristics of the</w:t>
      </w:r>
      <w:r w:rsidR="003A5C39">
        <w:t xml:space="preserve"> </w:t>
      </w:r>
      <w:r w:rsidR="002531F9">
        <w:t>raw materials delivered</w:t>
      </w:r>
      <w:r w:rsidR="000911D3">
        <w:t xml:space="preserve"> to the plant</w:t>
      </w:r>
      <w:r w:rsidR="007960EF">
        <w:t xml:space="preserve"> requiring </w:t>
      </w:r>
      <w:r w:rsidR="00F607D2">
        <w:t xml:space="preserve">specific transformations. </w:t>
      </w:r>
    </w:p>
    <w:p w14:paraId="4A5C56F3" w14:textId="4F756557" w:rsidR="00EE5375" w:rsidRDefault="000F46F5" w:rsidP="00EF49AF">
      <w:pPr>
        <w:pStyle w:val="CETBodytext"/>
      </w:pPr>
      <w:r>
        <w:rPr>
          <w:lang w:val="en-GB"/>
        </w:rPr>
        <w:lastRenderedPageBreak/>
        <w:t>T</w:t>
      </w:r>
      <w:r w:rsidRPr="008F6F0D">
        <w:rPr>
          <w:lang w:val="en-GB"/>
        </w:rPr>
        <w:t>his</w:t>
      </w:r>
      <w:r>
        <w:rPr>
          <w:lang w:val="en-GB"/>
        </w:rPr>
        <w:t xml:space="preserve"> </w:t>
      </w:r>
      <w:r w:rsidR="005D46C4">
        <w:rPr>
          <w:lang w:val="en-GB"/>
        </w:rPr>
        <w:t>work</w:t>
      </w:r>
      <w:r>
        <w:rPr>
          <w:lang w:val="en-GB"/>
        </w:rPr>
        <w:t xml:space="preserve"> </w:t>
      </w:r>
      <w:r w:rsidRPr="008F6F0D">
        <w:rPr>
          <w:lang w:val="en-GB"/>
        </w:rPr>
        <w:t>is part of a</w:t>
      </w:r>
      <w:r>
        <w:rPr>
          <w:lang w:val="en-GB"/>
        </w:rPr>
        <w:t xml:space="preserve">n extensive investigation </w:t>
      </w:r>
      <w:r w:rsidRPr="008F6F0D">
        <w:rPr>
          <w:lang w:val="en-GB"/>
        </w:rPr>
        <w:t>aimed to characterize</w:t>
      </w:r>
      <w:r>
        <w:rPr>
          <w:lang w:val="en-GB"/>
        </w:rPr>
        <w:t xml:space="preserve"> </w:t>
      </w:r>
      <w:r w:rsidRPr="008F6F0D">
        <w:rPr>
          <w:lang w:val="en-GB"/>
        </w:rPr>
        <w:t xml:space="preserve">the different </w:t>
      </w:r>
      <w:r w:rsidR="00586020">
        <w:rPr>
          <w:lang w:val="en-GB"/>
        </w:rPr>
        <w:t xml:space="preserve">odour </w:t>
      </w:r>
      <w:r w:rsidRPr="008F6F0D">
        <w:rPr>
          <w:lang w:val="en-GB"/>
        </w:rPr>
        <w:t xml:space="preserve">emissions of </w:t>
      </w:r>
      <w:r w:rsidR="00586020">
        <w:t xml:space="preserve">a </w:t>
      </w:r>
      <w:r w:rsidR="00586020" w:rsidRPr="0050247D">
        <w:rPr>
          <w:lang w:val="en-GB"/>
        </w:rPr>
        <w:t>non-ferrous metal smelting and alloying plant</w:t>
      </w:r>
      <w:r w:rsidRPr="008F6F0D">
        <w:rPr>
          <w:lang w:val="en-GB"/>
        </w:rPr>
        <w:t xml:space="preserve">, </w:t>
      </w:r>
      <w:r w:rsidR="00586020">
        <w:rPr>
          <w:lang w:val="en-GB"/>
        </w:rPr>
        <w:t xml:space="preserve">with a special focus </w:t>
      </w:r>
      <w:r w:rsidRPr="008F6F0D">
        <w:rPr>
          <w:lang w:val="en-GB"/>
        </w:rPr>
        <w:t xml:space="preserve">to </w:t>
      </w:r>
      <w:r>
        <w:rPr>
          <w:lang w:val="en-GB"/>
        </w:rPr>
        <w:t xml:space="preserve">the melting </w:t>
      </w:r>
      <w:r w:rsidRPr="008F6F0D">
        <w:rPr>
          <w:lang w:val="en-GB"/>
        </w:rPr>
        <w:t xml:space="preserve">processes. </w:t>
      </w:r>
      <w:r w:rsidR="005D46C4">
        <w:rPr>
          <w:lang w:val="en-GB"/>
        </w:rPr>
        <w:t xml:space="preserve">Indeed, </w:t>
      </w:r>
      <w:r w:rsidR="00586020">
        <w:rPr>
          <w:lang w:val="en-GB"/>
        </w:rPr>
        <w:t>the</w:t>
      </w:r>
      <w:r w:rsidR="00401F66" w:rsidRPr="0050247D">
        <w:rPr>
          <w:lang w:val="en-GB"/>
        </w:rPr>
        <w:t xml:space="preserve"> odo</w:t>
      </w:r>
      <w:r w:rsidR="00586020">
        <w:rPr>
          <w:lang w:val="en-GB"/>
        </w:rPr>
        <w:t>ur</w:t>
      </w:r>
      <w:r w:rsidR="00401F66" w:rsidRPr="0050247D">
        <w:rPr>
          <w:lang w:val="en-GB"/>
        </w:rPr>
        <w:t xml:space="preserve"> emissions</w:t>
      </w:r>
      <w:r w:rsidR="00586020">
        <w:rPr>
          <w:lang w:val="en-GB"/>
        </w:rPr>
        <w:t xml:space="preserve"> of the plant proved</w:t>
      </w:r>
      <w:r w:rsidR="00401F66" w:rsidRPr="0050247D">
        <w:rPr>
          <w:lang w:val="en-GB"/>
        </w:rPr>
        <w:t xml:space="preserve"> to strongly differ from each other depending on the processing phase and type of raw materials used.</w:t>
      </w:r>
      <w:r w:rsidR="008F6F0D" w:rsidRPr="008F6F0D">
        <w:rPr>
          <w:lang w:val="en-GB"/>
        </w:rPr>
        <w:t xml:space="preserve"> </w:t>
      </w:r>
      <w:r w:rsidR="005D46C4">
        <w:rPr>
          <w:lang w:val="en-GB"/>
        </w:rPr>
        <w:t>T</w:t>
      </w:r>
      <w:r w:rsidR="008F6F0D" w:rsidRPr="008F6F0D">
        <w:rPr>
          <w:lang w:val="en-GB"/>
        </w:rPr>
        <w:t>he</w:t>
      </w:r>
      <w:r w:rsidR="001B3A6F">
        <w:rPr>
          <w:lang w:val="en-GB"/>
        </w:rPr>
        <w:t xml:space="preserve"> main goal</w:t>
      </w:r>
      <w:r w:rsidR="008F6F0D" w:rsidRPr="008F6F0D">
        <w:rPr>
          <w:lang w:val="en-GB"/>
        </w:rPr>
        <w:t xml:space="preserve"> </w:t>
      </w:r>
      <w:r w:rsidR="001B3A6F">
        <w:rPr>
          <w:lang w:val="en-GB"/>
        </w:rPr>
        <w:t>of th</w:t>
      </w:r>
      <w:r w:rsidR="00540BF1">
        <w:rPr>
          <w:lang w:val="en-GB"/>
        </w:rPr>
        <w:t>is paper is to present the methodology developed to characterize the odour impact of th</w:t>
      </w:r>
      <w:r w:rsidR="00887FCE">
        <w:rPr>
          <w:lang w:val="en-GB"/>
        </w:rPr>
        <w:t>e foundry</w:t>
      </w:r>
      <w:r w:rsidR="0094191D">
        <w:rPr>
          <w:lang w:val="en-GB"/>
        </w:rPr>
        <w:t xml:space="preserve"> under</w:t>
      </w:r>
      <w:r w:rsidR="0018771A">
        <w:rPr>
          <w:lang w:val="en-GB"/>
        </w:rPr>
        <w:t xml:space="preserve"> investigation</w:t>
      </w:r>
      <w:r w:rsidR="00DE63BA">
        <w:rPr>
          <w:lang w:val="en-GB"/>
        </w:rPr>
        <w:t xml:space="preserve"> in the attempt of</w:t>
      </w:r>
      <w:r w:rsidR="001350B0">
        <w:rPr>
          <w:lang w:val="en-GB"/>
        </w:rPr>
        <w:t xml:space="preserve"> in</w:t>
      </w:r>
      <w:r w:rsidR="004B732C">
        <w:rPr>
          <w:lang w:val="en-GB"/>
        </w:rPr>
        <w:t>cluding</w:t>
      </w:r>
      <w:r w:rsidR="001350B0">
        <w:rPr>
          <w:lang w:val="en-GB"/>
        </w:rPr>
        <w:t xml:space="preserve"> the extreme variability of its emissions.</w:t>
      </w:r>
      <w:r w:rsidR="00A0256F">
        <w:rPr>
          <w:lang w:val="en-GB"/>
        </w:rPr>
        <w:t xml:space="preserve"> Specifically, </w:t>
      </w:r>
      <w:r w:rsidR="00A23949">
        <w:rPr>
          <w:lang w:val="en-GB"/>
        </w:rPr>
        <w:t>the</w:t>
      </w:r>
      <w:r w:rsidR="001B3A6F">
        <w:rPr>
          <w:lang w:val="en-GB"/>
        </w:rPr>
        <w:t xml:space="preserve"> </w:t>
      </w:r>
      <w:r w:rsidR="008F6F0D" w:rsidRPr="008F6F0D">
        <w:rPr>
          <w:lang w:val="en-GB"/>
        </w:rPr>
        <w:t xml:space="preserve">study carried out aimed </w:t>
      </w:r>
      <w:r w:rsidR="001B3A6F">
        <w:rPr>
          <w:lang w:val="en-GB"/>
        </w:rPr>
        <w:t>to</w:t>
      </w:r>
      <w:r w:rsidR="008F6F0D" w:rsidRPr="008F6F0D">
        <w:rPr>
          <w:lang w:val="en-GB"/>
        </w:rPr>
        <w:t xml:space="preserve"> quantify the emissions - both conveyed and diffused - relating to the different phases of the foundry process, in order to obtain a picture as realistic as possible of the odo</w:t>
      </w:r>
      <w:r w:rsidR="000911D3">
        <w:rPr>
          <w:lang w:val="en-GB"/>
        </w:rPr>
        <w:t>u</w:t>
      </w:r>
      <w:r w:rsidR="008F6F0D" w:rsidRPr="008F6F0D">
        <w:rPr>
          <w:lang w:val="en-GB"/>
        </w:rPr>
        <w:t>r emissions of the plant</w:t>
      </w:r>
      <w:r w:rsidR="00B905B8">
        <w:rPr>
          <w:lang w:val="en-GB"/>
        </w:rPr>
        <w:t>,</w:t>
      </w:r>
      <w:r w:rsidR="008F6F0D" w:rsidRPr="008F6F0D">
        <w:rPr>
          <w:lang w:val="en-GB"/>
        </w:rPr>
        <w:t xml:space="preserve"> appropriately considering the frequency of the different processes</w:t>
      </w:r>
      <w:r w:rsidR="00B905B8">
        <w:rPr>
          <w:lang w:val="en-GB"/>
        </w:rPr>
        <w:t xml:space="preserve">. Thus, </w:t>
      </w:r>
      <w:r w:rsidR="00B054CB">
        <w:rPr>
          <w:lang w:val="en-GB"/>
        </w:rPr>
        <w:t xml:space="preserve">based on the results </w:t>
      </w:r>
      <w:r w:rsidR="00104092">
        <w:rPr>
          <w:lang w:val="en-GB"/>
        </w:rPr>
        <w:t>of the</w:t>
      </w:r>
      <w:r w:rsidR="00B054CB">
        <w:rPr>
          <w:lang w:val="en-GB"/>
        </w:rPr>
        <w:t xml:space="preserve"> olfactometric campaigns</w:t>
      </w:r>
      <w:r w:rsidR="00205515">
        <w:rPr>
          <w:lang w:val="en-GB"/>
        </w:rPr>
        <w:t xml:space="preserve">, </w:t>
      </w:r>
      <w:r w:rsidR="00EE5375">
        <w:rPr>
          <w:lang w:val="en-GB"/>
        </w:rPr>
        <w:t xml:space="preserve">two “macro-classes” were identified </w:t>
      </w:r>
      <w:r w:rsidR="00A77BFC">
        <w:rPr>
          <w:lang w:val="en-GB"/>
        </w:rPr>
        <w:t>applying a statistical test</w:t>
      </w:r>
      <w:r w:rsidR="00567EBC">
        <w:rPr>
          <w:lang w:val="en-GB"/>
        </w:rPr>
        <w:t>.</w:t>
      </w:r>
      <w:r w:rsidR="00EA196E">
        <w:rPr>
          <w:lang w:val="en-GB"/>
        </w:rPr>
        <w:t xml:space="preserve"> </w:t>
      </w:r>
      <w:r w:rsidR="00A77BFC">
        <w:rPr>
          <w:lang w:val="en-GB"/>
        </w:rPr>
        <w:t>Moreover, f</w:t>
      </w:r>
      <w:r w:rsidR="00470E0A">
        <w:rPr>
          <w:lang w:val="en-GB"/>
        </w:rPr>
        <w:t>or the purpos</w:t>
      </w:r>
      <w:r w:rsidR="007C14B4">
        <w:rPr>
          <w:lang w:val="en-GB"/>
        </w:rPr>
        <w:t>e of assessing the sensitivity of th</w:t>
      </w:r>
      <w:r w:rsidR="00211883">
        <w:rPr>
          <w:lang w:val="en-GB"/>
        </w:rPr>
        <w:t xml:space="preserve">e odour impact of the plant to the </w:t>
      </w:r>
      <w:r w:rsidR="005C1929">
        <w:rPr>
          <w:lang w:val="en-GB"/>
        </w:rPr>
        <w:t xml:space="preserve">temporal distribution of </w:t>
      </w:r>
      <w:r w:rsidR="00DB6988">
        <w:rPr>
          <w:lang w:val="en-GB"/>
        </w:rPr>
        <w:t xml:space="preserve">its variable </w:t>
      </w:r>
      <w:r w:rsidR="005C1929">
        <w:rPr>
          <w:lang w:val="en-GB"/>
        </w:rPr>
        <w:t>emissions, a</w:t>
      </w:r>
      <w:r w:rsidR="00EE5375" w:rsidRPr="008F6F0D">
        <w:rPr>
          <w:lang w:val="en-GB"/>
        </w:rPr>
        <w:t xml:space="preserve"> </w:t>
      </w:r>
      <w:r w:rsidR="00EE5375">
        <w:rPr>
          <w:lang w:val="en-GB"/>
        </w:rPr>
        <w:t xml:space="preserve">randomized </w:t>
      </w:r>
      <w:r w:rsidR="00EE5375" w:rsidRPr="008F6F0D">
        <w:rPr>
          <w:lang w:val="en-GB"/>
        </w:rPr>
        <w:t xml:space="preserve">model </w:t>
      </w:r>
      <w:r w:rsidR="00EE5375">
        <w:rPr>
          <w:lang w:val="en-GB"/>
        </w:rPr>
        <w:t>was developed</w:t>
      </w:r>
      <w:r w:rsidR="00A77BFC">
        <w:rPr>
          <w:lang w:val="en-GB"/>
        </w:rPr>
        <w:t>, as will be better discussed in the following sections</w:t>
      </w:r>
      <w:r w:rsidR="00EE5375">
        <w:rPr>
          <w:lang w:val="en-GB"/>
        </w:rPr>
        <w:t xml:space="preserve">. </w:t>
      </w:r>
    </w:p>
    <w:p w14:paraId="4A3A2A7A" w14:textId="5ACAE26A" w:rsidR="0096109E" w:rsidRDefault="00B35ED4" w:rsidP="00EE5375">
      <w:pPr>
        <w:pStyle w:val="CETHeading1"/>
      </w:pPr>
      <w:r>
        <w:t>Mat</w:t>
      </w:r>
      <w:r w:rsidR="00425E61">
        <w:t>erial</w:t>
      </w:r>
      <w:r w:rsidR="00D66CE3">
        <w:t>s</w:t>
      </w:r>
      <w:r w:rsidR="00425E61">
        <w:t xml:space="preserve"> and methods</w:t>
      </w:r>
    </w:p>
    <w:p w14:paraId="0636B784" w14:textId="476449FF" w:rsidR="00453E24" w:rsidRDefault="00A14FD7" w:rsidP="00453E24">
      <w:pPr>
        <w:pStyle w:val="CETheadingx"/>
      </w:pPr>
      <w:r>
        <w:t xml:space="preserve">Description of the </w:t>
      </w:r>
      <w:r w:rsidR="00485C9F">
        <w:t>plant</w:t>
      </w:r>
    </w:p>
    <w:p w14:paraId="7474CF2F" w14:textId="19AA20BD" w:rsidR="00BB3147" w:rsidRDefault="00EB3342" w:rsidP="006914E1">
      <w:pPr>
        <w:pStyle w:val="CETBodytext"/>
      </w:pPr>
      <w:r>
        <w:t xml:space="preserve">The </w:t>
      </w:r>
      <w:r w:rsidR="00247979">
        <w:t>foundry</w:t>
      </w:r>
      <w:r>
        <w:t xml:space="preserve"> </w:t>
      </w:r>
      <w:r w:rsidR="004C0EFC">
        <w:t>involved in this study is a</w:t>
      </w:r>
      <w:r w:rsidR="00CC4D5E" w:rsidRPr="00CC4D5E">
        <w:t xml:space="preserve"> non</w:t>
      </w:r>
      <w:r>
        <w:t>-</w:t>
      </w:r>
      <w:r w:rsidR="00CC4D5E" w:rsidRPr="00CC4D5E">
        <w:t>ferrous metal smelting and alloying plant</w:t>
      </w:r>
      <w:r w:rsidR="001C2979">
        <w:t xml:space="preserve">, which </w:t>
      </w:r>
      <w:r w:rsidR="00CC4D5E" w:rsidRPr="00CC4D5E">
        <w:t xml:space="preserve">processes second-use aluminum for the purpose of producing aluminum ingots and </w:t>
      </w:r>
      <w:r w:rsidR="00392454">
        <w:t>nuts</w:t>
      </w:r>
      <w:r w:rsidR="00CC4D5E" w:rsidRPr="00CC4D5E">
        <w:t xml:space="preserve"> for reuse and sale.</w:t>
      </w:r>
      <w:r w:rsidR="008A4145">
        <w:t xml:space="preserve"> </w:t>
      </w:r>
      <w:r w:rsidR="006A1C79">
        <w:t>It</w:t>
      </w:r>
      <w:r w:rsidR="00465DED">
        <w:t xml:space="preserve">s production is </w:t>
      </w:r>
      <w:r w:rsidR="00392454">
        <w:t>a</w:t>
      </w:r>
      <w:r w:rsidR="008A4145" w:rsidRPr="008A4145">
        <w:t xml:space="preserve">bout 800 tons per day </w:t>
      </w:r>
      <w:r w:rsidR="00465DED">
        <w:t xml:space="preserve">of </w:t>
      </w:r>
      <w:r w:rsidR="00465DED" w:rsidRPr="008A4145">
        <w:t xml:space="preserve">aluminum </w:t>
      </w:r>
      <w:r w:rsidR="00392454">
        <w:t xml:space="preserve">products </w:t>
      </w:r>
      <w:r w:rsidR="00D81558">
        <w:t>operating</w:t>
      </w:r>
      <w:r w:rsidR="008A4145" w:rsidRPr="008A4145">
        <w:t xml:space="preserve"> on a continuous cycle.</w:t>
      </w:r>
      <w:r w:rsidR="00A8228E">
        <w:t xml:space="preserve"> </w:t>
      </w:r>
    </w:p>
    <w:p w14:paraId="4B04FC58" w14:textId="2A39B77D" w:rsidR="00F87E21" w:rsidRDefault="00DB30C2" w:rsidP="006914E1">
      <w:pPr>
        <w:pStyle w:val="CETBodytext"/>
      </w:pPr>
      <w:r>
        <w:t>T</w:t>
      </w:r>
      <w:r w:rsidR="00247979">
        <w:t xml:space="preserve">he plant </w:t>
      </w:r>
      <w:r w:rsidR="00577839">
        <w:t>includes different working area</w:t>
      </w:r>
      <w:r w:rsidR="00A86367">
        <w:t xml:space="preserve">s consisting </w:t>
      </w:r>
      <w:r w:rsidR="00BE6ADF">
        <w:t>of</w:t>
      </w:r>
      <w:r w:rsidR="00997054">
        <w:t xml:space="preserve"> a pre-treatment </w:t>
      </w:r>
      <w:r w:rsidR="003A6DE3">
        <w:t>line</w:t>
      </w:r>
      <w:r w:rsidR="00354E9C">
        <w:t xml:space="preserve"> preparing raw materials to be </w:t>
      </w:r>
      <w:r w:rsidR="004D62C0">
        <w:t xml:space="preserve">properly </w:t>
      </w:r>
      <w:r w:rsidR="001E0765">
        <w:t>processed in smelting furnaces</w:t>
      </w:r>
      <w:r w:rsidR="00EB66FA">
        <w:t xml:space="preserve"> and </w:t>
      </w:r>
      <w:r w:rsidR="00076FA5">
        <w:t>a</w:t>
      </w:r>
      <w:r w:rsidR="007473A8">
        <w:t xml:space="preserve"> smelting area</w:t>
      </w:r>
      <w:r w:rsidR="0061101A">
        <w:t>, being the core of all the p</w:t>
      </w:r>
      <w:r w:rsidR="00D8301B">
        <w:t>lant</w:t>
      </w:r>
      <w:r w:rsidR="0061101A">
        <w:t>,</w:t>
      </w:r>
      <w:r w:rsidR="007473A8">
        <w:t xml:space="preserve"> </w:t>
      </w:r>
      <w:r w:rsidR="00E26998">
        <w:t xml:space="preserve">producing </w:t>
      </w:r>
      <w:r w:rsidR="00C76789">
        <w:t xml:space="preserve">the aluminum ingots and some by-products to be </w:t>
      </w:r>
      <w:r w:rsidR="00E0024F">
        <w:t>sold on the market</w:t>
      </w:r>
      <w:r w:rsidR="00DC5F46">
        <w:t xml:space="preserve"> </w:t>
      </w:r>
      <w:r w:rsidR="00CE29B7">
        <w:t>(</w:t>
      </w:r>
      <w:r w:rsidR="0073260D">
        <w:fldChar w:fldCharType="begin"/>
      </w:r>
      <w:r w:rsidR="0073260D">
        <w:instrText xml:space="preserve"> REF _Ref113630094 \h  \* MERGEFORMAT </w:instrText>
      </w:r>
      <w:r w:rsidR="0073260D">
        <w:fldChar w:fldCharType="separate"/>
      </w:r>
      <w:r w:rsidR="0073260D" w:rsidRPr="0073260D">
        <w:t>Figure 1</w:t>
      </w:r>
      <w:r w:rsidR="0073260D">
        <w:fldChar w:fldCharType="end"/>
      </w:r>
      <w:r w:rsidR="00CE29B7">
        <w:t>)</w:t>
      </w:r>
      <w:r w:rsidR="00314A94">
        <w:t>.</w:t>
      </w:r>
    </w:p>
    <w:p w14:paraId="0616BBCD" w14:textId="77777777" w:rsidR="00BC6808" w:rsidRDefault="00BC6808" w:rsidP="006914E1">
      <w:pPr>
        <w:pStyle w:val="CETBodytext"/>
      </w:pPr>
    </w:p>
    <w:p w14:paraId="564978C7" w14:textId="77777777" w:rsidR="00BC6808" w:rsidRDefault="00BC6808" w:rsidP="00BC6808">
      <w:pPr>
        <w:pStyle w:val="CETBodytext"/>
        <w:keepNext/>
        <w:jc w:val="center"/>
      </w:pPr>
      <w:r>
        <w:rPr>
          <w:noProof/>
          <w:lang w:val="it-IT" w:eastAsia="it-IT"/>
        </w:rPr>
        <w:drawing>
          <wp:inline distT="0" distB="0" distL="0" distR="0" wp14:anchorId="20D68525" wp14:editId="1B08C5E0">
            <wp:extent cx="4069873" cy="2153771"/>
            <wp:effectExtent l="0" t="0" r="6985"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88621" cy="2163692"/>
                    </a:xfrm>
                    <a:prstGeom prst="rect">
                      <a:avLst/>
                    </a:prstGeom>
                    <a:noFill/>
                  </pic:spPr>
                </pic:pic>
              </a:graphicData>
            </a:graphic>
          </wp:inline>
        </w:drawing>
      </w:r>
    </w:p>
    <w:p w14:paraId="7F53DE5F" w14:textId="087BAE85" w:rsidR="00BC6808" w:rsidRPr="00BC6808" w:rsidRDefault="00BC6808" w:rsidP="00BC6808">
      <w:pPr>
        <w:pStyle w:val="Didascalia"/>
        <w:jc w:val="center"/>
        <w:rPr>
          <w:b w:val="0"/>
          <w:bCs w:val="0"/>
          <w:i/>
          <w:color w:val="auto"/>
          <w:szCs w:val="20"/>
        </w:rPr>
      </w:pPr>
      <w:bookmarkStart w:id="1" w:name="_Ref113630094"/>
      <w:r w:rsidRPr="00BC6808">
        <w:rPr>
          <w:b w:val="0"/>
          <w:bCs w:val="0"/>
          <w:i/>
          <w:color w:val="auto"/>
          <w:szCs w:val="20"/>
        </w:rPr>
        <w:t xml:space="preserve">Figure </w:t>
      </w:r>
      <w:r w:rsidRPr="00BC6808">
        <w:rPr>
          <w:b w:val="0"/>
          <w:bCs w:val="0"/>
          <w:i/>
          <w:color w:val="auto"/>
          <w:szCs w:val="20"/>
        </w:rPr>
        <w:fldChar w:fldCharType="begin"/>
      </w:r>
      <w:r w:rsidRPr="00BC6808">
        <w:rPr>
          <w:b w:val="0"/>
          <w:bCs w:val="0"/>
          <w:i/>
          <w:color w:val="auto"/>
          <w:szCs w:val="20"/>
        </w:rPr>
        <w:instrText xml:space="preserve"> SEQ Figure \* ARABIC </w:instrText>
      </w:r>
      <w:r w:rsidRPr="00BC6808">
        <w:rPr>
          <w:b w:val="0"/>
          <w:bCs w:val="0"/>
          <w:i/>
          <w:color w:val="auto"/>
          <w:szCs w:val="20"/>
        </w:rPr>
        <w:fldChar w:fldCharType="separate"/>
      </w:r>
      <w:r w:rsidRPr="00BC6808">
        <w:rPr>
          <w:b w:val="0"/>
          <w:bCs w:val="0"/>
          <w:i/>
          <w:color w:val="auto"/>
          <w:szCs w:val="20"/>
        </w:rPr>
        <w:t>1</w:t>
      </w:r>
      <w:r w:rsidRPr="00BC6808">
        <w:rPr>
          <w:b w:val="0"/>
          <w:bCs w:val="0"/>
          <w:i/>
          <w:color w:val="auto"/>
          <w:szCs w:val="20"/>
        </w:rPr>
        <w:fldChar w:fldCharType="end"/>
      </w:r>
      <w:bookmarkEnd w:id="1"/>
      <w:r>
        <w:rPr>
          <w:b w:val="0"/>
          <w:bCs w:val="0"/>
          <w:i/>
          <w:color w:val="auto"/>
          <w:szCs w:val="20"/>
        </w:rPr>
        <w:t>.</w:t>
      </w:r>
      <w:r w:rsidRPr="00BC6808">
        <w:rPr>
          <w:b w:val="0"/>
          <w:bCs w:val="0"/>
          <w:i/>
          <w:color w:val="auto"/>
          <w:szCs w:val="20"/>
        </w:rPr>
        <w:t xml:space="preserve"> </w:t>
      </w:r>
      <w:r w:rsidR="00FB6F36">
        <w:rPr>
          <w:b w:val="0"/>
          <w:bCs w:val="0"/>
          <w:i/>
          <w:color w:val="auto"/>
          <w:szCs w:val="20"/>
        </w:rPr>
        <w:t>Scheme</w:t>
      </w:r>
      <w:r w:rsidRPr="00BC6808">
        <w:rPr>
          <w:b w:val="0"/>
          <w:bCs w:val="0"/>
          <w:i/>
          <w:color w:val="auto"/>
          <w:szCs w:val="20"/>
        </w:rPr>
        <w:t xml:space="preserve"> of the main activities carried out in the plant: pre-treatment line (blue boxes)</w:t>
      </w:r>
      <w:r w:rsidR="00FB6F36">
        <w:rPr>
          <w:b w:val="0"/>
          <w:bCs w:val="0"/>
          <w:i/>
          <w:color w:val="auto"/>
          <w:szCs w:val="20"/>
        </w:rPr>
        <w:t xml:space="preserve"> and </w:t>
      </w:r>
      <w:r w:rsidRPr="00BC6808">
        <w:rPr>
          <w:b w:val="0"/>
          <w:bCs w:val="0"/>
          <w:i/>
          <w:color w:val="auto"/>
          <w:szCs w:val="20"/>
        </w:rPr>
        <w:t>smelting line (yellow box)</w:t>
      </w:r>
    </w:p>
    <w:p w14:paraId="12965776" w14:textId="77777777" w:rsidR="00583B1D" w:rsidRDefault="00583B1D" w:rsidP="006914E1">
      <w:pPr>
        <w:pStyle w:val="CETBodytext"/>
      </w:pPr>
    </w:p>
    <w:p w14:paraId="23E096D4" w14:textId="2E50C62A" w:rsidR="00815717" w:rsidRDefault="00726BA7" w:rsidP="00815717">
      <w:pPr>
        <w:pStyle w:val="CETBodytext"/>
      </w:pPr>
      <w:r>
        <w:t>R</w:t>
      </w:r>
      <w:r w:rsidRPr="00040652">
        <w:t>aw materials are mainly aluminum scrap delivered in different forms (ready-made product, pre</w:t>
      </w:r>
      <w:r>
        <w:t>-</w:t>
      </w:r>
      <w:r w:rsidRPr="00040652">
        <w:t>treated or internal recycled material)</w:t>
      </w:r>
      <w:r w:rsidR="003B1BBE">
        <w:t xml:space="preserve"> and </w:t>
      </w:r>
      <w:r w:rsidRPr="00040652">
        <w:t>processed</w:t>
      </w:r>
      <w:r w:rsidR="000B6969">
        <w:t>,</w:t>
      </w:r>
      <w:r w:rsidRPr="00040652">
        <w:t xml:space="preserve"> b</w:t>
      </w:r>
      <w:r w:rsidR="00881BB3">
        <w:t xml:space="preserve">eing crushed </w:t>
      </w:r>
      <w:r w:rsidR="00825765">
        <w:t xml:space="preserve">and sorted </w:t>
      </w:r>
      <w:r w:rsidR="00881BB3">
        <w:t>to</w:t>
      </w:r>
      <w:r w:rsidRPr="00040652">
        <w:t xml:space="preserve"> </w:t>
      </w:r>
      <w:r>
        <w:t>reduc</w:t>
      </w:r>
      <w:r w:rsidR="00881BB3">
        <w:t>e</w:t>
      </w:r>
      <w:r>
        <w:t xml:space="preserve"> and standardiz</w:t>
      </w:r>
      <w:r w:rsidR="00881BB3">
        <w:t>e</w:t>
      </w:r>
      <w:r>
        <w:t xml:space="preserve"> their size</w:t>
      </w:r>
      <w:r w:rsidR="00881BB3">
        <w:t xml:space="preserve"> </w:t>
      </w:r>
      <w:r w:rsidR="00881BB3" w:rsidRPr="00040652">
        <w:t xml:space="preserve">before </w:t>
      </w:r>
      <w:r w:rsidR="00881BB3">
        <w:t>undergoing</w:t>
      </w:r>
      <w:r w:rsidR="00881BB3" w:rsidRPr="00040652">
        <w:t xml:space="preserve"> the smelting </w:t>
      </w:r>
      <w:r w:rsidR="00881BB3">
        <w:t>process</w:t>
      </w:r>
      <w:r w:rsidR="003B1BBE">
        <w:t xml:space="preserve"> and treated at high temperature</w:t>
      </w:r>
      <w:r w:rsidR="00365E6A">
        <w:t xml:space="preserve"> </w:t>
      </w:r>
      <w:r>
        <w:t xml:space="preserve">to remove </w:t>
      </w:r>
      <w:r w:rsidR="00B538BF">
        <w:t>organic pollutants</w:t>
      </w:r>
      <w:r w:rsidR="00E538D5">
        <w:t xml:space="preserve"> from raw materials</w:t>
      </w:r>
      <w:r w:rsidR="00B538BF">
        <w:t xml:space="preserve"> </w:t>
      </w:r>
      <w:r>
        <w:t>before being melted.</w:t>
      </w:r>
      <w:r w:rsidR="00D74488">
        <w:t xml:space="preserve"> </w:t>
      </w:r>
      <w:r w:rsidR="00815717">
        <w:t>The pre-treated and selected raw material</w:t>
      </w:r>
      <w:r w:rsidR="007065E6">
        <w:t xml:space="preserve"> is</w:t>
      </w:r>
      <w:r w:rsidR="00815717">
        <w:t xml:space="preserve"> sent to the smelting area</w:t>
      </w:r>
      <w:r w:rsidR="000D54DD">
        <w:t xml:space="preserve"> where</w:t>
      </w:r>
      <w:r w:rsidR="00815717">
        <w:t xml:space="preserve"> corrective materials</w:t>
      </w:r>
      <w:r w:rsidR="00B905C8">
        <w:t>, such as calcium eliminator (i.e., MgCl</w:t>
      </w:r>
      <w:r w:rsidR="00B905C8" w:rsidRPr="00143317">
        <w:rPr>
          <w:vertAlign w:val="subscript"/>
        </w:rPr>
        <w:t>2</w:t>
      </w:r>
      <w:r w:rsidR="00B905C8">
        <w:t>) and PAF (i.e., P</w:t>
      </w:r>
      <w:r w:rsidR="00B905C8" w:rsidRPr="005374D0">
        <w:t>otassium-</w:t>
      </w:r>
      <w:r w:rsidR="00B905C8">
        <w:t>A</w:t>
      </w:r>
      <w:r w:rsidR="00B905C8" w:rsidRPr="005374D0">
        <w:t>luminum-</w:t>
      </w:r>
      <w:r w:rsidR="00B905C8">
        <w:t>F</w:t>
      </w:r>
      <w:r w:rsidR="00B905C8" w:rsidRPr="005374D0">
        <w:t>luoride</w:t>
      </w:r>
      <w:r w:rsidR="00B905C8">
        <w:t>),</w:t>
      </w:r>
      <w:r w:rsidR="0048357E">
        <w:t xml:space="preserve"> are sometimes added to raw materials </w:t>
      </w:r>
      <w:r w:rsidR="00815717">
        <w:t xml:space="preserve">to </w:t>
      </w:r>
      <w:r w:rsidR="00C50A91">
        <w:t xml:space="preserve">aid the smelting process and </w:t>
      </w:r>
      <w:r w:rsidR="00815717">
        <w:t>limit the decrease in aluminum content in the alloy</w:t>
      </w:r>
      <w:r w:rsidR="00C50A91">
        <w:t>.</w:t>
      </w:r>
      <w:r w:rsidR="00815717">
        <w:t xml:space="preserve"> Indeed, the smelting area includes 5 smelting lines involving </w:t>
      </w:r>
      <w:r w:rsidR="00797C97">
        <w:t>7 main</w:t>
      </w:r>
      <w:r w:rsidR="00815717">
        <w:t xml:space="preserve"> furnaces</w:t>
      </w:r>
      <w:r w:rsidR="00797C97">
        <w:t xml:space="preserve">. </w:t>
      </w:r>
      <w:r w:rsidR="00815717">
        <w:t xml:space="preserve">Their emissions are conveyed to </w:t>
      </w:r>
      <w:r w:rsidR="00292706">
        <w:t>two stacks</w:t>
      </w:r>
      <w:r w:rsidR="00815717">
        <w:t>.</w:t>
      </w:r>
    </w:p>
    <w:p w14:paraId="73509318" w14:textId="77777777" w:rsidR="00726BA7" w:rsidRDefault="00726BA7" w:rsidP="00726BA7">
      <w:pPr>
        <w:pStyle w:val="CETBodytext"/>
      </w:pPr>
    </w:p>
    <w:p w14:paraId="033932D3" w14:textId="5534DE3B" w:rsidR="009D7A68" w:rsidRDefault="003A77BE" w:rsidP="003A77BE">
      <w:pPr>
        <w:pStyle w:val="CETheadingx"/>
      </w:pPr>
      <w:r>
        <w:t>Identification of</w:t>
      </w:r>
      <w:r w:rsidR="00DE6064">
        <w:t xml:space="preserve"> the</w:t>
      </w:r>
      <w:r>
        <w:t xml:space="preserve"> odour emission sources</w:t>
      </w:r>
    </w:p>
    <w:p w14:paraId="2AE9A3ED" w14:textId="30BE42BB" w:rsidR="00023DA0" w:rsidRDefault="00D4379E" w:rsidP="00332D84">
      <w:pPr>
        <w:pStyle w:val="CETBodytext"/>
      </w:pPr>
      <w:r>
        <w:t>For the purpose of</w:t>
      </w:r>
      <w:r w:rsidR="002F48CF">
        <w:t xml:space="preserve"> </w:t>
      </w:r>
      <w:r w:rsidR="00DE6064">
        <w:t xml:space="preserve">identifying the most critical sources from the point of view of the odour emissions, the first </w:t>
      </w:r>
      <w:r w:rsidR="00907921">
        <w:t xml:space="preserve">step of the work consisted in an olfactometric characterization </w:t>
      </w:r>
      <w:r w:rsidR="000B11D9">
        <w:t>(according to EN 13725:2003) of all odour sources of the plant, including the pyrolytic area, the storage area where slag heaps were stored, and the smelting area.</w:t>
      </w:r>
      <w:r w:rsidR="008F7E69">
        <w:t xml:space="preserve"> </w:t>
      </w:r>
      <w:r w:rsidR="000B11D9">
        <w:t>B</w:t>
      </w:r>
      <w:r w:rsidR="0022019D">
        <w:t xml:space="preserve">oth conveyed </w:t>
      </w:r>
      <w:r w:rsidR="00ED5413">
        <w:t>and diffuse emissions</w:t>
      </w:r>
      <w:r w:rsidR="00764021">
        <w:t xml:space="preserve"> were considered,</w:t>
      </w:r>
      <w:r w:rsidR="00B13CBF">
        <w:t xml:space="preserve"> by means </w:t>
      </w:r>
      <w:r w:rsidR="002E6FB4">
        <w:t>a simultaneous s</w:t>
      </w:r>
      <w:r w:rsidR="00764021">
        <w:t>ampling at the outlet of the stacks</w:t>
      </w:r>
      <w:r w:rsidR="0066649A">
        <w:t xml:space="preserve"> </w:t>
      </w:r>
      <w:r w:rsidR="00101946">
        <w:t xml:space="preserve">and </w:t>
      </w:r>
      <w:r w:rsidR="00D717EC">
        <w:t>in ambient air</w:t>
      </w:r>
      <w:r w:rsidR="00101946">
        <w:t xml:space="preserve"> </w:t>
      </w:r>
      <w:r w:rsidR="00280E71">
        <w:t>near the openings of the furnaces</w:t>
      </w:r>
      <w:r w:rsidR="00061A52">
        <w:t xml:space="preserve"> involved in the </w:t>
      </w:r>
      <w:r w:rsidR="008F7E69">
        <w:t>investigated process</w:t>
      </w:r>
      <w:r w:rsidR="00101946">
        <w:t>.</w:t>
      </w:r>
    </w:p>
    <w:p w14:paraId="10A1D384" w14:textId="41D390FB" w:rsidR="001352FA" w:rsidRPr="00E461F6" w:rsidRDefault="004C7FFD" w:rsidP="00242742">
      <w:pPr>
        <w:pStyle w:val="CETBodytext"/>
        <w:rPr>
          <w:lang w:val="en-GB"/>
        </w:rPr>
      </w:pPr>
      <w:r>
        <w:fldChar w:fldCharType="begin"/>
      </w:r>
      <w:r>
        <w:instrText xml:space="preserve"> REF _Ref107219308 \h </w:instrText>
      </w:r>
      <w:r>
        <w:fldChar w:fldCharType="separate"/>
      </w:r>
      <w:r>
        <w:t xml:space="preserve">Table </w:t>
      </w:r>
      <w:r>
        <w:rPr>
          <w:noProof/>
        </w:rPr>
        <w:t>1</w:t>
      </w:r>
      <w:r>
        <w:fldChar w:fldCharType="end"/>
      </w:r>
      <w:r>
        <w:t xml:space="preserve"> </w:t>
      </w:r>
      <w:r w:rsidR="0066649A">
        <w:t>list</w:t>
      </w:r>
      <w:r w:rsidR="00AE6F0D">
        <w:t>s</w:t>
      </w:r>
      <w:r w:rsidR="00E35655">
        <w:t xml:space="preserve"> </w:t>
      </w:r>
      <w:r w:rsidR="00AF4F35">
        <w:t xml:space="preserve">the </w:t>
      </w:r>
      <w:r w:rsidR="00E35655">
        <w:t>different operating conditions</w:t>
      </w:r>
      <w:r w:rsidR="00064C87">
        <w:t xml:space="preserve"> </w:t>
      </w:r>
      <w:r w:rsidR="008F7E69">
        <w:t>of the plant under examination</w:t>
      </w:r>
      <w:r w:rsidR="00185509">
        <w:t>.</w:t>
      </w:r>
      <w:r w:rsidR="00EA4486">
        <w:t xml:space="preserve"> </w:t>
      </w:r>
      <w:r w:rsidR="00B0701D">
        <w:t xml:space="preserve">It is </w:t>
      </w:r>
      <w:r w:rsidR="008F7E69">
        <w:t xml:space="preserve">worth highlighting the presence of a condition defined as “normal”, whereby </w:t>
      </w:r>
      <w:r w:rsidR="00E301E2">
        <w:t xml:space="preserve">all furnaces </w:t>
      </w:r>
      <w:r w:rsidR="00EF7EF9">
        <w:t>we</w:t>
      </w:r>
      <w:r w:rsidR="00E301E2">
        <w:t xml:space="preserve">re </w:t>
      </w:r>
      <w:r w:rsidR="006E15D3">
        <w:t>melt</w:t>
      </w:r>
      <w:r w:rsidR="00B0742D">
        <w:t>ing</w:t>
      </w:r>
      <w:r w:rsidR="006E15D3">
        <w:t xml:space="preserve"> raw materials and no </w:t>
      </w:r>
      <w:r w:rsidR="008F7E69">
        <w:t>further materials were loaded into the furnaces.</w:t>
      </w:r>
      <w:r w:rsidR="00295ED7">
        <w:t xml:space="preserve"> </w:t>
      </w:r>
      <w:r w:rsidR="00416EB8">
        <w:t xml:space="preserve">In order to include the variability of the odour emissions of the plant </w:t>
      </w:r>
      <w:r w:rsidR="007A7CFC">
        <w:lastRenderedPageBreak/>
        <w:t>according to the</w:t>
      </w:r>
      <w:r w:rsidR="00064E8C">
        <w:t xml:space="preserve"> different seasons</w:t>
      </w:r>
      <w:r w:rsidR="00416EB8">
        <w:t xml:space="preserve">, </w:t>
      </w:r>
      <w:r w:rsidR="00E60B9E">
        <w:t>several</w:t>
      </w:r>
      <w:r w:rsidR="00416EB8">
        <w:t xml:space="preserve"> olfactometric campaigns we</w:t>
      </w:r>
      <w:r w:rsidR="00416EB8" w:rsidRPr="00E461F6">
        <w:t xml:space="preserve">re </w:t>
      </w:r>
      <w:r w:rsidR="00E60B9E" w:rsidRPr="00E461F6">
        <w:t>carried out</w:t>
      </w:r>
      <w:r w:rsidR="00416EB8" w:rsidRPr="00E461F6">
        <w:t xml:space="preserve"> in different months of the years</w:t>
      </w:r>
      <w:r w:rsidR="00943B24" w:rsidRPr="00E461F6">
        <w:t xml:space="preserve"> (i.e.,</w:t>
      </w:r>
      <w:r w:rsidR="00416EB8" w:rsidRPr="00E461F6">
        <w:t xml:space="preserve"> July, September, November, February and May</w:t>
      </w:r>
      <w:r w:rsidR="00943B24" w:rsidRPr="00E461F6">
        <w:t xml:space="preserve">). </w:t>
      </w:r>
    </w:p>
    <w:p w14:paraId="15F42CDD" w14:textId="644328BA" w:rsidR="00416EB8" w:rsidRPr="00E461F6" w:rsidRDefault="00416EB8" w:rsidP="00416EB8">
      <w:pPr>
        <w:pStyle w:val="CETCaption"/>
      </w:pPr>
      <w:bookmarkStart w:id="2" w:name="_Ref107219308"/>
      <w:r w:rsidRPr="00E461F6">
        <w:t xml:space="preserve">Table </w:t>
      </w:r>
      <w:r w:rsidRPr="00E461F6">
        <w:fldChar w:fldCharType="begin"/>
      </w:r>
      <w:r w:rsidRPr="00E461F6">
        <w:instrText xml:space="preserve"> SEQ Table \* ARABIC </w:instrText>
      </w:r>
      <w:r w:rsidRPr="00E461F6">
        <w:fldChar w:fldCharType="separate"/>
      </w:r>
      <w:r w:rsidR="001F3DF3">
        <w:rPr>
          <w:noProof/>
        </w:rPr>
        <w:t>1</w:t>
      </w:r>
      <w:r w:rsidRPr="00E461F6">
        <w:fldChar w:fldCharType="end"/>
      </w:r>
      <w:bookmarkEnd w:id="2"/>
      <w:r w:rsidRPr="00E461F6">
        <w:t>. Description of the emission sources and the</w:t>
      </w:r>
      <w:r w:rsidR="00C22D96">
        <w:t xml:space="preserve"> operating conditions</w:t>
      </w:r>
      <w:r w:rsidRPr="00E461F6">
        <w:t xml:space="preserve"> </w:t>
      </w:r>
      <w:r w:rsidR="006C36A4">
        <w:t>considered for</w:t>
      </w:r>
      <w:r w:rsidRPr="00E461F6">
        <w:t xml:space="preserve"> the olfactometric characterization of the plant</w:t>
      </w:r>
      <w:r w:rsidR="00930196">
        <w:t xml:space="preserve"> according to EN 13725:2003</w:t>
      </w:r>
    </w:p>
    <w:tbl>
      <w:tblPr>
        <w:tblStyle w:val="Grigliatabella"/>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804"/>
      </w:tblGrid>
      <w:tr w:rsidR="00C906F1" w:rsidRPr="00E461F6" w14:paraId="387751A7" w14:textId="7C38B23A" w:rsidTr="00D47481">
        <w:tc>
          <w:tcPr>
            <w:tcW w:w="2127" w:type="dxa"/>
            <w:tcBorders>
              <w:top w:val="single" w:sz="12" w:space="0" w:color="4F6228" w:themeColor="accent3" w:themeShade="80"/>
              <w:bottom w:val="single" w:sz="4" w:space="0" w:color="4F6228" w:themeColor="accent3" w:themeShade="80"/>
            </w:tcBorders>
            <w:vAlign w:val="center"/>
          </w:tcPr>
          <w:p w14:paraId="128BA8C3" w14:textId="78D6D812" w:rsidR="00C906F1" w:rsidRPr="00E461F6" w:rsidRDefault="00C906F1" w:rsidP="00E234D9">
            <w:pPr>
              <w:pStyle w:val="CETBodytext"/>
              <w:jc w:val="center"/>
              <w:rPr>
                <w:lang w:val="en-GB"/>
              </w:rPr>
            </w:pPr>
            <w:r w:rsidRPr="00E461F6">
              <w:rPr>
                <w:lang w:val="en-GB"/>
              </w:rPr>
              <w:t>AREA OF THE PLANT</w:t>
            </w:r>
          </w:p>
        </w:tc>
        <w:tc>
          <w:tcPr>
            <w:tcW w:w="6804" w:type="dxa"/>
            <w:tcBorders>
              <w:top w:val="single" w:sz="12" w:space="0" w:color="4F6228" w:themeColor="accent3" w:themeShade="80"/>
              <w:bottom w:val="single" w:sz="4" w:space="0" w:color="4F6228" w:themeColor="accent3" w:themeShade="80"/>
            </w:tcBorders>
            <w:vAlign w:val="center"/>
          </w:tcPr>
          <w:p w14:paraId="261A4C4A" w14:textId="3A70BDDE" w:rsidR="00C906F1" w:rsidRPr="00E461F6" w:rsidRDefault="00C906F1" w:rsidP="00E234D9">
            <w:pPr>
              <w:pStyle w:val="CETBodytext"/>
              <w:jc w:val="center"/>
              <w:rPr>
                <w:lang w:val="en-GB"/>
              </w:rPr>
            </w:pPr>
            <w:r w:rsidRPr="00E461F6">
              <w:rPr>
                <w:lang w:val="en-GB"/>
              </w:rPr>
              <w:t>TYPE OF PROCESSING</w:t>
            </w:r>
          </w:p>
        </w:tc>
      </w:tr>
      <w:tr w:rsidR="00C906F1" w:rsidRPr="00E461F6" w14:paraId="4EBE5675" w14:textId="0959754F" w:rsidTr="00D47481">
        <w:tc>
          <w:tcPr>
            <w:tcW w:w="2127" w:type="dxa"/>
            <w:tcBorders>
              <w:top w:val="single" w:sz="4" w:space="0" w:color="4F6228" w:themeColor="accent3" w:themeShade="80"/>
              <w:bottom w:val="single" w:sz="4" w:space="0" w:color="4F6228" w:themeColor="accent3" w:themeShade="80"/>
            </w:tcBorders>
            <w:vAlign w:val="center"/>
          </w:tcPr>
          <w:p w14:paraId="5484561F" w14:textId="0171EC53" w:rsidR="00C906F1" w:rsidRPr="00E461F6" w:rsidRDefault="00C906F1" w:rsidP="00C861B9">
            <w:pPr>
              <w:pStyle w:val="CETBodytext"/>
              <w:jc w:val="left"/>
              <w:rPr>
                <w:lang w:val="en-GB"/>
              </w:rPr>
            </w:pPr>
            <w:r w:rsidRPr="00E461F6">
              <w:rPr>
                <w:lang w:val="en-GB"/>
              </w:rPr>
              <w:t>Pyroly</w:t>
            </w:r>
            <w:r w:rsidR="00C22D96">
              <w:rPr>
                <w:lang w:val="en-GB"/>
              </w:rPr>
              <w:t>tic Area</w:t>
            </w:r>
          </w:p>
        </w:tc>
        <w:tc>
          <w:tcPr>
            <w:tcW w:w="6804" w:type="dxa"/>
            <w:tcBorders>
              <w:top w:val="single" w:sz="4" w:space="0" w:color="4F6228" w:themeColor="accent3" w:themeShade="80"/>
              <w:bottom w:val="single" w:sz="4" w:space="0" w:color="4F6228" w:themeColor="accent3" w:themeShade="80"/>
            </w:tcBorders>
            <w:vAlign w:val="center"/>
          </w:tcPr>
          <w:p w14:paraId="6DC14332" w14:textId="6697DE72" w:rsidR="00C906F1" w:rsidRPr="00E461F6" w:rsidRDefault="00C906F1" w:rsidP="00882FCD">
            <w:pPr>
              <w:pStyle w:val="CETBodytext"/>
              <w:numPr>
                <w:ilvl w:val="0"/>
                <w:numId w:val="23"/>
              </w:numPr>
              <w:jc w:val="left"/>
              <w:rPr>
                <w:lang w:val="en-GB"/>
              </w:rPr>
            </w:pPr>
            <w:r w:rsidRPr="00E461F6">
              <w:rPr>
                <w:lang w:val="en-GB"/>
              </w:rPr>
              <w:t xml:space="preserve">Pyrolytic furnace loaded only </w:t>
            </w:r>
            <w:r w:rsidR="00034743" w:rsidRPr="00E461F6">
              <w:rPr>
                <w:lang w:val="en-GB"/>
              </w:rPr>
              <w:t>with alumin</w:t>
            </w:r>
            <w:r w:rsidR="008F7E69">
              <w:rPr>
                <w:lang w:val="en-GB"/>
              </w:rPr>
              <w:t>i</w:t>
            </w:r>
            <w:r w:rsidR="00034743" w:rsidRPr="00E461F6">
              <w:rPr>
                <w:lang w:val="en-GB"/>
              </w:rPr>
              <w:t>um</w:t>
            </w:r>
            <w:r w:rsidRPr="00E461F6">
              <w:rPr>
                <w:lang w:val="en-GB"/>
              </w:rPr>
              <w:t xml:space="preserve"> cans</w:t>
            </w:r>
          </w:p>
          <w:p w14:paraId="47F60B40" w14:textId="6B3DA330" w:rsidR="00C906F1" w:rsidRPr="00E461F6" w:rsidRDefault="00C906F1" w:rsidP="00882FCD">
            <w:pPr>
              <w:pStyle w:val="CETBodytext"/>
              <w:numPr>
                <w:ilvl w:val="0"/>
                <w:numId w:val="23"/>
              </w:numPr>
              <w:jc w:val="left"/>
              <w:rPr>
                <w:lang w:val="en-GB"/>
              </w:rPr>
            </w:pPr>
            <w:r w:rsidRPr="00E461F6">
              <w:rPr>
                <w:lang w:val="en-GB"/>
              </w:rPr>
              <w:t xml:space="preserve">Pyrolytic furnace loaded </w:t>
            </w:r>
            <w:r w:rsidR="00034743" w:rsidRPr="00E461F6">
              <w:rPr>
                <w:lang w:val="en-GB"/>
              </w:rPr>
              <w:t>with alumin</w:t>
            </w:r>
            <w:r w:rsidR="008F7E69">
              <w:rPr>
                <w:lang w:val="en-GB"/>
              </w:rPr>
              <w:t>i</w:t>
            </w:r>
            <w:r w:rsidR="00034743" w:rsidRPr="00E461F6">
              <w:rPr>
                <w:lang w:val="en-GB"/>
              </w:rPr>
              <w:t>um</w:t>
            </w:r>
            <w:r w:rsidRPr="00E461F6">
              <w:rPr>
                <w:lang w:val="en-GB"/>
              </w:rPr>
              <w:t xml:space="preserve"> cans and lathing material</w:t>
            </w:r>
          </w:p>
        </w:tc>
      </w:tr>
      <w:tr w:rsidR="00C906F1" w:rsidRPr="00E461F6" w14:paraId="12948BC8" w14:textId="4C19EBAE" w:rsidTr="00D47481">
        <w:tc>
          <w:tcPr>
            <w:tcW w:w="2127" w:type="dxa"/>
            <w:tcBorders>
              <w:top w:val="single" w:sz="4" w:space="0" w:color="4F6228" w:themeColor="accent3" w:themeShade="80"/>
              <w:bottom w:val="single" w:sz="4" w:space="0" w:color="4F6228" w:themeColor="accent3" w:themeShade="80"/>
            </w:tcBorders>
            <w:vAlign w:val="center"/>
          </w:tcPr>
          <w:p w14:paraId="7707A343" w14:textId="77777777" w:rsidR="00C906F1" w:rsidRPr="00E461F6" w:rsidRDefault="00C906F1" w:rsidP="00C861B9">
            <w:pPr>
              <w:pStyle w:val="CETBodytext"/>
              <w:jc w:val="left"/>
              <w:rPr>
                <w:lang w:val="en-GB"/>
              </w:rPr>
            </w:pPr>
            <w:r w:rsidRPr="00E461F6">
              <w:rPr>
                <w:lang w:val="en-GB"/>
              </w:rPr>
              <w:t>Storage Area</w:t>
            </w:r>
          </w:p>
        </w:tc>
        <w:tc>
          <w:tcPr>
            <w:tcW w:w="6804" w:type="dxa"/>
            <w:tcBorders>
              <w:top w:val="single" w:sz="4" w:space="0" w:color="4F6228" w:themeColor="accent3" w:themeShade="80"/>
              <w:bottom w:val="single" w:sz="4" w:space="0" w:color="4F6228" w:themeColor="accent3" w:themeShade="80"/>
            </w:tcBorders>
            <w:vAlign w:val="center"/>
          </w:tcPr>
          <w:p w14:paraId="58EFEEBD" w14:textId="77777777" w:rsidR="00C906F1" w:rsidRPr="00E461F6" w:rsidRDefault="00C906F1" w:rsidP="00882FCD">
            <w:pPr>
              <w:pStyle w:val="CETBodytext"/>
              <w:numPr>
                <w:ilvl w:val="0"/>
                <w:numId w:val="24"/>
              </w:numPr>
              <w:jc w:val="left"/>
              <w:rPr>
                <w:lang w:val="en-GB"/>
              </w:rPr>
            </w:pPr>
            <w:r w:rsidRPr="00E461F6">
              <w:rPr>
                <w:lang w:val="en-GB"/>
              </w:rPr>
              <w:t>Slag heaps</w:t>
            </w:r>
          </w:p>
          <w:p w14:paraId="197360CF" w14:textId="15F73212" w:rsidR="00C906F1" w:rsidRPr="00E461F6" w:rsidRDefault="00930196" w:rsidP="00882FCD">
            <w:pPr>
              <w:pStyle w:val="CETBodytext"/>
              <w:numPr>
                <w:ilvl w:val="0"/>
                <w:numId w:val="24"/>
              </w:numPr>
              <w:jc w:val="left"/>
              <w:rPr>
                <w:lang w:val="en-GB"/>
              </w:rPr>
            </w:pPr>
            <w:r>
              <w:rPr>
                <w:lang w:val="en-GB"/>
              </w:rPr>
              <w:t>Aluminium oxide</w:t>
            </w:r>
            <w:r w:rsidRPr="00E461F6">
              <w:rPr>
                <w:lang w:val="en-GB"/>
              </w:rPr>
              <w:t xml:space="preserve"> </w:t>
            </w:r>
            <w:r w:rsidR="00C906F1" w:rsidRPr="00E461F6">
              <w:rPr>
                <w:lang w:val="en-GB"/>
              </w:rPr>
              <w:t>piles</w:t>
            </w:r>
          </w:p>
        </w:tc>
      </w:tr>
      <w:tr w:rsidR="00C906F1" w:rsidRPr="00E461F6" w14:paraId="35A79E70" w14:textId="4521A82C" w:rsidTr="00D47481">
        <w:tc>
          <w:tcPr>
            <w:tcW w:w="2127" w:type="dxa"/>
            <w:tcBorders>
              <w:top w:val="single" w:sz="4" w:space="0" w:color="4F6228" w:themeColor="accent3" w:themeShade="80"/>
              <w:bottom w:val="single" w:sz="12" w:space="0" w:color="4F6228" w:themeColor="accent3" w:themeShade="80"/>
            </w:tcBorders>
            <w:vAlign w:val="center"/>
          </w:tcPr>
          <w:p w14:paraId="67C3352C" w14:textId="0955E75D" w:rsidR="00C906F1" w:rsidRPr="00E461F6" w:rsidRDefault="00C906F1" w:rsidP="00C861B9">
            <w:pPr>
              <w:pStyle w:val="CETBodytext"/>
              <w:jc w:val="left"/>
              <w:rPr>
                <w:lang w:val="en-GB"/>
              </w:rPr>
            </w:pPr>
            <w:r w:rsidRPr="00E461F6">
              <w:rPr>
                <w:lang w:val="en-GB"/>
              </w:rPr>
              <w:t xml:space="preserve">Smelting </w:t>
            </w:r>
            <w:r w:rsidR="00C22D96">
              <w:rPr>
                <w:lang w:val="en-GB"/>
              </w:rPr>
              <w:t>Area</w:t>
            </w:r>
          </w:p>
        </w:tc>
        <w:tc>
          <w:tcPr>
            <w:tcW w:w="6804" w:type="dxa"/>
            <w:tcBorders>
              <w:top w:val="single" w:sz="4" w:space="0" w:color="4F6228" w:themeColor="accent3" w:themeShade="80"/>
              <w:bottom w:val="single" w:sz="12" w:space="0" w:color="4F6228" w:themeColor="accent3" w:themeShade="80"/>
            </w:tcBorders>
            <w:vAlign w:val="center"/>
          </w:tcPr>
          <w:p w14:paraId="2DFD5AD1" w14:textId="0884E356" w:rsidR="00C906F1" w:rsidRPr="00E461F6" w:rsidRDefault="00CD1DD3" w:rsidP="00882FCD">
            <w:pPr>
              <w:pStyle w:val="CETBodytext"/>
              <w:numPr>
                <w:ilvl w:val="0"/>
                <w:numId w:val="24"/>
              </w:numPr>
              <w:jc w:val="left"/>
              <w:rPr>
                <w:lang w:val="en-GB"/>
              </w:rPr>
            </w:pPr>
            <w:r w:rsidRPr="00E461F6">
              <w:rPr>
                <w:lang w:val="en-GB"/>
              </w:rPr>
              <w:t>“</w:t>
            </w:r>
            <w:r w:rsidR="00C906F1" w:rsidRPr="00E461F6">
              <w:rPr>
                <w:lang w:val="en-GB"/>
              </w:rPr>
              <w:t>Normal</w:t>
            </w:r>
            <w:r w:rsidRPr="00E461F6">
              <w:rPr>
                <w:lang w:val="en-GB"/>
              </w:rPr>
              <w:t xml:space="preserve">” </w:t>
            </w:r>
            <w:r w:rsidR="00C906F1" w:rsidRPr="00E461F6">
              <w:rPr>
                <w:lang w:val="en-GB"/>
              </w:rPr>
              <w:t>operating conditions</w:t>
            </w:r>
          </w:p>
          <w:p w14:paraId="275F8ACF" w14:textId="77777777" w:rsidR="00C95090" w:rsidRDefault="00C906F1" w:rsidP="00882FCD">
            <w:pPr>
              <w:pStyle w:val="CETBodytext"/>
              <w:numPr>
                <w:ilvl w:val="0"/>
                <w:numId w:val="24"/>
              </w:numPr>
              <w:jc w:val="left"/>
              <w:rPr>
                <w:lang w:val="en-GB"/>
              </w:rPr>
            </w:pPr>
            <w:r w:rsidRPr="00E461F6">
              <w:rPr>
                <w:lang w:val="en-GB"/>
              </w:rPr>
              <w:t xml:space="preserve">Rotating furnaces loaded </w:t>
            </w:r>
            <w:r w:rsidR="00034743" w:rsidRPr="00E461F6">
              <w:rPr>
                <w:lang w:val="en-GB"/>
              </w:rPr>
              <w:t>with</w:t>
            </w:r>
            <w:r w:rsidRPr="00E461F6">
              <w:rPr>
                <w:lang w:val="en-GB"/>
              </w:rPr>
              <w:t xml:space="preserve"> different raw materials </w:t>
            </w:r>
          </w:p>
          <w:p w14:paraId="25C9D54B" w14:textId="2B9EAA73" w:rsidR="00C906F1" w:rsidRPr="00E461F6" w:rsidRDefault="00C95090" w:rsidP="00882FCD">
            <w:pPr>
              <w:pStyle w:val="CETBodytext"/>
              <w:numPr>
                <w:ilvl w:val="0"/>
                <w:numId w:val="24"/>
              </w:numPr>
              <w:jc w:val="left"/>
              <w:rPr>
                <w:lang w:val="en-GB"/>
              </w:rPr>
            </w:pPr>
            <w:r w:rsidRPr="00E461F6">
              <w:rPr>
                <w:lang w:val="en-GB"/>
              </w:rPr>
              <w:t xml:space="preserve">Rotating furnaces loaded with </w:t>
            </w:r>
            <w:r w:rsidR="00C906F1" w:rsidRPr="00E461F6">
              <w:rPr>
                <w:lang w:val="en-GB"/>
              </w:rPr>
              <w:t>PAF</w:t>
            </w:r>
          </w:p>
          <w:p w14:paraId="18BE674C" w14:textId="08BA926C" w:rsidR="00C906F1" w:rsidRDefault="00FA1D33" w:rsidP="00882FCD">
            <w:pPr>
              <w:pStyle w:val="CETBodytext"/>
              <w:numPr>
                <w:ilvl w:val="0"/>
                <w:numId w:val="24"/>
              </w:numPr>
              <w:jc w:val="left"/>
              <w:rPr>
                <w:lang w:val="en-GB"/>
              </w:rPr>
            </w:pPr>
            <w:r w:rsidRPr="00E461F6">
              <w:rPr>
                <w:lang w:val="en-GB"/>
              </w:rPr>
              <w:t>Dock</w:t>
            </w:r>
            <w:r w:rsidR="00C906F1" w:rsidRPr="00E461F6">
              <w:rPr>
                <w:lang w:val="en-GB"/>
              </w:rPr>
              <w:t xml:space="preserve"> and </w:t>
            </w:r>
            <w:r w:rsidRPr="00E461F6">
              <w:rPr>
                <w:lang w:val="en-GB"/>
              </w:rPr>
              <w:t>holding</w:t>
            </w:r>
            <w:r w:rsidR="00C906F1" w:rsidRPr="00E461F6">
              <w:rPr>
                <w:lang w:val="en-GB"/>
              </w:rPr>
              <w:t xml:space="preserve"> furnaces loaded </w:t>
            </w:r>
            <w:r w:rsidR="00034743" w:rsidRPr="00E461F6">
              <w:rPr>
                <w:lang w:val="en-GB"/>
              </w:rPr>
              <w:t xml:space="preserve">with </w:t>
            </w:r>
            <w:r w:rsidR="00C906F1" w:rsidRPr="00E461F6">
              <w:rPr>
                <w:lang w:val="en-GB"/>
              </w:rPr>
              <w:t>different raw materials</w:t>
            </w:r>
          </w:p>
          <w:p w14:paraId="5F0B2948" w14:textId="27DE7DED" w:rsidR="00C95090" w:rsidRPr="00E461F6" w:rsidRDefault="00C95090" w:rsidP="00C95090">
            <w:pPr>
              <w:pStyle w:val="CETBodytext"/>
              <w:numPr>
                <w:ilvl w:val="0"/>
                <w:numId w:val="24"/>
              </w:numPr>
              <w:jc w:val="left"/>
              <w:rPr>
                <w:lang w:val="en-GB"/>
              </w:rPr>
            </w:pPr>
            <w:r w:rsidRPr="00E461F6">
              <w:rPr>
                <w:lang w:val="en-GB"/>
              </w:rPr>
              <w:t>Dock and holding furnaces loaded with PAF</w:t>
            </w:r>
            <w:r>
              <w:rPr>
                <w:lang w:val="en-GB"/>
              </w:rPr>
              <w:t xml:space="preserve"> </w:t>
            </w:r>
          </w:p>
          <w:p w14:paraId="52FF6EBC" w14:textId="0D764207" w:rsidR="00C95090" w:rsidRPr="00C95090" w:rsidRDefault="00C95090" w:rsidP="00C95090">
            <w:pPr>
              <w:pStyle w:val="CETBodytext"/>
              <w:numPr>
                <w:ilvl w:val="0"/>
                <w:numId w:val="24"/>
              </w:numPr>
              <w:jc w:val="left"/>
              <w:rPr>
                <w:lang w:val="en-GB"/>
              </w:rPr>
            </w:pPr>
            <w:r w:rsidRPr="00E461F6">
              <w:rPr>
                <w:lang w:val="en-GB"/>
              </w:rPr>
              <w:t xml:space="preserve">Dock and holding furnaces loaded with </w:t>
            </w:r>
            <w:r>
              <w:rPr>
                <w:lang w:val="en-GB"/>
              </w:rPr>
              <w:t>c</w:t>
            </w:r>
            <w:r w:rsidRPr="00E461F6">
              <w:rPr>
                <w:lang w:val="en-GB"/>
              </w:rPr>
              <w:t>alcium eliminator</w:t>
            </w:r>
          </w:p>
          <w:p w14:paraId="373D6944" w14:textId="52907EB1" w:rsidR="00C906F1" w:rsidRPr="00E461F6" w:rsidRDefault="00C906F1" w:rsidP="00CD69B2">
            <w:pPr>
              <w:pStyle w:val="CETBodytext"/>
              <w:numPr>
                <w:ilvl w:val="0"/>
                <w:numId w:val="24"/>
              </w:numPr>
              <w:jc w:val="left"/>
              <w:rPr>
                <w:lang w:val="en-GB"/>
              </w:rPr>
            </w:pPr>
            <w:r w:rsidRPr="00E461F6">
              <w:rPr>
                <w:lang w:val="en-GB"/>
              </w:rPr>
              <w:t>Slagging process</w:t>
            </w:r>
          </w:p>
        </w:tc>
      </w:tr>
    </w:tbl>
    <w:p w14:paraId="4F405F0B" w14:textId="77777777" w:rsidR="00416EB8" w:rsidRPr="00E461F6" w:rsidRDefault="00416EB8" w:rsidP="00F7560B">
      <w:pPr>
        <w:pStyle w:val="CETBodytext"/>
        <w:tabs>
          <w:tab w:val="clear" w:pos="7100"/>
          <w:tab w:val="left" w:pos="960"/>
        </w:tabs>
      </w:pPr>
    </w:p>
    <w:p w14:paraId="32832BE7" w14:textId="6A89B689" w:rsidR="00B07ECB" w:rsidRPr="00E461F6" w:rsidRDefault="00854561" w:rsidP="00E93D37">
      <w:pPr>
        <w:pStyle w:val="CETheadingx"/>
      </w:pPr>
      <w:r>
        <w:t xml:space="preserve">Definition of </w:t>
      </w:r>
      <w:r w:rsidR="00C27D16" w:rsidRPr="00E461F6">
        <w:t>macr</w:t>
      </w:r>
      <w:r w:rsidR="008E5331" w:rsidRPr="00E461F6">
        <w:t>o-classes</w:t>
      </w:r>
      <w:r>
        <w:t xml:space="preserve"> for odour emissions</w:t>
      </w:r>
    </w:p>
    <w:p w14:paraId="5FC1AAAA" w14:textId="7C5564BE" w:rsidR="007B4BCB" w:rsidRDefault="007B4BCB" w:rsidP="007B4BCB">
      <w:pPr>
        <w:pStyle w:val="CETBodytext"/>
      </w:pPr>
      <w:r>
        <w:t>Based on experimental evidence, the possibility of</w:t>
      </w:r>
      <w:r w:rsidR="002D2A77">
        <w:t xml:space="preserve"> sorting</w:t>
      </w:r>
      <w:r>
        <w:t xml:space="preserve"> the different smelter operations </w:t>
      </w:r>
      <w:r w:rsidR="00D8589A">
        <w:t>was explored. The</w:t>
      </w:r>
      <w:r>
        <w:t xml:space="preserve"> two</w:t>
      </w:r>
      <w:r w:rsidR="00D8589A">
        <w:t xml:space="preserve"> </w:t>
      </w:r>
      <w:r w:rsidR="00721F85">
        <w:t>investigated</w:t>
      </w:r>
      <w:r>
        <w:t xml:space="preserve"> "macro-classes"</w:t>
      </w:r>
      <w:r w:rsidR="00D8589A">
        <w:t xml:space="preserve"> are</w:t>
      </w:r>
      <w:r>
        <w:t xml:space="preserve"> characterized respectively by a "lower" concentration</w:t>
      </w:r>
      <w:r w:rsidR="001C6311">
        <w:t xml:space="preserve">, labeled </w:t>
      </w:r>
      <w:r w:rsidR="00FA77E2">
        <w:t xml:space="preserve">as </w:t>
      </w:r>
      <w:r w:rsidR="001C6311">
        <w:t>“Low”</w:t>
      </w:r>
      <w:r>
        <w:t xml:space="preserve"> (</w:t>
      </w:r>
      <w:r w:rsidR="00FA77E2">
        <w:t xml:space="preserve">which is the </w:t>
      </w:r>
      <w:r>
        <w:t>macro-class corresponding to "normal" and assimilable conditions), and a "high</w:t>
      </w:r>
      <w:r w:rsidR="00FA77E2">
        <w:t>er</w:t>
      </w:r>
      <w:r>
        <w:t>" concentration</w:t>
      </w:r>
      <w:r w:rsidR="002D46CF">
        <w:t xml:space="preserve">, labeled </w:t>
      </w:r>
      <w:r w:rsidR="00FA77E2">
        <w:t xml:space="preserve">as </w:t>
      </w:r>
      <w:r w:rsidR="002D46CF">
        <w:t>“High”</w:t>
      </w:r>
      <w:r>
        <w:t xml:space="preserve"> (</w:t>
      </w:r>
      <w:r w:rsidR="00FA77E2">
        <w:t xml:space="preserve">which is the </w:t>
      </w:r>
      <w:r>
        <w:t>macro-class corresponding to those operations that lead to a statistically significant increase in the emitted odo</w:t>
      </w:r>
      <w:r w:rsidR="00583B1D">
        <w:t>u</w:t>
      </w:r>
      <w:r>
        <w:t>r concentration)</w:t>
      </w:r>
      <w:r w:rsidR="00D8589A">
        <w:t>.</w:t>
      </w:r>
      <w:r>
        <w:t xml:space="preserve"> </w:t>
      </w:r>
      <w:r w:rsidR="001B28A4">
        <w:t xml:space="preserve">In order to identify the </w:t>
      </w:r>
      <w:r w:rsidR="00BF627A">
        <w:t>operating conditions of the plant belonging</w:t>
      </w:r>
      <w:r w:rsidR="00ED524C">
        <w:t xml:space="preserve"> to</w:t>
      </w:r>
      <w:r w:rsidR="00BF627A">
        <w:t xml:space="preserve"> the</w:t>
      </w:r>
      <w:r w:rsidR="007E1B56">
        <w:t xml:space="preserve"> “Low” class and the “High” class</w:t>
      </w:r>
      <w:r w:rsidR="006C117D">
        <w:t>,</w:t>
      </w:r>
      <w:r w:rsidR="001847B3">
        <w:t xml:space="preserve"> </w:t>
      </w:r>
      <w:r w:rsidR="00A94352">
        <w:t xml:space="preserve">different </w:t>
      </w:r>
      <w:r w:rsidR="00E12A65">
        <w:t>macro-classes</w:t>
      </w:r>
      <w:r w:rsidR="002F3CAD">
        <w:t>, each of them</w:t>
      </w:r>
      <w:r w:rsidR="001847B3">
        <w:t xml:space="preserve"> </w:t>
      </w:r>
      <w:r w:rsidR="00A94352">
        <w:t>including</w:t>
      </w:r>
      <w:r w:rsidR="00E12A65">
        <w:t xml:space="preserve"> from </w:t>
      </w:r>
      <w:r w:rsidR="00E064E0">
        <w:t>time-to-time</w:t>
      </w:r>
      <w:r w:rsidR="00A94352">
        <w:t xml:space="preserve"> </w:t>
      </w:r>
      <w:r w:rsidR="00A77D7B">
        <w:t>differe</w:t>
      </w:r>
      <w:r w:rsidR="009E500E">
        <w:t>nt</w:t>
      </w:r>
      <w:r w:rsidR="00E27540">
        <w:t xml:space="preserve"> working conditions of the plant</w:t>
      </w:r>
      <w:r w:rsidR="00E12A65">
        <w:t>,</w:t>
      </w:r>
      <w:r w:rsidR="00E27540">
        <w:t xml:space="preserve"> </w:t>
      </w:r>
      <w:r w:rsidR="008848D8">
        <w:t>were investigated</w:t>
      </w:r>
      <w:r w:rsidR="003B5F44">
        <w:t xml:space="preserve">. </w:t>
      </w:r>
      <w:r w:rsidR="00AD6A3D">
        <w:t>A</w:t>
      </w:r>
      <w:r w:rsidR="000D17C9">
        <w:t xml:space="preserve"> one-way</w:t>
      </w:r>
      <w:r w:rsidR="006E7E2A">
        <w:t xml:space="preserve"> ANOVA test</w:t>
      </w:r>
      <w:r w:rsidR="00E064E0">
        <w:t xml:space="preserve"> on the logarithmic odour concentration values </w:t>
      </w:r>
      <w:r w:rsidR="00686D2C">
        <w:t xml:space="preserve">representatives of the </w:t>
      </w:r>
      <w:r w:rsidR="00E05058">
        <w:t>operating conditions of the foundry was applied</w:t>
      </w:r>
      <w:r w:rsidR="00F16495">
        <w:t xml:space="preserve"> </w:t>
      </w:r>
      <w:r w:rsidR="00384E83">
        <w:t>(</w:t>
      </w:r>
      <w:r w:rsidR="00844E65">
        <w:t>Brown and Forsythe, 1974</w:t>
      </w:r>
      <w:r w:rsidR="00384E83">
        <w:t>)</w:t>
      </w:r>
      <w:r>
        <w:t>.</w:t>
      </w:r>
      <w:r w:rsidR="00D12851">
        <w:t xml:space="preserve"> The</w:t>
      </w:r>
      <w:r w:rsidR="00A65978">
        <w:t xml:space="preserve"> Analysis of Variance (ANOVA)</w:t>
      </w:r>
      <w:r w:rsidR="00642C7B">
        <w:t xml:space="preserve"> is a statistical model</w:t>
      </w:r>
      <w:r w:rsidR="00C10287">
        <w:t xml:space="preserve"> </w:t>
      </w:r>
      <w:r w:rsidR="00642C7B">
        <w:t xml:space="preserve">used to analyze the differences among group means and </w:t>
      </w:r>
      <w:r w:rsidR="001F5F49">
        <w:t>their associated variability</w:t>
      </w:r>
      <w:r w:rsidR="00D13529">
        <w:t>, among and between groups</w:t>
      </w:r>
      <w:r w:rsidR="007C66F4">
        <w:t>, resulting in the probability</w:t>
      </w:r>
      <w:r w:rsidR="007642D2">
        <w:t xml:space="preserve">, expressed in terms of p-value, that </w:t>
      </w:r>
      <w:r w:rsidR="002B7C3B">
        <w:t>the</w:t>
      </w:r>
      <w:r w:rsidR="00993902">
        <w:t xml:space="preserve"> distribution of the two groups</w:t>
      </w:r>
      <w:r w:rsidR="00544FBA">
        <w:t xml:space="preserve"> </w:t>
      </w:r>
      <w:r w:rsidR="00B42F35">
        <w:t>is</w:t>
      </w:r>
      <w:r w:rsidR="00544FBA">
        <w:t xml:space="preserve"> statistically different</w:t>
      </w:r>
      <w:r w:rsidR="00D13529">
        <w:t>.</w:t>
      </w:r>
      <w:r w:rsidR="004242C0">
        <w:t xml:space="preserve"> </w:t>
      </w:r>
      <w:r w:rsidR="00D5122C">
        <w:t>A Shapiro-Wilk test to verify the normality of data and</w:t>
      </w:r>
      <w:r w:rsidR="00D523C2">
        <w:t xml:space="preserve"> </w:t>
      </w:r>
      <w:r w:rsidR="00336D1D">
        <w:t>a</w:t>
      </w:r>
      <w:r w:rsidR="00D523C2">
        <w:t xml:space="preserve"> Leven</w:t>
      </w:r>
      <w:r w:rsidR="006C093E">
        <w:t>e</w:t>
      </w:r>
      <w:r w:rsidR="00D523C2">
        <w:t xml:space="preserve"> test to verify the </w:t>
      </w:r>
      <w:r w:rsidR="00E71A34">
        <w:t xml:space="preserve">data </w:t>
      </w:r>
      <w:r w:rsidR="00D523C2">
        <w:t>homoscedasticity</w:t>
      </w:r>
      <w:r w:rsidR="00840035">
        <w:t xml:space="preserve"> were implemented before applying ANOVA test</w:t>
      </w:r>
      <w:r w:rsidR="00D523C2">
        <w:t>.</w:t>
      </w:r>
      <w:r w:rsidR="00092E0B">
        <w:t xml:space="preserve"> </w:t>
      </w:r>
      <w:r w:rsidR="00FD1530">
        <w:t xml:space="preserve">The violation of </w:t>
      </w:r>
      <w:r w:rsidR="001B67FE">
        <w:t xml:space="preserve">the </w:t>
      </w:r>
      <w:r w:rsidR="005E7355">
        <w:t>homoscedasticity hypothesis</w:t>
      </w:r>
      <w:r w:rsidR="00224957">
        <w:t xml:space="preserve"> was considered in the </w:t>
      </w:r>
      <w:r w:rsidR="00373D4C">
        <w:t>evaluation.</w:t>
      </w:r>
    </w:p>
    <w:p w14:paraId="0DCD693F" w14:textId="68615FB0" w:rsidR="008E28F0" w:rsidRDefault="00EE10E7" w:rsidP="007B4BCB">
      <w:pPr>
        <w:pStyle w:val="CETBodytext"/>
      </w:pPr>
      <w:r>
        <w:t>An ANOVA test was carried out for each pair of “macro-classes”</w:t>
      </w:r>
      <w:r w:rsidR="009746C8">
        <w:t xml:space="preserve"> and, comparing th</w:t>
      </w:r>
      <w:r w:rsidR="00933C36">
        <w:t>e p-values obtained</w:t>
      </w:r>
      <w:r w:rsidR="009746C8">
        <w:t>,</w:t>
      </w:r>
      <w:r w:rsidR="00933C36">
        <w:t xml:space="preserve"> </w:t>
      </w:r>
      <w:r w:rsidR="002B5BE6" w:rsidRPr="002B5BE6">
        <w:t xml:space="preserve">it was possible to define the </w:t>
      </w:r>
      <w:r w:rsidR="00141840">
        <w:t xml:space="preserve">operating conditions </w:t>
      </w:r>
      <w:r w:rsidR="00475A3B">
        <w:t xml:space="preserve">that grouped in </w:t>
      </w:r>
      <w:r w:rsidR="00141840">
        <w:t>two</w:t>
      </w:r>
      <w:r w:rsidR="002B5BE6" w:rsidRPr="002B5BE6">
        <w:t xml:space="preserve"> </w:t>
      </w:r>
      <w:r w:rsidR="00F17E53">
        <w:t>“</w:t>
      </w:r>
      <w:r w:rsidR="002B5BE6" w:rsidRPr="002B5BE6">
        <w:t>macro-classes</w:t>
      </w:r>
      <w:r w:rsidR="00F17E53">
        <w:t>”</w:t>
      </w:r>
      <w:r w:rsidR="002B5BE6" w:rsidRPr="002B5BE6">
        <w:t xml:space="preserve"> </w:t>
      </w:r>
      <w:r w:rsidR="00475A3B">
        <w:t>allowed</w:t>
      </w:r>
      <w:r w:rsidR="002B5BE6" w:rsidRPr="002B5BE6">
        <w:t xml:space="preserve"> the most significant differentiation in terms of distribution of odo</w:t>
      </w:r>
      <w:r w:rsidR="00445154">
        <w:t>u</w:t>
      </w:r>
      <w:r w:rsidR="002B5BE6" w:rsidRPr="002B5BE6">
        <w:t>r concentrations.</w:t>
      </w:r>
      <w:r w:rsidR="006A2A6B">
        <w:t xml:space="preserve"> The one that resulted to have a higher statistical difference between the concentration values of the “Low” </w:t>
      </w:r>
      <w:r w:rsidR="00676B74">
        <w:t xml:space="preserve">odour </w:t>
      </w:r>
      <w:r w:rsidR="006A2A6B">
        <w:t xml:space="preserve">condition and the “High” </w:t>
      </w:r>
      <w:r w:rsidR="00676B74">
        <w:t xml:space="preserve">odour </w:t>
      </w:r>
      <w:r w:rsidR="006A2A6B">
        <w:t>condition was the one which obtained the lowest p-value.</w:t>
      </w:r>
    </w:p>
    <w:p w14:paraId="0E78F4C6" w14:textId="7ADEFEA8" w:rsidR="008E5331" w:rsidRPr="008E5331" w:rsidRDefault="008E5331" w:rsidP="008E5331">
      <w:pPr>
        <w:pStyle w:val="CETheadingx"/>
      </w:pPr>
      <w:r>
        <w:t>Randomized dispersion modelling</w:t>
      </w:r>
    </w:p>
    <w:p w14:paraId="33031132" w14:textId="04369A77" w:rsidR="00ED440C" w:rsidRDefault="00413AA9" w:rsidP="00ED440C">
      <w:pPr>
        <w:pStyle w:val="CETBodytext"/>
      </w:pPr>
      <w:r>
        <w:t>The identification of two</w:t>
      </w:r>
      <w:r w:rsidR="009338A1">
        <w:t xml:space="preserve"> macro-classes corresponding to the different odour </w:t>
      </w:r>
      <w:r w:rsidR="00F92E80">
        <w:t>emission scenario</w:t>
      </w:r>
      <w:r w:rsidR="009338A1">
        <w:t>s</w:t>
      </w:r>
      <w:r>
        <w:t xml:space="preserve"> of the plant (i.e., “Low” and “High”) and their randomization across the daily hours enabled to characterize the odour impact of the foundry</w:t>
      </w:r>
      <w:r w:rsidR="009E5B05">
        <w:t>,</w:t>
      </w:r>
      <w:r>
        <w:t xml:space="preserve"> </w:t>
      </w:r>
      <w:r w:rsidR="00CE31F2">
        <w:t>accounting for</w:t>
      </w:r>
      <w:r>
        <w:t xml:space="preserve"> the variability of the emissions not only in terms of odour concentrations, but also in terms of their occurrence during the day. </w:t>
      </w:r>
      <w:r w:rsidR="009E5B05">
        <w:t>Indeed, t</w:t>
      </w:r>
      <w:r w:rsidR="00B754D8">
        <w:t>he odour impact of the foundry was evaluated developing a randomized dispersion model, meaning that for each randomization a dispersion model was developed resulting in the corresponding 98</w:t>
      </w:r>
      <w:r w:rsidR="00B754D8" w:rsidRPr="00ED440C">
        <w:rPr>
          <w:vertAlign w:val="superscript"/>
        </w:rPr>
        <w:t>th</w:t>
      </w:r>
      <w:r w:rsidR="00B754D8">
        <w:t xml:space="preserve"> percentile map</w:t>
      </w:r>
      <w:r w:rsidR="002F56E6">
        <w:t xml:space="preserve"> of the odour impact</w:t>
      </w:r>
      <w:r w:rsidR="009D0A2E">
        <w:t xml:space="preserve"> (</w:t>
      </w:r>
      <w:r w:rsidR="00320444">
        <w:t>Onofrio et al.</w:t>
      </w:r>
      <w:r w:rsidR="0083429C">
        <w:t>, 20</w:t>
      </w:r>
      <w:r w:rsidR="00320444">
        <w:t>20</w:t>
      </w:r>
      <w:r w:rsidR="009D0A2E">
        <w:t>)</w:t>
      </w:r>
      <w:r w:rsidR="00B754D8">
        <w:t xml:space="preserve">. </w:t>
      </w:r>
    </w:p>
    <w:p w14:paraId="4252CCC2" w14:textId="64A2603B" w:rsidR="00936C11" w:rsidRDefault="007A3877" w:rsidP="00A53C39">
      <w:pPr>
        <w:pStyle w:val="CETBodytext"/>
      </w:pPr>
      <w:r w:rsidRPr="007A3877">
        <w:t>CALPUFF</w:t>
      </w:r>
      <w:r>
        <w:t xml:space="preserve"> was used</w:t>
      </w:r>
      <w:r w:rsidR="00AB2E7F">
        <w:t xml:space="preserve"> as dispersion model</w:t>
      </w:r>
      <w:r w:rsidRPr="007A3877">
        <w:t xml:space="preserve">, </w:t>
      </w:r>
      <w:r w:rsidR="006E0805">
        <w:t xml:space="preserve">and </w:t>
      </w:r>
      <w:r w:rsidR="00210B85" w:rsidRPr="00F83341">
        <w:t xml:space="preserve">3 discrete receptors were included within the simulation domain, corresponding to the </w:t>
      </w:r>
      <w:r w:rsidR="006E0805">
        <w:t xml:space="preserve">closest sensitive </w:t>
      </w:r>
      <w:r w:rsidR="00210B85" w:rsidRPr="00F83341">
        <w:t>receptors</w:t>
      </w:r>
      <w:r w:rsidR="00210B85">
        <w:t>.</w:t>
      </w:r>
      <w:r w:rsidR="00D149B6">
        <w:t xml:space="preserve"> </w:t>
      </w:r>
      <w:r w:rsidR="00C94BB1">
        <w:t xml:space="preserve">As will be </w:t>
      </w:r>
      <w:r w:rsidR="00C94BB1" w:rsidRPr="00032E85">
        <w:t xml:space="preserve">discussed in Section </w:t>
      </w:r>
      <w:r w:rsidR="00032E85" w:rsidRPr="00032E85">
        <w:fldChar w:fldCharType="begin"/>
      </w:r>
      <w:r w:rsidR="00032E85" w:rsidRPr="00032E85">
        <w:instrText xml:space="preserve"> REF _Ref107232993 \r \h </w:instrText>
      </w:r>
      <w:r w:rsidR="00032E85">
        <w:instrText xml:space="preserve"> \* MERGEFORMAT </w:instrText>
      </w:r>
      <w:r w:rsidR="00032E85" w:rsidRPr="00032E85">
        <w:fldChar w:fldCharType="separate"/>
      </w:r>
      <w:r w:rsidR="00032E85" w:rsidRPr="00032E85">
        <w:t>3.1</w:t>
      </w:r>
      <w:r w:rsidR="00032E85" w:rsidRPr="00032E85">
        <w:fldChar w:fldCharType="end"/>
      </w:r>
      <w:r w:rsidR="00C94BB1" w:rsidRPr="00032E85">
        <w:t>,</w:t>
      </w:r>
      <w:r w:rsidR="00C94BB1">
        <w:t xml:space="preserve"> </w:t>
      </w:r>
      <w:r w:rsidR="00336884">
        <w:t xml:space="preserve">the storage area and the </w:t>
      </w:r>
      <w:r w:rsidR="0058356C">
        <w:t>pyrolytic plant</w:t>
      </w:r>
      <w:r w:rsidR="00812AE5">
        <w:t xml:space="preserve"> </w:t>
      </w:r>
      <w:r w:rsidR="00C94BB1">
        <w:t xml:space="preserve">were not implemented in the dispersion modelling because </w:t>
      </w:r>
      <w:r w:rsidR="00647074">
        <w:t>the</w:t>
      </w:r>
      <w:r w:rsidR="00D149B6">
        <w:t>ir emissions</w:t>
      </w:r>
      <w:r w:rsidR="00647074">
        <w:t xml:space="preserve"> resulted to be negligible</w:t>
      </w:r>
      <w:r w:rsidR="007954B4">
        <w:t xml:space="preserve">, </w:t>
      </w:r>
      <w:r w:rsidR="00677BA9">
        <w:t>thus</w:t>
      </w:r>
      <w:r w:rsidR="00D149B6">
        <w:t xml:space="preserve"> </w:t>
      </w:r>
      <w:r w:rsidR="00A4098D">
        <w:t>only</w:t>
      </w:r>
      <w:r w:rsidR="00F04A1B">
        <w:t xml:space="preserve"> the</w:t>
      </w:r>
      <w:r w:rsidR="00A4098D">
        <w:t xml:space="preserve"> </w:t>
      </w:r>
      <w:r w:rsidR="002A03A2">
        <w:t xml:space="preserve">smelting furnaces and </w:t>
      </w:r>
      <w:r w:rsidR="003B2C52">
        <w:t xml:space="preserve">their stacks </w:t>
      </w:r>
      <w:r w:rsidR="00677BA9">
        <w:t xml:space="preserve">were </w:t>
      </w:r>
      <w:r w:rsidR="008E3A07">
        <w:t xml:space="preserve">considered in the </w:t>
      </w:r>
      <w:r w:rsidR="00936C11">
        <w:t>odour impact assessment</w:t>
      </w:r>
      <w:r w:rsidR="00897C1D">
        <w:t xml:space="preserve"> study</w:t>
      </w:r>
      <w:r w:rsidR="00936C11">
        <w:t xml:space="preserve"> </w:t>
      </w:r>
      <w:r w:rsidR="008E3A07">
        <w:t>as emission sources.</w:t>
      </w:r>
      <w:r w:rsidR="00756069">
        <w:t xml:space="preserve"> </w:t>
      </w:r>
      <w:r w:rsidR="00485B92">
        <w:t xml:space="preserve">The stacks </w:t>
      </w:r>
      <w:r w:rsidR="00E5441F">
        <w:t xml:space="preserve">conveying the emissions from the furnaces </w:t>
      </w:r>
      <w:r w:rsidR="00963409">
        <w:t>were implemented as point sources, while t</w:t>
      </w:r>
      <w:r w:rsidR="00485B92">
        <w:t>he smelting furnaces</w:t>
      </w:r>
      <w:r w:rsidR="00485B92" w:rsidRPr="00A616AD">
        <w:t xml:space="preserve"> </w:t>
      </w:r>
      <w:r w:rsidR="00485B92">
        <w:t>were</w:t>
      </w:r>
      <w:r w:rsidR="00485B92" w:rsidRPr="00A616AD">
        <w:t xml:space="preserve"> implemented in the </w:t>
      </w:r>
      <w:r w:rsidR="00485B92">
        <w:t xml:space="preserve">dispersion </w:t>
      </w:r>
      <w:r w:rsidR="00485B92" w:rsidRPr="00A616AD">
        <w:t>model</w:t>
      </w:r>
      <w:r w:rsidR="00485B92">
        <w:t>ling</w:t>
      </w:r>
      <w:r w:rsidR="00485B92" w:rsidRPr="00A616AD">
        <w:t xml:space="preserve"> as volume</w:t>
      </w:r>
      <w:r w:rsidR="00485B92">
        <w:t xml:space="preserve"> </w:t>
      </w:r>
      <w:r w:rsidR="00485B92" w:rsidRPr="00A616AD">
        <w:t xml:space="preserve">sources, assuming that </w:t>
      </w:r>
      <w:r w:rsidR="00485B92">
        <w:t>emissions</w:t>
      </w:r>
      <w:r w:rsidR="00485B92" w:rsidRPr="00A616AD">
        <w:t xml:space="preserve"> from the furnace</w:t>
      </w:r>
      <w:r w:rsidR="00485B92">
        <w:t>s</w:t>
      </w:r>
      <w:r w:rsidR="00485B92" w:rsidRPr="00A616AD">
        <w:t xml:space="preserve"> occur by natural convection generated due to the temperature difference between the inside of the furnace and the outside (room temperature)</w:t>
      </w:r>
      <w:r w:rsidR="00485B92">
        <w:t xml:space="preserve"> (EN 15242:2007)</w:t>
      </w:r>
      <w:r w:rsidR="00485B92" w:rsidRPr="00A616AD">
        <w:t>.</w:t>
      </w:r>
      <w:r w:rsidR="00B62C26">
        <w:t xml:space="preserve"> </w:t>
      </w:r>
    </w:p>
    <w:p w14:paraId="329E5CC1" w14:textId="6733B51E" w:rsidR="00B62C26" w:rsidRDefault="00B62C26" w:rsidP="00B62C26">
      <w:pPr>
        <w:pStyle w:val="CETBodytext"/>
      </w:pPr>
      <w:r>
        <w:t>Assuming log-normal distributions for odour concentrations, the expected values of each distribution</w:t>
      </w:r>
      <w:r w:rsidR="00C005B2">
        <w:t xml:space="preserve"> (i.e.</w:t>
      </w:r>
      <w:r w:rsidR="0097226D">
        <w:t>,</w:t>
      </w:r>
      <w:r w:rsidR="00C005B2">
        <w:t xml:space="preserve"> different macro-classes)</w:t>
      </w:r>
      <w:r>
        <w:t xml:space="preserve"> were calculated considering the mean value of each distribution </w:t>
      </w:r>
      <w:r>
        <w:rPr>
          <w:rFonts w:cs="Arial"/>
        </w:rPr>
        <w:t>µ</w:t>
      </w:r>
      <w:r>
        <w:t xml:space="preserve"> and its standard deviation </w:t>
      </w:r>
      <w:r>
        <w:rPr>
          <w:rFonts w:cs="Arial"/>
        </w:rPr>
        <w:t>σ</w:t>
      </w:r>
      <w:r>
        <w:t>:</w:t>
      </w:r>
    </w:p>
    <w:tbl>
      <w:tblPr>
        <w:tblW w:w="5000" w:type="pct"/>
        <w:jc w:val="center"/>
        <w:tblLook w:val="04A0" w:firstRow="1" w:lastRow="0" w:firstColumn="1" w:lastColumn="0" w:noHBand="0" w:noVBand="1"/>
      </w:tblPr>
      <w:tblGrid>
        <w:gridCol w:w="7983"/>
        <w:gridCol w:w="804"/>
      </w:tblGrid>
      <w:tr w:rsidR="00B62C26" w:rsidRPr="00B57B36" w14:paraId="479725F4" w14:textId="77777777" w:rsidTr="002C1239">
        <w:trPr>
          <w:jc w:val="center"/>
        </w:trPr>
        <w:tc>
          <w:tcPr>
            <w:tcW w:w="8188" w:type="dxa"/>
            <w:shd w:val="clear" w:color="auto" w:fill="auto"/>
            <w:vAlign w:val="center"/>
          </w:tcPr>
          <w:p w14:paraId="0059345B" w14:textId="77777777" w:rsidR="00B62C26" w:rsidRPr="0007008D" w:rsidRDefault="007C5EDF" w:rsidP="002C1239">
            <w:pPr>
              <w:pStyle w:val="CETEquation"/>
              <w:rPr>
                <w:rFonts w:cs="Arial"/>
              </w:rPr>
            </w:pPr>
            <m:oMathPara>
              <m:oMathParaPr>
                <m:jc m:val="center"/>
              </m:oMathParaPr>
              <m:oMath>
                <m:sSup>
                  <m:sSupPr>
                    <m:ctrlPr>
                      <w:rPr>
                        <w:rFonts w:ascii="Cambria Math" w:hAnsi="Cambria Math" w:cs="Arial"/>
                        <w:sz w:val="20"/>
                        <w:szCs w:val="22"/>
                        <w:lang w:val="en-US"/>
                      </w:rPr>
                    </m:ctrlPr>
                  </m:sSupPr>
                  <m:e>
                    <m:r>
                      <w:rPr>
                        <w:rFonts w:ascii="Cambria Math" w:hAnsi="Cambria Math" w:cs="Arial"/>
                        <w:sz w:val="20"/>
                        <w:szCs w:val="22"/>
                      </w:rPr>
                      <m:t>e</m:t>
                    </m:r>
                  </m:e>
                  <m:sup>
                    <m:r>
                      <w:rPr>
                        <w:rFonts w:ascii="Cambria Math" w:hAnsi="Cambria Math" w:cs="Arial"/>
                        <w:sz w:val="20"/>
                        <w:szCs w:val="22"/>
                      </w:rPr>
                      <m:t>μ</m:t>
                    </m:r>
                    <m:r>
                      <m:rPr>
                        <m:sty m:val="p"/>
                      </m:rPr>
                      <w:rPr>
                        <w:rFonts w:ascii="Cambria Math" w:hAnsi="Cambria Math" w:cs="Arial"/>
                        <w:sz w:val="20"/>
                        <w:szCs w:val="22"/>
                      </w:rPr>
                      <m:t>+</m:t>
                    </m:r>
                    <m:f>
                      <m:fPr>
                        <m:ctrlPr>
                          <w:rPr>
                            <w:rFonts w:ascii="Cambria Math" w:hAnsi="Cambria Math" w:cs="Arial"/>
                            <w:sz w:val="20"/>
                            <w:szCs w:val="22"/>
                            <w:lang w:val="en-US"/>
                          </w:rPr>
                        </m:ctrlPr>
                      </m:fPr>
                      <m:num>
                        <m:r>
                          <m:rPr>
                            <m:sty m:val="p"/>
                          </m:rPr>
                          <w:rPr>
                            <w:rFonts w:ascii="Cambria Math" w:hAnsi="Cambria Math" w:cs="Arial"/>
                            <w:sz w:val="20"/>
                            <w:szCs w:val="22"/>
                          </w:rPr>
                          <m:t>1</m:t>
                        </m:r>
                      </m:num>
                      <m:den>
                        <m:r>
                          <m:rPr>
                            <m:sty m:val="p"/>
                          </m:rPr>
                          <w:rPr>
                            <w:rFonts w:ascii="Cambria Math" w:hAnsi="Cambria Math" w:cs="Arial"/>
                            <w:sz w:val="20"/>
                            <w:szCs w:val="22"/>
                          </w:rPr>
                          <m:t>2</m:t>
                        </m:r>
                      </m:den>
                    </m:f>
                    <m:sSup>
                      <m:sSupPr>
                        <m:ctrlPr>
                          <w:rPr>
                            <w:rFonts w:ascii="Cambria Math" w:hAnsi="Cambria Math" w:cs="Arial"/>
                            <w:sz w:val="20"/>
                            <w:szCs w:val="22"/>
                            <w:lang w:val="en-US"/>
                          </w:rPr>
                        </m:ctrlPr>
                      </m:sSupPr>
                      <m:e>
                        <m:r>
                          <w:rPr>
                            <w:rFonts w:ascii="Cambria Math" w:hAnsi="Cambria Math" w:cs="Arial"/>
                            <w:sz w:val="20"/>
                            <w:szCs w:val="22"/>
                          </w:rPr>
                          <m:t>σ</m:t>
                        </m:r>
                      </m:e>
                      <m:sup>
                        <m:r>
                          <m:rPr>
                            <m:sty m:val="p"/>
                          </m:rPr>
                          <w:rPr>
                            <w:rFonts w:ascii="Cambria Math" w:hAnsi="Cambria Math" w:cs="Arial"/>
                            <w:sz w:val="20"/>
                            <w:szCs w:val="22"/>
                          </w:rPr>
                          <m:t>2</m:t>
                        </m:r>
                      </m:sup>
                    </m:sSup>
                  </m:sup>
                </m:sSup>
              </m:oMath>
            </m:oMathPara>
          </w:p>
        </w:tc>
        <w:tc>
          <w:tcPr>
            <w:tcW w:w="815" w:type="dxa"/>
            <w:shd w:val="clear" w:color="auto" w:fill="auto"/>
            <w:vAlign w:val="center"/>
          </w:tcPr>
          <w:p w14:paraId="793A2B2C" w14:textId="77777777" w:rsidR="00B62C26" w:rsidRPr="00B57B36" w:rsidRDefault="00B62C26" w:rsidP="002C1239">
            <w:pPr>
              <w:pStyle w:val="CETEquation"/>
              <w:jc w:val="right"/>
            </w:pPr>
            <w:r w:rsidRPr="00B57B36">
              <w:t>(1)</w:t>
            </w:r>
          </w:p>
        </w:tc>
      </w:tr>
    </w:tbl>
    <w:p w14:paraId="7DE7D5C1" w14:textId="10394018" w:rsidR="0087177D" w:rsidRDefault="006E695A" w:rsidP="00A53C39">
      <w:pPr>
        <w:pStyle w:val="CETBodytext"/>
      </w:pPr>
      <w:r>
        <w:t xml:space="preserve">Regarding the </w:t>
      </w:r>
      <w:r w:rsidR="00EC42B9">
        <w:t>diffuse emissions from the</w:t>
      </w:r>
      <w:r w:rsidR="0061244E">
        <w:t xml:space="preserve"> smelting</w:t>
      </w:r>
      <w:r w:rsidR="00EC42B9">
        <w:t xml:space="preserve"> furnaces,</w:t>
      </w:r>
      <w:r w:rsidR="00755D84">
        <w:t xml:space="preserve"> no macro-classes were </w:t>
      </w:r>
      <w:r w:rsidR="006622A3">
        <w:t>identified,</w:t>
      </w:r>
      <w:r w:rsidR="00B67D01">
        <w:t xml:space="preserve"> and</w:t>
      </w:r>
      <w:r w:rsidR="00EC42B9">
        <w:t xml:space="preserve"> they</w:t>
      </w:r>
      <w:r w:rsidR="00A53C39">
        <w:t xml:space="preserve"> </w:t>
      </w:r>
      <w:r w:rsidR="00871C1B">
        <w:t>were con</w:t>
      </w:r>
      <w:r w:rsidR="00A53C39">
        <w:t>s</w:t>
      </w:r>
      <w:r w:rsidR="00871C1B">
        <w:t>idered to be</w:t>
      </w:r>
      <w:r w:rsidR="00A53C39">
        <w:t xml:space="preserve"> present continuously, 24 hours a day, 365 days a year, conservatively assuming tha</w:t>
      </w:r>
      <w:r w:rsidR="008D3D7C">
        <w:t xml:space="preserve">t </w:t>
      </w:r>
      <w:r w:rsidR="00A53C39">
        <w:t xml:space="preserve">there is </w:t>
      </w:r>
      <w:r w:rsidR="008D3D7C">
        <w:t xml:space="preserve">always </w:t>
      </w:r>
      <w:r w:rsidR="00A53C39">
        <w:t xml:space="preserve">at least one furnace open. </w:t>
      </w:r>
    </w:p>
    <w:p w14:paraId="6C7E266C" w14:textId="03427D99" w:rsidR="00E461F6" w:rsidRDefault="00F408D1" w:rsidP="00035480">
      <w:pPr>
        <w:pStyle w:val="CETBodytext"/>
      </w:pPr>
      <w:r>
        <w:t>Regarding the point emission</w:t>
      </w:r>
      <w:r w:rsidR="00B62C26">
        <w:t>s</w:t>
      </w:r>
      <w:r w:rsidR="00B85278">
        <w:t xml:space="preserve">, it was assumed </w:t>
      </w:r>
      <w:r w:rsidR="00035480">
        <w:t>that operations corresponding to the highest odo</w:t>
      </w:r>
      <w:r w:rsidR="00583B1D">
        <w:t>u</w:t>
      </w:r>
      <w:r w:rsidR="00035480">
        <w:t>r concentration condition occur approx</w:t>
      </w:r>
      <w:r w:rsidR="00340296">
        <w:t xml:space="preserve">imately for </w:t>
      </w:r>
      <w:r w:rsidR="00035480">
        <w:t>50% of the time.</w:t>
      </w:r>
      <w:r w:rsidR="006E3DDE">
        <w:t xml:space="preserve"> </w:t>
      </w:r>
      <w:r w:rsidR="00035480">
        <w:t>However,</w:t>
      </w:r>
      <w:r w:rsidR="00DD7C35">
        <w:t xml:space="preserve"> </w:t>
      </w:r>
      <w:r w:rsidR="007B13EC">
        <w:t xml:space="preserve">associating specific daily hours </w:t>
      </w:r>
      <w:r w:rsidR="008E6F60">
        <w:t>to</w:t>
      </w:r>
      <w:r w:rsidR="006719A4">
        <w:t xml:space="preserve"> a specific </w:t>
      </w:r>
      <w:r w:rsidR="00D362E0">
        <w:t>scenario of the plant odour emissions</w:t>
      </w:r>
      <w:r w:rsidR="008958DE">
        <w:t xml:space="preserve"> </w:t>
      </w:r>
      <w:r w:rsidR="00CB5189">
        <w:t>is a</w:t>
      </w:r>
      <w:r w:rsidR="00DD7C35">
        <w:t xml:space="preserve"> quite challenging</w:t>
      </w:r>
      <w:r w:rsidR="00CB5189">
        <w:t xml:space="preserve"> task.</w:t>
      </w:r>
      <w:r w:rsidR="00D52ACC">
        <w:t xml:space="preserve"> Since</w:t>
      </w:r>
      <w:r w:rsidR="003D493F">
        <w:t xml:space="preserve"> the distribution of the</w:t>
      </w:r>
      <w:r w:rsidR="00D52ACC">
        <w:t xml:space="preserve"> </w:t>
      </w:r>
      <w:r w:rsidR="00DE6E6B">
        <w:t>“High” and “Low” odour condition</w:t>
      </w:r>
      <w:r w:rsidR="009A29E4">
        <w:t>s</w:t>
      </w:r>
      <w:r w:rsidR="00DE6E6B">
        <w:t xml:space="preserve"> </w:t>
      </w:r>
      <w:r w:rsidR="00141368">
        <w:t>of the plant</w:t>
      </w:r>
      <w:r w:rsidR="00D52ACC">
        <w:t xml:space="preserve"> </w:t>
      </w:r>
      <w:r w:rsidR="00C951C3">
        <w:t xml:space="preserve">over the year could affect the </w:t>
      </w:r>
      <w:r w:rsidR="0027753E">
        <w:t xml:space="preserve">final odour impact of the plant, </w:t>
      </w:r>
      <w:r w:rsidR="005B01EB">
        <w:t xml:space="preserve">6 different randomizations were considered, and on their basis 6 different simulations for the odour impact assessment of the foundry were carried out. </w:t>
      </w:r>
      <w:r w:rsidR="009F0421">
        <w:t>For this purpose,</w:t>
      </w:r>
      <w:r w:rsidR="00035480">
        <w:t xml:space="preserve"> a specific MATLAB® function</w:t>
      </w:r>
      <w:r w:rsidR="00F238B3">
        <w:t xml:space="preserve"> based on a Crude Montecarlo</w:t>
      </w:r>
      <w:r w:rsidR="00013E39">
        <w:t xml:space="preserve"> (</w:t>
      </w:r>
      <w:r w:rsidR="00F4549B">
        <w:t>Kroese et al., 2011</w:t>
      </w:r>
      <w:r w:rsidR="00013E39">
        <w:t>)</w:t>
      </w:r>
      <w:r w:rsidR="00F238B3">
        <w:t xml:space="preserve"> method</w:t>
      </w:r>
      <w:r w:rsidR="00452149">
        <w:t xml:space="preserve"> was impl</w:t>
      </w:r>
      <w:r w:rsidR="00341F1F">
        <w:t>e</w:t>
      </w:r>
      <w:r w:rsidR="00452149">
        <w:t>mented</w:t>
      </w:r>
      <w:r w:rsidR="00575791">
        <w:t>.</w:t>
      </w:r>
      <w:r w:rsidR="00196B63">
        <w:t xml:space="preserve"> </w:t>
      </w:r>
      <w:r w:rsidR="00452149">
        <w:t>It</w:t>
      </w:r>
      <w:r w:rsidR="00035480">
        <w:t xml:space="preserve"> randomly</w:t>
      </w:r>
      <w:r w:rsidR="00575791">
        <w:t xml:space="preserve"> produced </w:t>
      </w:r>
      <w:r w:rsidR="00196B63">
        <w:t>different odour concentration values based on the expected values of the two macro-classes and the confidence interval of dynamic olfactometry</w:t>
      </w:r>
      <w:r w:rsidR="00035480">
        <w:t xml:space="preserve"> </w:t>
      </w:r>
      <w:r w:rsidR="00363567">
        <w:t xml:space="preserve">and </w:t>
      </w:r>
      <w:r w:rsidR="00035480">
        <w:t>distribute</w:t>
      </w:r>
      <w:r w:rsidR="00676B74">
        <w:t>d</w:t>
      </w:r>
      <w:r w:rsidR="00035480">
        <w:t xml:space="preserve"> over the year a set of 4380 values (corresponding to 50% of the hours of the year) </w:t>
      </w:r>
      <w:r w:rsidR="003856B3">
        <w:t>correspon</w:t>
      </w:r>
      <w:r w:rsidR="009D51CB">
        <w:t>ding to the</w:t>
      </w:r>
      <w:r w:rsidR="00035480">
        <w:t xml:space="preserve"> highe</w:t>
      </w:r>
      <w:r w:rsidR="009A29E4">
        <w:t>r</w:t>
      </w:r>
      <w:r w:rsidR="00035480">
        <w:t xml:space="preserve"> odo</w:t>
      </w:r>
      <w:r w:rsidR="00452462">
        <w:t>u</w:t>
      </w:r>
      <w:r w:rsidR="00035480">
        <w:t>r concentration condition ("</w:t>
      </w:r>
      <w:r w:rsidR="004C1787">
        <w:t>High</w:t>
      </w:r>
      <w:r w:rsidR="00035480">
        <w:t>"),</w:t>
      </w:r>
      <w:r w:rsidR="009D51CB">
        <w:t xml:space="preserve"> and an equal number </w:t>
      </w:r>
      <w:r w:rsidR="00561752">
        <w:t>associated with</w:t>
      </w:r>
      <w:r w:rsidR="00035480">
        <w:t xml:space="preserve"> the lowe</w:t>
      </w:r>
      <w:r w:rsidR="009A29E4">
        <w:t>r</w:t>
      </w:r>
      <w:r w:rsidR="00035480">
        <w:t xml:space="preserve"> odo</w:t>
      </w:r>
      <w:r w:rsidR="00452462">
        <w:t>u</w:t>
      </w:r>
      <w:r w:rsidR="00035480">
        <w:t>r concentration</w:t>
      </w:r>
      <w:r w:rsidR="00452462">
        <w:t xml:space="preserve"> condition</w:t>
      </w:r>
      <w:r w:rsidR="00035480">
        <w:t xml:space="preserve"> ("</w:t>
      </w:r>
      <w:r w:rsidR="005360D7">
        <w:t>Low</w:t>
      </w:r>
      <w:r w:rsidR="00035480">
        <w:t>").</w:t>
      </w:r>
      <w:r w:rsidR="00783FB4">
        <w:t xml:space="preserve"> </w:t>
      </w:r>
    </w:p>
    <w:p w14:paraId="677EBFF0" w14:textId="315A0AAB" w:rsidR="00600535" w:rsidRPr="00B57B36" w:rsidRDefault="00425E61" w:rsidP="00600535">
      <w:pPr>
        <w:pStyle w:val="CETHeading1"/>
        <w:tabs>
          <w:tab w:val="clear" w:pos="360"/>
          <w:tab w:val="right" w:pos="7100"/>
        </w:tabs>
        <w:jc w:val="both"/>
        <w:rPr>
          <w:lang w:val="en-GB"/>
        </w:rPr>
      </w:pPr>
      <w:r>
        <w:rPr>
          <w:lang w:val="en-GB"/>
        </w:rPr>
        <w:t>Results</w:t>
      </w:r>
    </w:p>
    <w:p w14:paraId="04963A06" w14:textId="429A8148" w:rsidR="00600535" w:rsidRDefault="009C5428" w:rsidP="00FA5F5F">
      <w:pPr>
        <w:pStyle w:val="CETheadingx"/>
      </w:pPr>
      <w:bookmarkStart w:id="3" w:name="_Ref107232993"/>
      <w:r>
        <w:t xml:space="preserve">Input data for </w:t>
      </w:r>
      <w:r w:rsidR="007F17C4">
        <w:t>the randomized dispersion modelling</w:t>
      </w:r>
      <w:bookmarkEnd w:id="3"/>
      <w:r w:rsidR="007F17C4">
        <w:t xml:space="preserve"> </w:t>
      </w:r>
    </w:p>
    <w:p w14:paraId="72DB97A5" w14:textId="342E66ED" w:rsidR="00FE4A0D" w:rsidRDefault="00A42092" w:rsidP="00FE4A0D">
      <w:pPr>
        <w:pStyle w:val="CETBodytext"/>
      </w:pPr>
      <w:r>
        <w:t>During the olfactometric campaigns</w:t>
      </w:r>
      <w:r w:rsidR="009A29E4">
        <w:t>,</w:t>
      </w:r>
      <w:r>
        <w:t xml:space="preserve"> </w:t>
      </w:r>
      <w:r w:rsidR="00494421">
        <w:t xml:space="preserve">64 odour samples were collected and analysed by dynamic olfactometry. </w:t>
      </w:r>
      <w:r w:rsidR="00361DE9">
        <w:t>Based on</w:t>
      </w:r>
      <w:r w:rsidR="00494421">
        <w:t xml:space="preserve"> their results, the </w:t>
      </w:r>
      <w:r w:rsidR="00854D24">
        <w:t xml:space="preserve">most impacting emission sources were identified. </w:t>
      </w:r>
    </w:p>
    <w:p w14:paraId="6D558EF5" w14:textId="010F7E9E" w:rsidR="00FE4A0D" w:rsidRDefault="0023112A" w:rsidP="00FE4A0D">
      <w:pPr>
        <w:pStyle w:val="CETBodytext"/>
      </w:pPr>
      <w:r>
        <w:t xml:space="preserve">The emissions related </w:t>
      </w:r>
      <w:r w:rsidR="0060047E">
        <w:t xml:space="preserve">to </w:t>
      </w:r>
      <w:r w:rsidR="00FE4A0D">
        <w:t xml:space="preserve">the </w:t>
      </w:r>
      <w:r w:rsidR="009C408D">
        <w:t>storage area</w:t>
      </w:r>
      <w:r w:rsidR="0060047E">
        <w:t xml:space="preserve"> and to the pyrolytic </w:t>
      </w:r>
      <w:r w:rsidR="00BA51CE">
        <w:t xml:space="preserve">area </w:t>
      </w:r>
      <w:r w:rsidR="0054793D">
        <w:t>resulted</w:t>
      </w:r>
      <w:r w:rsidR="00E76B48">
        <w:t xml:space="preserve"> to be negligible</w:t>
      </w:r>
      <w:r w:rsidR="00FE4A0D">
        <w:t xml:space="preserve"> </w:t>
      </w:r>
      <w:r w:rsidR="00E76B48">
        <w:t>because the</w:t>
      </w:r>
      <w:r w:rsidR="006A1B0C">
        <w:t xml:space="preserve"> odour concentrations obtained</w:t>
      </w:r>
      <w:r w:rsidR="008E41BA">
        <w:t xml:space="preserve"> were </w:t>
      </w:r>
      <w:r w:rsidR="00FE4A0D">
        <w:t>below 80 ou</w:t>
      </w:r>
      <w:r w:rsidR="00FE4A0D" w:rsidRPr="008E41BA">
        <w:rPr>
          <w:vertAlign w:val="subscript"/>
        </w:rPr>
        <w:t>E</w:t>
      </w:r>
      <w:r w:rsidR="00FE4A0D">
        <w:t>/m</w:t>
      </w:r>
      <w:r w:rsidR="00FE4A0D" w:rsidRPr="008E41BA">
        <w:rPr>
          <w:vertAlign w:val="superscript"/>
        </w:rPr>
        <w:t>3</w:t>
      </w:r>
      <w:r w:rsidR="00FE4A0D">
        <w:t xml:space="preserve">, </w:t>
      </w:r>
      <w:r w:rsidR="009A29E4">
        <w:t xml:space="preserve">which is </w:t>
      </w:r>
      <w:r w:rsidR="00FE4A0D">
        <w:t>the limit value below which an odo</w:t>
      </w:r>
      <w:r w:rsidR="00B93F1B">
        <w:t>u</w:t>
      </w:r>
      <w:r w:rsidR="00FE4A0D">
        <w:t xml:space="preserve">r source </w:t>
      </w:r>
      <w:r w:rsidR="00FC02A0">
        <w:t xml:space="preserve">can be considered as negligible </w:t>
      </w:r>
      <w:r w:rsidR="00FE4A0D">
        <w:t>(DGR February 15, 2012 - no. IX/3018).</w:t>
      </w:r>
      <w:r w:rsidR="00DE4DC0">
        <w:t xml:space="preserve"> Thus, the emissions related to the different operating conditions of the smelting process were the only ones implemented in the dispersion model.</w:t>
      </w:r>
    </w:p>
    <w:p w14:paraId="60429D3F" w14:textId="2857AE61" w:rsidR="00D27552" w:rsidRDefault="009960A4" w:rsidP="00FE4A0D">
      <w:pPr>
        <w:pStyle w:val="CETBodytext"/>
      </w:pPr>
      <w:r>
        <w:t>Regarding</w:t>
      </w:r>
      <w:r w:rsidR="00DE4DC0">
        <w:t xml:space="preserve"> the</w:t>
      </w:r>
      <w:r w:rsidR="00602355">
        <w:t xml:space="preserve"> diffuse emissions, </w:t>
      </w:r>
      <w:r w:rsidR="0079466E">
        <w:t xml:space="preserve">no </w:t>
      </w:r>
      <w:r w:rsidR="00CB54FD">
        <w:t>significant difference between the</w:t>
      </w:r>
      <w:r w:rsidR="004D13A1">
        <w:t>ir</w:t>
      </w:r>
      <w:r w:rsidR="00CB54FD">
        <w:t xml:space="preserve"> odour concentration values characterizing </w:t>
      </w:r>
      <w:r w:rsidR="006420ED">
        <w:t xml:space="preserve">the different operating conditions was </w:t>
      </w:r>
      <w:r w:rsidR="009C2762">
        <w:t xml:space="preserve">noticed. </w:t>
      </w:r>
      <w:r w:rsidR="00087A47">
        <w:t>For this reason</w:t>
      </w:r>
      <w:r w:rsidR="009C2762">
        <w:t xml:space="preserve">, </w:t>
      </w:r>
      <w:r w:rsidR="004D13A1">
        <w:t xml:space="preserve">for </w:t>
      </w:r>
      <w:r w:rsidR="008108B9">
        <w:t>diffuse emissions</w:t>
      </w:r>
      <w:r w:rsidR="004D13A1">
        <w:t xml:space="preserve"> no macro-classes were identified.</w:t>
      </w:r>
      <w:r w:rsidR="008108B9">
        <w:t xml:space="preserve"> </w:t>
      </w:r>
      <w:r w:rsidR="00730C83">
        <w:t>T</w:t>
      </w:r>
      <w:r w:rsidR="001E3DEA">
        <w:t>he</w:t>
      </w:r>
      <w:r w:rsidR="009C2762">
        <w:t xml:space="preserve"> expected </w:t>
      </w:r>
      <w:r w:rsidR="001E3DEA">
        <w:t>value</w:t>
      </w:r>
      <w:r w:rsidR="00730C83">
        <w:t xml:space="preserve"> of</w:t>
      </w:r>
      <w:r w:rsidR="00FC268A">
        <w:t xml:space="preserve"> the</w:t>
      </w:r>
      <w:r w:rsidR="00730C83">
        <w:t xml:space="preserve"> odour conce</w:t>
      </w:r>
      <w:r w:rsidR="00F66CBA">
        <w:t>n</w:t>
      </w:r>
      <w:r w:rsidR="00730C83">
        <w:t>trations</w:t>
      </w:r>
      <w:r w:rsidR="001E3DEA">
        <w:t xml:space="preserve"> </w:t>
      </w:r>
      <w:r w:rsidR="00935932">
        <w:t xml:space="preserve">distribution </w:t>
      </w:r>
      <w:r w:rsidR="00FC268A">
        <w:t xml:space="preserve">of the diffuse emissions </w:t>
      </w:r>
      <w:r w:rsidR="001810F7">
        <w:t>was calculated</w:t>
      </w:r>
      <w:r w:rsidR="00583503">
        <w:t xml:space="preserve"> obtaining a value of about 2’000 ou</w:t>
      </w:r>
      <w:r w:rsidR="00583503" w:rsidRPr="00583503">
        <w:rPr>
          <w:vertAlign w:val="subscript"/>
        </w:rPr>
        <w:t>E</w:t>
      </w:r>
      <w:r w:rsidR="00583503">
        <w:t>/m</w:t>
      </w:r>
      <w:r w:rsidR="00583503" w:rsidRPr="00583503">
        <w:rPr>
          <w:vertAlign w:val="superscript"/>
        </w:rPr>
        <w:t>3</w:t>
      </w:r>
      <w:r w:rsidR="00583503">
        <w:t>.</w:t>
      </w:r>
      <w:r w:rsidR="003D6F49">
        <w:t xml:space="preserve"> </w:t>
      </w:r>
      <w:r w:rsidR="0064094D">
        <w:t xml:space="preserve">On the other hand, </w:t>
      </w:r>
      <w:r w:rsidR="008806C8">
        <w:t>considering point emissions,</w:t>
      </w:r>
      <w:r w:rsidR="00F62852">
        <w:t xml:space="preserve"> the different operating conditions </w:t>
      </w:r>
      <w:r w:rsidR="00A10106">
        <w:t xml:space="preserve">were characterized </w:t>
      </w:r>
      <w:r w:rsidR="00C20070">
        <w:t>by highly variable odour concentrations</w:t>
      </w:r>
      <w:r w:rsidR="00C63B2F">
        <w:t xml:space="preserve">. </w:t>
      </w:r>
      <w:r w:rsidR="001D02FC">
        <w:t xml:space="preserve">The boxplots reported in </w:t>
      </w:r>
      <w:r w:rsidR="008743EC">
        <w:fldChar w:fldCharType="begin"/>
      </w:r>
      <w:r w:rsidR="008743EC">
        <w:instrText xml:space="preserve"> REF _Ref107231489 \h </w:instrText>
      </w:r>
      <w:r w:rsidR="008743EC">
        <w:fldChar w:fldCharType="separate"/>
      </w:r>
      <w:r w:rsidR="008743EC">
        <w:t xml:space="preserve">Figure </w:t>
      </w:r>
      <w:r w:rsidR="008743EC">
        <w:rPr>
          <w:noProof/>
        </w:rPr>
        <w:t>3</w:t>
      </w:r>
      <w:r w:rsidR="008743EC">
        <w:fldChar w:fldCharType="end"/>
      </w:r>
      <w:r w:rsidR="001D02FC">
        <w:t xml:space="preserve"> </w:t>
      </w:r>
      <w:r w:rsidR="008357C0">
        <w:t>suggested</w:t>
      </w:r>
      <w:r w:rsidR="00624D8F">
        <w:t xml:space="preserve"> that</w:t>
      </w:r>
      <w:r w:rsidR="00D603DF">
        <w:t>, d</w:t>
      </w:r>
      <w:r w:rsidR="0096020A">
        <w:t xml:space="preserve">espite the variability </w:t>
      </w:r>
      <w:r w:rsidR="001D02FC">
        <w:t xml:space="preserve">in </w:t>
      </w:r>
      <w:r w:rsidR="00D603DF">
        <w:t>o</w:t>
      </w:r>
      <w:r w:rsidR="001D02FC">
        <w:t>dour concentrations,</w:t>
      </w:r>
      <w:r w:rsidR="00D603DF">
        <w:t xml:space="preserve"> </w:t>
      </w:r>
      <w:r w:rsidR="008357C0">
        <w:t xml:space="preserve">two different </w:t>
      </w:r>
      <w:r w:rsidR="003A060A">
        <w:t>“macro-</w:t>
      </w:r>
      <w:r w:rsidR="00C20070">
        <w:t>classes</w:t>
      </w:r>
      <w:r w:rsidR="003A060A">
        <w:t>”</w:t>
      </w:r>
      <w:r w:rsidR="00F616D4">
        <w:t>, representatives of two different o</w:t>
      </w:r>
      <w:r w:rsidR="00E95FC1">
        <w:t>dour</w:t>
      </w:r>
      <w:r w:rsidR="00F616D4">
        <w:t xml:space="preserve"> conditions of the plant</w:t>
      </w:r>
      <w:r w:rsidR="00D27552">
        <w:t>, could be identified.</w:t>
      </w:r>
    </w:p>
    <w:p w14:paraId="7DA0202F" w14:textId="77777777" w:rsidR="00ED5341" w:rsidRDefault="00ED5341" w:rsidP="00FE4A0D">
      <w:pPr>
        <w:pStyle w:val="CETBodytext"/>
      </w:pPr>
    </w:p>
    <w:p w14:paraId="272ED45F" w14:textId="77777777" w:rsidR="00ED5341" w:rsidRDefault="00ED5341" w:rsidP="00ED5341">
      <w:pPr>
        <w:pStyle w:val="CETBodytext"/>
        <w:keepNext/>
        <w:jc w:val="center"/>
      </w:pPr>
      <w:r>
        <w:rPr>
          <w:noProof/>
          <w:lang w:val="it-IT" w:eastAsia="it-IT"/>
        </w:rPr>
        <w:drawing>
          <wp:inline distT="0" distB="0" distL="0" distR="0" wp14:anchorId="766A7AD2" wp14:editId="0BBDC0B5">
            <wp:extent cx="4105952" cy="2397125"/>
            <wp:effectExtent l="0" t="0" r="8890" b="31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12"/>
                    <a:stretch>
                      <a:fillRect/>
                    </a:stretch>
                  </pic:blipFill>
                  <pic:spPr>
                    <a:xfrm>
                      <a:off x="0" y="0"/>
                      <a:ext cx="4142577" cy="2418508"/>
                    </a:xfrm>
                    <a:prstGeom prst="rect">
                      <a:avLst/>
                    </a:prstGeom>
                  </pic:spPr>
                </pic:pic>
              </a:graphicData>
            </a:graphic>
          </wp:inline>
        </w:drawing>
      </w:r>
    </w:p>
    <w:p w14:paraId="3085A9D0" w14:textId="171B0785" w:rsidR="00ED5341" w:rsidRDefault="00ED5341" w:rsidP="00EB5482">
      <w:pPr>
        <w:pStyle w:val="CETCaption"/>
      </w:pPr>
      <w:r>
        <w:t xml:space="preserve">Figure </w:t>
      </w:r>
      <w:r>
        <w:fldChar w:fldCharType="begin"/>
      </w:r>
      <w:r>
        <w:instrText xml:space="preserve"> SEQ Figure \* ARABIC </w:instrText>
      </w:r>
      <w:r>
        <w:fldChar w:fldCharType="separate"/>
      </w:r>
      <w:r w:rsidR="00BC6808">
        <w:rPr>
          <w:noProof/>
        </w:rPr>
        <w:t>3</w:t>
      </w:r>
      <w:r>
        <w:fldChar w:fldCharType="end"/>
      </w:r>
      <w:r>
        <w:t xml:space="preserve">. Box plots </w:t>
      </w:r>
      <w:r w:rsidR="00CF5F5B">
        <w:t>of</w:t>
      </w:r>
      <w:r>
        <w:t xml:space="preserve"> odour concentration ranges </w:t>
      </w:r>
      <w:r w:rsidR="00CF5F5B">
        <w:t>of</w:t>
      </w:r>
      <w:r>
        <w:t xml:space="preserve"> point emissions associated to different operating conditions</w:t>
      </w:r>
    </w:p>
    <w:p w14:paraId="72950A67" w14:textId="01C84DBB" w:rsidR="00EF06BE" w:rsidRDefault="003C7EEC" w:rsidP="00FE4A0D">
      <w:pPr>
        <w:pStyle w:val="CETBodytext"/>
      </w:pPr>
      <w:r>
        <w:t>In order to v</w:t>
      </w:r>
      <w:r w:rsidR="00D70C90">
        <w:t>alidate the identification of the two “macro-classe</w:t>
      </w:r>
      <w:r w:rsidR="00ED079A">
        <w:t>s</w:t>
      </w:r>
      <w:r w:rsidR="00D70C90">
        <w:t>”,</w:t>
      </w:r>
      <w:r w:rsidR="00EF06BE">
        <w:t xml:space="preserve"> </w:t>
      </w:r>
      <w:r w:rsidR="002E05C6">
        <w:t xml:space="preserve">one-way </w:t>
      </w:r>
      <w:r w:rsidR="00EF06BE">
        <w:t>ANOVA test</w:t>
      </w:r>
      <w:r w:rsidR="00E92148">
        <w:t>s</w:t>
      </w:r>
      <w:r w:rsidR="00EF06BE">
        <w:t xml:space="preserve"> </w:t>
      </w:r>
      <w:r w:rsidR="009C3610">
        <w:t xml:space="preserve">on </w:t>
      </w:r>
      <w:r w:rsidR="00EF06BE">
        <w:t xml:space="preserve">different </w:t>
      </w:r>
      <w:r w:rsidR="00A929AC">
        <w:t xml:space="preserve">possible </w:t>
      </w:r>
      <w:r w:rsidR="00EF06BE">
        <w:t xml:space="preserve">pairs of </w:t>
      </w:r>
      <w:r w:rsidR="009C3610">
        <w:t>“</w:t>
      </w:r>
      <w:r w:rsidR="00EF06BE">
        <w:t>macro</w:t>
      </w:r>
      <w:r w:rsidR="009C3610">
        <w:t>-</w:t>
      </w:r>
      <w:r w:rsidR="00EF06BE">
        <w:t>classes</w:t>
      </w:r>
      <w:r w:rsidR="009C3610">
        <w:t>”</w:t>
      </w:r>
      <w:r w:rsidR="00786C0B">
        <w:t xml:space="preserve">, </w:t>
      </w:r>
      <w:r w:rsidR="00394157">
        <w:t>differing in the grouping of the different working conditions</w:t>
      </w:r>
      <w:r w:rsidR="00B15B06">
        <w:t xml:space="preserve">, </w:t>
      </w:r>
      <w:r w:rsidR="00D70C90">
        <w:t>w</w:t>
      </w:r>
      <w:r w:rsidR="00E92148">
        <w:t>ere</w:t>
      </w:r>
      <w:r w:rsidR="00D70C90">
        <w:t xml:space="preserve"> </w:t>
      </w:r>
      <w:r w:rsidR="00394157">
        <w:t xml:space="preserve">performed. This way, the two “macro-classes” being most statistically different were identified </w:t>
      </w:r>
      <w:r w:rsidR="00E92148">
        <w:t xml:space="preserve">based on </w:t>
      </w:r>
      <w:r w:rsidR="00394157">
        <w:t xml:space="preserve">the </w:t>
      </w:r>
      <w:r w:rsidR="00E92148">
        <w:t>p-</w:t>
      </w:r>
      <w:r w:rsidR="00E92148" w:rsidRPr="001A3965">
        <w:t>values</w:t>
      </w:r>
      <w:r w:rsidR="00394157" w:rsidRPr="001A3965">
        <w:t xml:space="preserve">. These two classes are </w:t>
      </w:r>
      <w:r w:rsidR="00B80B2F" w:rsidRPr="001A3965">
        <w:t>characterize</w:t>
      </w:r>
      <w:r w:rsidR="00013EBA" w:rsidRPr="001A3965">
        <w:t>d by different</w:t>
      </w:r>
      <w:r w:rsidR="00B80B2F" w:rsidRPr="001A3965">
        <w:t xml:space="preserve"> </w:t>
      </w:r>
      <w:r w:rsidR="00013EBA" w:rsidRPr="001A3965">
        <w:t>levels of odo</w:t>
      </w:r>
      <w:r w:rsidR="00583B1D" w:rsidRPr="001A3965">
        <w:t>u</w:t>
      </w:r>
      <w:r w:rsidR="00013EBA" w:rsidRPr="001A3965">
        <w:t xml:space="preserve">r </w:t>
      </w:r>
      <w:r w:rsidR="009A7913" w:rsidRPr="001A3965">
        <w:t>emissions, which have been implemented in the model by considering the expected value of each</w:t>
      </w:r>
      <w:r w:rsidR="00B80B2F" w:rsidRPr="001A3965">
        <w:t xml:space="preserve"> odour concentration distributions</w:t>
      </w:r>
      <w:r w:rsidR="009A7913" w:rsidRPr="001A3965">
        <w:t>,</w:t>
      </w:r>
      <w:r w:rsidR="00612DBA" w:rsidRPr="001A3965">
        <w:t xml:space="preserve"> evaluated using Eq(1)</w:t>
      </w:r>
      <w:r w:rsidR="00E92148" w:rsidRPr="001A3965">
        <w:t>:</w:t>
      </w:r>
    </w:p>
    <w:p w14:paraId="46F0A228" w14:textId="79151E37" w:rsidR="00013EBA" w:rsidRDefault="00013EBA" w:rsidP="00013EBA">
      <w:pPr>
        <w:pStyle w:val="CETBodytext"/>
      </w:pPr>
      <w:r>
        <w:lastRenderedPageBreak/>
        <w:t>- class</w:t>
      </w:r>
      <w:r w:rsidR="004439C4">
        <w:t xml:space="preserve"> “Low”</w:t>
      </w:r>
      <w:r>
        <w:t xml:space="preserve"> characterized by "lower" odo</w:t>
      </w:r>
      <w:r w:rsidR="00583B1D">
        <w:t>u</w:t>
      </w:r>
      <w:r>
        <w:t xml:space="preserve">r emissions, i.e., with </w:t>
      </w:r>
      <w:r w:rsidR="009A7913">
        <w:t>an expected odour concent</w:t>
      </w:r>
      <w:r w:rsidR="00E0276A">
        <w:t>r</w:t>
      </w:r>
      <w:r w:rsidR="009A7913">
        <w:t>ation value of</w:t>
      </w:r>
      <w:r w:rsidR="00104861">
        <w:t xml:space="preserve"> 650 o</w:t>
      </w:r>
      <w:r>
        <w:t>u</w:t>
      </w:r>
      <w:r w:rsidRPr="00C11D35">
        <w:rPr>
          <w:vertAlign w:val="subscript"/>
        </w:rPr>
        <w:t>E</w:t>
      </w:r>
      <w:r>
        <w:t>/m</w:t>
      </w:r>
      <w:r w:rsidRPr="00C11D35">
        <w:rPr>
          <w:vertAlign w:val="superscript"/>
        </w:rPr>
        <w:t>3</w:t>
      </w:r>
      <w:r>
        <w:t xml:space="preserve">, which includes "normal" conditions (i.e., no loading), PAF loading in rotary furnaces, and calcium eliminator loading in </w:t>
      </w:r>
      <w:r w:rsidR="00C158E5">
        <w:t>dock</w:t>
      </w:r>
      <w:r>
        <w:t xml:space="preserve"> and holding </w:t>
      </w:r>
      <w:r w:rsidR="008553B8">
        <w:t>furnaces.</w:t>
      </w:r>
    </w:p>
    <w:p w14:paraId="1889BEA9" w14:textId="7D18BCCB" w:rsidR="00013EBA" w:rsidRPr="004A4455" w:rsidRDefault="00013EBA" w:rsidP="00013EBA">
      <w:pPr>
        <w:pStyle w:val="CETBodytext"/>
      </w:pPr>
      <w:r>
        <w:t xml:space="preserve">- </w:t>
      </w:r>
      <w:r w:rsidR="008E2B69">
        <w:t>c</w:t>
      </w:r>
      <w:r>
        <w:t xml:space="preserve">lass </w:t>
      </w:r>
      <w:r w:rsidR="004439C4">
        <w:t xml:space="preserve">“High” </w:t>
      </w:r>
      <w:r>
        <w:t xml:space="preserve">characterized by higher </w:t>
      </w:r>
      <w:r w:rsidR="00612DBA">
        <w:t>odorous</w:t>
      </w:r>
      <w:r>
        <w:t xml:space="preserve"> emissions, i.e., </w:t>
      </w:r>
      <w:r w:rsidR="009A7913">
        <w:t>with an expected odour concent</w:t>
      </w:r>
      <w:r w:rsidR="00E0276A">
        <w:t>r</w:t>
      </w:r>
      <w:r w:rsidR="009A7913">
        <w:t xml:space="preserve">ation value of </w:t>
      </w:r>
      <w:r>
        <w:t>1'</w:t>
      </w:r>
      <w:r w:rsidR="00104861">
        <w:t>8</w:t>
      </w:r>
      <w:r>
        <w:t>00 ou</w:t>
      </w:r>
      <w:r w:rsidRPr="00C11D35">
        <w:rPr>
          <w:vertAlign w:val="subscript"/>
        </w:rPr>
        <w:t>E</w:t>
      </w:r>
      <w:r>
        <w:t>/m</w:t>
      </w:r>
      <w:r w:rsidRPr="00C11D35">
        <w:rPr>
          <w:vertAlign w:val="superscript"/>
        </w:rPr>
        <w:t>3</w:t>
      </w:r>
      <w:r>
        <w:t xml:space="preserve">, which includes scrap loading operations in the different types of furnaces (rotary and </w:t>
      </w:r>
      <w:r w:rsidR="00C158E5">
        <w:t>holding</w:t>
      </w:r>
      <w:r>
        <w:t>/</w:t>
      </w:r>
      <w:r w:rsidR="00C158E5">
        <w:t>dock</w:t>
      </w:r>
      <w:r>
        <w:t xml:space="preserve">), and PAF loading in </w:t>
      </w:r>
      <w:r w:rsidR="00C158E5">
        <w:t>holding</w:t>
      </w:r>
      <w:r>
        <w:t>/dock furnaces.</w:t>
      </w:r>
    </w:p>
    <w:p w14:paraId="5F5A5223" w14:textId="12C31130" w:rsidR="00F30261" w:rsidRPr="00F30261" w:rsidRDefault="002E6D9E" w:rsidP="00F30261">
      <w:pPr>
        <w:pStyle w:val="CETheadingx"/>
      </w:pPr>
      <w:r>
        <w:t>Sensitivity analysis</w:t>
      </w:r>
    </w:p>
    <w:p w14:paraId="1B673DF0" w14:textId="65365793" w:rsidR="00D32A1A" w:rsidRDefault="00E857D5" w:rsidP="00E97866">
      <w:pPr>
        <w:pStyle w:val="CETBodytext"/>
      </w:pPr>
      <w:r>
        <w:t xml:space="preserve">At the end, </w:t>
      </w:r>
      <w:r w:rsidR="003F4702">
        <w:t>the resulting 98</w:t>
      </w:r>
      <w:r w:rsidR="003F4702" w:rsidRPr="003F4702">
        <w:rPr>
          <w:vertAlign w:val="superscript"/>
        </w:rPr>
        <w:t>th</w:t>
      </w:r>
      <w:r w:rsidR="003F4702">
        <w:t xml:space="preserve"> percentile impact maps </w:t>
      </w:r>
      <w:r w:rsidR="008F6377">
        <w:t xml:space="preserve">corresponding to the </w:t>
      </w:r>
      <w:r>
        <w:t xml:space="preserve">6 different dispersion models were </w:t>
      </w:r>
      <w:r w:rsidR="004A2AB3">
        <w:t>investigated and compared</w:t>
      </w:r>
      <w:r w:rsidR="008F6377">
        <w:t>.</w:t>
      </w:r>
      <w:r w:rsidR="00EC082D">
        <w:t xml:space="preserve"> </w:t>
      </w:r>
      <w:r w:rsidR="001D5D5E">
        <w:t>As an</w:t>
      </w:r>
      <w:r w:rsidR="00EC082D">
        <w:t xml:space="preserve"> example, </w:t>
      </w:r>
      <w:r w:rsidR="00947C16">
        <w:fldChar w:fldCharType="begin"/>
      </w:r>
      <w:r w:rsidR="00947C16">
        <w:instrText xml:space="preserve"> REF _Ref107235555 \h </w:instrText>
      </w:r>
      <w:r w:rsidR="00947C16">
        <w:fldChar w:fldCharType="separate"/>
      </w:r>
      <w:r w:rsidR="00947C16">
        <w:t xml:space="preserve">Figure </w:t>
      </w:r>
      <w:r w:rsidR="00947C16">
        <w:rPr>
          <w:noProof/>
        </w:rPr>
        <w:t>4</w:t>
      </w:r>
      <w:r w:rsidR="00947C16">
        <w:fldChar w:fldCharType="end"/>
      </w:r>
      <w:r w:rsidR="001D5D5E">
        <w:t xml:space="preserve"> reports</w:t>
      </w:r>
      <w:r w:rsidR="00EC082D">
        <w:t xml:space="preserve"> two </w:t>
      </w:r>
      <w:r w:rsidR="00D32A1A">
        <w:t>odour impact map</w:t>
      </w:r>
      <w:r w:rsidR="001D5D5E">
        <w:t>s</w:t>
      </w:r>
      <w:r w:rsidR="00D32A1A">
        <w:t>.</w:t>
      </w:r>
    </w:p>
    <w:p w14:paraId="773B8EFE" w14:textId="6C863870" w:rsidR="00D32A1A" w:rsidRDefault="008E41ED" w:rsidP="00E97866">
      <w:pPr>
        <w:pStyle w:val="CETBodytext"/>
      </w:pPr>
      <w:r>
        <w:t>The odour impact of the plant does not vary significantly as the temporal distribution of the two different odour conditions of the foundry varies over the year.</w:t>
      </w:r>
      <w:r w:rsidR="005F3ED8">
        <w:t xml:space="preserve"> </w:t>
      </w:r>
      <w:r>
        <w:t>This is even more evident when looking at the 98</w:t>
      </w:r>
      <w:r w:rsidRPr="000D25C3">
        <w:rPr>
          <w:vertAlign w:val="superscript"/>
        </w:rPr>
        <w:t>th</w:t>
      </w:r>
      <w:r>
        <w:t xml:space="preserve"> percentile point values of concentration evaluated on the 3 discrete receptors, shown in </w:t>
      </w:r>
      <w:r>
        <w:fldChar w:fldCharType="begin"/>
      </w:r>
      <w:r>
        <w:instrText xml:space="preserve"> REF _Ref107234852 \h </w:instrText>
      </w:r>
      <w:r>
        <w:fldChar w:fldCharType="separate"/>
      </w:r>
      <w:r>
        <w:t xml:space="preserve">Table </w:t>
      </w:r>
      <w:r>
        <w:rPr>
          <w:noProof/>
        </w:rPr>
        <w:t>2</w:t>
      </w:r>
      <w:r>
        <w:fldChar w:fldCharType="end"/>
      </w:r>
      <w:r>
        <w:t xml:space="preserve">. The </w:t>
      </w:r>
      <w:r w:rsidR="001E532C">
        <w:t xml:space="preserve">variation </w:t>
      </w:r>
      <w:r>
        <w:t>concentration changes are on the order of 1% over all the receptors considered.</w:t>
      </w:r>
    </w:p>
    <w:p w14:paraId="41E1E302" w14:textId="77777777" w:rsidR="00EB5482" w:rsidRDefault="00EB5482" w:rsidP="00E97866">
      <w:pPr>
        <w:pStyle w:val="CETBodytext"/>
      </w:pPr>
    </w:p>
    <w:tbl>
      <w:tblPr>
        <w:tblStyle w:val="Grigliatabella"/>
        <w:tblW w:w="8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2"/>
        <w:gridCol w:w="4293"/>
      </w:tblGrid>
      <w:tr w:rsidR="00186BE0" w14:paraId="2B027B9C" w14:textId="77777777" w:rsidTr="007168F3">
        <w:trPr>
          <w:trHeight w:val="3190"/>
        </w:trPr>
        <w:tc>
          <w:tcPr>
            <w:tcW w:w="4292" w:type="dxa"/>
          </w:tcPr>
          <w:p w14:paraId="66A9D44A" w14:textId="5343E60C" w:rsidR="0080047C" w:rsidRDefault="0074424F" w:rsidP="00E843C7">
            <w:pPr>
              <w:pStyle w:val="CETBodytext"/>
              <w:jc w:val="center"/>
            </w:pPr>
            <w:r>
              <w:rPr>
                <w:noProof/>
                <w:lang w:val="it-IT" w:eastAsia="it-IT"/>
              </w:rPr>
              <mc:AlternateContent>
                <mc:Choice Requires="wps">
                  <w:drawing>
                    <wp:anchor distT="0" distB="0" distL="114300" distR="114300" simplePos="0" relativeHeight="251659264" behindDoc="0" locked="0" layoutInCell="1" allowOverlap="1" wp14:anchorId="701A6F1F" wp14:editId="7103FD68">
                      <wp:simplePos x="0" y="0"/>
                      <wp:positionH relativeFrom="column">
                        <wp:posOffset>95885</wp:posOffset>
                      </wp:positionH>
                      <wp:positionV relativeFrom="paragraph">
                        <wp:posOffset>28575</wp:posOffset>
                      </wp:positionV>
                      <wp:extent cx="330200" cy="311150"/>
                      <wp:effectExtent l="0" t="0" r="0" b="0"/>
                      <wp:wrapNone/>
                      <wp:docPr id="18" name="Casella di testo 18"/>
                      <wp:cNvGraphicFramePr/>
                      <a:graphic xmlns:a="http://schemas.openxmlformats.org/drawingml/2006/main">
                        <a:graphicData uri="http://schemas.microsoft.com/office/word/2010/wordprocessingShape">
                          <wps:wsp>
                            <wps:cNvSpPr txBox="1"/>
                            <wps:spPr>
                              <a:xfrm>
                                <a:off x="0" y="0"/>
                                <a:ext cx="330200" cy="311150"/>
                              </a:xfrm>
                              <a:prstGeom prst="rect">
                                <a:avLst/>
                              </a:prstGeom>
                              <a:noFill/>
                              <a:ln w="6350">
                                <a:noFill/>
                              </a:ln>
                            </wps:spPr>
                            <wps:txbx>
                              <w:txbxContent>
                                <w:p w14:paraId="488FB8D1" w14:textId="6C6D23C7" w:rsidR="0074424F" w:rsidRDefault="0074424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01A6F1F" id="_x0000_t202" coordsize="21600,21600" o:spt="202" path="m,l,21600r21600,l21600,xe">
                      <v:stroke joinstyle="miter"/>
                      <v:path gradientshapeok="t" o:connecttype="rect"/>
                    </v:shapetype>
                    <v:shape id="Casella di testo 18" o:spid="_x0000_s1026" type="#_x0000_t202" style="position:absolute;left:0;text-align:left;margin-left:7.55pt;margin-top:2.25pt;width:26pt;height:2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" filled="f" stroked="f" strokeweight=".5pt">
                      <v:textbox>
                        <w:txbxContent>
                          <w:p w14:paraId="488FB8D1" w14:textId="6C6D23C7" w:rsidR="0074424F" w:rsidRDefault="0074424F">
                            <w:r>
                              <w:t>a)</w:t>
                            </w:r>
                          </w:p>
                        </w:txbxContent>
                      </v:textbox>
                    </v:shape>
                  </w:pict>
                </mc:Fallback>
              </mc:AlternateContent>
            </w:r>
            <w:r w:rsidR="003F5A0B">
              <w:rPr>
                <w:noProof/>
                <w:lang w:val="it-IT" w:eastAsia="it-IT"/>
              </w:rPr>
              <w:drawing>
                <wp:inline distT="0" distB="0" distL="0" distR="0" wp14:anchorId="6EDD37F1" wp14:editId="54D00DE4">
                  <wp:extent cx="2463066" cy="2260964"/>
                  <wp:effectExtent l="0" t="0" r="0" b="635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13"/>
                          <a:stretch>
                            <a:fillRect/>
                          </a:stretch>
                        </pic:blipFill>
                        <pic:spPr>
                          <a:xfrm>
                            <a:off x="0" y="0"/>
                            <a:ext cx="2466093" cy="2263742"/>
                          </a:xfrm>
                          <a:prstGeom prst="rect">
                            <a:avLst/>
                          </a:prstGeom>
                        </pic:spPr>
                      </pic:pic>
                    </a:graphicData>
                  </a:graphic>
                </wp:inline>
              </w:drawing>
            </w:r>
          </w:p>
        </w:tc>
        <w:tc>
          <w:tcPr>
            <w:tcW w:w="4293" w:type="dxa"/>
          </w:tcPr>
          <w:p w14:paraId="1C41FFE3" w14:textId="684F7F35" w:rsidR="0080047C" w:rsidRDefault="0074424F" w:rsidP="00E843C7">
            <w:pPr>
              <w:pStyle w:val="CETBodytext"/>
              <w:keepNext/>
              <w:jc w:val="center"/>
            </w:pPr>
            <w:r>
              <w:rPr>
                <w:noProof/>
                <w:lang w:val="it-IT" w:eastAsia="it-IT"/>
              </w:rPr>
              <mc:AlternateContent>
                <mc:Choice Requires="wps">
                  <w:drawing>
                    <wp:anchor distT="0" distB="0" distL="114300" distR="114300" simplePos="0" relativeHeight="251661312" behindDoc="0" locked="0" layoutInCell="1" allowOverlap="1" wp14:anchorId="5009110D" wp14:editId="574A8B3B">
                      <wp:simplePos x="0" y="0"/>
                      <wp:positionH relativeFrom="column">
                        <wp:posOffset>103505</wp:posOffset>
                      </wp:positionH>
                      <wp:positionV relativeFrom="paragraph">
                        <wp:posOffset>28575</wp:posOffset>
                      </wp:positionV>
                      <wp:extent cx="330200" cy="311150"/>
                      <wp:effectExtent l="0" t="0" r="0" b="0"/>
                      <wp:wrapNone/>
                      <wp:docPr id="19" name="Casella di testo 19"/>
                      <wp:cNvGraphicFramePr/>
                      <a:graphic xmlns:a="http://schemas.openxmlformats.org/drawingml/2006/main">
                        <a:graphicData uri="http://schemas.microsoft.com/office/word/2010/wordprocessingShape">
                          <wps:wsp>
                            <wps:cNvSpPr txBox="1"/>
                            <wps:spPr>
                              <a:xfrm>
                                <a:off x="0" y="0"/>
                                <a:ext cx="330200" cy="311150"/>
                              </a:xfrm>
                              <a:prstGeom prst="rect">
                                <a:avLst/>
                              </a:prstGeom>
                              <a:noFill/>
                              <a:ln w="6350">
                                <a:noFill/>
                              </a:ln>
                            </wps:spPr>
                            <wps:txbx>
                              <w:txbxContent>
                                <w:p w14:paraId="6B35891E" w14:textId="55737F36" w:rsidR="0074424F" w:rsidRDefault="0074424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9110D" id="Casella di testo 19" o:spid="_x0000_s1027" type="#_x0000_t202" style="position:absolute;left:0;text-align:left;margin-left:8.15pt;margin-top:2.25pt;width:26pt;height:2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" filled="f" stroked="f" strokeweight=".5pt">
                      <v:textbox>
                        <w:txbxContent>
                          <w:p w14:paraId="6B35891E" w14:textId="55737F36" w:rsidR="0074424F" w:rsidRDefault="0074424F">
                            <w:r>
                              <w:t>b)</w:t>
                            </w:r>
                          </w:p>
                        </w:txbxContent>
                      </v:textbox>
                    </v:shape>
                  </w:pict>
                </mc:Fallback>
              </mc:AlternateContent>
            </w:r>
            <w:r w:rsidR="00E843C7">
              <w:rPr>
                <w:noProof/>
                <w:lang w:val="it-IT" w:eastAsia="it-IT"/>
              </w:rPr>
              <w:drawing>
                <wp:inline distT="0" distB="0" distL="0" distR="0" wp14:anchorId="4CD00326" wp14:editId="557A25C3">
                  <wp:extent cx="2449955" cy="2219931"/>
                  <wp:effectExtent l="0" t="0" r="7620" b="952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14"/>
                          <a:stretch>
                            <a:fillRect/>
                          </a:stretch>
                        </pic:blipFill>
                        <pic:spPr>
                          <a:xfrm>
                            <a:off x="0" y="0"/>
                            <a:ext cx="2457660" cy="2226913"/>
                          </a:xfrm>
                          <a:prstGeom prst="rect">
                            <a:avLst/>
                          </a:prstGeom>
                        </pic:spPr>
                      </pic:pic>
                    </a:graphicData>
                  </a:graphic>
                </wp:inline>
              </w:drawing>
            </w:r>
          </w:p>
        </w:tc>
      </w:tr>
    </w:tbl>
    <w:p w14:paraId="1615058E" w14:textId="03FF4C45" w:rsidR="00D32A1A" w:rsidRDefault="00F45E91" w:rsidP="00F45E91">
      <w:pPr>
        <w:pStyle w:val="CETCaption"/>
      </w:pPr>
      <w:bookmarkStart w:id="4" w:name="_Ref107235555"/>
      <w:r>
        <w:t xml:space="preserve">Figure </w:t>
      </w:r>
      <w:r w:rsidR="0074424F">
        <w:fldChar w:fldCharType="begin"/>
      </w:r>
      <w:r w:rsidR="0074424F">
        <w:instrText xml:space="preserve"> SEQ Figure \* ARABIC </w:instrText>
      </w:r>
      <w:r w:rsidR="0074424F">
        <w:fldChar w:fldCharType="separate"/>
      </w:r>
      <w:r w:rsidR="00BC6808">
        <w:rPr>
          <w:noProof/>
        </w:rPr>
        <w:t>4</w:t>
      </w:r>
      <w:r w:rsidR="0074424F">
        <w:fldChar w:fldCharType="end"/>
      </w:r>
      <w:bookmarkEnd w:id="4"/>
      <w:r>
        <w:t>. 98</w:t>
      </w:r>
      <w:r w:rsidRPr="00F45E91">
        <w:rPr>
          <w:vertAlign w:val="superscript"/>
        </w:rPr>
        <w:t>th</w:t>
      </w:r>
      <w:r>
        <w:t xml:space="preserve"> </w:t>
      </w:r>
      <w:r w:rsidR="00A011DF">
        <w:t xml:space="preserve">percentile impact maps corresponding to </w:t>
      </w:r>
      <w:r w:rsidR="001E532C">
        <w:t xml:space="preserve">two different randomizations of the dispersion model </w:t>
      </w:r>
    </w:p>
    <w:p w14:paraId="473E20CC" w14:textId="5FFCA763" w:rsidR="001F3DF3" w:rsidRDefault="001F3DF3" w:rsidP="001F3DF3">
      <w:pPr>
        <w:pStyle w:val="CETCaption"/>
      </w:pPr>
      <w:bookmarkStart w:id="5" w:name="_Ref107234852"/>
      <w:r>
        <w:t xml:space="preserve">Table </w:t>
      </w:r>
      <w:r>
        <w:fldChar w:fldCharType="begin"/>
      </w:r>
      <w:r>
        <w:instrText xml:space="preserve"> SEQ Table \* ARABIC </w:instrText>
      </w:r>
      <w:r>
        <w:fldChar w:fldCharType="separate"/>
      </w:r>
      <w:r>
        <w:rPr>
          <w:noProof/>
        </w:rPr>
        <w:t>2</w:t>
      </w:r>
      <w:r>
        <w:fldChar w:fldCharType="end"/>
      </w:r>
      <w:bookmarkEnd w:id="5"/>
      <w:r>
        <w:t>. 98</w:t>
      </w:r>
      <w:r w:rsidRPr="000D25C3">
        <w:rPr>
          <w:vertAlign w:val="superscript"/>
        </w:rPr>
        <w:t>th</w:t>
      </w:r>
      <w:r>
        <w:t xml:space="preserve"> percentile </w:t>
      </w:r>
      <w:r w:rsidR="00B37D74">
        <w:t>odour concentration</w:t>
      </w:r>
      <w:r>
        <w:t xml:space="preserve"> values evaluated on the 3 discrete receptors </w:t>
      </w:r>
      <w:r w:rsidR="001E532C">
        <w:t>for the</w:t>
      </w:r>
      <w:r>
        <w:t xml:space="preserve"> different randomi</w:t>
      </w:r>
      <w:r w:rsidR="009C0B7D">
        <w:t>zations</w:t>
      </w:r>
    </w:p>
    <w:tbl>
      <w:tblPr>
        <w:tblStyle w:val="Grigliatabella"/>
        <w:tblW w:w="0" w:type="auto"/>
        <w:tblLook w:val="04A0" w:firstRow="1" w:lastRow="0" w:firstColumn="1" w:lastColumn="0" w:noHBand="0" w:noVBand="1"/>
      </w:tblPr>
      <w:tblGrid>
        <w:gridCol w:w="1253"/>
        <w:gridCol w:w="1254"/>
        <w:gridCol w:w="1254"/>
        <w:gridCol w:w="1254"/>
        <w:gridCol w:w="1254"/>
        <w:gridCol w:w="1254"/>
        <w:gridCol w:w="1254"/>
      </w:tblGrid>
      <w:tr w:rsidR="0008223A" w14:paraId="00DBC113" w14:textId="77777777" w:rsidTr="003B1DE4">
        <w:tc>
          <w:tcPr>
            <w:tcW w:w="1253" w:type="dxa"/>
            <w:vAlign w:val="center"/>
          </w:tcPr>
          <w:p w14:paraId="196545B7" w14:textId="031A07FE" w:rsidR="0008223A" w:rsidRDefault="0008223A" w:rsidP="003B1DE4">
            <w:pPr>
              <w:pStyle w:val="CETBodytext"/>
              <w:jc w:val="center"/>
            </w:pPr>
            <w:r>
              <w:t>Receptor</w:t>
            </w:r>
          </w:p>
        </w:tc>
        <w:tc>
          <w:tcPr>
            <w:tcW w:w="1254" w:type="dxa"/>
            <w:vAlign w:val="center"/>
          </w:tcPr>
          <w:p w14:paraId="5D3040EA" w14:textId="6CA115B5" w:rsidR="0008223A" w:rsidRDefault="0008223A" w:rsidP="003B1DE4">
            <w:pPr>
              <w:pStyle w:val="CETBodytext"/>
              <w:jc w:val="center"/>
            </w:pPr>
            <w:r>
              <w:t>Cod,98 – RAND1 [ou</w:t>
            </w:r>
            <w:r w:rsidRPr="0008223A">
              <w:rPr>
                <w:vertAlign w:val="subscript"/>
              </w:rPr>
              <w:t>E</w:t>
            </w:r>
            <w:r>
              <w:t>/m</w:t>
            </w:r>
            <w:r w:rsidRPr="0008223A">
              <w:rPr>
                <w:vertAlign w:val="superscript"/>
              </w:rPr>
              <w:t>3</w:t>
            </w:r>
            <w:r>
              <w:t>]</w:t>
            </w:r>
          </w:p>
        </w:tc>
        <w:tc>
          <w:tcPr>
            <w:tcW w:w="1254" w:type="dxa"/>
            <w:vAlign w:val="center"/>
          </w:tcPr>
          <w:p w14:paraId="1F373D22" w14:textId="0719BABC" w:rsidR="0008223A" w:rsidRDefault="0008223A" w:rsidP="003B1DE4">
            <w:pPr>
              <w:pStyle w:val="CETBodytext"/>
              <w:jc w:val="center"/>
            </w:pPr>
            <w:r>
              <w:t>Cod,98 – RAND2 [ou</w:t>
            </w:r>
            <w:r w:rsidRPr="0008223A">
              <w:rPr>
                <w:vertAlign w:val="subscript"/>
              </w:rPr>
              <w:t>E</w:t>
            </w:r>
            <w:r>
              <w:t>/m</w:t>
            </w:r>
            <w:r w:rsidRPr="0008223A">
              <w:rPr>
                <w:vertAlign w:val="superscript"/>
              </w:rPr>
              <w:t>3</w:t>
            </w:r>
            <w:r>
              <w:t>]</w:t>
            </w:r>
          </w:p>
        </w:tc>
        <w:tc>
          <w:tcPr>
            <w:tcW w:w="1254" w:type="dxa"/>
            <w:vAlign w:val="center"/>
          </w:tcPr>
          <w:p w14:paraId="2530F8F3" w14:textId="04915086" w:rsidR="0008223A" w:rsidRDefault="0008223A" w:rsidP="003B1DE4">
            <w:pPr>
              <w:pStyle w:val="CETBodytext"/>
              <w:jc w:val="center"/>
            </w:pPr>
            <w:r>
              <w:t>Cod,98 – RAND3 [ou</w:t>
            </w:r>
            <w:r w:rsidRPr="0008223A">
              <w:rPr>
                <w:vertAlign w:val="subscript"/>
              </w:rPr>
              <w:t>E</w:t>
            </w:r>
            <w:r>
              <w:t>/m</w:t>
            </w:r>
            <w:r w:rsidRPr="0008223A">
              <w:rPr>
                <w:vertAlign w:val="superscript"/>
              </w:rPr>
              <w:t>3</w:t>
            </w:r>
            <w:r>
              <w:t>]</w:t>
            </w:r>
          </w:p>
        </w:tc>
        <w:tc>
          <w:tcPr>
            <w:tcW w:w="1254" w:type="dxa"/>
            <w:vAlign w:val="center"/>
          </w:tcPr>
          <w:p w14:paraId="62CB5393" w14:textId="46470671" w:rsidR="0008223A" w:rsidRDefault="0008223A" w:rsidP="003B1DE4">
            <w:pPr>
              <w:pStyle w:val="CETBodytext"/>
              <w:jc w:val="center"/>
            </w:pPr>
            <w:r>
              <w:t>Cod,98 – RAND4 [ou</w:t>
            </w:r>
            <w:r w:rsidRPr="0008223A">
              <w:rPr>
                <w:vertAlign w:val="subscript"/>
              </w:rPr>
              <w:t>E</w:t>
            </w:r>
            <w:r>
              <w:t>/m</w:t>
            </w:r>
            <w:r w:rsidRPr="0008223A">
              <w:rPr>
                <w:vertAlign w:val="superscript"/>
              </w:rPr>
              <w:t>3</w:t>
            </w:r>
            <w:r>
              <w:t>]</w:t>
            </w:r>
          </w:p>
        </w:tc>
        <w:tc>
          <w:tcPr>
            <w:tcW w:w="1254" w:type="dxa"/>
            <w:vAlign w:val="center"/>
          </w:tcPr>
          <w:p w14:paraId="2D520B51" w14:textId="4806F79E" w:rsidR="0008223A" w:rsidRDefault="0008223A" w:rsidP="003B1DE4">
            <w:pPr>
              <w:pStyle w:val="CETBodytext"/>
              <w:jc w:val="center"/>
            </w:pPr>
            <w:r>
              <w:t>Cod,98 – RAND5 [ou</w:t>
            </w:r>
            <w:r w:rsidRPr="0008223A">
              <w:rPr>
                <w:vertAlign w:val="subscript"/>
              </w:rPr>
              <w:t>E</w:t>
            </w:r>
            <w:r>
              <w:t>/m</w:t>
            </w:r>
            <w:r w:rsidRPr="0008223A">
              <w:rPr>
                <w:vertAlign w:val="superscript"/>
              </w:rPr>
              <w:t>3</w:t>
            </w:r>
            <w:r>
              <w:t>]</w:t>
            </w:r>
          </w:p>
        </w:tc>
        <w:tc>
          <w:tcPr>
            <w:tcW w:w="1254" w:type="dxa"/>
            <w:vAlign w:val="center"/>
          </w:tcPr>
          <w:p w14:paraId="3F88DEE5" w14:textId="178F3F63" w:rsidR="0008223A" w:rsidRDefault="0008223A" w:rsidP="003B1DE4">
            <w:pPr>
              <w:pStyle w:val="CETBodytext"/>
              <w:jc w:val="center"/>
            </w:pPr>
            <w:r>
              <w:t>Cod,98 – RAND6 [ou</w:t>
            </w:r>
            <w:r w:rsidRPr="0008223A">
              <w:rPr>
                <w:vertAlign w:val="subscript"/>
              </w:rPr>
              <w:t>E</w:t>
            </w:r>
            <w:r>
              <w:t>/m</w:t>
            </w:r>
            <w:r w:rsidRPr="0008223A">
              <w:rPr>
                <w:vertAlign w:val="superscript"/>
              </w:rPr>
              <w:t>3</w:t>
            </w:r>
            <w:r>
              <w:t>]</w:t>
            </w:r>
          </w:p>
        </w:tc>
      </w:tr>
      <w:tr w:rsidR="0008223A" w14:paraId="57AE63DF" w14:textId="77777777" w:rsidTr="003B1DE4">
        <w:tc>
          <w:tcPr>
            <w:tcW w:w="1253" w:type="dxa"/>
            <w:vAlign w:val="center"/>
          </w:tcPr>
          <w:p w14:paraId="098AAD21" w14:textId="42D07F85" w:rsidR="0008223A" w:rsidRDefault="0008223A" w:rsidP="003B1DE4">
            <w:pPr>
              <w:pStyle w:val="CETBodytext"/>
              <w:jc w:val="center"/>
            </w:pPr>
            <w:r>
              <w:t>R_1</w:t>
            </w:r>
          </w:p>
        </w:tc>
        <w:tc>
          <w:tcPr>
            <w:tcW w:w="1254" w:type="dxa"/>
            <w:vAlign w:val="center"/>
          </w:tcPr>
          <w:p w14:paraId="28207972" w14:textId="1442CEB7" w:rsidR="0008223A" w:rsidRDefault="0008223A" w:rsidP="003B1DE4">
            <w:pPr>
              <w:pStyle w:val="CETBodytext"/>
              <w:jc w:val="center"/>
            </w:pPr>
            <w:r>
              <w:t>2.85</w:t>
            </w:r>
          </w:p>
        </w:tc>
        <w:tc>
          <w:tcPr>
            <w:tcW w:w="1254" w:type="dxa"/>
            <w:vAlign w:val="center"/>
          </w:tcPr>
          <w:p w14:paraId="00DFE113" w14:textId="454A3B9A" w:rsidR="0008223A" w:rsidRDefault="00822777" w:rsidP="003B1DE4">
            <w:pPr>
              <w:pStyle w:val="CETBodytext"/>
              <w:jc w:val="center"/>
            </w:pPr>
            <w:r>
              <w:t>2.85</w:t>
            </w:r>
          </w:p>
        </w:tc>
        <w:tc>
          <w:tcPr>
            <w:tcW w:w="1254" w:type="dxa"/>
            <w:vAlign w:val="center"/>
          </w:tcPr>
          <w:p w14:paraId="27CA38C9" w14:textId="4762C5BD" w:rsidR="0008223A" w:rsidRDefault="00822777" w:rsidP="003B1DE4">
            <w:pPr>
              <w:pStyle w:val="CETBodytext"/>
              <w:jc w:val="center"/>
            </w:pPr>
            <w:r>
              <w:t>2.84</w:t>
            </w:r>
          </w:p>
        </w:tc>
        <w:tc>
          <w:tcPr>
            <w:tcW w:w="1254" w:type="dxa"/>
            <w:vAlign w:val="center"/>
          </w:tcPr>
          <w:p w14:paraId="13F12C8F" w14:textId="76357FDB" w:rsidR="0008223A" w:rsidRDefault="00822777" w:rsidP="003B1DE4">
            <w:pPr>
              <w:pStyle w:val="CETBodytext"/>
              <w:jc w:val="center"/>
            </w:pPr>
            <w:r>
              <w:t>2.84</w:t>
            </w:r>
          </w:p>
        </w:tc>
        <w:tc>
          <w:tcPr>
            <w:tcW w:w="1254" w:type="dxa"/>
            <w:vAlign w:val="center"/>
          </w:tcPr>
          <w:p w14:paraId="264733C1" w14:textId="7D76FDE6" w:rsidR="0008223A" w:rsidRDefault="00822777" w:rsidP="003B1DE4">
            <w:pPr>
              <w:pStyle w:val="CETBodytext"/>
              <w:jc w:val="center"/>
            </w:pPr>
            <w:r>
              <w:t>2.84</w:t>
            </w:r>
          </w:p>
        </w:tc>
        <w:tc>
          <w:tcPr>
            <w:tcW w:w="1254" w:type="dxa"/>
            <w:vAlign w:val="center"/>
          </w:tcPr>
          <w:p w14:paraId="149949BC" w14:textId="1A18DDE9" w:rsidR="0008223A" w:rsidRDefault="00822777" w:rsidP="003B1DE4">
            <w:pPr>
              <w:pStyle w:val="CETBodytext"/>
              <w:jc w:val="center"/>
            </w:pPr>
            <w:r>
              <w:t>2.85</w:t>
            </w:r>
          </w:p>
        </w:tc>
      </w:tr>
      <w:tr w:rsidR="0008223A" w14:paraId="198C7F52" w14:textId="77777777" w:rsidTr="003B1DE4">
        <w:tc>
          <w:tcPr>
            <w:tcW w:w="1253" w:type="dxa"/>
            <w:vAlign w:val="center"/>
          </w:tcPr>
          <w:p w14:paraId="583A5327" w14:textId="1599A80C" w:rsidR="0008223A" w:rsidRDefault="0008223A" w:rsidP="003B1DE4">
            <w:pPr>
              <w:pStyle w:val="CETBodytext"/>
              <w:jc w:val="center"/>
            </w:pPr>
            <w:r>
              <w:t>R_2</w:t>
            </w:r>
          </w:p>
        </w:tc>
        <w:tc>
          <w:tcPr>
            <w:tcW w:w="1254" w:type="dxa"/>
            <w:vAlign w:val="center"/>
          </w:tcPr>
          <w:p w14:paraId="5094E3A5" w14:textId="7FADDA14" w:rsidR="0008223A" w:rsidRDefault="00822777" w:rsidP="003B1DE4">
            <w:pPr>
              <w:pStyle w:val="CETBodytext"/>
              <w:jc w:val="center"/>
            </w:pPr>
            <w:r>
              <w:t>1.41</w:t>
            </w:r>
          </w:p>
        </w:tc>
        <w:tc>
          <w:tcPr>
            <w:tcW w:w="1254" w:type="dxa"/>
            <w:vAlign w:val="center"/>
          </w:tcPr>
          <w:p w14:paraId="7AEE2108" w14:textId="603EC4B5" w:rsidR="0008223A" w:rsidRDefault="00822777" w:rsidP="003B1DE4">
            <w:pPr>
              <w:pStyle w:val="CETBodytext"/>
              <w:jc w:val="center"/>
            </w:pPr>
            <w:r>
              <w:t>1.41</w:t>
            </w:r>
          </w:p>
        </w:tc>
        <w:tc>
          <w:tcPr>
            <w:tcW w:w="1254" w:type="dxa"/>
            <w:vAlign w:val="center"/>
          </w:tcPr>
          <w:p w14:paraId="1C7625EC" w14:textId="281DCFF4" w:rsidR="0008223A" w:rsidRDefault="00822777" w:rsidP="003B1DE4">
            <w:pPr>
              <w:pStyle w:val="CETBodytext"/>
              <w:jc w:val="center"/>
            </w:pPr>
            <w:r>
              <w:t>1.40</w:t>
            </w:r>
          </w:p>
        </w:tc>
        <w:tc>
          <w:tcPr>
            <w:tcW w:w="1254" w:type="dxa"/>
            <w:vAlign w:val="center"/>
          </w:tcPr>
          <w:p w14:paraId="7B998581" w14:textId="68BAFDFD" w:rsidR="0008223A" w:rsidRDefault="00822777" w:rsidP="003B1DE4">
            <w:pPr>
              <w:pStyle w:val="CETBodytext"/>
              <w:jc w:val="center"/>
            </w:pPr>
            <w:r>
              <w:t>1.40</w:t>
            </w:r>
          </w:p>
        </w:tc>
        <w:tc>
          <w:tcPr>
            <w:tcW w:w="1254" w:type="dxa"/>
            <w:vAlign w:val="center"/>
          </w:tcPr>
          <w:p w14:paraId="4BA39D99" w14:textId="68AEBC08" w:rsidR="0008223A" w:rsidRDefault="00822777" w:rsidP="003B1DE4">
            <w:pPr>
              <w:pStyle w:val="CETBodytext"/>
              <w:jc w:val="center"/>
            </w:pPr>
            <w:r>
              <w:t>1.41</w:t>
            </w:r>
          </w:p>
        </w:tc>
        <w:tc>
          <w:tcPr>
            <w:tcW w:w="1254" w:type="dxa"/>
            <w:vAlign w:val="center"/>
          </w:tcPr>
          <w:p w14:paraId="5EE1DA9C" w14:textId="1270790B" w:rsidR="0008223A" w:rsidRDefault="00822777" w:rsidP="003B1DE4">
            <w:pPr>
              <w:pStyle w:val="CETBodytext"/>
              <w:jc w:val="center"/>
            </w:pPr>
            <w:r>
              <w:t>1.41</w:t>
            </w:r>
          </w:p>
        </w:tc>
      </w:tr>
      <w:tr w:rsidR="0008223A" w14:paraId="7489DA10" w14:textId="77777777" w:rsidTr="003B1DE4">
        <w:tc>
          <w:tcPr>
            <w:tcW w:w="1253" w:type="dxa"/>
            <w:vAlign w:val="center"/>
          </w:tcPr>
          <w:p w14:paraId="3DFD2ECD" w14:textId="282459E7" w:rsidR="0008223A" w:rsidRDefault="0008223A" w:rsidP="003B1DE4">
            <w:pPr>
              <w:pStyle w:val="CETBodytext"/>
              <w:jc w:val="center"/>
            </w:pPr>
            <w:r>
              <w:t>R_3</w:t>
            </w:r>
          </w:p>
        </w:tc>
        <w:tc>
          <w:tcPr>
            <w:tcW w:w="1254" w:type="dxa"/>
            <w:vAlign w:val="center"/>
          </w:tcPr>
          <w:p w14:paraId="34F94949" w14:textId="7A5864CC" w:rsidR="0008223A" w:rsidRDefault="003B1DE4" w:rsidP="003B1DE4">
            <w:pPr>
              <w:pStyle w:val="CETBodytext"/>
              <w:jc w:val="center"/>
            </w:pPr>
            <w:r>
              <w:t>1.20</w:t>
            </w:r>
          </w:p>
        </w:tc>
        <w:tc>
          <w:tcPr>
            <w:tcW w:w="1254" w:type="dxa"/>
            <w:vAlign w:val="center"/>
          </w:tcPr>
          <w:p w14:paraId="5A7D550D" w14:textId="0D576739" w:rsidR="0008223A" w:rsidRDefault="003B1DE4" w:rsidP="003B1DE4">
            <w:pPr>
              <w:pStyle w:val="CETBodytext"/>
              <w:jc w:val="center"/>
            </w:pPr>
            <w:r>
              <w:t>1.19</w:t>
            </w:r>
          </w:p>
        </w:tc>
        <w:tc>
          <w:tcPr>
            <w:tcW w:w="1254" w:type="dxa"/>
            <w:vAlign w:val="center"/>
          </w:tcPr>
          <w:p w14:paraId="1534C445" w14:textId="5AB95BF4" w:rsidR="0008223A" w:rsidRDefault="003B1DE4" w:rsidP="003B1DE4">
            <w:pPr>
              <w:pStyle w:val="CETBodytext"/>
              <w:jc w:val="center"/>
            </w:pPr>
            <w:r>
              <w:t>1.17</w:t>
            </w:r>
          </w:p>
        </w:tc>
        <w:tc>
          <w:tcPr>
            <w:tcW w:w="1254" w:type="dxa"/>
            <w:vAlign w:val="center"/>
          </w:tcPr>
          <w:p w14:paraId="245A37CD" w14:textId="4978915F" w:rsidR="0008223A" w:rsidRDefault="003B1DE4" w:rsidP="003B1DE4">
            <w:pPr>
              <w:pStyle w:val="CETBodytext"/>
              <w:jc w:val="center"/>
            </w:pPr>
            <w:r>
              <w:t>1.19</w:t>
            </w:r>
          </w:p>
        </w:tc>
        <w:tc>
          <w:tcPr>
            <w:tcW w:w="1254" w:type="dxa"/>
            <w:vAlign w:val="center"/>
          </w:tcPr>
          <w:p w14:paraId="341B77CF" w14:textId="22F64268" w:rsidR="0008223A" w:rsidRDefault="003B1DE4" w:rsidP="003B1DE4">
            <w:pPr>
              <w:pStyle w:val="CETBodytext"/>
              <w:jc w:val="center"/>
            </w:pPr>
            <w:r>
              <w:t>1.20</w:t>
            </w:r>
          </w:p>
        </w:tc>
        <w:tc>
          <w:tcPr>
            <w:tcW w:w="1254" w:type="dxa"/>
            <w:vAlign w:val="center"/>
          </w:tcPr>
          <w:p w14:paraId="1CD00CDA" w14:textId="566383A1" w:rsidR="0008223A" w:rsidRDefault="003B1DE4" w:rsidP="003B1DE4">
            <w:pPr>
              <w:pStyle w:val="CETBodytext"/>
              <w:jc w:val="center"/>
            </w:pPr>
            <w:r>
              <w:t>1.19</w:t>
            </w:r>
          </w:p>
        </w:tc>
      </w:tr>
    </w:tbl>
    <w:p w14:paraId="2A7F135E" w14:textId="77777777" w:rsidR="00EA037E" w:rsidRDefault="00EA037E" w:rsidP="00E97866">
      <w:pPr>
        <w:pStyle w:val="CETBodytext"/>
      </w:pPr>
    </w:p>
    <w:p w14:paraId="2935B8E2" w14:textId="20BD2DF1" w:rsidR="00EA037E" w:rsidRDefault="00EA037E" w:rsidP="00EA037E">
      <w:pPr>
        <w:pStyle w:val="CETBodytext"/>
      </w:pPr>
      <w:r>
        <w:t xml:space="preserve">This </w:t>
      </w:r>
      <w:r w:rsidR="008466DD">
        <w:t>behavior</w:t>
      </w:r>
      <w:r>
        <w:t xml:space="preserve"> can be explained by looking at the map representing the impact related to diffuse emissions only</w:t>
      </w:r>
      <w:r w:rsidR="008C574C">
        <w:t xml:space="preserve"> (</w:t>
      </w:r>
      <w:r w:rsidR="008C574C">
        <w:fldChar w:fldCharType="begin"/>
      </w:r>
      <w:r w:rsidR="008C574C">
        <w:instrText xml:space="preserve"> REF _Ref107235504 \h </w:instrText>
      </w:r>
      <w:r w:rsidR="008C574C">
        <w:fldChar w:fldCharType="separate"/>
      </w:r>
      <w:r w:rsidR="008C574C">
        <w:t xml:space="preserve">Figure </w:t>
      </w:r>
      <w:r w:rsidR="008C574C">
        <w:rPr>
          <w:noProof/>
        </w:rPr>
        <w:t>5</w:t>
      </w:r>
      <w:r w:rsidR="008C574C">
        <w:fldChar w:fldCharType="end"/>
      </w:r>
      <w:r w:rsidR="008C574C">
        <w:t>.a)</w:t>
      </w:r>
      <w:r>
        <w:t>, compared with the map related to the impact of point emissions only (</w:t>
      </w:r>
      <w:r w:rsidR="008C574C">
        <w:fldChar w:fldCharType="begin"/>
      </w:r>
      <w:r w:rsidR="008C574C">
        <w:instrText xml:space="preserve"> REF _Ref107235504 \h </w:instrText>
      </w:r>
      <w:r w:rsidR="008C574C">
        <w:fldChar w:fldCharType="separate"/>
      </w:r>
      <w:r w:rsidR="008C574C">
        <w:t xml:space="preserve">Figure </w:t>
      </w:r>
      <w:r w:rsidR="008C574C">
        <w:rPr>
          <w:noProof/>
        </w:rPr>
        <w:t>5</w:t>
      </w:r>
      <w:r w:rsidR="008C574C">
        <w:fldChar w:fldCharType="end"/>
      </w:r>
      <w:r w:rsidR="008C574C">
        <w:t xml:space="preserve">.b </w:t>
      </w:r>
      <w:r>
        <w:t>show</w:t>
      </w:r>
      <w:r w:rsidR="008C574C">
        <w:t>ing</w:t>
      </w:r>
      <w:r>
        <w:t>, by way of example, the one related to randomization 1)</w:t>
      </w:r>
      <w:r w:rsidR="00F30B89">
        <w:t>. I</w:t>
      </w:r>
      <w:r>
        <w:t>t is clear that the largest contribution to the overall emissions of the plant is attributable to diffuse emissions from the furnaces</w:t>
      </w:r>
      <w:r w:rsidR="007E4B25">
        <w:t>.</w:t>
      </w:r>
    </w:p>
    <w:p w14:paraId="01AEB19E" w14:textId="77777777" w:rsidR="008B09F8" w:rsidRDefault="008B09F8" w:rsidP="00EA037E">
      <w:pPr>
        <w:pStyle w:val="CETBodytext"/>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0"/>
        <w:gridCol w:w="4266"/>
      </w:tblGrid>
      <w:tr w:rsidR="00FE5F36" w14:paraId="5C31D66E" w14:textId="77777777" w:rsidTr="00EE7641">
        <w:trPr>
          <w:trHeight w:val="3378"/>
          <w:jc w:val="center"/>
        </w:trPr>
        <w:tc>
          <w:tcPr>
            <w:tcW w:w="4133" w:type="dxa"/>
          </w:tcPr>
          <w:p w14:paraId="6A43CB2F" w14:textId="79630D17" w:rsidR="008B09F8" w:rsidRDefault="003C6F30" w:rsidP="00E843C7">
            <w:pPr>
              <w:pStyle w:val="CETBodytext"/>
              <w:jc w:val="center"/>
            </w:pPr>
            <w:r>
              <w:rPr>
                <w:noProof/>
                <w:lang w:val="it-IT" w:eastAsia="it-IT"/>
              </w:rPr>
              <w:lastRenderedPageBreak/>
              <w:drawing>
                <wp:inline distT="0" distB="0" distL="0" distR="0" wp14:anchorId="67FA21E4" wp14:editId="38500E2C">
                  <wp:extent cx="2504735" cy="2299214"/>
                  <wp:effectExtent l="0" t="0" r="0" b="635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3"/>
                          <a:stretch>
                            <a:fillRect/>
                          </a:stretch>
                        </pic:blipFill>
                        <pic:spPr>
                          <a:xfrm>
                            <a:off x="0" y="0"/>
                            <a:ext cx="2513735" cy="2307476"/>
                          </a:xfrm>
                          <a:prstGeom prst="rect">
                            <a:avLst/>
                          </a:prstGeom>
                        </pic:spPr>
                      </pic:pic>
                    </a:graphicData>
                  </a:graphic>
                </wp:inline>
              </w:drawing>
            </w:r>
            <w:r w:rsidR="008B09F8">
              <w:rPr>
                <w:noProof/>
                <w:lang w:val="it-IT" w:eastAsia="it-IT"/>
              </w:rPr>
              <mc:AlternateContent>
                <mc:Choice Requires="wps">
                  <w:drawing>
                    <wp:anchor distT="0" distB="0" distL="114300" distR="114300" simplePos="0" relativeHeight="251663360" behindDoc="0" locked="0" layoutInCell="1" allowOverlap="1" wp14:anchorId="7EFC18BE" wp14:editId="345A987A">
                      <wp:simplePos x="0" y="0"/>
                      <wp:positionH relativeFrom="column">
                        <wp:posOffset>95885</wp:posOffset>
                      </wp:positionH>
                      <wp:positionV relativeFrom="paragraph">
                        <wp:posOffset>28575</wp:posOffset>
                      </wp:positionV>
                      <wp:extent cx="330200" cy="311150"/>
                      <wp:effectExtent l="0" t="0" r="0" b="0"/>
                      <wp:wrapNone/>
                      <wp:docPr id="20" name="Casella di testo 20"/>
                      <wp:cNvGraphicFramePr/>
                      <a:graphic xmlns:a="http://schemas.openxmlformats.org/drawingml/2006/main">
                        <a:graphicData uri="http://schemas.microsoft.com/office/word/2010/wordprocessingShape">
                          <wps:wsp>
                            <wps:cNvSpPr txBox="1"/>
                            <wps:spPr>
                              <a:xfrm>
                                <a:off x="0" y="0"/>
                                <a:ext cx="330200" cy="311150"/>
                              </a:xfrm>
                              <a:prstGeom prst="rect">
                                <a:avLst/>
                              </a:prstGeom>
                              <a:noFill/>
                              <a:ln w="6350">
                                <a:noFill/>
                              </a:ln>
                            </wps:spPr>
                            <wps:txbx>
                              <w:txbxContent>
                                <w:p w14:paraId="0E77A3DA" w14:textId="77777777" w:rsidR="008B09F8" w:rsidRDefault="008B09F8" w:rsidP="008B09F8">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FC18BE" id="Casella di testo 20" o:spid="_x0000_s1028" type="#_x0000_t202" style="position:absolute;left:0;text-align:left;margin-left:7.55pt;margin-top:2.25pt;width:26pt;height: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" filled="f" stroked="f" strokeweight=".5pt">
                      <v:textbox>
                        <w:txbxContent>
                          <w:p w14:paraId="0E77A3DA" w14:textId="77777777" w:rsidR="008B09F8" w:rsidRDefault="008B09F8" w:rsidP="008B09F8">
                            <w:r>
                              <w:t>a)</w:t>
                            </w:r>
                          </w:p>
                        </w:txbxContent>
                      </v:textbox>
                    </v:shape>
                  </w:pict>
                </mc:Fallback>
              </mc:AlternateContent>
            </w:r>
          </w:p>
        </w:tc>
        <w:tc>
          <w:tcPr>
            <w:tcW w:w="4134" w:type="dxa"/>
          </w:tcPr>
          <w:p w14:paraId="45D6CAE0" w14:textId="29413091" w:rsidR="008B09F8" w:rsidRDefault="008B09F8" w:rsidP="00E843C7">
            <w:pPr>
              <w:pStyle w:val="CETBodytext"/>
              <w:keepNext/>
              <w:jc w:val="center"/>
            </w:pPr>
            <w:r>
              <w:rPr>
                <w:noProof/>
                <w:lang w:val="it-IT" w:eastAsia="it-IT"/>
              </w:rPr>
              <mc:AlternateContent>
                <mc:Choice Requires="wps">
                  <w:drawing>
                    <wp:anchor distT="0" distB="0" distL="114300" distR="114300" simplePos="0" relativeHeight="251664384" behindDoc="0" locked="0" layoutInCell="1" allowOverlap="1" wp14:anchorId="05AF7A6B" wp14:editId="37F8159E">
                      <wp:simplePos x="0" y="0"/>
                      <wp:positionH relativeFrom="column">
                        <wp:posOffset>103505</wp:posOffset>
                      </wp:positionH>
                      <wp:positionV relativeFrom="paragraph">
                        <wp:posOffset>28575</wp:posOffset>
                      </wp:positionV>
                      <wp:extent cx="330200" cy="311150"/>
                      <wp:effectExtent l="0" t="0" r="0" b="0"/>
                      <wp:wrapNone/>
                      <wp:docPr id="21" name="Casella di testo 21"/>
                      <wp:cNvGraphicFramePr/>
                      <a:graphic xmlns:a="http://schemas.openxmlformats.org/drawingml/2006/main">
                        <a:graphicData uri="http://schemas.microsoft.com/office/word/2010/wordprocessingShape">
                          <wps:wsp>
                            <wps:cNvSpPr txBox="1"/>
                            <wps:spPr>
                              <a:xfrm>
                                <a:off x="0" y="0"/>
                                <a:ext cx="330200" cy="311150"/>
                              </a:xfrm>
                              <a:prstGeom prst="rect">
                                <a:avLst/>
                              </a:prstGeom>
                              <a:noFill/>
                              <a:ln w="6350">
                                <a:noFill/>
                              </a:ln>
                            </wps:spPr>
                            <wps:txbx>
                              <w:txbxContent>
                                <w:p w14:paraId="0226A14F" w14:textId="77777777" w:rsidR="008B09F8" w:rsidRDefault="008B09F8" w:rsidP="008B09F8">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AF7A6B" id="Casella di testo 21" o:spid="_x0000_s1029" type="#_x0000_t202" style="position:absolute;left:0;text-align:left;margin-left:8.15pt;margin-top:2.25pt;width:26pt;height:2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" filled="f" stroked="f" strokeweight=".5pt">
                      <v:textbox>
                        <w:txbxContent>
                          <w:p w14:paraId="0226A14F" w14:textId="77777777" w:rsidR="008B09F8" w:rsidRDefault="008B09F8" w:rsidP="008B09F8">
                            <w:r>
                              <w:t>b)</w:t>
                            </w:r>
                          </w:p>
                        </w:txbxContent>
                      </v:textbox>
                    </v:shape>
                  </w:pict>
                </mc:Fallback>
              </mc:AlternateContent>
            </w:r>
            <w:r w:rsidR="00AE7D73">
              <w:rPr>
                <w:noProof/>
                <w:lang w:val="it-IT" w:eastAsia="it-IT"/>
              </w:rPr>
              <w:drawing>
                <wp:inline distT="0" distB="0" distL="0" distR="0" wp14:anchorId="44F0EBDD" wp14:editId="0CD82644">
                  <wp:extent cx="2563491" cy="2343230"/>
                  <wp:effectExtent l="0" t="0" r="889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a:blip r:embed="rId15"/>
                          <a:stretch>
                            <a:fillRect/>
                          </a:stretch>
                        </pic:blipFill>
                        <pic:spPr>
                          <a:xfrm>
                            <a:off x="0" y="0"/>
                            <a:ext cx="2569697" cy="2348902"/>
                          </a:xfrm>
                          <a:prstGeom prst="rect">
                            <a:avLst/>
                          </a:prstGeom>
                        </pic:spPr>
                      </pic:pic>
                    </a:graphicData>
                  </a:graphic>
                </wp:inline>
              </w:drawing>
            </w:r>
          </w:p>
        </w:tc>
      </w:tr>
    </w:tbl>
    <w:p w14:paraId="65D0C086" w14:textId="45AE804C" w:rsidR="00BA145A" w:rsidRDefault="00BA145A" w:rsidP="007C034C">
      <w:pPr>
        <w:pStyle w:val="CETCaption"/>
        <w:jc w:val="center"/>
      </w:pPr>
      <w:bookmarkStart w:id="6" w:name="_Ref107235504"/>
      <w:r>
        <w:t xml:space="preserve">Figure </w:t>
      </w:r>
      <w:r>
        <w:fldChar w:fldCharType="begin"/>
      </w:r>
      <w:r>
        <w:instrText xml:space="preserve"> SEQ Figure \* ARABIC </w:instrText>
      </w:r>
      <w:r>
        <w:fldChar w:fldCharType="separate"/>
      </w:r>
      <w:r w:rsidR="00BC6808">
        <w:rPr>
          <w:noProof/>
        </w:rPr>
        <w:t>5</w:t>
      </w:r>
      <w:r>
        <w:fldChar w:fldCharType="end"/>
      </w:r>
      <w:bookmarkEnd w:id="6"/>
      <w:r>
        <w:t>. 98</w:t>
      </w:r>
      <w:r w:rsidRPr="00F45E91">
        <w:rPr>
          <w:vertAlign w:val="superscript"/>
        </w:rPr>
        <w:t>th</w:t>
      </w:r>
      <w:r>
        <w:t xml:space="preserve"> percentile impact maps </w:t>
      </w:r>
      <w:r w:rsidR="008A1430">
        <w:t>considering only diffuse emissions</w:t>
      </w:r>
      <w:r>
        <w:t xml:space="preserve"> (a) and</w:t>
      </w:r>
      <w:r w:rsidR="008A1430">
        <w:t xml:space="preserve"> only point emissions</w:t>
      </w:r>
      <w:r>
        <w:t xml:space="preserve"> (b)</w:t>
      </w:r>
    </w:p>
    <w:p w14:paraId="0D026E00" w14:textId="778B26B6" w:rsidR="00EA037E" w:rsidRDefault="007F65BF" w:rsidP="00EA037E">
      <w:pPr>
        <w:pStyle w:val="CETBodytext"/>
      </w:pPr>
      <w:r>
        <w:t>In conclusion, t</w:t>
      </w:r>
      <w:r w:rsidR="004641E3">
        <w:t xml:space="preserve">he randomized dispersion modelling </w:t>
      </w:r>
      <w:r>
        <w:t xml:space="preserve">enabled to consider the unpredictable occurrence of higher odour emissions from the smelting process. However, in this specific case, </w:t>
      </w:r>
      <w:r w:rsidR="00AB1FD9">
        <w:t xml:space="preserve">the </w:t>
      </w:r>
      <w:r w:rsidR="00C84459">
        <w:t xml:space="preserve">odour impact of the plant </w:t>
      </w:r>
      <w:r>
        <w:t>turned out to be mostly related to diffuse emissions, and thus</w:t>
      </w:r>
      <w:r w:rsidR="00D231BB">
        <w:t xml:space="preserve"> it is not </w:t>
      </w:r>
      <w:r>
        <w:t>much affected</w:t>
      </w:r>
      <w:r w:rsidR="001D1C85">
        <w:t xml:space="preserve"> by the distribution of </w:t>
      </w:r>
      <w:r>
        <w:t>the different levels of concentrations at the stacks</w:t>
      </w:r>
      <w:r w:rsidR="001D1C85">
        <w:t xml:space="preserve">. </w:t>
      </w:r>
      <w:r>
        <w:t>T</w:t>
      </w:r>
      <w:r w:rsidR="009E3486">
        <w:t xml:space="preserve">he </w:t>
      </w:r>
      <w:r>
        <w:t>isoplethe corresponding to an odour concentra</w:t>
      </w:r>
      <w:r w:rsidR="00AB1FD9">
        <w:t>ti</w:t>
      </w:r>
      <w:r>
        <w:t>on</w:t>
      </w:r>
      <w:r w:rsidR="009E3486">
        <w:t xml:space="preserve"> of 5 ou</w:t>
      </w:r>
      <w:r w:rsidR="009E3486" w:rsidRPr="009E3486">
        <w:rPr>
          <w:vertAlign w:val="subscript"/>
        </w:rPr>
        <w:t>E</w:t>
      </w:r>
      <w:r w:rsidR="009E3486">
        <w:t>/m</w:t>
      </w:r>
      <w:r w:rsidR="009E3486" w:rsidRPr="009E3486">
        <w:rPr>
          <w:vertAlign w:val="superscript"/>
        </w:rPr>
        <w:t>3</w:t>
      </w:r>
      <w:r w:rsidR="009E3486">
        <w:t xml:space="preserve"> remains mostly enclosed within the plant </w:t>
      </w:r>
      <w:r w:rsidR="0061390D">
        <w:t>fenceline</w:t>
      </w:r>
      <w:r w:rsidR="004C1E61">
        <w:t>, while</w:t>
      </w:r>
      <w:r w:rsidR="00EA037E">
        <w:t xml:space="preserve"> the 98t</w:t>
      </w:r>
      <w:r w:rsidR="00EA037E" w:rsidRPr="004C1E61">
        <w:rPr>
          <w:vertAlign w:val="superscript"/>
        </w:rPr>
        <w:t xml:space="preserve">h </w:t>
      </w:r>
      <w:r w:rsidR="00EA037E">
        <w:t>percentile odo</w:t>
      </w:r>
      <w:r w:rsidR="004C1E61">
        <w:t>u</w:t>
      </w:r>
      <w:r w:rsidR="00EA037E">
        <w:t xml:space="preserve">r concentrations assessed </w:t>
      </w:r>
      <w:r w:rsidR="0061390D">
        <w:t>at</w:t>
      </w:r>
      <w:r w:rsidR="00EA037E">
        <w:t xml:space="preserve"> the receptors representing the first residences </w:t>
      </w:r>
      <w:r w:rsidR="00420275">
        <w:t>near the plant</w:t>
      </w:r>
      <w:r w:rsidR="00EA037E">
        <w:t xml:space="preserve"> slightly above 1 ou</w:t>
      </w:r>
      <w:r w:rsidR="00EA037E" w:rsidRPr="00420275">
        <w:rPr>
          <w:vertAlign w:val="subscript"/>
        </w:rPr>
        <w:t>E</w:t>
      </w:r>
      <w:r w:rsidR="00EA037E">
        <w:t>/m</w:t>
      </w:r>
      <w:r w:rsidR="00EA037E" w:rsidRPr="00420275">
        <w:rPr>
          <w:vertAlign w:val="superscript"/>
        </w:rPr>
        <w:t>3</w:t>
      </w:r>
      <w:r w:rsidR="00EA037E">
        <w:t>, which corresponds by definition to the odo</w:t>
      </w:r>
      <w:r w:rsidR="00583B1D">
        <w:t>u</w:t>
      </w:r>
      <w:r w:rsidR="00EA037E">
        <w:t>r threshold concentration.</w:t>
      </w:r>
    </w:p>
    <w:p w14:paraId="5E51628A" w14:textId="77777777" w:rsidR="00EA037E" w:rsidRDefault="00EA037E" w:rsidP="00EA037E">
      <w:pPr>
        <w:pStyle w:val="CETBodytext"/>
      </w:pPr>
    </w:p>
    <w:p w14:paraId="68D26B83" w14:textId="77777777" w:rsidR="00600535" w:rsidRDefault="00600535" w:rsidP="00600535">
      <w:pPr>
        <w:pStyle w:val="CETHeading1"/>
        <w:rPr>
          <w:lang w:val="en-GB"/>
        </w:rPr>
      </w:pPr>
      <w:r w:rsidRPr="00B57B36">
        <w:rPr>
          <w:lang w:val="en-GB"/>
        </w:rPr>
        <w:t>Conclusions</w:t>
      </w:r>
    </w:p>
    <w:p w14:paraId="1C3C10E1" w14:textId="275D0919" w:rsidR="00403CB8" w:rsidRPr="00403CB8" w:rsidRDefault="002D7150" w:rsidP="00403CB8">
      <w:pPr>
        <w:pStyle w:val="CETBodytext"/>
        <w:rPr>
          <w:lang w:val="en-GB"/>
        </w:rPr>
      </w:pPr>
      <w:r w:rsidRPr="002D7150">
        <w:rPr>
          <w:lang w:val="en-GB"/>
        </w:rPr>
        <w:t xml:space="preserve">This work </w:t>
      </w:r>
      <w:r w:rsidR="0051685D">
        <w:rPr>
          <w:lang w:val="en-GB"/>
        </w:rPr>
        <w:t xml:space="preserve">aims to present a methodology to deal with </w:t>
      </w:r>
      <w:r w:rsidR="00401F99">
        <w:rPr>
          <w:lang w:val="en-GB"/>
        </w:rPr>
        <w:t xml:space="preserve">highly variable emissions in the evaluation of the odour impact of an industrial plant. Specifically, this </w:t>
      </w:r>
      <w:r w:rsidR="00B41DD1">
        <w:rPr>
          <w:lang w:val="en-GB"/>
        </w:rPr>
        <w:t>study focused on the characterization of odour emissions of a</w:t>
      </w:r>
      <w:r w:rsidR="00B41DD1" w:rsidRPr="00B41DD1">
        <w:t xml:space="preserve"> </w:t>
      </w:r>
      <w:r w:rsidR="006705C6">
        <w:t>foundry.</w:t>
      </w:r>
      <w:r w:rsidRPr="002D7150">
        <w:rPr>
          <w:lang w:val="en-GB"/>
        </w:rPr>
        <w:t xml:space="preserve"> </w:t>
      </w:r>
      <w:r w:rsidR="00C8786F">
        <w:rPr>
          <w:lang w:val="en-GB"/>
        </w:rPr>
        <w:t>It</w:t>
      </w:r>
      <w:r w:rsidRPr="002D7150">
        <w:rPr>
          <w:lang w:val="en-GB"/>
        </w:rPr>
        <w:t xml:space="preserve"> </w:t>
      </w:r>
      <w:r w:rsidR="00751AAE">
        <w:rPr>
          <w:lang w:val="en-GB"/>
        </w:rPr>
        <w:t>enabled</w:t>
      </w:r>
      <w:r w:rsidRPr="002D7150">
        <w:rPr>
          <w:lang w:val="en-GB"/>
        </w:rPr>
        <w:t xml:space="preserve"> to quantify the</w:t>
      </w:r>
      <w:r w:rsidR="004C22F7">
        <w:rPr>
          <w:lang w:val="en-GB"/>
        </w:rPr>
        <w:t xml:space="preserve"> </w:t>
      </w:r>
      <w:r w:rsidR="00F96CB2">
        <w:rPr>
          <w:lang w:val="en-GB"/>
        </w:rPr>
        <w:t xml:space="preserve">odour emissions related </w:t>
      </w:r>
      <w:r w:rsidRPr="002D7150">
        <w:rPr>
          <w:lang w:val="en-GB"/>
        </w:rPr>
        <w:t>to the different phases of the foundry process</w:t>
      </w:r>
      <w:r w:rsidR="000A7F70">
        <w:rPr>
          <w:lang w:val="en-GB"/>
        </w:rPr>
        <w:t xml:space="preserve"> </w:t>
      </w:r>
      <w:r w:rsidRPr="002D7150">
        <w:rPr>
          <w:lang w:val="en-GB"/>
        </w:rPr>
        <w:t>in order to obtain a snapshot as</w:t>
      </w:r>
      <w:r w:rsidR="000A02B4">
        <w:rPr>
          <w:lang w:val="en-GB"/>
        </w:rPr>
        <w:t xml:space="preserve"> representative as</w:t>
      </w:r>
      <w:r w:rsidRPr="002D7150">
        <w:rPr>
          <w:lang w:val="en-GB"/>
        </w:rPr>
        <w:t xml:space="preserve"> possible of the </w:t>
      </w:r>
      <w:r w:rsidR="00F96CB2">
        <w:rPr>
          <w:lang w:val="en-GB"/>
        </w:rPr>
        <w:t xml:space="preserve">odour impact </w:t>
      </w:r>
      <w:r w:rsidRPr="002D7150">
        <w:rPr>
          <w:lang w:val="en-GB"/>
        </w:rPr>
        <w:t>of the plant</w:t>
      </w:r>
      <w:r w:rsidR="000A02B4">
        <w:rPr>
          <w:lang w:val="en-GB"/>
        </w:rPr>
        <w:t xml:space="preserve">. For this purpose, a </w:t>
      </w:r>
      <w:r w:rsidR="004F47C3">
        <w:rPr>
          <w:lang w:val="en-GB"/>
        </w:rPr>
        <w:t>randomized dispersion model was developed</w:t>
      </w:r>
      <w:r w:rsidRPr="002D7150">
        <w:rPr>
          <w:lang w:val="en-GB"/>
        </w:rPr>
        <w:t xml:space="preserve"> considering the frequency of the different processes and</w:t>
      </w:r>
      <w:r w:rsidR="004F47C3">
        <w:rPr>
          <w:lang w:val="en-GB"/>
        </w:rPr>
        <w:t xml:space="preserve"> </w:t>
      </w:r>
      <w:r w:rsidRPr="002D7150">
        <w:rPr>
          <w:lang w:val="en-GB"/>
        </w:rPr>
        <w:t>the temporal variability of the emissions themselves.</w:t>
      </w:r>
      <w:r w:rsidR="00822ED1" w:rsidRPr="00822ED1">
        <w:t xml:space="preserve"> </w:t>
      </w:r>
      <w:r w:rsidR="00A204BE">
        <w:t xml:space="preserve">This approach </w:t>
      </w:r>
      <w:r w:rsidR="00822ED1">
        <w:t>allowed</w:t>
      </w:r>
      <w:r w:rsidR="00A204BE">
        <w:t xml:space="preserve"> to </w:t>
      </w:r>
      <w:r w:rsidR="00550EE4">
        <w:t xml:space="preserve">demonstrate that, in this case, the odour impact of the plant is </w:t>
      </w:r>
      <w:r w:rsidR="00751AAE">
        <w:t xml:space="preserve">mostly related to the diffuse emissions from the furnaces, and thus the variability of stack emissions does not play a significant role in the overall odour impact. </w:t>
      </w:r>
    </w:p>
    <w:p w14:paraId="4F1327F8" w14:textId="77777777" w:rsidR="00600535" w:rsidRPr="008E2B69" w:rsidRDefault="00600535" w:rsidP="00600535">
      <w:pPr>
        <w:pStyle w:val="CETReference"/>
        <w:rPr>
          <w:lang w:val="en-US"/>
        </w:rPr>
      </w:pPr>
      <w:r w:rsidRPr="008E2B69">
        <w:rPr>
          <w:lang w:val="en-US"/>
        </w:rPr>
        <w:t>References</w:t>
      </w:r>
    </w:p>
    <w:p w14:paraId="34388959" w14:textId="1BD23AB7" w:rsidR="00757923" w:rsidRDefault="00757923" w:rsidP="00757923">
      <w:pPr>
        <w:pStyle w:val="CETReferencetext"/>
        <w:rPr>
          <w:rFonts w:ascii="Helvetica" w:hAnsi="Helvetica"/>
          <w:color w:val="000000"/>
          <w:spacing w:val="-5"/>
        </w:rPr>
      </w:pPr>
      <w:r w:rsidRPr="00A72D06">
        <w:rPr>
          <w:rFonts w:ascii="Helvetica" w:hAnsi="Helvetica"/>
          <w:color w:val="000000"/>
          <w:spacing w:val="-5"/>
        </w:rPr>
        <w:t xml:space="preserve">Brown M. B., </w:t>
      </w:r>
      <w:r w:rsidR="009B57FD">
        <w:rPr>
          <w:rFonts w:ascii="Helvetica" w:hAnsi="Helvetica"/>
          <w:color w:val="000000"/>
          <w:spacing w:val="-5"/>
        </w:rPr>
        <w:t>and</w:t>
      </w:r>
      <w:r w:rsidRPr="00A72D06">
        <w:rPr>
          <w:rFonts w:ascii="Helvetica" w:hAnsi="Helvetica"/>
          <w:color w:val="000000"/>
          <w:spacing w:val="-5"/>
        </w:rPr>
        <w:t xml:space="preserve"> Forsythe A. B.</w:t>
      </w:r>
      <w:r w:rsidR="009B57FD">
        <w:rPr>
          <w:rFonts w:ascii="Helvetica" w:hAnsi="Helvetica"/>
          <w:color w:val="000000"/>
          <w:spacing w:val="-5"/>
        </w:rPr>
        <w:t xml:space="preserve">, </w:t>
      </w:r>
      <w:r w:rsidRPr="00A72D06">
        <w:rPr>
          <w:rFonts w:ascii="Helvetica" w:hAnsi="Helvetica"/>
          <w:color w:val="000000"/>
          <w:spacing w:val="-5"/>
        </w:rPr>
        <w:t>1974</w:t>
      </w:r>
      <w:r w:rsidR="009B57FD">
        <w:rPr>
          <w:rFonts w:ascii="Helvetica" w:hAnsi="Helvetica"/>
          <w:color w:val="000000"/>
          <w:spacing w:val="-5"/>
        </w:rPr>
        <w:t xml:space="preserve">, </w:t>
      </w:r>
      <w:r w:rsidRPr="00A72D06">
        <w:rPr>
          <w:rFonts w:ascii="Helvetica" w:hAnsi="Helvetica"/>
          <w:color w:val="000000"/>
          <w:spacing w:val="-5"/>
        </w:rPr>
        <w:t>The Anova and Multiple Comparisons for Data with Heterogeneous Variances</w:t>
      </w:r>
      <w:r w:rsidR="005308B3">
        <w:rPr>
          <w:rFonts w:ascii="Helvetica" w:hAnsi="Helvetica"/>
          <w:color w:val="000000"/>
          <w:spacing w:val="-5"/>
        </w:rPr>
        <w:t>,</w:t>
      </w:r>
      <w:r w:rsidRPr="00A72D06">
        <w:rPr>
          <w:rFonts w:ascii="Helvetica" w:hAnsi="Helvetica"/>
          <w:color w:val="000000"/>
          <w:spacing w:val="-5"/>
        </w:rPr>
        <w:t> </w:t>
      </w:r>
      <w:r w:rsidRPr="009B57FD">
        <w:rPr>
          <w:rFonts w:ascii="Helvetica" w:hAnsi="Helvetica"/>
          <w:color w:val="000000"/>
          <w:spacing w:val="-5"/>
        </w:rPr>
        <w:t>Biometrics</w:t>
      </w:r>
      <w:r w:rsidRPr="00A72D06">
        <w:rPr>
          <w:rFonts w:ascii="Helvetica" w:hAnsi="Helvetica"/>
          <w:color w:val="000000"/>
          <w:spacing w:val="-5"/>
        </w:rPr>
        <w:t>, </w:t>
      </w:r>
      <w:r w:rsidRPr="00A72D06">
        <w:rPr>
          <w:rFonts w:ascii="Helvetica" w:hAnsi="Helvetica"/>
          <w:i/>
          <w:iCs/>
          <w:color w:val="000000"/>
          <w:spacing w:val="-5"/>
        </w:rPr>
        <w:t>30</w:t>
      </w:r>
      <w:r w:rsidRPr="00A72D06">
        <w:rPr>
          <w:rFonts w:ascii="Helvetica" w:hAnsi="Helvetica"/>
          <w:color w:val="000000"/>
          <w:spacing w:val="-5"/>
        </w:rPr>
        <w:t>(4), 719–724.</w:t>
      </w:r>
      <w:r>
        <w:rPr>
          <w:rFonts w:ascii="Helvetica" w:hAnsi="Helvetica"/>
          <w:color w:val="000000"/>
          <w:spacing w:val="-5"/>
        </w:rPr>
        <w:t> </w:t>
      </w:r>
    </w:p>
    <w:p w14:paraId="4EA496FB" w14:textId="43E4E166" w:rsidR="00481E33" w:rsidRPr="00F724AD" w:rsidRDefault="00481E33" w:rsidP="00481E33">
      <w:pPr>
        <w:pStyle w:val="CETReferencetext"/>
      </w:pPr>
      <w:r w:rsidRPr="00F724AD">
        <w:t>Kroese Dirk P., Taimre Thomas, and Botev Zdravko I.</w:t>
      </w:r>
      <w:r w:rsidR="005308B3">
        <w:t xml:space="preserve">, </w:t>
      </w:r>
      <w:r w:rsidRPr="00F724AD">
        <w:t>2011</w:t>
      </w:r>
      <w:r w:rsidR="005308B3">
        <w:t>,</w:t>
      </w:r>
      <w:r w:rsidRPr="00F724AD">
        <w:t xml:space="preserve"> Handbook of Monte Carlo Methods</w:t>
      </w:r>
      <w:r w:rsidR="00EB6162">
        <w:t>,</w:t>
      </w:r>
      <w:r w:rsidRPr="00F724AD">
        <w:t xml:space="preserve"> Hoboken, NJ, John Wiley &amp; Sons</w:t>
      </w:r>
      <w:r w:rsidR="00F5463A">
        <w:t>, USA</w:t>
      </w:r>
      <w:r w:rsidRPr="00F724AD">
        <w:t>.</w:t>
      </w:r>
    </w:p>
    <w:p w14:paraId="3AE2075A" w14:textId="160779AC" w:rsidR="00481E33" w:rsidRPr="00F724AD" w:rsidRDefault="00481E33" w:rsidP="00481E33">
      <w:pPr>
        <w:pStyle w:val="CETReferencetext"/>
      </w:pPr>
      <w:r w:rsidRPr="00F724AD">
        <w:t xml:space="preserve">Lotesoriere B.J., Giacomello A.D., Bax C. and Capelli L., 2021, The Italian Pilot Study of the D-noses Project: an Integrated Approach Involving Citizen Science and Olfactometry to Identify Odour Sources in the Area of Castellanza (VA), Chemical Engineering Transactions, 85, 145-150. </w:t>
      </w:r>
    </w:p>
    <w:p w14:paraId="78A841BD" w14:textId="553A5E67" w:rsidR="00481E33" w:rsidRPr="00F724AD" w:rsidRDefault="00481E33" w:rsidP="00481E33">
      <w:pPr>
        <w:pStyle w:val="CETReferencetext"/>
      </w:pPr>
      <w:r w:rsidRPr="00F724AD">
        <w:t>Magalhães J., Guasch B., Arias R., Giardullo P., Elorza A., Navalhas I., Marín-González E., Mazzonetto</w:t>
      </w:r>
      <w:r w:rsidR="00254A2A">
        <w:t xml:space="preserve"> </w:t>
      </w:r>
      <w:r w:rsidR="00DF41B5" w:rsidRPr="00F724AD">
        <w:t>M.,</w:t>
      </w:r>
      <w:r w:rsidRPr="00F724AD">
        <w:t xml:space="preserve"> and Luís C.</w:t>
      </w:r>
      <w:r w:rsidR="00F50B9A">
        <w:t>,</w:t>
      </w:r>
      <w:r w:rsidRPr="00F724AD">
        <w:t xml:space="preserve"> 2022</w:t>
      </w:r>
      <w:r w:rsidR="00F50B9A">
        <w:t>,</w:t>
      </w:r>
      <w:r w:rsidRPr="00F724AD">
        <w:t xml:space="preserve"> A methodological approach to co-design citizen science communication strategies directed to quadruple-helix stakeholders, Journal of Science Communication, 21(4</w:t>
      </w:r>
      <w:r w:rsidR="00474136">
        <w:t>)</w:t>
      </w:r>
      <w:r w:rsidRPr="00F724AD">
        <w:t xml:space="preserve">. </w:t>
      </w:r>
    </w:p>
    <w:p w14:paraId="321553F1" w14:textId="5EA3280F" w:rsidR="00481E33" w:rsidRDefault="00481E33" w:rsidP="00481E33">
      <w:pPr>
        <w:pStyle w:val="CETReferencetext"/>
      </w:pPr>
      <w:r>
        <w:t xml:space="preserve">Morag-Levine N., </w:t>
      </w:r>
      <w:r w:rsidR="00474136">
        <w:t xml:space="preserve">2009, </w:t>
      </w:r>
      <w:r w:rsidRPr="000B1D33">
        <w:t>Chasing the Wind: Regulating Air Pollution in the Common Law State, Princeton University Press</w:t>
      </w:r>
      <w:r w:rsidR="00474136">
        <w:t>,</w:t>
      </w:r>
      <w:r w:rsidR="001F5FD3">
        <w:t xml:space="preserve"> </w:t>
      </w:r>
      <w:r w:rsidR="00A14BAE">
        <w:t>Princeton, USA,</w:t>
      </w:r>
      <w:r w:rsidRPr="000B1D33">
        <w:t xml:space="preserve"> 143-178.</w:t>
      </w:r>
      <w:r w:rsidR="00C268A8">
        <w:t xml:space="preserve"> </w:t>
      </w:r>
    </w:p>
    <w:p w14:paraId="065B0E41" w14:textId="41DE49A2" w:rsidR="00C268A8" w:rsidRDefault="00C268A8" w:rsidP="00481E33">
      <w:pPr>
        <w:pStyle w:val="CETReferencetext"/>
      </w:pPr>
      <w:r w:rsidRPr="00F724AD">
        <w:t xml:space="preserve">Onofrio M., Spataro R. and Botta S., 2020, A review on the use of air dispersion models for odour assessment, International Journal of Environment and Pollution, 67(1), 1-21. </w:t>
      </w:r>
    </w:p>
    <w:p w14:paraId="4022A150" w14:textId="5D62D06D" w:rsidR="00481E33" w:rsidRPr="00F724AD" w:rsidRDefault="00C268A8" w:rsidP="00481E33">
      <w:pPr>
        <w:pStyle w:val="CETReferencetext"/>
      </w:pPr>
      <w:r w:rsidRPr="00F724AD">
        <w:t>Piringer M</w:t>
      </w:r>
      <w:r w:rsidR="001E504F">
        <w:t>.</w:t>
      </w:r>
      <w:r w:rsidRPr="00F724AD">
        <w:t>, Knauder W</w:t>
      </w:r>
      <w:r w:rsidR="001E504F">
        <w:t>.</w:t>
      </w:r>
      <w:r w:rsidRPr="00F724AD">
        <w:t>, Baumann-Stanzer K</w:t>
      </w:r>
      <w:r w:rsidR="001E504F">
        <w:t>.</w:t>
      </w:r>
      <w:r w:rsidRPr="00F724AD">
        <w:t>, Anders I</w:t>
      </w:r>
      <w:r w:rsidR="001E504F">
        <w:t>.</w:t>
      </w:r>
      <w:r w:rsidRPr="00F724AD">
        <w:t>, Andre K</w:t>
      </w:r>
      <w:r w:rsidR="001E504F">
        <w:t>.</w:t>
      </w:r>
      <w:r w:rsidRPr="00F724AD">
        <w:t xml:space="preserve"> and Schauberger G.</w:t>
      </w:r>
      <w:r w:rsidR="001E504F">
        <w:t>,</w:t>
      </w:r>
      <w:r w:rsidRPr="00F724AD">
        <w:t xml:space="preserve"> 2021</w:t>
      </w:r>
      <w:r w:rsidR="001E504F">
        <w:t>,</w:t>
      </w:r>
      <w:r w:rsidRPr="00F724AD">
        <w:t xml:space="preserve"> Odour Impact Assessment in a Changing Climate, Atmosphere, 12(9), 1149. </w:t>
      </w:r>
    </w:p>
    <w:p w14:paraId="4FFCD493" w14:textId="05BC9A5F" w:rsidR="006D1E08" w:rsidRPr="00F724AD" w:rsidRDefault="006D1E08" w:rsidP="006D1E08">
      <w:pPr>
        <w:pStyle w:val="CETReferencetext"/>
      </w:pPr>
      <w:r w:rsidRPr="00407432">
        <w:rPr>
          <w:lang w:val="en-US"/>
        </w:rPr>
        <w:t>Sironi S., Capelli L., Céntola P., Del Rosso</w:t>
      </w:r>
      <w:r w:rsidR="00993C16" w:rsidRPr="00407432">
        <w:rPr>
          <w:lang w:val="en-US"/>
        </w:rPr>
        <w:t>,</w:t>
      </w:r>
      <w:r w:rsidRPr="00407432">
        <w:rPr>
          <w:lang w:val="en-US"/>
        </w:rPr>
        <w:t xml:space="preserve"> R., Pierucci S.</w:t>
      </w:r>
      <w:r w:rsidR="00407432" w:rsidRPr="00407432">
        <w:rPr>
          <w:lang w:val="en-US"/>
        </w:rPr>
        <w:t>,</w:t>
      </w:r>
      <w:r w:rsidR="00863847" w:rsidRPr="00407432">
        <w:rPr>
          <w:lang w:val="en-US"/>
        </w:rPr>
        <w:t xml:space="preserve"> 2010</w:t>
      </w:r>
      <w:r w:rsidR="00407432" w:rsidRPr="00407432">
        <w:rPr>
          <w:lang w:val="en-US"/>
        </w:rPr>
        <w:t>,</w:t>
      </w:r>
      <w:r w:rsidR="00863847" w:rsidRPr="00407432">
        <w:rPr>
          <w:lang w:val="en-US"/>
        </w:rPr>
        <w:t xml:space="preserve"> </w:t>
      </w:r>
      <w:r w:rsidR="00863847" w:rsidRPr="00F724AD">
        <w:t xml:space="preserve">Odour impact assessment by means of dynamic olfactometry, dispersion modelling and social participation, </w:t>
      </w:r>
      <w:r w:rsidRPr="00F724AD">
        <w:t>Atmospheric Environment,</w:t>
      </w:r>
      <w:r w:rsidR="00863847" w:rsidRPr="00F724AD">
        <w:t xml:space="preserve"> </w:t>
      </w:r>
      <w:r w:rsidRPr="00F724AD">
        <w:t>44</w:t>
      </w:r>
      <w:r w:rsidR="00E3669D" w:rsidRPr="00F724AD">
        <w:t>(3),</w:t>
      </w:r>
      <w:r w:rsidR="00863847" w:rsidRPr="00F724AD">
        <w:t xml:space="preserve"> </w:t>
      </w:r>
      <w:r w:rsidRPr="00F724AD">
        <w:t>354-360</w:t>
      </w:r>
      <w:r w:rsidR="00863847" w:rsidRPr="00F724AD">
        <w:t>.</w:t>
      </w:r>
      <w:r w:rsidR="00853CA6" w:rsidRPr="00F724AD">
        <w:t xml:space="preserve"> </w:t>
      </w:r>
    </w:p>
    <w:sectPr w:rsidR="006D1E08" w:rsidRPr="00F724AD"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29D150" w14:textId="77777777" w:rsidR="007C5EDF" w:rsidRDefault="007C5EDF" w:rsidP="004F5E36">
      <w:r>
        <w:separator/>
      </w:r>
    </w:p>
  </w:endnote>
  <w:endnote w:type="continuationSeparator" w:id="0">
    <w:p w14:paraId="0AA30E8E" w14:textId="77777777" w:rsidR="007C5EDF" w:rsidRDefault="007C5EDF"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C9DF63" w14:textId="77777777" w:rsidR="007C5EDF" w:rsidRDefault="007C5EDF" w:rsidP="004F5E36">
      <w:r>
        <w:separator/>
      </w:r>
    </w:p>
  </w:footnote>
  <w:footnote w:type="continuationSeparator" w:id="0">
    <w:p w14:paraId="30E17FD0" w14:textId="77777777" w:rsidR="007C5EDF" w:rsidRDefault="007C5EDF" w:rsidP="004F5E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4BF339B"/>
    <w:multiLevelType w:val="hybridMultilevel"/>
    <w:tmpl w:val="B6F8C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7C13726"/>
    <w:multiLevelType w:val="hybridMultilevel"/>
    <w:tmpl w:val="65DE7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8"/>
  </w:num>
  <w:num w:numId="13">
    <w:abstractNumId w:val="13"/>
  </w:num>
  <w:num w:numId="14">
    <w:abstractNumId w:val="19"/>
  </w:num>
  <w:num w:numId="15">
    <w:abstractNumId w:val="22"/>
  </w:num>
  <w:num w:numId="16">
    <w:abstractNumId w:val="20"/>
  </w:num>
  <w:num w:numId="17">
    <w:abstractNumId w:val="11"/>
  </w:num>
  <w:num w:numId="18">
    <w:abstractNumId w:val="13"/>
    <w:lvlOverride w:ilvl="0">
      <w:startOverride w:val="1"/>
    </w:lvlOverride>
  </w:num>
  <w:num w:numId="19">
    <w:abstractNumId w:val="17"/>
  </w:num>
  <w:num w:numId="20">
    <w:abstractNumId w:val="16"/>
  </w:num>
  <w:num w:numId="21">
    <w:abstractNumId w:val="15"/>
  </w:num>
  <w:num w:numId="22">
    <w:abstractNumId w:val="14"/>
  </w:num>
  <w:num w:numId="23">
    <w:abstractNumId w:val="12"/>
  </w:num>
  <w:num w:numId="2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828"/>
    <w:rsid w:val="00001A52"/>
    <w:rsid w:val="000027C0"/>
    <w:rsid w:val="00003F4B"/>
    <w:rsid w:val="000052FB"/>
    <w:rsid w:val="00006F49"/>
    <w:rsid w:val="000117CB"/>
    <w:rsid w:val="00011815"/>
    <w:rsid w:val="00013E39"/>
    <w:rsid w:val="00013EBA"/>
    <w:rsid w:val="00014EF0"/>
    <w:rsid w:val="000155A7"/>
    <w:rsid w:val="00016549"/>
    <w:rsid w:val="00016D1E"/>
    <w:rsid w:val="00021AE1"/>
    <w:rsid w:val="00021D83"/>
    <w:rsid w:val="00022A90"/>
    <w:rsid w:val="00023DA0"/>
    <w:rsid w:val="000241A1"/>
    <w:rsid w:val="00025DFB"/>
    <w:rsid w:val="0003148D"/>
    <w:rsid w:val="00031CC2"/>
    <w:rsid w:val="00031EEC"/>
    <w:rsid w:val="00032E85"/>
    <w:rsid w:val="00034743"/>
    <w:rsid w:val="00034C2E"/>
    <w:rsid w:val="00035480"/>
    <w:rsid w:val="000357C4"/>
    <w:rsid w:val="000366A7"/>
    <w:rsid w:val="0003716A"/>
    <w:rsid w:val="0003779F"/>
    <w:rsid w:val="00040652"/>
    <w:rsid w:val="00043AFE"/>
    <w:rsid w:val="000462DA"/>
    <w:rsid w:val="00051566"/>
    <w:rsid w:val="00053588"/>
    <w:rsid w:val="00053A81"/>
    <w:rsid w:val="00054184"/>
    <w:rsid w:val="000602AA"/>
    <w:rsid w:val="00061A52"/>
    <w:rsid w:val="00062528"/>
    <w:rsid w:val="00062A9A"/>
    <w:rsid w:val="00063576"/>
    <w:rsid w:val="00063E2A"/>
    <w:rsid w:val="00064C87"/>
    <w:rsid w:val="00064E8C"/>
    <w:rsid w:val="00065058"/>
    <w:rsid w:val="000669D4"/>
    <w:rsid w:val="0007008D"/>
    <w:rsid w:val="00073715"/>
    <w:rsid w:val="0007384C"/>
    <w:rsid w:val="00076FA5"/>
    <w:rsid w:val="0008201A"/>
    <w:rsid w:val="00082142"/>
    <w:rsid w:val="0008223A"/>
    <w:rsid w:val="00082454"/>
    <w:rsid w:val="00086C39"/>
    <w:rsid w:val="000871F3"/>
    <w:rsid w:val="00087270"/>
    <w:rsid w:val="00087A47"/>
    <w:rsid w:val="00087AC2"/>
    <w:rsid w:val="000911D3"/>
    <w:rsid w:val="0009258D"/>
    <w:rsid w:val="00092E0B"/>
    <w:rsid w:val="00092EFA"/>
    <w:rsid w:val="000A02B4"/>
    <w:rsid w:val="000A03B2"/>
    <w:rsid w:val="000A4FC2"/>
    <w:rsid w:val="000A60B0"/>
    <w:rsid w:val="000A6156"/>
    <w:rsid w:val="000A61B2"/>
    <w:rsid w:val="000A771F"/>
    <w:rsid w:val="000A7F70"/>
    <w:rsid w:val="000B041F"/>
    <w:rsid w:val="000B11D9"/>
    <w:rsid w:val="000B1D33"/>
    <w:rsid w:val="000B5612"/>
    <w:rsid w:val="000B6969"/>
    <w:rsid w:val="000C1DF5"/>
    <w:rsid w:val="000C6632"/>
    <w:rsid w:val="000C7BD1"/>
    <w:rsid w:val="000D0268"/>
    <w:rsid w:val="000D0494"/>
    <w:rsid w:val="000D17C9"/>
    <w:rsid w:val="000D25C3"/>
    <w:rsid w:val="000D2CB6"/>
    <w:rsid w:val="000D34BE"/>
    <w:rsid w:val="000D39D2"/>
    <w:rsid w:val="000D54DD"/>
    <w:rsid w:val="000D597A"/>
    <w:rsid w:val="000D636B"/>
    <w:rsid w:val="000E102F"/>
    <w:rsid w:val="000E36F1"/>
    <w:rsid w:val="000E3A73"/>
    <w:rsid w:val="000E3E24"/>
    <w:rsid w:val="000E414A"/>
    <w:rsid w:val="000E60E7"/>
    <w:rsid w:val="000E6E02"/>
    <w:rsid w:val="000E7CBE"/>
    <w:rsid w:val="000E7F15"/>
    <w:rsid w:val="000F093C"/>
    <w:rsid w:val="000F0BFB"/>
    <w:rsid w:val="000F1CE5"/>
    <w:rsid w:val="000F46F5"/>
    <w:rsid w:val="000F49BF"/>
    <w:rsid w:val="000F5AAE"/>
    <w:rsid w:val="000F787B"/>
    <w:rsid w:val="001007FA"/>
    <w:rsid w:val="0010186D"/>
    <w:rsid w:val="00101946"/>
    <w:rsid w:val="00103695"/>
    <w:rsid w:val="00104092"/>
    <w:rsid w:val="00104861"/>
    <w:rsid w:val="00110379"/>
    <w:rsid w:val="00110D3D"/>
    <w:rsid w:val="001171E3"/>
    <w:rsid w:val="0012091F"/>
    <w:rsid w:val="001230F2"/>
    <w:rsid w:val="001235B1"/>
    <w:rsid w:val="0012386E"/>
    <w:rsid w:val="00124FAB"/>
    <w:rsid w:val="0012625D"/>
    <w:rsid w:val="00126BC2"/>
    <w:rsid w:val="001308B6"/>
    <w:rsid w:val="0013121F"/>
    <w:rsid w:val="00131FE6"/>
    <w:rsid w:val="0013263F"/>
    <w:rsid w:val="001331DF"/>
    <w:rsid w:val="00134110"/>
    <w:rsid w:val="00134157"/>
    <w:rsid w:val="00134DE4"/>
    <w:rsid w:val="001350B0"/>
    <w:rsid w:val="001352FA"/>
    <w:rsid w:val="0013642D"/>
    <w:rsid w:val="00140234"/>
    <w:rsid w:val="0014034D"/>
    <w:rsid w:val="00141368"/>
    <w:rsid w:val="00141840"/>
    <w:rsid w:val="00143317"/>
    <w:rsid w:val="0014475A"/>
    <w:rsid w:val="00144D16"/>
    <w:rsid w:val="00144DE6"/>
    <w:rsid w:val="00150E59"/>
    <w:rsid w:val="00152DE3"/>
    <w:rsid w:val="0015387D"/>
    <w:rsid w:val="00155C48"/>
    <w:rsid w:val="001609F6"/>
    <w:rsid w:val="00164BD8"/>
    <w:rsid w:val="00164CF9"/>
    <w:rsid w:val="00164F18"/>
    <w:rsid w:val="00165258"/>
    <w:rsid w:val="00165502"/>
    <w:rsid w:val="001667A6"/>
    <w:rsid w:val="00170465"/>
    <w:rsid w:val="00175473"/>
    <w:rsid w:val="00176EC0"/>
    <w:rsid w:val="001810F7"/>
    <w:rsid w:val="001841D3"/>
    <w:rsid w:val="001847B3"/>
    <w:rsid w:val="00184AD6"/>
    <w:rsid w:val="00185509"/>
    <w:rsid w:val="00186BE0"/>
    <w:rsid w:val="0018771A"/>
    <w:rsid w:val="0018778F"/>
    <w:rsid w:val="001877EC"/>
    <w:rsid w:val="00187ED6"/>
    <w:rsid w:val="00190988"/>
    <w:rsid w:val="001940C8"/>
    <w:rsid w:val="00194675"/>
    <w:rsid w:val="00196B63"/>
    <w:rsid w:val="001A0BEC"/>
    <w:rsid w:val="001A159A"/>
    <w:rsid w:val="001A3965"/>
    <w:rsid w:val="001A4AF7"/>
    <w:rsid w:val="001A6590"/>
    <w:rsid w:val="001A7738"/>
    <w:rsid w:val="001B0349"/>
    <w:rsid w:val="001B1E93"/>
    <w:rsid w:val="001B2684"/>
    <w:rsid w:val="001B28A4"/>
    <w:rsid w:val="001B3A6F"/>
    <w:rsid w:val="001B46D3"/>
    <w:rsid w:val="001B65C1"/>
    <w:rsid w:val="001B6678"/>
    <w:rsid w:val="001B67FE"/>
    <w:rsid w:val="001B7B28"/>
    <w:rsid w:val="001C0217"/>
    <w:rsid w:val="001C0F48"/>
    <w:rsid w:val="001C2979"/>
    <w:rsid w:val="001C2A62"/>
    <w:rsid w:val="001C2E75"/>
    <w:rsid w:val="001C6311"/>
    <w:rsid w:val="001C684B"/>
    <w:rsid w:val="001C6C43"/>
    <w:rsid w:val="001D02FC"/>
    <w:rsid w:val="001D0437"/>
    <w:rsid w:val="001D0CFB"/>
    <w:rsid w:val="001D1C85"/>
    <w:rsid w:val="001D21AF"/>
    <w:rsid w:val="001D4636"/>
    <w:rsid w:val="001D53FC"/>
    <w:rsid w:val="001D5D5E"/>
    <w:rsid w:val="001E0765"/>
    <w:rsid w:val="001E0CE0"/>
    <w:rsid w:val="001E3DEA"/>
    <w:rsid w:val="001E3FC0"/>
    <w:rsid w:val="001E4A13"/>
    <w:rsid w:val="001E504F"/>
    <w:rsid w:val="001E532C"/>
    <w:rsid w:val="001E5D18"/>
    <w:rsid w:val="001E6224"/>
    <w:rsid w:val="001F0A76"/>
    <w:rsid w:val="001F1620"/>
    <w:rsid w:val="001F21C4"/>
    <w:rsid w:val="001F2C40"/>
    <w:rsid w:val="001F32EF"/>
    <w:rsid w:val="001F3DF3"/>
    <w:rsid w:val="001F42A5"/>
    <w:rsid w:val="001F5F49"/>
    <w:rsid w:val="001F5FD3"/>
    <w:rsid w:val="001F7B9D"/>
    <w:rsid w:val="00200709"/>
    <w:rsid w:val="00201C93"/>
    <w:rsid w:val="00203990"/>
    <w:rsid w:val="00205515"/>
    <w:rsid w:val="00207876"/>
    <w:rsid w:val="00207921"/>
    <w:rsid w:val="00207B2C"/>
    <w:rsid w:val="00210B85"/>
    <w:rsid w:val="00211883"/>
    <w:rsid w:val="00213054"/>
    <w:rsid w:val="0021430A"/>
    <w:rsid w:val="002144E3"/>
    <w:rsid w:val="00214AB6"/>
    <w:rsid w:val="00215BE1"/>
    <w:rsid w:val="00217B79"/>
    <w:rsid w:val="0022019D"/>
    <w:rsid w:val="002224B4"/>
    <w:rsid w:val="00223DCC"/>
    <w:rsid w:val="00224957"/>
    <w:rsid w:val="00224B04"/>
    <w:rsid w:val="00225CD8"/>
    <w:rsid w:val="00225CF1"/>
    <w:rsid w:val="00226BDC"/>
    <w:rsid w:val="0023112A"/>
    <w:rsid w:val="00235B4F"/>
    <w:rsid w:val="0024041D"/>
    <w:rsid w:val="00242742"/>
    <w:rsid w:val="00243269"/>
    <w:rsid w:val="00244616"/>
    <w:rsid w:val="002447EF"/>
    <w:rsid w:val="00245085"/>
    <w:rsid w:val="00245D8D"/>
    <w:rsid w:val="0024618F"/>
    <w:rsid w:val="00247979"/>
    <w:rsid w:val="00250EE6"/>
    <w:rsid w:val="002511E5"/>
    <w:rsid w:val="00251550"/>
    <w:rsid w:val="00251C8F"/>
    <w:rsid w:val="002526A3"/>
    <w:rsid w:val="0025300B"/>
    <w:rsid w:val="002531F9"/>
    <w:rsid w:val="00253381"/>
    <w:rsid w:val="00254A2A"/>
    <w:rsid w:val="00254CDF"/>
    <w:rsid w:val="0026227C"/>
    <w:rsid w:val="00262EE1"/>
    <w:rsid w:val="00263461"/>
    <w:rsid w:val="00263B05"/>
    <w:rsid w:val="00264189"/>
    <w:rsid w:val="0026702F"/>
    <w:rsid w:val="0027221A"/>
    <w:rsid w:val="00273AAC"/>
    <w:rsid w:val="00273BD8"/>
    <w:rsid w:val="00273CCA"/>
    <w:rsid w:val="00275B61"/>
    <w:rsid w:val="00277033"/>
    <w:rsid w:val="0027753E"/>
    <w:rsid w:val="00280E71"/>
    <w:rsid w:val="00280FAF"/>
    <w:rsid w:val="00282656"/>
    <w:rsid w:val="00284822"/>
    <w:rsid w:val="00284CA0"/>
    <w:rsid w:val="00287CA7"/>
    <w:rsid w:val="00290447"/>
    <w:rsid w:val="00290EDB"/>
    <w:rsid w:val="00292706"/>
    <w:rsid w:val="002935E4"/>
    <w:rsid w:val="00295ED7"/>
    <w:rsid w:val="002966BE"/>
    <w:rsid w:val="00296B83"/>
    <w:rsid w:val="002A01E9"/>
    <w:rsid w:val="002A03A2"/>
    <w:rsid w:val="002A0AD6"/>
    <w:rsid w:val="002A4385"/>
    <w:rsid w:val="002A4C7D"/>
    <w:rsid w:val="002B1ABC"/>
    <w:rsid w:val="002B1CEF"/>
    <w:rsid w:val="002B2771"/>
    <w:rsid w:val="002B4015"/>
    <w:rsid w:val="002B4623"/>
    <w:rsid w:val="002B4F5D"/>
    <w:rsid w:val="002B5BE6"/>
    <w:rsid w:val="002B6046"/>
    <w:rsid w:val="002B6A34"/>
    <w:rsid w:val="002B72E6"/>
    <w:rsid w:val="002B78CE"/>
    <w:rsid w:val="002B7C3B"/>
    <w:rsid w:val="002C129E"/>
    <w:rsid w:val="002C1A33"/>
    <w:rsid w:val="002C2E41"/>
    <w:rsid w:val="002C2FB6"/>
    <w:rsid w:val="002C3361"/>
    <w:rsid w:val="002C6E1C"/>
    <w:rsid w:val="002C715D"/>
    <w:rsid w:val="002D0159"/>
    <w:rsid w:val="002D0233"/>
    <w:rsid w:val="002D1FA5"/>
    <w:rsid w:val="002D200B"/>
    <w:rsid w:val="002D2A77"/>
    <w:rsid w:val="002D46CF"/>
    <w:rsid w:val="002D4762"/>
    <w:rsid w:val="002D5BC3"/>
    <w:rsid w:val="002D5EAF"/>
    <w:rsid w:val="002D6715"/>
    <w:rsid w:val="002D7150"/>
    <w:rsid w:val="002E05C6"/>
    <w:rsid w:val="002E064D"/>
    <w:rsid w:val="002E1F20"/>
    <w:rsid w:val="002E2790"/>
    <w:rsid w:val="002E3624"/>
    <w:rsid w:val="002E3A5A"/>
    <w:rsid w:val="002E55BD"/>
    <w:rsid w:val="002E5D74"/>
    <w:rsid w:val="002E5E57"/>
    <w:rsid w:val="002E5FA7"/>
    <w:rsid w:val="002E6485"/>
    <w:rsid w:val="002E6D9E"/>
    <w:rsid w:val="002E6FB4"/>
    <w:rsid w:val="002F1D4A"/>
    <w:rsid w:val="002F2E2C"/>
    <w:rsid w:val="002F3309"/>
    <w:rsid w:val="002F3CAD"/>
    <w:rsid w:val="002F48CF"/>
    <w:rsid w:val="002F56E6"/>
    <w:rsid w:val="002F66B9"/>
    <w:rsid w:val="002F7BB8"/>
    <w:rsid w:val="003008CE"/>
    <w:rsid w:val="003009B7"/>
    <w:rsid w:val="00300E56"/>
    <w:rsid w:val="00301166"/>
    <w:rsid w:val="0030469C"/>
    <w:rsid w:val="003055DE"/>
    <w:rsid w:val="003073DB"/>
    <w:rsid w:val="003104FE"/>
    <w:rsid w:val="00312BC0"/>
    <w:rsid w:val="003147D5"/>
    <w:rsid w:val="00314A94"/>
    <w:rsid w:val="00316C65"/>
    <w:rsid w:val="0032001E"/>
    <w:rsid w:val="00320444"/>
    <w:rsid w:val="00321CA6"/>
    <w:rsid w:val="003232BA"/>
    <w:rsid w:val="0032349F"/>
    <w:rsid w:val="00323763"/>
    <w:rsid w:val="00323A3D"/>
    <w:rsid w:val="00323BAE"/>
    <w:rsid w:val="00323C5F"/>
    <w:rsid w:val="003245BA"/>
    <w:rsid w:val="003300DF"/>
    <w:rsid w:val="003328F8"/>
    <w:rsid w:val="00332D84"/>
    <w:rsid w:val="00334C09"/>
    <w:rsid w:val="00336884"/>
    <w:rsid w:val="00336D1D"/>
    <w:rsid w:val="00337240"/>
    <w:rsid w:val="00340296"/>
    <w:rsid w:val="00341F1F"/>
    <w:rsid w:val="00342330"/>
    <w:rsid w:val="00343029"/>
    <w:rsid w:val="00343951"/>
    <w:rsid w:val="00344125"/>
    <w:rsid w:val="00344D11"/>
    <w:rsid w:val="00347713"/>
    <w:rsid w:val="0035012F"/>
    <w:rsid w:val="00351B14"/>
    <w:rsid w:val="00352BCB"/>
    <w:rsid w:val="003539D5"/>
    <w:rsid w:val="00354E3E"/>
    <w:rsid w:val="00354E9C"/>
    <w:rsid w:val="003550A8"/>
    <w:rsid w:val="00361DE9"/>
    <w:rsid w:val="00362BA0"/>
    <w:rsid w:val="00363567"/>
    <w:rsid w:val="00363EF9"/>
    <w:rsid w:val="0036459D"/>
    <w:rsid w:val="00365E6A"/>
    <w:rsid w:val="00371BAE"/>
    <w:rsid w:val="003723D4"/>
    <w:rsid w:val="00373D4C"/>
    <w:rsid w:val="003765FE"/>
    <w:rsid w:val="00380E84"/>
    <w:rsid w:val="00381054"/>
    <w:rsid w:val="00381235"/>
    <w:rsid w:val="003813C8"/>
    <w:rsid w:val="00381905"/>
    <w:rsid w:val="00381D70"/>
    <w:rsid w:val="003828DB"/>
    <w:rsid w:val="003846F2"/>
    <w:rsid w:val="00384CC8"/>
    <w:rsid w:val="00384E6B"/>
    <w:rsid w:val="00384E83"/>
    <w:rsid w:val="00385648"/>
    <w:rsid w:val="003856B3"/>
    <w:rsid w:val="003871FD"/>
    <w:rsid w:val="003916F7"/>
    <w:rsid w:val="00392454"/>
    <w:rsid w:val="00392EF3"/>
    <w:rsid w:val="00394157"/>
    <w:rsid w:val="00396736"/>
    <w:rsid w:val="00397633"/>
    <w:rsid w:val="003A060A"/>
    <w:rsid w:val="003A1C31"/>
    <w:rsid w:val="003A1E30"/>
    <w:rsid w:val="003A23A6"/>
    <w:rsid w:val="003A2829"/>
    <w:rsid w:val="003A4652"/>
    <w:rsid w:val="003A5A1E"/>
    <w:rsid w:val="003A5C39"/>
    <w:rsid w:val="003A6DE3"/>
    <w:rsid w:val="003A77BE"/>
    <w:rsid w:val="003A7D1C"/>
    <w:rsid w:val="003B077B"/>
    <w:rsid w:val="003B1BAC"/>
    <w:rsid w:val="003B1BBE"/>
    <w:rsid w:val="003B1DE4"/>
    <w:rsid w:val="003B2C52"/>
    <w:rsid w:val="003B304B"/>
    <w:rsid w:val="003B3146"/>
    <w:rsid w:val="003B5635"/>
    <w:rsid w:val="003B5F44"/>
    <w:rsid w:val="003B605C"/>
    <w:rsid w:val="003B7BE0"/>
    <w:rsid w:val="003C018A"/>
    <w:rsid w:val="003C3707"/>
    <w:rsid w:val="003C3890"/>
    <w:rsid w:val="003C4042"/>
    <w:rsid w:val="003C6F30"/>
    <w:rsid w:val="003C7269"/>
    <w:rsid w:val="003C7DAA"/>
    <w:rsid w:val="003C7EEC"/>
    <w:rsid w:val="003D07B4"/>
    <w:rsid w:val="003D3699"/>
    <w:rsid w:val="003D493F"/>
    <w:rsid w:val="003D6F49"/>
    <w:rsid w:val="003E0957"/>
    <w:rsid w:val="003E0F59"/>
    <w:rsid w:val="003E11D6"/>
    <w:rsid w:val="003E16D8"/>
    <w:rsid w:val="003E233C"/>
    <w:rsid w:val="003E5640"/>
    <w:rsid w:val="003E7B93"/>
    <w:rsid w:val="003F015E"/>
    <w:rsid w:val="003F090B"/>
    <w:rsid w:val="003F1B78"/>
    <w:rsid w:val="003F388A"/>
    <w:rsid w:val="003F45D7"/>
    <w:rsid w:val="003F4702"/>
    <w:rsid w:val="003F4ADE"/>
    <w:rsid w:val="003F5A0B"/>
    <w:rsid w:val="003F7F56"/>
    <w:rsid w:val="00400414"/>
    <w:rsid w:val="00401F66"/>
    <w:rsid w:val="00401F99"/>
    <w:rsid w:val="00402411"/>
    <w:rsid w:val="00403CB8"/>
    <w:rsid w:val="00407432"/>
    <w:rsid w:val="00410321"/>
    <w:rsid w:val="00410D00"/>
    <w:rsid w:val="00413AA9"/>
    <w:rsid w:val="0041446B"/>
    <w:rsid w:val="00416EB8"/>
    <w:rsid w:val="004176DB"/>
    <w:rsid w:val="0041798E"/>
    <w:rsid w:val="00420275"/>
    <w:rsid w:val="004224C1"/>
    <w:rsid w:val="004233F9"/>
    <w:rsid w:val="00423DF7"/>
    <w:rsid w:val="004242C0"/>
    <w:rsid w:val="00425E61"/>
    <w:rsid w:val="0042629A"/>
    <w:rsid w:val="0043193A"/>
    <w:rsid w:val="004330E4"/>
    <w:rsid w:val="00433693"/>
    <w:rsid w:val="00435A75"/>
    <w:rsid w:val="0044071E"/>
    <w:rsid w:val="00441924"/>
    <w:rsid w:val="00441B65"/>
    <w:rsid w:val="0044329C"/>
    <w:rsid w:val="004439C4"/>
    <w:rsid w:val="00445154"/>
    <w:rsid w:val="00445FE4"/>
    <w:rsid w:val="00450145"/>
    <w:rsid w:val="00452149"/>
    <w:rsid w:val="00452462"/>
    <w:rsid w:val="00453E24"/>
    <w:rsid w:val="004545B2"/>
    <w:rsid w:val="0045606F"/>
    <w:rsid w:val="0045654D"/>
    <w:rsid w:val="00456F2A"/>
    <w:rsid w:val="00457456"/>
    <w:rsid w:val="004577FE"/>
    <w:rsid w:val="00457B9C"/>
    <w:rsid w:val="00460348"/>
    <w:rsid w:val="0046164A"/>
    <w:rsid w:val="00461F70"/>
    <w:rsid w:val="004628D2"/>
    <w:rsid w:val="00462BFE"/>
    <w:rsid w:val="00462DCD"/>
    <w:rsid w:val="004641E3"/>
    <w:rsid w:val="004648AD"/>
    <w:rsid w:val="0046526D"/>
    <w:rsid w:val="00465557"/>
    <w:rsid w:val="00465DED"/>
    <w:rsid w:val="004677EE"/>
    <w:rsid w:val="004703A9"/>
    <w:rsid w:val="00470E0A"/>
    <w:rsid w:val="00472FAD"/>
    <w:rsid w:val="00474136"/>
    <w:rsid w:val="0047546D"/>
    <w:rsid w:val="00475A3B"/>
    <w:rsid w:val="00475EC3"/>
    <w:rsid w:val="004760DE"/>
    <w:rsid w:val="004763D7"/>
    <w:rsid w:val="00477B78"/>
    <w:rsid w:val="00477BAF"/>
    <w:rsid w:val="00481E33"/>
    <w:rsid w:val="0048357E"/>
    <w:rsid w:val="00485B92"/>
    <w:rsid w:val="00485C9F"/>
    <w:rsid w:val="00490BC2"/>
    <w:rsid w:val="00494421"/>
    <w:rsid w:val="004947AE"/>
    <w:rsid w:val="004A004E"/>
    <w:rsid w:val="004A24CF"/>
    <w:rsid w:val="004A2AB3"/>
    <w:rsid w:val="004A402F"/>
    <w:rsid w:val="004A4455"/>
    <w:rsid w:val="004A4949"/>
    <w:rsid w:val="004A534F"/>
    <w:rsid w:val="004A6E8C"/>
    <w:rsid w:val="004A7C67"/>
    <w:rsid w:val="004B1F4C"/>
    <w:rsid w:val="004B3E89"/>
    <w:rsid w:val="004B478D"/>
    <w:rsid w:val="004B732C"/>
    <w:rsid w:val="004B7898"/>
    <w:rsid w:val="004B7B42"/>
    <w:rsid w:val="004C00C7"/>
    <w:rsid w:val="004C0EFC"/>
    <w:rsid w:val="004C1787"/>
    <w:rsid w:val="004C1B47"/>
    <w:rsid w:val="004C1E61"/>
    <w:rsid w:val="004C22F7"/>
    <w:rsid w:val="004C3D1D"/>
    <w:rsid w:val="004C3D84"/>
    <w:rsid w:val="004C42BA"/>
    <w:rsid w:val="004C5B9D"/>
    <w:rsid w:val="004C5FBF"/>
    <w:rsid w:val="004C751D"/>
    <w:rsid w:val="004C7913"/>
    <w:rsid w:val="004C7FFD"/>
    <w:rsid w:val="004D0157"/>
    <w:rsid w:val="004D13A1"/>
    <w:rsid w:val="004D62C0"/>
    <w:rsid w:val="004D6F2A"/>
    <w:rsid w:val="004E0AFC"/>
    <w:rsid w:val="004E4DD6"/>
    <w:rsid w:val="004E520C"/>
    <w:rsid w:val="004E6385"/>
    <w:rsid w:val="004F038A"/>
    <w:rsid w:val="004F23F3"/>
    <w:rsid w:val="004F39C3"/>
    <w:rsid w:val="004F47C3"/>
    <w:rsid w:val="004F5E36"/>
    <w:rsid w:val="004F5FD3"/>
    <w:rsid w:val="004F65ED"/>
    <w:rsid w:val="0050028C"/>
    <w:rsid w:val="00500A8F"/>
    <w:rsid w:val="0050247D"/>
    <w:rsid w:val="00504058"/>
    <w:rsid w:val="0050571F"/>
    <w:rsid w:val="00506C43"/>
    <w:rsid w:val="00507B47"/>
    <w:rsid w:val="00507BEF"/>
    <w:rsid w:val="00507CC9"/>
    <w:rsid w:val="005119A5"/>
    <w:rsid w:val="00512C42"/>
    <w:rsid w:val="0051685D"/>
    <w:rsid w:val="00517F31"/>
    <w:rsid w:val="005202A1"/>
    <w:rsid w:val="005246AF"/>
    <w:rsid w:val="00526AF8"/>
    <w:rsid w:val="005278B7"/>
    <w:rsid w:val="005308B3"/>
    <w:rsid w:val="00531142"/>
    <w:rsid w:val="00532016"/>
    <w:rsid w:val="00534045"/>
    <w:rsid w:val="005346C8"/>
    <w:rsid w:val="005357AB"/>
    <w:rsid w:val="005360D7"/>
    <w:rsid w:val="00536746"/>
    <w:rsid w:val="005374D0"/>
    <w:rsid w:val="00540BF1"/>
    <w:rsid w:val="00541661"/>
    <w:rsid w:val="0054219A"/>
    <w:rsid w:val="00543E7D"/>
    <w:rsid w:val="00544FBA"/>
    <w:rsid w:val="005457CF"/>
    <w:rsid w:val="0054793D"/>
    <w:rsid w:val="00547A68"/>
    <w:rsid w:val="00547D85"/>
    <w:rsid w:val="00550EE4"/>
    <w:rsid w:val="00552F2C"/>
    <w:rsid w:val="005531C9"/>
    <w:rsid w:val="00555CEC"/>
    <w:rsid w:val="0055702C"/>
    <w:rsid w:val="005608A7"/>
    <w:rsid w:val="00561752"/>
    <w:rsid w:val="00565800"/>
    <w:rsid w:val="00565F56"/>
    <w:rsid w:val="00567EBC"/>
    <w:rsid w:val="00570C43"/>
    <w:rsid w:val="00574949"/>
    <w:rsid w:val="00575791"/>
    <w:rsid w:val="00576BEE"/>
    <w:rsid w:val="00576E2E"/>
    <w:rsid w:val="00577839"/>
    <w:rsid w:val="005822FD"/>
    <w:rsid w:val="00583503"/>
    <w:rsid w:val="0058356C"/>
    <w:rsid w:val="00583B1D"/>
    <w:rsid w:val="00586020"/>
    <w:rsid w:val="00587BCD"/>
    <w:rsid w:val="00591074"/>
    <w:rsid w:val="0059143B"/>
    <w:rsid w:val="0059376D"/>
    <w:rsid w:val="00594387"/>
    <w:rsid w:val="005979DC"/>
    <w:rsid w:val="005A22F1"/>
    <w:rsid w:val="005A2847"/>
    <w:rsid w:val="005A44DD"/>
    <w:rsid w:val="005A5DF6"/>
    <w:rsid w:val="005B01EB"/>
    <w:rsid w:val="005B0535"/>
    <w:rsid w:val="005B1F0F"/>
    <w:rsid w:val="005B2110"/>
    <w:rsid w:val="005B3983"/>
    <w:rsid w:val="005B47F8"/>
    <w:rsid w:val="005B61E6"/>
    <w:rsid w:val="005B75B2"/>
    <w:rsid w:val="005B775E"/>
    <w:rsid w:val="005C1146"/>
    <w:rsid w:val="005C15B4"/>
    <w:rsid w:val="005C1929"/>
    <w:rsid w:val="005C2F0C"/>
    <w:rsid w:val="005C77E1"/>
    <w:rsid w:val="005D0F23"/>
    <w:rsid w:val="005D3CF8"/>
    <w:rsid w:val="005D46C4"/>
    <w:rsid w:val="005D4B18"/>
    <w:rsid w:val="005D51AC"/>
    <w:rsid w:val="005D5BC2"/>
    <w:rsid w:val="005D668A"/>
    <w:rsid w:val="005D6A2F"/>
    <w:rsid w:val="005E0D69"/>
    <w:rsid w:val="005E1A82"/>
    <w:rsid w:val="005E2659"/>
    <w:rsid w:val="005E5D61"/>
    <w:rsid w:val="005E7355"/>
    <w:rsid w:val="005E794C"/>
    <w:rsid w:val="005F05E2"/>
    <w:rsid w:val="005F0A28"/>
    <w:rsid w:val="005F0E5E"/>
    <w:rsid w:val="005F16CA"/>
    <w:rsid w:val="005F3865"/>
    <w:rsid w:val="005F3ED8"/>
    <w:rsid w:val="0060047E"/>
    <w:rsid w:val="00600535"/>
    <w:rsid w:val="00602355"/>
    <w:rsid w:val="0060506E"/>
    <w:rsid w:val="00606108"/>
    <w:rsid w:val="00606D4B"/>
    <w:rsid w:val="00610CD6"/>
    <w:rsid w:val="0061101A"/>
    <w:rsid w:val="0061244E"/>
    <w:rsid w:val="00612DBA"/>
    <w:rsid w:val="006134FE"/>
    <w:rsid w:val="0061390D"/>
    <w:rsid w:val="00620DEE"/>
    <w:rsid w:val="00621B8C"/>
    <w:rsid w:val="00621F92"/>
    <w:rsid w:val="0062280A"/>
    <w:rsid w:val="00622A9C"/>
    <w:rsid w:val="00624D8F"/>
    <w:rsid w:val="00625639"/>
    <w:rsid w:val="0062591E"/>
    <w:rsid w:val="00631B33"/>
    <w:rsid w:val="006332E0"/>
    <w:rsid w:val="0064094D"/>
    <w:rsid w:val="0064184D"/>
    <w:rsid w:val="006420ED"/>
    <w:rsid w:val="006422CC"/>
    <w:rsid w:val="00642C7B"/>
    <w:rsid w:val="006460D9"/>
    <w:rsid w:val="00646F1A"/>
    <w:rsid w:val="00647074"/>
    <w:rsid w:val="006535AE"/>
    <w:rsid w:val="00660743"/>
    <w:rsid w:val="00660E3E"/>
    <w:rsid w:val="006622A3"/>
    <w:rsid w:val="00662494"/>
    <w:rsid w:val="00662E74"/>
    <w:rsid w:val="0066321B"/>
    <w:rsid w:val="00665CBB"/>
    <w:rsid w:val="006663B8"/>
    <w:rsid w:val="0066649A"/>
    <w:rsid w:val="006705C6"/>
    <w:rsid w:val="006719A4"/>
    <w:rsid w:val="00673F71"/>
    <w:rsid w:val="00676B74"/>
    <w:rsid w:val="00677474"/>
    <w:rsid w:val="00677BA9"/>
    <w:rsid w:val="00680C23"/>
    <w:rsid w:val="0068553D"/>
    <w:rsid w:val="00685B5D"/>
    <w:rsid w:val="00686871"/>
    <w:rsid w:val="00686D2C"/>
    <w:rsid w:val="00687408"/>
    <w:rsid w:val="006914E1"/>
    <w:rsid w:val="00692ECD"/>
    <w:rsid w:val="00693766"/>
    <w:rsid w:val="00696079"/>
    <w:rsid w:val="00696871"/>
    <w:rsid w:val="00697CC5"/>
    <w:rsid w:val="006A1B0C"/>
    <w:rsid w:val="006A1C79"/>
    <w:rsid w:val="006A225D"/>
    <w:rsid w:val="006A2A6B"/>
    <w:rsid w:val="006A3281"/>
    <w:rsid w:val="006B2907"/>
    <w:rsid w:val="006B4888"/>
    <w:rsid w:val="006C093E"/>
    <w:rsid w:val="006C117D"/>
    <w:rsid w:val="006C2479"/>
    <w:rsid w:val="006C2E45"/>
    <w:rsid w:val="006C359C"/>
    <w:rsid w:val="006C36A4"/>
    <w:rsid w:val="006C3EB1"/>
    <w:rsid w:val="006C5579"/>
    <w:rsid w:val="006C74D9"/>
    <w:rsid w:val="006D12E1"/>
    <w:rsid w:val="006D1E08"/>
    <w:rsid w:val="006D461B"/>
    <w:rsid w:val="006D4697"/>
    <w:rsid w:val="006D62A4"/>
    <w:rsid w:val="006D6BE5"/>
    <w:rsid w:val="006D6E8B"/>
    <w:rsid w:val="006D70DB"/>
    <w:rsid w:val="006D734E"/>
    <w:rsid w:val="006E060E"/>
    <w:rsid w:val="006E0805"/>
    <w:rsid w:val="006E15D3"/>
    <w:rsid w:val="006E2650"/>
    <w:rsid w:val="006E3DDE"/>
    <w:rsid w:val="006E4B9A"/>
    <w:rsid w:val="006E695A"/>
    <w:rsid w:val="006E737D"/>
    <w:rsid w:val="006E7E2A"/>
    <w:rsid w:val="006F687B"/>
    <w:rsid w:val="006F7D45"/>
    <w:rsid w:val="006F7E8A"/>
    <w:rsid w:val="0070276A"/>
    <w:rsid w:val="00703377"/>
    <w:rsid w:val="00703A77"/>
    <w:rsid w:val="00703FD4"/>
    <w:rsid w:val="007047B7"/>
    <w:rsid w:val="00704A79"/>
    <w:rsid w:val="00705B41"/>
    <w:rsid w:val="007065E6"/>
    <w:rsid w:val="0070782D"/>
    <w:rsid w:val="00712352"/>
    <w:rsid w:val="00713334"/>
    <w:rsid w:val="00713973"/>
    <w:rsid w:val="0071585C"/>
    <w:rsid w:val="007168F3"/>
    <w:rsid w:val="00720077"/>
    <w:rsid w:val="00720A24"/>
    <w:rsid w:val="00721F85"/>
    <w:rsid w:val="007233EC"/>
    <w:rsid w:val="00724115"/>
    <w:rsid w:val="00724FFE"/>
    <w:rsid w:val="00726592"/>
    <w:rsid w:val="00726BA7"/>
    <w:rsid w:val="00726CDE"/>
    <w:rsid w:val="0072725F"/>
    <w:rsid w:val="0072795C"/>
    <w:rsid w:val="00730C83"/>
    <w:rsid w:val="00732386"/>
    <w:rsid w:val="0073260D"/>
    <w:rsid w:val="00732AED"/>
    <w:rsid w:val="00732C1D"/>
    <w:rsid w:val="0073514D"/>
    <w:rsid w:val="007362FA"/>
    <w:rsid w:val="00742020"/>
    <w:rsid w:val="00742BF8"/>
    <w:rsid w:val="0074424F"/>
    <w:rsid w:val="007447B8"/>
    <w:rsid w:val="007447F3"/>
    <w:rsid w:val="00744A41"/>
    <w:rsid w:val="00745EC4"/>
    <w:rsid w:val="007473A8"/>
    <w:rsid w:val="007501D5"/>
    <w:rsid w:val="00751AAE"/>
    <w:rsid w:val="00751F1A"/>
    <w:rsid w:val="00752191"/>
    <w:rsid w:val="00752D2B"/>
    <w:rsid w:val="007545BE"/>
    <w:rsid w:val="0075499F"/>
    <w:rsid w:val="00755D84"/>
    <w:rsid w:val="00756069"/>
    <w:rsid w:val="00757923"/>
    <w:rsid w:val="00761E78"/>
    <w:rsid w:val="00763008"/>
    <w:rsid w:val="00763E80"/>
    <w:rsid w:val="00764021"/>
    <w:rsid w:val="007642D2"/>
    <w:rsid w:val="00765EFF"/>
    <w:rsid w:val="007661C8"/>
    <w:rsid w:val="0077098D"/>
    <w:rsid w:val="00772358"/>
    <w:rsid w:val="007741C9"/>
    <w:rsid w:val="00774E36"/>
    <w:rsid w:val="00775B37"/>
    <w:rsid w:val="00783FB4"/>
    <w:rsid w:val="00784B21"/>
    <w:rsid w:val="007850DF"/>
    <w:rsid w:val="00786C0B"/>
    <w:rsid w:val="00790281"/>
    <w:rsid w:val="007906E2"/>
    <w:rsid w:val="0079160C"/>
    <w:rsid w:val="007931FA"/>
    <w:rsid w:val="0079466E"/>
    <w:rsid w:val="007954B4"/>
    <w:rsid w:val="007960EF"/>
    <w:rsid w:val="00797C97"/>
    <w:rsid w:val="007A061D"/>
    <w:rsid w:val="007A3717"/>
    <w:rsid w:val="007A3877"/>
    <w:rsid w:val="007A4861"/>
    <w:rsid w:val="007A5757"/>
    <w:rsid w:val="007A6B2D"/>
    <w:rsid w:val="007A7BAF"/>
    <w:rsid w:val="007A7BBA"/>
    <w:rsid w:val="007A7CFC"/>
    <w:rsid w:val="007B0C50"/>
    <w:rsid w:val="007B13EC"/>
    <w:rsid w:val="007B1483"/>
    <w:rsid w:val="007B3858"/>
    <w:rsid w:val="007B3F07"/>
    <w:rsid w:val="007B48F9"/>
    <w:rsid w:val="007B4BCB"/>
    <w:rsid w:val="007B630F"/>
    <w:rsid w:val="007C034C"/>
    <w:rsid w:val="007C14B4"/>
    <w:rsid w:val="007C1A43"/>
    <w:rsid w:val="007C5EDF"/>
    <w:rsid w:val="007C66F4"/>
    <w:rsid w:val="007C71C2"/>
    <w:rsid w:val="007E1B56"/>
    <w:rsid w:val="007E1D80"/>
    <w:rsid w:val="007E4B25"/>
    <w:rsid w:val="007E50F1"/>
    <w:rsid w:val="007E729E"/>
    <w:rsid w:val="007E7DA6"/>
    <w:rsid w:val="007F12DF"/>
    <w:rsid w:val="007F1301"/>
    <w:rsid w:val="007F1736"/>
    <w:rsid w:val="007F17C4"/>
    <w:rsid w:val="007F1A85"/>
    <w:rsid w:val="007F4B54"/>
    <w:rsid w:val="007F4B58"/>
    <w:rsid w:val="007F65BF"/>
    <w:rsid w:val="0080013E"/>
    <w:rsid w:val="0080047C"/>
    <w:rsid w:val="008027BF"/>
    <w:rsid w:val="00802F18"/>
    <w:rsid w:val="00803112"/>
    <w:rsid w:val="008108B9"/>
    <w:rsid w:val="00812AE5"/>
    <w:rsid w:val="00813288"/>
    <w:rsid w:val="00815717"/>
    <w:rsid w:val="008168FC"/>
    <w:rsid w:val="0081723C"/>
    <w:rsid w:val="00822777"/>
    <w:rsid w:val="00822ED1"/>
    <w:rsid w:val="008230FD"/>
    <w:rsid w:val="00825765"/>
    <w:rsid w:val="00826A55"/>
    <w:rsid w:val="00830996"/>
    <w:rsid w:val="00830DED"/>
    <w:rsid w:val="0083429C"/>
    <w:rsid w:val="008345F1"/>
    <w:rsid w:val="008357C0"/>
    <w:rsid w:val="00840035"/>
    <w:rsid w:val="00843073"/>
    <w:rsid w:val="00844E65"/>
    <w:rsid w:val="008466DD"/>
    <w:rsid w:val="00846F19"/>
    <w:rsid w:val="00847FC3"/>
    <w:rsid w:val="0085060D"/>
    <w:rsid w:val="008527E0"/>
    <w:rsid w:val="008529FE"/>
    <w:rsid w:val="00853CA6"/>
    <w:rsid w:val="008540E6"/>
    <w:rsid w:val="00854561"/>
    <w:rsid w:val="00854D24"/>
    <w:rsid w:val="0085532B"/>
    <w:rsid w:val="008553B8"/>
    <w:rsid w:val="008601CE"/>
    <w:rsid w:val="00863847"/>
    <w:rsid w:val="00863AF7"/>
    <w:rsid w:val="00865B07"/>
    <w:rsid w:val="00865EDA"/>
    <w:rsid w:val="008667EA"/>
    <w:rsid w:val="0086788D"/>
    <w:rsid w:val="00870689"/>
    <w:rsid w:val="00871633"/>
    <w:rsid w:val="0087177D"/>
    <w:rsid w:val="00871C1B"/>
    <w:rsid w:val="008743EC"/>
    <w:rsid w:val="0087637F"/>
    <w:rsid w:val="008806C8"/>
    <w:rsid w:val="008809EF"/>
    <w:rsid w:val="00880B1E"/>
    <w:rsid w:val="00881BB3"/>
    <w:rsid w:val="00882FCD"/>
    <w:rsid w:val="0088349D"/>
    <w:rsid w:val="008835F8"/>
    <w:rsid w:val="00883EB5"/>
    <w:rsid w:val="0088400E"/>
    <w:rsid w:val="008848D8"/>
    <w:rsid w:val="00887FCE"/>
    <w:rsid w:val="00892747"/>
    <w:rsid w:val="00892AD5"/>
    <w:rsid w:val="0089512E"/>
    <w:rsid w:val="008958DE"/>
    <w:rsid w:val="008965BB"/>
    <w:rsid w:val="00897C1D"/>
    <w:rsid w:val="008A084B"/>
    <w:rsid w:val="008A1430"/>
    <w:rsid w:val="008A1512"/>
    <w:rsid w:val="008A1FC9"/>
    <w:rsid w:val="008A2328"/>
    <w:rsid w:val="008A2EDD"/>
    <w:rsid w:val="008A4145"/>
    <w:rsid w:val="008A60A4"/>
    <w:rsid w:val="008B09F8"/>
    <w:rsid w:val="008B4141"/>
    <w:rsid w:val="008C216E"/>
    <w:rsid w:val="008C3540"/>
    <w:rsid w:val="008C574C"/>
    <w:rsid w:val="008C6B62"/>
    <w:rsid w:val="008C6C2F"/>
    <w:rsid w:val="008D15A3"/>
    <w:rsid w:val="008D32B9"/>
    <w:rsid w:val="008D3D7C"/>
    <w:rsid w:val="008D433B"/>
    <w:rsid w:val="008D4A16"/>
    <w:rsid w:val="008D5BD2"/>
    <w:rsid w:val="008E1246"/>
    <w:rsid w:val="008E1F1A"/>
    <w:rsid w:val="008E28F0"/>
    <w:rsid w:val="008E2B69"/>
    <w:rsid w:val="008E2DD4"/>
    <w:rsid w:val="008E3A07"/>
    <w:rsid w:val="008E41BA"/>
    <w:rsid w:val="008E41ED"/>
    <w:rsid w:val="008E5331"/>
    <w:rsid w:val="008E566E"/>
    <w:rsid w:val="008E59B0"/>
    <w:rsid w:val="008E6F60"/>
    <w:rsid w:val="008F10E8"/>
    <w:rsid w:val="008F19F3"/>
    <w:rsid w:val="008F6377"/>
    <w:rsid w:val="008F6F0D"/>
    <w:rsid w:val="008F7CD9"/>
    <w:rsid w:val="008F7E69"/>
    <w:rsid w:val="0090161A"/>
    <w:rsid w:val="00901EB6"/>
    <w:rsid w:val="00903DDD"/>
    <w:rsid w:val="009044B5"/>
    <w:rsid w:val="00904C62"/>
    <w:rsid w:val="009067DD"/>
    <w:rsid w:val="00907921"/>
    <w:rsid w:val="00907A9F"/>
    <w:rsid w:val="00907C0B"/>
    <w:rsid w:val="00910BC1"/>
    <w:rsid w:val="00912A31"/>
    <w:rsid w:val="00917191"/>
    <w:rsid w:val="00922BA8"/>
    <w:rsid w:val="0092356F"/>
    <w:rsid w:val="00924DAC"/>
    <w:rsid w:val="00925D8F"/>
    <w:rsid w:val="0092639B"/>
    <w:rsid w:val="00926856"/>
    <w:rsid w:val="00926FA4"/>
    <w:rsid w:val="00927058"/>
    <w:rsid w:val="00930196"/>
    <w:rsid w:val="009332C5"/>
    <w:rsid w:val="009338A1"/>
    <w:rsid w:val="00933C36"/>
    <w:rsid w:val="0093552F"/>
    <w:rsid w:val="00935932"/>
    <w:rsid w:val="00936C11"/>
    <w:rsid w:val="0094191D"/>
    <w:rsid w:val="00942750"/>
    <w:rsid w:val="009437F3"/>
    <w:rsid w:val="00943B24"/>
    <w:rsid w:val="0094406C"/>
    <w:rsid w:val="0094430D"/>
    <w:rsid w:val="009450CE"/>
    <w:rsid w:val="00945CBD"/>
    <w:rsid w:val="00947179"/>
    <w:rsid w:val="00947C16"/>
    <w:rsid w:val="0095164B"/>
    <w:rsid w:val="009517EE"/>
    <w:rsid w:val="0095223A"/>
    <w:rsid w:val="00954090"/>
    <w:rsid w:val="009550B8"/>
    <w:rsid w:val="009573E7"/>
    <w:rsid w:val="0096020A"/>
    <w:rsid w:val="0096109E"/>
    <w:rsid w:val="00962147"/>
    <w:rsid w:val="00963409"/>
    <w:rsid w:val="00963E05"/>
    <w:rsid w:val="00964A45"/>
    <w:rsid w:val="009662E5"/>
    <w:rsid w:val="00967843"/>
    <w:rsid w:val="00967C91"/>
    <w:rsid w:val="00967D54"/>
    <w:rsid w:val="00971028"/>
    <w:rsid w:val="0097226D"/>
    <w:rsid w:val="00973C47"/>
    <w:rsid w:val="009746C8"/>
    <w:rsid w:val="00975EE0"/>
    <w:rsid w:val="00982FD1"/>
    <w:rsid w:val="0098716D"/>
    <w:rsid w:val="00991815"/>
    <w:rsid w:val="00993902"/>
    <w:rsid w:val="00993B84"/>
    <w:rsid w:val="00993C16"/>
    <w:rsid w:val="009948C9"/>
    <w:rsid w:val="00995425"/>
    <w:rsid w:val="00995DCD"/>
    <w:rsid w:val="009960A4"/>
    <w:rsid w:val="00996483"/>
    <w:rsid w:val="00996D1F"/>
    <w:rsid w:val="00996F5A"/>
    <w:rsid w:val="00997054"/>
    <w:rsid w:val="009A0145"/>
    <w:rsid w:val="009A29E4"/>
    <w:rsid w:val="009A4A56"/>
    <w:rsid w:val="009A4A91"/>
    <w:rsid w:val="009A506F"/>
    <w:rsid w:val="009A58AB"/>
    <w:rsid w:val="009A6F48"/>
    <w:rsid w:val="009A7913"/>
    <w:rsid w:val="009B041A"/>
    <w:rsid w:val="009B1A7D"/>
    <w:rsid w:val="009B43C9"/>
    <w:rsid w:val="009B44C2"/>
    <w:rsid w:val="009B46DD"/>
    <w:rsid w:val="009B4AB1"/>
    <w:rsid w:val="009B57FD"/>
    <w:rsid w:val="009B5FB6"/>
    <w:rsid w:val="009B62B0"/>
    <w:rsid w:val="009C0B7D"/>
    <w:rsid w:val="009C103A"/>
    <w:rsid w:val="009C2027"/>
    <w:rsid w:val="009C2762"/>
    <w:rsid w:val="009C2FF1"/>
    <w:rsid w:val="009C3610"/>
    <w:rsid w:val="009C37C3"/>
    <w:rsid w:val="009C408D"/>
    <w:rsid w:val="009C5304"/>
    <w:rsid w:val="009C5428"/>
    <w:rsid w:val="009C7C86"/>
    <w:rsid w:val="009D0A2E"/>
    <w:rsid w:val="009D2FF7"/>
    <w:rsid w:val="009D3A87"/>
    <w:rsid w:val="009D51CB"/>
    <w:rsid w:val="009D5988"/>
    <w:rsid w:val="009D7A68"/>
    <w:rsid w:val="009E1504"/>
    <w:rsid w:val="009E3486"/>
    <w:rsid w:val="009E3D39"/>
    <w:rsid w:val="009E500E"/>
    <w:rsid w:val="009E5B05"/>
    <w:rsid w:val="009E7884"/>
    <w:rsid w:val="009E788A"/>
    <w:rsid w:val="009F0421"/>
    <w:rsid w:val="009F0E08"/>
    <w:rsid w:val="009F39CE"/>
    <w:rsid w:val="009F4AAE"/>
    <w:rsid w:val="009F6FC6"/>
    <w:rsid w:val="00A011DF"/>
    <w:rsid w:val="00A0156A"/>
    <w:rsid w:val="00A0256F"/>
    <w:rsid w:val="00A0335C"/>
    <w:rsid w:val="00A06691"/>
    <w:rsid w:val="00A10106"/>
    <w:rsid w:val="00A111DA"/>
    <w:rsid w:val="00A14937"/>
    <w:rsid w:val="00A14BAE"/>
    <w:rsid w:val="00A14FD7"/>
    <w:rsid w:val="00A172DB"/>
    <w:rsid w:val="00A1763D"/>
    <w:rsid w:val="00A17CEC"/>
    <w:rsid w:val="00A204BE"/>
    <w:rsid w:val="00A2373F"/>
    <w:rsid w:val="00A23949"/>
    <w:rsid w:val="00A24CC1"/>
    <w:rsid w:val="00A27A04"/>
    <w:rsid w:val="00A27EF0"/>
    <w:rsid w:val="00A3007D"/>
    <w:rsid w:val="00A3036D"/>
    <w:rsid w:val="00A3264D"/>
    <w:rsid w:val="00A348F0"/>
    <w:rsid w:val="00A361C2"/>
    <w:rsid w:val="00A36A32"/>
    <w:rsid w:val="00A379C5"/>
    <w:rsid w:val="00A4098D"/>
    <w:rsid w:val="00A40A75"/>
    <w:rsid w:val="00A417B2"/>
    <w:rsid w:val="00A42092"/>
    <w:rsid w:val="00A42361"/>
    <w:rsid w:val="00A42D47"/>
    <w:rsid w:val="00A50063"/>
    <w:rsid w:val="00A504BC"/>
    <w:rsid w:val="00A50B20"/>
    <w:rsid w:val="00A51390"/>
    <w:rsid w:val="00A527CE"/>
    <w:rsid w:val="00A53C39"/>
    <w:rsid w:val="00A57AA7"/>
    <w:rsid w:val="00A60D13"/>
    <w:rsid w:val="00A616AD"/>
    <w:rsid w:val="00A65747"/>
    <w:rsid w:val="00A6576B"/>
    <w:rsid w:val="00A65978"/>
    <w:rsid w:val="00A70BDD"/>
    <w:rsid w:val="00A70D64"/>
    <w:rsid w:val="00A7223D"/>
    <w:rsid w:val="00A72745"/>
    <w:rsid w:val="00A72D06"/>
    <w:rsid w:val="00A74335"/>
    <w:rsid w:val="00A74952"/>
    <w:rsid w:val="00A76EFC"/>
    <w:rsid w:val="00A7722D"/>
    <w:rsid w:val="00A77359"/>
    <w:rsid w:val="00A77BFC"/>
    <w:rsid w:val="00A77D7B"/>
    <w:rsid w:val="00A81749"/>
    <w:rsid w:val="00A821ED"/>
    <w:rsid w:val="00A8228E"/>
    <w:rsid w:val="00A82506"/>
    <w:rsid w:val="00A85AAE"/>
    <w:rsid w:val="00A85F49"/>
    <w:rsid w:val="00A86367"/>
    <w:rsid w:val="00A8640F"/>
    <w:rsid w:val="00A91010"/>
    <w:rsid w:val="00A929AC"/>
    <w:rsid w:val="00A94352"/>
    <w:rsid w:val="00A95AAE"/>
    <w:rsid w:val="00A968D8"/>
    <w:rsid w:val="00A97F29"/>
    <w:rsid w:val="00AA24F2"/>
    <w:rsid w:val="00AA3408"/>
    <w:rsid w:val="00AA46FA"/>
    <w:rsid w:val="00AA5A2B"/>
    <w:rsid w:val="00AA61BA"/>
    <w:rsid w:val="00AA702E"/>
    <w:rsid w:val="00AA7822"/>
    <w:rsid w:val="00AA7C08"/>
    <w:rsid w:val="00AA7E94"/>
    <w:rsid w:val="00AB0964"/>
    <w:rsid w:val="00AB1FBF"/>
    <w:rsid w:val="00AB1FD9"/>
    <w:rsid w:val="00AB2E7F"/>
    <w:rsid w:val="00AB43CA"/>
    <w:rsid w:val="00AB4B1B"/>
    <w:rsid w:val="00AB5011"/>
    <w:rsid w:val="00AB5243"/>
    <w:rsid w:val="00AC0DF6"/>
    <w:rsid w:val="00AC4406"/>
    <w:rsid w:val="00AC483B"/>
    <w:rsid w:val="00AC5410"/>
    <w:rsid w:val="00AC5F0F"/>
    <w:rsid w:val="00AC7368"/>
    <w:rsid w:val="00AD0598"/>
    <w:rsid w:val="00AD16B9"/>
    <w:rsid w:val="00AD20E6"/>
    <w:rsid w:val="00AD4A7B"/>
    <w:rsid w:val="00AD4E06"/>
    <w:rsid w:val="00AD6A3D"/>
    <w:rsid w:val="00AE0C9E"/>
    <w:rsid w:val="00AE30BB"/>
    <w:rsid w:val="00AE377D"/>
    <w:rsid w:val="00AE3D33"/>
    <w:rsid w:val="00AE4AAE"/>
    <w:rsid w:val="00AE6F0D"/>
    <w:rsid w:val="00AE7B83"/>
    <w:rsid w:val="00AE7D73"/>
    <w:rsid w:val="00AF0260"/>
    <w:rsid w:val="00AF0EBA"/>
    <w:rsid w:val="00AF2708"/>
    <w:rsid w:val="00AF312A"/>
    <w:rsid w:val="00AF40CF"/>
    <w:rsid w:val="00AF4CB6"/>
    <w:rsid w:val="00AF4F35"/>
    <w:rsid w:val="00AF62B8"/>
    <w:rsid w:val="00AF6FD6"/>
    <w:rsid w:val="00B00720"/>
    <w:rsid w:val="00B00E62"/>
    <w:rsid w:val="00B02C8A"/>
    <w:rsid w:val="00B04397"/>
    <w:rsid w:val="00B054CB"/>
    <w:rsid w:val="00B06D70"/>
    <w:rsid w:val="00B0701D"/>
    <w:rsid w:val="00B0742D"/>
    <w:rsid w:val="00B07ECB"/>
    <w:rsid w:val="00B10458"/>
    <w:rsid w:val="00B12FDE"/>
    <w:rsid w:val="00B13CBF"/>
    <w:rsid w:val="00B15B06"/>
    <w:rsid w:val="00B17502"/>
    <w:rsid w:val="00B17FBD"/>
    <w:rsid w:val="00B22791"/>
    <w:rsid w:val="00B22FAE"/>
    <w:rsid w:val="00B26182"/>
    <w:rsid w:val="00B26978"/>
    <w:rsid w:val="00B315A6"/>
    <w:rsid w:val="00B31723"/>
    <w:rsid w:val="00B3178A"/>
    <w:rsid w:val="00B31813"/>
    <w:rsid w:val="00B3224F"/>
    <w:rsid w:val="00B33365"/>
    <w:rsid w:val="00B35ED4"/>
    <w:rsid w:val="00B37D74"/>
    <w:rsid w:val="00B41817"/>
    <w:rsid w:val="00B41DD1"/>
    <w:rsid w:val="00B42F35"/>
    <w:rsid w:val="00B45051"/>
    <w:rsid w:val="00B528DF"/>
    <w:rsid w:val="00B538BF"/>
    <w:rsid w:val="00B55AFC"/>
    <w:rsid w:val="00B57B36"/>
    <w:rsid w:val="00B57E6F"/>
    <w:rsid w:val="00B605BC"/>
    <w:rsid w:val="00B62C26"/>
    <w:rsid w:val="00B64065"/>
    <w:rsid w:val="00B666BE"/>
    <w:rsid w:val="00B67BE2"/>
    <w:rsid w:val="00B67D01"/>
    <w:rsid w:val="00B70F17"/>
    <w:rsid w:val="00B744F7"/>
    <w:rsid w:val="00B747C4"/>
    <w:rsid w:val="00B75162"/>
    <w:rsid w:val="00B754D8"/>
    <w:rsid w:val="00B75FB2"/>
    <w:rsid w:val="00B764F4"/>
    <w:rsid w:val="00B7684A"/>
    <w:rsid w:val="00B80B2F"/>
    <w:rsid w:val="00B823EF"/>
    <w:rsid w:val="00B835D0"/>
    <w:rsid w:val="00B85278"/>
    <w:rsid w:val="00B8686D"/>
    <w:rsid w:val="00B869E2"/>
    <w:rsid w:val="00B905B8"/>
    <w:rsid w:val="00B905C8"/>
    <w:rsid w:val="00B90D07"/>
    <w:rsid w:val="00B90F7E"/>
    <w:rsid w:val="00B93F1B"/>
    <w:rsid w:val="00B93F69"/>
    <w:rsid w:val="00B94285"/>
    <w:rsid w:val="00B951AA"/>
    <w:rsid w:val="00B951C4"/>
    <w:rsid w:val="00BA145A"/>
    <w:rsid w:val="00BA51CE"/>
    <w:rsid w:val="00BA64FF"/>
    <w:rsid w:val="00BB18E6"/>
    <w:rsid w:val="00BB1DDC"/>
    <w:rsid w:val="00BB3147"/>
    <w:rsid w:val="00BB4535"/>
    <w:rsid w:val="00BB7719"/>
    <w:rsid w:val="00BB7AC8"/>
    <w:rsid w:val="00BC0433"/>
    <w:rsid w:val="00BC30C9"/>
    <w:rsid w:val="00BC562C"/>
    <w:rsid w:val="00BC5BE4"/>
    <w:rsid w:val="00BC6495"/>
    <w:rsid w:val="00BC6808"/>
    <w:rsid w:val="00BD077D"/>
    <w:rsid w:val="00BD2E4D"/>
    <w:rsid w:val="00BD4B53"/>
    <w:rsid w:val="00BD7EFE"/>
    <w:rsid w:val="00BE0BDA"/>
    <w:rsid w:val="00BE11D4"/>
    <w:rsid w:val="00BE3E58"/>
    <w:rsid w:val="00BE6ADF"/>
    <w:rsid w:val="00BE7BB8"/>
    <w:rsid w:val="00BF5CDF"/>
    <w:rsid w:val="00BF627A"/>
    <w:rsid w:val="00C005B2"/>
    <w:rsid w:val="00C01616"/>
    <w:rsid w:val="00C0162B"/>
    <w:rsid w:val="00C0374F"/>
    <w:rsid w:val="00C03AC4"/>
    <w:rsid w:val="00C05E20"/>
    <w:rsid w:val="00C068ED"/>
    <w:rsid w:val="00C10287"/>
    <w:rsid w:val="00C11D35"/>
    <w:rsid w:val="00C158E5"/>
    <w:rsid w:val="00C16C83"/>
    <w:rsid w:val="00C20070"/>
    <w:rsid w:val="00C2019F"/>
    <w:rsid w:val="00C21CA8"/>
    <w:rsid w:val="00C22D96"/>
    <w:rsid w:val="00C22E0C"/>
    <w:rsid w:val="00C23339"/>
    <w:rsid w:val="00C2377D"/>
    <w:rsid w:val="00C244DE"/>
    <w:rsid w:val="00C258FD"/>
    <w:rsid w:val="00C268A8"/>
    <w:rsid w:val="00C27D16"/>
    <w:rsid w:val="00C27D47"/>
    <w:rsid w:val="00C30E94"/>
    <w:rsid w:val="00C31CC3"/>
    <w:rsid w:val="00C3403F"/>
    <w:rsid w:val="00C345B1"/>
    <w:rsid w:val="00C367DD"/>
    <w:rsid w:val="00C40142"/>
    <w:rsid w:val="00C410F4"/>
    <w:rsid w:val="00C4116C"/>
    <w:rsid w:val="00C50988"/>
    <w:rsid w:val="00C50A91"/>
    <w:rsid w:val="00C52C3C"/>
    <w:rsid w:val="00C55F33"/>
    <w:rsid w:val="00C57182"/>
    <w:rsid w:val="00C57863"/>
    <w:rsid w:val="00C61D3B"/>
    <w:rsid w:val="00C62E65"/>
    <w:rsid w:val="00C63B2F"/>
    <w:rsid w:val="00C640AF"/>
    <w:rsid w:val="00C655FD"/>
    <w:rsid w:val="00C67FB1"/>
    <w:rsid w:val="00C717D6"/>
    <w:rsid w:val="00C723F2"/>
    <w:rsid w:val="00C75407"/>
    <w:rsid w:val="00C75ABB"/>
    <w:rsid w:val="00C75FB8"/>
    <w:rsid w:val="00C76789"/>
    <w:rsid w:val="00C80C8C"/>
    <w:rsid w:val="00C84459"/>
    <w:rsid w:val="00C861B9"/>
    <w:rsid w:val="00C870A8"/>
    <w:rsid w:val="00C8786F"/>
    <w:rsid w:val="00C906F1"/>
    <w:rsid w:val="00C91EB1"/>
    <w:rsid w:val="00C92405"/>
    <w:rsid w:val="00C94434"/>
    <w:rsid w:val="00C94BB1"/>
    <w:rsid w:val="00C95082"/>
    <w:rsid w:val="00C95090"/>
    <w:rsid w:val="00C951C3"/>
    <w:rsid w:val="00C966AE"/>
    <w:rsid w:val="00C96CA1"/>
    <w:rsid w:val="00CA0D75"/>
    <w:rsid w:val="00CA1C95"/>
    <w:rsid w:val="00CA5A9C"/>
    <w:rsid w:val="00CA6261"/>
    <w:rsid w:val="00CA7127"/>
    <w:rsid w:val="00CA7B20"/>
    <w:rsid w:val="00CB114A"/>
    <w:rsid w:val="00CB1929"/>
    <w:rsid w:val="00CB3D25"/>
    <w:rsid w:val="00CB4223"/>
    <w:rsid w:val="00CB5189"/>
    <w:rsid w:val="00CB54FD"/>
    <w:rsid w:val="00CB62BB"/>
    <w:rsid w:val="00CB7893"/>
    <w:rsid w:val="00CB7D53"/>
    <w:rsid w:val="00CC378F"/>
    <w:rsid w:val="00CC395C"/>
    <w:rsid w:val="00CC3CFC"/>
    <w:rsid w:val="00CC46EB"/>
    <w:rsid w:val="00CC4C20"/>
    <w:rsid w:val="00CC4D5E"/>
    <w:rsid w:val="00CC7231"/>
    <w:rsid w:val="00CC7795"/>
    <w:rsid w:val="00CD1DD3"/>
    <w:rsid w:val="00CD3517"/>
    <w:rsid w:val="00CD358C"/>
    <w:rsid w:val="00CD5FE2"/>
    <w:rsid w:val="00CD69B2"/>
    <w:rsid w:val="00CE0D3E"/>
    <w:rsid w:val="00CE141D"/>
    <w:rsid w:val="00CE29B7"/>
    <w:rsid w:val="00CE31F2"/>
    <w:rsid w:val="00CE368D"/>
    <w:rsid w:val="00CE3BE7"/>
    <w:rsid w:val="00CE5F39"/>
    <w:rsid w:val="00CE7C68"/>
    <w:rsid w:val="00CF2C2E"/>
    <w:rsid w:val="00CF2E22"/>
    <w:rsid w:val="00CF4508"/>
    <w:rsid w:val="00CF5F5B"/>
    <w:rsid w:val="00CF668F"/>
    <w:rsid w:val="00D01401"/>
    <w:rsid w:val="00D01BD8"/>
    <w:rsid w:val="00D02B4C"/>
    <w:rsid w:val="00D040C4"/>
    <w:rsid w:val="00D04A97"/>
    <w:rsid w:val="00D06A74"/>
    <w:rsid w:val="00D10917"/>
    <w:rsid w:val="00D10A96"/>
    <w:rsid w:val="00D12851"/>
    <w:rsid w:val="00D12D91"/>
    <w:rsid w:val="00D13529"/>
    <w:rsid w:val="00D13676"/>
    <w:rsid w:val="00D149B6"/>
    <w:rsid w:val="00D15E5F"/>
    <w:rsid w:val="00D16051"/>
    <w:rsid w:val="00D20AD1"/>
    <w:rsid w:val="00D22221"/>
    <w:rsid w:val="00D231BB"/>
    <w:rsid w:val="00D23252"/>
    <w:rsid w:val="00D27552"/>
    <w:rsid w:val="00D27781"/>
    <w:rsid w:val="00D30E39"/>
    <w:rsid w:val="00D326E0"/>
    <w:rsid w:val="00D32A1A"/>
    <w:rsid w:val="00D33B5D"/>
    <w:rsid w:val="00D33CBD"/>
    <w:rsid w:val="00D34441"/>
    <w:rsid w:val="00D35F52"/>
    <w:rsid w:val="00D3604A"/>
    <w:rsid w:val="00D362E0"/>
    <w:rsid w:val="00D435F7"/>
    <w:rsid w:val="00D4379E"/>
    <w:rsid w:val="00D44DFD"/>
    <w:rsid w:val="00D451F8"/>
    <w:rsid w:val="00D46B7E"/>
    <w:rsid w:val="00D47481"/>
    <w:rsid w:val="00D5122C"/>
    <w:rsid w:val="00D523C2"/>
    <w:rsid w:val="00D52ACC"/>
    <w:rsid w:val="00D56657"/>
    <w:rsid w:val="00D57C84"/>
    <w:rsid w:val="00D603DF"/>
    <w:rsid w:val="00D6057D"/>
    <w:rsid w:val="00D63C47"/>
    <w:rsid w:val="00D6401A"/>
    <w:rsid w:val="00D65BD2"/>
    <w:rsid w:val="00D66CE3"/>
    <w:rsid w:val="00D679F2"/>
    <w:rsid w:val="00D70C90"/>
    <w:rsid w:val="00D71640"/>
    <w:rsid w:val="00D717EC"/>
    <w:rsid w:val="00D74488"/>
    <w:rsid w:val="00D75612"/>
    <w:rsid w:val="00D81558"/>
    <w:rsid w:val="00D82292"/>
    <w:rsid w:val="00D8301B"/>
    <w:rsid w:val="00D83303"/>
    <w:rsid w:val="00D836C5"/>
    <w:rsid w:val="00D84576"/>
    <w:rsid w:val="00D8469A"/>
    <w:rsid w:val="00D846B6"/>
    <w:rsid w:val="00D85012"/>
    <w:rsid w:val="00D8589A"/>
    <w:rsid w:val="00D85F37"/>
    <w:rsid w:val="00D9232F"/>
    <w:rsid w:val="00D92B84"/>
    <w:rsid w:val="00D93E58"/>
    <w:rsid w:val="00DA1399"/>
    <w:rsid w:val="00DA24C6"/>
    <w:rsid w:val="00DA4D7B"/>
    <w:rsid w:val="00DA7931"/>
    <w:rsid w:val="00DA7E13"/>
    <w:rsid w:val="00DB30C2"/>
    <w:rsid w:val="00DB4A59"/>
    <w:rsid w:val="00DB6138"/>
    <w:rsid w:val="00DB6988"/>
    <w:rsid w:val="00DB7224"/>
    <w:rsid w:val="00DB79DF"/>
    <w:rsid w:val="00DC1751"/>
    <w:rsid w:val="00DC23BF"/>
    <w:rsid w:val="00DC4A12"/>
    <w:rsid w:val="00DC5CC5"/>
    <w:rsid w:val="00DC5F46"/>
    <w:rsid w:val="00DD0B37"/>
    <w:rsid w:val="00DD1240"/>
    <w:rsid w:val="00DD2038"/>
    <w:rsid w:val="00DD271C"/>
    <w:rsid w:val="00DD5305"/>
    <w:rsid w:val="00DD72F2"/>
    <w:rsid w:val="00DD7C35"/>
    <w:rsid w:val="00DE0292"/>
    <w:rsid w:val="00DE05AE"/>
    <w:rsid w:val="00DE264A"/>
    <w:rsid w:val="00DE3FFE"/>
    <w:rsid w:val="00DE4DC0"/>
    <w:rsid w:val="00DE5210"/>
    <w:rsid w:val="00DE6064"/>
    <w:rsid w:val="00DE63BA"/>
    <w:rsid w:val="00DE676C"/>
    <w:rsid w:val="00DE6E6B"/>
    <w:rsid w:val="00DE73D3"/>
    <w:rsid w:val="00DF3C0B"/>
    <w:rsid w:val="00DF41B5"/>
    <w:rsid w:val="00DF5072"/>
    <w:rsid w:val="00DF6799"/>
    <w:rsid w:val="00DF6CFF"/>
    <w:rsid w:val="00DF783D"/>
    <w:rsid w:val="00DF7C80"/>
    <w:rsid w:val="00E0024F"/>
    <w:rsid w:val="00E0033B"/>
    <w:rsid w:val="00E015FC"/>
    <w:rsid w:val="00E01D2D"/>
    <w:rsid w:val="00E0260F"/>
    <w:rsid w:val="00E0276A"/>
    <w:rsid w:val="00E02D18"/>
    <w:rsid w:val="00E041E7"/>
    <w:rsid w:val="00E05058"/>
    <w:rsid w:val="00E064E0"/>
    <w:rsid w:val="00E12A65"/>
    <w:rsid w:val="00E12C9A"/>
    <w:rsid w:val="00E16177"/>
    <w:rsid w:val="00E2107A"/>
    <w:rsid w:val="00E215BC"/>
    <w:rsid w:val="00E221A9"/>
    <w:rsid w:val="00E234D9"/>
    <w:rsid w:val="00E23CA1"/>
    <w:rsid w:val="00E24638"/>
    <w:rsid w:val="00E267B2"/>
    <w:rsid w:val="00E267BA"/>
    <w:rsid w:val="00E26998"/>
    <w:rsid w:val="00E2744F"/>
    <w:rsid w:val="00E27540"/>
    <w:rsid w:val="00E301E2"/>
    <w:rsid w:val="00E33BB9"/>
    <w:rsid w:val="00E35655"/>
    <w:rsid w:val="00E3669D"/>
    <w:rsid w:val="00E40253"/>
    <w:rsid w:val="00E409A8"/>
    <w:rsid w:val="00E4260C"/>
    <w:rsid w:val="00E44909"/>
    <w:rsid w:val="00E461F6"/>
    <w:rsid w:val="00E46786"/>
    <w:rsid w:val="00E50C12"/>
    <w:rsid w:val="00E51810"/>
    <w:rsid w:val="00E538D5"/>
    <w:rsid w:val="00E5410F"/>
    <w:rsid w:val="00E5441F"/>
    <w:rsid w:val="00E5492E"/>
    <w:rsid w:val="00E54CB2"/>
    <w:rsid w:val="00E5528F"/>
    <w:rsid w:val="00E55914"/>
    <w:rsid w:val="00E606D0"/>
    <w:rsid w:val="00E60B9E"/>
    <w:rsid w:val="00E616EF"/>
    <w:rsid w:val="00E62D4E"/>
    <w:rsid w:val="00E62ED6"/>
    <w:rsid w:val="00E63C8D"/>
    <w:rsid w:val="00E65B91"/>
    <w:rsid w:val="00E67389"/>
    <w:rsid w:val="00E71A34"/>
    <w:rsid w:val="00E7209D"/>
    <w:rsid w:val="00E722A0"/>
    <w:rsid w:val="00E72EAD"/>
    <w:rsid w:val="00E739CC"/>
    <w:rsid w:val="00E7465F"/>
    <w:rsid w:val="00E76B48"/>
    <w:rsid w:val="00E76D06"/>
    <w:rsid w:val="00E77223"/>
    <w:rsid w:val="00E843C7"/>
    <w:rsid w:val="00E8528B"/>
    <w:rsid w:val="00E8533E"/>
    <w:rsid w:val="00E857D5"/>
    <w:rsid w:val="00E85B94"/>
    <w:rsid w:val="00E87ADB"/>
    <w:rsid w:val="00E90E52"/>
    <w:rsid w:val="00E92148"/>
    <w:rsid w:val="00E92F03"/>
    <w:rsid w:val="00E935B2"/>
    <w:rsid w:val="00E93D37"/>
    <w:rsid w:val="00E942AC"/>
    <w:rsid w:val="00E95001"/>
    <w:rsid w:val="00E95FC1"/>
    <w:rsid w:val="00E969B5"/>
    <w:rsid w:val="00E97866"/>
    <w:rsid w:val="00E978D0"/>
    <w:rsid w:val="00EA037E"/>
    <w:rsid w:val="00EA1675"/>
    <w:rsid w:val="00EA196E"/>
    <w:rsid w:val="00EA2D32"/>
    <w:rsid w:val="00EA4486"/>
    <w:rsid w:val="00EA4613"/>
    <w:rsid w:val="00EA6216"/>
    <w:rsid w:val="00EA7102"/>
    <w:rsid w:val="00EA7F91"/>
    <w:rsid w:val="00EB1523"/>
    <w:rsid w:val="00EB1D23"/>
    <w:rsid w:val="00EB3342"/>
    <w:rsid w:val="00EB42B0"/>
    <w:rsid w:val="00EB4D09"/>
    <w:rsid w:val="00EB52FD"/>
    <w:rsid w:val="00EB5482"/>
    <w:rsid w:val="00EB6162"/>
    <w:rsid w:val="00EB66FA"/>
    <w:rsid w:val="00EB6EE9"/>
    <w:rsid w:val="00EB7063"/>
    <w:rsid w:val="00EB7111"/>
    <w:rsid w:val="00EC082D"/>
    <w:rsid w:val="00EC0C87"/>
    <w:rsid w:val="00EC0E49"/>
    <w:rsid w:val="00EC101F"/>
    <w:rsid w:val="00EC1D9F"/>
    <w:rsid w:val="00EC42B9"/>
    <w:rsid w:val="00ED079A"/>
    <w:rsid w:val="00ED0BDF"/>
    <w:rsid w:val="00ED123E"/>
    <w:rsid w:val="00ED1E86"/>
    <w:rsid w:val="00ED440C"/>
    <w:rsid w:val="00ED524C"/>
    <w:rsid w:val="00ED5341"/>
    <w:rsid w:val="00ED5413"/>
    <w:rsid w:val="00ED56A5"/>
    <w:rsid w:val="00ED58E3"/>
    <w:rsid w:val="00ED6232"/>
    <w:rsid w:val="00EE0131"/>
    <w:rsid w:val="00EE10E7"/>
    <w:rsid w:val="00EE17B0"/>
    <w:rsid w:val="00EE4694"/>
    <w:rsid w:val="00EE4CAD"/>
    <w:rsid w:val="00EE4E61"/>
    <w:rsid w:val="00EE5375"/>
    <w:rsid w:val="00EE57E3"/>
    <w:rsid w:val="00EE6355"/>
    <w:rsid w:val="00EE69C2"/>
    <w:rsid w:val="00EE7641"/>
    <w:rsid w:val="00EF06BE"/>
    <w:rsid w:val="00EF06D9"/>
    <w:rsid w:val="00EF49AF"/>
    <w:rsid w:val="00EF4F70"/>
    <w:rsid w:val="00EF5920"/>
    <w:rsid w:val="00EF7EF9"/>
    <w:rsid w:val="00F007A0"/>
    <w:rsid w:val="00F01286"/>
    <w:rsid w:val="00F01997"/>
    <w:rsid w:val="00F02693"/>
    <w:rsid w:val="00F0364F"/>
    <w:rsid w:val="00F037CB"/>
    <w:rsid w:val="00F03D85"/>
    <w:rsid w:val="00F042FE"/>
    <w:rsid w:val="00F04A1B"/>
    <w:rsid w:val="00F04BB2"/>
    <w:rsid w:val="00F05D9E"/>
    <w:rsid w:val="00F139B8"/>
    <w:rsid w:val="00F14610"/>
    <w:rsid w:val="00F151C9"/>
    <w:rsid w:val="00F15378"/>
    <w:rsid w:val="00F16495"/>
    <w:rsid w:val="00F1744C"/>
    <w:rsid w:val="00F17E53"/>
    <w:rsid w:val="00F20A48"/>
    <w:rsid w:val="00F238B3"/>
    <w:rsid w:val="00F25944"/>
    <w:rsid w:val="00F26122"/>
    <w:rsid w:val="00F26402"/>
    <w:rsid w:val="00F274D7"/>
    <w:rsid w:val="00F30261"/>
    <w:rsid w:val="00F30B89"/>
    <w:rsid w:val="00F30C64"/>
    <w:rsid w:val="00F30E08"/>
    <w:rsid w:val="00F32AD5"/>
    <w:rsid w:val="00F32BA2"/>
    <w:rsid w:val="00F32CDB"/>
    <w:rsid w:val="00F3394E"/>
    <w:rsid w:val="00F36142"/>
    <w:rsid w:val="00F37B7C"/>
    <w:rsid w:val="00F408D1"/>
    <w:rsid w:val="00F41337"/>
    <w:rsid w:val="00F432D8"/>
    <w:rsid w:val="00F43513"/>
    <w:rsid w:val="00F43D0E"/>
    <w:rsid w:val="00F452E7"/>
    <w:rsid w:val="00F4549B"/>
    <w:rsid w:val="00F45E91"/>
    <w:rsid w:val="00F4774A"/>
    <w:rsid w:val="00F50B9A"/>
    <w:rsid w:val="00F5357A"/>
    <w:rsid w:val="00F5463A"/>
    <w:rsid w:val="00F565FE"/>
    <w:rsid w:val="00F5765B"/>
    <w:rsid w:val="00F607D2"/>
    <w:rsid w:val="00F6138B"/>
    <w:rsid w:val="00F616D4"/>
    <w:rsid w:val="00F62852"/>
    <w:rsid w:val="00F6399C"/>
    <w:rsid w:val="00F63A70"/>
    <w:rsid w:val="00F63D8C"/>
    <w:rsid w:val="00F647D3"/>
    <w:rsid w:val="00F66CBA"/>
    <w:rsid w:val="00F67B83"/>
    <w:rsid w:val="00F7032D"/>
    <w:rsid w:val="00F704E4"/>
    <w:rsid w:val="00F724AD"/>
    <w:rsid w:val="00F731D1"/>
    <w:rsid w:val="00F7349D"/>
    <w:rsid w:val="00F7534E"/>
    <w:rsid w:val="00F7560B"/>
    <w:rsid w:val="00F764B2"/>
    <w:rsid w:val="00F77705"/>
    <w:rsid w:val="00F802AA"/>
    <w:rsid w:val="00F82A5B"/>
    <w:rsid w:val="00F83341"/>
    <w:rsid w:val="00F8387C"/>
    <w:rsid w:val="00F87E21"/>
    <w:rsid w:val="00F901FA"/>
    <w:rsid w:val="00F90211"/>
    <w:rsid w:val="00F92E80"/>
    <w:rsid w:val="00F966E3"/>
    <w:rsid w:val="00F96CB2"/>
    <w:rsid w:val="00F96E06"/>
    <w:rsid w:val="00FA0657"/>
    <w:rsid w:val="00FA0DE5"/>
    <w:rsid w:val="00FA1802"/>
    <w:rsid w:val="00FA1D33"/>
    <w:rsid w:val="00FA21D0"/>
    <w:rsid w:val="00FA2840"/>
    <w:rsid w:val="00FA3EB1"/>
    <w:rsid w:val="00FA4117"/>
    <w:rsid w:val="00FA425C"/>
    <w:rsid w:val="00FA5492"/>
    <w:rsid w:val="00FA55B3"/>
    <w:rsid w:val="00FA5F5F"/>
    <w:rsid w:val="00FA77E2"/>
    <w:rsid w:val="00FB362B"/>
    <w:rsid w:val="00FB5060"/>
    <w:rsid w:val="00FB6F36"/>
    <w:rsid w:val="00FB730C"/>
    <w:rsid w:val="00FC02A0"/>
    <w:rsid w:val="00FC0810"/>
    <w:rsid w:val="00FC258B"/>
    <w:rsid w:val="00FC268A"/>
    <w:rsid w:val="00FC2695"/>
    <w:rsid w:val="00FC2AC1"/>
    <w:rsid w:val="00FC367C"/>
    <w:rsid w:val="00FC3E03"/>
    <w:rsid w:val="00FC3FC1"/>
    <w:rsid w:val="00FC52F2"/>
    <w:rsid w:val="00FD032F"/>
    <w:rsid w:val="00FD1530"/>
    <w:rsid w:val="00FD1CD8"/>
    <w:rsid w:val="00FD3056"/>
    <w:rsid w:val="00FD3A4A"/>
    <w:rsid w:val="00FD3AA7"/>
    <w:rsid w:val="00FD4856"/>
    <w:rsid w:val="00FD6B24"/>
    <w:rsid w:val="00FE3B60"/>
    <w:rsid w:val="00FE3BB3"/>
    <w:rsid w:val="00FE3C52"/>
    <w:rsid w:val="00FE4A0D"/>
    <w:rsid w:val="00FE4E3F"/>
    <w:rsid w:val="00FE5F36"/>
    <w:rsid w:val="00FE646A"/>
    <w:rsid w:val="00FE6577"/>
    <w:rsid w:val="00FE7036"/>
    <w:rsid w:val="00FF0AD7"/>
    <w:rsid w:val="00FF1A94"/>
    <w:rsid w:val="00FF463C"/>
    <w:rsid w:val="00FF56CF"/>
    <w:rsid w:val="00FF6ADC"/>
  </w:rsids>
  <m:mathPr>
    <m:mathFont m:val="Cambria Math"/>
    <m:brkBin m:val="before"/>
    <m:brkBinSub m:val="--"/>
    <m:smallFrac m:val="0"/>
    <m:dispDef/>
    <m:lMargin m:val="0"/>
    <m:rMargin m:val="0"/>
    <m:defJc m:val="centerGroup"/>
    <m:wrapIndent m:val="1440"/>
    <m:intLim m:val="subSup"/>
    <m:naryLim m:val="undOvr"/>
  </m:mathPr>
  <w:themeFontLang w:val="it-IT" w:eastAsia="zh-CN" w:bidi="ne-N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DE6064"/>
    <w:pPr>
      <w:spacing w:before="120" w:after="12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DE6064"/>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UnresolvedMention">
    <w:name w:val="Unresolved Mention"/>
    <w:basedOn w:val="Carpredefinitoparagrafo"/>
    <w:uiPriority w:val="99"/>
    <w:semiHidden/>
    <w:unhideWhenUsed/>
    <w:rsid w:val="002B1ABC"/>
    <w:rPr>
      <w:color w:val="605E5C"/>
      <w:shd w:val="clear" w:color="auto" w:fill="E1DFDD"/>
    </w:rPr>
  </w:style>
  <w:style w:type="character" w:styleId="Testosegnaposto">
    <w:name w:val="Placeholder Text"/>
    <w:basedOn w:val="Carpredefinitoparagrafo"/>
    <w:uiPriority w:val="99"/>
    <w:semiHidden/>
    <w:rsid w:val="0066321B"/>
    <w:rPr>
      <w:color w:val="808080"/>
    </w:rPr>
  </w:style>
  <w:style w:type="paragraph" w:styleId="Revisione">
    <w:name w:val="Revision"/>
    <w:hidden/>
    <w:uiPriority w:val="99"/>
    <w:semiHidden/>
    <w:rsid w:val="009B4AB1"/>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9779291">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hyperlink" Target="mailto:*beatricejulia.lotesoriere@polimi.i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B26DAF-EE1E-4E66-B4DE-0A8CE0BD6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3267</Words>
  <Characters>18625</Characters>
  <Application>Microsoft Office Word</Application>
  <DocSecurity>0</DocSecurity>
  <Lines>155</Lines>
  <Paragraphs>43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21849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manuela</cp:lastModifiedBy>
  <cp:revision>2</cp:revision>
  <cp:lastPrinted>2015-05-12T18:31:00Z</cp:lastPrinted>
  <dcterms:created xsi:type="dcterms:W3CDTF">2022-09-09T15:24:00Z</dcterms:created>
  <dcterms:modified xsi:type="dcterms:W3CDTF">2022-09-09T15:24:00Z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