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1824C4" w14:paraId="2A131A54" w14:textId="77777777" w:rsidTr="00620A5F">
        <w:trPr>
          <w:trHeight w:val="852"/>
          <w:jc w:val="center"/>
        </w:trPr>
        <w:tc>
          <w:tcPr>
            <w:tcW w:w="6940" w:type="dxa"/>
            <w:vMerge w:val="restart"/>
            <w:tcBorders>
              <w:right w:val="single" w:sz="4" w:space="0" w:color="auto"/>
            </w:tcBorders>
          </w:tcPr>
          <w:p w14:paraId="38C3D2BA" w14:textId="77777777" w:rsidR="000A03B2" w:rsidRPr="001824C4" w:rsidRDefault="000A03B2" w:rsidP="00DE264A">
            <w:pPr>
              <w:tabs>
                <w:tab w:val="left" w:pos="-108"/>
              </w:tabs>
              <w:ind w:left="-108"/>
              <w:jc w:val="left"/>
              <w:rPr>
                <w:rFonts w:cs="Arial"/>
                <w:b/>
                <w:bCs/>
                <w:i/>
                <w:iCs/>
                <w:color w:val="000066"/>
                <w:sz w:val="12"/>
                <w:szCs w:val="12"/>
                <w:lang w:eastAsia="it-IT"/>
              </w:rPr>
            </w:pPr>
            <w:bookmarkStart w:id="0" w:name="_GoBack"/>
            <w:bookmarkEnd w:id="0"/>
            <w:r w:rsidRPr="001824C4">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1824C4">
              <w:rPr>
                <w:rFonts w:ascii="AdvP6960" w:hAnsi="AdvP6960" w:cs="AdvP6960"/>
                <w:color w:val="241F20"/>
                <w:szCs w:val="18"/>
                <w:lang w:eastAsia="it-IT"/>
              </w:rPr>
              <w:t xml:space="preserve"> </w:t>
            </w:r>
            <w:r w:rsidRPr="001824C4">
              <w:rPr>
                <w:rFonts w:cs="Arial"/>
                <w:b/>
                <w:bCs/>
                <w:i/>
                <w:iCs/>
                <w:color w:val="000066"/>
                <w:sz w:val="24"/>
                <w:szCs w:val="24"/>
                <w:lang w:eastAsia="it-IT"/>
              </w:rPr>
              <w:t>CHEMICAL ENGINEERING</w:t>
            </w:r>
            <w:r w:rsidRPr="001824C4">
              <w:rPr>
                <w:rFonts w:cs="Arial"/>
                <w:b/>
                <w:bCs/>
                <w:i/>
                <w:iCs/>
                <w:color w:val="0033FF"/>
                <w:sz w:val="24"/>
                <w:szCs w:val="24"/>
                <w:lang w:eastAsia="it-IT"/>
              </w:rPr>
              <w:t xml:space="preserve"> </w:t>
            </w:r>
            <w:r w:rsidRPr="001824C4">
              <w:rPr>
                <w:rFonts w:cs="Arial"/>
                <w:b/>
                <w:bCs/>
                <w:i/>
                <w:iCs/>
                <w:color w:val="666666"/>
                <w:sz w:val="24"/>
                <w:szCs w:val="24"/>
                <w:lang w:eastAsia="it-IT"/>
              </w:rPr>
              <w:t>TRANSACTIONS</w:t>
            </w:r>
            <w:r w:rsidRPr="001824C4">
              <w:rPr>
                <w:color w:val="333333"/>
                <w:sz w:val="24"/>
                <w:szCs w:val="24"/>
                <w:lang w:eastAsia="it-IT"/>
              </w:rPr>
              <w:t xml:space="preserve"> </w:t>
            </w:r>
            <w:r w:rsidRPr="001824C4">
              <w:rPr>
                <w:rFonts w:cs="Arial"/>
                <w:b/>
                <w:bCs/>
                <w:i/>
                <w:iCs/>
                <w:color w:val="000066"/>
                <w:sz w:val="27"/>
                <w:szCs w:val="27"/>
                <w:lang w:eastAsia="it-IT"/>
              </w:rPr>
              <w:br/>
            </w:r>
          </w:p>
          <w:p w14:paraId="4B780582" w14:textId="25570670" w:rsidR="000A03B2" w:rsidRPr="001824C4" w:rsidRDefault="00A76EFC" w:rsidP="001D21AF">
            <w:pPr>
              <w:tabs>
                <w:tab w:val="left" w:pos="-108"/>
              </w:tabs>
              <w:ind w:left="-108"/>
              <w:rPr>
                <w:rFonts w:cs="Arial"/>
                <w:b/>
                <w:bCs/>
                <w:i/>
                <w:iCs/>
                <w:color w:val="000066"/>
                <w:sz w:val="22"/>
                <w:szCs w:val="22"/>
                <w:lang w:eastAsia="it-IT"/>
              </w:rPr>
            </w:pPr>
            <w:r w:rsidRPr="001824C4">
              <w:rPr>
                <w:rFonts w:cs="Arial"/>
                <w:b/>
                <w:bCs/>
                <w:i/>
                <w:iCs/>
                <w:color w:val="000066"/>
                <w:sz w:val="22"/>
                <w:szCs w:val="22"/>
                <w:lang w:eastAsia="it-IT"/>
              </w:rPr>
              <w:t xml:space="preserve">VOL. </w:t>
            </w:r>
            <w:r w:rsidR="00D46B7E" w:rsidRPr="001824C4">
              <w:rPr>
                <w:rFonts w:cs="Arial"/>
                <w:b/>
                <w:bCs/>
                <w:i/>
                <w:iCs/>
                <w:color w:val="000066"/>
                <w:sz w:val="22"/>
                <w:szCs w:val="22"/>
                <w:lang w:eastAsia="it-IT"/>
              </w:rPr>
              <w:t>9</w:t>
            </w:r>
            <w:r w:rsidR="00323C5F" w:rsidRPr="001824C4">
              <w:rPr>
                <w:rFonts w:cs="Arial"/>
                <w:b/>
                <w:bCs/>
                <w:i/>
                <w:iCs/>
                <w:color w:val="000066"/>
                <w:sz w:val="22"/>
                <w:szCs w:val="22"/>
                <w:lang w:eastAsia="it-IT"/>
              </w:rPr>
              <w:t>5</w:t>
            </w:r>
            <w:r w:rsidR="007B48F9" w:rsidRPr="001824C4">
              <w:rPr>
                <w:rFonts w:cs="Arial"/>
                <w:b/>
                <w:bCs/>
                <w:i/>
                <w:iCs/>
                <w:color w:val="000066"/>
                <w:sz w:val="22"/>
                <w:szCs w:val="22"/>
                <w:lang w:eastAsia="it-IT"/>
              </w:rPr>
              <w:t>,</w:t>
            </w:r>
            <w:r w:rsidR="00FA5F5F" w:rsidRPr="001824C4">
              <w:rPr>
                <w:rFonts w:cs="Arial"/>
                <w:b/>
                <w:bCs/>
                <w:i/>
                <w:iCs/>
                <w:color w:val="000066"/>
                <w:sz w:val="22"/>
                <w:szCs w:val="22"/>
                <w:lang w:eastAsia="it-IT"/>
              </w:rPr>
              <w:t xml:space="preserve"> 20</w:t>
            </w:r>
            <w:r w:rsidR="00DF5072" w:rsidRPr="001824C4">
              <w:rPr>
                <w:rFonts w:cs="Arial"/>
                <w:b/>
                <w:bCs/>
                <w:i/>
                <w:iCs/>
                <w:color w:val="000066"/>
                <w:sz w:val="22"/>
                <w:szCs w:val="22"/>
                <w:lang w:eastAsia="it-IT"/>
              </w:rPr>
              <w:t>2</w:t>
            </w:r>
            <w:r w:rsidR="007B48F9" w:rsidRPr="001824C4">
              <w:rPr>
                <w:rFonts w:cs="Arial"/>
                <w:b/>
                <w:bCs/>
                <w:i/>
                <w:iCs/>
                <w:color w:val="000066"/>
                <w:sz w:val="22"/>
                <w:szCs w:val="22"/>
                <w:lang w:eastAsia="it-IT"/>
              </w:rPr>
              <w:t>2</w:t>
            </w:r>
          </w:p>
        </w:tc>
        <w:tc>
          <w:tcPr>
            <w:tcW w:w="1842" w:type="dxa"/>
            <w:tcBorders>
              <w:left w:val="single" w:sz="4" w:space="0" w:color="auto"/>
              <w:bottom w:val="nil"/>
              <w:right w:val="single" w:sz="4" w:space="0" w:color="auto"/>
            </w:tcBorders>
          </w:tcPr>
          <w:p w14:paraId="56782132" w14:textId="77777777" w:rsidR="000A03B2" w:rsidRPr="001824C4" w:rsidRDefault="000A03B2" w:rsidP="00CD5FE2">
            <w:pPr>
              <w:spacing w:line="140" w:lineRule="atLeast"/>
              <w:jc w:val="right"/>
              <w:rPr>
                <w:rFonts w:cs="Arial"/>
                <w:sz w:val="14"/>
                <w:szCs w:val="14"/>
              </w:rPr>
            </w:pPr>
            <w:r w:rsidRPr="001824C4">
              <w:rPr>
                <w:rFonts w:cs="Arial"/>
                <w:sz w:val="14"/>
                <w:szCs w:val="14"/>
              </w:rPr>
              <w:t>A publication of</w:t>
            </w:r>
          </w:p>
          <w:p w14:paraId="599E5441" w14:textId="77777777" w:rsidR="000A03B2" w:rsidRPr="001824C4" w:rsidRDefault="000A03B2" w:rsidP="00CD5FE2">
            <w:pPr>
              <w:jc w:val="right"/>
            </w:pPr>
            <w:r w:rsidRPr="001824C4">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1824C4" w14:paraId="380FA3CD" w14:textId="77777777" w:rsidTr="00620A5F">
        <w:trPr>
          <w:trHeight w:val="567"/>
          <w:jc w:val="center"/>
        </w:trPr>
        <w:tc>
          <w:tcPr>
            <w:tcW w:w="6940" w:type="dxa"/>
            <w:vMerge/>
            <w:tcBorders>
              <w:right w:val="single" w:sz="4" w:space="0" w:color="auto"/>
            </w:tcBorders>
          </w:tcPr>
          <w:p w14:paraId="39E5E4C1" w14:textId="77777777" w:rsidR="000A03B2" w:rsidRPr="001824C4"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1824C4" w:rsidRDefault="000A03B2" w:rsidP="00CD5FE2">
            <w:pPr>
              <w:spacing w:line="140" w:lineRule="atLeast"/>
              <w:jc w:val="right"/>
              <w:rPr>
                <w:rFonts w:cs="Arial"/>
                <w:sz w:val="14"/>
                <w:szCs w:val="14"/>
              </w:rPr>
            </w:pPr>
            <w:r w:rsidRPr="001824C4">
              <w:rPr>
                <w:rFonts w:cs="Arial"/>
                <w:sz w:val="14"/>
                <w:szCs w:val="14"/>
              </w:rPr>
              <w:t>The Italian Association</w:t>
            </w:r>
          </w:p>
          <w:p w14:paraId="7522B1D2" w14:textId="77777777" w:rsidR="000A03B2" w:rsidRPr="001824C4" w:rsidRDefault="000A03B2" w:rsidP="00CD5FE2">
            <w:pPr>
              <w:spacing w:line="140" w:lineRule="atLeast"/>
              <w:jc w:val="right"/>
              <w:rPr>
                <w:rFonts w:cs="Arial"/>
                <w:sz w:val="14"/>
                <w:szCs w:val="14"/>
              </w:rPr>
            </w:pPr>
            <w:r w:rsidRPr="001824C4">
              <w:rPr>
                <w:rFonts w:cs="Arial"/>
                <w:sz w:val="14"/>
                <w:szCs w:val="14"/>
              </w:rPr>
              <w:t>of Chemical Engineering</w:t>
            </w:r>
          </w:p>
          <w:p w14:paraId="4F0CC5DE" w14:textId="47FDB2FC" w:rsidR="000A03B2" w:rsidRPr="001824C4" w:rsidRDefault="000D0268" w:rsidP="00CD5FE2">
            <w:pPr>
              <w:spacing w:line="140" w:lineRule="atLeast"/>
              <w:jc w:val="right"/>
              <w:rPr>
                <w:rFonts w:cs="Arial"/>
                <w:sz w:val="13"/>
                <w:szCs w:val="13"/>
              </w:rPr>
            </w:pPr>
            <w:r w:rsidRPr="001824C4">
              <w:rPr>
                <w:rFonts w:cs="Arial"/>
                <w:sz w:val="13"/>
                <w:szCs w:val="13"/>
              </w:rPr>
              <w:t>Online at www.cetjournal.it</w:t>
            </w:r>
          </w:p>
        </w:tc>
      </w:tr>
      <w:tr w:rsidR="000A03B2" w:rsidRPr="001824C4" w14:paraId="2D1B7169" w14:textId="77777777" w:rsidTr="00620A5F">
        <w:trPr>
          <w:trHeight w:val="68"/>
          <w:jc w:val="center"/>
        </w:trPr>
        <w:tc>
          <w:tcPr>
            <w:tcW w:w="8782" w:type="dxa"/>
            <w:gridSpan w:val="2"/>
          </w:tcPr>
          <w:p w14:paraId="4B0BB442" w14:textId="1EC8AE73" w:rsidR="00300E56" w:rsidRPr="00692919" w:rsidRDefault="00300E56" w:rsidP="00B57E6F">
            <w:pPr>
              <w:ind w:left="-107"/>
              <w:outlineLvl w:val="2"/>
              <w:rPr>
                <w:rFonts w:ascii="Tahoma" w:hAnsi="Tahoma" w:cs="Tahoma"/>
                <w:bCs/>
                <w:color w:val="000000"/>
                <w:sz w:val="14"/>
                <w:szCs w:val="14"/>
                <w:lang w:val="it-IT" w:eastAsia="it-IT"/>
              </w:rPr>
            </w:pPr>
            <w:r w:rsidRPr="00692919">
              <w:rPr>
                <w:rFonts w:ascii="Tahoma" w:hAnsi="Tahoma" w:cs="Tahoma"/>
                <w:iCs/>
                <w:color w:val="333333"/>
                <w:sz w:val="14"/>
                <w:szCs w:val="14"/>
                <w:lang w:val="it-IT" w:eastAsia="it-IT"/>
              </w:rPr>
              <w:t>Guest Editors:</w:t>
            </w:r>
            <w:r w:rsidR="001D21AF" w:rsidRPr="00692919">
              <w:rPr>
                <w:rFonts w:ascii="Tahoma" w:hAnsi="Tahoma" w:cs="Tahoma"/>
                <w:color w:val="000000"/>
                <w:sz w:val="14"/>
                <w:szCs w:val="14"/>
                <w:shd w:val="clear" w:color="auto" w:fill="FFFFFF"/>
                <w:lang w:val="it-IT"/>
              </w:rPr>
              <w:t xml:space="preserve"> </w:t>
            </w:r>
            <w:r w:rsidR="00323C5F" w:rsidRPr="00692919">
              <w:rPr>
                <w:sz w:val="14"/>
                <w:szCs w:val="14"/>
                <w:lang w:val="it-IT"/>
              </w:rPr>
              <w:t>Selena Sironi, Laura Capelli</w:t>
            </w:r>
          </w:p>
          <w:p w14:paraId="1B0F1814" w14:textId="1C3DE831" w:rsidR="000A03B2" w:rsidRPr="001824C4" w:rsidRDefault="00FA5F5F" w:rsidP="001D21AF">
            <w:pPr>
              <w:tabs>
                <w:tab w:val="left" w:pos="-108"/>
              </w:tabs>
              <w:spacing w:line="140" w:lineRule="atLeast"/>
              <w:ind w:left="-107"/>
              <w:jc w:val="left"/>
            </w:pPr>
            <w:r w:rsidRPr="001824C4">
              <w:rPr>
                <w:rFonts w:ascii="Tahoma" w:hAnsi="Tahoma" w:cs="Tahoma"/>
                <w:iCs/>
                <w:color w:val="333333"/>
                <w:sz w:val="14"/>
                <w:szCs w:val="14"/>
                <w:lang w:eastAsia="it-IT"/>
              </w:rPr>
              <w:t>Copyright © 20</w:t>
            </w:r>
            <w:r w:rsidR="00DF5072" w:rsidRPr="001824C4">
              <w:rPr>
                <w:rFonts w:ascii="Tahoma" w:hAnsi="Tahoma" w:cs="Tahoma"/>
                <w:iCs/>
                <w:color w:val="333333"/>
                <w:sz w:val="14"/>
                <w:szCs w:val="14"/>
                <w:lang w:eastAsia="it-IT"/>
              </w:rPr>
              <w:t>2</w:t>
            </w:r>
            <w:r w:rsidR="00E72EAD" w:rsidRPr="001824C4">
              <w:rPr>
                <w:rFonts w:ascii="Tahoma" w:hAnsi="Tahoma" w:cs="Tahoma"/>
                <w:iCs/>
                <w:color w:val="333333"/>
                <w:sz w:val="14"/>
                <w:szCs w:val="14"/>
                <w:lang w:eastAsia="it-IT"/>
              </w:rPr>
              <w:t>2</w:t>
            </w:r>
            <w:r w:rsidR="00904C62" w:rsidRPr="001824C4">
              <w:rPr>
                <w:rFonts w:ascii="Tahoma" w:hAnsi="Tahoma" w:cs="Tahoma"/>
                <w:iCs/>
                <w:color w:val="333333"/>
                <w:sz w:val="14"/>
                <w:szCs w:val="14"/>
                <w:lang w:eastAsia="it-IT"/>
              </w:rPr>
              <w:t>, AIDIC Servizi S.r.l.</w:t>
            </w:r>
            <w:r w:rsidR="00300E56" w:rsidRPr="001824C4">
              <w:rPr>
                <w:rFonts w:ascii="Tahoma" w:hAnsi="Tahoma" w:cs="Tahoma"/>
                <w:iCs/>
                <w:color w:val="333333"/>
                <w:sz w:val="14"/>
                <w:szCs w:val="14"/>
                <w:lang w:eastAsia="it-IT"/>
              </w:rPr>
              <w:br/>
            </w:r>
            <w:r w:rsidR="00300E56" w:rsidRPr="001824C4">
              <w:rPr>
                <w:rFonts w:ascii="Tahoma" w:hAnsi="Tahoma" w:cs="Tahoma"/>
                <w:b/>
                <w:iCs/>
                <w:color w:val="000000"/>
                <w:sz w:val="14"/>
                <w:szCs w:val="14"/>
                <w:lang w:eastAsia="it-IT"/>
              </w:rPr>
              <w:t>ISBN</w:t>
            </w:r>
            <w:r w:rsidR="00300E56" w:rsidRPr="001824C4">
              <w:rPr>
                <w:rFonts w:ascii="Tahoma" w:hAnsi="Tahoma" w:cs="Tahoma"/>
                <w:iCs/>
                <w:color w:val="000000"/>
                <w:sz w:val="14"/>
                <w:szCs w:val="14"/>
                <w:lang w:eastAsia="it-IT"/>
              </w:rPr>
              <w:t xml:space="preserve"> </w:t>
            </w:r>
            <w:r w:rsidR="008D32B9" w:rsidRPr="001824C4">
              <w:rPr>
                <w:rFonts w:ascii="Tahoma" w:hAnsi="Tahoma" w:cs="Tahoma"/>
                <w:sz w:val="14"/>
                <w:szCs w:val="14"/>
              </w:rPr>
              <w:t>978-88-95608</w:t>
            </w:r>
            <w:r w:rsidR="00D46B7E" w:rsidRPr="001824C4">
              <w:rPr>
                <w:rFonts w:ascii="Tahoma" w:hAnsi="Tahoma" w:cs="Tahoma"/>
                <w:sz w:val="14"/>
                <w:szCs w:val="14"/>
              </w:rPr>
              <w:t>-</w:t>
            </w:r>
            <w:r w:rsidR="001D21AF" w:rsidRPr="001824C4">
              <w:rPr>
                <w:rFonts w:ascii="Tahoma" w:hAnsi="Tahoma" w:cs="Tahoma"/>
                <w:sz w:val="14"/>
                <w:szCs w:val="14"/>
              </w:rPr>
              <w:t>9</w:t>
            </w:r>
            <w:r w:rsidR="00323C5F" w:rsidRPr="001824C4">
              <w:rPr>
                <w:rFonts w:ascii="Tahoma" w:hAnsi="Tahoma" w:cs="Tahoma"/>
                <w:sz w:val="14"/>
                <w:szCs w:val="14"/>
              </w:rPr>
              <w:t>4</w:t>
            </w:r>
            <w:r w:rsidR="00D46B7E" w:rsidRPr="001824C4">
              <w:rPr>
                <w:rFonts w:ascii="Tahoma" w:hAnsi="Tahoma" w:cs="Tahoma"/>
                <w:sz w:val="14"/>
                <w:szCs w:val="14"/>
              </w:rPr>
              <w:t>-</w:t>
            </w:r>
            <w:r w:rsidR="00323C5F" w:rsidRPr="001824C4">
              <w:rPr>
                <w:rFonts w:ascii="Tahoma" w:hAnsi="Tahoma" w:cs="Tahoma"/>
                <w:sz w:val="14"/>
                <w:szCs w:val="14"/>
              </w:rPr>
              <w:t>5</w:t>
            </w:r>
            <w:r w:rsidR="007B48F9" w:rsidRPr="001824C4">
              <w:rPr>
                <w:rFonts w:ascii="Tahoma" w:hAnsi="Tahoma" w:cs="Tahoma"/>
                <w:iCs/>
                <w:color w:val="333333"/>
                <w:sz w:val="14"/>
                <w:szCs w:val="14"/>
                <w:lang w:eastAsia="it-IT"/>
              </w:rPr>
              <w:t>;</w:t>
            </w:r>
            <w:r w:rsidR="00300E56" w:rsidRPr="001824C4">
              <w:rPr>
                <w:rFonts w:ascii="Tahoma" w:hAnsi="Tahoma" w:cs="Tahoma"/>
                <w:iCs/>
                <w:color w:val="333333"/>
                <w:sz w:val="14"/>
                <w:szCs w:val="14"/>
                <w:lang w:eastAsia="it-IT"/>
              </w:rPr>
              <w:t xml:space="preserve"> </w:t>
            </w:r>
            <w:r w:rsidR="00300E56" w:rsidRPr="001824C4">
              <w:rPr>
                <w:rFonts w:ascii="Tahoma" w:hAnsi="Tahoma" w:cs="Tahoma"/>
                <w:b/>
                <w:iCs/>
                <w:color w:val="333333"/>
                <w:sz w:val="14"/>
                <w:szCs w:val="14"/>
                <w:lang w:eastAsia="it-IT"/>
              </w:rPr>
              <w:t>ISSN</w:t>
            </w:r>
            <w:r w:rsidR="00300E56" w:rsidRPr="001824C4">
              <w:rPr>
                <w:rFonts w:ascii="Tahoma" w:hAnsi="Tahoma" w:cs="Tahoma"/>
                <w:iCs/>
                <w:color w:val="333333"/>
                <w:sz w:val="14"/>
                <w:szCs w:val="14"/>
                <w:lang w:eastAsia="it-IT"/>
              </w:rPr>
              <w:t xml:space="preserve"> 2283-9216</w:t>
            </w:r>
          </w:p>
        </w:tc>
      </w:tr>
    </w:tbl>
    <w:p w14:paraId="2E667253" w14:textId="563B1178" w:rsidR="00E978D0" w:rsidRPr="001824C4" w:rsidRDefault="00620A5F" w:rsidP="00E978D0">
      <w:pPr>
        <w:pStyle w:val="CETTitle"/>
      </w:pPr>
      <w:r w:rsidRPr="001824C4">
        <w:t xml:space="preserve">Analysis of </w:t>
      </w:r>
      <w:r w:rsidR="00434918">
        <w:t>O</w:t>
      </w:r>
      <w:r w:rsidRPr="001824C4">
        <w:t xml:space="preserve">dorous VOCs using TD-GC-MS/FID/PFPD: </w:t>
      </w:r>
      <w:r w:rsidR="00434918">
        <w:t>D</w:t>
      </w:r>
      <w:r w:rsidRPr="001824C4">
        <w:t xml:space="preserve">evelopment and </w:t>
      </w:r>
      <w:r w:rsidR="00434918">
        <w:t>A</w:t>
      </w:r>
      <w:r w:rsidRPr="001824C4">
        <w:t xml:space="preserve">pplications to </w:t>
      </w:r>
      <w:r w:rsidR="00434918">
        <w:t>R</w:t>
      </w:r>
      <w:r w:rsidRPr="001824C4">
        <w:t xml:space="preserve">eal </w:t>
      </w:r>
      <w:r w:rsidR="00434918">
        <w:t>S</w:t>
      </w:r>
      <w:r w:rsidRPr="001824C4">
        <w:t>amples</w:t>
      </w:r>
    </w:p>
    <w:p w14:paraId="0488FED2" w14:textId="320196CE" w:rsidR="00B57E6F" w:rsidRPr="00692919" w:rsidRDefault="00620A5F" w:rsidP="00B57E6F">
      <w:pPr>
        <w:pStyle w:val="CETAuthors"/>
        <w:rPr>
          <w:vertAlign w:val="superscript"/>
          <w:lang w:val="it-IT"/>
        </w:rPr>
      </w:pPr>
      <w:r w:rsidRPr="00692919">
        <w:rPr>
          <w:lang w:val="it-IT"/>
        </w:rPr>
        <w:t>Elisa Polvara</w:t>
      </w:r>
      <w:r w:rsidR="00B57E6F" w:rsidRPr="00692919">
        <w:rPr>
          <w:vertAlign w:val="superscript"/>
          <w:lang w:val="it-IT"/>
        </w:rPr>
        <w:t>a</w:t>
      </w:r>
      <w:r w:rsidRPr="00692919">
        <w:rPr>
          <w:vertAlign w:val="superscript"/>
          <w:lang w:val="it-IT"/>
        </w:rPr>
        <w:t>,*</w:t>
      </w:r>
      <w:r w:rsidR="00B57E6F" w:rsidRPr="00692919">
        <w:rPr>
          <w:lang w:val="it-IT"/>
        </w:rPr>
        <w:t xml:space="preserve">, </w:t>
      </w:r>
      <w:r w:rsidRPr="00692919">
        <w:rPr>
          <w:lang w:val="it-IT"/>
        </w:rPr>
        <w:t>Daniele Morosini</w:t>
      </w:r>
      <w:r w:rsidR="009C32A5">
        <w:rPr>
          <w:vertAlign w:val="superscript"/>
          <w:lang w:val="it-IT"/>
        </w:rPr>
        <w:t>b</w:t>
      </w:r>
      <w:r w:rsidR="00B57E6F" w:rsidRPr="00692919">
        <w:rPr>
          <w:lang w:val="it-IT"/>
        </w:rPr>
        <w:t xml:space="preserve">, </w:t>
      </w:r>
      <w:r w:rsidRPr="00692919">
        <w:rPr>
          <w:lang w:val="it-IT"/>
        </w:rPr>
        <w:t>Marzio Invernizzi</w:t>
      </w:r>
      <w:r w:rsidRPr="00692919">
        <w:rPr>
          <w:vertAlign w:val="superscript"/>
          <w:lang w:val="it-IT"/>
        </w:rPr>
        <w:t>a</w:t>
      </w:r>
      <w:r w:rsidRPr="00692919">
        <w:rPr>
          <w:lang w:val="it-IT"/>
        </w:rPr>
        <w:t>, Selena Sironi</w:t>
      </w:r>
      <w:r w:rsidRPr="00692919">
        <w:rPr>
          <w:vertAlign w:val="superscript"/>
          <w:lang w:val="it-IT"/>
        </w:rPr>
        <w:t>a</w:t>
      </w:r>
    </w:p>
    <w:p w14:paraId="7F69E239" w14:textId="77777777" w:rsidR="00620A5F" w:rsidRPr="00692919" w:rsidRDefault="00B57E6F" w:rsidP="00B57E6F">
      <w:pPr>
        <w:pStyle w:val="CETAddress"/>
        <w:rPr>
          <w:lang w:val="it-IT"/>
        </w:rPr>
      </w:pPr>
      <w:r w:rsidRPr="00692919">
        <w:rPr>
          <w:vertAlign w:val="superscript"/>
          <w:lang w:val="it-IT"/>
        </w:rPr>
        <w:t>a</w:t>
      </w:r>
      <w:r w:rsidR="00620A5F" w:rsidRPr="00692919">
        <w:rPr>
          <w:lang w:val="it-IT"/>
        </w:rPr>
        <w:t xml:space="preserve"> Politecnico di Milano, Department of Chemistry, Materials and Chemical Engineering “Giulio Natta”, Piazza Leonardo da Vinci 32, 20133 Milano, Italy</w:t>
      </w:r>
    </w:p>
    <w:p w14:paraId="0291E520" w14:textId="77777777" w:rsidR="00620A5F" w:rsidRPr="00692919" w:rsidRDefault="00B57E6F" w:rsidP="00620A5F">
      <w:pPr>
        <w:pStyle w:val="CETAddress"/>
        <w:rPr>
          <w:lang w:val="it-IT"/>
        </w:rPr>
      </w:pPr>
      <w:r w:rsidRPr="00692919">
        <w:rPr>
          <w:vertAlign w:val="superscript"/>
          <w:lang w:val="it-IT"/>
        </w:rPr>
        <w:t>b</w:t>
      </w:r>
      <w:r w:rsidR="00620A5F" w:rsidRPr="00692919">
        <w:rPr>
          <w:lang w:val="it-IT"/>
        </w:rPr>
        <w:t xml:space="preserve"> SRA Instruments S.p.A., Via alla Castellana, 3, 20063, Cernusco sul Naviglio (MI), Italy</w:t>
      </w:r>
    </w:p>
    <w:p w14:paraId="73F1267A" w14:textId="5B91F94F" w:rsidR="00B57E6F" w:rsidRPr="00640FE2" w:rsidRDefault="00620A5F" w:rsidP="00620A5F">
      <w:pPr>
        <w:pStyle w:val="CETAddress"/>
        <w:rPr>
          <w:lang w:val="en-US"/>
        </w:rPr>
      </w:pPr>
      <w:r w:rsidRPr="00640FE2">
        <w:rPr>
          <w:lang w:val="en-US"/>
        </w:rPr>
        <w:t>elisa.polvara@</w:t>
      </w:r>
      <w:r w:rsidR="009C32A5" w:rsidRPr="00640FE2">
        <w:rPr>
          <w:lang w:val="en-US"/>
        </w:rPr>
        <w:t>polimi.it</w:t>
      </w:r>
    </w:p>
    <w:p w14:paraId="71A8B780" w14:textId="77777777" w:rsidR="003D1943" w:rsidRPr="00640FE2" w:rsidRDefault="003D1943" w:rsidP="003D1943">
      <w:pPr>
        <w:pStyle w:val="CETBodytext"/>
      </w:pPr>
    </w:p>
    <w:p w14:paraId="2FF2E51A" w14:textId="787B7B8B" w:rsidR="00620A5F" w:rsidRPr="001824C4" w:rsidRDefault="0031155F" w:rsidP="003D1943">
      <w:pPr>
        <w:pStyle w:val="CETBodytext"/>
        <w:rPr>
          <w:b/>
          <w:lang w:val="en-GB"/>
        </w:rPr>
      </w:pPr>
      <w:r w:rsidRPr="001824C4">
        <w:rPr>
          <w:lang w:val="en-GB"/>
        </w:rPr>
        <w:t>T</w:t>
      </w:r>
      <w:r w:rsidR="00620A5F" w:rsidRPr="001824C4">
        <w:rPr>
          <w:lang w:val="en-GB"/>
        </w:rPr>
        <w:t xml:space="preserve">his work aims to present the applicability of a gas chromatograph equipped with three detectors </w:t>
      </w:r>
      <w:r w:rsidR="008F3AEA">
        <w:rPr>
          <w:lang w:val="en-GB"/>
        </w:rPr>
        <w:t xml:space="preserve">for </w:t>
      </w:r>
      <w:r w:rsidR="00692919">
        <w:rPr>
          <w:lang w:val="en-GB"/>
        </w:rPr>
        <w:t xml:space="preserve">the </w:t>
      </w:r>
      <w:r w:rsidR="00620A5F" w:rsidRPr="001824C4">
        <w:rPr>
          <w:lang w:val="en-GB"/>
        </w:rPr>
        <w:t xml:space="preserve">analysis of </w:t>
      </w:r>
      <w:r w:rsidR="001E4B91" w:rsidRPr="001824C4">
        <w:rPr>
          <w:lang w:val="en-GB"/>
        </w:rPr>
        <w:t>odoro</w:t>
      </w:r>
      <w:r w:rsidR="001E4B91">
        <w:rPr>
          <w:lang w:val="en-GB"/>
        </w:rPr>
        <w:t>us</w:t>
      </w:r>
      <w:r w:rsidR="00620A5F" w:rsidRPr="001824C4">
        <w:rPr>
          <w:lang w:val="en-GB"/>
        </w:rPr>
        <w:t xml:space="preserve"> mixtures. </w:t>
      </w:r>
      <w:r w:rsidRPr="001824C4">
        <w:rPr>
          <w:lang w:val="en-GB"/>
        </w:rPr>
        <w:t>A</w:t>
      </w:r>
      <w:r w:rsidR="00620A5F" w:rsidRPr="001824C4">
        <w:rPr>
          <w:lang w:val="en-GB"/>
        </w:rPr>
        <w:t>n Agilent gas chromatograph (mod. 8890), equipped with a mass spectrometer (Agilent 5977B MSD), a Flame Ionization Detector (FID</w:t>
      </w:r>
      <w:r w:rsidR="00021EEB">
        <w:rPr>
          <w:lang w:val="en-GB"/>
        </w:rPr>
        <w:t>, Agilent</w:t>
      </w:r>
      <w:r w:rsidR="00620A5F" w:rsidRPr="001824C4">
        <w:rPr>
          <w:lang w:val="en-GB"/>
        </w:rPr>
        <w:t>) and a Pulsed Flame Photometric Detector (PFPD, OI Analytical mod. 583</w:t>
      </w:r>
      <w:r w:rsidR="00033878">
        <w:rPr>
          <w:lang w:val="en-GB"/>
        </w:rPr>
        <w:t>3</w:t>
      </w:r>
      <w:r w:rsidR="00620A5F" w:rsidRPr="001824C4">
        <w:rPr>
          <w:lang w:val="en-GB"/>
        </w:rPr>
        <w:t>)</w:t>
      </w:r>
      <w:r w:rsidRPr="001824C4">
        <w:rPr>
          <w:lang w:val="en-GB"/>
        </w:rPr>
        <w:t xml:space="preserve"> was adopted</w:t>
      </w:r>
      <w:r w:rsidR="008F3AEA">
        <w:rPr>
          <w:lang w:val="en-GB"/>
        </w:rPr>
        <w:t xml:space="preserve">, obtaining simultaneous </w:t>
      </w:r>
      <w:r w:rsidR="008F3AEA" w:rsidRPr="001824C4">
        <w:rPr>
          <w:lang w:val="en-GB"/>
        </w:rPr>
        <w:t>acquisition with MS, FID and PFPD detectors</w:t>
      </w:r>
      <w:r w:rsidR="00620A5F" w:rsidRPr="001824C4">
        <w:rPr>
          <w:lang w:val="en-GB"/>
        </w:rPr>
        <w:t xml:space="preserve">. The splitting of the sample into the three detectors was carried out at the end of the chromatographic column, by a capillary flow technology splitter (Agilent Splitter CFT). </w:t>
      </w:r>
      <w:r w:rsidR="003D1943" w:rsidRPr="001824C4">
        <w:rPr>
          <w:lang w:val="en-GB"/>
        </w:rPr>
        <w:t>By u</w:t>
      </w:r>
      <w:r w:rsidR="00620A5F" w:rsidRPr="001824C4">
        <w:rPr>
          <w:lang w:val="en-GB"/>
        </w:rPr>
        <w:t>sing this system, it is</w:t>
      </w:r>
      <w:r w:rsidR="00692919">
        <w:rPr>
          <w:lang w:val="en-GB"/>
        </w:rPr>
        <w:t>, therefore,</w:t>
      </w:r>
      <w:r w:rsidR="00620A5F" w:rsidRPr="001824C4">
        <w:rPr>
          <w:lang w:val="en-GB"/>
        </w:rPr>
        <w:t xml:space="preserve"> possible to achieve the specific detection and quantification of organic compounds by FID analysis, sulphur compounds by PFPD and the identification of the compounds by MS analysis, via comparison with mass spectra. </w:t>
      </w:r>
      <w:r w:rsidR="00D423DE">
        <w:rPr>
          <w:lang w:val="en-GB"/>
        </w:rPr>
        <w:t xml:space="preserve">Based on the </w:t>
      </w:r>
      <w:r w:rsidR="00D423DE" w:rsidRPr="00D423DE">
        <w:rPr>
          <w:lang w:val="en-GB"/>
        </w:rPr>
        <w:t>preliminary outcomes</w:t>
      </w:r>
      <w:r w:rsidR="00F839B0">
        <w:rPr>
          <w:lang w:val="en-GB"/>
        </w:rPr>
        <w:t xml:space="preserve"> obtained</w:t>
      </w:r>
      <w:r w:rsidR="00D423DE">
        <w:rPr>
          <w:lang w:val="en-GB"/>
        </w:rPr>
        <w:t>,t</w:t>
      </w:r>
      <w:r w:rsidR="00620A5F" w:rsidRPr="001824C4">
        <w:rPr>
          <w:lang w:val="en-GB"/>
        </w:rPr>
        <w:t xml:space="preserve">he application of this system in the analysis of odour samples </w:t>
      </w:r>
      <w:r w:rsidR="00692919" w:rsidRPr="00692919">
        <w:rPr>
          <w:lang w:val="en-GB"/>
        </w:rPr>
        <w:t>enabled the determination of</w:t>
      </w:r>
      <w:r w:rsidR="00692919">
        <w:rPr>
          <w:lang w:val="en-GB"/>
        </w:rPr>
        <w:t xml:space="preserve"> specific classes, </w:t>
      </w:r>
      <w:r w:rsidR="00620A5F" w:rsidRPr="001824C4">
        <w:rPr>
          <w:lang w:val="en-GB"/>
        </w:rPr>
        <w:t>even in trace</w:t>
      </w:r>
      <w:r w:rsidR="00692919">
        <w:rPr>
          <w:lang w:val="en-GB"/>
        </w:rPr>
        <w:t>s</w:t>
      </w:r>
      <w:r w:rsidR="00620A5F" w:rsidRPr="001824C4">
        <w:rPr>
          <w:lang w:val="en-GB"/>
        </w:rPr>
        <w:t xml:space="preserve">: </w:t>
      </w:r>
      <w:r w:rsidR="00C767D7">
        <w:rPr>
          <w:lang w:val="en-GB"/>
        </w:rPr>
        <w:t>by this,</w:t>
      </w:r>
      <w:r w:rsidR="00620A5F" w:rsidRPr="001824C4">
        <w:rPr>
          <w:lang w:val="en-GB"/>
        </w:rPr>
        <w:t xml:space="preserve"> the subsequent identification of these compounds </w:t>
      </w:r>
      <w:r w:rsidR="001E4B91">
        <w:rPr>
          <w:lang w:val="en-GB"/>
        </w:rPr>
        <w:t>during</w:t>
      </w:r>
      <w:r w:rsidR="00620A5F" w:rsidRPr="001824C4">
        <w:rPr>
          <w:lang w:val="en-GB"/>
        </w:rPr>
        <w:t xml:space="preserve"> a single chromatographic run</w:t>
      </w:r>
      <w:r w:rsidR="00C767D7">
        <w:rPr>
          <w:lang w:val="en-GB"/>
        </w:rPr>
        <w:t xml:space="preserve"> is possible</w:t>
      </w:r>
      <w:r w:rsidR="00620A5F" w:rsidRPr="001824C4">
        <w:rPr>
          <w:lang w:val="en-GB"/>
        </w:rPr>
        <w:t xml:space="preserve">. </w:t>
      </w:r>
      <w:r w:rsidR="008F3AEA" w:rsidRPr="008F3AEA">
        <w:rPr>
          <w:lang w:val="en-GB"/>
        </w:rPr>
        <w:t>This combination provides significant time and cost</w:t>
      </w:r>
      <w:r w:rsidR="00EA72EF">
        <w:rPr>
          <w:lang w:val="en-GB"/>
        </w:rPr>
        <w:t>s</w:t>
      </w:r>
      <w:r w:rsidR="008F3AEA" w:rsidRPr="008F3AEA">
        <w:rPr>
          <w:lang w:val="en-GB"/>
        </w:rPr>
        <w:t xml:space="preserve"> savings in the calibration and analysis of chromatographic data.</w:t>
      </w:r>
    </w:p>
    <w:p w14:paraId="476B2F2E" w14:textId="1DF5BD5F" w:rsidR="00600535" w:rsidRPr="001824C4" w:rsidRDefault="00600535" w:rsidP="00620A5F">
      <w:pPr>
        <w:pStyle w:val="CETHeading1"/>
        <w:rPr>
          <w:lang w:val="en-GB"/>
        </w:rPr>
      </w:pPr>
      <w:r w:rsidRPr="001824C4">
        <w:rPr>
          <w:lang w:val="en-GB"/>
        </w:rPr>
        <w:t>Introduction</w:t>
      </w:r>
    </w:p>
    <w:p w14:paraId="0D898AB4" w14:textId="5498F7E4" w:rsidR="002E5526" w:rsidRDefault="00021EEB" w:rsidP="00EE57FC">
      <w:pPr>
        <w:pStyle w:val="CETBodytext"/>
        <w:rPr>
          <w:lang w:val="en-GB"/>
        </w:rPr>
      </w:pPr>
      <w:r>
        <w:rPr>
          <w:lang w:val="en-GB"/>
        </w:rPr>
        <w:t>C</w:t>
      </w:r>
      <w:r w:rsidR="00273680" w:rsidRPr="001824C4">
        <w:rPr>
          <w:lang w:val="en-GB"/>
        </w:rPr>
        <w:t>hemical analysis of odorous samples is</w:t>
      </w:r>
      <w:r w:rsidR="00977555">
        <w:rPr>
          <w:lang w:val="en-GB"/>
        </w:rPr>
        <w:t xml:space="preserve"> a</w:t>
      </w:r>
      <w:r w:rsidR="00273680" w:rsidRPr="001824C4">
        <w:rPr>
          <w:lang w:val="en-GB"/>
        </w:rPr>
        <w:t xml:space="preserve"> complex</w:t>
      </w:r>
      <w:r w:rsidR="00977555">
        <w:rPr>
          <w:lang w:val="en-GB"/>
        </w:rPr>
        <w:t xml:space="preserve"> task</w:t>
      </w:r>
      <w:r w:rsidR="00273680" w:rsidRPr="001824C4">
        <w:rPr>
          <w:lang w:val="en-GB"/>
        </w:rPr>
        <w:t xml:space="preserve"> due to the</w:t>
      </w:r>
      <w:r w:rsidR="00977555">
        <w:rPr>
          <w:lang w:val="en-GB"/>
        </w:rPr>
        <w:t xml:space="preserve"> recurrent huge</w:t>
      </w:r>
      <w:r w:rsidR="00273680" w:rsidRPr="001824C4">
        <w:rPr>
          <w:lang w:val="en-GB"/>
        </w:rPr>
        <w:t xml:space="preserve"> heterogeneity of the </w:t>
      </w:r>
      <w:r w:rsidR="00977555" w:rsidRPr="001824C4">
        <w:rPr>
          <w:lang w:val="en-GB"/>
        </w:rPr>
        <w:t xml:space="preserve">present </w:t>
      </w:r>
      <w:r w:rsidR="00273680" w:rsidRPr="001824C4">
        <w:rPr>
          <w:lang w:val="en-GB"/>
        </w:rPr>
        <w:t>molecules.</w:t>
      </w:r>
      <w:r w:rsidR="00977555">
        <w:rPr>
          <w:lang w:val="en-GB"/>
        </w:rPr>
        <w:t xml:space="preserve"> Moreover, generally speaking, chemical analysis o</w:t>
      </w:r>
      <w:r w:rsidR="001E4B91">
        <w:rPr>
          <w:lang w:val="en-GB"/>
        </w:rPr>
        <w:t>f</w:t>
      </w:r>
      <w:r w:rsidR="00977555">
        <w:rPr>
          <w:lang w:val="en-GB"/>
        </w:rPr>
        <w:t xml:space="preserve"> odorous gas mixture is usually unt</w:t>
      </w:r>
      <w:r w:rsidR="009D3EC6">
        <w:rPr>
          <w:lang w:val="en-GB"/>
        </w:rPr>
        <w:t>a</w:t>
      </w:r>
      <w:r w:rsidR="00977555">
        <w:rPr>
          <w:lang w:val="en-GB"/>
        </w:rPr>
        <w:t>rgeted</w:t>
      </w:r>
      <w:r w:rsidR="009D3EC6">
        <w:rPr>
          <w:lang w:val="en-GB"/>
        </w:rPr>
        <w:t xml:space="preserve">: the scope is properly the identification of the molecules responsible </w:t>
      </w:r>
      <w:r w:rsidR="001E4B91">
        <w:rPr>
          <w:lang w:val="en-GB"/>
        </w:rPr>
        <w:t>for</w:t>
      </w:r>
      <w:r w:rsidR="009D3EC6">
        <w:rPr>
          <w:lang w:val="en-GB"/>
        </w:rPr>
        <w:t xml:space="preserve"> the odour.</w:t>
      </w:r>
      <w:r w:rsidR="00977555">
        <w:rPr>
          <w:lang w:val="en-GB"/>
        </w:rPr>
        <w:t xml:space="preserve"> </w:t>
      </w:r>
      <w:r w:rsidR="00AA2BA7" w:rsidRPr="001824C4">
        <w:rPr>
          <w:lang w:val="en-GB"/>
        </w:rPr>
        <w:t xml:space="preserve">To identify and quantify the species present in odorous emissions, the most diffuse </w:t>
      </w:r>
      <w:r w:rsidR="00CD7DAB">
        <w:rPr>
          <w:lang w:val="en-GB"/>
        </w:rPr>
        <w:t xml:space="preserve">analytical </w:t>
      </w:r>
      <w:r w:rsidR="00AA2BA7" w:rsidRPr="001824C4">
        <w:rPr>
          <w:lang w:val="en-GB"/>
        </w:rPr>
        <w:t xml:space="preserve">technique is gas chromatography coupled with mass spectrometry (GC-MS). </w:t>
      </w:r>
      <w:r w:rsidR="00F2000B" w:rsidRPr="001824C4">
        <w:rPr>
          <w:lang w:val="en-GB"/>
        </w:rPr>
        <w:t xml:space="preserve">Due to the necessity to understand the chemical nature of odorous mixture, MS is </w:t>
      </w:r>
      <w:r w:rsidR="00CB5DAA" w:rsidRPr="001824C4">
        <w:rPr>
          <w:lang w:val="en-GB"/>
        </w:rPr>
        <w:t xml:space="preserve">generally </w:t>
      </w:r>
      <w:r w:rsidR="00F2000B" w:rsidRPr="001824C4">
        <w:rPr>
          <w:lang w:val="en-GB"/>
        </w:rPr>
        <w:t xml:space="preserve">used in </w:t>
      </w:r>
      <w:r w:rsidR="00F2000B" w:rsidRPr="001824C4">
        <w:rPr>
          <w:i/>
          <w:lang w:val="en-GB"/>
        </w:rPr>
        <w:t>total ion current</w:t>
      </w:r>
      <w:r w:rsidR="00F2000B" w:rsidRPr="001824C4">
        <w:rPr>
          <w:lang w:val="en-GB"/>
        </w:rPr>
        <w:t xml:space="preserve"> (TIC) mode. </w:t>
      </w:r>
      <w:r w:rsidR="00AA2BA7" w:rsidRPr="001824C4">
        <w:rPr>
          <w:lang w:val="en-GB"/>
        </w:rPr>
        <w:t>Despite the poten</w:t>
      </w:r>
      <w:r w:rsidR="00F2000B" w:rsidRPr="001824C4">
        <w:rPr>
          <w:lang w:val="en-GB"/>
        </w:rPr>
        <w:t>tial of this technique (i.e. the identification of</w:t>
      </w:r>
      <w:r w:rsidR="00AA2BA7" w:rsidRPr="001824C4">
        <w:rPr>
          <w:lang w:val="en-GB"/>
        </w:rPr>
        <w:t xml:space="preserve"> unknown molecules</w:t>
      </w:r>
      <w:r w:rsidR="00F2000B" w:rsidRPr="001824C4">
        <w:rPr>
          <w:lang w:val="en-GB"/>
        </w:rPr>
        <w:t xml:space="preserve"> in complex mixtures)</w:t>
      </w:r>
      <w:r w:rsidR="00AA2BA7" w:rsidRPr="001824C4">
        <w:rPr>
          <w:lang w:val="en-GB"/>
        </w:rPr>
        <w:t xml:space="preserve">, it shows </w:t>
      </w:r>
      <w:r w:rsidR="00D164DC" w:rsidRPr="001824C4">
        <w:rPr>
          <w:lang w:val="en-GB"/>
        </w:rPr>
        <w:t>some critical aspects, in particular</w:t>
      </w:r>
      <w:r w:rsidR="001E4B91">
        <w:rPr>
          <w:lang w:val="en-GB"/>
        </w:rPr>
        <w:t>,</w:t>
      </w:r>
      <w:r w:rsidR="00D164DC" w:rsidRPr="001824C4">
        <w:rPr>
          <w:lang w:val="en-GB"/>
        </w:rPr>
        <w:t xml:space="preserve"> correlated with </w:t>
      </w:r>
      <w:r w:rsidR="00692919">
        <w:rPr>
          <w:lang w:val="en-GB"/>
        </w:rPr>
        <w:t xml:space="preserve">the </w:t>
      </w:r>
      <w:r w:rsidR="00D164DC" w:rsidRPr="001824C4">
        <w:rPr>
          <w:lang w:val="en-GB"/>
        </w:rPr>
        <w:t xml:space="preserve">quantification and detection of specific compounds. Focusing on quantification, </w:t>
      </w:r>
      <w:r w:rsidR="00EE1032" w:rsidRPr="001824C4">
        <w:rPr>
          <w:lang w:val="en-GB"/>
        </w:rPr>
        <w:t xml:space="preserve">the chemical composition is </w:t>
      </w:r>
      <w:r w:rsidR="00CD7DAB">
        <w:rPr>
          <w:lang w:val="en-GB"/>
        </w:rPr>
        <w:t>generally un</w:t>
      </w:r>
      <w:r w:rsidR="00EE1032" w:rsidRPr="001824C4">
        <w:rPr>
          <w:lang w:val="en-GB"/>
        </w:rPr>
        <w:t xml:space="preserve">known and the molecules present in odorous emission can be potentially </w:t>
      </w:r>
      <w:r w:rsidR="00341F00" w:rsidRPr="001824C4">
        <w:rPr>
          <w:lang w:val="en-GB"/>
        </w:rPr>
        <w:t>extremely numerous</w:t>
      </w:r>
      <w:r w:rsidR="00CD7DAB">
        <w:rPr>
          <w:lang w:val="en-GB"/>
        </w:rPr>
        <w:t xml:space="preserve"> </w:t>
      </w:r>
      <w:r w:rsidR="000A0ECA">
        <w:rPr>
          <w:lang w:val="en-GB"/>
        </w:rPr>
        <w:fldChar w:fldCharType="begin" w:fldLock="1"/>
      </w:r>
      <w:r w:rsidR="00640FE2">
        <w:rPr>
          <w:lang w:val="en-GB"/>
        </w:rPr>
        <w:instrText>ADDIN CSL_CITATION {"citationItems":[{"id":"ITEM-1","itemData":{"DOI":"10.1016/J.CHEMOLAB.2012.07.006","ISSN":"01697439","abstract":"The task of identifying individual compounds within complex gas chromatography - mass spectrometry (GC-MS) chromatograms is made more difficult by interferences between peaks with similar mass spectra eluting at the same time, typically against a background of chemical and electronic noise. Although chemometric techniques like parallel factor analysis and multivariate curve resolution can help to purify spectra and improve correlations with reference compounds, file incompatibilities between GC-MS acquisition software and modeling software prevent the modeled spectra from being easily compared to spectra in reference libraries. In this paper we present an enhancement to OpenChrom, an open-source software for chromatography and mass spectrometry, which implements the automated cross-matching of modeled spectra to NIST08 and NIST11 mass spectral databases. The benefits of this approach are demonstrated using a complex environmental dataset consisting of non-methane volatile organic compound emissions sampled on an Australian poultry farm. © 2012 Elsevier B.V.","author":[{"dropping-particle":"","family":"Murphy","given":"Kathleen R.","non-dropping-particle":"","parse-names":false,"suffix":""},{"dropping-particle":"","family":"Wenig","given":"Philip","non-dropping-particle":"","parse-names":false,"suffix":""},{"dropping-particle":"","family":"Parcsi","given":"Gavin","non-dropping-particle":"","parse-names":false,"suffix":""},{"dropping-particle":"","family":"Skov","given":"Thomas","non-dropping-particle":"","parse-names":false,"suffix":""},{"dropping-particle":"","family":"Stuetz","given":"Richard M.","non-dropping-particle":"","parse-names":false,"suffix":""}],"container-title":"Chemometrics and Intelligent Laboratory Systems","id":"ITEM-1","issued":{"date-parts":[["2012","8","15"]]},"page":"41-50","title":"Characterizing odorous emissions using new software for identifying peaks in chemometric models of gas chromatography-mass spectrometry datasets","type":"article-journal","volume":"118"},"uris":["http://www.mendeley.com/documents/?uuid=200b480a-1a35-39af-8f4f-57f297147059"]}],"mendeley":{"formattedCitation":"(Murphy et al., 2012)","plainTextFormattedCitation":"(Murphy et al., 2012)","previouslyFormattedCitation":"(Murphy et al., 2012)"},"properties":{"noteIndex":0},"schema":"https://github.com/citation-style-language/schema/raw/master/csl-citation.json"}</w:instrText>
      </w:r>
      <w:r w:rsidR="000A0ECA">
        <w:rPr>
          <w:lang w:val="en-GB"/>
        </w:rPr>
        <w:fldChar w:fldCharType="separate"/>
      </w:r>
      <w:r w:rsidR="001155DE" w:rsidRPr="001155DE">
        <w:rPr>
          <w:noProof/>
          <w:lang w:val="en-GB"/>
        </w:rPr>
        <w:t>(Murphy et al., 2012)</w:t>
      </w:r>
      <w:r w:rsidR="000A0ECA">
        <w:rPr>
          <w:lang w:val="en-GB"/>
        </w:rPr>
        <w:fldChar w:fldCharType="end"/>
      </w:r>
      <w:r w:rsidR="00E806AF" w:rsidRPr="001824C4">
        <w:rPr>
          <w:lang w:val="en-GB"/>
        </w:rPr>
        <w:t xml:space="preserve">. In addition, in the scenario of odour studies, </w:t>
      </w:r>
      <w:r w:rsidR="004C7D26">
        <w:rPr>
          <w:lang w:val="en-GB"/>
        </w:rPr>
        <w:t>detection of a single specie</w:t>
      </w:r>
      <w:r w:rsidR="00E806AF" w:rsidRPr="001824C4">
        <w:rPr>
          <w:lang w:val="en-GB"/>
        </w:rPr>
        <w:t xml:space="preserve"> is uncommon, </w:t>
      </w:r>
      <w:r w:rsidR="004C7D26">
        <w:rPr>
          <w:lang w:val="en-GB"/>
        </w:rPr>
        <w:t>because the interest is the</w:t>
      </w:r>
      <w:r w:rsidR="00E806AF" w:rsidRPr="001824C4">
        <w:rPr>
          <w:lang w:val="en-GB"/>
        </w:rPr>
        <w:t xml:space="preserve"> characterisation of the whole mixture. Therefore, a specific calibration curve for every single compound may not be easily obtainable</w:t>
      </w:r>
      <w:r w:rsidR="00255864">
        <w:rPr>
          <w:lang w:val="en-GB"/>
        </w:rPr>
        <w:t xml:space="preserve"> </w:t>
      </w:r>
      <w:r w:rsidR="00255864" w:rsidRPr="00255100">
        <w:t>and the quantification with a specific standard for each compound</w:t>
      </w:r>
      <w:r w:rsidR="009D3EC6" w:rsidRPr="00255100">
        <w:t xml:space="preserve"> greatly</w:t>
      </w:r>
      <w:r w:rsidR="00255864" w:rsidRPr="00255100">
        <w:t xml:space="preserve"> increases the costs of </w:t>
      </w:r>
      <w:r w:rsidR="009D3EC6" w:rsidRPr="00255100">
        <w:t xml:space="preserve">the </w:t>
      </w:r>
      <w:r w:rsidR="00255864" w:rsidRPr="00255100">
        <w:t xml:space="preserve">analysis </w:t>
      </w:r>
      <w:r w:rsidR="00255864">
        <w:rPr>
          <w:lang w:val="en-GB"/>
        </w:rPr>
        <w:fldChar w:fldCharType="begin" w:fldLock="1"/>
      </w:r>
      <w:r w:rsidR="00640FE2">
        <w:instrText>ADDIN CSL_CITATION {"citationItems":[{"id":"ITEM-1","itemData":{"DOI":"10.1016/J.TALANTA.2014.02.058","ISSN":"0039-9140","PMID":"24840441","abstract":"Statistical analysis has been used for the first time to evaluate the dispersion of quantitative data in the solid-phase microextraction (SPME) followed by gas chromatography-mass spectrometry (GC-MS) analysis of blackberry (Rubus ulmifolius Schott) volatiles with the aim of improving their precision. Experimental and randomly simulated data were compared using different statistical parameters (correlation coefficients, Principal Component Analysis loadings and eigenvalues). Non-random factors were shown to significantly contribute to total dispersion; groups of volatile compounds could be associated with these factors. A significant improvement of precision was achieved when considering percent concentration ratios, rather than percent values, among those blackberry volatiles with a similar dispersion behavior. As novelty over previous references, and to complement this main objective, the presence of non-random dispersion trends in data from simple blackberry model systems was evidenced. Although the influence of the type of matrix on data precision was proved, the possibility of a better understanding of the dispersion patterns in real samples was not possible from model systems. The approach here used was validated for the first time through the multicomponent characterization of Italian blackberries from different harvest years. © 2014 Elsevier B.V.","author":[{"dropping-particle":"","family":"D'Agostino","given":"M. F.","non-dropping-particle":"","parse-names":false,"suffix":""},{"dropping-particle":"","family":"Sanz","given":"J.","non-dropping-particle":"","parse-names":false,"suffix":""},{"dropping-particle":"","family":"Martínez-Castro","given":"I.","non-dropping-particle":"","parse-names":false,"suffix":""},{"dropping-particle":"","family":"Giuffrè","given":"A. M.","non-dropping-particle":"","parse-names":false,"suffix":""},{"dropping-particle":"","family":"Sicari","given":"V.","non-dropping-particle":"","parse-names":false,"suffix":""},{"dropping-particle":"","family":"Soria","given":"A. C.","non-dropping-particle":"","parse-names":false,"suffix":""}],"container-title":"Talanta","id":"ITEM-1","issued":{"date-parts":[["2014","7","1"]]},"page":"248-256","publisher":"Elsevier","title":"Statistical analysis for improving data precision in the SPME GC–MS analysis of blackberry (Rubus ulmifolius Schott) volatiles","type":"article-journal","volume":"125"},"uris":["http://www.mendeley.com/documents/?uuid=47c788ed-3d6f-338f-b144-6b7a84a130d7"]}],"mendeley":{"formattedCitation":"(D’Agostino et al., 2014)","plainTextFormattedCitation":"(D’Agostino et al., 2014)","previouslyFormattedCitation":"(D’Agostino et al., 2014)"},"properties":{"noteIndex":0},"schema":"https://github.com/citation-style-language/schema/raw/master/csl-citation.json"}</w:instrText>
      </w:r>
      <w:r w:rsidR="00255864">
        <w:rPr>
          <w:lang w:val="en-GB"/>
        </w:rPr>
        <w:fldChar w:fldCharType="separate"/>
      </w:r>
      <w:r w:rsidR="001155DE" w:rsidRPr="001155DE">
        <w:rPr>
          <w:noProof/>
          <w:lang w:val="en-GB"/>
        </w:rPr>
        <w:t>(D’Agostino et al., 2014)</w:t>
      </w:r>
      <w:r w:rsidR="00255864">
        <w:rPr>
          <w:lang w:val="en-GB"/>
        </w:rPr>
        <w:fldChar w:fldCharType="end"/>
      </w:r>
      <w:r w:rsidR="00255864">
        <w:rPr>
          <w:lang w:val="en-GB"/>
        </w:rPr>
        <w:t>.</w:t>
      </w:r>
      <w:r w:rsidR="00396DEA">
        <w:rPr>
          <w:lang w:val="en-GB"/>
        </w:rPr>
        <w:t xml:space="preserve"> </w:t>
      </w:r>
      <w:r w:rsidR="00255100">
        <w:rPr>
          <w:lang w:val="en-GB"/>
        </w:rPr>
        <w:t xml:space="preserve">In addition, </w:t>
      </w:r>
      <w:r w:rsidR="00396DEA" w:rsidRPr="001824C4">
        <w:rPr>
          <w:lang w:val="en-GB"/>
        </w:rPr>
        <w:t>a calibration curve for all the pollutants potentially present in odorous emissions is impractical, due</w:t>
      </w:r>
      <w:r w:rsidR="001E4B91">
        <w:rPr>
          <w:lang w:val="en-GB"/>
        </w:rPr>
        <w:t xml:space="preserve"> to</w:t>
      </w:r>
      <w:r w:rsidR="00396DEA" w:rsidRPr="001824C4">
        <w:rPr>
          <w:lang w:val="en-GB"/>
        </w:rPr>
        <w:t xml:space="preserve"> the availability of standards for all compounds</w:t>
      </w:r>
      <w:r w:rsidR="00396DEA">
        <w:rPr>
          <w:lang w:val="en-GB"/>
        </w:rPr>
        <w:t xml:space="preserve"> </w:t>
      </w:r>
      <w:r w:rsidR="00396DEA">
        <w:rPr>
          <w:lang w:val="en-GB"/>
        </w:rPr>
        <w:fldChar w:fldCharType="begin" w:fldLock="1"/>
      </w:r>
      <w:r w:rsidR="00640FE2">
        <w:rPr>
          <w:lang w:val="en-GB"/>
        </w:rPr>
        <w:instrText>ADDIN CSL_CITATION {"citationItems":[{"id":"ITEM-1","itemData":{"DOI":"10.1016/J.FOODCHEM.2017.08.009","ISSN":"0308-8146","PMID":"28946238","abstract":"The volatile profile of crushed rocket leaves (Eruca sativa and Diplotaxis tenuifolia) was investigated by applying Headspace Solid-Phase MicroExtraction (HS-SPME), combined with GC–MS, to an aqueous extract obtained by homogenization of rocket leaves, and stabilized by addition of CaCl2. A detailed picture of volatile products of the lipoxygenase pathway (mainly C6-aldehydes) and of glucosinolate hydrolysis (mainly isothiocyanates), and their dynamics of formation after tissue disruption was given. Odor-active compounds of leaves were characterized by GC-Olfactometry (GC-O) and Aroma Extract Dilution Analysis (AEDA): volatile isolates obtained by HS-SPME from an aqueous extract and by Stir-Bar Sorptive Extraction (SBSE) from an ethanolic extract were analyzed. The most potent odor-active compounds fully or tentatively identified were (Z)- and (E)-3-hexenal, (Z)-1,5-octadien-3-one, responsible for green olfactory notes, along with 4-mercaptobutyl and 4-(methylthio)butyl isothiocyanate, associated with typical rocket and radish aroma. Relatively high odor potency was observed for 1-octen-3-one, (E)-2-octenal and 1-penten-3-one.","author":[{"dropping-particle":"","family":"Raffo","given":"Antonio","non-dropping-particle":"","parse-names":false,"suffix":""},{"dropping-particle":"","family":"Masci","given":"Maurizio","non-dropping-particle":"","parse-names":false,"suffix":""},{"dropping-particle":"","family":"Moneta","given":"Elisabetta","non-dropping-particle":"","parse-names":false,"suffix":""},{"dropping-particle":"","family":"Nicoli","given":"Stefano","non-dropping-particle":"","parse-names":false,"suffix":""},{"dropping-particle":"","family":"Sánchez del Pulgar","given":"José","non-dropping-particle":"","parse-names":false,"suffix":""},{"dropping-particle":"","family":"Paoletti","given":"Flavio","non-dropping-particle":"","parse-names":false,"suffix":""}],"container-title":"Food Chemistry","id":"ITEM-1","issued":{"date-parts":[["2018","2","1"]]},"page":"1161-1170","publisher":"Elsevier","title":"Characterization of volatiles and identification of odor-active compounds of rocket leaves","type":"article-journal","volume":"240"},"uris":["http://www.mendeley.com/documents/?uuid=9c8341ac-341e-3919-8933-e7adb3edef00"]}],"mendeley":{"formattedCitation":"(Raffo et al., 2018)","plainTextFormattedCitation":"(Raffo et al., 2018)","previouslyFormattedCitation":"(Raffo et al., 2018)"},"properties":{"noteIndex":0},"schema":"https://github.com/citation-style-language/schema/raw/master/csl-citation.json"}</w:instrText>
      </w:r>
      <w:r w:rsidR="00396DEA">
        <w:rPr>
          <w:lang w:val="en-GB"/>
        </w:rPr>
        <w:fldChar w:fldCharType="separate"/>
      </w:r>
      <w:r w:rsidR="001155DE" w:rsidRPr="001155DE">
        <w:rPr>
          <w:noProof/>
          <w:lang w:val="en-GB"/>
        </w:rPr>
        <w:t>(Raffo et al., 2018)</w:t>
      </w:r>
      <w:r w:rsidR="00396DEA">
        <w:rPr>
          <w:lang w:val="en-GB"/>
        </w:rPr>
        <w:fldChar w:fldCharType="end"/>
      </w:r>
      <w:r w:rsidR="00255100">
        <w:rPr>
          <w:lang w:val="en-GB"/>
        </w:rPr>
        <w:t xml:space="preserve">. </w:t>
      </w:r>
      <w:r w:rsidR="00255864">
        <w:rPr>
          <w:lang w:val="en-GB"/>
        </w:rPr>
        <w:t xml:space="preserve"> </w:t>
      </w:r>
      <w:r w:rsidR="0056177A" w:rsidRPr="001824C4">
        <w:rPr>
          <w:lang w:val="en-GB"/>
        </w:rPr>
        <w:t xml:space="preserve">For </w:t>
      </w:r>
      <w:r w:rsidR="00E806AF" w:rsidRPr="001824C4">
        <w:rPr>
          <w:lang w:val="en-GB"/>
        </w:rPr>
        <w:t>these</w:t>
      </w:r>
      <w:r w:rsidR="0056177A" w:rsidRPr="001824C4">
        <w:rPr>
          <w:lang w:val="en-GB"/>
        </w:rPr>
        <w:t xml:space="preserve"> reason</w:t>
      </w:r>
      <w:r w:rsidR="00E806AF" w:rsidRPr="001824C4">
        <w:rPr>
          <w:lang w:val="en-GB"/>
        </w:rPr>
        <w:t>s</w:t>
      </w:r>
      <w:r w:rsidR="0056177A" w:rsidRPr="001824C4">
        <w:rPr>
          <w:lang w:val="en-GB"/>
        </w:rPr>
        <w:t xml:space="preserve">, a </w:t>
      </w:r>
      <w:r w:rsidR="0056177A" w:rsidRPr="001824C4">
        <w:rPr>
          <w:i/>
          <w:lang w:val="en-GB"/>
        </w:rPr>
        <w:t>semi-quantification</w:t>
      </w:r>
      <w:r w:rsidR="0056177A" w:rsidRPr="001824C4">
        <w:rPr>
          <w:lang w:val="en-GB"/>
        </w:rPr>
        <w:t xml:space="preserve"> of molecules is common</w:t>
      </w:r>
      <w:r w:rsidR="00692919">
        <w:rPr>
          <w:lang w:val="en-GB"/>
        </w:rPr>
        <w:t>ly</w:t>
      </w:r>
      <w:r w:rsidR="0056177A" w:rsidRPr="001824C4">
        <w:rPr>
          <w:lang w:val="en-GB"/>
        </w:rPr>
        <w:t xml:space="preserve"> </w:t>
      </w:r>
      <w:r w:rsidR="000A0ECA">
        <w:rPr>
          <w:lang w:val="en-GB"/>
        </w:rPr>
        <w:t>adopted</w:t>
      </w:r>
      <w:r w:rsidR="007A6F9E" w:rsidRPr="001824C4">
        <w:rPr>
          <w:lang w:val="en-GB"/>
        </w:rPr>
        <w:t xml:space="preserve">, by using </w:t>
      </w:r>
      <w:r w:rsidR="001F3856" w:rsidRPr="001824C4">
        <w:rPr>
          <w:lang w:val="en-GB"/>
        </w:rPr>
        <w:t>the calibration curve of a single compound</w:t>
      </w:r>
      <w:r w:rsidR="007A6F9E" w:rsidRPr="001824C4">
        <w:rPr>
          <w:lang w:val="en-GB"/>
        </w:rPr>
        <w:t xml:space="preserve"> for the </w:t>
      </w:r>
      <w:r w:rsidR="001F3856" w:rsidRPr="001824C4">
        <w:rPr>
          <w:lang w:val="en-GB"/>
        </w:rPr>
        <w:t xml:space="preserve">quantification of </w:t>
      </w:r>
      <w:r w:rsidR="00692919">
        <w:rPr>
          <w:lang w:val="en-GB"/>
        </w:rPr>
        <w:t xml:space="preserve">a </w:t>
      </w:r>
      <w:r w:rsidR="00075509" w:rsidRPr="001824C4">
        <w:rPr>
          <w:lang w:val="en-GB"/>
        </w:rPr>
        <w:t>family or group of chemicals</w:t>
      </w:r>
      <w:r w:rsidR="00C15806">
        <w:rPr>
          <w:lang w:val="en-GB"/>
        </w:rPr>
        <w:fldChar w:fldCharType="begin" w:fldLock="1"/>
      </w:r>
      <w:r w:rsidR="00640FE2">
        <w:rPr>
          <w:lang w:val="en-GB"/>
        </w:rPr>
        <w:instrText>ADDIN CSL_CITATION {"citationItems":[{"id":"ITEM-1","itemData":{"DOI":"10.3390/SEPARATIONS5010020","ISSN":"2297-8739","abstract":"Understanding the aroma profile of wines made from cold climate grapes is needed to help winemakers produce quality aromatic wines. The current study aimed to add to the very limited knowledge of aroma-imparting compounds in wines made from the lesser-known Frontenac and Marquette cultivars. Headspace solid-phase microextraction (SPME) and gas chromatography-mass spectrometry (GC-MS) with simultaneous olfactometry was used to identify and quantify selected, aroma-imparting volatile organic compounds (VOC) in wines made from grapes harvested at two sugar levels (22° Brix and 24° Brix). Aroma-imparting compounds were determined by aroma dilution analysis (ADA). Odor activity values (OAV) were also used to aid the selection of aroma-imparting compounds. Principal component analysis and hierarchical clustering analysis indicated that VOCs in wines produced from both sugar levels of Marquette grapes are similar to each other, and more similar to wines produced from Frontenac grapes harvested at 24° Brix. Selected key aroma compounds in Frontenac and Marquette wines were ethyl hexanoate, ethyl isobutyrate, ethyl octanoate, and ethyl butyrate. OAVs &amp;gt;1000 were reported for three aroma compounds that impart fruity aromas to the wines. This study provides evidence that aroma profiles in Frontenac wines can be influenced by timing of harvesting the berries at different Brix. Future research should focus on whether this is because of berry development or accumulation of aroma precursors and sugar due to late summer dehydration. Simultaneous chemical and sensory analyses can be useful for the understanding development of aroma profile perceptions for wines produced from cold-climate grapes.","author":[{"dropping-particle":"","family":"Rice","given":"Somchai","non-dropping-particle":"","parse-names":false,"suffix":""},{"dropping-particle":"","family":"Lutt","given":"Nanticha","non-dropping-particle":"","parse-names":false,"suffix":""},{"dropping-particle":"","family":"Koziel","given":"Jacek A.","non-dropping-particle":"","parse-names":false,"suffix":""},{"dropping-particle":"","family":"Dharmadhikari","given":"Murlidhar","non-dropping-particle":"","parse-names":false,"suffix":""},{"dropping-particle":"","family":"Fennell","given":"Anne","non-dropping-particle":"","parse-names":false,"suffix":""}],"container-title":"Separations 2018, Vol. 5, Page 20","id":"ITEM-1","issue":"1","issued":{"date-parts":[["2018","3","19"]]},"page":"20","publisher":"Multidisciplinary Digital Publishing Institute","title":"Determination of Selected Aromas in Marquette and Frontenac Wine Using Headspace-SPME Coupled with GC-MS and Simultaneous Olfactometry","type":"article-journal","volume":"5"},"uris":["http://www.mendeley.com/documents/?uuid=278927e0-a479-384f-a28f-0e6d5d5a4e30"]},{"id":"ITEM-2","itemData":{"DOI":"10.1016/j.scitotenv.2018.11.451","author":[{"dropping-particle":"","family":"Kamarulzaman","given":"Nor H","non-dropping-particle":"","parse-names":false,"suffix":""},{"dropping-particle":"","family":"Le-minh","given":"Nhat","non-dropping-particle":"","parse-names":false,"suffix":""},{"dropping-particle":"","family":"Fisher","given":"Ruth M","non-dropping-particle":"","parse-names":false,"suffix":""},{"dropping-particle":"","family":"Stuetz","given":"Richard M","non-dropping-particle":"","parse-names":false,"suffix":""}],"container-title":"Science of The Total Environment","id":"ITEM-2","issued":{"date-parts":[["2019"]]},"page":"154-168","publisher":"Elsevier B.V.","title":"Science of the Total Environment Quanti fi cation of VOCs and the development of odour wheels for rubber processing","type":"article-journal","volume":"657"},"uris":["http://www.mendeley.com/documents/?uuid=032f7b0a-a170-4678-a000-662733914f9b"]},{"id":"ITEM-3","itemData":{"DOI":"10.3390/TOXICS10050202","ISSN":"2305-6304","abstract":"Refineries are characterized by relevant odour impacts, and the control and monitoring of this pollutant have become increasingly important. Dynamic olfactometry, a sensorial analysis that involves human examiners, is currently the most common technique to obtain odour quantification. However, due to the potential presence of hazardous pollutants, the conduction of occupational risk assessment is necessary to guarantee examiners&amp;rsquo; safety. Nevertheless, the occupational risk for olfactometric examiners, specifically correlated with oil refineries emissions, has not been investigated yet. Therefore, this paper applies a new methodology of risk assessment for workers involved in dynamic olfactometry, focusing on odorous refineries emissions. The chemical characterization of refinery emissions was obtained by TD-GC-MS, analysing odorous samples collected at different refinery odour sources. A database of chemical pollutants emitted from a refinery plant was built up, and the minimum dilution values to be adopted during the analysis of refinery odorous samples was calculated. In particular, this evaluation highlighted that, in this scenario, a non-negligible carcinogenic risk may exist for panellists exposed to refineries&amp;rsquo; samples, and the carcinogenic risk is sometimes higher than what is acceptable. Therefore, a minimum dilution value between 1.01 and 5, according to the specific sample, must be set to guarantee the examiners&amp;rsquo; safety.","author":[{"dropping-particle":"","family":"Spinazzè","given":"Andrea","non-dropping-particle":"","parse-names":false,"suffix":""},{"dropping-particle":"","family":"Polvara","given":"Elisa","non-dropping-particle":"","parse-names":false,"suffix":""},{"dropping-particle":"","family":"Cattaneo","given":"Andrea","non-dropping-particle":"","parse-names":false,"suffix":""},{"dropping-particle":"","family":"Invernizzi","given":"Marzio","non-dropping-particle":"","parse-names":false,"suffix":""},{"dropping-particle":"","family":"Cavallo","given":"Domenico Maria","non-dropping-particle":"","parse-names":false,"suffix":""},{"dropping-particle":"","family":"Sironi","given":"Selena","non-dropping-particle":"","parse-names":false,"suffix":""}],"container-title":"Toxics 2022, Vol. 10, Page 202","id":"ITEM-3","issue":"5","issued":{"date-parts":[["2022","4","20"]]},"page":"202","publisher":"Multidisciplinary Digital Publishing Institute","title":"Dynamic Olfactometry and Oil Refinery Odour Samples: Application of a New Method for Occupational Risk Assessment","type":"article-journal","volume":"10"},"uris":["http://www.mendeley.com/documents/?uuid=13322bde-174f-3757-9d01-21bf2e552ecd"]}],"mendeley":{"formattedCitation":"(Kamarulzaman et al., 2019; Rice et al., 2018; Spinazzè et al., 2022)","plainTextFormattedCitation":"(Kamarulzaman et al., 2019; Rice et al., 2018; Spinazzè et al., 2022)","previouslyFormattedCitation":"(Kamarulzaman et al., 2019; Rice et al., 2018; Spinazzè et al., 2022)"},"properties":{"noteIndex":0},"schema":"https://github.com/citation-style-language/schema/raw/master/csl-citation.json"}</w:instrText>
      </w:r>
      <w:r w:rsidR="00C15806">
        <w:rPr>
          <w:lang w:val="en-GB"/>
        </w:rPr>
        <w:fldChar w:fldCharType="separate"/>
      </w:r>
      <w:r w:rsidR="001155DE" w:rsidRPr="001155DE">
        <w:rPr>
          <w:noProof/>
          <w:lang w:val="en-GB"/>
        </w:rPr>
        <w:t>(Kamarulzaman et al., 2019; Rice et al., 2018; Spinazzè et al., 2022)</w:t>
      </w:r>
      <w:r w:rsidR="00C15806">
        <w:rPr>
          <w:lang w:val="en-GB"/>
        </w:rPr>
        <w:fldChar w:fldCharType="end"/>
      </w:r>
      <w:r w:rsidR="0056177A" w:rsidRPr="001824C4">
        <w:rPr>
          <w:lang w:val="en-GB"/>
        </w:rPr>
        <w:t xml:space="preserve">. However, </w:t>
      </w:r>
      <w:r w:rsidR="000A0ECA">
        <w:rPr>
          <w:lang w:val="en-GB"/>
        </w:rPr>
        <w:t xml:space="preserve">using MS, the </w:t>
      </w:r>
      <w:r w:rsidR="00D721C0" w:rsidRPr="001824C4">
        <w:rPr>
          <w:lang w:val="en-GB"/>
        </w:rPr>
        <w:t xml:space="preserve">signal produced by a molecule is strictly connected </w:t>
      </w:r>
      <w:r w:rsidR="00692919">
        <w:rPr>
          <w:lang w:val="en-GB"/>
        </w:rPr>
        <w:t>to</w:t>
      </w:r>
      <w:r w:rsidR="00D721C0" w:rsidRPr="001824C4">
        <w:rPr>
          <w:lang w:val="en-GB"/>
        </w:rPr>
        <w:t xml:space="preserve"> its structure and the </w:t>
      </w:r>
      <w:r w:rsidR="00F262E1" w:rsidRPr="001824C4">
        <w:rPr>
          <w:lang w:val="en-GB"/>
        </w:rPr>
        <w:t xml:space="preserve">ionization efficiencies vary for compounds </w:t>
      </w:r>
      <w:r w:rsidR="00D721C0" w:rsidRPr="001824C4">
        <w:rPr>
          <w:lang w:val="en-GB"/>
        </w:rPr>
        <w:fldChar w:fldCharType="begin" w:fldLock="1"/>
      </w:r>
      <w:r w:rsidR="00640FE2">
        <w:rPr>
          <w:lang w:val="en-GB"/>
        </w:rPr>
        <w:instrText>ADDIN CSL_CITATION {"citationItems":[{"id":"ITEM-1","itemData":{"DOI":"10.1002/FFJ.1906","ISSN":"08825734","abstract":"In this study, usual methods commonly applied to report the quantitative composition of flavours, fragrances and essential oils were compared. The MS determinations without response factors exhibited a lack of accuracy and reproducibility. FID provided better results, but the determinations were still unsatisfactory. The best results were obtained by true internal standardization in MS and FID, which is time-consuming for mixtures composed of many constituents. The use of a response factor database was thus proposed and validated by testing the response dependence on GC parameters, using an experimental design. Very low time variations were observed. Under standard GC conditions, the determination of a model mixture with four different instruments exhibited a mean bias of &lt; 3.4%. Copyright © 2008 John Wiley &amp; Sons, Ltd.","author":[{"dropping-particle":"","family":"Cicchetti","given":"Esmeralda","non-dropping-particle":"","parse-names":false,"suffix":""},{"dropping-particle":"","family":"Merle","given":"Philippe","non-dropping-particle":"","parse-names":false,"suffix":""},{"dropping-particle":"","family":"Chaintreau","given":"Alain","non-dropping-particle":"","parse-names":false,"suffix":""}],"container-title":"Flavour and Fragrance Journal","id":"ITEM-1","issue":"6","issued":{"date-parts":[["2008"]]},"page":"450-459","title":"Quantitation in gas chromatography: Usual practices and performances of a response factor database","type":"article-journal","volume":"23"},"uris":["http://www.mendeley.com/documents/?uuid=14b47cb0-8721-367b-88d2-0fb18d64e8a2"]},{"id":"ITEM-2","itemData":{"DOI":"10.1002/ffj.1905","ISSN":"08825734","abstract":"This article provides a critical overview of current methods to quantify essential oil components. The fields of application and limits of the most popular approaches, in particular relative percentage abundance, normalized percentage abundance, concentration and true amount determination via calibration curves, are discussed in detail. A specific paragraph is dedicated to the correct use of the most widely used detectors and to analyte response factors. A set of applications for each approach is also included to illustrate the considerations. Copyright © 2008 John Wiley &amp; Sons, Ltd.","author":[{"dropping-particle":"","family":"Bicchi","given":"Carlo","non-dropping-particle":"","parse-names":false,"suffix":""},{"dropping-particle":"","family":"Liberto","given":"Erica","non-dropping-particle":"","parse-names":false,"suffix":""},{"dropping-particle":"","family":"Matteodo","given":"Maura","non-dropping-particle":"","parse-names":false,"suffix":""},{"dropping-particle":"","family":"Sgorbini","given":"Barbara","non-dropping-particle":"","parse-names":false,"suffix":""},{"dropping-particle":"","family":"Mondello","given":"Luigi","non-dropping-particle":"","parse-names":false,"suffix":""},{"dropping-particle":"","family":"Zellner","given":"Barbara d.Acampora","non-dropping-particle":"","parse-names":false,"suffix":""},{"dropping-particle":"","family":"Costa","given":"Rosaria","non-dropping-particle":"","parse-names":false,"suffix":""},{"dropping-particle":"","family":"Rubiolo","given":"Patrizia","non-dropping-particle":"","parse-names":false,"suffix":""}],"container-title":"Flavour and Fragrance Journal","id":"ITEM-2","issue":"6","issued":{"date-parts":[["2008"]]},"page":"382-391","title":"Quantitative analysis of essential oils: A complex task","type":"article-journal","volume":"23"},"uris":["http://www.mendeley.com/documents/?uuid=60849068-268d-3370-a057-f886cd3075e0"]}],"mendeley":{"formattedCitation":"(Bicchi et al., 2008; Cicchetti et al., 2008)","plainTextFormattedCitation":"(Bicchi et al., 2008; Cicchetti et al., 2008)","previouslyFormattedCitation":"(Bicchi et al., 2008; Cicchetti et al., 2008)"},"properties":{"noteIndex":0},"schema":"https://github.com/citation-style-language/schema/raw/master/csl-citation.json"}</w:instrText>
      </w:r>
      <w:r w:rsidR="00D721C0" w:rsidRPr="001824C4">
        <w:rPr>
          <w:lang w:val="en-GB"/>
        </w:rPr>
        <w:fldChar w:fldCharType="separate"/>
      </w:r>
      <w:r w:rsidR="001155DE" w:rsidRPr="001155DE">
        <w:rPr>
          <w:noProof/>
          <w:lang w:val="en-GB"/>
        </w:rPr>
        <w:t>(Bicchi et al., 2008; Cicchetti et al., 2008)</w:t>
      </w:r>
      <w:r w:rsidR="00D721C0" w:rsidRPr="001824C4">
        <w:rPr>
          <w:lang w:val="en-GB"/>
        </w:rPr>
        <w:fldChar w:fldCharType="end"/>
      </w:r>
      <w:r w:rsidR="00D721C0" w:rsidRPr="001824C4">
        <w:rPr>
          <w:lang w:val="en-GB"/>
        </w:rPr>
        <w:t xml:space="preserve">. </w:t>
      </w:r>
      <w:r w:rsidR="000A0ECA">
        <w:rPr>
          <w:lang w:val="en-GB"/>
        </w:rPr>
        <w:t xml:space="preserve">In addition, </w:t>
      </w:r>
      <w:r w:rsidR="00F262E1" w:rsidRPr="001824C4">
        <w:rPr>
          <w:lang w:val="en-GB"/>
        </w:rPr>
        <w:t>MS quantification i</w:t>
      </w:r>
      <w:r w:rsidR="00F2000B" w:rsidRPr="001824C4">
        <w:rPr>
          <w:lang w:val="en-GB"/>
        </w:rPr>
        <w:t>s affected by source conditions</w:t>
      </w:r>
      <w:r w:rsidR="00F262E1" w:rsidRPr="001824C4">
        <w:rPr>
          <w:lang w:val="en-GB"/>
        </w:rPr>
        <w:t xml:space="preserve"> and the detector response may not be constant</w:t>
      </w:r>
      <w:r w:rsidR="00F2000B" w:rsidRPr="001824C4">
        <w:rPr>
          <w:lang w:val="en-GB"/>
        </w:rPr>
        <w:t xml:space="preserve"> </w:t>
      </w:r>
      <w:r w:rsidR="00F2000B" w:rsidRPr="001824C4">
        <w:rPr>
          <w:lang w:val="en-GB"/>
        </w:rPr>
        <w:fldChar w:fldCharType="begin" w:fldLock="1"/>
      </w:r>
      <w:r w:rsidR="00640FE2">
        <w:rPr>
          <w:lang w:val="en-GB"/>
        </w:rPr>
        <w:instrText>ADDIN CSL_CITATION {"citationItems":[{"id":"ITEM-1","itemData":{"DOI":"10.1007/s00003-017-1127-8","ISBN":"0000301711278","ISSN":"16615751","author":[{"dropping-particle":"","family":"Biedermann","given":"Maurus","non-dropping-particle":"","parse-names":false,"suffix":""},{"dropping-particle":"","family":"McCombie","given":"Gregor","non-dropping-particle":"","parse-names":false,"suffix":""},{"dropping-particle":"","family":"Grob","given":"Koni","non-dropping-particle":"","parse-names":false,"suffix":""},{"dropping-particle":"","family":"Kappenstein","given":"Oliver","non-dropping-particle":"","parse-names":false,"suffix":""},{"dropping-particle":"","family":"Hutzler","given":"Christoph","non-dropping-particle":"","parse-names":false,"suffix":""},{"dropping-particle":"","family":"Pfaff","given":"Karla","non-dropping-particle":"","parse-names":false,"suffix":""},{"dropping-particle":"","family":"Luch","given":"Andreas","non-dropping-particle":"","parse-names":false,"suffix":""}],"container-title":"Journal fur Verbraucherschutz und Lebensmittelsicherheit","id":"ITEM-1","issue":"4","issued":{"date-parts":[["2017"]]},"page":"363-365","title":"FID or MS for mineral oil analysis?","type":"article-journal","volume":"12"},"uris":["http://www.mendeley.com/documents/?uuid=be04dd16-3672-3957-945a-f4e76f502a79"]}],"mendeley":{"formattedCitation":"(Biedermann et al., 2017)","plainTextFormattedCitation":"(Biedermann et al., 2017)","previouslyFormattedCitation":"(Biedermann et al., 2017)"},"properties":{"noteIndex":0},"schema":"https://github.com/citation-style-language/schema/raw/master/csl-citation.json"}</w:instrText>
      </w:r>
      <w:r w:rsidR="00F2000B" w:rsidRPr="001824C4">
        <w:rPr>
          <w:lang w:val="en-GB"/>
        </w:rPr>
        <w:fldChar w:fldCharType="separate"/>
      </w:r>
      <w:r w:rsidR="001155DE" w:rsidRPr="001155DE">
        <w:rPr>
          <w:noProof/>
          <w:lang w:val="en-GB"/>
        </w:rPr>
        <w:t>(Biedermann et al., 2017)</w:t>
      </w:r>
      <w:r w:rsidR="00F2000B" w:rsidRPr="001824C4">
        <w:rPr>
          <w:lang w:val="en-GB"/>
        </w:rPr>
        <w:fldChar w:fldCharType="end"/>
      </w:r>
      <w:r w:rsidR="00F262E1" w:rsidRPr="001824C4">
        <w:rPr>
          <w:lang w:val="en-GB"/>
        </w:rPr>
        <w:t xml:space="preserve">. </w:t>
      </w:r>
      <w:r w:rsidR="00255100">
        <w:rPr>
          <w:lang w:val="en-GB"/>
        </w:rPr>
        <w:t>Therefore, due to these critical aspects</w:t>
      </w:r>
      <w:r w:rsidR="00255100" w:rsidRPr="001824C4">
        <w:rPr>
          <w:lang w:val="en-GB"/>
        </w:rPr>
        <w:t>, using a semi-quantification may lead to a non-negligible error</w:t>
      </w:r>
      <w:r w:rsidR="00EE57FC">
        <w:rPr>
          <w:lang w:val="en-GB"/>
        </w:rPr>
        <w:t xml:space="preserve"> </w:t>
      </w:r>
      <w:r w:rsidR="00EE57FC">
        <w:rPr>
          <w:lang w:val="en-GB"/>
        </w:rPr>
        <w:fldChar w:fldCharType="begin" w:fldLock="1"/>
      </w:r>
      <w:r w:rsidR="00640FE2">
        <w:rPr>
          <w:lang w:val="en-GB"/>
        </w:rPr>
        <w:instrText>ADDIN CSL_CITATION {"citationItems":[{"id":"ITEM-1","itemData":{"DOI":"10.1016/J.ALGAL.2019.101449","ISSN":"2211-9264","abstract":"In this study, we compared the performances of three gas chromatography (GC) based microalgal fatty acid methyl esters (FAMEs) analysis methods that are regularly applied to biofuel research using microalgae, specifically the GC-flame ionization detector (GC-FID) with packed and capillary column and a GC-mass spectrometry (GC–MS) with capillary column. Three strains of Chlorophyta from distinct genera were assayed, namely Scenedesmus obliquus, Coelastrella sp., and Chlorella vulgaris grown in both synthetic growth medium and municipal wastewater. One-way ANOVA indicates statistically significant (p &lt; 0.05) discrepancies in total FAMEs quantification by GC, particularly in the case of the capillary GC-FID, which estimated lower values than the other two. FAMEs profiles were comparable between methods, while some minor differences were apparent; GC–MS showed the biggest divergence.","author":[{"dropping-particle":"","family":"Niemi","given":"Calle","non-dropping-particle":"","parse-names":false,"suffix":""},{"dropping-particle":"","family":"Lage","given":"Sandra","non-dropping-particle":"","parse-names":false,"suffix":""},{"dropping-particle":"","family":"Gentili","given":"Francesco G.","non-dropping-particle":"","parse-names":false,"suffix":""}],"container-title":"Algal Research","id":"ITEM-1","issued":{"date-parts":[["2019","5","1"]]},"page":"101449","publisher":"Elsevier","title":"Comparisons of analysis of fatty acid methyl ester (FAME) of microalgae by chromatographic techniques","type":"article-journal","volume":"39"},"uris":["http://www.mendeley.com/documents/?uuid=393c8448-5d38-35fc-9793-2abae95eac70"]}],"mendeley":{"formattedCitation":"(Niemi et al., 2019)","plainTextFormattedCitation":"(Niemi et al., 2019)","previouslyFormattedCitation":"(Niemi et al., 2019)"},"properties":{"noteIndex":0},"schema":"https://github.com/citation-style-language/schema/raw/master/csl-citation.json"}</w:instrText>
      </w:r>
      <w:r w:rsidR="00EE57FC">
        <w:rPr>
          <w:lang w:val="en-GB"/>
        </w:rPr>
        <w:fldChar w:fldCharType="separate"/>
      </w:r>
      <w:r w:rsidR="001155DE" w:rsidRPr="001155DE">
        <w:rPr>
          <w:noProof/>
          <w:lang w:val="en-GB"/>
        </w:rPr>
        <w:t>(Niemi et al., 2019)</w:t>
      </w:r>
      <w:r w:rsidR="00EE57FC">
        <w:rPr>
          <w:lang w:val="en-GB"/>
        </w:rPr>
        <w:fldChar w:fldCharType="end"/>
      </w:r>
      <w:r w:rsidR="00255100">
        <w:rPr>
          <w:lang w:val="en-GB"/>
        </w:rPr>
        <w:t>. In addition, f</w:t>
      </w:r>
      <w:r w:rsidR="000A0ECA">
        <w:rPr>
          <w:lang w:val="en-GB"/>
        </w:rPr>
        <w:t xml:space="preserve">ocusing on </w:t>
      </w:r>
      <w:r w:rsidR="00692919">
        <w:rPr>
          <w:lang w:val="en-GB"/>
        </w:rPr>
        <w:t xml:space="preserve">the </w:t>
      </w:r>
      <w:r w:rsidR="000A0ECA">
        <w:rPr>
          <w:lang w:val="en-GB"/>
        </w:rPr>
        <w:t>detection of compounds, m</w:t>
      </w:r>
      <w:r w:rsidR="001B3335" w:rsidRPr="001824C4">
        <w:rPr>
          <w:lang w:val="en-GB"/>
        </w:rPr>
        <w:t>ass spectrometer</w:t>
      </w:r>
      <w:r w:rsidR="00F2000B" w:rsidRPr="001824C4">
        <w:rPr>
          <w:lang w:val="en-GB"/>
        </w:rPr>
        <w:t xml:space="preserve">, </w:t>
      </w:r>
      <w:r w:rsidR="00CB5DAA" w:rsidRPr="001824C4">
        <w:rPr>
          <w:lang w:val="en-GB"/>
        </w:rPr>
        <w:t xml:space="preserve">used in </w:t>
      </w:r>
      <w:r w:rsidR="00F2000B" w:rsidRPr="001824C4">
        <w:rPr>
          <w:lang w:val="en-GB"/>
        </w:rPr>
        <w:t xml:space="preserve">TIC mode, </w:t>
      </w:r>
      <w:r w:rsidR="001B3335" w:rsidRPr="001824C4">
        <w:rPr>
          <w:lang w:val="en-GB"/>
        </w:rPr>
        <w:t xml:space="preserve">is a non-specific </w:t>
      </w:r>
      <w:r w:rsidR="00C84069" w:rsidRPr="001824C4">
        <w:rPr>
          <w:lang w:val="en-GB"/>
        </w:rPr>
        <w:t xml:space="preserve">detector. However, </w:t>
      </w:r>
      <w:r w:rsidR="00EE57FC">
        <w:rPr>
          <w:lang w:val="en-GB"/>
        </w:rPr>
        <w:t>discussing</w:t>
      </w:r>
      <w:r w:rsidR="004B460A" w:rsidRPr="001824C4">
        <w:rPr>
          <w:lang w:val="en-GB"/>
        </w:rPr>
        <w:t xml:space="preserve"> </w:t>
      </w:r>
      <w:r w:rsidR="00692919">
        <w:rPr>
          <w:lang w:val="en-GB"/>
        </w:rPr>
        <w:t xml:space="preserve">the </w:t>
      </w:r>
      <w:r w:rsidR="004B460A" w:rsidRPr="001824C4">
        <w:rPr>
          <w:lang w:val="en-GB"/>
        </w:rPr>
        <w:t xml:space="preserve">analysis of </w:t>
      </w:r>
      <w:r w:rsidR="00C84069" w:rsidRPr="001824C4">
        <w:rPr>
          <w:lang w:val="en-GB"/>
        </w:rPr>
        <w:t xml:space="preserve">specific classes of compounds, for example sulphur compounds, </w:t>
      </w:r>
      <w:r w:rsidR="004B460A" w:rsidRPr="001824C4">
        <w:rPr>
          <w:lang w:val="en-GB"/>
        </w:rPr>
        <w:t xml:space="preserve">MS </w:t>
      </w:r>
      <w:r w:rsidR="000A0ECA" w:rsidRPr="000A0ECA">
        <w:rPr>
          <w:lang w:val="en-GB"/>
        </w:rPr>
        <w:t xml:space="preserve">may not be as effective </w:t>
      </w:r>
      <w:r w:rsidR="000A0ECA" w:rsidRPr="000A0ECA">
        <w:rPr>
          <w:lang w:val="en-GB"/>
        </w:rPr>
        <w:lastRenderedPageBreak/>
        <w:t xml:space="preserve">and may have worse performance </w:t>
      </w:r>
      <w:r w:rsidR="004B460A" w:rsidRPr="001824C4">
        <w:rPr>
          <w:lang w:val="en-GB"/>
        </w:rPr>
        <w:t xml:space="preserve">(in terms of linearity, LOD and selectivity) compared to other detectors </w:t>
      </w:r>
      <w:r w:rsidR="00857CDF" w:rsidRPr="001824C4">
        <w:rPr>
          <w:lang w:val="en-GB"/>
        </w:rPr>
        <w:fldChar w:fldCharType="begin" w:fldLock="1"/>
      </w:r>
      <w:r w:rsidR="00640FE2">
        <w:rPr>
          <w:lang w:val="en-GB"/>
        </w:rPr>
        <w:instrText>ADDIN CSL_CITATION {"citationItems":[{"id":"ITEM-1","itemData":{"DOI":"10.1021/ef700362v","ISSN":"08870624","abstract":"A liquid chromatographic separation of polycyclic aromatic sulfur heterocycles (PASHs) from the polycyclic aromatic hydrocarbons (PAHs) is recommended to avoid interferences from the PAHs to ensure that the PASH determination is reliable when gas chromatography with mass-selective detection is employed. Examples are included that show that this separation also allows the PAHs to be analyzed correctly without interference of the PASHs. Sulfur aromatic compounds are frequently determined in geochemical investigations of crude oils, source rocks, and environmental samples and are used as markers for many properties of petroleum such as indicators for source rocks (carbonate vs siliciclastic) and maturity. Some interferences discussed here have been described previously, but the extent and consequences of them seem not to have found as much attention in practical work as would be expected. The step suggested involves a fast separation on a Pd(II)-containing stationary phase that allows the PASHs to be collected in a separate fraction that can be analyzed without interferences using any gas chromatographic detector. Examples are shown based on an Egyptian crude oil and standard reference material SRM 1580 shale oil. © 2007 American Chemical Society.","author":[{"dropping-particle":"","family":"Hegazi","given":"Abdelrahman H","non-dropping-particle":"","parse-names":false,"suffix":""},{"dropping-particle":"","family":"Andersson","given":"Jan T","non-dropping-particle":"","parse-names":false,"suffix":""}],"container-title":"Energy and Fuels","id":"ITEM-1","issue":"6","issued":{"date-parts":[["2007"]]},"page":"3375-3384","title":"Limitations to GC-MS determination of sulfur-containing polycyclic aromatic compounds in geochemical, petroleum, and environmental investigations","type":"article-journal","volume":"21"},"uris":["http://www.mendeley.com/documents/?uuid=1b9392c1-8f82-38c9-a673-61259b7d1711"]},{"id":"ITEM-2","itemData":{"DOI":"10.1016/J.FOODCHEM.2021.130741","ISSN":"18737072","PMID":"34399272","abstract":"Volatile sulfur-containing compounds (VSCs) provide an important contribution to foods due to their special odors. In this study, VSCs in 21 cold-pressed rapeseed oils (CROs) from 9 regions in China were extracted and separated by headspace solid-phase microextraction combined with gas chromatography coupled with sulfur chemiluminescence detection. 19 VSCs were identified by authentic standards, and the total concentration of VSCs in all CROs ranged from 49.0 to 18129 μg/kg. Dimethyl sulfide (DMS), with its high odor activity value (7–14574), was the most significant aroma contributor to the CROs. Furthermore, S-methylmethionine (SMM) in rapeseed was first affirmed by ultra-performance liquid chromatography–tandem mass spectrometry and isotope quantitation. The positive correlation coefficient between DMS and SMM was 0.793 (p &lt; 0.05), which confirmed SMM as a crucial precursor of DMS in CROs. This study provided a theoretical basis for selecting rapeseed materials by the distribution of essential VSCs and the source of DMS.","author":[{"dropping-particle":"","family":"Yu","given":"Pei","non-dropping-particle":"","parse-names":false,"suffix":""},{"dropping-particle":"","family":"Yang","given":"Yini","non-dropping-particle":"","parse-names":false,"suffix":""},{"dropping-particle":"","family":"Sun","given":"Jinyuan","non-dropping-particle":"","parse-names":false,"suffix":""},{"dropping-particle":"","family":"Jia","given":"Xiao","non-dropping-particle":"","parse-names":false,"suffix":""},{"dropping-particle":"","family":"Zheng","given":"Chang","non-dropping-particle":"","parse-names":false,"suffix":""},{"dropping-particle":"","family":"Zhou","given":"Qi","non-dropping-particle":"","parse-names":false,"suffix":""},{"dropping-particle":"","family":"Huang","given":"Fenghong","non-dropping-particle":"","parse-names":false,"suffix":""}],"container-title":"Food Chemistry","id":"ITEM-2","issued":{"date-parts":[["2022","1","15"]]},"publisher":"Elsevier Ltd","title":"Identification of volatile sulfur-containing compounds and the precursor of dimethyl sulfide in cold-pressed rapeseed oil by GC–SCD and UPLC–MS/MS","type":"article-journal","volume":"367"},"uris":["http://www.mendeley.com/documents/?uuid=a53c5ef5-7a05-32cd-b253-740f4c9680ce"]}],"mendeley":{"formattedCitation":"(Hegazi &amp; Andersson, 2007; Yu et al., 2022)","plainTextFormattedCitation":"(Hegazi &amp; Andersson, 2007; Yu et al., 2022)","previouslyFormattedCitation":"(Hegazi &amp; Andersson, 2007; Yu et al., 2022)"},"properties":{"noteIndex":0},"schema":"https://github.com/citation-style-language/schema/raw/master/csl-citation.json"}</w:instrText>
      </w:r>
      <w:r w:rsidR="00857CDF" w:rsidRPr="001824C4">
        <w:rPr>
          <w:lang w:val="en-GB"/>
        </w:rPr>
        <w:fldChar w:fldCharType="separate"/>
      </w:r>
      <w:r w:rsidR="001155DE" w:rsidRPr="001155DE">
        <w:rPr>
          <w:noProof/>
          <w:lang w:val="en-GB"/>
        </w:rPr>
        <w:t>(Hegazi &amp; Andersson, 2007; Yu et al., 2022)</w:t>
      </w:r>
      <w:r w:rsidR="00857CDF" w:rsidRPr="001824C4">
        <w:rPr>
          <w:lang w:val="en-GB"/>
        </w:rPr>
        <w:fldChar w:fldCharType="end"/>
      </w:r>
      <w:r w:rsidR="00C84069" w:rsidRPr="001824C4">
        <w:rPr>
          <w:lang w:val="en-GB"/>
        </w:rPr>
        <w:t>.</w:t>
      </w:r>
      <w:r w:rsidR="007028E0" w:rsidRPr="001824C4">
        <w:rPr>
          <w:lang w:val="en-GB"/>
        </w:rPr>
        <w:t xml:space="preserve"> For all these reasons, in </w:t>
      </w:r>
      <w:r w:rsidR="00692919">
        <w:rPr>
          <w:lang w:val="en-GB"/>
        </w:rPr>
        <w:t xml:space="preserve">the </w:t>
      </w:r>
      <w:r w:rsidR="007028E0" w:rsidRPr="001824C4">
        <w:rPr>
          <w:lang w:val="en-GB"/>
        </w:rPr>
        <w:t xml:space="preserve">case of untargeted analysis of odour samples, consisting of different and unknown compounds, </w:t>
      </w:r>
      <w:r w:rsidR="00F33F10" w:rsidRPr="001824C4">
        <w:rPr>
          <w:lang w:val="en-GB"/>
        </w:rPr>
        <w:t>GC-MS alone may not be sufficient for the complete chemical characterisation of odour emissions.</w:t>
      </w:r>
      <w:r w:rsidR="00320049" w:rsidRPr="001824C4">
        <w:rPr>
          <w:lang w:val="en-GB"/>
        </w:rPr>
        <w:t xml:space="preserve"> </w:t>
      </w:r>
      <w:r w:rsidR="00946762">
        <w:rPr>
          <w:lang w:val="en-GB"/>
        </w:rPr>
        <w:t>The obtainment of</w:t>
      </w:r>
      <w:r w:rsidR="003B3260" w:rsidRPr="001824C4">
        <w:rPr>
          <w:lang w:val="en-GB"/>
        </w:rPr>
        <w:t xml:space="preserve"> the </w:t>
      </w:r>
      <w:r w:rsidR="00EE57FC">
        <w:rPr>
          <w:lang w:val="en-GB"/>
        </w:rPr>
        <w:t xml:space="preserve">wide </w:t>
      </w:r>
      <w:r w:rsidR="003B3260" w:rsidRPr="001824C4">
        <w:rPr>
          <w:lang w:val="en-GB"/>
        </w:rPr>
        <w:t xml:space="preserve">characterisation can require the use of specific detectors, combined with gas chromatography (GC), to detect and quantify promptly </w:t>
      </w:r>
      <w:r w:rsidR="004B460A" w:rsidRPr="001824C4">
        <w:rPr>
          <w:lang w:val="en-GB"/>
        </w:rPr>
        <w:t>all the</w:t>
      </w:r>
      <w:r w:rsidR="003B3260" w:rsidRPr="001824C4">
        <w:rPr>
          <w:lang w:val="en-GB"/>
        </w:rPr>
        <w:t xml:space="preserve"> chemicals</w:t>
      </w:r>
      <w:r w:rsidR="004B460A" w:rsidRPr="001824C4">
        <w:rPr>
          <w:lang w:val="en-GB"/>
        </w:rPr>
        <w:t xml:space="preserve"> potentially present in odorous emissions.</w:t>
      </w:r>
      <w:r w:rsidR="003B3260" w:rsidRPr="001824C4">
        <w:rPr>
          <w:lang w:val="en-GB"/>
        </w:rPr>
        <w:t xml:space="preserve"> Therefore, t</w:t>
      </w:r>
      <w:r w:rsidR="00320049" w:rsidRPr="001824C4">
        <w:rPr>
          <w:lang w:val="en-GB"/>
        </w:rPr>
        <w:t xml:space="preserve">o overcome these criticalities, </w:t>
      </w:r>
      <w:r w:rsidR="00692919">
        <w:rPr>
          <w:lang w:val="en-GB"/>
        </w:rPr>
        <w:t>a</w:t>
      </w:r>
      <w:r w:rsidR="00042BCC" w:rsidRPr="001824C4">
        <w:rPr>
          <w:lang w:val="en-GB"/>
        </w:rPr>
        <w:t xml:space="preserve"> combination of different analytical techniques can be </w:t>
      </w:r>
      <w:r w:rsidR="003B3260" w:rsidRPr="001824C4">
        <w:rPr>
          <w:lang w:val="en-GB"/>
        </w:rPr>
        <w:t xml:space="preserve">adopted. </w:t>
      </w:r>
      <w:r w:rsidR="00EE57FC">
        <w:rPr>
          <w:lang w:val="en-GB"/>
        </w:rPr>
        <w:t>To resolve these critical aspects (</w:t>
      </w:r>
      <w:r w:rsidR="00EE57FC" w:rsidRPr="001824C4">
        <w:rPr>
          <w:lang w:val="en-GB"/>
        </w:rPr>
        <w:t xml:space="preserve">the necessity to adopt a semi-quantification of pollutants in untargeted analysis and the quantification problems associated with </w:t>
      </w:r>
      <w:r w:rsidR="00EE57FC">
        <w:rPr>
          <w:lang w:val="en-GB"/>
        </w:rPr>
        <w:t>MS detector)</w:t>
      </w:r>
      <w:r w:rsidR="00EE57FC" w:rsidRPr="001824C4">
        <w:rPr>
          <w:lang w:val="en-GB"/>
        </w:rPr>
        <w:t xml:space="preserve">, the use of detectors based on </w:t>
      </w:r>
      <w:r w:rsidR="00EE57FC">
        <w:rPr>
          <w:lang w:val="en-GB"/>
        </w:rPr>
        <w:t xml:space="preserve">element </w:t>
      </w:r>
      <w:r w:rsidR="00EE57FC" w:rsidRPr="001824C4">
        <w:rPr>
          <w:lang w:val="en-GB"/>
        </w:rPr>
        <w:t xml:space="preserve">response and comparatively simpler than MS </w:t>
      </w:r>
      <w:r w:rsidR="00EE57FC">
        <w:rPr>
          <w:lang w:val="en-GB"/>
        </w:rPr>
        <w:t>would be</w:t>
      </w:r>
      <w:r w:rsidR="00EE57FC" w:rsidRPr="001824C4">
        <w:rPr>
          <w:lang w:val="en-GB"/>
        </w:rPr>
        <w:t xml:space="preserve"> a better choice for quantification</w:t>
      </w:r>
      <w:r w:rsidR="00EE57FC">
        <w:rPr>
          <w:lang w:val="en-GB"/>
        </w:rPr>
        <w:t xml:space="preserve"> of single compounds</w:t>
      </w:r>
      <w:r w:rsidR="00EE57FC" w:rsidRPr="001824C4">
        <w:rPr>
          <w:lang w:val="en-GB"/>
        </w:rPr>
        <w:t xml:space="preserve">. In particular, for </w:t>
      </w:r>
      <w:r w:rsidR="00EE57FC">
        <w:rPr>
          <w:lang w:val="en-GB"/>
        </w:rPr>
        <w:t xml:space="preserve">the </w:t>
      </w:r>
      <w:r w:rsidR="00EE57FC" w:rsidRPr="001824C4">
        <w:rPr>
          <w:lang w:val="en-GB"/>
        </w:rPr>
        <w:t xml:space="preserve">quantification of organic compounds, FID detector appears the ideal solution for </w:t>
      </w:r>
      <w:r w:rsidR="00EE57FC">
        <w:rPr>
          <w:lang w:val="en-GB"/>
        </w:rPr>
        <w:t>more robust</w:t>
      </w:r>
      <w:r w:rsidR="00EE57FC" w:rsidRPr="001824C4">
        <w:rPr>
          <w:lang w:val="en-GB"/>
        </w:rPr>
        <w:t xml:space="preserve"> quantification of </w:t>
      </w:r>
      <w:r w:rsidR="00EE57FC">
        <w:rPr>
          <w:lang w:val="en-GB"/>
        </w:rPr>
        <w:t xml:space="preserve">carbon compounds, often present in odorous mixtures. </w:t>
      </w:r>
      <w:r w:rsidR="00EE57FC" w:rsidRPr="001824C4">
        <w:rPr>
          <w:lang w:val="en-GB"/>
        </w:rPr>
        <w:t>Indeed, FID provides, for</w:t>
      </w:r>
      <w:r w:rsidR="00EE57FC">
        <w:rPr>
          <w:lang w:val="en-GB"/>
        </w:rPr>
        <w:t xml:space="preserve"> similar</w:t>
      </w:r>
      <w:r w:rsidR="00EE57FC" w:rsidRPr="001824C4">
        <w:rPr>
          <w:lang w:val="en-GB"/>
        </w:rPr>
        <w:t xml:space="preserve"> hydrocarbons, a response correlated with the number of carbon atoms</w:t>
      </w:r>
      <w:r w:rsidR="00EE57FC">
        <w:rPr>
          <w:lang w:val="en-GB"/>
        </w:rPr>
        <w:t xml:space="preserve"> </w:t>
      </w:r>
      <w:r w:rsidR="00EE57FC">
        <w:rPr>
          <w:lang w:val="en-GB"/>
        </w:rPr>
        <w:fldChar w:fldCharType="begin" w:fldLock="1"/>
      </w:r>
      <w:r w:rsidR="00640FE2">
        <w:rPr>
          <w:lang w:val="en-GB"/>
        </w:rPr>
        <w:instrText>ADDIN CSL_CITATION {"citationItems":[{"id":"ITEM-1","itemData":{"DOI":"10.1021/ac1006574","ISSN":"00032700","abstract":"In a previous report, we validated the use of a database that compiled the relative response factors of flavor and fragrance compounds under standard GC conditions for a flame ionization detector. Here we investigate the prediction of unknown response factors from the molecular structure by using combustion enthalpies. In a first step, this enthalpy was well-predicted with either ab initio calculation or multiple linear regression based on the molecular formula. In a second step, good correlation was observed between these combustion enthalpies and experimental relative response factors, and so the response factors were predictable from only the molecular formula. With a database of 351 compounds, about 60% of them exhibited a difference of less than 5% between the predicted and experimental relative response factors and about 80% exhibited a difference of less than 10%. © 2010 American Chemical Society.","author":[{"dropping-particle":"","family":"Saint Laumer","given":"Jean Yves","non-dropping-particle":"De","parse-names":false,"suffix":""},{"dropping-particle":"","family":"Cicchetti","given":"Esmeralda","non-dropping-particle":"","parse-names":false,"suffix":""},{"dropping-particle":"","family":"Merle","given":"Philippe","non-dropping-particle":"","parse-names":false,"suffix":""},{"dropping-particle":"","family":"Egger","given":"Jonathan","non-dropping-particle":"","parse-names":false,"suffix":""},{"dropping-particle":"","family":"Chaintreau","given":"Alain","non-dropping-particle":"","parse-names":false,"suffix":""}],"container-title":"Analytical Chemistry","id":"ITEM-1","issue":"15","issued":{"date-parts":[["2010"]]},"page":"6457-6462","title":"Quantification in gas chromatography: Prediction of flame ionization detector response factors from combustion enthalpies and molecular structures","type":"article-journal","volume":"82"},"uris":["http://www.mendeley.com/documents/?uuid=c563684a-1a1c-40ba-ab76-24fb281d91ac"]}],"mendeley":{"formattedCitation":"(De Saint Laumer et al., 2010)","plainTextFormattedCitation":"(De Saint Laumer et al., 2010)","previouslyFormattedCitation":"(De Saint Laumer et al., 2010)"},"properties":{"noteIndex":0},"schema":"https://github.com/citation-style-language/schema/raw/master/csl-citation.json"}</w:instrText>
      </w:r>
      <w:r w:rsidR="00EE57FC">
        <w:rPr>
          <w:lang w:val="en-GB"/>
        </w:rPr>
        <w:fldChar w:fldCharType="separate"/>
      </w:r>
      <w:r w:rsidR="001155DE" w:rsidRPr="001155DE">
        <w:rPr>
          <w:noProof/>
          <w:lang w:val="en-GB"/>
        </w:rPr>
        <w:t>(De Saint Laumer et al., 2010)</w:t>
      </w:r>
      <w:r w:rsidR="00EE57FC">
        <w:rPr>
          <w:lang w:val="en-GB"/>
        </w:rPr>
        <w:fldChar w:fldCharType="end"/>
      </w:r>
      <w:r w:rsidR="00EE57FC" w:rsidRPr="001824C4">
        <w:rPr>
          <w:lang w:val="en-GB"/>
        </w:rPr>
        <w:t xml:space="preserve">. In addition, it is linear over a wide dynamic range and highly sensitive </w:t>
      </w:r>
      <w:r w:rsidR="00EE57FC" w:rsidRPr="001824C4">
        <w:rPr>
          <w:lang w:val="en-GB"/>
        </w:rPr>
        <w:fldChar w:fldCharType="begin" w:fldLock="1"/>
      </w:r>
      <w:r w:rsidR="00640FE2">
        <w:rPr>
          <w:lang w:val="en-GB"/>
        </w:rPr>
        <w:instrText>ADDIN CSL_CITATION {"citationItems":[{"id":"ITEM-1","itemData":{"DOI":"10.1016/J.ORGGEOCHEM.2017.10.003","ISSN":"0146-6380","abstract":"Quantitative and qualitative biomarker analysis using GC-MS or GC-MS/MS is limited by chromatographic separation and variable detector response. Here, we present a GC×GC method that provides absolute quantification and non-targeted pseudo MS-MS for all resolved saturated hydrocarbon components in petroleum. Two innovations make this possible: Agilent capillary flow technology (CFT) and the JEOL JMS-T100GCV 4G ToF-MS capable of electron impact (EI) and field ionization (FI) of the GC×GC effluent. Two sequential chromatograms run using EI- and FI-MS are combined, yielding pseudo parent-daughter spectra. The effluent is split at a constant ratio allowing for easy quantitation by FID and eliminating the need for determining MS-response factors. We demonstrate the technique as offering a means for universal biomarker analysis of saturated hydrocarbon fractions.","author":[{"dropping-particle":"","family":"Walters","given":"Clifford C.","non-dropping-particle":"","parse-names":false,"suffix":""},{"dropping-particle":"","family":"Wang","given":"Frank C.","non-dropping-particle":"","parse-names":false,"suffix":""},{"dropping-particle":"","family":"Higgins","given":"Meytal B.","non-dropping-particle":"","parse-names":false,"suffix":""},{"dropping-particle":"","family":"Madincea","given":"Marlene E.","non-dropping-particle":"","parse-names":false,"suffix":""}],"container-title":"Organic Geochemistry","id":"ITEM-1","issued":{"date-parts":[["2018","1","1"]]},"page":"57-66","publisher":"Pergamon","title":"Universal biomarker analysis using GC×GC with dual FID and ToF-MS (EI/FI) detection","type":"article-journal","volume":"115"},"uris":["http://www.mendeley.com/documents/?uuid=9ae867a3-a222-3d7b-8e21-db033de5788d"]}],"mendeley":{"formattedCitation":"(Walters et al., 2018)","plainTextFormattedCitation":"(Walters et al., 2018)","previouslyFormattedCitation":"(Walters et al., 2018)"},"properties":{"noteIndex":0},"schema":"https://github.com/citation-style-language/schema/raw/master/csl-citation.json"}</w:instrText>
      </w:r>
      <w:r w:rsidR="00EE57FC" w:rsidRPr="001824C4">
        <w:rPr>
          <w:lang w:val="en-GB"/>
        </w:rPr>
        <w:fldChar w:fldCharType="separate"/>
      </w:r>
      <w:r w:rsidR="001155DE" w:rsidRPr="001155DE">
        <w:rPr>
          <w:noProof/>
          <w:lang w:val="en-GB"/>
        </w:rPr>
        <w:t>(Walters et al., 2018)</w:t>
      </w:r>
      <w:r w:rsidR="00EE57FC" w:rsidRPr="001824C4">
        <w:rPr>
          <w:lang w:val="en-GB"/>
        </w:rPr>
        <w:fldChar w:fldCharType="end"/>
      </w:r>
      <w:r w:rsidR="00EE57FC" w:rsidRPr="001824C4">
        <w:rPr>
          <w:lang w:val="en-GB"/>
        </w:rPr>
        <w:t xml:space="preserve">. The combination of MS and FID to obtain qualitative information (using MS) and quantitative information (by FID) is already widespread practice </w:t>
      </w:r>
      <w:r w:rsidR="00EE57FC" w:rsidRPr="001824C4">
        <w:rPr>
          <w:lang w:val="en-GB"/>
        </w:rPr>
        <w:fldChar w:fldCharType="begin" w:fldLock="1"/>
      </w:r>
      <w:r w:rsidR="00640FE2">
        <w:rPr>
          <w:lang w:val="en-GB"/>
        </w:rPr>
        <w:instrText>ADDIN CSL_CITATION {"citationItems":[{"id":"ITEM-1","itemData":{"abstract":"With a development of the metabolomics field, complementary cross-platform approaches started to attract attention, as none of the contemporary analytical methods had the capacity to cover the entire space of the human metabolome. In the current manuscript, we have evaluated an online coupling of gas chromatography (GC)-mass spectrometry (MS) and flame ionization detector (FID) as ways of cross-detector analysis. The possible value of this combination was recognized from the very first days of GC-MS history but was never explored in detail. We have compared the basic analytical parameters of both detectors, such as limit of detection (LOD) and limit of quantification, with intra-and interday reproducibility. We show that for the majority of the tested compounds, MS detector demonstrates lower LOD. At the same time, FID appeared to be more robust, showing lower relative standard deviations (RSDs) for intra-and interday reproducibility. We conclude that the gain of this dual detector acquisition appears to be most evident for complex biological samples, where wide dynamic range and predictable response of FID are useful for an initial quantitative overview of sample composition and estimation of molar proportions of different metabolites. MS provides reliable, structural information and superior, at least in the case of atmospheric pressure chemical ionization, sensitivity. Taken together, both detectors represent a flexible tool for explorative studies and if supported by a powerful data-processing algorithm, would appear to be useful in any metabolic profiling study.","author":[{"dropping-particle":"","family":"Pacchiarotta","given":"Tiziana","non-dropping-particle":"","parse-names":false,"suffix":""},{"dropping-particle":"","family":"Nevedomskaya","given":"Ekaterina","non-dropping-particle":"","parse-names":false,"suffix":""},{"dropping-particle":"","family":"Carrasco-Pancorbo","given":"Alegria","non-dropping-particle":"","parse-names":false,"suffix":""},{"dropping-particle":"","family":"Deelder","given":"André M","non-dropping-particle":"","parse-names":false,"suffix":""},{"dropping-particle":"","family":"Mayboroda","given":"Oleg A","non-dropping-particle":"","parse-names":false,"suffix":""}],"id":"ITEM-1","issued":{"date-parts":[["2010"]]},"title":"Evaluation of GC-APCI/MS and GC-FID As a Complementary Platform","type":"article-journal"},"uris":["http://www.mendeley.com/documents/?uuid=56a6615d-b823-32f5-b9a9-03d632d58657"]},{"id":"ITEM-2","itemData":{"DOI":"10.1016/j.fuel.2020.119561","ISSN":"00162361","abstract":"Phenolic species have a great impact on the thermal oxidation stability of aviation fuels. However, it is difficult to measure phenolic complex composition and trace content. In this paper, a novel method based on tandem-solid phase extraction (SPE) with comprehensive two-dimensional gas chromatography (GC × GC)-mass spectrometry (MS) and flame ionization detector (FID) was proposed for measurement of phenolic species in aviation fuels. The tandem of normal phase SPE and anion exchange SPE was employed to extract non-hindered and hindered phenolic species respectively from aviation fuels, and comprehensive GC × GC–MS/FID was used to identify and quantify individual phenolic species with few co-elution. Ninety-eight kinds of phenolic species were identified manually in aviation fuels according to the characteristic m/z and phenolic distribution regular in the 2D chromatogram. Quantitative accuracy for phenolic species was verified as their recoveries were satisfactory, especially hindered phenols (BHT), which were totally deprotonated by 1,5,7-triazabicyclo[4.4.0]dec-5-ene (TBD). Each phenolic species was individually quantified using calibration curve library. Moreover, this work analyzed the adsorption characteristics of phenolic isomers in tandem-SPE procedure and the variation of the contents of phenolic and other oxygenated species after thermal stress. This is an accurate and complete method for measurement of non-hindered and hindered phenolic species in aviation fuels, which is of great significance to establish and improve the kinetic model of thermal oxidation deposition.","author":[{"dropping-particle":"","family":"Yuan","given":"Shiyu","non-dropping-particle":"","parse-names":false,"suffix":""},{"dropping-particle":"","family":"Li","given":"Haijing","non-dropping-particle":"","parse-names":false,"suffix":""},{"dropping-particle":"","family":"Liu","given":"Zhiqiang","non-dropping-particle":"","parse-names":false,"suffix":""},{"dropping-particle":"","family":"Wang","given":"Yutong","non-dropping-particle":"","parse-names":false,"suffix":""},{"dropping-particle":"","family":"Wang","given":"Li","non-dropping-particle":"","parse-names":false,"suffix":""},{"dropping-particle":"","family":"Zhang","given":"Xiangwen","non-dropping-particle":"","parse-names":false,"suffix":""},{"dropping-particle":"","family":"Liu","given":"Guozhu","non-dropping-particle":"","parse-names":false,"suffix":""}],"container-title":"Fuel","id":"ITEM-2","issued":{"date-parts":[["2021","3","1"]]},"page":"119561","publisher":"Elsevier Ltd","title":"Measurement of non-hindered and hindered phenolic species in aviation fuels via tandem-SPE with comprehensive GC × GC–MS/FID","type":"article-journal","volume":"287"},"uris":["http://www.mendeley.com/documents/?uuid=85436d0b-ac49-3471-8192-fc0719d9d622"]},{"id":"ITEM-3","itemData":{"DOI":"10.1016/j.fct.2019.111023","ISSN":"18736351","PMID":"31866146","abstract":"The present study evaluated the effect of the essential oil of Mikania cordifolia (EOMc) and its major constituent limonene alone or associated with antibacterial drugs against Multidrug Resistant Bacteria (MDR). To evaluate the antibacterial activity, the minimum inhibitory concentrations (MIC) of the oil and limonene against Pseudomonas aeruginosa, Escherichia coli and Staphylococcus aureus were determined. The antibiotic-modulating activity was assessed using subinhibitory concentrations (MIC/8) of these substances in combination with conventional antibacterial drugs. Although no relevant antibacterial activity of the natural products was detected, both substances modulated the action of antibiotics against resistant bacteria. The EOMc demonstrated the best modulating effect against P. aeruginosa, presenting synergistic effects when associated with gentamicin and norfloxacin. In addition, the oil reduced the MIC of norfloxacin against E. coli as well as reduced the MIC of gentamicin against S. aureus. On the other hand, the best effect of limonene was obtained against S. aureus. Thus, it is concluded that the essential oil Mikania cordifolia and the isolated compound limonene do not have clinically significant antibacterial effect, but modulate the action of antibiotics against MDR bacteria.","author":[{"dropping-particle":"","family":"Justino de Araújo","given":"Ana Carolina","non-dropping-particle":"","parse-names":false,"suffix":""},{"dropping-particle":"","family":"Freitas","given":"Priscilla Ramos","non-dropping-particle":"","parse-names":false,"suffix":""},{"dropping-particle":"","family":"Rodrigues dos Santos Barbosa","given":"Cristina","non-dropping-particle":"","parse-names":false,"suffix":""},{"dropping-particle":"","family":"Muniz","given":"Débora Feitosa","non-dropping-particle":"","parse-names":false,"suffix":""},{"dropping-particle":"","family":"Rocha","given":"Janaína Esmeraldo","non-dropping-particle":"","parse-names":false,"suffix":""},{"dropping-particle":"","family":"Albuquerque da Silva","given":"Ana Cristina","non-dropping-particle":"","parse-names":false,"suffix":""},{"dropping-particle":"","family":"Datiane de Morais Oliveira-Tintino","given":"Cícera","non-dropping-particle":"","parse-names":false,"suffix":""},{"dropping-particle":"","family":"Ribeiro-Filho","given":"Jaime","non-dropping-particle":"","parse-names":false,"suffix":""},{"dropping-particle":"","family":"Everson da Silva","given":"Luiz","non-dropping-particle":"","parse-names":false,"suffix":""},{"dropping-particle":"","family":"Confortin","given":"Camila","non-dropping-particle":"","parse-names":false,"suffix":""},{"dropping-particle":"do","family":"Amaral","given":"Wanderlei","non-dropping-particle":"","parse-names":false,"suffix":""},{"drop</w:instrText>
      </w:r>
      <w:r w:rsidR="00640FE2" w:rsidRPr="00640FE2">
        <w:rPr>
          <w:lang w:val="it-IT"/>
        </w:rPr>
        <w:instrText>ping-particle":"","family":"Deschamps","given":"Cícero","non-dropping-particle":"","parse-names":false,"suffix":""},{"dropping-particle":"","family":"Barbosa-Filho","given":"José Maria","non-dropping-particle":"","parse-names":false,"suffix":""},{"dropping-particle":"","family":"Ramos de Lima","given":"Natanael Teles","non-dropping-particle":"","parse-names":false,"suffix":""},{"dropping-particle":"","family":"Tintino","given":"Saulo Relison","non-dropping-particle":"","parse-names":false,"suffix":""},{"dropping-particle":"","family":"Melo Coutinho","given":"Henrique Douglas","non-dropping-particle":"","parse-names":false,"suffix":""}],"container-title":"Food and Chemical Toxicology","id":"ITEM-3","issued":{"date-parts":[["2020","2","1"]]},"publisher":"Elsevier Ltd","title":"GC-MS-FID characterization and antibacterial activity of the Mikania cordifolia essential oil and limonene against MDR strains","type":"article-journal","volume":"136"},"uris":["http://www.mendeley.com/documents/?uuid=40edfaeb-d1e4-35c5-bcee-ff449bd3b6a8"]}],"mendeley":{"formattedCitation":"(Justino de Araújo et al., 2020; Pacchiarotta et al., 2010; Yuan et al., 2021)","plainTextFormattedCitation":"(Justino de Araújo et al., 2020; Pacchiarotta et al., 2010; Yuan et al., 2021)","previouslyFormattedCitation":"(Justino de Araújo et al., 2020; Pacchiarotta et al., 2010; Yuan et al., 2021)"},"properties":{"noteIndex":0},"schema":"https://github.com/citation-style-language/schema/raw/master/csl-citation.json"}</w:instrText>
      </w:r>
      <w:r w:rsidR="00EE57FC" w:rsidRPr="001824C4">
        <w:rPr>
          <w:lang w:val="en-GB"/>
        </w:rPr>
        <w:fldChar w:fldCharType="separate"/>
      </w:r>
      <w:r w:rsidR="001155DE" w:rsidRPr="001155DE">
        <w:rPr>
          <w:noProof/>
          <w:lang w:val="it-IT"/>
        </w:rPr>
        <w:t>(Justino de Araújo et al., 2020; Pacchiarotta et al., 2010; Yuan et al., 2021)</w:t>
      </w:r>
      <w:r w:rsidR="00EE57FC" w:rsidRPr="001824C4">
        <w:rPr>
          <w:lang w:val="en-GB"/>
        </w:rPr>
        <w:fldChar w:fldCharType="end"/>
      </w:r>
      <w:r w:rsidR="00EE57FC" w:rsidRPr="001155DE">
        <w:rPr>
          <w:lang w:val="it-IT"/>
        </w:rPr>
        <w:t xml:space="preserve">. </w:t>
      </w:r>
      <w:r w:rsidR="00EE57FC" w:rsidRPr="001824C4">
        <w:rPr>
          <w:lang w:val="en-GB"/>
        </w:rPr>
        <w:t xml:space="preserve">However, to the best of our knowledge, the combination of a third detector (PFPD), equipped on the same GC, has not yet been widely used, particularly in the field of odour emissions. </w:t>
      </w:r>
      <w:r w:rsidR="00563679">
        <w:rPr>
          <w:lang w:val="en-GB"/>
        </w:rPr>
        <w:t>The</w:t>
      </w:r>
      <w:r w:rsidR="00EE57FC" w:rsidRPr="001824C4">
        <w:rPr>
          <w:lang w:val="en-GB"/>
        </w:rPr>
        <w:t xml:space="preserve"> implementation of </w:t>
      </w:r>
      <w:r w:rsidR="00EE57FC">
        <w:rPr>
          <w:lang w:val="en-GB"/>
        </w:rPr>
        <w:t xml:space="preserve">a </w:t>
      </w:r>
      <w:r w:rsidR="00EE57FC" w:rsidRPr="001824C4">
        <w:rPr>
          <w:lang w:val="en-GB"/>
        </w:rPr>
        <w:t xml:space="preserve">detector specific for </w:t>
      </w:r>
      <w:r w:rsidR="00EE57FC">
        <w:rPr>
          <w:lang w:val="en-GB"/>
        </w:rPr>
        <w:t>s</w:t>
      </w:r>
      <w:r w:rsidR="00EE57FC" w:rsidRPr="001824C4">
        <w:rPr>
          <w:lang w:val="en-GB"/>
        </w:rPr>
        <w:t>ulphur compounds can be a useful solution, due to the</w:t>
      </w:r>
      <w:r w:rsidR="00EE57FC">
        <w:rPr>
          <w:lang w:val="en-GB"/>
        </w:rPr>
        <w:t xml:space="preserve"> potential</w:t>
      </w:r>
      <w:r w:rsidR="00EE57FC" w:rsidRPr="001824C4">
        <w:rPr>
          <w:lang w:val="en-GB"/>
        </w:rPr>
        <w:t xml:space="preserve"> olfactory impact of these compounds. Indeed, the use of this additional detector allows not only the detection</w:t>
      </w:r>
      <w:r w:rsidR="00EE57FC">
        <w:rPr>
          <w:lang w:val="en-GB"/>
        </w:rPr>
        <w:t>,</w:t>
      </w:r>
      <w:r w:rsidR="00EE57FC" w:rsidRPr="001824C4">
        <w:rPr>
          <w:lang w:val="en-GB"/>
        </w:rPr>
        <w:t xml:space="preserve"> but also the specific quantification of sulphur compounds. PFPD provides an equal molar response</w:t>
      </w:r>
      <w:r w:rsidR="00EE57FC">
        <w:rPr>
          <w:lang w:val="en-GB"/>
        </w:rPr>
        <w:t xml:space="preserve"> to sulphur, regardless of the molecular structure </w:t>
      </w:r>
      <w:r w:rsidR="00EE57FC" w:rsidRPr="001824C4">
        <w:rPr>
          <w:lang w:val="en-GB"/>
        </w:rPr>
        <w:t>and it is highly sensitive</w:t>
      </w:r>
      <w:r w:rsidR="00EE57FC">
        <w:rPr>
          <w:lang w:val="en-GB"/>
        </w:rPr>
        <w:t xml:space="preserve"> </w:t>
      </w:r>
      <w:r w:rsidR="00EE57FC">
        <w:rPr>
          <w:lang w:val="en-GB"/>
        </w:rPr>
        <w:fldChar w:fldCharType="begin" w:fldLock="1"/>
      </w:r>
      <w:r w:rsidR="00640FE2">
        <w:rPr>
          <w:lang w:val="en-GB"/>
        </w:rPr>
        <w:instrText>ADDIN CSL_CITATION {"citationItems":[{"id":"ITEM-1","itemData":{"DOI":"10.1016/J.FUPROC.2011.07.017","ISSN":"0378-3820","abstract":"A pulsed flame photometric detector (PFPD) was calibrated using standard sulfur compounds present in gasoline and diesel fuels, in combination with a flame ionization detector (FID). Gasoline range standards were added to a hydrocarbon mixture simulating gasoline, with individual sulfur concentrations from 3 to 80 ppm. Diesel range standards were added to a low sulfur commercial diesel fuel, with sulfur concentrations from 10 to 100 ppm. In gasoline, both the chromatographic areas calculated with the linearized signal (data points elevated to a given power), and reported by the instrument were regressioned with the sulfur mass concentrations. In both cases the areas were normalized with the FID areas to reduce deviations. Results were better when using the linearized signal. Only the normalized areas calculated with the linearized signal can be used in the case of the diesel, due to significant peak coelution. Individual calibration coefficients were calculated for each standard, but overall coefficients can be used safely in each of the boiling ranges. The compliance of regulations about sulfur was verified in commercial fuels and the different sulfur compounds were inspected. The simultaneous combined FID-PFPD use allows adding the sulfur to the conventional analysis of liquid fuels (e.g. composition, simulated distillation). © 2011 Elsevier B.V. All rights reserved.","author":[{"dropping-particle":"","family":"Río","given":"Daniel","non-dropping-particle":"Del","parse-names":false,"suffix":""},{"dropping-particle":"","family":"Rey","given":"Marilín","non-dropping-particle":"","parse-names":false,"suffix":""},{"dropping-particle":"","family":"Sedran","given":"Ulises","non-dropping-particle":"","parse-names":false,"suffix":""},{"dropping-particle":"","family":"La Puente","given":"Gabriela","non-dropping-particle":"De","parse-names":false,"suffix":""}],"container-title":"Fuel Processing Technology","id":"ITEM-1","issue":"12","issued":{"date-parts":[["2011","12","1"]]},"page":"2278-2284","publisher":"Elsevier","title":"Combined PFPD–FID assessment of sulfur in liquid fuels","type":"article-journal","volume":"92"},"uris":["http://www.mendeley.com/documents/?uuid=505427c6-c03c-3bec-800d-2f71b818a600"]}],"mendeley":{"formattedCitation":"(Del Río et al., 2011)","plainTextFormattedCitation":"(Del Río et al., 2011)","previouslyFormattedCitation":"(Del Río et al., 2011)"},"properties":{"noteIndex":0},"schema":"https://github.com/citation-style-language/schema/raw/master/csl-citation.json"}</w:instrText>
      </w:r>
      <w:r w:rsidR="00EE57FC">
        <w:rPr>
          <w:lang w:val="en-GB"/>
        </w:rPr>
        <w:fldChar w:fldCharType="separate"/>
      </w:r>
      <w:r w:rsidR="001155DE" w:rsidRPr="001155DE">
        <w:rPr>
          <w:noProof/>
          <w:lang w:val="en-GB"/>
        </w:rPr>
        <w:t>(Del Río et al., 2011)</w:t>
      </w:r>
      <w:r w:rsidR="00EE57FC">
        <w:rPr>
          <w:lang w:val="en-GB"/>
        </w:rPr>
        <w:fldChar w:fldCharType="end"/>
      </w:r>
      <w:r w:rsidR="00EE57FC" w:rsidRPr="001824C4">
        <w:rPr>
          <w:lang w:val="en-GB"/>
        </w:rPr>
        <w:t>.</w:t>
      </w:r>
      <w:r w:rsidR="008A6DF1">
        <w:rPr>
          <w:lang w:val="en-GB"/>
        </w:rPr>
        <w:t xml:space="preserve"> </w:t>
      </w:r>
      <w:r w:rsidR="00EE57FC">
        <w:rPr>
          <w:lang w:val="en-GB"/>
        </w:rPr>
        <w:t xml:space="preserve">Therefore, by FID and PFPD signals, it is possible to quantify the molecules present in samples by using the response factor of the single compound </w:t>
      </w:r>
      <w:r w:rsidR="00EE57FC">
        <w:rPr>
          <w:lang w:val="en-GB"/>
        </w:rPr>
        <w:fldChar w:fldCharType="begin" w:fldLock="1"/>
      </w:r>
      <w:r w:rsidR="00640FE2">
        <w:rPr>
          <w:lang w:val="en-GB"/>
        </w:rPr>
        <w:instrText>ADDIN CSL_CITATION {"citationItems":[{"id":"ITEM-1","itemData":{"DOI":"10.1016/J.FUEL.2014.09.055","ISSN":"00162361","abstract":"The detailed composition of a shale oil was determined using a novel comprehensive 2D gas chromatographic (GC x GC) method, extending the method of Dijkmans et al. (2014). Four different detectors (flame ionization detector (FID), sulfur chemiluminescence detector (SCD), nitrogen chemiluminescence detector (NCD) and time of flight mass spectrometer (TOF-MS)) mounted on different GC x GC's were used. The use of two internal standards; 2-chloropyridine and 3-chlorothiophene; allowed quantification of the shale oil's composition by carbon number and by structural class. 20 different classes were detected in the shale oil: paraffins, isoparaffins, olefins/mononaphthenes, dinaphthenes, monoaromatics, naphthenoaromatics, diaromatics, naphthenodiaromatics, triaromatics, thiols/sulfides, benzothiophenes, naphtenobenzothiophenes, dibenzothiophenes, pyridines, anilines, quinolines, indoles, acridines, carbazoles and phenols. A significant amount of sulfur and nitrogen containing compounds, 2.2 wt% and 4.2 wt% respectively, were detected.","author":[{"dropping-particle":"","family":"Dijkmans","given":"Thomas","non-dropping-particle":"","parse-names":false,"suffix":""},{"dropping-particle":"","family":"Djokic","given":"Marko R.","non-dropping-particle":"","parse-names":false,"suffix":""},{"dropping-particle":"","family":"Geem","given":"Kevin M.","non-dropping-particle":"Van","parse-names":false,"suffix":""},{"dropping-particle":"","family":"Marin","given":"Guy B.","non-dropping-particle":"","parse-names":false,"suffix":""}],"container-title":"Fuel","id":"ITEM-1","issued":{"date-parts":[["2015","1","15"]]},"page":"398-406","publisher":"Elsevier Ltd","title":"Comprehensive compositional analysis of sulfur and nitrogen containing compounds in shale oil using GC x GC - FID/SCD/NCD/TOF-MS","type":"article-journal","volume":"140"},"uris":["http://www.mendeley.com/documents/?uuid=f6884d52-65d6-37ac-9b83-5e7142cf2687"]}],"mendeley":{"formattedCitation":"(Dijkmans et al., 2015)","plainTextFormattedCitation":"(Dijkmans et al., 2015)","previouslyFormattedCitation":"(Dijkmans et al., 2015)"},"properties":{"noteIndex":0},"schema":"https://github.com/citation-style-language/schema/raw/master/csl-citation.json"}</w:instrText>
      </w:r>
      <w:r w:rsidR="00EE57FC">
        <w:rPr>
          <w:lang w:val="en-GB"/>
        </w:rPr>
        <w:fldChar w:fldCharType="separate"/>
      </w:r>
      <w:r w:rsidR="001155DE" w:rsidRPr="001155DE">
        <w:rPr>
          <w:noProof/>
          <w:lang w:val="en-GB"/>
        </w:rPr>
        <w:t>(Dijkmans et al., 2015)</w:t>
      </w:r>
      <w:r w:rsidR="00EE57FC">
        <w:rPr>
          <w:lang w:val="en-GB"/>
        </w:rPr>
        <w:fldChar w:fldCharType="end"/>
      </w:r>
      <w:r w:rsidR="00EE57FC" w:rsidRPr="000B5F1D">
        <w:rPr>
          <w:lang w:val="en-GB"/>
        </w:rPr>
        <w:t>.</w:t>
      </w:r>
      <w:r w:rsidR="00EE57FC">
        <w:rPr>
          <w:lang w:val="en-GB"/>
        </w:rPr>
        <w:t xml:space="preserve"> This semi-quantification, </w:t>
      </w:r>
      <w:r w:rsidR="00EE57FC" w:rsidRPr="00077A92">
        <w:rPr>
          <w:lang w:val="en-GB"/>
        </w:rPr>
        <w:t>while preserving the advantages of time and cost savings,</w:t>
      </w:r>
      <w:r w:rsidR="00EE57FC">
        <w:rPr>
          <w:lang w:val="en-GB"/>
        </w:rPr>
        <w:t xml:space="preserve"> can lead to a minor quantification error.</w:t>
      </w:r>
      <w:r w:rsidR="008A6DF1">
        <w:rPr>
          <w:lang w:val="en-GB"/>
        </w:rPr>
        <w:t xml:space="preserve"> </w:t>
      </w:r>
      <w:r w:rsidR="00EE57FC">
        <w:rPr>
          <w:lang w:val="en-GB"/>
        </w:rPr>
        <w:t>Therefore, t</w:t>
      </w:r>
      <w:r w:rsidR="004F1FC5" w:rsidRPr="001824C4">
        <w:rPr>
          <w:lang w:val="en-GB"/>
        </w:rPr>
        <w:t xml:space="preserve">his study aims to evaluate the </w:t>
      </w:r>
      <w:r w:rsidR="00EE57FC">
        <w:rPr>
          <w:lang w:val="en-GB"/>
        </w:rPr>
        <w:t>applicability</w:t>
      </w:r>
      <w:r w:rsidR="004F1FC5" w:rsidRPr="001824C4">
        <w:rPr>
          <w:lang w:val="en-GB"/>
        </w:rPr>
        <w:t xml:space="preserve"> </w:t>
      </w:r>
      <w:r w:rsidR="003B3260" w:rsidRPr="001824C4">
        <w:rPr>
          <w:lang w:val="en-GB"/>
        </w:rPr>
        <w:t xml:space="preserve">to the </w:t>
      </w:r>
      <w:r w:rsidR="00EE57FC">
        <w:rPr>
          <w:lang w:val="en-GB"/>
        </w:rPr>
        <w:t xml:space="preserve">odours’ </w:t>
      </w:r>
      <w:r w:rsidR="003B3260" w:rsidRPr="001824C4">
        <w:rPr>
          <w:lang w:val="en-GB"/>
        </w:rPr>
        <w:t xml:space="preserve">analysis </w:t>
      </w:r>
      <w:r w:rsidR="004F1FC5" w:rsidRPr="001824C4">
        <w:rPr>
          <w:lang w:val="en-GB"/>
        </w:rPr>
        <w:t>of a gas chromatograph equipped with three detectors in parallel</w:t>
      </w:r>
      <w:r w:rsidR="003B3260" w:rsidRPr="001824C4">
        <w:rPr>
          <w:lang w:val="en-GB"/>
        </w:rPr>
        <w:t xml:space="preserve"> (MS, Flame Ionization Detector (FID) and Pulsed Flame Photometric Detector (PFPD)). </w:t>
      </w:r>
      <w:r w:rsidR="002E5526" w:rsidRPr="001824C4">
        <w:rPr>
          <w:lang w:val="en-GB"/>
        </w:rPr>
        <w:t xml:space="preserve">In particular, this study aims to investigate the possibility of applying this type of instrumentation to obtain the </w:t>
      </w:r>
      <w:r w:rsidR="00033878">
        <w:rPr>
          <w:lang w:val="en-GB"/>
        </w:rPr>
        <w:t>wide</w:t>
      </w:r>
      <w:r w:rsidR="002E5526" w:rsidRPr="001824C4">
        <w:rPr>
          <w:lang w:val="en-GB"/>
        </w:rPr>
        <w:t xml:space="preserve"> characterization of odorous </w:t>
      </w:r>
      <w:r w:rsidR="00946762">
        <w:rPr>
          <w:lang w:val="en-GB"/>
        </w:rPr>
        <w:t>gas samples</w:t>
      </w:r>
      <w:r w:rsidR="002E5526" w:rsidRPr="001824C4">
        <w:rPr>
          <w:lang w:val="en-GB"/>
        </w:rPr>
        <w:t xml:space="preserve">, considering the critical aspects observed during the untargeted measurement of this </w:t>
      </w:r>
      <w:r w:rsidR="00946762">
        <w:rPr>
          <w:lang w:val="en-GB"/>
        </w:rPr>
        <w:t>kind of analysis</w:t>
      </w:r>
      <w:r w:rsidR="002E5526" w:rsidRPr="001824C4">
        <w:rPr>
          <w:lang w:val="en-GB"/>
        </w:rPr>
        <w:t>.</w:t>
      </w:r>
    </w:p>
    <w:p w14:paraId="3ED01E29" w14:textId="709ACD97" w:rsidR="002E5526" w:rsidRPr="001824C4" w:rsidRDefault="002E5526" w:rsidP="002E5526">
      <w:pPr>
        <w:pStyle w:val="CETHeading1"/>
        <w:rPr>
          <w:lang w:val="en-GB"/>
        </w:rPr>
      </w:pPr>
      <w:r w:rsidRPr="001824C4">
        <w:rPr>
          <w:lang w:val="en-GB"/>
        </w:rPr>
        <w:t>Materials and methods</w:t>
      </w:r>
    </w:p>
    <w:p w14:paraId="2D81B37E" w14:textId="3008A7BB" w:rsidR="002E5526" w:rsidRPr="001824C4" w:rsidRDefault="002E5526" w:rsidP="009D29F2">
      <w:pPr>
        <w:pStyle w:val="CETheadingx"/>
      </w:pPr>
      <w:r w:rsidRPr="001824C4">
        <w:t>Samples collection</w:t>
      </w:r>
    </w:p>
    <w:p w14:paraId="434BAD76" w14:textId="77777777" w:rsidR="009D29F2" w:rsidRDefault="00E806AF" w:rsidP="009D29F2">
      <w:pPr>
        <w:spacing w:before="240"/>
      </w:pPr>
      <w:r w:rsidRPr="001824C4">
        <w:t>Samples were collected at</w:t>
      </w:r>
      <w:r w:rsidR="00E805EB" w:rsidRPr="001824C4">
        <w:t xml:space="preserve"> a wastewater treatment plant (WWTP), which treats local residential wastewater. </w:t>
      </w:r>
      <w:r w:rsidR="00CA29D6" w:rsidRPr="00CA29D6">
        <w:t xml:space="preserve">As a preliminary study, three samples were </w:t>
      </w:r>
      <w:r w:rsidR="00B57378">
        <w:t>collected</w:t>
      </w:r>
      <w:r w:rsidR="00CA29D6" w:rsidRPr="00CA29D6">
        <w:t xml:space="preserve"> from the same sampling point and analysed</w:t>
      </w:r>
      <w:r w:rsidR="00E07959">
        <w:t xml:space="preserve"> on the same day</w:t>
      </w:r>
      <w:r w:rsidR="00CA29D6" w:rsidRPr="00CA29D6">
        <w:t xml:space="preserve">. </w:t>
      </w:r>
      <w:r w:rsidR="001824C4" w:rsidRPr="001824C4">
        <w:t>Gaseous</w:t>
      </w:r>
      <w:r w:rsidR="00082076" w:rsidRPr="001824C4">
        <w:t xml:space="preserve"> emissions</w:t>
      </w:r>
      <w:r w:rsidR="00B471F8">
        <w:t xml:space="preserve"> </w:t>
      </w:r>
      <w:r w:rsidR="00B471F8" w:rsidRPr="001824C4">
        <w:t>were collected</w:t>
      </w:r>
      <w:r w:rsidR="002D2A2F" w:rsidRPr="001824C4">
        <w:t xml:space="preserve"> at the stack conveying the air exhaust from </w:t>
      </w:r>
      <w:r w:rsidR="00017C30">
        <w:t>a</w:t>
      </w:r>
      <w:r w:rsidR="00017C30" w:rsidRPr="001824C4">
        <w:t xml:space="preserve"> </w:t>
      </w:r>
      <w:r w:rsidR="002D2A2F" w:rsidRPr="001824C4">
        <w:t>scrubber</w:t>
      </w:r>
      <w:r w:rsidR="00017C30">
        <w:t xml:space="preserve">, </w:t>
      </w:r>
      <w:r w:rsidR="00017C30" w:rsidRPr="00017C30">
        <w:t>which treats department air from different processing areas</w:t>
      </w:r>
      <w:r w:rsidR="00017C30">
        <w:t xml:space="preserve">,. </w:t>
      </w:r>
      <w:r w:rsidR="00E805EB" w:rsidRPr="001824C4">
        <w:t xml:space="preserve">According to </w:t>
      </w:r>
      <w:r w:rsidR="00640FE2">
        <w:fldChar w:fldCharType="begin" w:fldLock="1"/>
      </w:r>
      <w:r w:rsidR="00421507">
        <w:instrText>ADDIN CSL_CITATION {"citationItems":[{"id":"ITEM-1","itemData":{"author":[{"dropping-particle":"","family":"EN 13725:2022","given":"","non-dropping-particle":"","parse-names":false,"suffix":""}],"id":"ITEM-1","issued":{"date-parts":[["2022"]]},"title":"Stationary source emissions - Determination of odour concentration by dynamic olfactometry and odour","type":"book"},"uris":["http://www.mendeley.com/documents/?uuid=dd93b0e7-aac8-4488-b71f-615a887ce5d7"]}],"mendeley":{"formattedCitation":"(EN 13725:2022, 2022)","manualFormatting":"EN 13725:2022","plainTextFormattedCitation":"(EN 13725:2022, 2022)","previouslyFormattedCitation":"(EN 13725:2022, 2022)"},"properties":{"noteIndex":0},"schema":"https://github.com/citation-style-language/schema/raw/master/csl-citation.json"}</w:instrText>
      </w:r>
      <w:r w:rsidR="00640FE2">
        <w:fldChar w:fldCharType="separate"/>
      </w:r>
      <w:r w:rsidR="00640FE2" w:rsidRPr="00640FE2">
        <w:t>EN 13725:2022</w:t>
      </w:r>
      <w:r w:rsidR="00640FE2">
        <w:fldChar w:fldCharType="end"/>
      </w:r>
      <w:r w:rsidR="00E805EB" w:rsidRPr="001824C4">
        <w:t xml:space="preserve">, </w:t>
      </w:r>
      <w:r w:rsidR="001C6928" w:rsidRPr="001824C4">
        <w:t>gaseous</w:t>
      </w:r>
      <w:r w:rsidR="00E805EB" w:rsidRPr="001824C4">
        <w:t xml:space="preserve"> emissions were </w:t>
      </w:r>
      <w:r w:rsidR="001C6928" w:rsidRPr="001824C4">
        <w:t>s</w:t>
      </w:r>
      <w:r w:rsidR="00E805EB" w:rsidRPr="001824C4">
        <w:t>ampled using Nalophan</w:t>
      </w:r>
      <w:r w:rsidR="00E805EB" w:rsidRPr="009D29F2">
        <w:t xml:space="preserve">TM </w:t>
      </w:r>
      <w:r w:rsidR="00E805EB" w:rsidRPr="001824C4">
        <w:t>bags</w:t>
      </w:r>
      <w:r w:rsidR="001C6928" w:rsidRPr="001824C4">
        <w:t xml:space="preserve"> (6 L)</w:t>
      </w:r>
      <w:r w:rsidR="00E805EB" w:rsidRPr="001824C4">
        <w:t xml:space="preserve"> equipped with a Teflon</w:t>
      </w:r>
      <w:r w:rsidR="00E805EB" w:rsidRPr="009D29F2">
        <w:t>TM</w:t>
      </w:r>
      <w:r w:rsidR="00E805EB" w:rsidRPr="001824C4">
        <w:t xml:space="preserve"> inlet tube. </w:t>
      </w:r>
      <w:r w:rsidR="00B471F8">
        <w:t xml:space="preserve">These materials are odourless </w:t>
      </w:r>
      <w:r w:rsidR="000F2E18" w:rsidRPr="000F2E18">
        <w:t>and are commonly used in dynamic olfactometry</w:t>
      </w:r>
      <w:r w:rsidR="00B57378">
        <w:t xml:space="preserve"> and </w:t>
      </w:r>
      <w:r w:rsidR="00B57378" w:rsidRPr="00B57378">
        <w:t>using these materials allows chemical and olfactometric analysis to be performed in the same time.</w:t>
      </w:r>
      <w:r w:rsidR="00B57378">
        <w:t xml:space="preserve"> These materials are also </w:t>
      </w:r>
      <w:r w:rsidR="00B57378" w:rsidRPr="00B57378">
        <w:t>non-reusable</w:t>
      </w:r>
      <w:r w:rsidR="00D423DE" w:rsidRPr="00D423DE">
        <w:t xml:space="preserve">therefore do not require determine the </w:t>
      </w:r>
      <w:r w:rsidR="00D423DE">
        <w:t xml:space="preserve">container’s </w:t>
      </w:r>
      <w:r w:rsidR="00D423DE" w:rsidRPr="00D423DE">
        <w:t>background</w:t>
      </w:r>
      <w:r w:rsidR="00D423DE">
        <w:t xml:space="preserve">. </w:t>
      </w:r>
      <w:r w:rsidR="00E805EB" w:rsidRPr="001824C4">
        <w:t xml:space="preserve">Air samples were collected using a vacuum pump to collect the gas directly into the sampling bag, due to the depression, </w:t>
      </w:r>
      <w:r w:rsidR="001C6928" w:rsidRPr="001824C4">
        <w:t>to prevent</w:t>
      </w:r>
      <w:r w:rsidR="00E805EB" w:rsidRPr="001824C4">
        <w:t xml:space="preserve"> contamination</w:t>
      </w:r>
      <w:r w:rsidR="001C6928" w:rsidRPr="001824C4">
        <w:t>s. After the sampling, the bags were directly analysed by GC analysis.</w:t>
      </w:r>
    </w:p>
    <w:p w14:paraId="22962E0A" w14:textId="20E66F61" w:rsidR="001C6928" w:rsidRPr="001824C4" w:rsidRDefault="001C6928" w:rsidP="009D29F2">
      <w:pPr>
        <w:pStyle w:val="CETheadingx"/>
      </w:pPr>
      <w:r w:rsidRPr="001824C4">
        <w:t>Chemical instrumentation and analysis</w:t>
      </w:r>
    </w:p>
    <w:p w14:paraId="35EA2121" w14:textId="47B1D8D4" w:rsidR="00A87038" w:rsidRDefault="001C6928" w:rsidP="00C15806">
      <w:pPr>
        <w:spacing w:before="240"/>
      </w:pPr>
      <w:r w:rsidRPr="001824C4">
        <w:t xml:space="preserve">The analysis of odorous samples was conducted by a gas chromatograph (Agilent, mod. 8890), equipped with a </w:t>
      </w:r>
      <w:r w:rsidR="00C15806">
        <w:t xml:space="preserve">single quadrupole mass selective detector </w:t>
      </w:r>
      <w:r w:rsidRPr="001824C4">
        <w:t>(Agilent 5977B MSD), a Flame Ionization Detector (FID</w:t>
      </w:r>
      <w:r w:rsidR="00021EEB">
        <w:t>, Agilent</w:t>
      </w:r>
      <w:r w:rsidRPr="001824C4">
        <w:t>) and a Pulsed Flame Photometric Detector (PFPD, OI Analytical mod. OI 583</w:t>
      </w:r>
      <w:r w:rsidR="00033878">
        <w:t>3</w:t>
      </w:r>
      <w:r w:rsidRPr="001824C4">
        <w:t>).</w:t>
      </w:r>
      <w:r w:rsidR="00A87038">
        <w:t xml:space="preserve"> A </w:t>
      </w:r>
      <w:r w:rsidR="00A87038" w:rsidRPr="00A87038">
        <w:t xml:space="preserve">diagram of the </w:t>
      </w:r>
      <w:r w:rsidR="00A87038">
        <w:t xml:space="preserve">system is reported in </w:t>
      </w:r>
      <w:r w:rsidR="006E097E">
        <w:fldChar w:fldCharType="begin"/>
      </w:r>
      <w:r w:rsidR="006E097E">
        <w:instrText xml:space="preserve"> REF _Ref101549026 \h </w:instrText>
      </w:r>
      <w:r w:rsidR="006E097E">
        <w:fldChar w:fldCharType="separate"/>
      </w:r>
      <w:r w:rsidR="00EE57FC">
        <w:t xml:space="preserve">Figure </w:t>
      </w:r>
      <w:r w:rsidR="00EE57FC">
        <w:rPr>
          <w:noProof/>
        </w:rPr>
        <w:t>1</w:t>
      </w:r>
      <w:r w:rsidR="006E097E">
        <w:fldChar w:fldCharType="end"/>
      </w:r>
      <w:r w:rsidR="00EE57FC">
        <w:t>.</w:t>
      </w:r>
      <w:r w:rsidR="00783ED3">
        <w:t xml:space="preserve"> </w:t>
      </w:r>
      <w:r w:rsidR="00783ED3" w:rsidRPr="001824C4">
        <w:t xml:space="preserve">This combination was adopted to obtain the specific detection and quantification of organic compounds by FID analysis, sulphur compounds by PFPD and the identification of the compounds, by MS analysis, </w:t>
      </w:r>
      <w:r w:rsidR="00783ED3">
        <w:t>by</w:t>
      </w:r>
      <w:r w:rsidR="00783ED3" w:rsidRPr="001824C4">
        <w:t xml:space="preserve"> </w:t>
      </w:r>
      <w:r w:rsidR="00783ED3">
        <w:t xml:space="preserve">comparing the generated spectra </w:t>
      </w:r>
      <w:r w:rsidR="00783ED3" w:rsidRPr="001824C4">
        <w:t xml:space="preserve">with </w:t>
      </w:r>
      <w:r w:rsidR="00783ED3">
        <w:t>library ones</w:t>
      </w:r>
      <w:r w:rsidR="00783ED3" w:rsidRPr="001824C4">
        <w:t xml:space="preserve">. The air samples were collected directly from the Nalophan™ sampling bags, </w:t>
      </w:r>
      <w:r w:rsidR="00783ED3" w:rsidRPr="001824C4">
        <w:rPr>
          <w:rFonts w:cs="Arial"/>
        </w:rPr>
        <w:t xml:space="preserve">using a calibrated pump (Markes, Air Server-xr) and sent to thermal desorption (Markes, Unity-xr). After the sampling, the gas was sent to a cryofocusing trap maintained at −27 °C. After that, the cold trap was heated from −27 °C to 300 °C. After this step, the compounds were transferred by hot transfer line (200 °C) </w:t>
      </w:r>
      <w:r w:rsidR="00021EEB">
        <w:rPr>
          <w:rFonts w:cs="Arial"/>
        </w:rPr>
        <w:t>i</w:t>
      </w:r>
      <w:r w:rsidR="00783ED3" w:rsidRPr="001824C4">
        <w:rPr>
          <w:rFonts w:cs="Arial"/>
        </w:rPr>
        <w:t>nto the capillary column (DB-Sulfur SCD, 60 m×0.320 mm×4.20 μm, Agilent J&amp;W, Folsom, CA, USA)</w:t>
      </w:r>
      <w:r w:rsidR="00783ED3" w:rsidRPr="001824C4">
        <w:t xml:space="preserve">. After the chromatographic run, the gas flow is split </w:t>
      </w:r>
      <w:r w:rsidR="00B516AB" w:rsidRPr="00B516AB">
        <w:t>into equal portions</w:t>
      </w:r>
      <w:r w:rsidR="00B516AB">
        <w:t xml:space="preserve"> </w:t>
      </w:r>
      <w:r w:rsidR="00783ED3" w:rsidRPr="001824C4">
        <w:t>between the three detectors at the end of the chromatographic column by</w:t>
      </w:r>
      <w:r w:rsidR="006D394E">
        <w:t xml:space="preserve"> </w:t>
      </w:r>
      <w:r w:rsidR="006D394E" w:rsidRPr="001824C4">
        <w:t>a capillary flow technology splitter (Agilent Splitter CFT)</w:t>
      </w:r>
      <w:r w:rsidR="00783ED3" w:rsidRPr="001824C4">
        <w:t xml:space="preserve">. </w:t>
      </w:r>
      <w:r w:rsidR="001E4B91" w:rsidRPr="001824C4">
        <w:t>Therefore,</w:t>
      </w:r>
      <w:r w:rsidR="00783ED3" w:rsidRPr="001824C4">
        <w:t xml:space="preserve"> a simultaneous acquisition with MS</w:t>
      </w:r>
      <w:r w:rsidR="00783ED3">
        <w:t xml:space="preserve"> (operated in TIC mode)</w:t>
      </w:r>
      <w:r w:rsidR="00783ED3" w:rsidRPr="001824C4">
        <w:t xml:space="preserve">, FID and PFPD detectors was conducted and three different and overlapping chromatograms are registered during a single chromatographic run. Discussing the </w:t>
      </w:r>
      <w:r w:rsidR="00783ED3" w:rsidRPr="001824C4">
        <w:lastRenderedPageBreak/>
        <w:t>detectors</w:t>
      </w:r>
      <w:r w:rsidR="001E4B91">
        <w:t>’</w:t>
      </w:r>
      <w:r w:rsidR="00783ED3" w:rsidRPr="001824C4">
        <w:t xml:space="preserve"> setting, mass spectral data were acquired over a mass range of 40–350 u and a solvent delay of 3.5 min. was set to remove the CO</w:t>
      </w:r>
      <w:r w:rsidR="00783ED3" w:rsidRPr="001824C4">
        <w:rPr>
          <w:vertAlign w:val="subscript"/>
        </w:rPr>
        <w:t>2</w:t>
      </w:r>
      <w:r w:rsidR="00783ED3" w:rsidRPr="001824C4">
        <w:t xml:space="preserve"> signal due to the sample matrix, </w:t>
      </w:r>
      <w:r w:rsidR="00783ED3">
        <w:t xml:space="preserve">the </w:t>
      </w:r>
      <w:r w:rsidR="00783ED3" w:rsidRPr="001824C4">
        <w:t xml:space="preserve">temperature was equal to 150 °C for FID and 100 °C for PFPD. </w:t>
      </w:r>
      <w:r w:rsidR="00783ED3" w:rsidRPr="001824C4">
        <w:rPr>
          <w:rFonts w:cs="Arial"/>
        </w:rPr>
        <w:t xml:space="preserve">The identification of the compounds was conducted </w:t>
      </w:r>
      <w:r w:rsidR="00783ED3">
        <w:rPr>
          <w:rFonts w:cs="Arial"/>
        </w:rPr>
        <w:t xml:space="preserve">by </w:t>
      </w:r>
      <w:r w:rsidR="00783ED3" w:rsidRPr="001824C4">
        <w:rPr>
          <w:rFonts w:cs="Arial"/>
        </w:rPr>
        <w:t>comparing the spectra obtained by GC-MS analyses with the NIST20 database (NIST/EPA/NIH Mass Spectral Library, Version 2.4 Mar 25</w:t>
      </w:r>
      <w:r w:rsidR="00D26C69" w:rsidRPr="001824C4">
        <w:rPr>
          <w:rFonts w:cs="Arial"/>
        </w:rPr>
        <w:t xml:space="preserve"> 2020</w:t>
      </w:r>
      <w:r w:rsidR="00783ED3" w:rsidRPr="001824C4">
        <w:rPr>
          <w:rFonts w:cs="Arial"/>
        </w:rPr>
        <w:t xml:space="preserve">). </w:t>
      </w:r>
      <w:r w:rsidR="000753BA">
        <w:rPr>
          <w:rFonts w:cs="Arial"/>
        </w:rPr>
        <w:fldChar w:fldCharType="begin"/>
      </w:r>
      <w:r w:rsidR="000753BA">
        <w:rPr>
          <w:rFonts w:cs="Arial"/>
        </w:rPr>
        <w:instrText xml:space="preserve"> REF _Ref101549026 \h </w:instrText>
      </w:r>
      <w:r w:rsidR="000753BA">
        <w:rPr>
          <w:rFonts w:cs="Arial"/>
        </w:rPr>
      </w:r>
      <w:r w:rsidR="000753BA">
        <w:rPr>
          <w:rFonts w:cs="Arial"/>
        </w:rPr>
        <w:fldChar w:fldCharType="separate"/>
      </w:r>
      <w:r w:rsidR="000753BA">
        <w:t xml:space="preserve">Figure </w:t>
      </w:r>
      <w:r w:rsidR="000753BA">
        <w:rPr>
          <w:noProof/>
        </w:rPr>
        <w:t>1</w:t>
      </w:r>
      <w:r w:rsidR="000753BA">
        <w:rPr>
          <w:rFonts w:cs="Arial"/>
        </w:rPr>
        <w:fldChar w:fldCharType="end"/>
      </w:r>
      <w:r w:rsidR="000753BA">
        <w:rPr>
          <w:rFonts w:cs="Arial"/>
        </w:rPr>
        <w:t xml:space="preserve"> </w:t>
      </w:r>
      <w:r w:rsidR="00783ED3" w:rsidRPr="001824C4">
        <w:rPr>
          <w:rFonts w:cs="Arial"/>
        </w:rPr>
        <w:t>shows the instrumentation adopted for the analyses</w:t>
      </w:r>
      <w:r w:rsidR="00021EEB">
        <w:rPr>
          <w:rFonts w:cs="Arial"/>
        </w:rPr>
        <w:t>.</w:t>
      </w:r>
    </w:p>
    <w:p w14:paraId="5753D888" w14:textId="6121AA0F" w:rsidR="00A87038" w:rsidRDefault="008A6DF1" w:rsidP="00A87038">
      <w:pPr>
        <w:keepNext/>
        <w:spacing w:before="240"/>
      </w:pPr>
      <w:r>
        <w:rPr>
          <w:noProof/>
          <w:lang w:val="it-IT" w:eastAsia="it-IT"/>
        </w:rPr>
        <w:drawing>
          <wp:inline distT="0" distB="0" distL="0" distR="0" wp14:anchorId="50A3A769" wp14:editId="0C4206FF">
            <wp:extent cx="5433060" cy="1617519"/>
            <wp:effectExtent l="0" t="0" r="0" b="190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t="3577" b="22146"/>
                    <a:stretch/>
                  </pic:blipFill>
                  <pic:spPr bwMode="auto">
                    <a:xfrm>
                      <a:off x="0" y="0"/>
                      <a:ext cx="5464953" cy="1627014"/>
                    </a:xfrm>
                    <a:prstGeom prst="rect">
                      <a:avLst/>
                    </a:prstGeom>
                    <a:noFill/>
                    <a:ln>
                      <a:noFill/>
                    </a:ln>
                    <a:extLst>
                      <a:ext uri="{53640926-AAD7-44D8-BBD7-CCE9431645EC}">
                        <a14:shadowObscured xmlns:a14="http://schemas.microsoft.com/office/drawing/2010/main"/>
                      </a:ext>
                    </a:extLst>
                  </pic:spPr>
                </pic:pic>
              </a:graphicData>
            </a:graphic>
          </wp:inline>
        </w:drawing>
      </w:r>
    </w:p>
    <w:p w14:paraId="5FB78410" w14:textId="687DB279" w:rsidR="00A87038" w:rsidRDefault="006E097E" w:rsidP="006E097E">
      <w:pPr>
        <w:pStyle w:val="CETCaption"/>
      </w:pPr>
      <w:bookmarkStart w:id="1" w:name="_Ref101549026"/>
      <w:r>
        <w:t xml:space="preserve">Figure </w:t>
      </w:r>
      <w:r>
        <w:fldChar w:fldCharType="begin"/>
      </w:r>
      <w:r>
        <w:instrText xml:space="preserve"> SEQ Figure \* ARABIC </w:instrText>
      </w:r>
      <w:r>
        <w:fldChar w:fldCharType="separate"/>
      </w:r>
      <w:r w:rsidR="00C15806">
        <w:rPr>
          <w:noProof/>
        </w:rPr>
        <w:t>1</w:t>
      </w:r>
      <w:r>
        <w:fldChar w:fldCharType="end"/>
      </w:r>
      <w:bookmarkEnd w:id="1"/>
      <w:r w:rsidR="00A87038">
        <w:t xml:space="preserve">: </w:t>
      </w:r>
      <w:r>
        <w:t>TD-GC-MS/FID/PFPD</w:t>
      </w:r>
      <w:r w:rsidR="008A6DF1">
        <w:t xml:space="preserve"> (diagram and anal</w:t>
      </w:r>
      <w:r w:rsidR="001E4B91">
        <w:t>yti</w:t>
      </w:r>
      <w:r w:rsidR="008A6DF1">
        <w:t>cal instrumentation used)</w:t>
      </w:r>
    </w:p>
    <w:p w14:paraId="638B92B0" w14:textId="0D0D69E8" w:rsidR="0003137F" w:rsidRPr="001824C4" w:rsidRDefault="00F21831" w:rsidP="008A6DF1">
      <w:pPr>
        <w:pStyle w:val="CETHeading1"/>
      </w:pPr>
      <w:r w:rsidRPr="001824C4">
        <w:t>Results and discussion</w:t>
      </w:r>
    </w:p>
    <w:p w14:paraId="508CB25B" w14:textId="3F396C8A" w:rsidR="001F34B1" w:rsidRPr="001824C4" w:rsidRDefault="00B07B17" w:rsidP="001F34B1">
      <w:pPr>
        <w:pStyle w:val="CETBodytext"/>
        <w:rPr>
          <w:lang w:val="en-GB"/>
        </w:rPr>
      </w:pPr>
      <w:r w:rsidRPr="001824C4">
        <w:rPr>
          <w:lang w:val="en-GB"/>
        </w:rPr>
        <w:t>From the GC-MS chromatogram</w:t>
      </w:r>
      <w:r w:rsidR="00746668" w:rsidRPr="001824C4">
        <w:rPr>
          <w:lang w:val="en-GB"/>
        </w:rPr>
        <w:t xml:space="preserve"> (</w:t>
      </w:r>
      <w:r w:rsidR="00746668" w:rsidRPr="001824C4">
        <w:rPr>
          <w:i/>
          <w:lang w:val="en-GB"/>
        </w:rPr>
        <w:t>TIC mode</w:t>
      </w:r>
      <w:r w:rsidR="00746668" w:rsidRPr="001824C4">
        <w:rPr>
          <w:lang w:val="en-GB"/>
        </w:rPr>
        <w:t>)</w:t>
      </w:r>
      <w:r w:rsidRPr="001824C4">
        <w:rPr>
          <w:lang w:val="en-GB"/>
        </w:rPr>
        <w:t xml:space="preserve"> obtained for the </w:t>
      </w:r>
      <w:r w:rsidR="001824C4" w:rsidRPr="001824C4">
        <w:rPr>
          <w:lang w:val="en-GB"/>
        </w:rPr>
        <w:t>analysed</w:t>
      </w:r>
      <w:r w:rsidRPr="001824C4">
        <w:rPr>
          <w:lang w:val="en-GB"/>
        </w:rPr>
        <w:t xml:space="preserve"> samples, </w:t>
      </w:r>
      <w:r w:rsidR="004432C7" w:rsidRPr="001824C4">
        <w:rPr>
          <w:lang w:val="en-GB"/>
        </w:rPr>
        <w:t>only two</w:t>
      </w:r>
      <w:r w:rsidR="00880FE3" w:rsidRPr="001824C4">
        <w:rPr>
          <w:lang w:val="en-GB"/>
        </w:rPr>
        <w:t xml:space="preserve"> </w:t>
      </w:r>
      <w:r w:rsidR="00500DC2" w:rsidRPr="001824C4">
        <w:rPr>
          <w:lang w:val="en-GB"/>
        </w:rPr>
        <w:t xml:space="preserve">chromatographic </w:t>
      </w:r>
      <w:r w:rsidR="00880FE3" w:rsidRPr="001824C4">
        <w:rPr>
          <w:lang w:val="en-GB"/>
        </w:rPr>
        <w:t>signals</w:t>
      </w:r>
      <w:r w:rsidR="00460FCA" w:rsidRPr="001824C4">
        <w:rPr>
          <w:lang w:val="en-GB"/>
        </w:rPr>
        <w:t xml:space="preserve"> (Retention Time, RT= 5.6 and 6.7 min.)</w:t>
      </w:r>
      <w:r w:rsidR="00880FE3" w:rsidRPr="001824C4">
        <w:rPr>
          <w:lang w:val="en-GB"/>
        </w:rPr>
        <w:t xml:space="preserve"> </w:t>
      </w:r>
      <w:r w:rsidR="00460FCA" w:rsidRPr="001824C4">
        <w:rPr>
          <w:lang w:val="en-GB"/>
        </w:rPr>
        <w:t>were detected</w:t>
      </w:r>
      <w:r w:rsidR="00500DC2" w:rsidRPr="001824C4">
        <w:rPr>
          <w:lang w:val="en-GB"/>
        </w:rPr>
        <w:t xml:space="preserve"> in th</w:t>
      </w:r>
      <w:r w:rsidR="007825EF" w:rsidRPr="001824C4">
        <w:rPr>
          <w:lang w:val="en-GB"/>
        </w:rPr>
        <w:t xml:space="preserve">e untargeted analysis, as shown in </w:t>
      </w:r>
      <w:r w:rsidR="004432C7" w:rsidRPr="001824C4">
        <w:rPr>
          <w:lang w:val="en-GB"/>
        </w:rPr>
        <w:fldChar w:fldCharType="begin"/>
      </w:r>
      <w:r w:rsidR="004432C7" w:rsidRPr="001824C4">
        <w:rPr>
          <w:lang w:val="en-GB"/>
        </w:rPr>
        <w:instrText xml:space="preserve"> REF _Ref101436527 \h </w:instrText>
      </w:r>
      <w:r w:rsidR="004432C7" w:rsidRPr="001824C4">
        <w:rPr>
          <w:lang w:val="en-GB"/>
        </w:rPr>
      </w:r>
      <w:r w:rsidR="004432C7" w:rsidRPr="001824C4">
        <w:rPr>
          <w:lang w:val="en-GB"/>
        </w:rPr>
        <w:fldChar w:fldCharType="separate"/>
      </w:r>
      <w:r w:rsidR="000753BA" w:rsidRPr="001824C4">
        <w:t xml:space="preserve">Figure </w:t>
      </w:r>
      <w:r w:rsidR="000753BA">
        <w:rPr>
          <w:noProof/>
        </w:rPr>
        <w:t>2</w:t>
      </w:r>
      <w:r w:rsidR="004432C7" w:rsidRPr="001824C4">
        <w:rPr>
          <w:lang w:val="en-GB"/>
        </w:rPr>
        <w:fldChar w:fldCharType="end"/>
      </w:r>
      <w:r w:rsidR="007825EF" w:rsidRPr="001824C4">
        <w:rPr>
          <w:lang w:val="en-GB"/>
        </w:rPr>
        <w:t>.</w:t>
      </w:r>
      <w:r w:rsidR="00460FCA" w:rsidRPr="001824C4">
        <w:rPr>
          <w:lang w:val="en-GB"/>
        </w:rPr>
        <w:t xml:space="preserve"> From the comparison of mass spectra of these picks with the NIST library, the two peaks were identified as Acetone (RT=</w:t>
      </w:r>
      <w:r w:rsidR="00CF68B2" w:rsidRPr="001824C4">
        <w:rPr>
          <w:lang w:val="en-GB"/>
        </w:rPr>
        <w:t xml:space="preserve"> </w:t>
      </w:r>
      <w:r w:rsidR="00460FCA" w:rsidRPr="001824C4">
        <w:rPr>
          <w:lang w:val="en-GB"/>
        </w:rPr>
        <w:t xml:space="preserve">5.6 min.) and Dimethyl </w:t>
      </w:r>
      <w:r w:rsidR="001824C4" w:rsidRPr="001824C4">
        <w:rPr>
          <w:lang w:val="en-GB"/>
        </w:rPr>
        <w:t>sulphide</w:t>
      </w:r>
      <w:r w:rsidR="00460FCA" w:rsidRPr="001824C4">
        <w:rPr>
          <w:lang w:val="en-GB"/>
        </w:rPr>
        <w:t xml:space="preserve"> (RT=</w:t>
      </w:r>
      <w:r w:rsidR="00CF68B2" w:rsidRPr="001824C4">
        <w:rPr>
          <w:lang w:val="en-GB"/>
        </w:rPr>
        <w:t xml:space="preserve"> </w:t>
      </w:r>
      <w:r w:rsidR="00460FCA" w:rsidRPr="001824C4">
        <w:rPr>
          <w:lang w:val="en-GB"/>
        </w:rPr>
        <w:t>6.7 min). In the GC-MS chromatogram, no signal significantly different from the background noise</w:t>
      </w:r>
      <w:r w:rsidR="00B86924">
        <w:rPr>
          <w:lang w:val="en-GB"/>
        </w:rPr>
        <w:t xml:space="preserve"> (intensity of background signal: 2*10</w:t>
      </w:r>
      <w:r w:rsidR="00B86924">
        <w:rPr>
          <w:vertAlign w:val="superscript"/>
          <w:lang w:val="en-GB"/>
        </w:rPr>
        <w:t>4</w:t>
      </w:r>
      <w:r w:rsidR="00B86924">
        <w:rPr>
          <w:lang w:val="en-GB"/>
        </w:rPr>
        <w:t xml:space="preserve"> count)</w:t>
      </w:r>
      <w:r w:rsidR="00082076" w:rsidRPr="001824C4">
        <w:rPr>
          <w:lang w:val="en-GB"/>
        </w:rPr>
        <w:t xml:space="preserve"> </w:t>
      </w:r>
      <w:r w:rsidR="00460FCA" w:rsidRPr="001824C4">
        <w:rPr>
          <w:lang w:val="en-GB"/>
        </w:rPr>
        <w:t>was therefore detected.</w:t>
      </w:r>
      <w:r w:rsidR="00783ED3">
        <w:rPr>
          <w:lang w:val="en-GB"/>
        </w:rPr>
        <w:t xml:space="preserve"> </w:t>
      </w:r>
      <w:r w:rsidR="00460FCA" w:rsidRPr="001824C4">
        <w:rPr>
          <w:lang w:val="en-GB"/>
        </w:rPr>
        <w:t>Similar to the signal obtained by GC-MS, the chromatogram obtained by GC-FID</w:t>
      </w:r>
      <w:r w:rsidR="00746668" w:rsidRPr="001824C4">
        <w:rPr>
          <w:lang w:val="en-GB"/>
        </w:rPr>
        <w:t xml:space="preserve"> (</w:t>
      </w:r>
      <w:r w:rsidR="00746668" w:rsidRPr="001824C4">
        <w:rPr>
          <w:lang w:val="en-GB"/>
        </w:rPr>
        <w:fldChar w:fldCharType="begin"/>
      </w:r>
      <w:r w:rsidR="00746668" w:rsidRPr="001824C4">
        <w:rPr>
          <w:lang w:val="en-GB"/>
        </w:rPr>
        <w:instrText xml:space="preserve"> REF _Ref101444079 \h </w:instrText>
      </w:r>
      <w:r w:rsidR="00746668" w:rsidRPr="001824C4">
        <w:rPr>
          <w:lang w:val="en-GB"/>
        </w:rPr>
      </w:r>
      <w:r w:rsidR="00746668" w:rsidRPr="001824C4">
        <w:rPr>
          <w:lang w:val="en-GB"/>
        </w:rPr>
        <w:fldChar w:fldCharType="separate"/>
      </w:r>
      <w:r w:rsidR="000753BA" w:rsidRPr="001824C4">
        <w:t xml:space="preserve">Figure </w:t>
      </w:r>
      <w:r w:rsidR="000753BA">
        <w:rPr>
          <w:noProof/>
        </w:rPr>
        <w:t>3</w:t>
      </w:r>
      <w:r w:rsidR="00746668" w:rsidRPr="001824C4">
        <w:rPr>
          <w:lang w:val="en-GB"/>
        </w:rPr>
        <w:fldChar w:fldCharType="end"/>
      </w:r>
      <w:r w:rsidR="00B86924">
        <w:rPr>
          <w:lang w:val="en-GB"/>
        </w:rPr>
        <w:t>) is also characterised by two</w:t>
      </w:r>
      <w:r w:rsidR="001E4B91">
        <w:rPr>
          <w:lang w:val="en-GB"/>
        </w:rPr>
        <w:t xml:space="preserve"> detectable</w:t>
      </w:r>
      <w:r w:rsidR="00B86924">
        <w:rPr>
          <w:lang w:val="en-GB"/>
        </w:rPr>
        <w:t xml:space="preserve"> </w:t>
      </w:r>
      <w:r w:rsidR="00460FCA" w:rsidRPr="001824C4">
        <w:rPr>
          <w:lang w:val="en-GB"/>
        </w:rPr>
        <w:t>peaks</w:t>
      </w:r>
      <w:r w:rsidR="00B86924" w:rsidRPr="001824C4">
        <w:rPr>
          <w:lang w:val="en-GB"/>
        </w:rPr>
        <w:t>.</w:t>
      </w:r>
      <w:r w:rsidR="00B86924">
        <w:rPr>
          <w:lang w:val="en-GB"/>
        </w:rPr>
        <w:t xml:space="preserve"> These two signals correspond </w:t>
      </w:r>
      <w:r w:rsidR="00460FCA" w:rsidRPr="001824C4">
        <w:rPr>
          <w:lang w:val="en-GB"/>
        </w:rPr>
        <w:t xml:space="preserve">to the two signals detected in the chromatogram shown in </w:t>
      </w:r>
      <w:r w:rsidR="008B68CF">
        <w:rPr>
          <w:lang w:val="en-GB"/>
        </w:rPr>
        <w:fldChar w:fldCharType="begin"/>
      </w:r>
      <w:r w:rsidR="008B68CF">
        <w:rPr>
          <w:lang w:val="en-GB"/>
        </w:rPr>
        <w:instrText xml:space="preserve"> REF _Ref101436527 \h </w:instrText>
      </w:r>
      <w:r w:rsidR="008B68CF">
        <w:rPr>
          <w:lang w:val="en-GB"/>
        </w:rPr>
      </w:r>
      <w:r w:rsidR="008B68CF">
        <w:rPr>
          <w:lang w:val="en-GB"/>
        </w:rPr>
        <w:fldChar w:fldCharType="separate"/>
      </w:r>
      <w:r w:rsidR="000753BA" w:rsidRPr="001824C4">
        <w:t xml:space="preserve">Figure </w:t>
      </w:r>
      <w:r w:rsidR="000753BA">
        <w:rPr>
          <w:noProof/>
        </w:rPr>
        <w:t>2</w:t>
      </w:r>
      <w:r w:rsidR="008B68CF">
        <w:rPr>
          <w:lang w:val="en-GB"/>
        </w:rPr>
        <w:fldChar w:fldCharType="end"/>
      </w:r>
      <w:r w:rsidR="00783ED3">
        <w:rPr>
          <w:lang w:val="en-GB"/>
        </w:rPr>
        <w:t>.</w:t>
      </w:r>
      <w:r w:rsidR="001F34B1">
        <w:rPr>
          <w:lang w:val="en-GB"/>
        </w:rPr>
        <w:t xml:space="preserve"> </w:t>
      </w:r>
      <w:r w:rsidR="00783ED3" w:rsidRPr="001824C4">
        <w:rPr>
          <w:lang w:val="en-GB"/>
        </w:rPr>
        <w:t xml:space="preserve">On the other hand, from the chromatogram obtained by GC-PFPD, </w:t>
      </w:r>
      <w:r w:rsidR="001E4B91">
        <w:rPr>
          <w:lang w:val="en-GB"/>
        </w:rPr>
        <w:t xml:space="preserve">a </w:t>
      </w:r>
      <w:r w:rsidR="00783ED3" w:rsidRPr="001824C4">
        <w:rPr>
          <w:lang w:val="en-GB"/>
        </w:rPr>
        <w:t>specific detector for sulphur compounds, it can be observed different chromatographic signals, at intensities significantly different from the background</w:t>
      </w:r>
      <w:r w:rsidR="00021EEB">
        <w:rPr>
          <w:lang w:val="en-GB"/>
        </w:rPr>
        <w:t xml:space="preserve">. </w:t>
      </w:r>
      <w:r w:rsidR="00783ED3" w:rsidRPr="001824C4">
        <w:rPr>
          <w:lang w:val="en-GB"/>
        </w:rPr>
        <w:t>From the chromatogram shown (</w:t>
      </w:r>
      <w:r w:rsidR="00783ED3" w:rsidRPr="001824C4">
        <w:rPr>
          <w:lang w:val="en-GB"/>
        </w:rPr>
        <w:fldChar w:fldCharType="begin"/>
      </w:r>
      <w:r w:rsidR="00783ED3" w:rsidRPr="001824C4">
        <w:rPr>
          <w:lang w:val="en-GB"/>
        </w:rPr>
        <w:instrText xml:space="preserve"> REF _Ref101454404 \h </w:instrText>
      </w:r>
      <w:r w:rsidR="00783ED3" w:rsidRPr="001824C4">
        <w:rPr>
          <w:lang w:val="en-GB"/>
        </w:rPr>
      </w:r>
      <w:r w:rsidR="00783ED3" w:rsidRPr="001824C4">
        <w:rPr>
          <w:lang w:val="en-GB"/>
        </w:rPr>
        <w:fldChar w:fldCharType="separate"/>
      </w:r>
      <w:r w:rsidR="000753BA" w:rsidRPr="001824C4">
        <w:t xml:space="preserve">Figure </w:t>
      </w:r>
      <w:r w:rsidR="000753BA">
        <w:rPr>
          <w:noProof/>
        </w:rPr>
        <w:t>4</w:t>
      </w:r>
      <w:r w:rsidR="00783ED3" w:rsidRPr="001824C4">
        <w:rPr>
          <w:lang w:val="en-GB"/>
        </w:rPr>
        <w:fldChar w:fldCharType="end"/>
      </w:r>
      <w:r w:rsidR="00783ED3" w:rsidRPr="001824C4">
        <w:rPr>
          <w:lang w:val="en-GB"/>
        </w:rPr>
        <w:t>), it is possible to detect five chromatographic signals.</w:t>
      </w:r>
      <w:r w:rsidR="00021EEB">
        <w:rPr>
          <w:lang w:val="en-GB"/>
        </w:rPr>
        <w:t xml:space="preserve"> </w:t>
      </w:r>
      <w:r w:rsidR="001F34B1" w:rsidRPr="001824C4">
        <w:rPr>
          <w:lang w:val="en-GB"/>
        </w:rPr>
        <w:t>The identification of the sulph</w:t>
      </w:r>
      <w:r w:rsidR="001F34B1">
        <w:rPr>
          <w:lang w:val="en-GB"/>
        </w:rPr>
        <w:t xml:space="preserve">ur compounds observed in the </w:t>
      </w:r>
      <w:r w:rsidR="001F34B1" w:rsidRPr="001824C4">
        <w:rPr>
          <w:lang w:val="en-GB"/>
        </w:rPr>
        <w:t>PFPD chromatogram can be conducted by searching, at the specific RT observed, the signal of sulphur compounds in the GC-MS signal.</w:t>
      </w:r>
      <w:r w:rsidR="001E4B91">
        <w:rPr>
          <w:lang w:val="en-GB"/>
        </w:rPr>
        <w:t xml:space="preserve"> </w:t>
      </w:r>
      <w:r w:rsidR="001F34B1" w:rsidRPr="001824C4">
        <w:rPr>
          <w:lang w:val="en-GB"/>
        </w:rPr>
        <w:t xml:space="preserve">Indeed, having determined the presence of sulphur compounds in the sample, the use of PFPD makes it easier to selectively search specific areas of the GC-MS chromatogram for the mass spectrum useful for </w:t>
      </w:r>
      <w:r w:rsidR="001F34B1">
        <w:rPr>
          <w:lang w:val="en-GB"/>
        </w:rPr>
        <w:t xml:space="preserve">the </w:t>
      </w:r>
      <w:r w:rsidR="001F34B1" w:rsidRPr="001824C4">
        <w:rPr>
          <w:lang w:val="en-GB"/>
        </w:rPr>
        <w:t>identification of sulphur compounds.</w:t>
      </w:r>
      <w:r w:rsidR="001F34B1">
        <w:rPr>
          <w:lang w:val="en-GB"/>
        </w:rPr>
        <w:t xml:space="preserve"> The qualification was conducted by research qualifier ion (</w:t>
      </w:r>
      <w:r w:rsidR="001F34B1" w:rsidRPr="001824C4">
        <w:rPr>
          <w:lang w:val="en-GB"/>
        </w:rPr>
        <w:fldChar w:fldCharType="begin"/>
      </w:r>
      <w:r w:rsidR="001F34B1" w:rsidRPr="001824C4">
        <w:rPr>
          <w:lang w:val="en-GB"/>
        </w:rPr>
        <w:instrText xml:space="preserve"> REF _Ref101458077 \h </w:instrText>
      </w:r>
      <w:r w:rsidR="001F34B1" w:rsidRPr="001824C4">
        <w:rPr>
          <w:lang w:val="en-GB"/>
        </w:rPr>
      </w:r>
      <w:r w:rsidR="001F34B1" w:rsidRPr="001824C4">
        <w:rPr>
          <w:lang w:val="en-GB"/>
        </w:rPr>
        <w:fldChar w:fldCharType="separate"/>
      </w:r>
      <w:r w:rsidR="000753BA" w:rsidRPr="001824C4">
        <w:t xml:space="preserve">Table </w:t>
      </w:r>
      <w:r w:rsidR="000753BA">
        <w:rPr>
          <w:noProof/>
        </w:rPr>
        <w:t>1</w:t>
      </w:r>
      <w:r w:rsidR="001F34B1" w:rsidRPr="001824C4">
        <w:rPr>
          <w:lang w:val="en-GB"/>
        </w:rPr>
        <w:fldChar w:fldCharType="end"/>
      </w:r>
      <w:r w:rsidR="001F34B1">
        <w:rPr>
          <w:lang w:val="en-GB"/>
        </w:rPr>
        <w:t xml:space="preserve">). </w:t>
      </w:r>
      <w:r w:rsidR="001F34B1" w:rsidRPr="001824C4">
        <w:rPr>
          <w:lang w:val="en-GB"/>
        </w:rPr>
        <w:t>This instrumental configuration can be also particularly useful in the case of coelution of two compounds, one of which contains sulphur: indeed, if a coelution with a hydrocarbon compound occurs, it is possible to detect the presence of a second compound below a single GC-MS peak.</w:t>
      </w:r>
      <w:r w:rsidR="001F34B1">
        <w:rPr>
          <w:lang w:val="en-GB"/>
        </w:rPr>
        <w:t xml:space="preserve"> </w:t>
      </w:r>
      <w:r w:rsidR="001F34B1" w:rsidRPr="001824C4">
        <w:rPr>
          <w:lang w:val="en-GB"/>
        </w:rPr>
        <w:fldChar w:fldCharType="begin"/>
      </w:r>
      <w:r w:rsidR="001F34B1" w:rsidRPr="001824C4">
        <w:rPr>
          <w:lang w:val="en-GB"/>
        </w:rPr>
        <w:instrText xml:space="preserve"> REF _Ref101458077 \h </w:instrText>
      </w:r>
      <w:r w:rsidR="001F34B1" w:rsidRPr="001824C4">
        <w:rPr>
          <w:lang w:val="en-GB"/>
        </w:rPr>
      </w:r>
      <w:r w:rsidR="001F34B1" w:rsidRPr="001824C4">
        <w:rPr>
          <w:lang w:val="en-GB"/>
        </w:rPr>
        <w:fldChar w:fldCharType="separate"/>
      </w:r>
      <w:r w:rsidR="000753BA" w:rsidRPr="001824C4">
        <w:t xml:space="preserve">Table </w:t>
      </w:r>
      <w:r w:rsidR="000753BA">
        <w:rPr>
          <w:noProof/>
        </w:rPr>
        <w:t>1</w:t>
      </w:r>
      <w:r w:rsidR="001F34B1" w:rsidRPr="001824C4">
        <w:rPr>
          <w:lang w:val="en-GB"/>
        </w:rPr>
        <w:fldChar w:fldCharType="end"/>
      </w:r>
      <w:r w:rsidR="001F34B1" w:rsidRPr="001824C4">
        <w:rPr>
          <w:lang w:val="en-GB"/>
        </w:rPr>
        <w:t xml:space="preserve"> shows the compounds identified </w:t>
      </w:r>
      <w:r w:rsidR="001F34B1">
        <w:rPr>
          <w:lang w:val="en-GB"/>
        </w:rPr>
        <w:t xml:space="preserve">by </w:t>
      </w:r>
      <w:r w:rsidR="001F34B1" w:rsidRPr="001824C4">
        <w:rPr>
          <w:lang w:val="en-GB"/>
        </w:rPr>
        <w:t>applying this particular instrumental configuration to the samples analysed.</w:t>
      </w:r>
    </w:p>
    <w:p w14:paraId="40A33CC7" w14:textId="31E9F064" w:rsidR="001F34B1" w:rsidRPr="001824C4" w:rsidRDefault="001F34B1" w:rsidP="001F34B1">
      <w:pPr>
        <w:pStyle w:val="CETTabletitle"/>
      </w:pPr>
      <w:bookmarkStart w:id="2" w:name="_Ref101458077"/>
      <w:r w:rsidRPr="001824C4">
        <w:t xml:space="preserve">Table </w:t>
      </w:r>
      <w:r w:rsidRPr="001824C4">
        <w:fldChar w:fldCharType="begin"/>
      </w:r>
      <w:r w:rsidRPr="001824C4">
        <w:instrText xml:space="preserve"> SEQ Table \* ARABIC </w:instrText>
      </w:r>
      <w:r w:rsidRPr="001824C4">
        <w:fldChar w:fldCharType="separate"/>
      </w:r>
      <w:r w:rsidR="000753BA">
        <w:rPr>
          <w:noProof/>
        </w:rPr>
        <w:t>1</w:t>
      </w:r>
      <w:r w:rsidRPr="001824C4">
        <w:fldChar w:fldCharType="end"/>
      </w:r>
      <w:bookmarkEnd w:id="2"/>
      <w:r w:rsidRPr="001824C4">
        <w:t>: Compounds identified in the samples analysed using GC-MS/FID/PFPD</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29"/>
        <w:gridCol w:w="1675"/>
        <w:gridCol w:w="873"/>
        <w:gridCol w:w="907"/>
        <w:gridCol w:w="4119"/>
        <w:gridCol w:w="7"/>
        <w:gridCol w:w="735"/>
        <w:gridCol w:w="21"/>
        <w:gridCol w:w="21"/>
      </w:tblGrid>
      <w:tr w:rsidR="001F34B1" w:rsidRPr="001824C4" w14:paraId="77E3929E" w14:textId="77777777" w:rsidTr="000E5A87">
        <w:trPr>
          <w:trHeight w:val="311"/>
        </w:trPr>
        <w:tc>
          <w:tcPr>
            <w:tcW w:w="244" w:type="pct"/>
            <w:tcBorders>
              <w:top w:val="single" w:sz="12" w:space="0" w:color="008000"/>
              <w:bottom w:val="single" w:sz="6" w:space="0" w:color="008000"/>
            </w:tcBorders>
            <w:shd w:val="clear" w:color="auto" w:fill="FFFFFF"/>
            <w:vAlign w:val="center"/>
          </w:tcPr>
          <w:p w14:paraId="515F7176" w14:textId="77777777" w:rsidR="001F34B1" w:rsidRDefault="001F34B1" w:rsidP="000E5A87">
            <w:pPr>
              <w:pStyle w:val="CETBodytext"/>
              <w:jc w:val="center"/>
              <w:rPr>
                <w:lang w:val="en-GB"/>
              </w:rPr>
            </w:pPr>
            <w:r w:rsidRPr="001824C4">
              <w:rPr>
                <w:lang w:val="en-GB"/>
              </w:rPr>
              <w:t>RT [min]</w:t>
            </w:r>
          </w:p>
          <w:p w14:paraId="5590AD88" w14:textId="77777777" w:rsidR="001F34B1" w:rsidRPr="001824C4" w:rsidRDefault="001F34B1" w:rsidP="000E5A87">
            <w:pPr>
              <w:pStyle w:val="CETBodytext"/>
              <w:jc w:val="center"/>
              <w:rPr>
                <w:lang w:val="en-GB"/>
              </w:rPr>
            </w:pPr>
          </w:p>
        </w:tc>
        <w:tc>
          <w:tcPr>
            <w:tcW w:w="953" w:type="pct"/>
            <w:tcBorders>
              <w:top w:val="single" w:sz="12" w:space="0" w:color="008000"/>
              <w:bottom w:val="single" w:sz="6" w:space="0" w:color="008000"/>
            </w:tcBorders>
            <w:shd w:val="clear" w:color="auto" w:fill="FFFFFF"/>
            <w:vAlign w:val="center"/>
          </w:tcPr>
          <w:p w14:paraId="2A5E294D" w14:textId="77777777" w:rsidR="001F34B1" w:rsidRPr="001824C4" w:rsidRDefault="001F34B1" w:rsidP="000E5A87">
            <w:pPr>
              <w:pStyle w:val="CETBodytext"/>
              <w:jc w:val="center"/>
              <w:rPr>
                <w:lang w:val="en-GB"/>
              </w:rPr>
            </w:pPr>
            <w:r w:rsidRPr="001824C4">
              <w:rPr>
                <w:lang w:val="en-GB"/>
              </w:rPr>
              <w:t>Name</w:t>
            </w:r>
          </w:p>
        </w:tc>
        <w:tc>
          <w:tcPr>
            <w:tcW w:w="497" w:type="pct"/>
            <w:tcBorders>
              <w:top w:val="single" w:sz="12" w:space="0" w:color="008000"/>
              <w:bottom w:val="single" w:sz="6" w:space="0" w:color="008000"/>
            </w:tcBorders>
            <w:shd w:val="clear" w:color="auto" w:fill="FFFFFF"/>
            <w:vAlign w:val="center"/>
          </w:tcPr>
          <w:p w14:paraId="79634237" w14:textId="77777777" w:rsidR="001F34B1" w:rsidRPr="001824C4" w:rsidRDefault="001F34B1" w:rsidP="000E5A87">
            <w:pPr>
              <w:pStyle w:val="CETBodytext"/>
              <w:jc w:val="center"/>
              <w:rPr>
                <w:lang w:val="en-GB"/>
              </w:rPr>
            </w:pPr>
            <w:r w:rsidRPr="001824C4">
              <w:rPr>
                <w:lang w:val="en-GB"/>
              </w:rPr>
              <w:t>CAS</w:t>
            </w:r>
          </w:p>
        </w:tc>
        <w:tc>
          <w:tcPr>
            <w:tcW w:w="516" w:type="pct"/>
            <w:tcBorders>
              <w:top w:val="single" w:sz="12" w:space="0" w:color="008000"/>
              <w:bottom w:val="single" w:sz="6" w:space="0" w:color="008000"/>
            </w:tcBorders>
            <w:shd w:val="clear" w:color="auto" w:fill="FFFFFF"/>
            <w:vAlign w:val="center"/>
          </w:tcPr>
          <w:p w14:paraId="6FF0309D" w14:textId="77777777" w:rsidR="001F34B1" w:rsidRPr="001824C4" w:rsidRDefault="001F34B1" w:rsidP="000E5A87">
            <w:pPr>
              <w:pStyle w:val="CETBodytext"/>
              <w:ind w:right="-1"/>
              <w:jc w:val="center"/>
              <w:rPr>
                <w:rFonts w:cs="Arial"/>
                <w:szCs w:val="18"/>
                <w:lang w:val="en-GB"/>
              </w:rPr>
            </w:pPr>
            <w:r w:rsidRPr="001824C4">
              <w:rPr>
                <w:lang w:val="en-GB"/>
              </w:rPr>
              <w:t>Formula</w:t>
            </w:r>
          </w:p>
        </w:tc>
        <w:tc>
          <w:tcPr>
            <w:tcW w:w="2344" w:type="pct"/>
            <w:tcBorders>
              <w:top w:val="single" w:sz="12" w:space="0" w:color="008000"/>
              <w:bottom w:val="single" w:sz="6" w:space="0" w:color="008000"/>
            </w:tcBorders>
            <w:shd w:val="clear" w:color="auto" w:fill="FFFFFF"/>
            <w:vAlign w:val="center"/>
          </w:tcPr>
          <w:p w14:paraId="6C85E1F5" w14:textId="77777777" w:rsidR="001F34B1" w:rsidRPr="001824C4" w:rsidRDefault="001F34B1" w:rsidP="000E5A87">
            <w:pPr>
              <w:pStyle w:val="CETBodytext"/>
              <w:ind w:right="-1"/>
              <w:jc w:val="center"/>
              <w:rPr>
                <w:rFonts w:cs="Arial"/>
                <w:szCs w:val="18"/>
                <w:lang w:val="en-GB"/>
              </w:rPr>
            </w:pPr>
            <w:r w:rsidRPr="001824C4">
              <w:rPr>
                <w:rFonts w:cs="Arial"/>
                <w:szCs w:val="18"/>
                <w:lang w:val="en-GB"/>
              </w:rPr>
              <w:t>Analysis</w:t>
            </w:r>
          </w:p>
        </w:tc>
        <w:tc>
          <w:tcPr>
            <w:tcW w:w="4" w:type="pct"/>
            <w:tcBorders>
              <w:top w:val="single" w:sz="12" w:space="0" w:color="008000"/>
              <w:bottom w:val="single" w:sz="6" w:space="0" w:color="008000"/>
            </w:tcBorders>
            <w:shd w:val="clear" w:color="auto" w:fill="FFFFFF"/>
            <w:vAlign w:val="center"/>
          </w:tcPr>
          <w:p w14:paraId="673A55A2" w14:textId="77777777" w:rsidR="001F34B1" w:rsidRPr="001824C4" w:rsidRDefault="001F34B1" w:rsidP="000E5A87">
            <w:pPr>
              <w:pStyle w:val="CETBodytext"/>
              <w:ind w:right="-1"/>
              <w:jc w:val="center"/>
              <w:rPr>
                <w:rFonts w:cs="Arial"/>
                <w:szCs w:val="18"/>
                <w:lang w:val="en-GB"/>
              </w:rPr>
            </w:pPr>
          </w:p>
        </w:tc>
        <w:tc>
          <w:tcPr>
            <w:tcW w:w="418" w:type="pct"/>
            <w:tcBorders>
              <w:top w:val="single" w:sz="12" w:space="0" w:color="008000"/>
              <w:bottom w:val="single" w:sz="6" w:space="0" w:color="008000"/>
            </w:tcBorders>
            <w:shd w:val="clear" w:color="auto" w:fill="FFFFFF"/>
            <w:vAlign w:val="center"/>
          </w:tcPr>
          <w:p w14:paraId="43F41BC4" w14:textId="1B82A87D" w:rsidR="001F34B1" w:rsidRPr="001F34B1" w:rsidRDefault="001F34B1" w:rsidP="000E5A87">
            <w:pPr>
              <w:pStyle w:val="CETBodytext"/>
              <w:ind w:right="-1"/>
              <w:jc w:val="center"/>
              <w:rPr>
                <w:rFonts w:cs="Arial"/>
                <w:i/>
                <w:szCs w:val="18"/>
                <w:lang w:val="en-GB"/>
              </w:rPr>
            </w:pPr>
            <w:r>
              <w:rPr>
                <w:lang w:val="en-GB"/>
              </w:rPr>
              <w:t>Qualifier ion [</w:t>
            </w:r>
            <w:r w:rsidRPr="00DF4DE8">
              <w:rPr>
                <w:i/>
                <w:lang w:val="en-GB"/>
              </w:rPr>
              <w:t>m/z</w:t>
            </w:r>
            <w:r>
              <w:rPr>
                <w:lang w:val="en-GB"/>
              </w:rPr>
              <w:t>]</w:t>
            </w:r>
          </w:p>
        </w:tc>
        <w:tc>
          <w:tcPr>
            <w:tcW w:w="12" w:type="pct"/>
            <w:tcBorders>
              <w:top w:val="single" w:sz="12" w:space="0" w:color="008000"/>
              <w:bottom w:val="single" w:sz="6" w:space="0" w:color="008000"/>
            </w:tcBorders>
            <w:shd w:val="clear" w:color="auto" w:fill="FFFFFF"/>
            <w:vAlign w:val="center"/>
          </w:tcPr>
          <w:p w14:paraId="06DA07F9" w14:textId="77777777" w:rsidR="001F34B1" w:rsidRPr="001824C4" w:rsidRDefault="001F34B1" w:rsidP="000E5A87">
            <w:pPr>
              <w:pStyle w:val="CETBodytext"/>
              <w:ind w:right="-1"/>
              <w:jc w:val="center"/>
              <w:rPr>
                <w:rFonts w:cs="Arial"/>
                <w:szCs w:val="18"/>
                <w:lang w:val="en-GB"/>
              </w:rPr>
            </w:pPr>
          </w:p>
        </w:tc>
        <w:tc>
          <w:tcPr>
            <w:tcW w:w="12" w:type="pct"/>
            <w:tcBorders>
              <w:top w:val="single" w:sz="12" w:space="0" w:color="008000"/>
              <w:bottom w:val="single" w:sz="6" w:space="0" w:color="008000"/>
            </w:tcBorders>
            <w:shd w:val="clear" w:color="auto" w:fill="FFFFFF"/>
            <w:vAlign w:val="center"/>
          </w:tcPr>
          <w:p w14:paraId="75707FCB" w14:textId="77777777" w:rsidR="001F34B1" w:rsidRPr="001824C4" w:rsidRDefault="001F34B1" w:rsidP="000E5A87">
            <w:pPr>
              <w:pStyle w:val="CETBodytext"/>
              <w:ind w:right="-1"/>
              <w:jc w:val="center"/>
              <w:rPr>
                <w:rFonts w:cs="Arial"/>
                <w:szCs w:val="18"/>
                <w:lang w:val="en-GB"/>
              </w:rPr>
            </w:pPr>
          </w:p>
        </w:tc>
      </w:tr>
      <w:tr w:rsidR="001F34B1" w:rsidRPr="001824C4" w14:paraId="7E49D18C" w14:textId="77777777" w:rsidTr="000E5A87">
        <w:trPr>
          <w:trHeight w:val="297"/>
        </w:trPr>
        <w:tc>
          <w:tcPr>
            <w:tcW w:w="244" w:type="pct"/>
            <w:shd w:val="clear" w:color="auto" w:fill="FFFFFF"/>
            <w:vAlign w:val="center"/>
          </w:tcPr>
          <w:p w14:paraId="707CAB9C" w14:textId="77777777" w:rsidR="001F34B1" w:rsidRPr="001824C4" w:rsidRDefault="001F34B1" w:rsidP="000E5A87">
            <w:pPr>
              <w:pStyle w:val="CETBodytext"/>
              <w:jc w:val="center"/>
              <w:rPr>
                <w:lang w:val="en-GB"/>
              </w:rPr>
            </w:pPr>
            <w:r w:rsidRPr="001824C4">
              <w:rPr>
                <w:lang w:val="en-GB"/>
              </w:rPr>
              <w:t>3.2</w:t>
            </w:r>
          </w:p>
        </w:tc>
        <w:tc>
          <w:tcPr>
            <w:tcW w:w="953" w:type="pct"/>
            <w:shd w:val="clear" w:color="auto" w:fill="FFFFFF"/>
            <w:vAlign w:val="center"/>
          </w:tcPr>
          <w:p w14:paraId="79D07562" w14:textId="77777777" w:rsidR="001F34B1" w:rsidRPr="001824C4" w:rsidRDefault="001F34B1" w:rsidP="000E5A87">
            <w:pPr>
              <w:pStyle w:val="CETBodytext"/>
              <w:jc w:val="center"/>
              <w:rPr>
                <w:lang w:val="en-GB"/>
              </w:rPr>
            </w:pPr>
            <w:r w:rsidRPr="001824C4">
              <w:rPr>
                <w:lang w:val="en-GB"/>
              </w:rPr>
              <w:t>Carbonyl sulphide</w:t>
            </w:r>
          </w:p>
        </w:tc>
        <w:tc>
          <w:tcPr>
            <w:tcW w:w="497" w:type="pct"/>
            <w:shd w:val="clear" w:color="auto" w:fill="FFFFFF"/>
            <w:vAlign w:val="center"/>
          </w:tcPr>
          <w:p w14:paraId="4D34183A" w14:textId="77777777" w:rsidR="001F34B1" w:rsidRPr="001824C4" w:rsidRDefault="001F34B1" w:rsidP="000E5A87">
            <w:pPr>
              <w:pStyle w:val="CETBodytext"/>
              <w:jc w:val="center"/>
              <w:rPr>
                <w:lang w:val="en-GB"/>
              </w:rPr>
            </w:pPr>
            <w:r w:rsidRPr="001824C4">
              <w:rPr>
                <w:lang w:val="en-GB"/>
              </w:rPr>
              <w:t>463-58-1</w:t>
            </w:r>
          </w:p>
        </w:tc>
        <w:tc>
          <w:tcPr>
            <w:tcW w:w="516" w:type="pct"/>
            <w:shd w:val="clear" w:color="auto" w:fill="FFFFFF"/>
            <w:vAlign w:val="center"/>
          </w:tcPr>
          <w:p w14:paraId="62924B00" w14:textId="77777777" w:rsidR="001F34B1" w:rsidRPr="001824C4" w:rsidRDefault="001F34B1" w:rsidP="000E5A87">
            <w:pPr>
              <w:pStyle w:val="CETBodytext"/>
              <w:ind w:right="-1"/>
              <w:jc w:val="center"/>
              <w:rPr>
                <w:rFonts w:cs="Arial"/>
                <w:szCs w:val="18"/>
                <w:lang w:val="en-GB"/>
              </w:rPr>
            </w:pPr>
            <w:r w:rsidRPr="001824C4">
              <w:rPr>
                <w:lang w:val="en-GB"/>
              </w:rPr>
              <w:t>COS</w:t>
            </w:r>
          </w:p>
        </w:tc>
        <w:tc>
          <w:tcPr>
            <w:tcW w:w="2344" w:type="pct"/>
            <w:shd w:val="clear" w:color="auto" w:fill="FFFFFF"/>
            <w:vAlign w:val="center"/>
          </w:tcPr>
          <w:p w14:paraId="2154285A" w14:textId="77777777" w:rsidR="001F34B1" w:rsidRPr="001824C4" w:rsidRDefault="001F34B1" w:rsidP="000E5A87">
            <w:pPr>
              <w:pStyle w:val="CETBodytext"/>
              <w:ind w:right="-1"/>
              <w:jc w:val="center"/>
              <w:rPr>
                <w:rFonts w:cs="Arial"/>
                <w:szCs w:val="18"/>
                <w:lang w:val="en-GB"/>
              </w:rPr>
            </w:pPr>
            <w:r w:rsidRPr="001824C4">
              <w:rPr>
                <w:rFonts w:cs="Arial"/>
                <w:szCs w:val="18"/>
                <w:lang w:val="en-GB"/>
              </w:rPr>
              <w:t>Detection: PFPD; identification: MS</w:t>
            </w:r>
          </w:p>
        </w:tc>
        <w:tc>
          <w:tcPr>
            <w:tcW w:w="4" w:type="pct"/>
            <w:shd w:val="clear" w:color="auto" w:fill="FFFFFF"/>
            <w:vAlign w:val="center"/>
          </w:tcPr>
          <w:p w14:paraId="349CC702" w14:textId="77777777" w:rsidR="001F34B1" w:rsidRPr="001824C4" w:rsidRDefault="001F34B1" w:rsidP="000E5A87">
            <w:pPr>
              <w:pStyle w:val="CETBodytext"/>
              <w:ind w:right="-1"/>
              <w:jc w:val="center"/>
              <w:rPr>
                <w:rFonts w:cs="Arial"/>
                <w:szCs w:val="18"/>
                <w:lang w:val="en-GB"/>
              </w:rPr>
            </w:pPr>
          </w:p>
        </w:tc>
        <w:tc>
          <w:tcPr>
            <w:tcW w:w="418" w:type="pct"/>
            <w:shd w:val="clear" w:color="auto" w:fill="FFFFFF"/>
            <w:vAlign w:val="center"/>
          </w:tcPr>
          <w:p w14:paraId="7D8B680C" w14:textId="77777777" w:rsidR="001F34B1" w:rsidRPr="001824C4" w:rsidRDefault="001F34B1" w:rsidP="000E5A87">
            <w:pPr>
              <w:pStyle w:val="CETBodytext"/>
              <w:ind w:right="-1"/>
              <w:jc w:val="center"/>
              <w:rPr>
                <w:rFonts w:cs="Arial"/>
                <w:szCs w:val="18"/>
                <w:lang w:val="en-GB"/>
              </w:rPr>
            </w:pPr>
            <w:r>
              <w:rPr>
                <w:lang w:val="en-GB"/>
              </w:rPr>
              <w:t>60</w:t>
            </w:r>
          </w:p>
        </w:tc>
        <w:tc>
          <w:tcPr>
            <w:tcW w:w="12" w:type="pct"/>
            <w:shd w:val="clear" w:color="auto" w:fill="FFFFFF"/>
            <w:vAlign w:val="center"/>
          </w:tcPr>
          <w:p w14:paraId="682389C5" w14:textId="77777777" w:rsidR="001F34B1" w:rsidRPr="001824C4" w:rsidRDefault="001F34B1" w:rsidP="000E5A87">
            <w:pPr>
              <w:pStyle w:val="CETBodytext"/>
              <w:ind w:right="-1"/>
              <w:jc w:val="center"/>
              <w:rPr>
                <w:rFonts w:cs="Arial"/>
                <w:szCs w:val="18"/>
                <w:lang w:val="en-GB"/>
              </w:rPr>
            </w:pPr>
          </w:p>
        </w:tc>
        <w:tc>
          <w:tcPr>
            <w:tcW w:w="12" w:type="pct"/>
            <w:shd w:val="clear" w:color="auto" w:fill="FFFFFF"/>
            <w:vAlign w:val="center"/>
          </w:tcPr>
          <w:p w14:paraId="36693CAF" w14:textId="77777777" w:rsidR="001F34B1" w:rsidRPr="001824C4" w:rsidRDefault="001F34B1" w:rsidP="000E5A87">
            <w:pPr>
              <w:pStyle w:val="CETBodytext"/>
              <w:ind w:right="-1"/>
              <w:jc w:val="center"/>
              <w:rPr>
                <w:rFonts w:cs="Arial"/>
                <w:szCs w:val="18"/>
                <w:lang w:val="en-GB"/>
              </w:rPr>
            </w:pPr>
          </w:p>
        </w:tc>
      </w:tr>
      <w:tr w:rsidR="001F34B1" w:rsidRPr="001824C4" w14:paraId="4ADB6C4E" w14:textId="77777777" w:rsidTr="000E5A87">
        <w:trPr>
          <w:trHeight w:val="311"/>
        </w:trPr>
        <w:tc>
          <w:tcPr>
            <w:tcW w:w="244" w:type="pct"/>
            <w:shd w:val="clear" w:color="auto" w:fill="FFFFFF"/>
            <w:vAlign w:val="center"/>
          </w:tcPr>
          <w:p w14:paraId="70F8EF1A" w14:textId="77777777" w:rsidR="001F34B1" w:rsidRPr="001824C4" w:rsidRDefault="001F34B1" w:rsidP="000E5A87">
            <w:pPr>
              <w:pStyle w:val="CETBodytext"/>
              <w:jc w:val="center"/>
              <w:rPr>
                <w:lang w:val="en-GB"/>
              </w:rPr>
            </w:pPr>
            <w:r w:rsidRPr="001824C4">
              <w:rPr>
                <w:lang w:val="en-GB"/>
              </w:rPr>
              <w:t>4.5</w:t>
            </w:r>
          </w:p>
        </w:tc>
        <w:tc>
          <w:tcPr>
            <w:tcW w:w="953" w:type="pct"/>
            <w:shd w:val="clear" w:color="auto" w:fill="FFFFFF"/>
            <w:vAlign w:val="center"/>
          </w:tcPr>
          <w:p w14:paraId="18F9B368" w14:textId="77777777" w:rsidR="001F34B1" w:rsidRPr="001824C4" w:rsidRDefault="001F34B1" w:rsidP="000E5A87">
            <w:pPr>
              <w:pStyle w:val="CETBodytext"/>
              <w:jc w:val="center"/>
              <w:rPr>
                <w:lang w:val="en-GB"/>
              </w:rPr>
            </w:pPr>
            <w:r w:rsidRPr="001824C4">
              <w:rPr>
                <w:lang w:val="en-GB"/>
              </w:rPr>
              <w:t>Methyl mercaptan</w:t>
            </w:r>
          </w:p>
        </w:tc>
        <w:tc>
          <w:tcPr>
            <w:tcW w:w="497" w:type="pct"/>
            <w:shd w:val="clear" w:color="auto" w:fill="FFFFFF"/>
            <w:vAlign w:val="center"/>
          </w:tcPr>
          <w:p w14:paraId="3E64531B" w14:textId="77777777" w:rsidR="001F34B1" w:rsidRPr="001824C4" w:rsidRDefault="001F34B1" w:rsidP="000E5A87">
            <w:pPr>
              <w:pStyle w:val="CETBodytext"/>
              <w:jc w:val="center"/>
              <w:rPr>
                <w:lang w:val="en-GB"/>
              </w:rPr>
            </w:pPr>
            <w:r w:rsidRPr="001824C4">
              <w:rPr>
                <w:lang w:val="en-GB"/>
              </w:rPr>
              <w:t>74-93-1</w:t>
            </w:r>
          </w:p>
        </w:tc>
        <w:tc>
          <w:tcPr>
            <w:tcW w:w="516" w:type="pct"/>
            <w:shd w:val="clear" w:color="auto" w:fill="FFFFFF"/>
            <w:vAlign w:val="center"/>
          </w:tcPr>
          <w:p w14:paraId="29D500BC" w14:textId="77777777" w:rsidR="001F34B1" w:rsidRPr="001824C4" w:rsidRDefault="001F34B1" w:rsidP="000E5A87">
            <w:pPr>
              <w:pStyle w:val="CETBodytext"/>
              <w:ind w:right="-1"/>
              <w:jc w:val="center"/>
              <w:rPr>
                <w:rFonts w:cs="Arial"/>
                <w:szCs w:val="18"/>
                <w:lang w:val="en-GB"/>
              </w:rPr>
            </w:pPr>
            <w:r w:rsidRPr="001824C4">
              <w:rPr>
                <w:lang w:val="en-GB"/>
              </w:rPr>
              <w:t>CH</w:t>
            </w:r>
            <w:r w:rsidRPr="00DF4DE8">
              <w:rPr>
                <w:vertAlign w:val="subscript"/>
                <w:lang w:val="en-GB"/>
              </w:rPr>
              <w:t>4</w:t>
            </w:r>
            <w:r w:rsidRPr="001824C4">
              <w:rPr>
                <w:lang w:val="en-GB"/>
              </w:rPr>
              <w:t>S</w:t>
            </w:r>
          </w:p>
        </w:tc>
        <w:tc>
          <w:tcPr>
            <w:tcW w:w="2344" w:type="pct"/>
            <w:shd w:val="clear" w:color="auto" w:fill="FFFFFF"/>
            <w:vAlign w:val="center"/>
          </w:tcPr>
          <w:p w14:paraId="6B8A0289" w14:textId="77777777" w:rsidR="001F34B1" w:rsidRPr="001824C4" w:rsidRDefault="001F34B1" w:rsidP="000E5A87">
            <w:pPr>
              <w:pStyle w:val="CETBodytext"/>
              <w:ind w:right="-1"/>
              <w:jc w:val="center"/>
              <w:rPr>
                <w:rFonts w:cs="Arial"/>
                <w:szCs w:val="18"/>
                <w:lang w:val="en-GB"/>
              </w:rPr>
            </w:pPr>
            <w:r w:rsidRPr="001824C4">
              <w:rPr>
                <w:rFonts w:cs="Arial"/>
                <w:szCs w:val="18"/>
                <w:lang w:val="en-GB"/>
              </w:rPr>
              <w:t>Detection: PFPD; identification: MS</w:t>
            </w:r>
          </w:p>
        </w:tc>
        <w:tc>
          <w:tcPr>
            <w:tcW w:w="4" w:type="pct"/>
            <w:shd w:val="clear" w:color="auto" w:fill="FFFFFF"/>
            <w:vAlign w:val="center"/>
          </w:tcPr>
          <w:p w14:paraId="28904499" w14:textId="77777777" w:rsidR="001F34B1" w:rsidRPr="001824C4" w:rsidRDefault="001F34B1" w:rsidP="000E5A87">
            <w:pPr>
              <w:pStyle w:val="CETBodytext"/>
              <w:ind w:right="-1"/>
              <w:jc w:val="center"/>
              <w:rPr>
                <w:rFonts w:cs="Arial"/>
                <w:szCs w:val="18"/>
                <w:lang w:val="en-GB"/>
              </w:rPr>
            </w:pPr>
          </w:p>
        </w:tc>
        <w:tc>
          <w:tcPr>
            <w:tcW w:w="418" w:type="pct"/>
            <w:shd w:val="clear" w:color="auto" w:fill="FFFFFF"/>
            <w:vAlign w:val="center"/>
          </w:tcPr>
          <w:p w14:paraId="41A45AC1" w14:textId="77777777" w:rsidR="001F34B1" w:rsidRPr="001824C4" w:rsidRDefault="001F34B1" w:rsidP="000E5A87">
            <w:pPr>
              <w:pStyle w:val="CETBodytext"/>
              <w:ind w:right="-1"/>
              <w:jc w:val="center"/>
              <w:rPr>
                <w:rFonts w:cs="Arial"/>
                <w:szCs w:val="18"/>
                <w:lang w:val="en-GB"/>
              </w:rPr>
            </w:pPr>
            <w:r>
              <w:rPr>
                <w:lang w:val="en-GB"/>
              </w:rPr>
              <w:t>47</w:t>
            </w:r>
          </w:p>
        </w:tc>
        <w:tc>
          <w:tcPr>
            <w:tcW w:w="12" w:type="pct"/>
            <w:shd w:val="clear" w:color="auto" w:fill="FFFFFF"/>
            <w:vAlign w:val="center"/>
          </w:tcPr>
          <w:p w14:paraId="593A684B" w14:textId="77777777" w:rsidR="001F34B1" w:rsidRPr="001824C4" w:rsidRDefault="001F34B1" w:rsidP="000E5A87">
            <w:pPr>
              <w:pStyle w:val="CETBodytext"/>
              <w:ind w:right="-1"/>
              <w:jc w:val="center"/>
              <w:rPr>
                <w:rFonts w:cs="Arial"/>
                <w:szCs w:val="18"/>
                <w:lang w:val="en-GB"/>
              </w:rPr>
            </w:pPr>
          </w:p>
        </w:tc>
        <w:tc>
          <w:tcPr>
            <w:tcW w:w="12" w:type="pct"/>
            <w:shd w:val="clear" w:color="auto" w:fill="FFFFFF"/>
            <w:vAlign w:val="center"/>
          </w:tcPr>
          <w:p w14:paraId="30BFD858" w14:textId="77777777" w:rsidR="001F34B1" w:rsidRPr="001824C4" w:rsidRDefault="001F34B1" w:rsidP="000E5A87">
            <w:pPr>
              <w:pStyle w:val="CETBodytext"/>
              <w:ind w:right="-1"/>
              <w:jc w:val="center"/>
              <w:rPr>
                <w:rFonts w:cs="Arial"/>
                <w:szCs w:val="18"/>
                <w:lang w:val="en-GB"/>
              </w:rPr>
            </w:pPr>
          </w:p>
        </w:tc>
      </w:tr>
      <w:tr w:rsidR="001F34B1" w:rsidRPr="001824C4" w14:paraId="049B4D56" w14:textId="77777777" w:rsidTr="000E5A87">
        <w:trPr>
          <w:trHeight w:val="311"/>
        </w:trPr>
        <w:tc>
          <w:tcPr>
            <w:tcW w:w="244" w:type="pct"/>
            <w:shd w:val="clear" w:color="auto" w:fill="FFFFFF"/>
            <w:vAlign w:val="center"/>
          </w:tcPr>
          <w:p w14:paraId="5ED6B8FC" w14:textId="77777777" w:rsidR="001F34B1" w:rsidRPr="001824C4" w:rsidRDefault="001F34B1" w:rsidP="000E5A87">
            <w:pPr>
              <w:pStyle w:val="CETBodytext"/>
              <w:jc w:val="center"/>
              <w:rPr>
                <w:lang w:val="en-GB"/>
              </w:rPr>
            </w:pPr>
            <w:r w:rsidRPr="001824C4">
              <w:rPr>
                <w:lang w:val="en-GB"/>
              </w:rPr>
              <w:t>5.7</w:t>
            </w:r>
          </w:p>
        </w:tc>
        <w:tc>
          <w:tcPr>
            <w:tcW w:w="953" w:type="pct"/>
            <w:shd w:val="clear" w:color="auto" w:fill="FFFFFF"/>
            <w:vAlign w:val="center"/>
          </w:tcPr>
          <w:p w14:paraId="6E8394C7" w14:textId="77777777" w:rsidR="001F34B1" w:rsidRPr="001824C4" w:rsidRDefault="001F34B1" w:rsidP="000E5A87">
            <w:pPr>
              <w:pStyle w:val="CETBodytext"/>
              <w:jc w:val="center"/>
              <w:rPr>
                <w:lang w:val="en-GB"/>
              </w:rPr>
            </w:pPr>
            <w:r w:rsidRPr="001824C4">
              <w:rPr>
                <w:lang w:val="en-GB"/>
              </w:rPr>
              <w:t>Acetone</w:t>
            </w:r>
          </w:p>
        </w:tc>
        <w:tc>
          <w:tcPr>
            <w:tcW w:w="497" w:type="pct"/>
            <w:shd w:val="clear" w:color="auto" w:fill="FFFFFF"/>
            <w:vAlign w:val="center"/>
          </w:tcPr>
          <w:p w14:paraId="48EF9273" w14:textId="77777777" w:rsidR="001F34B1" w:rsidRPr="001824C4" w:rsidRDefault="001F34B1" w:rsidP="000E5A87">
            <w:pPr>
              <w:pStyle w:val="CETBodytext"/>
              <w:jc w:val="center"/>
              <w:rPr>
                <w:lang w:val="en-GB"/>
              </w:rPr>
            </w:pPr>
            <w:r w:rsidRPr="001824C4">
              <w:rPr>
                <w:lang w:val="en-GB"/>
              </w:rPr>
              <w:t>67-64-1</w:t>
            </w:r>
          </w:p>
        </w:tc>
        <w:tc>
          <w:tcPr>
            <w:tcW w:w="516" w:type="pct"/>
            <w:shd w:val="clear" w:color="auto" w:fill="FFFFFF"/>
            <w:vAlign w:val="center"/>
          </w:tcPr>
          <w:p w14:paraId="29D21EDE" w14:textId="77777777" w:rsidR="001F34B1" w:rsidRPr="001824C4" w:rsidRDefault="001F34B1" w:rsidP="000E5A87">
            <w:pPr>
              <w:pStyle w:val="CETBodytext"/>
              <w:ind w:right="-1"/>
              <w:jc w:val="center"/>
              <w:rPr>
                <w:rFonts w:cs="Arial"/>
                <w:szCs w:val="18"/>
                <w:lang w:val="en-GB"/>
              </w:rPr>
            </w:pPr>
            <w:r w:rsidRPr="001824C4">
              <w:rPr>
                <w:lang w:val="en-GB"/>
              </w:rPr>
              <w:t>C</w:t>
            </w:r>
            <w:r w:rsidRPr="00DF4DE8">
              <w:rPr>
                <w:vertAlign w:val="subscript"/>
                <w:lang w:val="en-GB"/>
              </w:rPr>
              <w:t>3</w:t>
            </w:r>
            <w:r w:rsidRPr="001824C4">
              <w:rPr>
                <w:lang w:val="en-GB"/>
              </w:rPr>
              <w:t>H</w:t>
            </w:r>
            <w:r w:rsidRPr="00DF4DE8">
              <w:rPr>
                <w:vertAlign w:val="subscript"/>
                <w:lang w:val="en-GB"/>
              </w:rPr>
              <w:t>6</w:t>
            </w:r>
            <w:r w:rsidRPr="001824C4">
              <w:rPr>
                <w:lang w:val="en-GB"/>
              </w:rPr>
              <w:t>O</w:t>
            </w:r>
          </w:p>
        </w:tc>
        <w:tc>
          <w:tcPr>
            <w:tcW w:w="2344" w:type="pct"/>
            <w:shd w:val="clear" w:color="auto" w:fill="FFFFFF"/>
            <w:vAlign w:val="center"/>
          </w:tcPr>
          <w:p w14:paraId="7CF7035C" w14:textId="77777777" w:rsidR="001F34B1" w:rsidRPr="001824C4" w:rsidRDefault="001F34B1" w:rsidP="000E5A87">
            <w:pPr>
              <w:pStyle w:val="CETBodytext"/>
              <w:ind w:right="-1"/>
              <w:jc w:val="center"/>
              <w:rPr>
                <w:rFonts w:cs="Arial"/>
                <w:szCs w:val="18"/>
                <w:lang w:val="en-GB"/>
              </w:rPr>
            </w:pPr>
            <w:r w:rsidRPr="001824C4">
              <w:rPr>
                <w:rFonts w:cs="Arial"/>
                <w:szCs w:val="18"/>
                <w:lang w:val="en-GB"/>
              </w:rPr>
              <w:t>Detection: FID and MS; identification: MS</w:t>
            </w:r>
          </w:p>
        </w:tc>
        <w:tc>
          <w:tcPr>
            <w:tcW w:w="4" w:type="pct"/>
            <w:shd w:val="clear" w:color="auto" w:fill="FFFFFF"/>
            <w:vAlign w:val="center"/>
          </w:tcPr>
          <w:p w14:paraId="2B48E306" w14:textId="77777777" w:rsidR="001F34B1" w:rsidRPr="001824C4" w:rsidRDefault="001F34B1" w:rsidP="000E5A87">
            <w:pPr>
              <w:pStyle w:val="CETBodytext"/>
              <w:ind w:right="-1"/>
              <w:jc w:val="center"/>
              <w:rPr>
                <w:rFonts w:cs="Arial"/>
                <w:szCs w:val="18"/>
                <w:lang w:val="en-GB"/>
              </w:rPr>
            </w:pPr>
          </w:p>
        </w:tc>
        <w:tc>
          <w:tcPr>
            <w:tcW w:w="418" w:type="pct"/>
            <w:shd w:val="clear" w:color="auto" w:fill="FFFFFF"/>
            <w:vAlign w:val="center"/>
          </w:tcPr>
          <w:p w14:paraId="263A27BC" w14:textId="77777777" w:rsidR="001F34B1" w:rsidRPr="001824C4" w:rsidRDefault="001F34B1" w:rsidP="000E5A87">
            <w:pPr>
              <w:pStyle w:val="CETBodytext"/>
              <w:ind w:right="-1"/>
              <w:jc w:val="center"/>
              <w:rPr>
                <w:rFonts w:cs="Arial"/>
                <w:szCs w:val="18"/>
                <w:lang w:val="en-GB"/>
              </w:rPr>
            </w:pPr>
          </w:p>
        </w:tc>
        <w:tc>
          <w:tcPr>
            <w:tcW w:w="12" w:type="pct"/>
            <w:shd w:val="clear" w:color="auto" w:fill="FFFFFF"/>
            <w:vAlign w:val="center"/>
          </w:tcPr>
          <w:p w14:paraId="201326DF" w14:textId="77777777" w:rsidR="001F34B1" w:rsidRPr="001824C4" w:rsidRDefault="001F34B1" w:rsidP="000E5A87">
            <w:pPr>
              <w:pStyle w:val="CETBodytext"/>
              <w:ind w:right="-1"/>
              <w:jc w:val="center"/>
              <w:rPr>
                <w:rFonts w:cs="Arial"/>
                <w:szCs w:val="18"/>
                <w:lang w:val="en-GB"/>
              </w:rPr>
            </w:pPr>
          </w:p>
        </w:tc>
        <w:tc>
          <w:tcPr>
            <w:tcW w:w="12" w:type="pct"/>
            <w:shd w:val="clear" w:color="auto" w:fill="FFFFFF"/>
            <w:vAlign w:val="center"/>
          </w:tcPr>
          <w:p w14:paraId="19C70F1B" w14:textId="77777777" w:rsidR="001F34B1" w:rsidRPr="001824C4" w:rsidRDefault="001F34B1" w:rsidP="000E5A87">
            <w:pPr>
              <w:pStyle w:val="CETBodytext"/>
              <w:ind w:right="-1"/>
              <w:jc w:val="center"/>
              <w:rPr>
                <w:rFonts w:cs="Arial"/>
                <w:szCs w:val="18"/>
                <w:lang w:val="en-GB"/>
              </w:rPr>
            </w:pPr>
          </w:p>
        </w:tc>
      </w:tr>
      <w:tr w:rsidR="001F34B1" w:rsidRPr="001824C4" w14:paraId="063767AB" w14:textId="77777777" w:rsidTr="000E5A87">
        <w:trPr>
          <w:trHeight w:val="297"/>
        </w:trPr>
        <w:tc>
          <w:tcPr>
            <w:tcW w:w="244" w:type="pct"/>
            <w:shd w:val="clear" w:color="auto" w:fill="FFFFFF"/>
            <w:vAlign w:val="center"/>
          </w:tcPr>
          <w:p w14:paraId="54F29D81" w14:textId="77777777" w:rsidR="001F34B1" w:rsidRPr="001824C4" w:rsidRDefault="001F34B1" w:rsidP="000E5A87">
            <w:pPr>
              <w:pStyle w:val="CETBodytext"/>
              <w:jc w:val="center"/>
              <w:rPr>
                <w:lang w:val="en-GB"/>
              </w:rPr>
            </w:pPr>
            <w:r w:rsidRPr="001824C4">
              <w:rPr>
                <w:lang w:val="en-GB"/>
              </w:rPr>
              <w:t>6.7</w:t>
            </w:r>
          </w:p>
        </w:tc>
        <w:tc>
          <w:tcPr>
            <w:tcW w:w="953" w:type="pct"/>
            <w:shd w:val="clear" w:color="auto" w:fill="FFFFFF"/>
            <w:vAlign w:val="center"/>
          </w:tcPr>
          <w:p w14:paraId="7A913FB7" w14:textId="77777777" w:rsidR="001F34B1" w:rsidRDefault="001F34B1" w:rsidP="000E5A87">
            <w:pPr>
              <w:pStyle w:val="CETBodytext"/>
              <w:jc w:val="center"/>
              <w:rPr>
                <w:lang w:val="en-GB"/>
              </w:rPr>
            </w:pPr>
            <w:r w:rsidRPr="001824C4">
              <w:rPr>
                <w:lang w:val="en-GB"/>
              </w:rPr>
              <w:t>Dimethyl sulphide</w:t>
            </w:r>
          </w:p>
          <w:p w14:paraId="3146583A" w14:textId="77777777" w:rsidR="001F34B1" w:rsidRPr="001824C4" w:rsidRDefault="001F34B1" w:rsidP="000E5A87">
            <w:pPr>
              <w:pStyle w:val="CETBodytext"/>
              <w:jc w:val="center"/>
              <w:rPr>
                <w:lang w:val="en-GB"/>
              </w:rPr>
            </w:pPr>
            <w:r w:rsidRPr="001824C4">
              <w:rPr>
                <w:lang w:val="en-GB"/>
              </w:rPr>
              <w:t>(DMS)</w:t>
            </w:r>
          </w:p>
        </w:tc>
        <w:tc>
          <w:tcPr>
            <w:tcW w:w="497" w:type="pct"/>
            <w:shd w:val="clear" w:color="auto" w:fill="FFFFFF"/>
            <w:vAlign w:val="center"/>
          </w:tcPr>
          <w:p w14:paraId="72B36F93" w14:textId="77777777" w:rsidR="001F34B1" w:rsidRPr="001824C4" w:rsidRDefault="001F34B1" w:rsidP="000E5A87">
            <w:pPr>
              <w:pStyle w:val="CETBodytext"/>
              <w:jc w:val="center"/>
              <w:rPr>
                <w:lang w:val="en-GB"/>
              </w:rPr>
            </w:pPr>
            <w:r w:rsidRPr="001824C4">
              <w:rPr>
                <w:lang w:val="en-GB"/>
              </w:rPr>
              <w:t>75-18-3</w:t>
            </w:r>
          </w:p>
        </w:tc>
        <w:tc>
          <w:tcPr>
            <w:tcW w:w="516" w:type="pct"/>
            <w:shd w:val="clear" w:color="auto" w:fill="FFFFFF"/>
            <w:vAlign w:val="center"/>
          </w:tcPr>
          <w:p w14:paraId="68CC57AE" w14:textId="77777777" w:rsidR="001F34B1" w:rsidRPr="001824C4" w:rsidRDefault="001F34B1" w:rsidP="000E5A87">
            <w:pPr>
              <w:pStyle w:val="CETBodytext"/>
              <w:ind w:right="-1"/>
              <w:jc w:val="center"/>
              <w:rPr>
                <w:rFonts w:cs="Arial"/>
                <w:szCs w:val="18"/>
                <w:lang w:val="en-GB"/>
              </w:rPr>
            </w:pPr>
            <w:r w:rsidRPr="001824C4">
              <w:rPr>
                <w:lang w:val="en-GB"/>
              </w:rPr>
              <w:t>C</w:t>
            </w:r>
            <w:r w:rsidRPr="00DF4DE8">
              <w:rPr>
                <w:vertAlign w:val="subscript"/>
                <w:lang w:val="en-GB"/>
              </w:rPr>
              <w:t>2</w:t>
            </w:r>
            <w:r w:rsidRPr="001824C4">
              <w:rPr>
                <w:lang w:val="en-GB"/>
              </w:rPr>
              <w:t>H</w:t>
            </w:r>
            <w:r w:rsidRPr="00DF4DE8">
              <w:rPr>
                <w:vertAlign w:val="subscript"/>
                <w:lang w:val="en-GB"/>
              </w:rPr>
              <w:t>6</w:t>
            </w:r>
            <w:r w:rsidRPr="001824C4">
              <w:rPr>
                <w:lang w:val="en-GB"/>
              </w:rPr>
              <w:t>S</w:t>
            </w:r>
          </w:p>
        </w:tc>
        <w:tc>
          <w:tcPr>
            <w:tcW w:w="2344" w:type="pct"/>
            <w:shd w:val="clear" w:color="auto" w:fill="FFFFFF"/>
            <w:vAlign w:val="center"/>
          </w:tcPr>
          <w:p w14:paraId="024CA307" w14:textId="77777777" w:rsidR="001F34B1" w:rsidRPr="001824C4" w:rsidRDefault="001F34B1" w:rsidP="000E5A87">
            <w:pPr>
              <w:pStyle w:val="CETBodytext"/>
              <w:ind w:right="-1"/>
              <w:jc w:val="center"/>
              <w:rPr>
                <w:rFonts w:cs="Arial"/>
                <w:szCs w:val="18"/>
                <w:lang w:val="en-GB"/>
              </w:rPr>
            </w:pPr>
            <w:r w:rsidRPr="001824C4">
              <w:rPr>
                <w:rFonts w:cs="Arial"/>
                <w:szCs w:val="18"/>
                <w:lang w:val="en-GB"/>
              </w:rPr>
              <w:t xml:space="preserve">Detection: FID, MS and PFPD; </w:t>
            </w:r>
            <w:r>
              <w:rPr>
                <w:rFonts w:cs="Arial"/>
                <w:szCs w:val="18"/>
                <w:lang w:val="en-GB"/>
              </w:rPr>
              <w:br/>
            </w:r>
            <w:r w:rsidRPr="001824C4">
              <w:rPr>
                <w:rFonts w:cs="Arial"/>
                <w:szCs w:val="18"/>
                <w:lang w:val="en-GB"/>
              </w:rPr>
              <w:t>identification: MS</w:t>
            </w:r>
          </w:p>
        </w:tc>
        <w:tc>
          <w:tcPr>
            <w:tcW w:w="4" w:type="pct"/>
            <w:shd w:val="clear" w:color="auto" w:fill="FFFFFF"/>
            <w:vAlign w:val="center"/>
          </w:tcPr>
          <w:p w14:paraId="5116FDD6" w14:textId="77777777" w:rsidR="001F34B1" w:rsidRPr="001824C4" w:rsidRDefault="001F34B1" w:rsidP="000E5A87">
            <w:pPr>
              <w:pStyle w:val="CETBodytext"/>
              <w:ind w:right="-1"/>
              <w:jc w:val="center"/>
              <w:rPr>
                <w:rFonts w:cs="Arial"/>
                <w:szCs w:val="18"/>
                <w:lang w:val="en-GB"/>
              </w:rPr>
            </w:pPr>
          </w:p>
        </w:tc>
        <w:tc>
          <w:tcPr>
            <w:tcW w:w="418" w:type="pct"/>
            <w:shd w:val="clear" w:color="auto" w:fill="FFFFFF"/>
            <w:vAlign w:val="center"/>
          </w:tcPr>
          <w:p w14:paraId="7A14E0B8" w14:textId="77777777" w:rsidR="001F34B1" w:rsidRPr="001824C4" w:rsidRDefault="001F34B1" w:rsidP="000E5A87">
            <w:pPr>
              <w:pStyle w:val="CETBodytext"/>
              <w:ind w:right="-1"/>
              <w:jc w:val="center"/>
              <w:rPr>
                <w:rFonts w:cs="Arial"/>
                <w:szCs w:val="18"/>
                <w:lang w:val="en-GB"/>
              </w:rPr>
            </w:pPr>
          </w:p>
        </w:tc>
        <w:tc>
          <w:tcPr>
            <w:tcW w:w="12" w:type="pct"/>
            <w:shd w:val="clear" w:color="auto" w:fill="FFFFFF"/>
            <w:vAlign w:val="center"/>
          </w:tcPr>
          <w:p w14:paraId="0DFDEBDB" w14:textId="77777777" w:rsidR="001F34B1" w:rsidRPr="001824C4" w:rsidRDefault="001F34B1" w:rsidP="000E5A87">
            <w:pPr>
              <w:pStyle w:val="CETBodytext"/>
              <w:ind w:right="-1"/>
              <w:jc w:val="center"/>
              <w:rPr>
                <w:rFonts w:cs="Arial"/>
                <w:szCs w:val="18"/>
                <w:lang w:val="en-GB"/>
              </w:rPr>
            </w:pPr>
          </w:p>
        </w:tc>
        <w:tc>
          <w:tcPr>
            <w:tcW w:w="12" w:type="pct"/>
            <w:shd w:val="clear" w:color="auto" w:fill="FFFFFF"/>
            <w:vAlign w:val="center"/>
          </w:tcPr>
          <w:p w14:paraId="614DF185" w14:textId="77777777" w:rsidR="001F34B1" w:rsidRPr="001824C4" w:rsidRDefault="001F34B1" w:rsidP="000E5A87">
            <w:pPr>
              <w:pStyle w:val="CETBodytext"/>
              <w:ind w:right="-1"/>
              <w:jc w:val="center"/>
              <w:rPr>
                <w:rFonts w:cs="Arial"/>
                <w:szCs w:val="18"/>
                <w:lang w:val="en-GB"/>
              </w:rPr>
            </w:pPr>
          </w:p>
        </w:tc>
      </w:tr>
      <w:tr w:rsidR="001F34B1" w:rsidRPr="001824C4" w14:paraId="7A419692" w14:textId="77777777" w:rsidTr="000E5A87">
        <w:trPr>
          <w:trHeight w:val="311"/>
        </w:trPr>
        <w:tc>
          <w:tcPr>
            <w:tcW w:w="244" w:type="pct"/>
            <w:shd w:val="clear" w:color="auto" w:fill="FFFFFF"/>
            <w:vAlign w:val="center"/>
          </w:tcPr>
          <w:p w14:paraId="1690B143" w14:textId="77777777" w:rsidR="001F34B1" w:rsidRPr="001824C4" w:rsidRDefault="001F34B1" w:rsidP="000E5A87">
            <w:pPr>
              <w:pStyle w:val="CETBodytext"/>
              <w:jc w:val="center"/>
              <w:rPr>
                <w:lang w:val="en-GB"/>
              </w:rPr>
            </w:pPr>
            <w:r w:rsidRPr="001824C4">
              <w:rPr>
                <w:lang w:val="en-GB"/>
              </w:rPr>
              <w:t>7.4</w:t>
            </w:r>
          </w:p>
        </w:tc>
        <w:tc>
          <w:tcPr>
            <w:tcW w:w="953" w:type="pct"/>
            <w:shd w:val="clear" w:color="auto" w:fill="FFFFFF"/>
            <w:vAlign w:val="center"/>
          </w:tcPr>
          <w:p w14:paraId="47ED1C46" w14:textId="77777777" w:rsidR="001F34B1" w:rsidRPr="001824C4" w:rsidRDefault="001F34B1" w:rsidP="000E5A87">
            <w:pPr>
              <w:pStyle w:val="CETBodytext"/>
              <w:jc w:val="center"/>
              <w:rPr>
                <w:lang w:val="en-GB"/>
              </w:rPr>
            </w:pPr>
            <w:r w:rsidRPr="001824C4">
              <w:rPr>
                <w:lang w:val="en-GB"/>
              </w:rPr>
              <w:t>Carbon Disulphide</w:t>
            </w:r>
          </w:p>
        </w:tc>
        <w:tc>
          <w:tcPr>
            <w:tcW w:w="497" w:type="pct"/>
            <w:shd w:val="clear" w:color="auto" w:fill="FFFFFF"/>
            <w:vAlign w:val="center"/>
          </w:tcPr>
          <w:p w14:paraId="6E628776" w14:textId="77777777" w:rsidR="001F34B1" w:rsidRPr="001824C4" w:rsidRDefault="001F34B1" w:rsidP="000E5A87">
            <w:pPr>
              <w:pStyle w:val="CETBodytext"/>
              <w:jc w:val="center"/>
              <w:rPr>
                <w:lang w:val="en-GB"/>
              </w:rPr>
            </w:pPr>
            <w:r w:rsidRPr="001824C4">
              <w:rPr>
                <w:lang w:val="en-GB"/>
              </w:rPr>
              <w:t>75-15-0</w:t>
            </w:r>
          </w:p>
        </w:tc>
        <w:tc>
          <w:tcPr>
            <w:tcW w:w="516" w:type="pct"/>
            <w:shd w:val="clear" w:color="auto" w:fill="FFFFFF"/>
            <w:vAlign w:val="center"/>
          </w:tcPr>
          <w:p w14:paraId="54F3B87F" w14:textId="77777777" w:rsidR="001F34B1" w:rsidRPr="001824C4" w:rsidRDefault="001F34B1" w:rsidP="000E5A87">
            <w:pPr>
              <w:pStyle w:val="CETBodytext"/>
              <w:ind w:right="-1"/>
              <w:jc w:val="center"/>
              <w:rPr>
                <w:rFonts w:cs="Arial"/>
                <w:szCs w:val="18"/>
                <w:lang w:val="en-GB"/>
              </w:rPr>
            </w:pPr>
            <w:r w:rsidRPr="001824C4">
              <w:rPr>
                <w:lang w:val="en-GB"/>
              </w:rPr>
              <w:t>CS</w:t>
            </w:r>
            <w:r w:rsidRPr="00DF4DE8">
              <w:rPr>
                <w:vertAlign w:val="subscript"/>
                <w:lang w:val="en-GB"/>
              </w:rPr>
              <w:t>2</w:t>
            </w:r>
          </w:p>
        </w:tc>
        <w:tc>
          <w:tcPr>
            <w:tcW w:w="2344" w:type="pct"/>
            <w:shd w:val="clear" w:color="auto" w:fill="FFFFFF"/>
            <w:vAlign w:val="center"/>
          </w:tcPr>
          <w:p w14:paraId="24F9B914" w14:textId="77777777" w:rsidR="001F34B1" w:rsidRPr="001824C4" w:rsidRDefault="001F34B1" w:rsidP="000E5A87">
            <w:pPr>
              <w:pStyle w:val="CETBodytext"/>
              <w:ind w:right="-1"/>
              <w:jc w:val="center"/>
              <w:rPr>
                <w:rFonts w:cs="Arial"/>
                <w:szCs w:val="18"/>
                <w:lang w:val="en-GB"/>
              </w:rPr>
            </w:pPr>
            <w:r w:rsidRPr="001824C4">
              <w:rPr>
                <w:rFonts w:cs="Arial"/>
                <w:szCs w:val="18"/>
                <w:lang w:val="en-GB"/>
              </w:rPr>
              <w:t>Detection: PFPD; identification: MS</w:t>
            </w:r>
          </w:p>
        </w:tc>
        <w:tc>
          <w:tcPr>
            <w:tcW w:w="4" w:type="pct"/>
            <w:shd w:val="clear" w:color="auto" w:fill="FFFFFF"/>
            <w:vAlign w:val="center"/>
          </w:tcPr>
          <w:p w14:paraId="1B3DFF0C" w14:textId="77777777" w:rsidR="001F34B1" w:rsidRPr="001824C4" w:rsidRDefault="001F34B1" w:rsidP="000E5A87">
            <w:pPr>
              <w:pStyle w:val="CETBodytext"/>
              <w:ind w:right="-1"/>
              <w:jc w:val="center"/>
              <w:rPr>
                <w:rFonts w:cs="Arial"/>
                <w:szCs w:val="18"/>
                <w:lang w:val="en-GB"/>
              </w:rPr>
            </w:pPr>
          </w:p>
        </w:tc>
        <w:tc>
          <w:tcPr>
            <w:tcW w:w="418" w:type="pct"/>
            <w:shd w:val="clear" w:color="auto" w:fill="FFFFFF"/>
            <w:vAlign w:val="center"/>
          </w:tcPr>
          <w:p w14:paraId="346E2D7A" w14:textId="77777777" w:rsidR="001F34B1" w:rsidRPr="001824C4" w:rsidRDefault="001F34B1" w:rsidP="000E5A87">
            <w:pPr>
              <w:pStyle w:val="CETBodytext"/>
              <w:ind w:right="-1"/>
              <w:jc w:val="center"/>
              <w:rPr>
                <w:rFonts w:cs="Arial"/>
                <w:szCs w:val="18"/>
                <w:lang w:val="en-GB"/>
              </w:rPr>
            </w:pPr>
            <w:r>
              <w:rPr>
                <w:lang w:val="en-GB"/>
              </w:rPr>
              <w:t>76</w:t>
            </w:r>
          </w:p>
        </w:tc>
        <w:tc>
          <w:tcPr>
            <w:tcW w:w="12" w:type="pct"/>
            <w:shd w:val="clear" w:color="auto" w:fill="FFFFFF"/>
            <w:vAlign w:val="center"/>
          </w:tcPr>
          <w:p w14:paraId="01D36B0E" w14:textId="77777777" w:rsidR="001F34B1" w:rsidRPr="001824C4" w:rsidRDefault="001F34B1" w:rsidP="000E5A87">
            <w:pPr>
              <w:pStyle w:val="CETBodytext"/>
              <w:ind w:right="-1"/>
              <w:jc w:val="center"/>
              <w:rPr>
                <w:rFonts w:cs="Arial"/>
                <w:szCs w:val="18"/>
                <w:lang w:val="en-GB"/>
              </w:rPr>
            </w:pPr>
          </w:p>
        </w:tc>
        <w:tc>
          <w:tcPr>
            <w:tcW w:w="12" w:type="pct"/>
            <w:shd w:val="clear" w:color="auto" w:fill="FFFFFF"/>
            <w:vAlign w:val="center"/>
          </w:tcPr>
          <w:p w14:paraId="26BEA160" w14:textId="77777777" w:rsidR="001F34B1" w:rsidRPr="001824C4" w:rsidRDefault="001F34B1" w:rsidP="000E5A87">
            <w:pPr>
              <w:pStyle w:val="CETBodytext"/>
              <w:ind w:right="-1"/>
              <w:jc w:val="center"/>
              <w:rPr>
                <w:rFonts w:cs="Arial"/>
                <w:szCs w:val="18"/>
                <w:lang w:val="en-GB"/>
              </w:rPr>
            </w:pPr>
          </w:p>
        </w:tc>
      </w:tr>
      <w:tr w:rsidR="001F34B1" w:rsidRPr="001824C4" w14:paraId="6F3DEC8C" w14:textId="77777777" w:rsidTr="000E5A87">
        <w:trPr>
          <w:trHeight w:val="311"/>
        </w:trPr>
        <w:tc>
          <w:tcPr>
            <w:tcW w:w="244" w:type="pct"/>
            <w:shd w:val="clear" w:color="auto" w:fill="FFFFFF"/>
            <w:vAlign w:val="center"/>
          </w:tcPr>
          <w:p w14:paraId="413A66CF" w14:textId="77777777" w:rsidR="001F34B1" w:rsidRPr="001824C4" w:rsidRDefault="001F34B1" w:rsidP="000E5A87">
            <w:pPr>
              <w:pStyle w:val="CETBodytext"/>
              <w:jc w:val="center"/>
              <w:rPr>
                <w:lang w:val="en-GB"/>
              </w:rPr>
            </w:pPr>
            <w:r w:rsidRPr="001824C4">
              <w:rPr>
                <w:lang w:val="en-GB"/>
              </w:rPr>
              <w:t>14.1</w:t>
            </w:r>
          </w:p>
        </w:tc>
        <w:tc>
          <w:tcPr>
            <w:tcW w:w="953" w:type="pct"/>
            <w:shd w:val="clear" w:color="auto" w:fill="FFFFFF"/>
            <w:vAlign w:val="center"/>
          </w:tcPr>
          <w:p w14:paraId="7886F221" w14:textId="77777777" w:rsidR="001F34B1" w:rsidRPr="001824C4" w:rsidRDefault="001F34B1" w:rsidP="000E5A87">
            <w:pPr>
              <w:pStyle w:val="CETBodytext"/>
              <w:jc w:val="center"/>
              <w:rPr>
                <w:lang w:val="en-GB"/>
              </w:rPr>
            </w:pPr>
            <w:r w:rsidRPr="001824C4">
              <w:rPr>
                <w:lang w:val="en-GB"/>
              </w:rPr>
              <w:t>Dimethyl disulphide (DMDS)</w:t>
            </w:r>
          </w:p>
        </w:tc>
        <w:tc>
          <w:tcPr>
            <w:tcW w:w="497" w:type="pct"/>
            <w:shd w:val="clear" w:color="auto" w:fill="FFFFFF"/>
            <w:vAlign w:val="center"/>
          </w:tcPr>
          <w:p w14:paraId="6C03E182" w14:textId="77777777" w:rsidR="001F34B1" w:rsidRPr="001824C4" w:rsidRDefault="001F34B1" w:rsidP="000E5A87">
            <w:pPr>
              <w:pStyle w:val="CETBodytext"/>
              <w:jc w:val="center"/>
              <w:rPr>
                <w:lang w:val="en-GB"/>
              </w:rPr>
            </w:pPr>
            <w:r w:rsidRPr="001824C4">
              <w:rPr>
                <w:lang w:val="en-GB"/>
              </w:rPr>
              <w:t>624-92-0</w:t>
            </w:r>
          </w:p>
        </w:tc>
        <w:tc>
          <w:tcPr>
            <w:tcW w:w="516" w:type="pct"/>
            <w:shd w:val="clear" w:color="auto" w:fill="FFFFFF"/>
            <w:vAlign w:val="center"/>
          </w:tcPr>
          <w:p w14:paraId="6BEF2C70" w14:textId="77777777" w:rsidR="001F34B1" w:rsidRPr="001824C4" w:rsidRDefault="001F34B1" w:rsidP="000E5A87">
            <w:pPr>
              <w:pStyle w:val="CETBodytext"/>
              <w:ind w:right="-1"/>
              <w:jc w:val="center"/>
              <w:rPr>
                <w:rFonts w:cs="Arial"/>
                <w:szCs w:val="18"/>
                <w:lang w:val="en-GB"/>
              </w:rPr>
            </w:pPr>
            <w:r w:rsidRPr="001824C4">
              <w:rPr>
                <w:lang w:val="en-GB"/>
              </w:rPr>
              <w:t>C</w:t>
            </w:r>
            <w:r w:rsidRPr="00DF4DE8">
              <w:rPr>
                <w:vertAlign w:val="subscript"/>
                <w:lang w:val="en-GB"/>
              </w:rPr>
              <w:t>2</w:t>
            </w:r>
            <w:r w:rsidRPr="001824C4">
              <w:rPr>
                <w:lang w:val="en-GB"/>
              </w:rPr>
              <w:t>H</w:t>
            </w:r>
            <w:r w:rsidRPr="00DF4DE8">
              <w:rPr>
                <w:vertAlign w:val="subscript"/>
                <w:lang w:val="en-GB"/>
              </w:rPr>
              <w:t>6</w:t>
            </w:r>
            <w:r w:rsidRPr="001824C4">
              <w:rPr>
                <w:lang w:val="en-GB"/>
              </w:rPr>
              <w:t>S</w:t>
            </w:r>
            <w:r w:rsidRPr="00DF4DE8">
              <w:rPr>
                <w:vertAlign w:val="subscript"/>
                <w:lang w:val="en-GB"/>
              </w:rPr>
              <w:t>2</w:t>
            </w:r>
          </w:p>
        </w:tc>
        <w:tc>
          <w:tcPr>
            <w:tcW w:w="2344" w:type="pct"/>
            <w:shd w:val="clear" w:color="auto" w:fill="FFFFFF"/>
            <w:vAlign w:val="center"/>
          </w:tcPr>
          <w:p w14:paraId="5188BA66" w14:textId="77777777" w:rsidR="001F34B1" w:rsidRPr="001824C4" w:rsidRDefault="001F34B1" w:rsidP="000E5A87">
            <w:pPr>
              <w:pStyle w:val="CETBodytext"/>
              <w:ind w:right="-1"/>
              <w:jc w:val="center"/>
              <w:rPr>
                <w:rFonts w:cs="Arial"/>
                <w:szCs w:val="18"/>
                <w:lang w:val="en-GB"/>
              </w:rPr>
            </w:pPr>
            <w:r w:rsidRPr="001824C4">
              <w:rPr>
                <w:rFonts w:cs="Arial"/>
                <w:szCs w:val="18"/>
                <w:lang w:val="en-GB"/>
              </w:rPr>
              <w:t>Detection: PFPD; identification: MS</w:t>
            </w:r>
          </w:p>
        </w:tc>
        <w:tc>
          <w:tcPr>
            <w:tcW w:w="4" w:type="pct"/>
            <w:shd w:val="clear" w:color="auto" w:fill="FFFFFF"/>
            <w:vAlign w:val="center"/>
          </w:tcPr>
          <w:p w14:paraId="0563C2AF" w14:textId="77777777" w:rsidR="001F34B1" w:rsidRPr="001824C4" w:rsidRDefault="001F34B1" w:rsidP="000E5A87">
            <w:pPr>
              <w:pStyle w:val="CETBodytext"/>
              <w:ind w:right="-1"/>
              <w:jc w:val="center"/>
              <w:rPr>
                <w:rFonts w:cs="Arial"/>
                <w:szCs w:val="18"/>
                <w:lang w:val="en-GB"/>
              </w:rPr>
            </w:pPr>
          </w:p>
        </w:tc>
        <w:tc>
          <w:tcPr>
            <w:tcW w:w="418" w:type="pct"/>
            <w:shd w:val="clear" w:color="auto" w:fill="FFFFFF"/>
            <w:vAlign w:val="center"/>
          </w:tcPr>
          <w:p w14:paraId="5F306F11" w14:textId="77777777" w:rsidR="001F34B1" w:rsidRPr="001824C4" w:rsidRDefault="001F34B1" w:rsidP="000E5A87">
            <w:pPr>
              <w:pStyle w:val="CETBodytext"/>
              <w:ind w:right="-1"/>
              <w:jc w:val="center"/>
              <w:rPr>
                <w:rFonts w:cs="Arial"/>
                <w:szCs w:val="18"/>
                <w:lang w:val="en-GB"/>
              </w:rPr>
            </w:pPr>
            <w:r>
              <w:rPr>
                <w:lang w:val="en-GB"/>
              </w:rPr>
              <w:t>94</w:t>
            </w:r>
          </w:p>
        </w:tc>
        <w:tc>
          <w:tcPr>
            <w:tcW w:w="12" w:type="pct"/>
            <w:shd w:val="clear" w:color="auto" w:fill="FFFFFF"/>
            <w:vAlign w:val="center"/>
          </w:tcPr>
          <w:p w14:paraId="6021C18E" w14:textId="77777777" w:rsidR="001F34B1" w:rsidRPr="001824C4" w:rsidRDefault="001F34B1" w:rsidP="000E5A87">
            <w:pPr>
              <w:pStyle w:val="CETBodytext"/>
              <w:ind w:right="-1"/>
              <w:jc w:val="center"/>
              <w:rPr>
                <w:rFonts w:cs="Arial"/>
                <w:szCs w:val="18"/>
                <w:lang w:val="en-GB"/>
              </w:rPr>
            </w:pPr>
          </w:p>
        </w:tc>
        <w:tc>
          <w:tcPr>
            <w:tcW w:w="12" w:type="pct"/>
            <w:shd w:val="clear" w:color="auto" w:fill="FFFFFF"/>
            <w:vAlign w:val="center"/>
          </w:tcPr>
          <w:p w14:paraId="0A0B5163" w14:textId="77777777" w:rsidR="001F34B1" w:rsidRPr="001824C4" w:rsidRDefault="001F34B1" w:rsidP="000E5A87">
            <w:pPr>
              <w:pStyle w:val="CETBodytext"/>
              <w:ind w:right="-1"/>
              <w:jc w:val="center"/>
              <w:rPr>
                <w:rFonts w:cs="Arial"/>
                <w:szCs w:val="18"/>
                <w:lang w:val="en-GB"/>
              </w:rPr>
            </w:pPr>
          </w:p>
        </w:tc>
      </w:tr>
    </w:tbl>
    <w:p w14:paraId="74359E63" w14:textId="4CA9FAE2" w:rsidR="001F34B1" w:rsidRDefault="001F34B1" w:rsidP="00783ED3">
      <w:pPr>
        <w:pStyle w:val="CETBodytext"/>
        <w:rPr>
          <w:lang w:val="en-GB"/>
        </w:rPr>
      </w:pPr>
    </w:p>
    <w:p w14:paraId="300A8299" w14:textId="0908C2E1" w:rsidR="001E4B91" w:rsidRDefault="001E4B91" w:rsidP="000753BA">
      <w:pPr>
        <w:pStyle w:val="CETBodytext"/>
        <w:spacing w:after="240"/>
        <w:rPr>
          <w:lang w:val="en-GB"/>
        </w:rPr>
      </w:pPr>
      <w:r>
        <w:rPr>
          <w:lang w:val="en-GB"/>
        </w:rPr>
        <w:lastRenderedPageBreak/>
        <w:fldChar w:fldCharType="begin"/>
      </w:r>
      <w:r>
        <w:rPr>
          <w:lang w:val="en-GB"/>
        </w:rPr>
        <w:instrText xml:space="preserve"> REF _Ref101951687 \h </w:instrText>
      </w:r>
      <w:r>
        <w:rPr>
          <w:lang w:val="en-GB"/>
        </w:rPr>
      </w:r>
      <w:r>
        <w:rPr>
          <w:lang w:val="en-GB"/>
        </w:rPr>
        <w:fldChar w:fldCharType="separate"/>
      </w:r>
      <w:r w:rsidR="000753BA">
        <w:t xml:space="preserve">Figure </w:t>
      </w:r>
      <w:r w:rsidR="000753BA">
        <w:rPr>
          <w:noProof/>
        </w:rPr>
        <w:t>5</w:t>
      </w:r>
      <w:r>
        <w:rPr>
          <w:lang w:val="en-GB"/>
        </w:rPr>
        <w:fldChar w:fldCharType="end"/>
      </w:r>
      <w:r>
        <w:rPr>
          <w:lang w:val="en-GB"/>
        </w:rPr>
        <w:t xml:space="preserve"> </w:t>
      </w:r>
      <w:r w:rsidR="00EA72EF" w:rsidRPr="00EA72EF">
        <w:rPr>
          <w:lang w:val="en-GB"/>
        </w:rPr>
        <w:t>shows the extracted ion chromatogram (EIC) obtained from the search for the qualifying ion of the compounds.</w:t>
      </w:r>
      <w:r w:rsidR="00EA72EF">
        <w:rPr>
          <w:lang w:val="en-GB"/>
        </w:rPr>
        <w:t xml:space="preserve"> </w:t>
      </w:r>
      <w:r w:rsidRPr="001824C4">
        <w:rPr>
          <w:lang w:val="en-GB"/>
        </w:rPr>
        <w:t>From the reported</w:t>
      </w:r>
      <w:r w:rsidR="00EA72EF">
        <w:rPr>
          <w:lang w:val="en-GB"/>
        </w:rPr>
        <w:t xml:space="preserve"> </w:t>
      </w:r>
      <w:r w:rsidR="00EA72EF" w:rsidRPr="001824C4">
        <w:rPr>
          <w:lang w:val="en-GB"/>
        </w:rPr>
        <w:t>results</w:t>
      </w:r>
      <w:r w:rsidRPr="001824C4">
        <w:rPr>
          <w:lang w:val="en-GB"/>
        </w:rPr>
        <w:t>, it is possible to affirm that the analytical system adopted to analyse these samples allows to obtain useful qualitative information for the characterisation of odour mixtures, minimising the analysis time required. Indeed, by using specific detectors (FID and PFPD) it is possible to selectively detect classes of compounds. These are then identified not</w:t>
      </w:r>
      <w:r>
        <w:rPr>
          <w:lang w:val="en-GB"/>
        </w:rPr>
        <w:t xml:space="preserve"> only</w:t>
      </w:r>
      <w:r w:rsidRPr="001824C4">
        <w:rPr>
          <w:lang w:val="en-GB"/>
        </w:rPr>
        <w:t xml:space="preserve"> b</w:t>
      </w:r>
      <w:r>
        <w:rPr>
          <w:lang w:val="en-GB"/>
        </w:rPr>
        <w:t>y comparing the RT with standards</w:t>
      </w:r>
      <w:r w:rsidRPr="001824C4">
        <w:rPr>
          <w:lang w:val="en-GB"/>
        </w:rPr>
        <w:t xml:space="preserve"> but</w:t>
      </w:r>
      <w:r>
        <w:rPr>
          <w:lang w:val="en-GB"/>
        </w:rPr>
        <w:t>, much more easily,</w:t>
      </w:r>
      <w:r w:rsidRPr="001824C4">
        <w:rPr>
          <w:lang w:val="en-GB"/>
        </w:rPr>
        <w:t xml:space="preserve"> are immediately identified by comparing the mass spectra with the NIST library.</w:t>
      </w:r>
    </w:p>
    <w:p w14:paraId="662693AE" w14:textId="77777777" w:rsidR="00783ED3" w:rsidRPr="001824C4" w:rsidRDefault="00783ED3" w:rsidP="00783ED3">
      <w:pPr>
        <w:pStyle w:val="CETBodytext"/>
        <w:jc w:val="left"/>
        <w:rPr>
          <w:lang w:val="en-GB"/>
        </w:rPr>
      </w:pPr>
      <w:r w:rsidRPr="001824C4">
        <w:rPr>
          <w:noProof/>
          <w:lang w:val="it-IT" w:eastAsia="it-IT"/>
        </w:rPr>
        <w:drawing>
          <wp:inline distT="0" distB="0" distL="0" distR="0" wp14:anchorId="20476DD0" wp14:editId="74CC6CEF">
            <wp:extent cx="4482794" cy="2088000"/>
            <wp:effectExtent l="0" t="0" r="0" b="762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82794" cy="2088000"/>
                    </a:xfrm>
                    <a:prstGeom prst="rect">
                      <a:avLst/>
                    </a:prstGeom>
                    <a:noFill/>
                  </pic:spPr>
                </pic:pic>
              </a:graphicData>
            </a:graphic>
          </wp:inline>
        </w:drawing>
      </w:r>
    </w:p>
    <w:p w14:paraId="70FC75FD" w14:textId="33B4D74B" w:rsidR="00783ED3" w:rsidRDefault="00783ED3" w:rsidP="00783ED3">
      <w:pPr>
        <w:pStyle w:val="CETCaption"/>
      </w:pPr>
      <w:bookmarkStart w:id="3" w:name="_Ref101436527"/>
      <w:r w:rsidRPr="001824C4">
        <w:t xml:space="preserve">Figure </w:t>
      </w:r>
      <w:r w:rsidRPr="001824C4">
        <w:fldChar w:fldCharType="begin"/>
      </w:r>
      <w:r w:rsidRPr="001824C4">
        <w:instrText xml:space="preserve"> SEQ Figure \* ARABIC </w:instrText>
      </w:r>
      <w:r w:rsidRPr="001824C4">
        <w:fldChar w:fldCharType="separate"/>
      </w:r>
      <w:r w:rsidR="000753BA">
        <w:rPr>
          <w:noProof/>
        </w:rPr>
        <w:t>2</w:t>
      </w:r>
      <w:r w:rsidRPr="001824C4">
        <w:fldChar w:fldCharType="end"/>
      </w:r>
      <w:bookmarkEnd w:id="3"/>
      <w:r w:rsidRPr="001824C4">
        <w:t xml:space="preserve">: </w:t>
      </w:r>
      <w:r>
        <w:t>MS</w:t>
      </w:r>
      <w:r w:rsidRPr="001824C4">
        <w:t xml:space="preserve"> chromatogram of analysed</w:t>
      </w:r>
      <w:r w:rsidR="00784350">
        <w:t xml:space="preserve"> </w:t>
      </w:r>
      <w:r w:rsidR="00784350" w:rsidRPr="001824C4">
        <w:t>sample</w:t>
      </w:r>
      <w:r>
        <w:t>, obtained using TIC mode</w:t>
      </w:r>
    </w:p>
    <w:p w14:paraId="1E8834CF" w14:textId="4C193C9A" w:rsidR="007330F1" w:rsidRPr="001824C4" w:rsidRDefault="007330F1" w:rsidP="0003137F">
      <w:pPr>
        <w:pStyle w:val="CETBodytext"/>
        <w:rPr>
          <w:lang w:val="en-GB"/>
        </w:rPr>
      </w:pPr>
      <w:r w:rsidRPr="001824C4">
        <w:rPr>
          <w:noProof/>
          <w:lang w:val="it-IT" w:eastAsia="it-IT"/>
        </w:rPr>
        <w:drawing>
          <wp:inline distT="0" distB="0" distL="0" distR="0" wp14:anchorId="2A2DBB95" wp14:editId="0AB04F5C">
            <wp:extent cx="4427610" cy="2088000"/>
            <wp:effectExtent l="0" t="0" r="0" b="762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27610" cy="2088000"/>
                    </a:xfrm>
                    <a:prstGeom prst="rect">
                      <a:avLst/>
                    </a:prstGeom>
                    <a:noFill/>
                  </pic:spPr>
                </pic:pic>
              </a:graphicData>
            </a:graphic>
          </wp:inline>
        </w:drawing>
      </w:r>
    </w:p>
    <w:p w14:paraId="2BEEE822" w14:textId="35079905" w:rsidR="00746668" w:rsidRPr="001824C4" w:rsidRDefault="00746668" w:rsidP="00BD4CBF">
      <w:pPr>
        <w:pStyle w:val="CETCaption"/>
      </w:pPr>
      <w:bookmarkStart w:id="4" w:name="_Ref101444079"/>
      <w:r w:rsidRPr="001824C4">
        <w:t xml:space="preserve">Figure </w:t>
      </w:r>
      <w:r w:rsidRPr="001824C4">
        <w:fldChar w:fldCharType="begin"/>
      </w:r>
      <w:r w:rsidRPr="001824C4">
        <w:instrText xml:space="preserve"> SEQ Figure \* ARABIC </w:instrText>
      </w:r>
      <w:r w:rsidRPr="001824C4">
        <w:fldChar w:fldCharType="separate"/>
      </w:r>
      <w:r w:rsidR="000753BA">
        <w:rPr>
          <w:noProof/>
        </w:rPr>
        <w:t>3</w:t>
      </w:r>
      <w:r w:rsidRPr="001824C4">
        <w:fldChar w:fldCharType="end"/>
      </w:r>
      <w:bookmarkEnd w:id="4"/>
      <w:r w:rsidRPr="001824C4">
        <w:t>: FID chromatogram of analysed</w:t>
      </w:r>
      <w:r w:rsidR="008B68CF">
        <w:t xml:space="preserve"> </w:t>
      </w:r>
      <w:r w:rsidR="00784350" w:rsidRPr="001824C4">
        <w:t xml:space="preserve">sample </w:t>
      </w:r>
      <w:r w:rsidR="008B68CF">
        <w:t>– detection of organic compounds</w:t>
      </w:r>
    </w:p>
    <w:p w14:paraId="1FD1563C" w14:textId="55B9B2F9" w:rsidR="00167B28" w:rsidRPr="001824C4" w:rsidRDefault="003D6576" w:rsidP="0003137F">
      <w:pPr>
        <w:pStyle w:val="CETBodytext"/>
        <w:rPr>
          <w:lang w:val="en-GB"/>
        </w:rPr>
      </w:pPr>
      <w:r w:rsidRPr="001824C4">
        <w:rPr>
          <w:noProof/>
          <w:lang w:val="it-IT" w:eastAsia="it-IT"/>
        </w:rPr>
        <w:drawing>
          <wp:inline distT="0" distB="0" distL="0" distR="0" wp14:anchorId="6F43770C" wp14:editId="0D3F1693">
            <wp:extent cx="4435246" cy="2088000"/>
            <wp:effectExtent l="0" t="0" r="3810" b="762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35246" cy="2088000"/>
                    </a:xfrm>
                    <a:prstGeom prst="rect">
                      <a:avLst/>
                    </a:prstGeom>
                    <a:noFill/>
                  </pic:spPr>
                </pic:pic>
              </a:graphicData>
            </a:graphic>
          </wp:inline>
        </w:drawing>
      </w:r>
    </w:p>
    <w:p w14:paraId="6584ED98" w14:textId="2D3FBE50" w:rsidR="00CF68B2" w:rsidRPr="001824C4" w:rsidRDefault="00CF68B2" w:rsidP="00BD4CBF">
      <w:pPr>
        <w:pStyle w:val="CETCaption"/>
      </w:pPr>
      <w:bookmarkStart w:id="5" w:name="_Ref101454404"/>
      <w:r w:rsidRPr="001824C4">
        <w:t xml:space="preserve">Figure </w:t>
      </w:r>
      <w:r w:rsidRPr="001824C4">
        <w:fldChar w:fldCharType="begin"/>
      </w:r>
      <w:r w:rsidRPr="001824C4">
        <w:instrText xml:space="preserve"> SEQ Figure \* ARABIC </w:instrText>
      </w:r>
      <w:r w:rsidRPr="001824C4">
        <w:fldChar w:fldCharType="separate"/>
      </w:r>
      <w:r w:rsidR="000753BA">
        <w:rPr>
          <w:noProof/>
        </w:rPr>
        <w:t>4</w:t>
      </w:r>
      <w:r w:rsidRPr="001824C4">
        <w:fldChar w:fldCharType="end"/>
      </w:r>
      <w:bookmarkEnd w:id="5"/>
      <w:r w:rsidRPr="001824C4">
        <w:t>: PFPD chromatogram of analysed</w:t>
      </w:r>
      <w:r w:rsidR="00784350">
        <w:t xml:space="preserve"> </w:t>
      </w:r>
      <w:r w:rsidR="00784350" w:rsidRPr="001824C4">
        <w:t>sample</w:t>
      </w:r>
      <w:r w:rsidR="008B68CF">
        <w:t xml:space="preserve"> – detection of sulphur compounds</w:t>
      </w:r>
    </w:p>
    <w:p w14:paraId="543EC587" w14:textId="3F5F78CC" w:rsidR="00021EEB" w:rsidRDefault="00021EEB" w:rsidP="00021EEB">
      <w:pPr>
        <w:pStyle w:val="CETBodytext"/>
        <w:keepNext/>
      </w:pPr>
      <w:r w:rsidRPr="00B86924">
        <w:rPr>
          <w:noProof/>
          <w:lang w:val="it-IT" w:eastAsia="it-IT"/>
        </w:rPr>
        <w:lastRenderedPageBreak/>
        <w:drawing>
          <wp:inline distT="0" distB="0" distL="0" distR="0" wp14:anchorId="64A6C4B6" wp14:editId="6EE33802">
            <wp:extent cx="5760000" cy="2587809"/>
            <wp:effectExtent l="0" t="0" r="0" b="3175"/>
            <wp:docPr id="7" name="Immagine 7" descr="C:\Users\epolvara\Desktop\Politecnico\Dottorato\Articoli\Bozze\NOSE\NOSE 2022\Articoli\SRA\EIC_fig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polvara\Desktop\Politecnico\Dottorato\Articoli\Bozze\NOSE\NOSE 2022\Articoli\SRA\EIC_figure 2.png"/>
                    <pic:cNvPicPr>
                      <a:picLocks noChangeAspect="1" noChangeArrowheads="1"/>
                    </pic:cNvPicPr>
                  </pic:nvPicPr>
                  <pic:blipFill rotWithShape="1">
                    <a:blip r:embed="rId14">
                      <a:extLst>
                        <a:ext uri="{28A0092B-C50C-407E-A947-70E740481C1C}">
                          <a14:useLocalDpi xmlns:a14="http://schemas.microsoft.com/office/drawing/2010/main" val="0"/>
                        </a:ext>
                      </a:extLst>
                    </a:blip>
                    <a:srcRect t="4508" b="15621"/>
                    <a:stretch/>
                  </pic:blipFill>
                  <pic:spPr bwMode="auto">
                    <a:xfrm>
                      <a:off x="0" y="0"/>
                      <a:ext cx="5760000" cy="2587809"/>
                    </a:xfrm>
                    <a:prstGeom prst="rect">
                      <a:avLst/>
                    </a:prstGeom>
                    <a:noFill/>
                    <a:ln>
                      <a:noFill/>
                    </a:ln>
                    <a:extLst>
                      <a:ext uri="{53640926-AAD7-44D8-BBD7-CCE9431645EC}">
                        <a14:shadowObscured xmlns:a14="http://schemas.microsoft.com/office/drawing/2010/main"/>
                      </a:ext>
                    </a:extLst>
                  </pic:spPr>
                </pic:pic>
              </a:graphicData>
            </a:graphic>
          </wp:inline>
        </w:drawing>
      </w:r>
    </w:p>
    <w:p w14:paraId="072CAD27" w14:textId="5E6FB015" w:rsidR="00021EEB" w:rsidRDefault="00021EEB" w:rsidP="00021EEB">
      <w:pPr>
        <w:pStyle w:val="CETCaption"/>
      </w:pPr>
      <w:bookmarkStart w:id="6" w:name="_Ref101951687"/>
      <w:r>
        <w:t xml:space="preserve">Figure </w:t>
      </w:r>
      <w:r>
        <w:fldChar w:fldCharType="begin"/>
      </w:r>
      <w:r>
        <w:instrText xml:space="preserve"> SEQ Figure \* ARABIC </w:instrText>
      </w:r>
      <w:r>
        <w:fldChar w:fldCharType="separate"/>
      </w:r>
      <w:r w:rsidR="000753BA">
        <w:rPr>
          <w:noProof/>
        </w:rPr>
        <w:t>5</w:t>
      </w:r>
      <w:r>
        <w:fldChar w:fldCharType="end"/>
      </w:r>
      <w:bookmarkEnd w:id="6"/>
      <w:r>
        <w:t>: EIC chromatogram of</w:t>
      </w:r>
      <w:r w:rsidR="00784350" w:rsidRPr="00784350">
        <w:t xml:space="preserve"> </w:t>
      </w:r>
      <w:r w:rsidR="00784350">
        <w:t>selected</w:t>
      </w:r>
      <w:r>
        <w:t xml:space="preserve"> qualification ions for </w:t>
      </w:r>
      <w:r w:rsidR="00784350">
        <w:t>VOC</w:t>
      </w:r>
      <w:r w:rsidR="00EA72EF">
        <w:t>s</w:t>
      </w:r>
      <w:r w:rsidR="00784350">
        <w:t xml:space="preserve"> </w:t>
      </w:r>
      <w:r w:rsidR="00EA72EF">
        <w:t xml:space="preserve">detected </w:t>
      </w:r>
      <w:r>
        <w:t>in GC-PFPD chromatogram</w:t>
      </w:r>
    </w:p>
    <w:p w14:paraId="384DCA7C" w14:textId="2E3B15A9" w:rsidR="00744EB8" w:rsidRDefault="00563679" w:rsidP="00021EEB">
      <w:pPr>
        <w:pStyle w:val="CETBodytext"/>
        <w:spacing w:after="240"/>
        <w:rPr>
          <w:lang w:val="en-GB"/>
        </w:rPr>
      </w:pPr>
      <w:r>
        <w:rPr>
          <w:lang w:val="en-GB"/>
        </w:rPr>
        <w:t xml:space="preserve">The quantification of compounds </w:t>
      </w:r>
      <w:r w:rsidR="008E6EF8">
        <w:rPr>
          <w:lang w:val="en-GB"/>
        </w:rPr>
        <w:t xml:space="preserve">was conducted </w:t>
      </w:r>
      <w:r w:rsidR="00A8385A">
        <w:rPr>
          <w:lang w:val="en-GB"/>
        </w:rPr>
        <w:t xml:space="preserve">by </w:t>
      </w:r>
      <w:r w:rsidR="00A8385A" w:rsidRPr="00A8385A">
        <w:rPr>
          <w:lang w:val="en-GB"/>
        </w:rPr>
        <w:t>calibrating</w:t>
      </w:r>
      <w:r w:rsidR="00D06597">
        <w:rPr>
          <w:lang w:val="en-GB"/>
        </w:rPr>
        <w:t xml:space="preserve"> FID and PFPD, in terms of mg/m</w:t>
      </w:r>
      <w:r w:rsidR="00D06597">
        <w:rPr>
          <w:vertAlign w:val="superscript"/>
          <w:lang w:val="en-GB"/>
        </w:rPr>
        <w:t>3</w:t>
      </w:r>
      <w:r w:rsidR="00D06597">
        <w:rPr>
          <w:vertAlign w:val="subscript"/>
          <w:lang w:val="en-GB"/>
        </w:rPr>
        <w:t xml:space="preserve"> </w:t>
      </w:r>
      <w:r w:rsidR="00D06597">
        <w:rPr>
          <w:lang w:val="en-GB"/>
        </w:rPr>
        <w:t>of, respect</w:t>
      </w:r>
      <w:r w:rsidR="001E4B91">
        <w:rPr>
          <w:lang w:val="en-GB"/>
        </w:rPr>
        <w:t>ive</w:t>
      </w:r>
      <w:r w:rsidR="00D06597">
        <w:rPr>
          <w:lang w:val="en-GB"/>
        </w:rPr>
        <w:t>ly, Carbon and Sulphur. The compound</w:t>
      </w:r>
      <w:r w:rsidR="001E4B91">
        <w:rPr>
          <w:lang w:val="en-GB"/>
        </w:rPr>
        <w:t>s’</w:t>
      </w:r>
      <w:r w:rsidR="00D06597">
        <w:rPr>
          <w:lang w:val="en-GB"/>
        </w:rPr>
        <w:t xml:space="preserve"> concentration was obtained by transformation of mg</w:t>
      </w:r>
      <w:r w:rsidR="00D06597">
        <w:rPr>
          <w:vertAlign w:val="subscript"/>
          <w:lang w:val="en-GB"/>
        </w:rPr>
        <w:t>C</w:t>
      </w:r>
      <w:r w:rsidR="00D06597">
        <w:rPr>
          <w:lang w:val="en-GB"/>
        </w:rPr>
        <w:t>/m</w:t>
      </w:r>
      <w:r w:rsidR="00D06597">
        <w:rPr>
          <w:vertAlign w:val="superscript"/>
          <w:lang w:val="en-GB"/>
        </w:rPr>
        <w:t xml:space="preserve">3 </w:t>
      </w:r>
      <w:r w:rsidR="00D06597">
        <w:rPr>
          <w:lang w:val="en-GB"/>
        </w:rPr>
        <w:t>or mg</w:t>
      </w:r>
      <w:r w:rsidR="00D06597">
        <w:rPr>
          <w:vertAlign w:val="subscript"/>
          <w:lang w:val="en-GB"/>
        </w:rPr>
        <w:t>S</w:t>
      </w:r>
      <w:r w:rsidR="00D06597">
        <w:rPr>
          <w:lang w:val="en-GB"/>
        </w:rPr>
        <w:t>/m</w:t>
      </w:r>
      <w:r w:rsidR="00D06597">
        <w:rPr>
          <w:vertAlign w:val="superscript"/>
          <w:lang w:val="en-GB"/>
        </w:rPr>
        <w:t>3</w:t>
      </w:r>
      <w:r w:rsidR="00D06597">
        <w:rPr>
          <w:lang w:val="en-GB"/>
        </w:rPr>
        <w:t xml:space="preserve">. In </w:t>
      </w:r>
      <w:r w:rsidR="001F34B1">
        <w:rPr>
          <w:lang w:val="en-GB"/>
        </w:rPr>
        <w:fldChar w:fldCharType="begin"/>
      </w:r>
      <w:r w:rsidR="001F34B1">
        <w:rPr>
          <w:lang w:val="en-GB"/>
        </w:rPr>
        <w:instrText xml:space="preserve"> REF _Ref102744199 \h </w:instrText>
      </w:r>
      <w:r w:rsidR="001F34B1">
        <w:rPr>
          <w:lang w:val="en-GB"/>
        </w:rPr>
      </w:r>
      <w:r w:rsidR="001F34B1">
        <w:rPr>
          <w:lang w:val="en-GB"/>
        </w:rPr>
        <w:fldChar w:fldCharType="separate"/>
      </w:r>
      <w:r w:rsidR="001F34B1">
        <w:t xml:space="preserve">Table </w:t>
      </w:r>
      <w:r w:rsidR="001F34B1">
        <w:rPr>
          <w:noProof/>
        </w:rPr>
        <w:t>2</w:t>
      </w:r>
      <w:r w:rsidR="001F34B1">
        <w:rPr>
          <w:lang w:val="en-GB"/>
        </w:rPr>
        <w:fldChar w:fldCharType="end"/>
      </w:r>
      <w:r w:rsidR="00D06597">
        <w:rPr>
          <w:lang w:val="en-GB"/>
        </w:rPr>
        <w:t xml:space="preserve"> the concentration</w:t>
      </w:r>
      <w:r w:rsidR="001E4B91">
        <w:rPr>
          <w:lang w:val="en-GB"/>
        </w:rPr>
        <w:t>s</w:t>
      </w:r>
      <w:r w:rsidR="00D06597">
        <w:rPr>
          <w:lang w:val="en-GB"/>
        </w:rPr>
        <w:t xml:space="preserve"> of </w:t>
      </w:r>
      <w:r w:rsidR="001F34B1">
        <w:rPr>
          <w:lang w:val="en-GB"/>
        </w:rPr>
        <w:t xml:space="preserve">observed </w:t>
      </w:r>
      <w:r w:rsidR="00783ED3">
        <w:rPr>
          <w:lang w:val="en-GB"/>
        </w:rPr>
        <w:t>compounds</w:t>
      </w:r>
      <w:r w:rsidR="001F34B1">
        <w:rPr>
          <w:lang w:val="en-GB"/>
        </w:rPr>
        <w:t>, expressed in mg/m</w:t>
      </w:r>
      <w:r w:rsidR="001F34B1">
        <w:rPr>
          <w:vertAlign w:val="superscript"/>
          <w:lang w:val="en-GB"/>
        </w:rPr>
        <w:t>3</w:t>
      </w:r>
      <w:r w:rsidR="001F34B1">
        <w:rPr>
          <w:lang w:val="en-GB"/>
        </w:rPr>
        <w:t>,</w:t>
      </w:r>
      <w:r w:rsidR="00783ED3">
        <w:rPr>
          <w:lang w:val="en-GB"/>
        </w:rPr>
        <w:t xml:space="preserve"> </w:t>
      </w:r>
      <w:r w:rsidR="001F34B1">
        <w:rPr>
          <w:lang w:val="en-GB"/>
        </w:rPr>
        <w:t xml:space="preserve">are reported: for every compound, </w:t>
      </w:r>
      <w:r w:rsidR="00BC03A8">
        <w:rPr>
          <w:lang w:val="en-GB"/>
        </w:rPr>
        <w:t>its odour activity value (OAV) w</w:t>
      </w:r>
      <w:r w:rsidR="001E4B91">
        <w:rPr>
          <w:lang w:val="en-GB"/>
        </w:rPr>
        <w:t>as</w:t>
      </w:r>
      <w:r w:rsidR="00BC03A8">
        <w:rPr>
          <w:lang w:val="en-GB"/>
        </w:rPr>
        <w:t xml:space="preserve"> established.</w:t>
      </w:r>
    </w:p>
    <w:p w14:paraId="1DC30810" w14:textId="45D9F324" w:rsidR="001F34B1" w:rsidRPr="001824C4" w:rsidRDefault="001F34B1" w:rsidP="00434918">
      <w:pPr>
        <w:pStyle w:val="CETBodytextItalic"/>
      </w:pPr>
      <w:bookmarkStart w:id="7" w:name="_Ref102744199"/>
      <w:r>
        <w:t xml:space="preserve">Table </w:t>
      </w:r>
      <w:r>
        <w:fldChar w:fldCharType="begin"/>
      </w:r>
      <w:r>
        <w:instrText xml:space="preserve"> SEQ Table \* ARABIC </w:instrText>
      </w:r>
      <w:r>
        <w:fldChar w:fldCharType="separate"/>
      </w:r>
      <w:r>
        <w:rPr>
          <w:noProof/>
        </w:rPr>
        <w:t>2</w:t>
      </w:r>
      <w:r>
        <w:fldChar w:fldCharType="end"/>
      </w:r>
      <w:bookmarkEnd w:id="7"/>
      <w:r w:rsidRPr="001824C4">
        <w:t xml:space="preserve">: Compounds </w:t>
      </w:r>
      <w:r>
        <w:t>concentration obtained by FID and PFPD calibration</w:t>
      </w:r>
      <w:r w:rsidR="00434918">
        <w:t xml:space="preserve"> (OT </w:t>
      </w:r>
      <w:r w:rsidR="00434918" w:rsidRPr="008372C0">
        <w:t xml:space="preserve">reference: </w:t>
      </w:r>
      <w:r w:rsidR="00434918" w:rsidRPr="008372C0">
        <w:fldChar w:fldCharType="begin" w:fldLock="1"/>
      </w:r>
      <w:r w:rsidR="00434918">
        <w:instrText>ADDIN CSL_CITATION {"citationItems":[{"id":"ITEM-1","itemData":{"abstract":"The detection thresholds of odor substances analyzed in field investigations were measured by the triangle odor bag method1). The number of substances used for the experiment is 223. The experiment was carried out from 1976 to 1988. As the results of the experiments, the odor thresholds were distributed over the concentration of large range depending on the odor substances. Isoamyl mercaptane exhibited the lowest threshold (0.77ppt), and propane exhibited the highest threshold (1500ppm). The distribution of thresholds expresses the normal distribution. Sulfur compounds with the exception of sulfur dioxide and carbon disulfide have the comparatively low threshold. It is showed the tendency that threshold becomes low as the increase of molecular weight in a certain range of molecular weight. When the dispersion of odor thresholds for the same substance was shown at the ratio of the highest to the lowest odor threshold tested, the dispersion of odor thresholds was about 5 at the maximum. The thresholds of 223 substances measured by our laboratory were considered to be the average values with small bias comparatively.","author":[{"dropping-particle":"","family":"Nagata","given":"Yoshio","non-dropping-particle":"","parse-names":false,"suffix":""}],"container-title":"Odor Measurement Review","id":"ITEM-1","issued":{"date-parts":[["2003"]]},"page":"118-127","title":"Measurement of Odor Threshold by Triangle Odor Bag Method","type":"article-journal"},"uris":["http://www.mendeley.com/documents/?uuid=45894415-778c-3519-9e07-36661ce74588"]}],"mendeley":{"formattedCitation":"(Nagata, 2003)","manualFormatting":"(Nagata, 2003)","plainTextFormattedCitation":"(Nagata, 2003)","previouslyFormattedCitation":"(Nagata, 2003)"},"properties":{"noteIndex":0},"schema":"https://github.com/citation-style-language/schema/raw/master/csl-citation.json"}</w:instrText>
      </w:r>
      <w:r w:rsidR="00434918" w:rsidRPr="008372C0">
        <w:fldChar w:fldCharType="separate"/>
      </w:r>
      <w:r w:rsidR="00434918" w:rsidRPr="008372C0">
        <w:rPr>
          <w:noProof/>
        </w:rPr>
        <w:t>(Nagata, 2003)</w:t>
      </w:r>
      <w:r w:rsidR="00434918" w:rsidRPr="008372C0">
        <w:fldChar w:fldCharType="end"/>
      </w:r>
      <w:r w:rsidR="00434918">
        <w:t>)</w:t>
      </w:r>
    </w:p>
    <w:tbl>
      <w:tblPr>
        <w:tblW w:w="5027"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5171"/>
        <w:gridCol w:w="14"/>
        <w:gridCol w:w="1546"/>
        <w:gridCol w:w="1032"/>
        <w:gridCol w:w="1032"/>
        <w:gridCol w:w="14"/>
        <w:gridCol w:w="14"/>
        <w:gridCol w:w="11"/>
      </w:tblGrid>
      <w:tr w:rsidR="001F34B1" w:rsidRPr="001824C4" w14:paraId="594FF5DF" w14:textId="77777777" w:rsidTr="001F34B1">
        <w:trPr>
          <w:trHeight w:val="287"/>
        </w:trPr>
        <w:tc>
          <w:tcPr>
            <w:tcW w:w="2927" w:type="pct"/>
            <w:tcBorders>
              <w:top w:val="single" w:sz="12" w:space="0" w:color="008000"/>
              <w:bottom w:val="single" w:sz="6" w:space="0" w:color="008000"/>
            </w:tcBorders>
            <w:shd w:val="clear" w:color="auto" w:fill="FFFFFF"/>
            <w:vAlign w:val="center"/>
          </w:tcPr>
          <w:p w14:paraId="47186EC4" w14:textId="77777777" w:rsidR="001F34B1" w:rsidRPr="001824C4" w:rsidRDefault="001F34B1" w:rsidP="001F34B1">
            <w:pPr>
              <w:pStyle w:val="CETBodytext"/>
              <w:jc w:val="center"/>
              <w:rPr>
                <w:lang w:val="en-GB"/>
              </w:rPr>
            </w:pPr>
            <w:r w:rsidRPr="001824C4">
              <w:rPr>
                <w:lang w:val="en-GB"/>
              </w:rPr>
              <w:t>Name</w:t>
            </w:r>
          </w:p>
        </w:tc>
        <w:tc>
          <w:tcPr>
            <w:tcW w:w="8" w:type="pct"/>
            <w:tcBorders>
              <w:top w:val="single" w:sz="12" w:space="0" w:color="008000"/>
              <w:bottom w:val="single" w:sz="6" w:space="0" w:color="008000"/>
            </w:tcBorders>
            <w:shd w:val="clear" w:color="auto" w:fill="FFFFFF"/>
            <w:vAlign w:val="center"/>
          </w:tcPr>
          <w:p w14:paraId="7E768FE7" w14:textId="77777777" w:rsidR="001F34B1" w:rsidRDefault="001F34B1" w:rsidP="001F34B1">
            <w:pPr>
              <w:pStyle w:val="CETBodytext"/>
              <w:ind w:right="-1"/>
              <w:jc w:val="center"/>
              <w:rPr>
                <w:rFonts w:cs="Arial"/>
                <w:szCs w:val="18"/>
                <w:lang w:val="en-GB"/>
              </w:rPr>
            </w:pPr>
          </w:p>
        </w:tc>
        <w:tc>
          <w:tcPr>
            <w:tcW w:w="875" w:type="pct"/>
            <w:tcBorders>
              <w:top w:val="single" w:sz="12" w:space="0" w:color="008000"/>
              <w:bottom w:val="single" w:sz="6" w:space="0" w:color="008000"/>
            </w:tcBorders>
            <w:shd w:val="clear" w:color="auto" w:fill="FFFFFF"/>
            <w:vAlign w:val="center"/>
          </w:tcPr>
          <w:p w14:paraId="394ACB63" w14:textId="77777777" w:rsidR="00640FE2" w:rsidRDefault="001F34B1" w:rsidP="001F34B1">
            <w:pPr>
              <w:pStyle w:val="CETBodytext"/>
              <w:ind w:right="-1"/>
              <w:jc w:val="center"/>
              <w:rPr>
                <w:rFonts w:cs="Arial"/>
                <w:szCs w:val="18"/>
                <w:lang w:val="en-GB"/>
              </w:rPr>
            </w:pPr>
            <w:r>
              <w:rPr>
                <w:rFonts w:cs="Arial"/>
                <w:szCs w:val="18"/>
                <w:lang w:val="en-GB"/>
              </w:rPr>
              <w:t xml:space="preserve">OT </w:t>
            </w:r>
          </w:p>
          <w:p w14:paraId="5C22A41B" w14:textId="21B86015" w:rsidR="001F34B1" w:rsidRPr="00C46055" w:rsidRDefault="001F34B1" w:rsidP="001F34B1">
            <w:pPr>
              <w:pStyle w:val="CETBodytext"/>
              <w:ind w:right="-1"/>
              <w:jc w:val="center"/>
              <w:rPr>
                <w:rFonts w:cs="Arial"/>
                <w:szCs w:val="18"/>
                <w:lang w:val="en-GB"/>
              </w:rPr>
            </w:pPr>
            <w:r>
              <w:rPr>
                <w:rFonts w:cs="Arial"/>
                <w:szCs w:val="18"/>
                <w:lang w:val="en-GB"/>
              </w:rPr>
              <w:t>[mg/m</w:t>
            </w:r>
            <w:r>
              <w:rPr>
                <w:rFonts w:cs="Arial"/>
                <w:szCs w:val="18"/>
                <w:vertAlign w:val="superscript"/>
                <w:lang w:val="en-GB"/>
              </w:rPr>
              <w:t>3</w:t>
            </w:r>
            <w:r>
              <w:rPr>
                <w:rFonts w:cs="Arial"/>
                <w:szCs w:val="18"/>
                <w:lang w:val="en-GB"/>
              </w:rPr>
              <w:t>]</w:t>
            </w:r>
          </w:p>
        </w:tc>
        <w:tc>
          <w:tcPr>
            <w:tcW w:w="584" w:type="pct"/>
            <w:tcBorders>
              <w:top w:val="single" w:sz="12" w:space="0" w:color="008000"/>
              <w:bottom w:val="single" w:sz="6" w:space="0" w:color="008000"/>
            </w:tcBorders>
            <w:shd w:val="clear" w:color="auto" w:fill="FFFFFF"/>
            <w:vAlign w:val="center"/>
          </w:tcPr>
          <w:p w14:paraId="396ABF65" w14:textId="77777777" w:rsidR="00640FE2" w:rsidRDefault="001F34B1" w:rsidP="001F34B1">
            <w:pPr>
              <w:pStyle w:val="CETBodytext"/>
              <w:ind w:right="-1"/>
              <w:jc w:val="center"/>
              <w:rPr>
                <w:rFonts w:cs="Arial"/>
                <w:szCs w:val="18"/>
                <w:lang w:val="en-GB"/>
              </w:rPr>
            </w:pPr>
            <w:r>
              <w:rPr>
                <w:rFonts w:cs="Arial"/>
                <w:szCs w:val="18"/>
                <w:lang w:val="en-GB"/>
              </w:rPr>
              <w:t xml:space="preserve">C </w:t>
            </w:r>
          </w:p>
          <w:p w14:paraId="1B919BD0" w14:textId="056972EE" w:rsidR="001F34B1" w:rsidRPr="00783ED3" w:rsidRDefault="001F34B1" w:rsidP="001F34B1">
            <w:pPr>
              <w:pStyle w:val="CETBodytext"/>
              <w:ind w:right="-1"/>
              <w:jc w:val="center"/>
              <w:rPr>
                <w:rFonts w:cs="Arial"/>
                <w:szCs w:val="18"/>
                <w:lang w:val="en-GB"/>
              </w:rPr>
            </w:pPr>
            <w:r>
              <w:rPr>
                <w:rFonts w:cs="Arial"/>
                <w:szCs w:val="18"/>
                <w:lang w:val="en-GB"/>
              </w:rPr>
              <w:t>[mg/m</w:t>
            </w:r>
            <w:r>
              <w:rPr>
                <w:rFonts w:cs="Arial"/>
                <w:szCs w:val="18"/>
                <w:vertAlign w:val="superscript"/>
                <w:lang w:val="en-GB"/>
              </w:rPr>
              <w:t>3</w:t>
            </w:r>
            <w:r>
              <w:rPr>
                <w:rFonts w:cs="Arial"/>
                <w:szCs w:val="18"/>
                <w:lang w:val="en-GB"/>
              </w:rPr>
              <w:t>]</w:t>
            </w:r>
          </w:p>
        </w:tc>
        <w:tc>
          <w:tcPr>
            <w:tcW w:w="584" w:type="pct"/>
            <w:tcBorders>
              <w:top w:val="single" w:sz="12" w:space="0" w:color="008000"/>
              <w:bottom w:val="single" w:sz="6" w:space="0" w:color="008000"/>
            </w:tcBorders>
            <w:shd w:val="clear" w:color="auto" w:fill="FFFFFF"/>
            <w:vAlign w:val="center"/>
          </w:tcPr>
          <w:p w14:paraId="37FE7980" w14:textId="70738A68" w:rsidR="001F34B1" w:rsidRPr="001824C4" w:rsidRDefault="001F34B1" w:rsidP="001F34B1">
            <w:pPr>
              <w:pStyle w:val="CETBodytext"/>
              <w:ind w:right="-1"/>
              <w:jc w:val="center"/>
              <w:rPr>
                <w:rFonts w:cs="Arial"/>
                <w:szCs w:val="18"/>
                <w:lang w:val="en-GB"/>
              </w:rPr>
            </w:pPr>
            <w:r>
              <w:rPr>
                <w:rFonts w:cs="Arial"/>
                <w:szCs w:val="18"/>
                <w:lang w:val="en-GB"/>
              </w:rPr>
              <w:t>OAV</w:t>
            </w:r>
          </w:p>
        </w:tc>
        <w:tc>
          <w:tcPr>
            <w:tcW w:w="8" w:type="pct"/>
            <w:tcBorders>
              <w:top w:val="single" w:sz="12" w:space="0" w:color="008000"/>
              <w:bottom w:val="single" w:sz="6" w:space="0" w:color="008000"/>
            </w:tcBorders>
            <w:shd w:val="clear" w:color="auto" w:fill="FFFFFF"/>
            <w:vAlign w:val="center"/>
          </w:tcPr>
          <w:p w14:paraId="3887E73C" w14:textId="77777777" w:rsidR="001F34B1" w:rsidRPr="001824C4" w:rsidRDefault="001F34B1" w:rsidP="001F34B1">
            <w:pPr>
              <w:pStyle w:val="CETBodytext"/>
              <w:ind w:right="-1"/>
              <w:jc w:val="center"/>
              <w:rPr>
                <w:rFonts w:cs="Arial"/>
                <w:szCs w:val="18"/>
                <w:lang w:val="en-GB"/>
              </w:rPr>
            </w:pPr>
          </w:p>
        </w:tc>
        <w:tc>
          <w:tcPr>
            <w:tcW w:w="8" w:type="pct"/>
            <w:tcBorders>
              <w:top w:val="single" w:sz="12" w:space="0" w:color="008000"/>
              <w:bottom w:val="single" w:sz="6" w:space="0" w:color="008000"/>
            </w:tcBorders>
            <w:shd w:val="clear" w:color="auto" w:fill="FFFFFF"/>
            <w:vAlign w:val="center"/>
          </w:tcPr>
          <w:p w14:paraId="4268AB70" w14:textId="77777777" w:rsidR="001F34B1" w:rsidRPr="001824C4" w:rsidRDefault="001F34B1" w:rsidP="001F34B1">
            <w:pPr>
              <w:pStyle w:val="CETBodytext"/>
              <w:ind w:right="-1"/>
              <w:jc w:val="center"/>
              <w:rPr>
                <w:rFonts w:cs="Arial"/>
                <w:szCs w:val="18"/>
                <w:lang w:val="en-GB"/>
              </w:rPr>
            </w:pPr>
          </w:p>
        </w:tc>
        <w:tc>
          <w:tcPr>
            <w:tcW w:w="6" w:type="pct"/>
            <w:tcBorders>
              <w:top w:val="single" w:sz="12" w:space="0" w:color="008000"/>
              <w:bottom w:val="single" w:sz="6" w:space="0" w:color="008000"/>
            </w:tcBorders>
            <w:shd w:val="clear" w:color="auto" w:fill="FFFFFF"/>
            <w:vAlign w:val="center"/>
          </w:tcPr>
          <w:p w14:paraId="4485BA7C" w14:textId="77777777" w:rsidR="001F34B1" w:rsidRPr="001824C4" w:rsidRDefault="001F34B1" w:rsidP="001F34B1">
            <w:pPr>
              <w:pStyle w:val="CETBodytext"/>
              <w:ind w:right="-1"/>
              <w:jc w:val="center"/>
              <w:rPr>
                <w:rFonts w:cs="Arial"/>
                <w:szCs w:val="18"/>
                <w:lang w:val="en-GB"/>
              </w:rPr>
            </w:pPr>
          </w:p>
        </w:tc>
      </w:tr>
      <w:tr w:rsidR="001F34B1" w:rsidRPr="001824C4" w14:paraId="4565D6FD" w14:textId="77777777" w:rsidTr="001F34B1">
        <w:trPr>
          <w:trHeight w:val="274"/>
        </w:trPr>
        <w:tc>
          <w:tcPr>
            <w:tcW w:w="2927" w:type="pct"/>
            <w:shd w:val="clear" w:color="auto" w:fill="FFFFFF"/>
            <w:vAlign w:val="center"/>
          </w:tcPr>
          <w:p w14:paraId="4C3B082D" w14:textId="77777777" w:rsidR="001F34B1" w:rsidRPr="001824C4" w:rsidRDefault="001F34B1" w:rsidP="001F34B1">
            <w:pPr>
              <w:pStyle w:val="CETBodytext"/>
              <w:jc w:val="center"/>
              <w:rPr>
                <w:lang w:val="en-GB"/>
              </w:rPr>
            </w:pPr>
            <w:r w:rsidRPr="001824C4">
              <w:rPr>
                <w:lang w:val="en-GB"/>
              </w:rPr>
              <w:t>Carbonyl sulphide</w:t>
            </w:r>
          </w:p>
        </w:tc>
        <w:tc>
          <w:tcPr>
            <w:tcW w:w="8" w:type="pct"/>
            <w:shd w:val="clear" w:color="auto" w:fill="FFFFFF"/>
            <w:vAlign w:val="center"/>
          </w:tcPr>
          <w:p w14:paraId="11F0D333" w14:textId="77777777" w:rsidR="001F34B1" w:rsidRPr="001F2457" w:rsidRDefault="001F34B1" w:rsidP="001F34B1">
            <w:pPr>
              <w:pStyle w:val="CETBodytext"/>
              <w:ind w:right="-1"/>
              <w:jc w:val="center"/>
            </w:pPr>
          </w:p>
        </w:tc>
        <w:tc>
          <w:tcPr>
            <w:tcW w:w="875" w:type="pct"/>
            <w:shd w:val="clear" w:color="auto" w:fill="FFFFFF"/>
            <w:vAlign w:val="center"/>
          </w:tcPr>
          <w:p w14:paraId="5431E3B1" w14:textId="257B9ADD" w:rsidR="001F34B1" w:rsidRPr="001824C4" w:rsidRDefault="001F34B1" w:rsidP="001F34B1">
            <w:pPr>
              <w:pStyle w:val="CETBodytext"/>
              <w:ind w:right="-1"/>
              <w:jc w:val="center"/>
              <w:rPr>
                <w:rFonts w:cs="Arial"/>
                <w:szCs w:val="18"/>
                <w:lang w:val="en-GB"/>
              </w:rPr>
            </w:pPr>
            <w:r w:rsidRPr="001F2457">
              <w:t>1.4E-01</w:t>
            </w:r>
          </w:p>
        </w:tc>
        <w:tc>
          <w:tcPr>
            <w:tcW w:w="584" w:type="pct"/>
            <w:shd w:val="clear" w:color="auto" w:fill="FFFFFF"/>
            <w:vAlign w:val="center"/>
          </w:tcPr>
          <w:p w14:paraId="49AE66B7" w14:textId="4B9B0F30" w:rsidR="001F34B1" w:rsidRPr="00783ED3" w:rsidRDefault="001F34B1" w:rsidP="001F34B1">
            <w:pPr>
              <w:pStyle w:val="CETBodytext"/>
              <w:ind w:right="-1"/>
              <w:jc w:val="center"/>
            </w:pPr>
            <w:r w:rsidRPr="00783ED3">
              <w:t>0.03</w:t>
            </w:r>
          </w:p>
        </w:tc>
        <w:tc>
          <w:tcPr>
            <w:tcW w:w="584" w:type="pct"/>
            <w:shd w:val="clear" w:color="auto" w:fill="FFFFFF"/>
            <w:vAlign w:val="center"/>
          </w:tcPr>
          <w:p w14:paraId="18F8D81E" w14:textId="16A274C3" w:rsidR="001F34B1" w:rsidRPr="00783ED3" w:rsidRDefault="001F34B1" w:rsidP="001F34B1">
            <w:pPr>
              <w:pStyle w:val="CETBodytext"/>
              <w:ind w:right="-1"/>
              <w:jc w:val="center"/>
            </w:pPr>
            <w:r w:rsidRPr="00783ED3">
              <w:t>0.21</w:t>
            </w:r>
          </w:p>
        </w:tc>
        <w:tc>
          <w:tcPr>
            <w:tcW w:w="8" w:type="pct"/>
            <w:shd w:val="clear" w:color="auto" w:fill="FFFFFF"/>
            <w:vAlign w:val="center"/>
          </w:tcPr>
          <w:p w14:paraId="1D87B012" w14:textId="77777777" w:rsidR="001F34B1" w:rsidRPr="001824C4" w:rsidRDefault="001F34B1" w:rsidP="001F34B1">
            <w:pPr>
              <w:pStyle w:val="CETBodytext"/>
              <w:ind w:right="-1"/>
              <w:jc w:val="center"/>
              <w:rPr>
                <w:rFonts w:cs="Arial"/>
                <w:szCs w:val="18"/>
                <w:lang w:val="en-GB"/>
              </w:rPr>
            </w:pPr>
          </w:p>
        </w:tc>
        <w:tc>
          <w:tcPr>
            <w:tcW w:w="8" w:type="pct"/>
            <w:shd w:val="clear" w:color="auto" w:fill="FFFFFF"/>
            <w:vAlign w:val="center"/>
          </w:tcPr>
          <w:p w14:paraId="68A9A1F0" w14:textId="77777777" w:rsidR="001F34B1" w:rsidRPr="001824C4" w:rsidRDefault="001F34B1" w:rsidP="001F34B1">
            <w:pPr>
              <w:pStyle w:val="CETBodytext"/>
              <w:ind w:right="-1"/>
              <w:jc w:val="center"/>
              <w:rPr>
                <w:rFonts w:cs="Arial"/>
                <w:szCs w:val="18"/>
                <w:lang w:val="en-GB"/>
              </w:rPr>
            </w:pPr>
          </w:p>
        </w:tc>
        <w:tc>
          <w:tcPr>
            <w:tcW w:w="6" w:type="pct"/>
            <w:shd w:val="clear" w:color="auto" w:fill="FFFFFF"/>
            <w:vAlign w:val="center"/>
          </w:tcPr>
          <w:p w14:paraId="4EB65EF6" w14:textId="77777777" w:rsidR="001F34B1" w:rsidRPr="001824C4" w:rsidRDefault="001F34B1" w:rsidP="001F34B1">
            <w:pPr>
              <w:pStyle w:val="CETBodytext"/>
              <w:ind w:right="-1"/>
              <w:jc w:val="center"/>
              <w:rPr>
                <w:rFonts w:cs="Arial"/>
                <w:szCs w:val="18"/>
                <w:lang w:val="en-GB"/>
              </w:rPr>
            </w:pPr>
          </w:p>
        </w:tc>
      </w:tr>
      <w:tr w:rsidR="001F34B1" w:rsidRPr="001824C4" w14:paraId="13C3F5F6" w14:textId="77777777" w:rsidTr="001F34B1">
        <w:trPr>
          <w:trHeight w:val="287"/>
        </w:trPr>
        <w:tc>
          <w:tcPr>
            <w:tcW w:w="2927" w:type="pct"/>
            <w:shd w:val="clear" w:color="auto" w:fill="FFFFFF"/>
            <w:vAlign w:val="center"/>
          </w:tcPr>
          <w:p w14:paraId="59D60790" w14:textId="77777777" w:rsidR="001F34B1" w:rsidRPr="001824C4" w:rsidRDefault="001F34B1" w:rsidP="001F34B1">
            <w:pPr>
              <w:pStyle w:val="CETBodytext"/>
              <w:jc w:val="center"/>
              <w:rPr>
                <w:lang w:val="en-GB"/>
              </w:rPr>
            </w:pPr>
            <w:r w:rsidRPr="001824C4">
              <w:rPr>
                <w:lang w:val="en-GB"/>
              </w:rPr>
              <w:t>Methyl mercaptan</w:t>
            </w:r>
          </w:p>
        </w:tc>
        <w:tc>
          <w:tcPr>
            <w:tcW w:w="8" w:type="pct"/>
            <w:shd w:val="clear" w:color="auto" w:fill="FFFFFF"/>
            <w:vAlign w:val="center"/>
          </w:tcPr>
          <w:p w14:paraId="468B6D75" w14:textId="77777777" w:rsidR="001F34B1" w:rsidRPr="001F2457" w:rsidRDefault="001F34B1" w:rsidP="001F34B1">
            <w:pPr>
              <w:pStyle w:val="CETBodytext"/>
              <w:ind w:right="-1"/>
              <w:jc w:val="center"/>
            </w:pPr>
          </w:p>
        </w:tc>
        <w:tc>
          <w:tcPr>
            <w:tcW w:w="875" w:type="pct"/>
            <w:shd w:val="clear" w:color="auto" w:fill="FFFFFF"/>
            <w:vAlign w:val="center"/>
          </w:tcPr>
          <w:p w14:paraId="1D87CD9F" w14:textId="5EE306DE" w:rsidR="001F34B1" w:rsidRPr="001824C4" w:rsidRDefault="001F34B1" w:rsidP="001F34B1">
            <w:pPr>
              <w:pStyle w:val="CETBodytext"/>
              <w:ind w:right="-1"/>
              <w:jc w:val="center"/>
              <w:rPr>
                <w:rFonts w:cs="Arial"/>
                <w:szCs w:val="18"/>
                <w:lang w:val="en-GB"/>
              </w:rPr>
            </w:pPr>
            <w:r w:rsidRPr="001F2457">
              <w:t>1.4E-04</w:t>
            </w:r>
          </w:p>
        </w:tc>
        <w:tc>
          <w:tcPr>
            <w:tcW w:w="584" w:type="pct"/>
            <w:shd w:val="clear" w:color="auto" w:fill="FFFFFF"/>
            <w:vAlign w:val="center"/>
          </w:tcPr>
          <w:p w14:paraId="27E1E4E5" w14:textId="71662BE3" w:rsidR="001F34B1" w:rsidRPr="00783ED3" w:rsidRDefault="001F34B1" w:rsidP="001F34B1">
            <w:pPr>
              <w:pStyle w:val="CETBodytext"/>
              <w:ind w:right="-1"/>
              <w:jc w:val="center"/>
            </w:pPr>
            <w:r w:rsidRPr="00783ED3">
              <w:t>0.01</w:t>
            </w:r>
          </w:p>
        </w:tc>
        <w:tc>
          <w:tcPr>
            <w:tcW w:w="584" w:type="pct"/>
            <w:shd w:val="clear" w:color="auto" w:fill="FFFFFF"/>
            <w:vAlign w:val="center"/>
          </w:tcPr>
          <w:p w14:paraId="7DE81D02" w14:textId="233CAB94" w:rsidR="001F34B1" w:rsidRPr="00783ED3" w:rsidRDefault="001F34B1" w:rsidP="001F34B1">
            <w:pPr>
              <w:pStyle w:val="CETBodytext"/>
              <w:ind w:right="-1"/>
              <w:jc w:val="center"/>
            </w:pPr>
            <w:r w:rsidRPr="00783ED3">
              <w:t>71</w:t>
            </w:r>
          </w:p>
        </w:tc>
        <w:tc>
          <w:tcPr>
            <w:tcW w:w="8" w:type="pct"/>
            <w:shd w:val="clear" w:color="auto" w:fill="FFFFFF"/>
            <w:vAlign w:val="center"/>
          </w:tcPr>
          <w:p w14:paraId="4CADC42C" w14:textId="77777777" w:rsidR="001F34B1" w:rsidRPr="001824C4" w:rsidRDefault="001F34B1" w:rsidP="001F34B1">
            <w:pPr>
              <w:pStyle w:val="CETBodytext"/>
              <w:ind w:right="-1"/>
              <w:jc w:val="center"/>
              <w:rPr>
                <w:rFonts w:cs="Arial"/>
                <w:szCs w:val="18"/>
                <w:lang w:val="en-GB"/>
              </w:rPr>
            </w:pPr>
          </w:p>
        </w:tc>
        <w:tc>
          <w:tcPr>
            <w:tcW w:w="8" w:type="pct"/>
            <w:shd w:val="clear" w:color="auto" w:fill="FFFFFF"/>
            <w:vAlign w:val="center"/>
          </w:tcPr>
          <w:p w14:paraId="0CA9F266" w14:textId="77777777" w:rsidR="001F34B1" w:rsidRPr="001824C4" w:rsidRDefault="001F34B1" w:rsidP="001F34B1">
            <w:pPr>
              <w:pStyle w:val="CETBodytext"/>
              <w:ind w:right="-1"/>
              <w:jc w:val="center"/>
              <w:rPr>
                <w:rFonts w:cs="Arial"/>
                <w:szCs w:val="18"/>
                <w:lang w:val="en-GB"/>
              </w:rPr>
            </w:pPr>
          </w:p>
        </w:tc>
        <w:tc>
          <w:tcPr>
            <w:tcW w:w="6" w:type="pct"/>
            <w:shd w:val="clear" w:color="auto" w:fill="FFFFFF"/>
            <w:vAlign w:val="center"/>
          </w:tcPr>
          <w:p w14:paraId="6EC4ECF9" w14:textId="77777777" w:rsidR="001F34B1" w:rsidRPr="001824C4" w:rsidRDefault="001F34B1" w:rsidP="001F34B1">
            <w:pPr>
              <w:pStyle w:val="CETBodytext"/>
              <w:ind w:right="-1"/>
              <w:jc w:val="center"/>
              <w:rPr>
                <w:rFonts w:cs="Arial"/>
                <w:szCs w:val="18"/>
                <w:lang w:val="en-GB"/>
              </w:rPr>
            </w:pPr>
          </w:p>
        </w:tc>
      </w:tr>
      <w:tr w:rsidR="001F34B1" w:rsidRPr="001824C4" w14:paraId="70C7A295" w14:textId="77777777" w:rsidTr="001F34B1">
        <w:trPr>
          <w:trHeight w:val="287"/>
        </w:trPr>
        <w:tc>
          <w:tcPr>
            <w:tcW w:w="2927" w:type="pct"/>
            <w:shd w:val="clear" w:color="auto" w:fill="FFFFFF"/>
            <w:vAlign w:val="center"/>
          </w:tcPr>
          <w:p w14:paraId="51DAEDB2" w14:textId="77777777" w:rsidR="001F34B1" w:rsidRPr="001824C4" w:rsidRDefault="001F34B1" w:rsidP="001F34B1">
            <w:pPr>
              <w:pStyle w:val="CETBodytext"/>
              <w:jc w:val="center"/>
              <w:rPr>
                <w:lang w:val="en-GB"/>
              </w:rPr>
            </w:pPr>
            <w:r w:rsidRPr="001824C4">
              <w:rPr>
                <w:lang w:val="en-GB"/>
              </w:rPr>
              <w:t>Acetone</w:t>
            </w:r>
          </w:p>
        </w:tc>
        <w:tc>
          <w:tcPr>
            <w:tcW w:w="8" w:type="pct"/>
            <w:shd w:val="clear" w:color="auto" w:fill="FFFFFF"/>
            <w:vAlign w:val="center"/>
          </w:tcPr>
          <w:p w14:paraId="1BF4E3EA" w14:textId="77777777" w:rsidR="001F34B1" w:rsidRPr="001F2457" w:rsidRDefault="001F34B1" w:rsidP="001F34B1">
            <w:pPr>
              <w:pStyle w:val="CETBodytext"/>
              <w:ind w:right="-1"/>
              <w:jc w:val="center"/>
            </w:pPr>
          </w:p>
        </w:tc>
        <w:tc>
          <w:tcPr>
            <w:tcW w:w="875" w:type="pct"/>
            <w:shd w:val="clear" w:color="auto" w:fill="FFFFFF"/>
            <w:vAlign w:val="center"/>
          </w:tcPr>
          <w:p w14:paraId="75FC98CF" w14:textId="6DF2F02D" w:rsidR="001F34B1" w:rsidRPr="001824C4" w:rsidRDefault="001F34B1" w:rsidP="001F34B1">
            <w:pPr>
              <w:pStyle w:val="CETBodytext"/>
              <w:ind w:right="-1"/>
              <w:jc w:val="center"/>
              <w:rPr>
                <w:rFonts w:cs="Arial"/>
                <w:szCs w:val="18"/>
                <w:lang w:val="en-GB"/>
              </w:rPr>
            </w:pPr>
            <w:r w:rsidRPr="001F2457">
              <w:t>1.0E+02</w:t>
            </w:r>
          </w:p>
        </w:tc>
        <w:tc>
          <w:tcPr>
            <w:tcW w:w="584" w:type="pct"/>
            <w:shd w:val="clear" w:color="auto" w:fill="FFFFFF"/>
            <w:vAlign w:val="center"/>
          </w:tcPr>
          <w:p w14:paraId="2A62C8B0" w14:textId="7FAA6162" w:rsidR="001F34B1" w:rsidRPr="00783ED3" w:rsidRDefault="001F34B1" w:rsidP="001F34B1">
            <w:pPr>
              <w:pStyle w:val="CETBodytext"/>
              <w:ind w:right="-1"/>
              <w:jc w:val="center"/>
            </w:pPr>
            <w:r w:rsidRPr="00783ED3">
              <w:t>15</w:t>
            </w:r>
          </w:p>
        </w:tc>
        <w:tc>
          <w:tcPr>
            <w:tcW w:w="584" w:type="pct"/>
            <w:shd w:val="clear" w:color="auto" w:fill="FFFFFF"/>
            <w:vAlign w:val="center"/>
          </w:tcPr>
          <w:p w14:paraId="767F25F2" w14:textId="4666DF9E" w:rsidR="001F34B1" w:rsidRPr="00783ED3" w:rsidRDefault="001F34B1" w:rsidP="001F34B1">
            <w:pPr>
              <w:pStyle w:val="CETBodytext"/>
              <w:ind w:right="-1"/>
              <w:jc w:val="center"/>
            </w:pPr>
            <w:r w:rsidRPr="00783ED3">
              <w:t>0.15</w:t>
            </w:r>
          </w:p>
        </w:tc>
        <w:tc>
          <w:tcPr>
            <w:tcW w:w="8" w:type="pct"/>
            <w:shd w:val="clear" w:color="auto" w:fill="FFFFFF"/>
            <w:vAlign w:val="center"/>
          </w:tcPr>
          <w:p w14:paraId="06DFB2B9" w14:textId="77777777" w:rsidR="001F34B1" w:rsidRPr="001824C4" w:rsidRDefault="001F34B1" w:rsidP="001F34B1">
            <w:pPr>
              <w:pStyle w:val="CETBodytext"/>
              <w:ind w:right="-1"/>
              <w:jc w:val="center"/>
              <w:rPr>
                <w:rFonts w:cs="Arial"/>
                <w:szCs w:val="18"/>
                <w:lang w:val="en-GB"/>
              </w:rPr>
            </w:pPr>
          </w:p>
        </w:tc>
        <w:tc>
          <w:tcPr>
            <w:tcW w:w="8" w:type="pct"/>
            <w:shd w:val="clear" w:color="auto" w:fill="FFFFFF"/>
            <w:vAlign w:val="center"/>
          </w:tcPr>
          <w:p w14:paraId="52C88ACC" w14:textId="77777777" w:rsidR="001F34B1" w:rsidRPr="001824C4" w:rsidRDefault="001F34B1" w:rsidP="001F34B1">
            <w:pPr>
              <w:pStyle w:val="CETBodytext"/>
              <w:ind w:right="-1"/>
              <w:jc w:val="center"/>
              <w:rPr>
                <w:rFonts w:cs="Arial"/>
                <w:szCs w:val="18"/>
                <w:lang w:val="en-GB"/>
              </w:rPr>
            </w:pPr>
          </w:p>
        </w:tc>
        <w:tc>
          <w:tcPr>
            <w:tcW w:w="6" w:type="pct"/>
            <w:shd w:val="clear" w:color="auto" w:fill="FFFFFF"/>
            <w:vAlign w:val="center"/>
          </w:tcPr>
          <w:p w14:paraId="72819896" w14:textId="77777777" w:rsidR="001F34B1" w:rsidRPr="001824C4" w:rsidRDefault="001F34B1" w:rsidP="001F34B1">
            <w:pPr>
              <w:pStyle w:val="CETBodytext"/>
              <w:ind w:right="-1"/>
              <w:jc w:val="center"/>
              <w:rPr>
                <w:rFonts w:cs="Arial"/>
                <w:szCs w:val="18"/>
                <w:lang w:val="en-GB"/>
              </w:rPr>
            </w:pPr>
          </w:p>
        </w:tc>
      </w:tr>
      <w:tr w:rsidR="001F34B1" w:rsidRPr="001824C4" w14:paraId="252C03CE" w14:textId="77777777" w:rsidTr="001F34B1">
        <w:trPr>
          <w:trHeight w:val="274"/>
        </w:trPr>
        <w:tc>
          <w:tcPr>
            <w:tcW w:w="2927" w:type="pct"/>
            <w:shd w:val="clear" w:color="auto" w:fill="FFFFFF"/>
            <w:vAlign w:val="center"/>
          </w:tcPr>
          <w:p w14:paraId="69504D5A" w14:textId="32D7CC6F" w:rsidR="001F34B1" w:rsidRPr="001824C4" w:rsidRDefault="001F34B1" w:rsidP="004E345B">
            <w:pPr>
              <w:pStyle w:val="CETBodytext"/>
              <w:jc w:val="center"/>
              <w:rPr>
                <w:lang w:val="en-GB"/>
              </w:rPr>
            </w:pPr>
            <w:r w:rsidRPr="001824C4">
              <w:rPr>
                <w:lang w:val="en-GB"/>
              </w:rPr>
              <w:t>Dimethyl sulphide</w:t>
            </w:r>
            <w:r w:rsidR="004E345B">
              <w:rPr>
                <w:lang w:val="en-GB"/>
              </w:rPr>
              <w:t xml:space="preserve"> </w:t>
            </w:r>
            <w:r w:rsidRPr="001824C4">
              <w:rPr>
                <w:lang w:val="en-GB"/>
              </w:rPr>
              <w:t>(DMS)</w:t>
            </w:r>
          </w:p>
        </w:tc>
        <w:tc>
          <w:tcPr>
            <w:tcW w:w="8" w:type="pct"/>
            <w:shd w:val="clear" w:color="auto" w:fill="FFFFFF"/>
            <w:vAlign w:val="center"/>
          </w:tcPr>
          <w:p w14:paraId="2E6915FB" w14:textId="77777777" w:rsidR="001F34B1" w:rsidRPr="001F2457" w:rsidRDefault="001F34B1" w:rsidP="001F34B1">
            <w:pPr>
              <w:pStyle w:val="CETBodytext"/>
              <w:ind w:right="-1"/>
              <w:jc w:val="center"/>
            </w:pPr>
          </w:p>
        </w:tc>
        <w:tc>
          <w:tcPr>
            <w:tcW w:w="875" w:type="pct"/>
            <w:shd w:val="clear" w:color="auto" w:fill="FFFFFF"/>
            <w:vAlign w:val="center"/>
          </w:tcPr>
          <w:p w14:paraId="48E95E01" w14:textId="1CD83B56" w:rsidR="001F34B1" w:rsidRPr="001824C4" w:rsidRDefault="001F34B1" w:rsidP="001F34B1">
            <w:pPr>
              <w:pStyle w:val="CETBodytext"/>
              <w:ind w:right="-1"/>
              <w:jc w:val="center"/>
              <w:rPr>
                <w:rFonts w:cs="Arial"/>
                <w:szCs w:val="18"/>
                <w:lang w:val="en-GB"/>
              </w:rPr>
            </w:pPr>
            <w:r w:rsidRPr="001F2457">
              <w:t>7.6E-03</w:t>
            </w:r>
          </w:p>
        </w:tc>
        <w:tc>
          <w:tcPr>
            <w:tcW w:w="584" w:type="pct"/>
            <w:shd w:val="clear" w:color="auto" w:fill="FFFFFF"/>
            <w:vAlign w:val="center"/>
          </w:tcPr>
          <w:p w14:paraId="352642D9" w14:textId="739D8357" w:rsidR="001F34B1" w:rsidRPr="00783ED3" w:rsidRDefault="001F34B1" w:rsidP="001F34B1">
            <w:pPr>
              <w:pStyle w:val="CETBodytext"/>
              <w:ind w:right="-1"/>
              <w:jc w:val="center"/>
            </w:pPr>
            <w:r w:rsidRPr="00783ED3">
              <w:t>0.11</w:t>
            </w:r>
          </w:p>
        </w:tc>
        <w:tc>
          <w:tcPr>
            <w:tcW w:w="584" w:type="pct"/>
            <w:shd w:val="clear" w:color="auto" w:fill="FFFFFF"/>
            <w:vAlign w:val="center"/>
          </w:tcPr>
          <w:p w14:paraId="3BC815B8" w14:textId="30534A83" w:rsidR="001F34B1" w:rsidRPr="00783ED3" w:rsidRDefault="001F34B1" w:rsidP="001F34B1">
            <w:pPr>
              <w:pStyle w:val="CETBodytext"/>
              <w:ind w:right="-1"/>
              <w:jc w:val="center"/>
            </w:pPr>
            <w:r w:rsidRPr="00783ED3">
              <w:t>14</w:t>
            </w:r>
          </w:p>
        </w:tc>
        <w:tc>
          <w:tcPr>
            <w:tcW w:w="8" w:type="pct"/>
            <w:shd w:val="clear" w:color="auto" w:fill="FFFFFF"/>
            <w:vAlign w:val="center"/>
          </w:tcPr>
          <w:p w14:paraId="05F60705" w14:textId="77777777" w:rsidR="001F34B1" w:rsidRPr="001824C4" w:rsidRDefault="001F34B1" w:rsidP="001F34B1">
            <w:pPr>
              <w:pStyle w:val="CETBodytext"/>
              <w:ind w:right="-1"/>
              <w:jc w:val="center"/>
              <w:rPr>
                <w:rFonts w:cs="Arial"/>
                <w:szCs w:val="18"/>
                <w:lang w:val="en-GB"/>
              </w:rPr>
            </w:pPr>
          </w:p>
        </w:tc>
        <w:tc>
          <w:tcPr>
            <w:tcW w:w="8" w:type="pct"/>
            <w:shd w:val="clear" w:color="auto" w:fill="FFFFFF"/>
            <w:vAlign w:val="center"/>
          </w:tcPr>
          <w:p w14:paraId="7635AE01" w14:textId="77777777" w:rsidR="001F34B1" w:rsidRPr="001824C4" w:rsidRDefault="001F34B1" w:rsidP="001F34B1">
            <w:pPr>
              <w:pStyle w:val="CETBodytext"/>
              <w:ind w:right="-1"/>
              <w:jc w:val="center"/>
              <w:rPr>
                <w:rFonts w:cs="Arial"/>
                <w:szCs w:val="18"/>
                <w:lang w:val="en-GB"/>
              </w:rPr>
            </w:pPr>
          </w:p>
        </w:tc>
        <w:tc>
          <w:tcPr>
            <w:tcW w:w="6" w:type="pct"/>
            <w:shd w:val="clear" w:color="auto" w:fill="FFFFFF"/>
            <w:vAlign w:val="center"/>
          </w:tcPr>
          <w:p w14:paraId="046155FA" w14:textId="77777777" w:rsidR="001F34B1" w:rsidRPr="001824C4" w:rsidRDefault="001F34B1" w:rsidP="001F34B1">
            <w:pPr>
              <w:pStyle w:val="CETBodytext"/>
              <w:ind w:right="-1"/>
              <w:jc w:val="center"/>
              <w:rPr>
                <w:rFonts w:cs="Arial"/>
                <w:szCs w:val="18"/>
                <w:lang w:val="en-GB"/>
              </w:rPr>
            </w:pPr>
          </w:p>
        </w:tc>
      </w:tr>
      <w:tr w:rsidR="001F34B1" w:rsidRPr="001824C4" w14:paraId="2D8BFF80" w14:textId="77777777" w:rsidTr="001F34B1">
        <w:trPr>
          <w:trHeight w:val="287"/>
        </w:trPr>
        <w:tc>
          <w:tcPr>
            <w:tcW w:w="2927" w:type="pct"/>
            <w:shd w:val="clear" w:color="auto" w:fill="FFFFFF"/>
            <w:vAlign w:val="center"/>
          </w:tcPr>
          <w:p w14:paraId="5FF32A7A" w14:textId="77777777" w:rsidR="001F34B1" w:rsidRPr="001824C4" w:rsidRDefault="001F34B1" w:rsidP="001F34B1">
            <w:pPr>
              <w:pStyle w:val="CETBodytext"/>
              <w:jc w:val="center"/>
              <w:rPr>
                <w:lang w:val="en-GB"/>
              </w:rPr>
            </w:pPr>
            <w:r w:rsidRPr="001824C4">
              <w:rPr>
                <w:lang w:val="en-GB"/>
              </w:rPr>
              <w:t>Carbon Disulphide</w:t>
            </w:r>
          </w:p>
        </w:tc>
        <w:tc>
          <w:tcPr>
            <w:tcW w:w="8" w:type="pct"/>
            <w:shd w:val="clear" w:color="auto" w:fill="FFFFFF"/>
            <w:vAlign w:val="center"/>
          </w:tcPr>
          <w:p w14:paraId="257AA49E" w14:textId="77777777" w:rsidR="001F34B1" w:rsidRPr="001F2457" w:rsidRDefault="001F34B1" w:rsidP="001F34B1">
            <w:pPr>
              <w:pStyle w:val="CETBodytext"/>
              <w:ind w:right="-1"/>
              <w:jc w:val="center"/>
            </w:pPr>
          </w:p>
        </w:tc>
        <w:tc>
          <w:tcPr>
            <w:tcW w:w="875" w:type="pct"/>
            <w:shd w:val="clear" w:color="auto" w:fill="FFFFFF"/>
            <w:vAlign w:val="center"/>
          </w:tcPr>
          <w:p w14:paraId="512417B8" w14:textId="107CF975" w:rsidR="001F34B1" w:rsidRPr="001824C4" w:rsidRDefault="001F34B1" w:rsidP="001F34B1">
            <w:pPr>
              <w:pStyle w:val="CETBodytext"/>
              <w:ind w:right="-1"/>
              <w:jc w:val="center"/>
              <w:rPr>
                <w:rFonts w:cs="Arial"/>
                <w:szCs w:val="18"/>
                <w:lang w:val="en-GB"/>
              </w:rPr>
            </w:pPr>
            <w:r w:rsidRPr="001F2457">
              <w:t>6.5E-01</w:t>
            </w:r>
          </w:p>
        </w:tc>
        <w:tc>
          <w:tcPr>
            <w:tcW w:w="584" w:type="pct"/>
            <w:shd w:val="clear" w:color="auto" w:fill="FFFFFF"/>
            <w:vAlign w:val="center"/>
          </w:tcPr>
          <w:p w14:paraId="6F1D075C" w14:textId="1ECA11FB" w:rsidR="001F34B1" w:rsidRPr="00783ED3" w:rsidRDefault="001F34B1" w:rsidP="001F34B1">
            <w:pPr>
              <w:pStyle w:val="CETBodytext"/>
              <w:ind w:right="-1"/>
              <w:jc w:val="center"/>
            </w:pPr>
            <w:r w:rsidRPr="00783ED3">
              <w:t>0.003</w:t>
            </w:r>
          </w:p>
        </w:tc>
        <w:tc>
          <w:tcPr>
            <w:tcW w:w="584" w:type="pct"/>
            <w:shd w:val="clear" w:color="auto" w:fill="FFFFFF"/>
            <w:vAlign w:val="center"/>
          </w:tcPr>
          <w:p w14:paraId="70AED338" w14:textId="492083F4" w:rsidR="001F34B1" w:rsidRPr="00783ED3" w:rsidRDefault="001F34B1" w:rsidP="001F34B1">
            <w:pPr>
              <w:pStyle w:val="CETBodytext"/>
              <w:ind w:right="-1"/>
              <w:jc w:val="center"/>
            </w:pPr>
            <w:r w:rsidRPr="00783ED3">
              <w:t>0.005</w:t>
            </w:r>
          </w:p>
        </w:tc>
        <w:tc>
          <w:tcPr>
            <w:tcW w:w="8" w:type="pct"/>
            <w:shd w:val="clear" w:color="auto" w:fill="FFFFFF"/>
            <w:vAlign w:val="center"/>
          </w:tcPr>
          <w:p w14:paraId="7DEA0254" w14:textId="77777777" w:rsidR="001F34B1" w:rsidRPr="001824C4" w:rsidRDefault="001F34B1" w:rsidP="001F34B1">
            <w:pPr>
              <w:pStyle w:val="CETBodytext"/>
              <w:ind w:right="-1"/>
              <w:jc w:val="center"/>
              <w:rPr>
                <w:rFonts w:cs="Arial"/>
                <w:szCs w:val="18"/>
                <w:lang w:val="en-GB"/>
              </w:rPr>
            </w:pPr>
          </w:p>
        </w:tc>
        <w:tc>
          <w:tcPr>
            <w:tcW w:w="8" w:type="pct"/>
            <w:shd w:val="clear" w:color="auto" w:fill="FFFFFF"/>
            <w:vAlign w:val="center"/>
          </w:tcPr>
          <w:p w14:paraId="5ABD1951" w14:textId="77777777" w:rsidR="001F34B1" w:rsidRPr="001824C4" w:rsidRDefault="001F34B1" w:rsidP="001F34B1">
            <w:pPr>
              <w:pStyle w:val="CETBodytext"/>
              <w:ind w:right="-1"/>
              <w:jc w:val="center"/>
              <w:rPr>
                <w:rFonts w:cs="Arial"/>
                <w:szCs w:val="18"/>
                <w:lang w:val="en-GB"/>
              </w:rPr>
            </w:pPr>
          </w:p>
        </w:tc>
        <w:tc>
          <w:tcPr>
            <w:tcW w:w="6" w:type="pct"/>
            <w:shd w:val="clear" w:color="auto" w:fill="FFFFFF"/>
            <w:vAlign w:val="center"/>
          </w:tcPr>
          <w:p w14:paraId="23812C44" w14:textId="77777777" w:rsidR="001F34B1" w:rsidRPr="001824C4" w:rsidRDefault="001F34B1" w:rsidP="001F34B1">
            <w:pPr>
              <w:pStyle w:val="CETBodytext"/>
              <w:ind w:right="-1"/>
              <w:jc w:val="center"/>
              <w:rPr>
                <w:rFonts w:cs="Arial"/>
                <w:szCs w:val="18"/>
                <w:lang w:val="en-GB"/>
              </w:rPr>
            </w:pPr>
          </w:p>
        </w:tc>
      </w:tr>
      <w:tr w:rsidR="001F34B1" w:rsidRPr="001824C4" w14:paraId="2672F06B" w14:textId="77777777" w:rsidTr="001F34B1">
        <w:trPr>
          <w:trHeight w:val="287"/>
        </w:trPr>
        <w:tc>
          <w:tcPr>
            <w:tcW w:w="2927" w:type="pct"/>
            <w:shd w:val="clear" w:color="auto" w:fill="FFFFFF"/>
            <w:vAlign w:val="center"/>
          </w:tcPr>
          <w:p w14:paraId="14746D4B" w14:textId="77777777" w:rsidR="001F34B1" w:rsidRPr="001824C4" w:rsidRDefault="001F34B1" w:rsidP="001F34B1">
            <w:pPr>
              <w:pStyle w:val="CETBodytext"/>
              <w:jc w:val="center"/>
              <w:rPr>
                <w:lang w:val="en-GB"/>
              </w:rPr>
            </w:pPr>
            <w:r w:rsidRPr="001824C4">
              <w:rPr>
                <w:lang w:val="en-GB"/>
              </w:rPr>
              <w:t>Dimethyl disulphide (DMDS)</w:t>
            </w:r>
          </w:p>
        </w:tc>
        <w:tc>
          <w:tcPr>
            <w:tcW w:w="8" w:type="pct"/>
            <w:shd w:val="clear" w:color="auto" w:fill="FFFFFF"/>
            <w:vAlign w:val="center"/>
          </w:tcPr>
          <w:p w14:paraId="36B590FD" w14:textId="77777777" w:rsidR="001F34B1" w:rsidRPr="001F2457" w:rsidRDefault="001F34B1" w:rsidP="001F34B1">
            <w:pPr>
              <w:pStyle w:val="CETBodytext"/>
              <w:ind w:right="-1"/>
              <w:jc w:val="center"/>
            </w:pPr>
          </w:p>
        </w:tc>
        <w:tc>
          <w:tcPr>
            <w:tcW w:w="875" w:type="pct"/>
            <w:shd w:val="clear" w:color="auto" w:fill="FFFFFF"/>
            <w:vAlign w:val="center"/>
          </w:tcPr>
          <w:p w14:paraId="72FFF05F" w14:textId="6D0A1431" w:rsidR="001F34B1" w:rsidRPr="001824C4" w:rsidRDefault="001F34B1" w:rsidP="001F34B1">
            <w:pPr>
              <w:pStyle w:val="CETBodytext"/>
              <w:ind w:right="-1"/>
              <w:jc w:val="center"/>
              <w:rPr>
                <w:rFonts w:cs="Arial"/>
                <w:szCs w:val="18"/>
                <w:lang w:val="en-GB"/>
              </w:rPr>
            </w:pPr>
            <w:r w:rsidRPr="001F2457">
              <w:t>8.5E-03</w:t>
            </w:r>
          </w:p>
        </w:tc>
        <w:tc>
          <w:tcPr>
            <w:tcW w:w="584" w:type="pct"/>
            <w:shd w:val="clear" w:color="auto" w:fill="FFFFFF"/>
            <w:vAlign w:val="center"/>
          </w:tcPr>
          <w:p w14:paraId="50D9A4D2" w14:textId="371C1743" w:rsidR="001F34B1" w:rsidRPr="001F34B1" w:rsidRDefault="001F34B1" w:rsidP="001F34B1">
            <w:pPr>
              <w:pStyle w:val="CETBodytext"/>
              <w:ind w:right="-1"/>
              <w:jc w:val="center"/>
            </w:pPr>
            <w:r w:rsidRPr="001F34B1">
              <w:t>0.02</w:t>
            </w:r>
          </w:p>
        </w:tc>
        <w:tc>
          <w:tcPr>
            <w:tcW w:w="584" w:type="pct"/>
            <w:shd w:val="clear" w:color="auto" w:fill="FFFFFF"/>
            <w:vAlign w:val="center"/>
          </w:tcPr>
          <w:p w14:paraId="5FB55D81" w14:textId="4BB54180" w:rsidR="001F34B1" w:rsidRPr="001F34B1" w:rsidRDefault="001F34B1" w:rsidP="001F34B1">
            <w:pPr>
              <w:pStyle w:val="CETBodytext"/>
              <w:ind w:right="-1"/>
              <w:jc w:val="center"/>
            </w:pPr>
            <w:r w:rsidRPr="001F34B1">
              <w:t>2.35</w:t>
            </w:r>
          </w:p>
        </w:tc>
        <w:tc>
          <w:tcPr>
            <w:tcW w:w="8" w:type="pct"/>
            <w:shd w:val="clear" w:color="auto" w:fill="FFFFFF"/>
            <w:vAlign w:val="center"/>
          </w:tcPr>
          <w:p w14:paraId="4BD0F468" w14:textId="77777777" w:rsidR="001F34B1" w:rsidRPr="001824C4" w:rsidRDefault="001F34B1" w:rsidP="001F34B1">
            <w:pPr>
              <w:pStyle w:val="CETBodytext"/>
              <w:ind w:right="-1"/>
              <w:jc w:val="center"/>
              <w:rPr>
                <w:rFonts w:cs="Arial"/>
                <w:szCs w:val="18"/>
                <w:lang w:val="en-GB"/>
              </w:rPr>
            </w:pPr>
          </w:p>
        </w:tc>
        <w:tc>
          <w:tcPr>
            <w:tcW w:w="8" w:type="pct"/>
            <w:shd w:val="clear" w:color="auto" w:fill="FFFFFF"/>
            <w:vAlign w:val="center"/>
          </w:tcPr>
          <w:p w14:paraId="02F8BA04" w14:textId="77777777" w:rsidR="001F34B1" w:rsidRPr="001824C4" w:rsidRDefault="001F34B1" w:rsidP="001F34B1">
            <w:pPr>
              <w:pStyle w:val="CETBodytext"/>
              <w:ind w:right="-1"/>
              <w:jc w:val="center"/>
              <w:rPr>
                <w:rFonts w:cs="Arial"/>
                <w:szCs w:val="18"/>
                <w:lang w:val="en-GB"/>
              </w:rPr>
            </w:pPr>
          </w:p>
        </w:tc>
        <w:tc>
          <w:tcPr>
            <w:tcW w:w="6" w:type="pct"/>
            <w:shd w:val="clear" w:color="auto" w:fill="FFFFFF"/>
            <w:vAlign w:val="center"/>
          </w:tcPr>
          <w:p w14:paraId="1B04E932" w14:textId="77777777" w:rsidR="001F34B1" w:rsidRPr="001824C4" w:rsidRDefault="001F34B1" w:rsidP="001F34B1">
            <w:pPr>
              <w:pStyle w:val="CETBodytext"/>
              <w:ind w:right="-1"/>
              <w:jc w:val="center"/>
              <w:rPr>
                <w:rFonts w:cs="Arial"/>
                <w:szCs w:val="18"/>
                <w:lang w:val="en-GB"/>
              </w:rPr>
            </w:pPr>
          </w:p>
        </w:tc>
      </w:tr>
    </w:tbl>
    <w:p w14:paraId="690C1D77" w14:textId="10D341E3" w:rsidR="00783ED3" w:rsidRDefault="00783ED3" w:rsidP="00783ED3">
      <w:pPr>
        <w:pStyle w:val="CETBodytextItalic"/>
      </w:pPr>
    </w:p>
    <w:p w14:paraId="16C3D05B" w14:textId="719835EF" w:rsidR="00021EEB" w:rsidRDefault="00BC03A8" w:rsidP="00783ED3">
      <w:pPr>
        <w:pStyle w:val="CETBodytext"/>
        <w:rPr>
          <w:lang w:val="en-GB"/>
        </w:rPr>
      </w:pPr>
      <w:r>
        <w:rPr>
          <w:lang w:val="en-GB"/>
        </w:rPr>
        <w:t xml:space="preserve">The </w:t>
      </w:r>
      <w:r w:rsidR="001E4B91" w:rsidRPr="001E4B91">
        <w:rPr>
          <w:lang w:val="en-GB"/>
        </w:rPr>
        <w:t xml:space="preserve">obtained </w:t>
      </w:r>
      <w:r>
        <w:rPr>
          <w:lang w:val="en-GB"/>
        </w:rPr>
        <w:t>OAV</w:t>
      </w:r>
      <w:r w:rsidR="00EA72EF">
        <w:rPr>
          <w:lang w:val="en-GB"/>
        </w:rPr>
        <w:t>s</w:t>
      </w:r>
      <w:r>
        <w:rPr>
          <w:lang w:val="en-GB"/>
        </w:rPr>
        <w:t xml:space="preserve"> </w:t>
      </w:r>
      <w:r w:rsidR="001F34B1">
        <w:rPr>
          <w:lang w:val="en-GB"/>
        </w:rPr>
        <w:t>highli</w:t>
      </w:r>
      <w:r w:rsidR="001E4B91">
        <w:rPr>
          <w:lang w:val="en-GB"/>
        </w:rPr>
        <w:t>ght</w:t>
      </w:r>
      <w:r w:rsidR="001F34B1">
        <w:rPr>
          <w:lang w:val="en-GB"/>
        </w:rPr>
        <w:t xml:space="preserve"> that </w:t>
      </w:r>
      <w:r>
        <w:rPr>
          <w:lang w:val="en-GB"/>
        </w:rPr>
        <w:t>sulphur</w:t>
      </w:r>
      <w:r w:rsidR="001F34B1">
        <w:rPr>
          <w:lang w:val="en-GB"/>
        </w:rPr>
        <w:t xml:space="preserve"> compounds detected in PFPD chromatogram have a non-negligible</w:t>
      </w:r>
      <w:r>
        <w:rPr>
          <w:lang w:val="en-GB"/>
        </w:rPr>
        <w:t xml:space="preserve"> odour</w:t>
      </w:r>
      <w:r w:rsidR="001F34B1">
        <w:rPr>
          <w:lang w:val="en-GB"/>
        </w:rPr>
        <w:t xml:space="preserve"> impact </w:t>
      </w:r>
      <w:r>
        <w:rPr>
          <w:lang w:val="en-GB"/>
        </w:rPr>
        <w:t xml:space="preserve">(i.e. higher OA). Therefore, from the results obtained, it is possible to affirm that the analytical instrumentation adopted allows </w:t>
      </w:r>
      <w:r w:rsidR="001E4B91">
        <w:rPr>
          <w:lang w:val="en-GB"/>
        </w:rPr>
        <w:t>describing better</w:t>
      </w:r>
      <w:r>
        <w:rPr>
          <w:lang w:val="en-GB"/>
        </w:rPr>
        <w:t xml:space="preserve"> the</w:t>
      </w:r>
      <w:r w:rsidR="00783ED3">
        <w:rPr>
          <w:lang w:val="en-GB"/>
        </w:rPr>
        <w:t xml:space="preserve"> chemical char</w:t>
      </w:r>
      <w:r>
        <w:rPr>
          <w:lang w:val="en-GB"/>
        </w:rPr>
        <w:t xml:space="preserve">acteristic of odorous emissions. Therefore, a wide chemical description of odorous emission </w:t>
      </w:r>
      <w:r w:rsidR="00783ED3">
        <w:rPr>
          <w:lang w:val="en-GB"/>
        </w:rPr>
        <w:t>can be reached.</w:t>
      </w:r>
      <w:r w:rsidR="00021EEB">
        <w:rPr>
          <w:lang w:val="en-GB"/>
        </w:rPr>
        <w:t xml:space="preserve"> </w:t>
      </w:r>
    </w:p>
    <w:p w14:paraId="29469348" w14:textId="77B031A9" w:rsidR="00602CAE" w:rsidRPr="00421507" w:rsidRDefault="00602CAE" w:rsidP="00783ED3">
      <w:pPr>
        <w:pStyle w:val="CETBodytext"/>
        <w:rPr>
          <w:lang w:val="en-GB"/>
        </w:rPr>
      </w:pPr>
      <w:r>
        <w:rPr>
          <w:lang w:val="en-GB"/>
        </w:rPr>
        <w:t xml:space="preserve">Discussing the </w:t>
      </w:r>
      <w:r w:rsidR="00421507">
        <w:rPr>
          <w:lang w:val="en-GB"/>
        </w:rPr>
        <w:t xml:space="preserve">observed </w:t>
      </w:r>
      <w:r>
        <w:rPr>
          <w:lang w:val="en-GB"/>
        </w:rPr>
        <w:t xml:space="preserve">concentration of </w:t>
      </w:r>
      <w:r w:rsidR="00B56481">
        <w:rPr>
          <w:lang w:val="en-GB"/>
        </w:rPr>
        <w:t xml:space="preserve">compounds, </w:t>
      </w:r>
      <w:r w:rsidR="000F330F">
        <w:rPr>
          <w:lang w:val="en-GB"/>
        </w:rPr>
        <w:t>despite the separation of flow in three different detector</w:t>
      </w:r>
      <w:r w:rsidR="001E4B91">
        <w:rPr>
          <w:lang w:val="en-GB"/>
        </w:rPr>
        <w:t>s</w:t>
      </w:r>
      <w:r w:rsidR="000F330F">
        <w:rPr>
          <w:lang w:val="en-GB"/>
        </w:rPr>
        <w:t>, the concentration reach</w:t>
      </w:r>
      <w:r w:rsidR="001E4B91">
        <w:rPr>
          <w:lang w:val="en-GB"/>
        </w:rPr>
        <w:t>ed</w:t>
      </w:r>
      <w:r w:rsidR="000F330F">
        <w:rPr>
          <w:lang w:val="en-GB"/>
        </w:rPr>
        <w:t xml:space="preserve"> using specific detector</w:t>
      </w:r>
      <w:r w:rsidR="001E4B91">
        <w:rPr>
          <w:lang w:val="en-GB"/>
        </w:rPr>
        <w:t>s</w:t>
      </w:r>
      <w:r w:rsidR="000F330F">
        <w:rPr>
          <w:lang w:val="en-GB"/>
        </w:rPr>
        <w:t xml:space="preserve">, such as PFPD and FID, could be </w:t>
      </w:r>
      <w:r w:rsidR="001E4B91">
        <w:rPr>
          <w:lang w:val="en-GB"/>
        </w:rPr>
        <w:t xml:space="preserve">very </w:t>
      </w:r>
      <w:r w:rsidR="000F330F">
        <w:rPr>
          <w:lang w:val="en-GB"/>
        </w:rPr>
        <w:t xml:space="preserve">low (around </w:t>
      </w:r>
      <w:r w:rsidR="00421507">
        <w:rPr>
          <w:lang w:val="en-GB"/>
        </w:rPr>
        <w:t>0.002 mg/m</w:t>
      </w:r>
      <w:r w:rsidR="00421507">
        <w:rPr>
          <w:vertAlign w:val="superscript"/>
          <w:lang w:val="en-GB"/>
        </w:rPr>
        <w:t xml:space="preserve">3 </w:t>
      </w:r>
      <w:r w:rsidR="00421507">
        <w:rPr>
          <w:lang w:val="en-GB"/>
        </w:rPr>
        <w:t xml:space="preserve">of compound). In addition, it is necessary to </w:t>
      </w:r>
      <w:r w:rsidR="001D0866">
        <w:rPr>
          <w:lang w:val="en-GB"/>
        </w:rPr>
        <w:t>highlight</w:t>
      </w:r>
      <w:r w:rsidR="00421507">
        <w:rPr>
          <w:lang w:val="en-GB"/>
        </w:rPr>
        <w:t xml:space="preserve"> that, discussing odorous samples, according to </w:t>
      </w:r>
      <w:r w:rsidR="00421507">
        <w:rPr>
          <w:lang w:val="en-GB"/>
        </w:rPr>
        <w:fldChar w:fldCharType="begin" w:fldLock="1"/>
      </w:r>
      <w:r w:rsidR="001E4B91">
        <w:rPr>
          <w:lang w:val="en-GB"/>
        </w:rPr>
        <w:instrText>ADDIN CSL_CITATION {"citationItems":[{"id":"ITEM-1","itemData":{"author":[{"dropping-particle":"","family":"EN 13725:2022","given":"","non-dropping-particle":"","parse-names":false,"suffix":""}],"id":"ITEM-1","issued":{"date-parts":[["2022"]]},"title":"Stationary source emissions - Determination of odour concentration by dynamic olfactometry and odour","type":"book"},"uris":["http://www.mendeley.com/documents/?uuid=dd93b0e7-aac8-4488-b71f-615a887ce5d7"]}],"mendeley":{"formattedCitation":"(EN 13725:2022, 2022)","manualFormatting":"EN 13725:2022, the samples have to be collected directly to the emissions' sources, where the highest concentrations of the pollutants can be found.  ","plainTextFormattedCitation":"(EN 13725:2022, 2022)","previouslyFormattedCitation":"(pr EN 13725:2018, 2018)"},"properties":{"noteIndex":0},"schema":"https://github.com/citation-style-language/schema/raw/master/csl-citation.json"}</w:instrText>
      </w:r>
      <w:r w:rsidR="00421507">
        <w:rPr>
          <w:lang w:val="en-GB"/>
        </w:rPr>
        <w:fldChar w:fldCharType="separate"/>
      </w:r>
      <w:r w:rsidR="00421507" w:rsidRPr="00421507">
        <w:rPr>
          <w:noProof/>
          <w:lang w:val="en-GB"/>
        </w:rPr>
        <w:t>EN 13725:2022</w:t>
      </w:r>
      <w:r w:rsidR="00421507">
        <w:rPr>
          <w:noProof/>
          <w:lang w:val="en-GB"/>
        </w:rPr>
        <w:t xml:space="preserve">, the samples have to be collected </w:t>
      </w:r>
      <w:r w:rsidR="004135CC">
        <w:rPr>
          <w:noProof/>
          <w:lang w:val="en-GB"/>
        </w:rPr>
        <w:t xml:space="preserve">directly </w:t>
      </w:r>
      <w:r w:rsidR="00421507">
        <w:rPr>
          <w:noProof/>
          <w:lang w:val="en-GB"/>
        </w:rPr>
        <w:t>to the emissions' sources</w:t>
      </w:r>
      <w:r w:rsidR="004135CC">
        <w:rPr>
          <w:noProof/>
          <w:lang w:val="en-GB"/>
        </w:rPr>
        <w:t xml:space="preserve">, </w:t>
      </w:r>
      <w:r w:rsidR="004135CC" w:rsidRPr="004135CC">
        <w:rPr>
          <w:noProof/>
          <w:lang w:val="en-GB"/>
        </w:rPr>
        <w:t xml:space="preserve">where </w:t>
      </w:r>
      <w:r w:rsidR="001E4B91">
        <w:rPr>
          <w:noProof/>
          <w:lang w:val="en-GB"/>
        </w:rPr>
        <w:t xml:space="preserve">the </w:t>
      </w:r>
      <w:r w:rsidR="004135CC" w:rsidRPr="004135CC">
        <w:rPr>
          <w:noProof/>
          <w:lang w:val="en-GB"/>
        </w:rPr>
        <w:t>highest concentrations of the pollutants can be found.</w:t>
      </w:r>
      <w:r w:rsidR="00421507">
        <w:rPr>
          <w:noProof/>
          <w:lang w:val="en-GB"/>
        </w:rPr>
        <w:t xml:space="preserve">  </w:t>
      </w:r>
      <w:r w:rsidR="00421507">
        <w:rPr>
          <w:lang w:val="en-GB"/>
        </w:rPr>
        <w:fldChar w:fldCharType="end"/>
      </w:r>
    </w:p>
    <w:p w14:paraId="0334154E" w14:textId="1BB9CDF1" w:rsidR="000625E8" w:rsidRDefault="000625E8" w:rsidP="000625E8">
      <w:pPr>
        <w:pStyle w:val="CETHeading1"/>
      </w:pPr>
      <w:r>
        <w:t>Conclusions</w:t>
      </w:r>
    </w:p>
    <w:p w14:paraId="7B6A484D" w14:textId="7C27065A" w:rsidR="00255864" w:rsidRPr="001824C4" w:rsidRDefault="006E097E" w:rsidP="00082076">
      <w:pPr>
        <w:pStyle w:val="CETBodytext"/>
        <w:rPr>
          <w:lang w:val="en-GB"/>
        </w:rPr>
      </w:pPr>
      <w:r w:rsidRPr="00660C6E">
        <w:rPr>
          <w:lang w:val="en-GB"/>
        </w:rPr>
        <w:t>The</w:t>
      </w:r>
      <w:r w:rsidR="009B030E">
        <w:rPr>
          <w:lang w:val="en-GB"/>
        </w:rPr>
        <w:t xml:space="preserve"> accurate</w:t>
      </w:r>
      <w:r w:rsidRPr="00660C6E">
        <w:rPr>
          <w:lang w:val="en-GB"/>
        </w:rPr>
        <w:t xml:space="preserve"> analysis of odorous </w:t>
      </w:r>
      <w:r w:rsidR="009B030E">
        <w:rPr>
          <w:lang w:val="en-GB"/>
        </w:rPr>
        <w:t>samples</w:t>
      </w:r>
      <w:r w:rsidR="009B030E" w:rsidRPr="00660C6E">
        <w:rPr>
          <w:lang w:val="en-GB"/>
        </w:rPr>
        <w:t xml:space="preserve"> </w:t>
      </w:r>
      <w:r w:rsidRPr="00660C6E">
        <w:rPr>
          <w:lang w:val="en-GB"/>
        </w:rPr>
        <w:t xml:space="preserve">still represents a challenge from a technical point of view. Indeed, due to the complexity of </w:t>
      </w:r>
      <w:r w:rsidR="00692919">
        <w:rPr>
          <w:lang w:val="en-GB"/>
        </w:rPr>
        <w:t xml:space="preserve">the </w:t>
      </w:r>
      <w:r w:rsidRPr="00660C6E">
        <w:rPr>
          <w:lang w:val="en-GB"/>
        </w:rPr>
        <w:t xml:space="preserve">matrix, a </w:t>
      </w:r>
      <w:r w:rsidR="00660C6E" w:rsidRPr="00660C6E">
        <w:rPr>
          <w:lang w:val="en-GB"/>
        </w:rPr>
        <w:t xml:space="preserve">polyvalent </w:t>
      </w:r>
      <w:r w:rsidRPr="00660C6E">
        <w:rPr>
          <w:lang w:val="en-GB"/>
        </w:rPr>
        <w:t xml:space="preserve">analytical approach is required to obtain, </w:t>
      </w:r>
      <w:r w:rsidR="00660C6E" w:rsidRPr="00660C6E">
        <w:rPr>
          <w:lang w:val="en-GB"/>
        </w:rPr>
        <w:t>more efficiently,</w:t>
      </w:r>
      <w:r w:rsidRPr="00660C6E">
        <w:rPr>
          <w:lang w:val="en-GB"/>
        </w:rPr>
        <w:t xml:space="preserve"> the most complete chemical </w:t>
      </w:r>
      <w:r w:rsidR="00660C6E" w:rsidRPr="00660C6E">
        <w:rPr>
          <w:lang w:val="en-GB"/>
        </w:rPr>
        <w:t>characterisation</w:t>
      </w:r>
      <w:r w:rsidRPr="00660C6E">
        <w:rPr>
          <w:lang w:val="en-GB"/>
        </w:rPr>
        <w:t>.</w:t>
      </w:r>
      <w:r w:rsidR="00660C6E" w:rsidRPr="00660C6E">
        <w:rPr>
          <w:lang w:val="en-GB"/>
        </w:rPr>
        <w:t xml:space="preserve"> The combination of several detectors is one of the most useful tools to maximise the amount of information that can be obtained in the shortest analysis time.</w:t>
      </w:r>
      <w:r w:rsidR="00660C6E">
        <w:rPr>
          <w:lang w:val="en-GB"/>
        </w:rPr>
        <w:t xml:space="preserve"> </w:t>
      </w:r>
      <w:r w:rsidR="00660C6E" w:rsidRPr="00660C6E">
        <w:rPr>
          <w:lang w:val="en-GB"/>
        </w:rPr>
        <w:t>The application of the TD-GC-MS/FID/PFPD system to samples collected at a WW</w:t>
      </w:r>
      <w:r w:rsidR="009B030E">
        <w:rPr>
          <w:lang w:val="en-GB"/>
        </w:rPr>
        <w:t>PT</w:t>
      </w:r>
      <w:r w:rsidR="00660C6E" w:rsidRPr="00660C6E">
        <w:rPr>
          <w:lang w:val="en-GB"/>
        </w:rPr>
        <w:t xml:space="preserve"> showed its potential: using it, it was possible to selectively detect compounds of particular interest from an odour point of view. These compounds would have hardly been detected in a</w:t>
      </w:r>
      <w:r w:rsidR="009B030E">
        <w:rPr>
          <w:lang w:val="en-GB"/>
        </w:rPr>
        <w:t xml:space="preserve"> generic</w:t>
      </w:r>
      <w:r w:rsidR="00660C6E" w:rsidRPr="00660C6E">
        <w:rPr>
          <w:lang w:val="en-GB"/>
        </w:rPr>
        <w:t xml:space="preserve"> untargeted MS analysis. This undoubtedly reduces the processing time of the chromatographic data</w:t>
      </w:r>
      <w:r w:rsidR="009B030E">
        <w:rPr>
          <w:lang w:val="en-GB"/>
        </w:rPr>
        <w:t>,</w:t>
      </w:r>
      <w:r w:rsidR="00660C6E" w:rsidRPr="00660C6E">
        <w:rPr>
          <w:lang w:val="en-GB"/>
        </w:rPr>
        <w:t xml:space="preserve"> </w:t>
      </w:r>
      <w:r w:rsidR="002C342E">
        <w:rPr>
          <w:lang w:val="en-GB"/>
        </w:rPr>
        <w:t>s</w:t>
      </w:r>
      <w:r w:rsidR="00A34123" w:rsidRPr="00A34123">
        <w:rPr>
          <w:lang w:val="en-GB"/>
        </w:rPr>
        <w:t>implifies the identification of this class of compounds</w:t>
      </w:r>
      <w:r w:rsidR="009B030E">
        <w:rPr>
          <w:lang w:val="en-GB"/>
        </w:rPr>
        <w:t xml:space="preserve"> and provide</w:t>
      </w:r>
      <w:r w:rsidR="001E4B91">
        <w:rPr>
          <w:lang w:val="en-GB"/>
        </w:rPr>
        <w:t>s</w:t>
      </w:r>
      <w:r w:rsidR="009B030E">
        <w:rPr>
          <w:lang w:val="en-GB"/>
        </w:rPr>
        <w:t xml:space="preserve"> more robust results</w:t>
      </w:r>
      <w:r w:rsidR="00A34123" w:rsidRPr="00A34123">
        <w:rPr>
          <w:lang w:val="en-GB"/>
        </w:rPr>
        <w:t>.</w:t>
      </w:r>
      <w:r w:rsidR="002C342E">
        <w:rPr>
          <w:lang w:val="en-GB"/>
        </w:rPr>
        <w:t xml:space="preserve"> </w:t>
      </w:r>
      <w:r w:rsidR="009B030E">
        <w:rPr>
          <w:lang w:val="en-GB"/>
        </w:rPr>
        <w:t>Moreover, d</w:t>
      </w:r>
      <w:r w:rsidR="002C342E" w:rsidRPr="002C342E">
        <w:rPr>
          <w:lang w:val="en-GB"/>
        </w:rPr>
        <w:t xml:space="preserve">iscussing the quantification of the </w:t>
      </w:r>
      <w:r w:rsidR="009B030E">
        <w:rPr>
          <w:lang w:val="en-GB"/>
        </w:rPr>
        <w:t xml:space="preserve">detected </w:t>
      </w:r>
      <w:r w:rsidR="002C342E" w:rsidRPr="002C342E">
        <w:rPr>
          <w:lang w:val="en-GB"/>
        </w:rPr>
        <w:t xml:space="preserve">compounds, the use of detectors such as FID and PFPD </w:t>
      </w:r>
      <w:r w:rsidR="002C342E" w:rsidRPr="002C342E">
        <w:rPr>
          <w:lang w:val="en-GB"/>
        </w:rPr>
        <w:lastRenderedPageBreak/>
        <w:t>reduces the costs associated with calibrations, while being less expensive than semi-quantification with MS.</w:t>
      </w:r>
      <w:r w:rsidR="00EE57FC">
        <w:rPr>
          <w:lang w:val="en-GB"/>
        </w:rPr>
        <w:t xml:space="preserve"> Therefore, the combination of these three detectors </w:t>
      </w:r>
      <w:r w:rsidR="00EE57FC" w:rsidRPr="00077A92">
        <w:rPr>
          <w:lang w:val="en-GB"/>
        </w:rPr>
        <w:t>simultaneously provides different information, useful for the complete chemical characterisation of complex mixtures, such as odours, saving a lot of time and thus increasing the efficiency of the analysis</w:t>
      </w:r>
      <w:r w:rsidR="0036151F">
        <w:rPr>
          <w:lang w:val="en-GB"/>
        </w:rPr>
        <w:t xml:space="preserve">. It is important to note that </w:t>
      </w:r>
      <w:r w:rsidR="0036151F" w:rsidRPr="00CA08C6">
        <w:t xml:space="preserve">this study is a first attempt to evaluate the </w:t>
      </w:r>
      <w:r w:rsidR="0036151F">
        <w:t xml:space="preserve">applicability of GC-MS/FID/PFPD instrumentation </w:t>
      </w:r>
      <w:r w:rsidR="000753BA">
        <w:t>in the analysis of odorous samples, in order to obtain a most complete characterization of compounds present in odour emissions.</w:t>
      </w:r>
    </w:p>
    <w:p w14:paraId="2250FD08" w14:textId="77777777" w:rsidR="009437B8" w:rsidRPr="00437FFC" w:rsidRDefault="009437B8" w:rsidP="009437B8">
      <w:pPr>
        <w:pStyle w:val="CETReference"/>
      </w:pPr>
      <w:r w:rsidRPr="00437FFC">
        <w:t>References</w:t>
      </w:r>
    </w:p>
    <w:p w14:paraId="6A9FE370" w14:textId="73710733" w:rsidR="00421507" w:rsidRPr="00421507" w:rsidRDefault="009437B8" w:rsidP="00421507">
      <w:pPr>
        <w:widowControl w:val="0"/>
        <w:autoSpaceDE w:val="0"/>
        <w:autoSpaceDN w:val="0"/>
        <w:adjustRightInd w:val="0"/>
        <w:spacing w:line="240" w:lineRule="auto"/>
        <w:ind w:left="480" w:hanging="480"/>
        <w:rPr>
          <w:rFonts w:cs="Arial"/>
          <w:noProof/>
          <w:szCs w:val="24"/>
        </w:rPr>
      </w:pPr>
      <w:r w:rsidRPr="001824C4">
        <w:fldChar w:fldCharType="begin" w:fldLock="1"/>
      </w:r>
      <w:r w:rsidRPr="00437FFC">
        <w:instrText xml:space="preserve">ADDIN Mendeley Bibliography CSL_BIBLIOGRAPHY </w:instrText>
      </w:r>
      <w:r w:rsidRPr="001824C4">
        <w:fldChar w:fldCharType="separate"/>
      </w:r>
      <w:r w:rsidR="00421507" w:rsidRPr="00421507">
        <w:rPr>
          <w:rFonts w:cs="Arial"/>
          <w:noProof/>
          <w:szCs w:val="24"/>
        </w:rPr>
        <w:t xml:space="preserve">Bicchi, C., Liberto, E., Matteodo, M., Sgorbini, B., Mondello, L., Zellner, B. d. A., Costa, R., Rubiolo, P., 2008, Quantitative analysis of essential oils: A complex task, Flavour and Fragrance Journal, </w:t>
      </w:r>
      <w:r w:rsidR="00421507" w:rsidRPr="00421507">
        <w:rPr>
          <w:rFonts w:cs="Arial"/>
          <w:i/>
          <w:iCs/>
          <w:noProof/>
          <w:szCs w:val="24"/>
        </w:rPr>
        <w:t>23</w:t>
      </w:r>
      <w:r w:rsidR="00421507" w:rsidRPr="00421507">
        <w:rPr>
          <w:rFonts w:cs="Arial"/>
          <w:noProof/>
          <w:szCs w:val="24"/>
        </w:rPr>
        <w:t>(6), 382–391.</w:t>
      </w:r>
    </w:p>
    <w:p w14:paraId="12E52A2A" w14:textId="4D9FB0A6" w:rsidR="00421507" w:rsidRPr="00421507" w:rsidRDefault="00421507" w:rsidP="00421507">
      <w:pPr>
        <w:widowControl w:val="0"/>
        <w:autoSpaceDE w:val="0"/>
        <w:autoSpaceDN w:val="0"/>
        <w:adjustRightInd w:val="0"/>
        <w:spacing w:line="240" w:lineRule="auto"/>
        <w:ind w:left="480" w:hanging="480"/>
        <w:rPr>
          <w:rFonts w:cs="Arial"/>
          <w:noProof/>
          <w:szCs w:val="24"/>
        </w:rPr>
      </w:pPr>
      <w:r w:rsidRPr="00421507">
        <w:rPr>
          <w:rFonts w:cs="Arial"/>
          <w:noProof/>
          <w:szCs w:val="24"/>
        </w:rPr>
        <w:t xml:space="preserve">Biedermann, M., McCombie, G., Grob, K., Kappenstein, O., Hutzler, C., Pfaff, K., Luch, A., 2017, FID or MS for mineral oil analysis?, Journal Fur Verbraucherschutz Und Lebensmittelsicherheit, </w:t>
      </w:r>
      <w:r w:rsidRPr="00421507">
        <w:rPr>
          <w:rFonts w:cs="Arial"/>
          <w:i/>
          <w:iCs/>
          <w:noProof/>
          <w:szCs w:val="24"/>
        </w:rPr>
        <w:t>12</w:t>
      </w:r>
      <w:r w:rsidRPr="00421507">
        <w:rPr>
          <w:rFonts w:cs="Arial"/>
          <w:noProof/>
          <w:szCs w:val="24"/>
        </w:rPr>
        <w:t>(4), 363–365.</w:t>
      </w:r>
    </w:p>
    <w:p w14:paraId="7C8F4500" w14:textId="37B44AA0" w:rsidR="00421507" w:rsidRPr="00421507" w:rsidRDefault="00421507" w:rsidP="00421507">
      <w:pPr>
        <w:widowControl w:val="0"/>
        <w:autoSpaceDE w:val="0"/>
        <w:autoSpaceDN w:val="0"/>
        <w:adjustRightInd w:val="0"/>
        <w:spacing w:line="240" w:lineRule="auto"/>
        <w:ind w:left="480" w:hanging="480"/>
        <w:rPr>
          <w:rFonts w:cs="Arial"/>
          <w:noProof/>
          <w:szCs w:val="24"/>
        </w:rPr>
      </w:pPr>
      <w:r w:rsidRPr="00421507">
        <w:rPr>
          <w:rFonts w:cs="Arial"/>
          <w:noProof/>
          <w:szCs w:val="24"/>
        </w:rPr>
        <w:t xml:space="preserve">Cicchetti, E., Merle, P., Chaintreau, A., 2008, Quantitation in gas chromatography: Usual practices and performances of a response factor database, Flavour and Fragrance Journal, </w:t>
      </w:r>
      <w:r w:rsidRPr="00421507">
        <w:rPr>
          <w:rFonts w:cs="Arial"/>
          <w:i/>
          <w:iCs/>
          <w:noProof/>
          <w:szCs w:val="24"/>
        </w:rPr>
        <w:t>23</w:t>
      </w:r>
      <w:r w:rsidRPr="00421507">
        <w:rPr>
          <w:rFonts w:cs="Arial"/>
          <w:noProof/>
          <w:szCs w:val="24"/>
        </w:rPr>
        <w:t>(6), 450–459.</w:t>
      </w:r>
    </w:p>
    <w:p w14:paraId="1F571699" w14:textId="797CAB47" w:rsidR="00421507" w:rsidRPr="00421507" w:rsidRDefault="00421507" w:rsidP="00421507">
      <w:pPr>
        <w:widowControl w:val="0"/>
        <w:autoSpaceDE w:val="0"/>
        <w:autoSpaceDN w:val="0"/>
        <w:adjustRightInd w:val="0"/>
        <w:spacing w:line="240" w:lineRule="auto"/>
        <w:ind w:left="480" w:hanging="480"/>
        <w:rPr>
          <w:rFonts w:cs="Arial"/>
          <w:noProof/>
          <w:szCs w:val="24"/>
        </w:rPr>
      </w:pPr>
      <w:r w:rsidRPr="00421507">
        <w:rPr>
          <w:rFonts w:cs="Arial"/>
          <w:noProof/>
          <w:szCs w:val="24"/>
        </w:rPr>
        <w:t xml:space="preserve">D’Agostino, M. F., Sanz, J., Martínez-Castro, I., Giuffrè, A. M., Sicari, V., Soria, A. C., 2014, Statistical analysis for improving data precision in the SPME GC–MS analysis of blackberry (Rubus ulmifolius Schott) volatiles, Talanta, </w:t>
      </w:r>
      <w:r w:rsidRPr="00421507">
        <w:rPr>
          <w:rFonts w:cs="Arial"/>
          <w:i/>
          <w:iCs/>
          <w:noProof/>
          <w:szCs w:val="24"/>
        </w:rPr>
        <w:t>125</w:t>
      </w:r>
      <w:r w:rsidRPr="00421507">
        <w:rPr>
          <w:rFonts w:cs="Arial"/>
          <w:noProof/>
          <w:szCs w:val="24"/>
        </w:rPr>
        <w:t>, 248–256.</w:t>
      </w:r>
    </w:p>
    <w:p w14:paraId="6B0AC053" w14:textId="749E5F17" w:rsidR="00421507" w:rsidRPr="00421507" w:rsidRDefault="00421507" w:rsidP="00421507">
      <w:pPr>
        <w:widowControl w:val="0"/>
        <w:autoSpaceDE w:val="0"/>
        <w:autoSpaceDN w:val="0"/>
        <w:adjustRightInd w:val="0"/>
        <w:spacing w:line="240" w:lineRule="auto"/>
        <w:ind w:left="480" w:hanging="480"/>
        <w:rPr>
          <w:rFonts w:cs="Arial"/>
          <w:noProof/>
          <w:szCs w:val="24"/>
        </w:rPr>
      </w:pPr>
      <w:r w:rsidRPr="00421507">
        <w:rPr>
          <w:rFonts w:cs="Arial"/>
          <w:noProof/>
          <w:szCs w:val="24"/>
        </w:rPr>
        <w:t xml:space="preserve">De Saint Laumer, J. Y., Cicchetti, E., Merle, P., Egger, J., Chaintreau, A., 2010, Quantification in gas chromatography: Prediction of flame ionization detector response factors from combustion enthalpies and molecular structures, Analytical Chemistry, </w:t>
      </w:r>
      <w:r w:rsidRPr="00421507">
        <w:rPr>
          <w:rFonts w:cs="Arial"/>
          <w:i/>
          <w:iCs/>
          <w:noProof/>
          <w:szCs w:val="24"/>
        </w:rPr>
        <w:t>82</w:t>
      </w:r>
      <w:r w:rsidRPr="00421507">
        <w:rPr>
          <w:rFonts w:cs="Arial"/>
          <w:noProof/>
          <w:szCs w:val="24"/>
        </w:rPr>
        <w:t>(15), 6457–6462.</w:t>
      </w:r>
    </w:p>
    <w:p w14:paraId="16811AB4" w14:textId="3E9D1F75" w:rsidR="00421507" w:rsidRPr="00421507" w:rsidRDefault="00421507" w:rsidP="00421507">
      <w:pPr>
        <w:widowControl w:val="0"/>
        <w:autoSpaceDE w:val="0"/>
        <w:autoSpaceDN w:val="0"/>
        <w:adjustRightInd w:val="0"/>
        <w:spacing w:line="240" w:lineRule="auto"/>
        <w:ind w:left="480" w:hanging="480"/>
        <w:rPr>
          <w:rFonts w:cs="Arial"/>
          <w:noProof/>
          <w:szCs w:val="24"/>
        </w:rPr>
      </w:pPr>
      <w:r w:rsidRPr="00421507">
        <w:rPr>
          <w:rFonts w:cs="Arial"/>
          <w:noProof/>
          <w:szCs w:val="24"/>
        </w:rPr>
        <w:t xml:space="preserve">Del Río, D., Rey, M., Sedran, U., De La Puente, G., 2011, Combined PFPD–FID assessment of sulfur in liquid fuels, Fuel Processing Technology, </w:t>
      </w:r>
      <w:r w:rsidRPr="00421507">
        <w:rPr>
          <w:rFonts w:cs="Arial"/>
          <w:i/>
          <w:iCs/>
          <w:noProof/>
          <w:szCs w:val="24"/>
        </w:rPr>
        <w:t>92</w:t>
      </w:r>
      <w:r w:rsidRPr="00421507">
        <w:rPr>
          <w:rFonts w:cs="Arial"/>
          <w:noProof/>
          <w:szCs w:val="24"/>
        </w:rPr>
        <w:t>(12), 2278–2284.</w:t>
      </w:r>
    </w:p>
    <w:p w14:paraId="71EA2A41" w14:textId="42127117" w:rsidR="00421507" w:rsidRPr="00421507" w:rsidRDefault="00421507" w:rsidP="00421507">
      <w:pPr>
        <w:widowControl w:val="0"/>
        <w:autoSpaceDE w:val="0"/>
        <w:autoSpaceDN w:val="0"/>
        <w:adjustRightInd w:val="0"/>
        <w:spacing w:line="240" w:lineRule="auto"/>
        <w:ind w:left="480" w:hanging="480"/>
        <w:rPr>
          <w:rFonts w:cs="Arial"/>
          <w:noProof/>
          <w:szCs w:val="24"/>
        </w:rPr>
      </w:pPr>
      <w:r w:rsidRPr="00421507">
        <w:rPr>
          <w:rFonts w:cs="Arial"/>
          <w:noProof/>
          <w:szCs w:val="24"/>
        </w:rPr>
        <w:t xml:space="preserve">Dijkmans, T., Djokic, M. R., Van Geem, K. M., Marin, G. B., 2015, Comprehensive compositional analysis of sulfur and nitrogen containing compounds in shale oil using GC x GC - FID/SCD/NCD/TOF-MS, Fuel, </w:t>
      </w:r>
      <w:r w:rsidRPr="00421507">
        <w:rPr>
          <w:rFonts w:cs="Arial"/>
          <w:i/>
          <w:iCs/>
          <w:noProof/>
          <w:szCs w:val="24"/>
        </w:rPr>
        <w:t>140</w:t>
      </w:r>
      <w:r w:rsidRPr="00421507">
        <w:rPr>
          <w:rFonts w:cs="Arial"/>
          <w:noProof/>
          <w:szCs w:val="24"/>
        </w:rPr>
        <w:t>, 398–406.</w:t>
      </w:r>
    </w:p>
    <w:p w14:paraId="3F63E8AA" w14:textId="4672B229" w:rsidR="00421507" w:rsidRPr="00421507" w:rsidRDefault="00421507" w:rsidP="00421507">
      <w:pPr>
        <w:widowControl w:val="0"/>
        <w:autoSpaceDE w:val="0"/>
        <w:autoSpaceDN w:val="0"/>
        <w:adjustRightInd w:val="0"/>
        <w:spacing w:line="240" w:lineRule="auto"/>
        <w:ind w:left="480" w:hanging="480"/>
        <w:rPr>
          <w:rFonts w:cs="Arial"/>
          <w:noProof/>
          <w:szCs w:val="24"/>
        </w:rPr>
      </w:pPr>
      <w:r w:rsidRPr="00421507">
        <w:rPr>
          <w:rFonts w:cs="Arial"/>
          <w:noProof/>
          <w:szCs w:val="24"/>
        </w:rPr>
        <w:t xml:space="preserve">EN 13725:2022, </w:t>
      </w:r>
      <w:r w:rsidRPr="00421507">
        <w:rPr>
          <w:rFonts w:cs="Arial"/>
          <w:i/>
          <w:iCs/>
          <w:noProof/>
          <w:szCs w:val="24"/>
        </w:rPr>
        <w:t>Stationary source emissions - Determination of odour concentration by dynamic olfactometry and odour</w:t>
      </w:r>
      <w:r w:rsidRPr="00421507">
        <w:rPr>
          <w:rFonts w:cs="Arial"/>
          <w:noProof/>
          <w:szCs w:val="24"/>
        </w:rPr>
        <w:t>.</w:t>
      </w:r>
    </w:p>
    <w:p w14:paraId="76E18EB5" w14:textId="2674F8C1" w:rsidR="00421507" w:rsidRPr="00421507" w:rsidRDefault="00421507" w:rsidP="00421507">
      <w:pPr>
        <w:widowControl w:val="0"/>
        <w:autoSpaceDE w:val="0"/>
        <w:autoSpaceDN w:val="0"/>
        <w:adjustRightInd w:val="0"/>
        <w:spacing w:line="240" w:lineRule="auto"/>
        <w:ind w:left="480" w:hanging="480"/>
        <w:rPr>
          <w:rFonts w:cs="Arial"/>
          <w:noProof/>
          <w:szCs w:val="24"/>
        </w:rPr>
      </w:pPr>
      <w:r w:rsidRPr="00421507">
        <w:rPr>
          <w:rFonts w:cs="Arial"/>
          <w:noProof/>
          <w:szCs w:val="24"/>
        </w:rPr>
        <w:t xml:space="preserve">Hegazi, A. H., Andersson, J. T., 2007, Limitations to GC-MS determination of sulfur-containing polycyclic aromatic compounds in geochemical, petroleum, and environmental investigations, Energy and Fuels, </w:t>
      </w:r>
      <w:r w:rsidRPr="00421507">
        <w:rPr>
          <w:rFonts w:cs="Arial"/>
          <w:i/>
          <w:iCs/>
          <w:noProof/>
          <w:szCs w:val="24"/>
        </w:rPr>
        <w:t>21</w:t>
      </w:r>
      <w:r w:rsidRPr="00421507">
        <w:rPr>
          <w:rFonts w:cs="Arial"/>
          <w:noProof/>
          <w:szCs w:val="24"/>
        </w:rPr>
        <w:t>(6), 3375–3384.</w:t>
      </w:r>
    </w:p>
    <w:p w14:paraId="462CA47F" w14:textId="3ED8CA5A" w:rsidR="00421507" w:rsidRPr="00421507" w:rsidRDefault="00421507" w:rsidP="00421507">
      <w:pPr>
        <w:widowControl w:val="0"/>
        <w:autoSpaceDE w:val="0"/>
        <w:autoSpaceDN w:val="0"/>
        <w:adjustRightInd w:val="0"/>
        <w:spacing w:line="240" w:lineRule="auto"/>
        <w:ind w:left="480" w:hanging="480"/>
        <w:rPr>
          <w:rFonts w:cs="Arial"/>
          <w:noProof/>
          <w:szCs w:val="24"/>
        </w:rPr>
      </w:pPr>
      <w:r w:rsidRPr="00421507">
        <w:rPr>
          <w:rFonts w:cs="Arial"/>
          <w:noProof/>
          <w:szCs w:val="24"/>
        </w:rPr>
        <w:t xml:space="preserve">Justino de Araújo, A. C., Freitas, P. R., Rodrigues dos Santos Barbosa, C., Muniz, D. F., Rocha, J. E., Albuquerque da Silva, A. C., Datiane de Morais Oliveira-Tintino, C., Ribeiro-Filho, J., Everson da Silva, L., Confortin, C., Amaral, W. do, Deschamps, C., Barbosa-Filho, J. M., Ramos de Lima, N. T., Tintino, S. R., Melo Coutinho, H. D., 2020, GC-MS-FID characterization and antibacterial activity of the Mikania cordifolia essential oil and limonene against MDR strains, Food and Chemical Toxicology, </w:t>
      </w:r>
      <w:r w:rsidRPr="00421507">
        <w:rPr>
          <w:rFonts w:cs="Arial"/>
          <w:i/>
          <w:iCs/>
          <w:noProof/>
          <w:szCs w:val="24"/>
        </w:rPr>
        <w:t>136</w:t>
      </w:r>
      <w:r w:rsidRPr="00421507">
        <w:rPr>
          <w:rFonts w:cs="Arial"/>
          <w:noProof/>
          <w:szCs w:val="24"/>
        </w:rPr>
        <w:t>.</w:t>
      </w:r>
    </w:p>
    <w:p w14:paraId="39AF87F6" w14:textId="6AC09A1F" w:rsidR="00421507" w:rsidRPr="00421507" w:rsidRDefault="00421507" w:rsidP="00421507">
      <w:pPr>
        <w:widowControl w:val="0"/>
        <w:autoSpaceDE w:val="0"/>
        <w:autoSpaceDN w:val="0"/>
        <w:adjustRightInd w:val="0"/>
        <w:spacing w:line="240" w:lineRule="auto"/>
        <w:ind w:left="480" w:hanging="480"/>
        <w:rPr>
          <w:rFonts w:cs="Arial"/>
          <w:noProof/>
          <w:szCs w:val="24"/>
        </w:rPr>
      </w:pPr>
      <w:r w:rsidRPr="00421507">
        <w:rPr>
          <w:rFonts w:cs="Arial"/>
          <w:noProof/>
          <w:szCs w:val="24"/>
        </w:rPr>
        <w:t xml:space="preserve">Kamarulzaman, N. H., Le-minh, N., Fisher, R. M., Stuetz, R. M., 2019, Science of the Total Environment Quanti fi cation of VOCs and the development of odour wheels for rubber processing, Science of The Total Environment, </w:t>
      </w:r>
      <w:r w:rsidRPr="00421507">
        <w:rPr>
          <w:rFonts w:cs="Arial"/>
          <w:i/>
          <w:iCs/>
          <w:noProof/>
          <w:szCs w:val="24"/>
        </w:rPr>
        <w:t>657</w:t>
      </w:r>
      <w:r w:rsidRPr="00421507">
        <w:rPr>
          <w:rFonts w:cs="Arial"/>
          <w:noProof/>
          <w:szCs w:val="24"/>
        </w:rPr>
        <w:t>, 154–168.</w:t>
      </w:r>
    </w:p>
    <w:p w14:paraId="1DFFAA75" w14:textId="75725E9C" w:rsidR="00421507" w:rsidRPr="00421507" w:rsidRDefault="00421507" w:rsidP="00421507">
      <w:pPr>
        <w:widowControl w:val="0"/>
        <w:autoSpaceDE w:val="0"/>
        <w:autoSpaceDN w:val="0"/>
        <w:adjustRightInd w:val="0"/>
        <w:spacing w:line="240" w:lineRule="auto"/>
        <w:ind w:left="480" w:hanging="480"/>
        <w:rPr>
          <w:rFonts w:cs="Arial"/>
          <w:noProof/>
          <w:szCs w:val="24"/>
        </w:rPr>
      </w:pPr>
      <w:r w:rsidRPr="00421507">
        <w:rPr>
          <w:rFonts w:cs="Arial"/>
          <w:noProof/>
          <w:szCs w:val="24"/>
        </w:rPr>
        <w:t xml:space="preserve">Murphy, K. R., Wenig, P., Parcsi, G., Skov, T., Stuetz, R. M., 2012, Characterizing odorous emissions using new software for identifying peaks in chemometric models of gas chromatography-mass spectrometry datasets, Chemometrics and Intelligent Laboratory Systems, </w:t>
      </w:r>
      <w:r w:rsidRPr="00421507">
        <w:rPr>
          <w:rFonts w:cs="Arial"/>
          <w:i/>
          <w:iCs/>
          <w:noProof/>
          <w:szCs w:val="24"/>
        </w:rPr>
        <w:t>118</w:t>
      </w:r>
      <w:r w:rsidRPr="00421507">
        <w:rPr>
          <w:rFonts w:cs="Arial"/>
          <w:noProof/>
          <w:szCs w:val="24"/>
        </w:rPr>
        <w:t>, 41–50.</w:t>
      </w:r>
    </w:p>
    <w:p w14:paraId="743B05EB" w14:textId="77777777" w:rsidR="00421507" w:rsidRPr="00421507" w:rsidRDefault="00421507" w:rsidP="00421507">
      <w:pPr>
        <w:widowControl w:val="0"/>
        <w:autoSpaceDE w:val="0"/>
        <w:autoSpaceDN w:val="0"/>
        <w:adjustRightInd w:val="0"/>
        <w:spacing w:line="240" w:lineRule="auto"/>
        <w:ind w:left="480" w:hanging="480"/>
        <w:rPr>
          <w:rFonts w:cs="Arial"/>
          <w:noProof/>
          <w:szCs w:val="24"/>
        </w:rPr>
      </w:pPr>
      <w:r w:rsidRPr="00421507">
        <w:rPr>
          <w:rFonts w:cs="Arial"/>
          <w:noProof/>
          <w:szCs w:val="24"/>
        </w:rPr>
        <w:t>Nagata, Y., 2003, Measurement of Odor Threshold by Triangle Odor Bag Method, Odor Measurement Review, 118–127.</w:t>
      </w:r>
    </w:p>
    <w:p w14:paraId="175F0A26" w14:textId="24E59BFD" w:rsidR="00421507" w:rsidRPr="00421507" w:rsidRDefault="00421507" w:rsidP="00421507">
      <w:pPr>
        <w:widowControl w:val="0"/>
        <w:autoSpaceDE w:val="0"/>
        <w:autoSpaceDN w:val="0"/>
        <w:adjustRightInd w:val="0"/>
        <w:spacing w:line="240" w:lineRule="auto"/>
        <w:ind w:left="480" w:hanging="480"/>
        <w:rPr>
          <w:rFonts w:cs="Arial"/>
          <w:noProof/>
          <w:szCs w:val="24"/>
        </w:rPr>
      </w:pPr>
      <w:r w:rsidRPr="00421507">
        <w:rPr>
          <w:rFonts w:cs="Arial"/>
          <w:noProof/>
          <w:szCs w:val="24"/>
        </w:rPr>
        <w:t xml:space="preserve">Niemi, C., Lage, S., Gentili, F. G., 2019, Comparisons of analysis of fatty acid methyl ester (FAME) of microalgae by chromatographic techniques, Algal Research, </w:t>
      </w:r>
      <w:r w:rsidRPr="00421507">
        <w:rPr>
          <w:rFonts w:cs="Arial"/>
          <w:i/>
          <w:iCs/>
          <w:noProof/>
          <w:szCs w:val="24"/>
        </w:rPr>
        <w:t>39</w:t>
      </w:r>
      <w:r w:rsidRPr="00421507">
        <w:rPr>
          <w:rFonts w:cs="Arial"/>
          <w:noProof/>
          <w:szCs w:val="24"/>
        </w:rPr>
        <w:t>, 101449.</w:t>
      </w:r>
    </w:p>
    <w:p w14:paraId="34151E5C" w14:textId="219EF6D6" w:rsidR="00421507" w:rsidRPr="00421507" w:rsidRDefault="00421507" w:rsidP="00421507">
      <w:pPr>
        <w:widowControl w:val="0"/>
        <w:autoSpaceDE w:val="0"/>
        <w:autoSpaceDN w:val="0"/>
        <w:adjustRightInd w:val="0"/>
        <w:spacing w:line="240" w:lineRule="auto"/>
        <w:ind w:left="480" w:hanging="480"/>
        <w:rPr>
          <w:rFonts w:cs="Arial"/>
          <w:noProof/>
          <w:szCs w:val="24"/>
        </w:rPr>
      </w:pPr>
      <w:r w:rsidRPr="00421507">
        <w:rPr>
          <w:rFonts w:cs="Arial"/>
          <w:noProof/>
          <w:szCs w:val="24"/>
        </w:rPr>
        <w:t>Pacchiarotta, T., Nevedomskaya, E., Carrasco-Pancorbo, A., Deelder, A. M., Mayboroda, O. A., 2010,</w:t>
      </w:r>
      <w:r w:rsidRPr="00421507">
        <w:rPr>
          <w:rFonts w:cs="Arial"/>
          <w:i/>
          <w:iCs/>
          <w:noProof/>
          <w:szCs w:val="24"/>
        </w:rPr>
        <w:t>Evaluation of GC-APCI/MS and GC-FID As a Complementary Platform</w:t>
      </w:r>
      <w:r w:rsidRPr="00421507">
        <w:rPr>
          <w:rFonts w:cs="Arial"/>
          <w:noProof/>
          <w:szCs w:val="24"/>
        </w:rPr>
        <w:t>.</w:t>
      </w:r>
    </w:p>
    <w:p w14:paraId="293A7EFF" w14:textId="6D0C359B" w:rsidR="00421507" w:rsidRPr="00421507" w:rsidRDefault="00421507" w:rsidP="00421507">
      <w:pPr>
        <w:widowControl w:val="0"/>
        <w:autoSpaceDE w:val="0"/>
        <w:autoSpaceDN w:val="0"/>
        <w:adjustRightInd w:val="0"/>
        <w:spacing w:line="240" w:lineRule="auto"/>
        <w:ind w:left="480" w:hanging="480"/>
        <w:rPr>
          <w:rFonts w:cs="Arial"/>
          <w:noProof/>
          <w:szCs w:val="24"/>
        </w:rPr>
      </w:pPr>
      <w:r w:rsidRPr="00421507">
        <w:rPr>
          <w:rFonts w:cs="Arial"/>
          <w:noProof/>
          <w:szCs w:val="24"/>
        </w:rPr>
        <w:t xml:space="preserve">Raffo, A., Masci, M., Moneta, E., Nicoli, S., Sánchez del Pulgar, J., Paoletti, F., 2018, Characterization of volatiles and identification of odor-active compounds of rocket leaves, Food Chemistry, </w:t>
      </w:r>
      <w:r w:rsidRPr="00421507">
        <w:rPr>
          <w:rFonts w:cs="Arial"/>
          <w:i/>
          <w:iCs/>
          <w:noProof/>
          <w:szCs w:val="24"/>
        </w:rPr>
        <w:t>240</w:t>
      </w:r>
      <w:r w:rsidRPr="00421507">
        <w:rPr>
          <w:rFonts w:cs="Arial"/>
          <w:noProof/>
          <w:szCs w:val="24"/>
        </w:rPr>
        <w:t>, 1161–1170.</w:t>
      </w:r>
    </w:p>
    <w:p w14:paraId="4426D2BB" w14:textId="77777777" w:rsidR="00421507" w:rsidRPr="00421507" w:rsidRDefault="00421507" w:rsidP="00421507">
      <w:pPr>
        <w:widowControl w:val="0"/>
        <w:autoSpaceDE w:val="0"/>
        <w:autoSpaceDN w:val="0"/>
        <w:adjustRightInd w:val="0"/>
        <w:spacing w:line="240" w:lineRule="auto"/>
        <w:ind w:left="480" w:hanging="480"/>
        <w:rPr>
          <w:rFonts w:cs="Arial"/>
          <w:noProof/>
          <w:szCs w:val="24"/>
        </w:rPr>
      </w:pPr>
      <w:r w:rsidRPr="00421507">
        <w:rPr>
          <w:rFonts w:cs="Arial"/>
          <w:noProof/>
          <w:szCs w:val="24"/>
        </w:rPr>
        <w:t xml:space="preserve">Rice, S., Lutt, N., Koziel, J. A., Dharmadhikari, M., &amp; Fennell, A., 2018, Determination of Selected Aromas in Marquette and Frontenac Wine Using Headspace-SPME Coupled with GC-MS and Simultaneous Olfactometry, Separations 2018, Vol. 5, Page 20, </w:t>
      </w:r>
      <w:r w:rsidRPr="00421507">
        <w:rPr>
          <w:rFonts w:cs="Arial"/>
          <w:i/>
          <w:iCs/>
          <w:noProof/>
          <w:szCs w:val="24"/>
        </w:rPr>
        <w:t>5</w:t>
      </w:r>
      <w:r w:rsidRPr="00421507">
        <w:rPr>
          <w:rFonts w:cs="Arial"/>
          <w:noProof/>
          <w:szCs w:val="24"/>
        </w:rPr>
        <w:t>(1), 20.</w:t>
      </w:r>
    </w:p>
    <w:p w14:paraId="206F1E76" w14:textId="01FE608C" w:rsidR="00421507" w:rsidRPr="00421507" w:rsidRDefault="00421507" w:rsidP="00421507">
      <w:pPr>
        <w:widowControl w:val="0"/>
        <w:autoSpaceDE w:val="0"/>
        <w:autoSpaceDN w:val="0"/>
        <w:adjustRightInd w:val="0"/>
        <w:spacing w:line="240" w:lineRule="auto"/>
        <w:ind w:left="480" w:hanging="480"/>
        <w:rPr>
          <w:rFonts w:cs="Arial"/>
          <w:noProof/>
          <w:szCs w:val="24"/>
        </w:rPr>
      </w:pPr>
      <w:r w:rsidRPr="00421507">
        <w:rPr>
          <w:rFonts w:cs="Arial"/>
          <w:noProof/>
          <w:szCs w:val="24"/>
        </w:rPr>
        <w:t xml:space="preserve">Spinazzè, A., Polvara, E., Cattaneo, A., Invernizzi, M., Cavallo, D. M., Sironi, S., 2022, Dynamic Olfactometry and Oil Refinery Odour Samples: Application of a New Method for Occupational Risk Assessment, Toxics 2022, Vol. 10, Page 202, </w:t>
      </w:r>
      <w:r w:rsidRPr="00421507">
        <w:rPr>
          <w:rFonts w:cs="Arial"/>
          <w:i/>
          <w:iCs/>
          <w:noProof/>
          <w:szCs w:val="24"/>
        </w:rPr>
        <w:t>10</w:t>
      </w:r>
      <w:r w:rsidRPr="00421507">
        <w:rPr>
          <w:rFonts w:cs="Arial"/>
          <w:noProof/>
          <w:szCs w:val="24"/>
        </w:rPr>
        <w:t>(5), 202.</w:t>
      </w:r>
    </w:p>
    <w:p w14:paraId="61F05621" w14:textId="75F3D1B2" w:rsidR="00421507" w:rsidRPr="00421507" w:rsidRDefault="00421507" w:rsidP="00421507">
      <w:pPr>
        <w:widowControl w:val="0"/>
        <w:autoSpaceDE w:val="0"/>
        <w:autoSpaceDN w:val="0"/>
        <w:adjustRightInd w:val="0"/>
        <w:spacing w:line="240" w:lineRule="auto"/>
        <w:ind w:left="480" w:hanging="480"/>
        <w:rPr>
          <w:rFonts w:cs="Arial"/>
          <w:noProof/>
          <w:szCs w:val="24"/>
        </w:rPr>
      </w:pPr>
      <w:r w:rsidRPr="00421507">
        <w:rPr>
          <w:rFonts w:cs="Arial"/>
          <w:noProof/>
          <w:szCs w:val="24"/>
        </w:rPr>
        <w:t xml:space="preserve">Walters, C. C., Wang, F. C., Higgins, M. B., Madincea, M. E., 2018, Universal biomarker analysis using GC×GC with dual FID and ToF-MS (EI/FI) detection, Organic Geochemistry, </w:t>
      </w:r>
      <w:r w:rsidRPr="00421507">
        <w:rPr>
          <w:rFonts w:cs="Arial"/>
          <w:i/>
          <w:iCs/>
          <w:noProof/>
          <w:szCs w:val="24"/>
        </w:rPr>
        <w:t>115</w:t>
      </w:r>
      <w:r w:rsidRPr="00421507">
        <w:rPr>
          <w:rFonts w:cs="Arial"/>
          <w:noProof/>
          <w:szCs w:val="24"/>
        </w:rPr>
        <w:t>, 57–66.</w:t>
      </w:r>
    </w:p>
    <w:p w14:paraId="5C2511D8" w14:textId="66CAC330" w:rsidR="00421507" w:rsidRPr="00421507" w:rsidRDefault="00421507" w:rsidP="00421507">
      <w:pPr>
        <w:widowControl w:val="0"/>
        <w:autoSpaceDE w:val="0"/>
        <w:autoSpaceDN w:val="0"/>
        <w:adjustRightInd w:val="0"/>
        <w:spacing w:line="240" w:lineRule="auto"/>
        <w:ind w:left="480" w:hanging="480"/>
        <w:rPr>
          <w:rFonts w:cs="Arial"/>
          <w:noProof/>
          <w:szCs w:val="24"/>
        </w:rPr>
      </w:pPr>
      <w:r w:rsidRPr="00421507">
        <w:rPr>
          <w:rFonts w:cs="Arial"/>
          <w:noProof/>
          <w:szCs w:val="24"/>
        </w:rPr>
        <w:t xml:space="preserve">Yu, P., Yang, Y., Sun, J., Jia, X., Zheng, C., Zhou, Q., Huang, F., 2022, Identification of volatile sulfur-containing compounds and the precursor of dimethyl sulfide in cold-pressed rapeseed oil by GC–SCD and UPLC–MS/MS, Food Chemistry, </w:t>
      </w:r>
      <w:r w:rsidRPr="00421507">
        <w:rPr>
          <w:rFonts w:cs="Arial"/>
          <w:i/>
          <w:iCs/>
          <w:noProof/>
          <w:szCs w:val="24"/>
        </w:rPr>
        <w:t>367</w:t>
      </w:r>
      <w:r w:rsidRPr="00421507">
        <w:rPr>
          <w:rFonts w:cs="Arial"/>
          <w:noProof/>
          <w:szCs w:val="24"/>
        </w:rPr>
        <w:t>.</w:t>
      </w:r>
    </w:p>
    <w:p w14:paraId="52D9CBC8" w14:textId="7616DA8F" w:rsidR="00A05DA6" w:rsidRPr="001824C4" w:rsidRDefault="00421507" w:rsidP="00434918">
      <w:pPr>
        <w:widowControl w:val="0"/>
        <w:autoSpaceDE w:val="0"/>
        <w:autoSpaceDN w:val="0"/>
        <w:adjustRightInd w:val="0"/>
        <w:spacing w:line="240" w:lineRule="auto"/>
        <w:ind w:left="480" w:hanging="480"/>
      </w:pPr>
      <w:r w:rsidRPr="00421507">
        <w:rPr>
          <w:rFonts w:cs="Arial"/>
          <w:noProof/>
          <w:szCs w:val="24"/>
        </w:rPr>
        <w:t xml:space="preserve">Yuan, S., Li, H., Liu, Z., Wang, Y., Wang, L., Zhang, X., Liu, G., 2021, Measurement of non-hindered and hindered phenolic species in aviation fuels via tandem-SPE with comprehensive GC × GC–MS/FID, Fuel, </w:t>
      </w:r>
      <w:r w:rsidRPr="00421507">
        <w:rPr>
          <w:rFonts w:cs="Arial"/>
          <w:i/>
          <w:iCs/>
          <w:noProof/>
          <w:szCs w:val="24"/>
        </w:rPr>
        <w:t>287</w:t>
      </w:r>
      <w:r w:rsidRPr="00421507">
        <w:rPr>
          <w:rFonts w:cs="Arial"/>
          <w:noProof/>
          <w:szCs w:val="24"/>
        </w:rPr>
        <w:t>, 119561.</w:t>
      </w:r>
      <w:r w:rsidR="009437B8" w:rsidRPr="001824C4">
        <w:fldChar w:fldCharType="end"/>
      </w:r>
    </w:p>
    <w:sectPr w:rsidR="00A05DA6" w:rsidRPr="001824C4"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B5D19" w14:textId="77777777" w:rsidR="0035413B" w:rsidRDefault="0035413B" w:rsidP="004F5E36">
      <w:r>
        <w:separator/>
      </w:r>
    </w:p>
  </w:endnote>
  <w:endnote w:type="continuationSeparator" w:id="0">
    <w:p w14:paraId="7898D417" w14:textId="77777777" w:rsidR="0035413B" w:rsidRDefault="0035413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26F22C" w14:textId="77777777" w:rsidR="0035413B" w:rsidRDefault="0035413B" w:rsidP="004F5E36">
      <w:r>
        <w:separator/>
      </w:r>
    </w:p>
  </w:footnote>
  <w:footnote w:type="continuationSeparator" w:id="0">
    <w:p w14:paraId="0429805D" w14:textId="77777777" w:rsidR="0035413B" w:rsidRDefault="0035413B"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A65A59E4"/>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O1MDA2MzYxMTYwMzdR0lEKTi0uzszPAykwNK4FACJjq14tAAAA"/>
  </w:docVars>
  <w:rsids>
    <w:rsidRoot w:val="000E414A"/>
    <w:rsid w:val="000027C0"/>
    <w:rsid w:val="000048DB"/>
    <w:rsid w:val="000052FB"/>
    <w:rsid w:val="000117CB"/>
    <w:rsid w:val="00012560"/>
    <w:rsid w:val="0001781B"/>
    <w:rsid w:val="00017C30"/>
    <w:rsid w:val="00021EEB"/>
    <w:rsid w:val="00026671"/>
    <w:rsid w:val="00026F1E"/>
    <w:rsid w:val="0003137F"/>
    <w:rsid w:val="0003148D"/>
    <w:rsid w:val="00031EEC"/>
    <w:rsid w:val="00033878"/>
    <w:rsid w:val="00042BCC"/>
    <w:rsid w:val="00051566"/>
    <w:rsid w:val="000625E8"/>
    <w:rsid w:val="00062A9A"/>
    <w:rsid w:val="00065058"/>
    <w:rsid w:val="000753BA"/>
    <w:rsid w:val="00075509"/>
    <w:rsid w:val="00077A92"/>
    <w:rsid w:val="00077CF9"/>
    <w:rsid w:val="00082076"/>
    <w:rsid w:val="00086C39"/>
    <w:rsid w:val="000A03B2"/>
    <w:rsid w:val="000A0ECA"/>
    <w:rsid w:val="000B5F1D"/>
    <w:rsid w:val="000D0268"/>
    <w:rsid w:val="000D34BE"/>
    <w:rsid w:val="000E102F"/>
    <w:rsid w:val="000E36F1"/>
    <w:rsid w:val="000E3A73"/>
    <w:rsid w:val="000E414A"/>
    <w:rsid w:val="000F093C"/>
    <w:rsid w:val="000F2E18"/>
    <w:rsid w:val="000F330F"/>
    <w:rsid w:val="000F787B"/>
    <w:rsid w:val="00110D76"/>
    <w:rsid w:val="001155DE"/>
    <w:rsid w:val="0012091F"/>
    <w:rsid w:val="0012165B"/>
    <w:rsid w:val="00123024"/>
    <w:rsid w:val="00126BC2"/>
    <w:rsid w:val="001308B6"/>
    <w:rsid w:val="0013121F"/>
    <w:rsid w:val="00131FE6"/>
    <w:rsid w:val="0013263F"/>
    <w:rsid w:val="001331DF"/>
    <w:rsid w:val="00134DE4"/>
    <w:rsid w:val="00137322"/>
    <w:rsid w:val="0014034D"/>
    <w:rsid w:val="00144D16"/>
    <w:rsid w:val="00145D36"/>
    <w:rsid w:val="00150E59"/>
    <w:rsid w:val="00152DE3"/>
    <w:rsid w:val="00164CF9"/>
    <w:rsid w:val="00165B5A"/>
    <w:rsid w:val="001667A6"/>
    <w:rsid w:val="00167B28"/>
    <w:rsid w:val="0017163E"/>
    <w:rsid w:val="001722E9"/>
    <w:rsid w:val="00173B71"/>
    <w:rsid w:val="001824C4"/>
    <w:rsid w:val="00184AD6"/>
    <w:rsid w:val="00187721"/>
    <w:rsid w:val="001A4AF7"/>
    <w:rsid w:val="001B0349"/>
    <w:rsid w:val="001B091C"/>
    <w:rsid w:val="001B1E93"/>
    <w:rsid w:val="001B3335"/>
    <w:rsid w:val="001B65C1"/>
    <w:rsid w:val="001C684B"/>
    <w:rsid w:val="001C6928"/>
    <w:rsid w:val="001D0866"/>
    <w:rsid w:val="001D0CFB"/>
    <w:rsid w:val="001D21AF"/>
    <w:rsid w:val="001D53FC"/>
    <w:rsid w:val="001E4B91"/>
    <w:rsid w:val="001F34B1"/>
    <w:rsid w:val="001F3856"/>
    <w:rsid w:val="001F42A5"/>
    <w:rsid w:val="001F7B9D"/>
    <w:rsid w:val="00201C93"/>
    <w:rsid w:val="00203896"/>
    <w:rsid w:val="002224B4"/>
    <w:rsid w:val="00232F39"/>
    <w:rsid w:val="002447EF"/>
    <w:rsid w:val="00251550"/>
    <w:rsid w:val="00255100"/>
    <w:rsid w:val="00255864"/>
    <w:rsid w:val="00263B05"/>
    <w:rsid w:val="0027221A"/>
    <w:rsid w:val="00273680"/>
    <w:rsid w:val="0027449B"/>
    <w:rsid w:val="00275B61"/>
    <w:rsid w:val="00280FAF"/>
    <w:rsid w:val="002819EE"/>
    <w:rsid w:val="00282656"/>
    <w:rsid w:val="0028712B"/>
    <w:rsid w:val="00294EA1"/>
    <w:rsid w:val="00295248"/>
    <w:rsid w:val="00296B83"/>
    <w:rsid w:val="002B4015"/>
    <w:rsid w:val="002B78CE"/>
    <w:rsid w:val="002C2FB6"/>
    <w:rsid w:val="002C342E"/>
    <w:rsid w:val="002C690E"/>
    <w:rsid w:val="002C70B1"/>
    <w:rsid w:val="002D2A2F"/>
    <w:rsid w:val="002E5526"/>
    <w:rsid w:val="002E5FA7"/>
    <w:rsid w:val="002F3309"/>
    <w:rsid w:val="003008CE"/>
    <w:rsid w:val="003009B7"/>
    <w:rsid w:val="00300E56"/>
    <w:rsid w:val="0030469C"/>
    <w:rsid w:val="00307683"/>
    <w:rsid w:val="0031155F"/>
    <w:rsid w:val="00317B57"/>
    <w:rsid w:val="00320049"/>
    <w:rsid w:val="00321CA6"/>
    <w:rsid w:val="00323763"/>
    <w:rsid w:val="00323C5F"/>
    <w:rsid w:val="00331528"/>
    <w:rsid w:val="00334C09"/>
    <w:rsid w:val="00341F00"/>
    <w:rsid w:val="003520BD"/>
    <w:rsid w:val="0035413B"/>
    <w:rsid w:val="0036151F"/>
    <w:rsid w:val="0036651B"/>
    <w:rsid w:val="003723D4"/>
    <w:rsid w:val="00377D30"/>
    <w:rsid w:val="00381905"/>
    <w:rsid w:val="00384CC8"/>
    <w:rsid w:val="003871FD"/>
    <w:rsid w:val="00391221"/>
    <w:rsid w:val="00396DEA"/>
    <w:rsid w:val="003A1E30"/>
    <w:rsid w:val="003A2829"/>
    <w:rsid w:val="003A7D1C"/>
    <w:rsid w:val="003B304B"/>
    <w:rsid w:val="003B3146"/>
    <w:rsid w:val="003B3260"/>
    <w:rsid w:val="003B37E9"/>
    <w:rsid w:val="003C4B94"/>
    <w:rsid w:val="003D1943"/>
    <w:rsid w:val="003D6576"/>
    <w:rsid w:val="003E621C"/>
    <w:rsid w:val="003F015E"/>
    <w:rsid w:val="003F23FB"/>
    <w:rsid w:val="003F70FA"/>
    <w:rsid w:val="00400414"/>
    <w:rsid w:val="004135CC"/>
    <w:rsid w:val="0041446B"/>
    <w:rsid w:val="00421507"/>
    <w:rsid w:val="0043178C"/>
    <w:rsid w:val="00434918"/>
    <w:rsid w:val="00437FFC"/>
    <w:rsid w:val="0044071E"/>
    <w:rsid w:val="0044329C"/>
    <w:rsid w:val="004432C7"/>
    <w:rsid w:val="00453E24"/>
    <w:rsid w:val="00457456"/>
    <w:rsid w:val="004577FE"/>
    <w:rsid w:val="00457B9C"/>
    <w:rsid w:val="00460FCA"/>
    <w:rsid w:val="0046164A"/>
    <w:rsid w:val="004628D2"/>
    <w:rsid w:val="00462DCD"/>
    <w:rsid w:val="004648AD"/>
    <w:rsid w:val="00467DF4"/>
    <w:rsid w:val="004703A9"/>
    <w:rsid w:val="004760DE"/>
    <w:rsid w:val="004763D7"/>
    <w:rsid w:val="004A004E"/>
    <w:rsid w:val="004A24CF"/>
    <w:rsid w:val="004A48C2"/>
    <w:rsid w:val="004B460A"/>
    <w:rsid w:val="004C3D1D"/>
    <w:rsid w:val="004C3D84"/>
    <w:rsid w:val="004C7913"/>
    <w:rsid w:val="004C7D26"/>
    <w:rsid w:val="004E1D59"/>
    <w:rsid w:val="004E345B"/>
    <w:rsid w:val="004E4DD6"/>
    <w:rsid w:val="004F1FC5"/>
    <w:rsid w:val="004F5E36"/>
    <w:rsid w:val="00500DC2"/>
    <w:rsid w:val="00507B47"/>
    <w:rsid w:val="00507BEF"/>
    <w:rsid w:val="00507CC9"/>
    <w:rsid w:val="005119A5"/>
    <w:rsid w:val="0052312F"/>
    <w:rsid w:val="005278B7"/>
    <w:rsid w:val="00532016"/>
    <w:rsid w:val="005346C8"/>
    <w:rsid w:val="00536126"/>
    <w:rsid w:val="00543E7D"/>
    <w:rsid w:val="00547A68"/>
    <w:rsid w:val="005531C9"/>
    <w:rsid w:val="0056177A"/>
    <w:rsid w:val="00563679"/>
    <w:rsid w:val="00570C43"/>
    <w:rsid w:val="005959EA"/>
    <w:rsid w:val="005B2110"/>
    <w:rsid w:val="005B2A0F"/>
    <w:rsid w:val="005B61E6"/>
    <w:rsid w:val="005C007D"/>
    <w:rsid w:val="005C77E1"/>
    <w:rsid w:val="005D668A"/>
    <w:rsid w:val="005D6A2F"/>
    <w:rsid w:val="005E1A82"/>
    <w:rsid w:val="005E794C"/>
    <w:rsid w:val="005F0A28"/>
    <w:rsid w:val="005F0E5E"/>
    <w:rsid w:val="00600535"/>
    <w:rsid w:val="00602CAE"/>
    <w:rsid w:val="00610CD6"/>
    <w:rsid w:val="00611252"/>
    <w:rsid w:val="00612DA7"/>
    <w:rsid w:val="0061765D"/>
    <w:rsid w:val="00620A5F"/>
    <w:rsid w:val="00620DEE"/>
    <w:rsid w:val="00621F92"/>
    <w:rsid w:val="006220BC"/>
    <w:rsid w:val="0062280A"/>
    <w:rsid w:val="00625639"/>
    <w:rsid w:val="00626FAA"/>
    <w:rsid w:val="00631B33"/>
    <w:rsid w:val="00640FE2"/>
    <w:rsid w:val="0064184D"/>
    <w:rsid w:val="006422CC"/>
    <w:rsid w:val="00660C6E"/>
    <w:rsid w:val="00660E0A"/>
    <w:rsid w:val="00660E3E"/>
    <w:rsid w:val="00662E74"/>
    <w:rsid w:val="006741FB"/>
    <w:rsid w:val="00680C23"/>
    <w:rsid w:val="00692919"/>
    <w:rsid w:val="00693766"/>
    <w:rsid w:val="006A3281"/>
    <w:rsid w:val="006A3B22"/>
    <w:rsid w:val="006B4888"/>
    <w:rsid w:val="006C2E45"/>
    <w:rsid w:val="006C359C"/>
    <w:rsid w:val="006C5579"/>
    <w:rsid w:val="006D394E"/>
    <w:rsid w:val="006D6E8B"/>
    <w:rsid w:val="006E068D"/>
    <w:rsid w:val="006E097E"/>
    <w:rsid w:val="006E737D"/>
    <w:rsid w:val="007028E0"/>
    <w:rsid w:val="0070381B"/>
    <w:rsid w:val="00713973"/>
    <w:rsid w:val="00720A24"/>
    <w:rsid w:val="00732386"/>
    <w:rsid w:val="007330F1"/>
    <w:rsid w:val="0073514D"/>
    <w:rsid w:val="007447F3"/>
    <w:rsid w:val="00744EB8"/>
    <w:rsid w:val="00746668"/>
    <w:rsid w:val="0075499F"/>
    <w:rsid w:val="007652D8"/>
    <w:rsid w:val="007661C8"/>
    <w:rsid w:val="0077098D"/>
    <w:rsid w:val="007825EF"/>
    <w:rsid w:val="00783ED3"/>
    <w:rsid w:val="00784350"/>
    <w:rsid w:val="00786174"/>
    <w:rsid w:val="007931FA"/>
    <w:rsid w:val="007A4861"/>
    <w:rsid w:val="007A6F9E"/>
    <w:rsid w:val="007A7BBA"/>
    <w:rsid w:val="007B0C50"/>
    <w:rsid w:val="007B48F9"/>
    <w:rsid w:val="007C1A43"/>
    <w:rsid w:val="007D570B"/>
    <w:rsid w:val="0080013E"/>
    <w:rsid w:val="00810DCF"/>
    <w:rsid w:val="00813288"/>
    <w:rsid w:val="008168FC"/>
    <w:rsid w:val="00830996"/>
    <w:rsid w:val="00833A5A"/>
    <w:rsid w:val="008345F1"/>
    <w:rsid w:val="008372C0"/>
    <w:rsid w:val="00842BF6"/>
    <w:rsid w:val="00857CDF"/>
    <w:rsid w:val="00865B07"/>
    <w:rsid w:val="008667EA"/>
    <w:rsid w:val="0087637F"/>
    <w:rsid w:val="008764F4"/>
    <w:rsid w:val="00880DF1"/>
    <w:rsid w:val="00880FE3"/>
    <w:rsid w:val="00892AD5"/>
    <w:rsid w:val="008A1512"/>
    <w:rsid w:val="008A2EE1"/>
    <w:rsid w:val="008A6DF1"/>
    <w:rsid w:val="008B68CF"/>
    <w:rsid w:val="008B7228"/>
    <w:rsid w:val="008D32B9"/>
    <w:rsid w:val="008D433B"/>
    <w:rsid w:val="008D4A16"/>
    <w:rsid w:val="008E1888"/>
    <w:rsid w:val="008E566E"/>
    <w:rsid w:val="008E5C6D"/>
    <w:rsid w:val="008E6EF8"/>
    <w:rsid w:val="008F1DF4"/>
    <w:rsid w:val="008F3AEA"/>
    <w:rsid w:val="0090161A"/>
    <w:rsid w:val="00901EB6"/>
    <w:rsid w:val="00904C62"/>
    <w:rsid w:val="00912E0A"/>
    <w:rsid w:val="00922BA8"/>
    <w:rsid w:val="00924DAC"/>
    <w:rsid w:val="00927058"/>
    <w:rsid w:val="00942750"/>
    <w:rsid w:val="009437B8"/>
    <w:rsid w:val="009450CE"/>
    <w:rsid w:val="00946762"/>
    <w:rsid w:val="00947179"/>
    <w:rsid w:val="0095164B"/>
    <w:rsid w:val="00954090"/>
    <w:rsid w:val="009573E7"/>
    <w:rsid w:val="00963E05"/>
    <w:rsid w:val="00964A45"/>
    <w:rsid w:val="00966A4C"/>
    <w:rsid w:val="00967843"/>
    <w:rsid w:val="00967D54"/>
    <w:rsid w:val="00971028"/>
    <w:rsid w:val="00977555"/>
    <w:rsid w:val="00991F74"/>
    <w:rsid w:val="00993B84"/>
    <w:rsid w:val="00996483"/>
    <w:rsid w:val="00996F5A"/>
    <w:rsid w:val="009B030E"/>
    <w:rsid w:val="009B041A"/>
    <w:rsid w:val="009B17C8"/>
    <w:rsid w:val="009C32A5"/>
    <w:rsid w:val="009C37C3"/>
    <w:rsid w:val="009C7C86"/>
    <w:rsid w:val="009D29F2"/>
    <w:rsid w:val="009D2FF7"/>
    <w:rsid w:val="009D3291"/>
    <w:rsid w:val="009D3EC6"/>
    <w:rsid w:val="009E070C"/>
    <w:rsid w:val="009E7884"/>
    <w:rsid w:val="009E788A"/>
    <w:rsid w:val="009F0E08"/>
    <w:rsid w:val="009F4CA2"/>
    <w:rsid w:val="00A05DA6"/>
    <w:rsid w:val="00A07DC6"/>
    <w:rsid w:val="00A1763D"/>
    <w:rsid w:val="00A17CEC"/>
    <w:rsid w:val="00A27EF0"/>
    <w:rsid w:val="00A33463"/>
    <w:rsid w:val="00A34123"/>
    <w:rsid w:val="00A42361"/>
    <w:rsid w:val="00A50B20"/>
    <w:rsid w:val="00A51390"/>
    <w:rsid w:val="00A608D5"/>
    <w:rsid w:val="00A60D13"/>
    <w:rsid w:val="00A7223D"/>
    <w:rsid w:val="00A72745"/>
    <w:rsid w:val="00A76EFC"/>
    <w:rsid w:val="00A8385A"/>
    <w:rsid w:val="00A87038"/>
    <w:rsid w:val="00A91010"/>
    <w:rsid w:val="00A97F29"/>
    <w:rsid w:val="00AA2BA7"/>
    <w:rsid w:val="00AA448B"/>
    <w:rsid w:val="00AA702E"/>
    <w:rsid w:val="00AB0964"/>
    <w:rsid w:val="00AB5011"/>
    <w:rsid w:val="00AC7368"/>
    <w:rsid w:val="00AD16B9"/>
    <w:rsid w:val="00AD6A66"/>
    <w:rsid w:val="00AE01E1"/>
    <w:rsid w:val="00AE377D"/>
    <w:rsid w:val="00AF0EBA"/>
    <w:rsid w:val="00B02C8A"/>
    <w:rsid w:val="00B07B17"/>
    <w:rsid w:val="00B10F5A"/>
    <w:rsid w:val="00B13C82"/>
    <w:rsid w:val="00B16148"/>
    <w:rsid w:val="00B17FBD"/>
    <w:rsid w:val="00B315A6"/>
    <w:rsid w:val="00B31813"/>
    <w:rsid w:val="00B33365"/>
    <w:rsid w:val="00B348BB"/>
    <w:rsid w:val="00B471F8"/>
    <w:rsid w:val="00B516AB"/>
    <w:rsid w:val="00B56481"/>
    <w:rsid w:val="00B57378"/>
    <w:rsid w:val="00B57B36"/>
    <w:rsid w:val="00B57E6F"/>
    <w:rsid w:val="00B72F08"/>
    <w:rsid w:val="00B7531D"/>
    <w:rsid w:val="00B75E79"/>
    <w:rsid w:val="00B83C4A"/>
    <w:rsid w:val="00B8686D"/>
    <w:rsid w:val="00B86924"/>
    <w:rsid w:val="00B93F69"/>
    <w:rsid w:val="00BB1DDC"/>
    <w:rsid w:val="00BC03A8"/>
    <w:rsid w:val="00BC1B58"/>
    <w:rsid w:val="00BC30C9"/>
    <w:rsid w:val="00BD077D"/>
    <w:rsid w:val="00BD4CBF"/>
    <w:rsid w:val="00BE3E58"/>
    <w:rsid w:val="00BE442C"/>
    <w:rsid w:val="00BE7340"/>
    <w:rsid w:val="00C01616"/>
    <w:rsid w:val="00C0162B"/>
    <w:rsid w:val="00C01C9D"/>
    <w:rsid w:val="00C06071"/>
    <w:rsid w:val="00C068ED"/>
    <w:rsid w:val="00C15806"/>
    <w:rsid w:val="00C22E0C"/>
    <w:rsid w:val="00C32CE4"/>
    <w:rsid w:val="00C345B1"/>
    <w:rsid w:val="00C40142"/>
    <w:rsid w:val="00C46055"/>
    <w:rsid w:val="00C52C3C"/>
    <w:rsid w:val="00C57182"/>
    <w:rsid w:val="00C57863"/>
    <w:rsid w:val="00C640AF"/>
    <w:rsid w:val="00C655FD"/>
    <w:rsid w:val="00C75407"/>
    <w:rsid w:val="00C75BD0"/>
    <w:rsid w:val="00C767D7"/>
    <w:rsid w:val="00C84069"/>
    <w:rsid w:val="00C870A8"/>
    <w:rsid w:val="00C92C78"/>
    <w:rsid w:val="00C94434"/>
    <w:rsid w:val="00CA08C6"/>
    <w:rsid w:val="00CA0D75"/>
    <w:rsid w:val="00CA1C95"/>
    <w:rsid w:val="00CA29D6"/>
    <w:rsid w:val="00CA5A9C"/>
    <w:rsid w:val="00CB5DAA"/>
    <w:rsid w:val="00CB6E23"/>
    <w:rsid w:val="00CC4C20"/>
    <w:rsid w:val="00CD3517"/>
    <w:rsid w:val="00CD5FE2"/>
    <w:rsid w:val="00CD748D"/>
    <w:rsid w:val="00CD7DAB"/>
    <w:rsid w:val="00CE56F0"/>
    <w:rsid w:val="00CE7C68"/>
    <w:rsid w:val="00CF0397"/>
    <w:rsid w:val="00CF68B2"/>
    <w:rsid w:val="00D02B4C"/>
    <w:rsid w:val="00D040C4"/>
    <w:rsid w:val="00D06597"/>
    <w:rsid w:val="00D164DC"/>
    <w:rsid w:val="00D20AD1"/>
    <w:rsid w:val="00D26C69"/>
    <w:rsid w:val="00D318E9"/>
    <w:rsid w:val="00D423DE"/>
    <w:rsid w:val="00D46B7E"/>
    <w:rsid w:val="00D46E55"/>
    <w:rsid w:val="00D5174A"/>
    <w:rsid w:val="00D57C84"/>
    <w:rsid w:val="00D6057D"/>
    <w:rsid w:val="00D63ABF"/>
    <w:rsid w:val="00D71640"/>
    <w:rsid w:val="00D721C0"/>
    <w:rsid w:val="00D72AF7"/>
    <w:rsid w:val="00D836C5"/>
    <w:rsid w:val="00D84576"/>
    <w:rsid w:val="00D9628F"/>
    <w:rsid w:val="00DA1399"/>
    <w:rsid w:val="00DA24C6"/>
    <w:rsid w:val="00DA4D7B"/>
    <w:rsid w:val="00DA6A07"/>
    <w:rsid w:val="00DB064F"/>
    <w:rsid w:val="00DB097F"/>
    <w:rsid w:val="00DD271C"/>
    <w:rsid w:val="00DE264A"/>
    <w:rsid w:val="00DE2A1A"/>
    <w:rsid w:val="00DF4DE8"/>
    <w:rsid w:val="00DF5072"/>
    <w:rsid w:val="00DF75CB"/>
    <w:rsid w:val="00E01603"/>
    <w:rsid w:val="00E02D18"/>
    <w:rsid w:val="00E041E7"/>
    <w:rsid w:val="00E056A6"/>
    <w:rsid w:val="00E07959"/>
    <w:rsid w:val="00E23CA1"/>
    <w:rsid w:val="00E31E7C"/>
    <w:rsid w:val="00E409A8"/>
    <w:rsid w:val="00E50C12"/>
    <w:rsid w:val="00E65939"/>
    <w:rsid w:val="00E65B91"/>
    <w:rsid w:val="00E7209D"/>
    <w:rsid w:val="00E72EAD"/>
    <w:rsid w:val="00E77223"/>
    <w:rsid w:val="00E805EB"/>
    <w:rsid w:val="00E806AF"/>
    <w:rsid w:val="00E8528B"/>
    <w:rsid w:val="00E85B94"/>
    <w:rsid w:val="00E978D0"/>
    <w:rsid w:val="00EA4613"/>
    <w:rsid w:val="00EA72EF"/>
    <w:rsid w:val="00EA7F91"/>
    <w:rsid w:val="00EB1523"/>
    <w:rsid w:val="00EB1866"/>
    <w:rsid w:val="00EC0E49"/>
    <w:rsid w:val="00EC101F"/>
    <w:rsid w:val="00EC1D9F"/>
    <w:rsid w:val="00EE0131"/>
    <w:rsid w:val="00EE1032"/>
    <w:rsid w:val="00EE17B0"/>
    <w:rsid w:val="00EE57FC"/>
    <w:rsid w:val="00EF06D9"/>
    <w:rsid w:val="00F2000B"/>
    <w:rsid w:val="00F21831"/>
    <w:rsid w:val="00F235F6"/>
    <w:rsid w:val="00F262E1"/>
    <w:rsid w:val="00F30C64"/>
    <w:rsid w:val="00F32BA2"/>
    <w:rsid w:val="00F32CDB"/>
    <w:rsid w:val="00F33F10"/>
    <w:rsid w:val="00F565FE"/>
    <w:rsid w:val="00F63A70"/>
    <w:rsid w:val="00F63D8C"/>
    <w:rsid w:val="00F7266C"/>
    <w:rsid w:val="00F7534E"/>
    <w:rsid w:val="00F839B0"/>
    <w:rsid w:val="00FA1802"/>
    <w:rsid w:val="00FA21D0"/>
    <w:rsid w:val="00FA5F5F"/>
    <w:rsid w:val="00FB730C"/>
    <w:rsid w:val="00FC2695"/>
    <w:rsid w:val="00FC3E03"/>
    <w:rsid w:val="00FC3FC1"/>
    <w:rsid w:val="00FE4B4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9D29F2"/>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9D29F2"/>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paragraph" w:styleId="Revisione">
    <w:name w:val="Revision"/>
    <w:hidden/>
    <w:uiPriority w:val="99"/>
    <w:semiHidden/>
    <w:rsid w:val="00B471F8"/>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055980">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F45A2-ED39-4EA5-B026-43FAF6053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10978</Words>
  <Characters>62576</Characters>
  <Application>Microsoft Office Word</Application>
  <DocSecurity>0</DocSecurity>
  <Lines>521</Lines>
  <Paragraphs>146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73408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manuela</cp:lastModifiedBy>
  <cp:revision>2</cp:revision>
  <cp:lastPrinted>2015-05-12T18:31:00Z</cp:lastPrinted>
  <dcterms:created xsi:type="dcterms:W3CDTF">2022-08-03T06:07:00Z</dcterms:created>
  <dcterms:modified xsi:type="dcterms:W3CDTF">2022-08-03T06:07:00Z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http://www.zotero.org/styles/atmosphere</vt:lpwstr>
  </property>
  <property fmtid="{D5CDD505-2E9C-101B-9397-08002B2CF9AE}" pid="5" name="Mendeley Recent Style Name 0_1">
    <vt:lpwstr>Atmosphere</vt:lpwstr>
  </property>
  <property fmtid="{D5CDD505-2E9C-101B-9397-08002B2CF9AE}" pid="6" name="Mendeley Recent Style Id 1_1">
    <vt:lpwstr>http://csl.mendeley.com/styles/541098131/CET</vt:lpwstr>
  </property>
  <property fmtid="{D5CDD505-2E9C-101B-9397-08002B2CF9AE}" pid="7" name="Mendeley Recent Style Name 1_1">
    <vt:lpwstr>CET - Elisa Polvara</vt:lpwstr>
  </property>
  <property fmtid="{D5CDD505-2E9C-101B-9397-08002B2CF9AE}" pid="8" name="Mendeley Recent Style Id 2_1">
    <vt:lpwstr>https://csl.mendeley.com/styles/541098131/apa</vt:lpwstr>
  </property>
  <property fmtid="{D5CDD505-2E9C-101B-9397-08002B2CF9AE}" pid="9" name="Mendeley Recent Style Name 2_1">
    <vt:lpwstr>Chemical Engineering Transactions - Elisa Polvara</vt:lpwstr>
  </property>
  <property fmtid="{D5CDD505-2E9C-101B-9397-08002B2CF9AE}" pid="10" name="Mendeley Recent Style Id 3_1">
    <vt:lpwstr>http://csl.mendeley.com/styles/541098131/apa</vt:lpwstr>
  </property>
  <property fmtid="{D5CDD505-2E9C-101B-9397-08002B2CF9AE}" pid="11" name="Mendeley Recent Style Name 3_1">
    <vt:lpwstr>Chemical Engineering Transactions - Elisa Polvara</vt:lpwstr>
  </property>
  <property fmtid="{D5CDD505-2E9C-101B-9397-08002B2CF9AE}" pid="12" name="Mendeley Recent Style Id 4_1">
    <vt:lpwstr>http://www.zotero.org/styles/chemosphere</vt:lpwstr>
  </property>
  <property fmtid="{D5CDD505-2E9C-101B-9397-08002B2CF9AE}" pid="13" name="Mendeley Recent Style Name 4_1">
    <vt:lpwstr>Chemosphere</vt:lpwstr>
  </property>
  <property fmtid="{D5CDD505-2E9C-101B-9397-08002B2CF9AE}" pid="14" name="Mendeley Recent Style Id 5_1">
    <vt:lpwstr>http://www.zotero.org/styles/international-journal-of-hygiene-and-environmental-health</vt:lpwstr>
  </property>
  <property fmtid="{D5CDD505-2E9C-101B-9397-08002B2CF9AE}" pid="15" name="Mendeley Recent Style Name 5_1">
    <vt:lpwstr>International Journal of Hygiene and Environmental Health</vt:lpwstr>
  </property>
  <property fmtid="{D5CDD505-2E9C-101B-9397-08002B2CF9AE}" pid="16" name="Mendeley Recent Style Id 6_1">
    <vt:lpwstr>http://www.zotero.org/styles/journal-of-hazardous-materials</vt:lpwstr>
  </property>
  <property fmtid="{D5CDD505-2E9C-101B-9397-08002B2CF9AE}" pid="17" name="Mendeley Recent Style Name 6_1">
    <vt:lpwstr>Journal of Hazardous Materials</vt:lpwstr>
  </property>
  <property fmtid="{D5CDD505-2E9C-101B-9397-08002B2CF9AE}" pid="18" name="Mendeley Recent Style Id 7_1">
    <vt:lpwstr>http://www.zotero.org/styles/nature</vt:lpwstr>
  </property>
  <property fmtid="{D5CDD505-2E9C-101B-9397-08002B2CF9AE}" pid="19" name="Mendeley Recent Style Name 7_1">
    <vt:lpwstr>Nature</vt:lpwstr>
  </property>
  <property fmtid="{D5CDD505-2E9C-101B-9397-08002B2CF9AE}" pid="20" name="Mendeley Recent Style Id 8_1">
    <vt:lpwstr>http://csl.mendeley.com/styles/541098131/taylor-and-francis-acs</vt:lpwstr>
  </property>
  <property fmtid="{D5CDD505-2E9C-101B-9397-08002B2CF9AE}" pid="21" name="Mendeley Recent Style Name 8_1">
    <vt:lpwstr>Taylor &amp; Francis - American Chemical Society - Elisa Polvara</vt:lpwstr>
  </property>
  <property fmtid="{D5CDD505-2E9C-101B-9397-08002B2CF9AE}" pid="22" name="Mendeley Recent Style Id 9_1">
    <vt:lpwstr>http://www.zotero.org/styles/toxics</vt:lpwstr>
  </property>
  <property fmtid="{D5CDD505-2E9C-101B-9397-08002B2CF9AE}" pid="23" name="Mendeley Recent Style Name 9_1">
    <vt:lpwstr>Toxics</vt:lpwstr>
  </property>
  <property fmtid="{D5CDD505-2E9C-101B-9397-08002B2CF9AE}" pid="24" name="Mendeley Document_1">
    <vt:lpwstr>True</vt:lpwstr>
  </property>
  <property fmtid="{D5CDD505-2E9C-101B-9397-08002B2CF9AE}" pid="25" name="Mendeley Unique User Id_1">
    <vt:lpwstr>2f9ae352-350d-36d2-9f4f-37a555fbba3b</vt:lpwstr>
  </property>
  <property fmtid="{D5CDD505-2E9C-101B-9397-08002B2CF9AE}" pid="26" name="Mendeley Citation Style_1">
    <vt:lpwstr>http://csl.mendeley.com/styles/541098131/CET</vt:lpwstr>
  </property>
</Properties>
</file>