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9223E" w14:paraId="2A131A54" w14:textId="77777777" w:rsidTr="0045796E">
        <w:trPr>
          <w:trHeight w:val="852"/>
          <w:jc w:val="center"/>
        </w:trPr>
        <w:tc>
          <w:tcPr>
            <w:tcW w:w="6940" w:type="dxa"/>
            <w:vMerge w:val="restart"/>
            <w:tcBorders>
              <w:right w:val="single" w:sz="4" w:space="0" w:color="auto"/>
            </w:tcBorders>
          </w:tcPr>
          <w:p w14:paraId="38C3D2BA" w14:textId="77777777" w:rsidR="000A03B2" w:rsidRPr="0009223E" w:rsidRDefault="000A03B2" w:rsidP="00DE264A">
            <w:pPr>
              <w:tabs>
                <w:tab w:val="left" w:pos="-108"/>
              </w:tabs>
              <w:ind w:left="-108"/>
              <w:jc w:val="left"/>
              <w:rPr>
                <w:rFonts w:cs="Arial"/>
                <w:b/>
                <w:bCs/>
                <w:i/>
                <w:iCs/>
                <w:color w:val="000066"/>
                <w:sz w:val="12"/>
                <w:szCs w:val="12"/>
                <w:lang w:eastAsia="it-IT"/>
              </w:rPr>
            </w:pPr>
            <w:r w:rsidRPr="0009223E">
              <w:rPr>
                <w:rFonts w:ascii="AdvP6960" w:hAnsi="AdvP6960" w:cs="AdvP6960"/>
                <w:noProof/>
                <w:color w:val="241F20"/>
                <w:szCs w:val="18"/>
                <w:lang w:val="cs-CZ" w:eastAsia="cs-CZ"/>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9223E">
              <w:rPr>
                <w:rFonts w:ascii="AdvP6960" w:hAnsi="AdvP6960" w:cs="AdvP6960"/>
                <w:color w:val="241F20"/>
                <w:szCs w:val="18"/>
                <w:lang w:eastAsia="it-IT"/>
              </w:rPr>
              <w:t xml:space="preserve"> </w:t>
            </w:r>
            <w:r w:rsidRPr="0009223E">
              <w:rPr>
                <w:rFonts w:cs="Arial"/>
                <w:b/>
                <w:bCs/>
                <w:i/>
                <w:iCs/>
                <w:color w:val="000066"/>
                <w:sz w:val="24"/>
                <w:szCs w:val="24"/>
                <w:lang w:eastAsia="it-IT"/>
              </w:rPr>
              <w:t>CHEMICAL ENGINEERING</w:t>
            </w:r>
            <w:r w:rsidRPr="0009223E">
              <w:rPr>
                <w:rFonts w:cs="Arial"/>
                <w:b/>
                <w:bCs/>
                <w:i/>
                <w:iCs/>
                <w:color w:val="0033FF"/>
                <w:sz w:val="24"/>
                <w:szCs w:val="24"/>
                <w:lang w:eastAsia="it-IT"/>
              </w:rPr>
              <w:t xml:space="preserve"> </w:t>
            </w:r>
            <w:r w:rsidRPr="0009223E">
              <w:rPr>
                <w:rFonts w:cs="Arial"/>
                <w:b/>
                <w:bCs/>
                <w:i/>
                <w:iCs/>
                <w:color w:val="666666"/>
                <w:sz w:val="24"/>
                <w:szCs w:val="24"/>
                <w:lang w:eastAsia="it-IT"/>
              </w:rPr>
              <w:t>TRANSACTIONS</w:t>
            </w:r>
            <w:r w:rsidRPr="0009223E">
              <w:rPr>
                <w:color w:val="333333"/>
                <w:sz w:val="24"/>
                <w:szCs w:val="24"/>
                <w:lang w:eastAsia="it-IT"/>
              </w:rPr>
              <w:t xml:space="preserve"> </w:t>
            </w:r>
            <w:r w:rsidRPr="0009223E">
              <w:rPr>
                <w:rFonts w:cs="Arial"/>
                <w:b/>
                <w:bCs/>
                <w:i/>
                <w:iCs/>
                <w:color w:val="000066"/>
                <w:sz w:val="27"/>
                <w:szCs w:val="27"/>
                <w:lang w:eastAsia="it-IT"/>
              </w:rPr>
              <w:br/>
            </w:r>
          </w:p>
          <w:p w14:paraId="4B780582" w14:textId="25570670" w:rsidR="000A03B2" w:rsidRPr="0009223E" w:rsidRDefault="00A76EFC" w:rsidP="001D21AF">
            <w:pPr>
              <w:tabs>
                <w:tab w:val="left" w:pos="-108"/>
              </w:tabs>
              <w:ind w:left="-108"/>
              <w:rPr>
                <w:rFonts w:cs="Arial"/>
                <w:b/>
                <w:bCs/>
                <w:i/>
                <w:iCs/>
                <w:color w:val="000066"/>
                <w:sz w:val="22"/>
                <w:szCs w:val="22"/>
                <w:lang w:eastAsia="it-IT"/>
              </w:rPr>
            </w:pPr>
            <w:r w:rsidRPr="0009223E">
              <w:rPr>
                <w:rFonts w:cs="Arial"/>
                <w:b/>
                <w:bCs/>
                <w:i/>
                <w:iCs/>
                <w:color w:val="000066"/>
                <w:sz w:val="22"/>
                <w:szCs w:val="22"/>
                <w:lang w:eastAsia="it-IT"/>
              </w:rPr>
              <w:t xml:space="preserve">VOL. </w:t>
            </w:r>
            <w:r w:rsidR="00D46B7E" w:rsidRPr="0009223E">
              <w:rPr>
                <w:rFonts w:cs="Arial"/>
                <w:b/>
                <w:bCs/>
                <w:i/>
                <w:iCs/>
                <w:color w:val="000066"/>
                <w:sz w:val="22"/>
                <w:szCs w:val="22"/>
                <w:lang w:eastAsia="it-IT"/>
              </w:rPr>
              <w:t>9</w:t>
            </w:r>
            <w:r w:rsidR="00323C5F" w:rsidRPr="0009223E">
              <w:rPr>
                <w:rFonts w:cs="Arial"/>
                <w:b/>
                <w:bCs/>
                <w:i/>
                <w:iCs/>
                <w:color w:val="000066"/>
                <w:sz w:val="22"/>
                <w:szCs w:val="22"/>
                <w:lang w:eastAsia="it-IT"/>
              </w:rPr>
              <w:t>5</w:t>
            </w:r>
            <w:r w:rsidR="007B48F9" w:rsidRPr="0009223E">
              <w:rPr>
                <w:rFonts w:cs="Arial"/>
                <w:b/>
                <w:bCs/>
                <w:i/>
                <w:iCs/>
                <w:color w:val="000066"/>
                <w:sz w:val="22"/>
                <w:szCs w:val="22"/>
                <w:lang w:eastAsia="it-IT"/>
              </w:rPr>
              <w:t>,</w:t>
            </w:r>
            <w:r w:rsidR="00FA5F5F" w:rsidRPr="0009223E">
              <w:rPr>
                <w:rFonts w:cs="Arial"/>
                <w:b/>
                <w:bCs/>
                <w:i/>
                <w:iCs/>
                <w:color w:val="000066"/>
                <w:sz w:val="22"/>
                <w:szCs w:val="22"/>
                <w:lang w:eastAsia="it-IT"/>
              </w:rPr>
              <w:t xml:space="preserve"> 20</w:t>
            </w:r>
            <w:r w:rsidR="00DF5072" w:rsidRPr="0009223E">
              <w:rPr>
                <w:rFonts w:cs="Arial"/>
                <w:b/>
                <w:bCs/>
                <w:i/>
                <w:iCs/>
                <w:color w:val="000066"/>
                <w:sz w:val="22"/>
                <w:szCs w:val="22"/>
                <w:lang w:eastAsia="it-IT"/>
              </w:rPr>
              <w:t>2</w:t>
            </w:r>
            <w:r w:rsidR="007B48F9" w:rsidRPr="0009223E">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09223E" w:rsidRDefault="000A03B2" w:rsidP="00CD5FE2">
            <w:pPr>
              <w:spacing w:line="140" w:lineRule="atLeast"/>
              <w:jc w:val="right"/>
              <w:rPr>
                <w:rFonts w:cs="Arial"/>
                <w:sz w:val="14"/>
                <w:szCs w:val="14"/>
              </w:rPr>
            </w:pPr>
            <w:r w:rsidRPr="0009223E">
              <w:rPr>
                <w:rFonts w:cs="Arial"/>
                <w:sz w:val="14"/>
                <w:szCs w:val="14"/>
              </w:rPr>
              <w:t>A publication of</w:t>
            </w:r>
          </w:p>
          <w:p w14:paraId="599E5441" w14:textId="77777777" w:rsidR="000A03B2" w:rsidRPr="0009223E" w:rsidRDefault="000A03B2" w:rsidP="00CD5FE2">
            <w:pPr>
              <w:jc w:val="right"/>
            </w:pPr>
            <w:r w:rsidRPr="0009223E">
              <w:rPr>
                <w:noProof/>
                <w:lang w:val="cs-CZ" w:eastAsia="cs-CZ"/>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9223E" w14:paraId="380FA3CD" w14:textId="77777777" w:rsidTr="0045796E">
        <w:trPr>
          <w:trHeight w:val="567"/>
          <w:jc w:val="center"/>
        </w:trPr>
        <w:tc>
          <w:tcPr>
            <w:tcW w:w="6940" w:type="dxa"/>
            <w:vMerge/>
            <w:tcBorders>
              <w:right w:val="single" w:sz="4" w:space="0" w:color="auto"/>
            </w:tcBorders>
          </w:tcPr>
          <w:p w14:paraId="39E5E4C1" w14:textId="77777777" w:rsidR="000A03B2" w:rsidRPr="0009223E"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09223E" w:rsidRDefault="000A03B2" w:rsidP="00CD5FE2">
            <w:pPr>
              <w:spacing w:line="140" w:lineRule="atLeast"/>
              <w:jc w:val="right"/>
              <w:rPr>
                <w:rFonts w:cs="Arial"/>
                <w:sz w:val="14"/>
                <w:szCs w:val="14"/>
              </w:rPr>
            </w:pPr>
            <w:r w:rsidRPr="0009223E">
              <w:rPr>
                <w:rFonts w:cs="Arial"/>
                <w:sz w:val="14"/>
                <w:szCs w:val="14"/>
              </w:rPr>
              <w:t>The Italian Association</w:t>
            </w:r>
          </w:p>
          <w:p w14:paraId="7522B1D2" w14:textId="77777777" w:rsidR="000A03B2" w:rsidRPr="0009223E" w:rsidRDefault="000A03B2" w:rsidP="00CD5FE2">
            <w:pPr>
              <w:spacing w:line="140" w:lineRule="atLeast"/>
              <w:jc w:val="right"/>
              <w:rPr>
                <w:rFonts w:cs="Arial"/>
                <w:sz w:val="14"/>
                <w:szCs w:val="14"/>
              </w:rPr>
            </w:pPr>
            <w:r w:rsidRPr="0009223E">
              <w:rPr>
                <w:rFonts w:cs="Arial"/>
                <w:sz w:val="14"/>
                <w:szCs w:val="14"/>
              </w:rPr>
              <w:t>of Chemical Engineering</w:t>
            </w:r>
          </w:p>
          <w:p w14:paraId="4F0CC5DE" w14:textId="47FDB2FC" w:rsidR="000A03B2" w:rsidRPr="0009223E" w:rsidRDefault="000D0268" w:rsidP="00CD5FE2">
            <w:pPr>
              <w:spacing w:line="140" w:lineRule="atLeast"/>
              <w:jc w:val="right"/>
              <w:rPr>
                <w:rFonts w:cs="Arial"/>
                <w:sz w:val="13"/>
                <w:szCs w:val="13"/>
              </w:rPr>
            </w:pPr>
            <w:r w:rsidRPr="0009223E">
              <w:rPr>
                <w:rFonts w:cs="Arial"/>
                <w:sz w:val="13"/>
                <w:szCs w:val="13"/>
              </w:rPr>
              <w:t>Online at www.cetjournal.it</w:t>
            </w:r>
          </w:p>
        </w:tc>
      </w:tr>
      <w:tr w:rsidR="000A03B2" w:rsidRPr="0009223E" w14:paraId="2D1B7169" w14:textId="77777777" w:rsidTr="0045796E">
        <w:trPr>
          <w:trHeight w:val="68"/>
          <w:jc w:val="center"/>
        </w:trPr>
        <w:tc>
          <w:tcPr>
            <w:tcW w:w="8782" w:type="dxa"/>
            <w:gridSpan w:val="2"/>
          </w:tcPr>
          <w:p w14:paraId="4B0BB442" w14:textId="1EC8AE73" w:rsidR="00300E56" w:rsidRPr="00C90505" w:rsidRDefault="00300E56" w:rsidP="00B57E6F">
            <w:pPr>
              <w:ind w:left="-107"/>
              <w:outlineLvl w:val="2"/>
              <w:rPr>
                <w:rFonts w:ascii="Tahoma" w:hAnsi="Tahoma" w:cs="Tahoma"/>
                <w:bCs/>
                <w:color w:val="000000"/>
                <w:sz w:val="14"/>
                <w:szCs w:val="14"/>
                <w:lang w:val="it-IT" w:eastAsia="it-IT"/>
              </w:rPr>
            </w:pPr>
            <w:r w:rsidRPr="00C90505">
              <w:rPr>
                <w:rFonts w:ascii="Tahoma" w:hAnsi="Tahoma" w:cs="Tahoma"/>
                <w:iCs/>
                <w:color w:val="333333"/>
                <w:sz w:val="14"/>
                <w:szCs w:val="14"/>
                <w:lang w:val="it-IT" w:eastAsia="it-IT"/>
              </w:rPr>
              <w:t>Guest Editors:</w:t>
            </w:r>
            <w:r w:rsidR="001D21AF" w:rsidRPr="00C90505">
              <w:rPr>
                <w:rFonts w:ascii="Tahoma" w:hAnsi="Tahoma" w:cs="Tahoma"/>
                <w:color w:val="000000"/>
                <w:sz w:val="14"/>
                <w:szCs w:val="14"/>
                <w:shd w:val="clear" w:color="auto" w:fill="FFFFFF"/>
                <w:lang w:val="it-IT"/>
              </w:rPr>
              <w:t xml:space="preserve"> </w:t>
            </w:r>
            <w:r w:rsidR="00323C5F" w:rsidRPr="00C90505">
              <w:rPr>
                <w:sz w:val="14"/>
                <w:szCs w:val="14"/>
                <w:lang w:val="it-IT"/>
              </w:rPr>
              <w:t>Selena Sironi, Laura Capelli</w:t>
            </w:r>
          </w:p>
          <w:p w14:paraId="1B0F1814" w14:textId="1C3DE831" w:rsidR="000A03B2" w:rsidRPr="0009223E" w:rsidRDefault="00FA5F5F" w:rsidP="001D21AF">
            <w:pPr>
              <w:tabs>
                <w:tab w:val="left" w:pos="-108"/>
              </w:tabs>
              <w:spacing w:line="140" w:lineRule="atLeast"/>
              <w:ind w:left="-107"/>
              <w:jc w:val="left"/>
            </w:pPr>
            <w:r w:rsidRPr="0009223E">
              <w:rPr>
                <w:rFonts w:ascii="Tahoma" w:hAnsi="Tahoma" w:cs="Tahoma"/>
                <w:iCs/>
                <w:color w:val="333333"/>
                <w:sz w:val="14"/>
                <w:szCs w:val="14"/>
                <w:lang w:eastAsia="it-IT"/>
              </w:rPr>
              <w:t>Copyright © 20</w:t>
            </w:r>
            <w:r w:rsidR="00DF5072" w:rsidRPr="0009223E">
              <w:rPr>
                <w:rFonts w:ascii="Tahoma" w:hAnsi="Tahoma" w:cs="Tahoma"/>
                <w:iCs/>
                <w:color w:val="333333"/>
                <w:sz w:val="14"/>
                <w:szCs w:val="14"/>
                <w:lang w:eastAsia="it-IT"/>
              </w:rPr>
              <w:t>2</w:t>
            </w:r>
            <w:r w:rsidR="00E72EAD" w:rsidRPr="0009223E">
              <w:rPr>
                <w:rFonts w:ascii="Tahoma" w:hAnsi="Tahoma" w:cs="Tahoma"/>
                <w:iCs/>
                <w:color w:val="333333"/>
                <w:sz w:val="14"/>
                <w:szCs w:val="14"/>
                <w:lang w:eastAsia="it-IT"/>
              </w:rPr>
              <w:t>2</w:t>
            </w:r>
            <w:r w:rsidR="00904C62" w:rsidRPr="0009223E">
              <w:rPr>
                <w:rFonts w:ascii="Tahoma" w:hAnsi="Tahoma" w:cs="Tahoma"/>
                <w:iCs/>
                <w:color w:val="333333"/>
                <w:sz w:val="14"/>
                <w:szCs w:val="14"/>
                <w:lang w:eastAsia="it-IT"/>
              </w:rPr>
              <w:t xml:space="preserve">, AIDIC </w:t>
            </w:r>
            <w:proofErr w:type="spellStart"/>
            <w:r w:rsidR="00904C62" w:rsidRPr="0009223E">
              <w:rPr>
                <w:rFonts w:ascii="Tahoma" w:hAnsi="Tahoma" w:cs="Tahoma"/>
                <w:iCs/>
                <w:color w:val="333333"/>
                <w:sz w:val="14"/>
                <w:szCs w:val="14"/>
                <w:lang w:eastAsia="it-IT"/>
              </w:rPr>
              <w:t>Servizi</w:t>
            </w:r>
            <w:proofErr w:type="spellEnd"/>
            <w:r w:rsidR="00904C62" w:rsidRPr="0009223E">
              <w:rPr>
                <w:rFonts w:ascii="Tahoma" w:hAnsi="Tahoma" w:cs="Tahoma"/>
                <w:iCs/>
                <w:color w:val="333333"/>
                <w:sz w:val="14"/>
                <w:szCs w:val="14"/>
                <w:lang w:eastAsia="it-IT"/>
              </w:rPr>
              <w:t xml:space="preserve"> </w:t>
            </w:r>
            <w:proofErr w:type="spellStart"/>
            <w:r w:rsidR="00904C62" w:rsidRPr="0009223E">
              <w:rPr>
                <w:rFonts w:ascii="Tahoma" w:hAnsi="Tahoma" w:cs="Tahoma"/>
                <w:iCs/>
                <w:color w:val="333333"/>
                <w:sz w:val="14"/>
                <w:szCs w:val="14"/>
                <w:lang w:eastAsia="it-IT"/>
              </w:rPr>
              <w:t>S.r.l</w:t>
            </w:r>
            <w:proofErr w:type="spellEnd"/>
            <w:r w:rsidR="00904C62" w:rsidRPr="0009223E">
              <w:rPr>
                <w:rFonts w:ascii="Tahoma" w:hAnsi="Tahoma" w:cs="Tahoma"/>
                <w:iCs/>
                <w:color w:val="333333"/>
                <w:sz w:val="14"/>
                <w:szCs w:val="14"/>
                <w:lang w:eastAsia="it-IT"/>
              </w:rPr>
              <w:t>.</w:t>
            </w:r>
            <w:r w:rsidR="00300E56" w:rsidRPr="0009223E">
              <w:rPr>
                <w:rFonts w:ascii="Tahoma" w:hAnsi="Tahoma" w:cs="Tahoma"/>
                <w:iCs/>
                <w:color w:val="333333"/>
                <w:sz w:val="14"/>
                <w:szCs w:val="14"/>
                <w:lang w:eastAsia="it-IT"/>
              </w:rPr>
              <w:br/>
            </w:r>
            <w:r w:rsidR="00300E56" w:rsidRPr="0009223E">
              <w:rPr>
                <w:rFonts w:ascii="Tahoma" w:hAnsi="Tahoma" w:cs="Tahoma"/>
                <w:b/>
                <w:iCs/>
                <w:color w:val="000000"/>
                <w:sz w:val="14"/>
                <w:szCs w:val="14"/>
                <w:lang w:eastAsia="it-IT"/>
              </w:rPr>
              <w:t>ISBN</w:t>
            </w:r>
            <w:r w:rsidR="00300E56" w:rsidRPr="0009223E">
              <w:rPr>
                <w:rFonts w:ascii="Tahoma" w:hAnsi="Tahoma" w:cs="Tahoma"/>
                <w:iCs/>
                <w:color w:val="000000"/>
                <w:sz w:val="14"/>
                <w:szCs w:val="14"/>
                <w:lang w:eastAsia="it-IT"/>
              </w:rPr>
              <w:t xml:space="preserve"> </w:t>
            </w:r>
            <w:r w:rsidR="008D32B9" w:rsidRPr="0009223E">
              <w:rPr>
                <w:rFonts w:ascii="Tahoma" w:hAnsi="Tahoma" w:cs="Tahoma"/>
                <w:sz w:val="14"/>
                <w:szCs w:val="14"/>
              </w:rPr>
              <w:t>978-88-95608</w:t>
            </w:r>
            <w:r w:rsidR="00D46B7E" w:rsidRPr="0009223E">
              <w:rPr>
                <w:rFonts w:ascii="Tahoma" w:hAnsi="Tahoma" w:cs="Tahoma"/>
                <w:sz w:val="14"/>
                <w:szCs w:val="14"/>
              </w:rPr>
              <w:t>-</w:t>
            </w:r>
            <w:r w:rsidR="001D21AF" w:rsidRPr="0009223E">
              <w:rPr>
                <w:rFonts w:ascii="Tahoma" w:hAnsi="Tahoma" w:cs="Tahoma"/>
                <w:sz w:val="14"/>
                <w:szCs w:val="14"/>
              </w:rPr>
              <w:t>9</w:t>
            </w:r>
            <w:r w:rsidR="00323C5F" w:rsidRPr="0009223E">
              <w:rPr>
                <w:rFonts w:ascii="Tahoma" w:hAnsi="Tahoma" w:cs="Tahoma"/>
                <w:sz w:val="14"/>
                <w:szCs w:val="14"/>
              </w:rPr>
              <w:t>4</w:t>
            </w:r>
            <w:r w:rsidR="00D46B7E" w:rsidRPr="0009223E">
              <w:rPr>
                <w:rFonts w:ascii="Tahoma" w:hAnsi="Tahoma" w:cs="Tahoma"/>
                <w:sz w:val="14"/>
                <w:szCs w:val="14"/>
              </w:rPr>
              <w:t>-</w:t>
            </w:r>
            <w:r w:rsidR="00323C5F" w:rsidRPr="0009223E">
              <w:rPr>
                <w:rFonts w:ascii="Tahoma" w:hAnsi="Tahoma" w:cs="Tahoma"/>
                <w:sz w:val="14"/>
                <w:szCs w:val="14"/>
              </w:rPr>
              <w:t>5</w:t>
            </w:r>
            <w:r w:rsidR="007B48F9" w:rsidRPr="0009223E">
              <w:rPr>
                <w:rFonts w:ascii="Tahoma" w:hAnsi="Tahoma" w:cs="Tahoma"/>
                <w:iCs/>
                <w:color w:val="333333"/>
                <w:sz w:val="14"/>
                <w:szCs w:val="14"/>
                <w:lang w:eastAsia="it-IT"/>
              </w:rPr>
              <w:t>;</w:t>
            </w:r>
            <w:r w:rsidR="00300E56" w:rsidRPr="0009223E">
              <w:rPr>
                <w:rFonts w:ascii="Tahoma" w:hAnsi="Tahoma" w:cs="Tahoma"/>
                <w:iCs/>
                <w:color w:val="333333"/>
                <w:sz w:val="14"/>
                <w:szCs w:val="14"/>
                <w:lang w:eastAsia="it-IT"/>
              </w:rPr>
              <w:t xml:space="preserve"> </w:t>
            </w:r>
            <w:r w:rsidR="00300E56" w:rsidRPr="0009223E">
              <w:rPr>
                <w:rFonts w:ascii="Tahoma" w:hAnsi="Tahoma" w:cs="Tahoma"/>
                <w:b/>
                <w:iCs/>
                <w:color w:val="333333"/>
                <w:sz w:val="14"/>
                <w:szCs w:val="14"/>
                <w:lang w:eastAsia="it-IT"/>
              </w:rPr>
              <w:t>ISSN</w:t>
            </w:r>
            <w:r w:rsidR="00300E56" w:rsidRPr="0009223E">
              <w:rPr>
                <w:rFonts w:ascii="Tahoma" w:hAnsi="Tahoma" w:cs="Tahoma"/>
                <w:iCs/>
                <w:color w:val="333333"/>
                <w:sz w:val="14"/>
                <w:szCs w:val="14"/>
                <w:lang w:eastAsia="it-IT"/>
              </w:rPr>
              <w:t xml:space="preserve"> 2283-9216</w:t>
            </w:r>
          </w:p>
        </w:tc>
      </w:tr>
    </w:tbl>
    <w:p w14:paraId="16A37891" w14:textId="77777777" w:rsidR="00810D95" w:rsidRPr="0009223E" w:rsidRDefault="00810D95" w:rsidP="00B57E6F">
      <w:pPr>
        <w:pStyle w:val="CETAuthors"/>
        <w:rPr>
          <w:noProof w:val="0"/>
          <w:sz w:val="32"/>
        </w:rPr>
      </w:pPr>
    </w:p>
    <w:p w14:paraId="6BC5B021" w14:textId="7DA74F8B" w:rsidR="0045796E" w:rsidRPr="0009223E" w:rsidRDefault="0045796E" w:rsidP="00810D95">
      <w:pPr>
        <w:pStyle w:val="CETAuthors"/>
        <w:jc w:val="center"/>
        <w:rPr>
          <w:noProof w:val="0"/>
          <w:sz w:val="32"/>
        </w:rPr>
      </w:pPr>
      <w:r w:rsidRPr="0009223E">
        <w:rPr>
          <w:noProof w:val="0"/>
          <w:sz w:val="32"/>
        </w:rPr>
        <w:t xml:space="preserve">Implementation of a simplified </w:t>
      </w:r>
      <w:proofErr w:type="spellStart"/>
      <w:r w:rsidRPr="0009223E">
        <w:rPr>
          <w:noProof w:val="0"/>
          <w:sz w:val="32"/>
        </w:rPr>
        <w:t>micromixing</w:t>
      </w:r>
      <w:proofErr w:type="spellEnd"/>
      <w:r w:rsidRPr="0009223E">
        <w:rPr>
          <w:noProof w:val="0"/>
          <w:sz w:val="32"/>
        </w:rPr>
        <w:t xml:space="preserve"> model inside a </w:t>
      </w:r>
      <w:proofErr w:type="spellStart"/>
      <w:r w:rsidRPr="0009223E">
        <w:rPr>
          <w:noProof w:val="0"/>
          <w:sz w:val="32"/>
        </w:rPr>
        <w:t>Lagrangian</w:t>
      </w:r>
      <w:proofErr w:type="spellEnd"/>
      <w:r w:rsidRPr="0009223E">
        <w:rPr>
          <w:noProof w:val="0"/>
          <w:sz w:val="32"/>
        </w:rPr>
        <w:t xml:space="preserve"> Particle Dispersion code for the estimation of concentration variances and peaks</w:t>
      </w:r>
    </w:p>
    <w:p w14:paraId="0488FED2" w14:textId="185509E7" w:rsidR="00B57E6F" w:rsidRPr="00C90505" w:rsidRDefault="0045796E" w:rsidP="00B57E6F">
      <w:pPr>
        <w:pStyle w:val="CETAuthors"/>
        <w:rPr>
          <w:lang w:val="it-IT"/>
        </w:rPr>
      </w:pPr>
      <w:r w:rsidRPr="00C90505">
        <w:rPr>
          <w:lang w:val="it-IT"/>
        </w:rPr>
        <w:t>Gianni Luigi Tinarelli</w:t>
      </w:r>
      <w:r w:rsidR="00B57E6F" w:rsidRPr="00C90505">
        <w:rPr>
          <w:vertAlign w:val="superscript"/>
          <w:lang w:val="it-IT"/>
        </w:rPr>
        <w:t>a</w:t>
      </w:r>
      <w:r w:rsidR="00E317FC" w:rsidRPr="00C90505">
        <w:rPr>
          <w:vertAlign w:val="superscript"/>
          <w:lang w:val="it-IT"/>
        </w:rPr>
        <w:t>*</w:t>
      </w:r>
      <w:r w:rsidR="00B57E6F" w:rsidRPr="00C90505">
        <w:rPr>
          <w:lang w:val="it-IT"/>
        </w:rPr>
        <w:t xml:space="preserve">, </w:t>
      </w:r>
      <w:r w:rsidRPr="00C90505">
        <w:rPr>
          <w:lang w:val="it-IT"/>
        </w:rPr>
        <w:t>Roberto Sozzi</w:t>
      </w:r>
      <w:r w:rsidR="00B57E6F" w:rsidRPr="00C90505">
        <w:rPr>
          <w:vertAlign w:val="superscript"/>
          <w:lang w:val="it-IT"/>
        </w:rPr>
        <w:t>b</w:t>
      </w:r>
      <w:r w:rsidR="00B57E6F" w:rsidRPr="00C90505">
        <w:rPr>
          <w:lang w:val="it-IT"/>
        </w:rPr>
        <w:t xml:space="preserve">, </w:t>
      </w:r>
      <w:r w:rsidRPr="00C90505">
        <w:rPr>
          <w:lang w:val="it-IT"/>
        </w:rPr>
        <w:t>Daniela Barbero</w:t>
      </w:r>
      <w:r w:rsidRPr="00C90505">
        <w:rPr>
          <w:vertAlign w:val="superscript"/>
          <w:lang w:val="it-IT"/>
        </w:rPr>
        <w:t>a</w:t>
      </w:r>
    </w:p>
    <w:p w14:paraId="6B2D21B3" w14:textId="289E4611" w:rsidR="00B57E6F" w:rsidRPr="00C90505" w:rsidRDefault="00B57E6F" w:rsidP="00B57E6F">
      <w:pPr>
        <w:pStyle w:val="CETAddress"/>
        <w:rPr>
          <w:lang w:val="it-IT"/>
        </w:rPr>
      </w:pPr>
      <w:r w:rsidRPr="00C90505">
        <w:rPr>
          <w:vertAlign w:val="superscript"/>
          <w:lang w:val="it-IT"/>
        </w:rPr>
        <w:t>a</w:t>
      </w:r>
      <w:r w:rsidR="001241B8" w:rsidRPr="00C90505">
        <w:rPr>
          <w:vertAlign w:val="superscript"/>
          <w:lang w:val="it-IT"/>
        </w:rPr>
        <w:t xml:space="preserve"> </w:t>
      </w:r>
      <w:r w:rsidR="0045796E" w:rsidRPr="00C90505">
        <w:rPr>
          <w:lang w:val="it-IT"/>
        </w:rPr>
        <w:t>ARIANET S.r.l.</w:t>
      </w:r>
      <w:r w:rsidRPr="00C90505">
        <w:rPr>
          <w:lang w:val="it-IT"/>
        </w:rPr>
        <w:t xml:space="preserve"> </w:t>
      </w:r>
      <w:r w:rsidR="0045796E" w:rsidRPr="00C90505">
        <w:rPr>
          <w:lang w:val="it-IT"/>
        </w:rPr>
        <w:t>Via Benigno Crespi 57, Milan</w:t>
      </w:r>
      <w:r w:rsidR="00810D95" w:rsidRPr="00C90505">
        <w:rPr>
          <w:lang w:val="it-IT"/>
        </w:rPr>
        <w:t xml:space="preserve"> 20159</w:t>
      </w:r>
      <w:r w:rsidR="0045796E" w:rsidRPr="00C90505">
        <w:rPr>
          <w:lang w:val="it-IT"/>
        </w:rPr>
        <w:t>, Italy</w:t>
      </w:r>
      <w:r w:rsidRPr="00C90505">
        <w:rPr>
          <w:lang w:val="it-IT"/>
        </w:rPr>
        <w:t xml:space="preserve"> </w:t>
      </w:r>
    </w:p>
    <w:p w14:paraId="3D72B0B0" w14:textId="5AF2B9F0" w:rsidR="00B57E6F" w:rsidRPr="0009223E" w:rsidRDefault="00B57E6F" w:rsidP="00B57E6F">
      <w:pPr>
        <w:pStyle w:val="CETAddress"/>
      </w:pPr>
      <w:r w:rsidRPr="0009223E">
        <w:rPr>
          <w:vertAlign w:val="superscript"/>
        </w:rPr>
        <w:t>b</w:t>
      </w:r>
      <w:r w:rsidR="001241B8" w:rsidRPr="0009223E">
        <w:rPr>
          <w:vertAlign w:val="superscript"/>
        </w:rPr>
        <w:t xml:space="preserve"> </w:t>
      </w:r>
      <w:r w:rsidR="001241B8" w:rsidRPr="0009223E">
        <w:t>Independent Scientific Consultant</w:t>
      </w:r>
    </w:p>
    <w:p w14:paraId="73F1267A" w14:textId="42723385" w:rsidR="00B57E6F" w:rsidRPr="0009223E" w:rsidRDefault="00B57E6F" w:rsidP="00B57E6F">
      <w:pPr>
        <w:pStyle w:val="CETemail"/>
      </w:pPr>
      <w:r w:rsidRPr="0009223E">
        <w:t xml:space="preserve"> corresponding.</w:t>
      </w:r>
      <w:r w:rsidR="0045796E" w:rsidRPr="0009223E">
        <w:t>g.tinarelli</w:t>
      </w:r>
      <w:r w:rsidRPr="0009223E">
        <w:t>@</w:t>
      </w:r>
      <w:r w:rsidR="0045796E" w:rsidRPr="0009223E">
        <w:t>aria-net.it</w:t>
      </w:r>
    </w:p>
    <w:p w14:paraId="43B15CAA" w14:textId="0CF96704" w:rsidR="00E317FC" w:rsidRPr="0009223E" w:rsidRDefault="00E317FC" w:rsidP="00600535">
      <w:pPr>
        <w:pStyle w:val="CETBodytext"/>
        <w:rPr>
          <w:lang w:val="en-GB"/>
        </w:rPr>
      </w:pPr>
      <w:r w:rsidRPr="0009223E">
        <w:rPr>
          <w:lang w:val="en-GB"/>
        </w:rPr>
        <w:t xml:space="preserve">In the frame of the </w:t>
      </w:r>
      <w:r w:rsidR="0009223E" w:rsidRPr="0009223E">
        <w:rPr>
          <w:lang w:val="en-GB"/>
        </w:rPr>
        <w:t>modelling</w:t>
      </w:r>
      <w:r w:rsidRPr="0009223E">
        <w:rPr>
          <w:lang w:val="en-GB"/>
        </w:rPr>
        <w:t xml:space="preserve"> simulation of odo</w:t>
      </w:r>
      <w:r w:rsidR="00A702F8" w:rsidRPr="0009223E">
        <w:rPr>
          <w:lang w:val="en-GB"/>
        </w:rPr>
        <w:t>u</w:t>
      </w:r>
      <w:r w:rsidRPr="0009223E">
        <w:rPr>
          <w:lang w:val="en-GB"/>
        </w:rPr>
        <w:t xml:space="preserve">r nuisances, the estimation of concentration peaks, representing values averaged over a relatively short time of the order of the interval between subsequent breathes, is of fundamental importance. Dispersion models currently used in this field cannot reconstruct this kind of values at relatively high frequency, due to their intrinsic theoretical design that allows to give time- or ensemble average- concentrations only. </w:t>
      </w:r>
      <w:r w:rsidR="0054359A">
        <w:rPr>
          <w:lang w:val="en-GB"/>
        </w:rPr>
        <w:t>The s</w:t>
      </w:r>
      <w:r w:rsidRPr="0009223E">
        <w:rPr>
          <w:lang w:val="en-GB"/>
        </w:rPr>
        <w:t xml:space="preserve">cope of this work is to describe the implementation of a simplified </w:t>
      </w:r>
      <w:proofErr w:type="spellStart"/>
      <w:r w:rsidRPr="0009223E">
        <w:rPr>
          <w:lang w:val="en-GB"/>
        </w:rPr>
        <w:t>micromixing</w:t>
      </w:r>
      <w:proofErr w:type="spellEnd"/>
      <w:r w:rsidRPr="0009223E">
        <w:rPr>
          <w:lang w:val="en-GB"/>
        </w:rPr>
        <w:t xml:space="preserve"> model inside a standard ensemble average </w:t>
      </w:r>
      <w:proofErr w:type="spellStart"/>
      <w:r w:rsidRPr="0009223E">
        <w:rPr>
          <w:lang w:val="en-GB"/>
        </w:rPr>
        <w:t>Lagrangian</w:t>
      </w:r>
      <w:proofErr w:type="spellEnd"/>
      <w:r w:rsidRPr="0009223E">
        <w:rPr>
          <w:lang w:val="en-GB"/>
        </w:rPr>
        <w:t xml:space="preserve"> Particle Dispersion Model, with the aim of simulat</w:t>
      </w:r>
      <w:r w:rsidR="0054359A">
        <w:rPr>
          <w:lang w:val="en-GB"/>
        </w:rPr>
        <w:t>ing</w:t>
      </w:r>
      <w:r w:rsidRPr="0009223E">
        <w:rPr>
          <w:lang w:val="en-GB"/>
        </w:rPr>
        <w:t xml:space="preserve"> the field of concentration variances together with concentration averages. A simplified </w:t>
      </w:r>
      <w:proofErr w:type="spellStart"/>
      <w:r w:rsidRPr="0009223E">
        <w:rPr>
          <w:lang w:val="en-GB"/>
        </w:rPr>
        <w:t>micromixing</w:t>
      </w:r>
      <w:proofErr w:type="spellEnd"/>
      <w:r w:rsidRPr="0009223E">
        <w:rPr>
          <w:lang w:val="en-GB"/>
        </w:rPr>
        <w:t xml:space="preserve"> model represents a way to describe the interaction between the part of the emitted plume and the rest of the atmospheric flow, derived through bulk entrainment relationships. This simplified view allows the description of the first two moments of the concentration distribution which is however sufficient to describe a peak-to-mean relationship making some hypotheses about the form of the distribution. Some preliminary results of the application of this method inside the SPRAY </w:t>
      </w:r>
      <w:proofErr w:type="spellStart"/>
      <w:r w:rsidRPr="0009223E">
        <w:rPr>
          <w:lang w:val="en-GB"/>
        </w:rPr>
        <w:t>Lagrangian</w:t>
      </w:r>
      <w:proofErr w:type="spellEnd"/>
      <w:r w:rsidRPr="0009223E">
        <w:rPr>
          <w:lang w:val="en-GB"/>
        </w:rPr>
        <w:t xml:space="preserve"> Particle Dispersion Model are shown, comparing both the instantaneous concentration and the peak-to-mean ratio together with their spatial </w:t>
      </w:r>
      <w:r w:rsidR="0009223E" w:rsidRPr="0009223E">
        <w:rPr>
          <w:lang w:val="en-GB"/>
        </w:rPr>
        <w:t>behaviour</w:t>
      </w:r>
      <w:r w:rsidRPr="0009223E">
        <w:rPr>
          <w:lang w:val="en-GB"/>
        </w:rPr>
        <w:t xml:space="preserve"> derived in some controlled conditions with those obtained from the application of other schemes currently included in the code.</w:t>
      </w:r>
    </w:p>
    <w:p w14:paraId="5BA49EC6" w14:textId="7EC0E3A3" w:rsidR="00D10026" w:rsidRPr="0009223E" w:rsidRDefault="00600535" w:rsidP="00266BFE">
      <w:pPr>
        <w:pStyle w:val="CETHeading1"/>
        <w:rPr>
          <w:lang w:val="en-GB"/>
        </w:rPr>
      </w:pPr>
      <w:r w:rsidRPr="0009223E">
        <w:rPr>
          <w:lang w:val="en-GB"/>
        </w:rPr>
        <w:t>Introduction</w:t>
      </w:r>
    </w:p>
    <w:p w14:paraId="621834A5" w14:textId="22F38DB6" w:rsidR="009A4EB2" w:rsidRPr="0009223E" w:rsidRDefault="0009391F" w:rsidP="00F936E9">
      <w:pPr>
        <w:pStyle w:val="CETBodytext"/>
        <w:widowControl w:val="0"/>
        <w:rPr>
          <w:lang w:val="en-GB"/>
        </w:rPr>
      </w:pPr>
      <w:r w:rsidRPr="0009223E">
        <w:rPr>
          <w:lang w:val="en-GB"/>
        </w:rPr>
        <w:t>Atmospheric dispersion mode</w:t>
      </w:r>
      <w:r w:rsidR="0009223E">
        <w:rPr>
          <w:lang w:val="en-GB"/>
        </w:rPr>
        <w:t>l</w:t>
      </w:r>
      <w:r w:rsidRPr="0009223E">
        <w:rPr>
          <w:lang w:val="en-GB"/>
        </w:rPr>
        <w:t xml:space="preserve">s are widely used tools to give a spatial and temporal description of the concentrations of emitted substances </w:t>
      </w:r>
      <w:r w:rsidR="0009223E">
        <w:rPr>
          <w:lang w:val="en-GB"/>
        </w:rPr>
        <w:t xml:space="preserve">that could </w:t>
      </w:r>
      <w:r w:rsidR="00840C33" w:rsidRPr="0009223E">
        <w:rPr>
          <w:lang w:val="en-GB"/>
        </w:rPr>
        <w:t>potentially generat</w:t>
      </w:r>
      <w:r w:rsidR="0009223E">
        <w:rPr>
          <w:lang w:val="en-GB"/>
        </w:rPr>
        <w:t>e</w:t>
      </w:r>
      <w:r w:rsidR="00840C33" w:rsidRPr="0009223E">
        <w:rPr>
          <w:lang w:val="en-GB"/>
        </w:rPr>
        <w:t xml:space="preserve"> different problems to the population. In most of their applications, typically related to the comparison with air quality regulatory rules, atmospheric dispersion models are used to reconstruct mean concentrations representing for example the average over time intervals of the order of 1 hour. There exist some specific applications, as the dispersion of explosive or flammable, toxic or odorous emissions, where the simple reconstruction of the mean value </w:t>
      </w:r>
      <w:r w:rsidR="002D097F" w:rsidRPr="0009223E">
        <w:rPr>
          <w:lang w:val="en-GB"/>
        </w:rPr>
        <w:t>is not sufficient due to the intrinsic characteristics of the consequences generated by the involved substances. In particular, the</w:t>
      </w:r>
      <w:r w:rsidR="00266BFE" w:rsidRPr="0009223E">
        <w:rPr>
          <w:lang w:val="en-GB"/>
        </w:rPr>
        <w:t xml:space="preserve"> sensation of olfactory nuisance occurs in an individual during </w:t>
      </w:r>
      <w:r w:rsidR="00976B91" w:rsidRPr="0009223E">
        <w:rPr>
          <w:lang w:val="en-GB"/>
        </w:rPr>
        <w:t xml:space="preserve">the </w:t>
      </w:r>
      <w:r w:rsidR="00266BFE" w:rsidRPr="0009223E">
        <w:rPr>
          <w:lang w:val="en-GB"/>
        </w:rPr>
        <w:t>normal respiratory activity happening at a relatively high frequency</w:t>
      </w:r>
      <w:r w:rsidR="0063294D" w:rsidRPr="0009223E">
        <w:rPr>
          <w:lang w:val="en-GB"/>
        </w:rPr>
        <w:t>,</w:t>
      </w:r>
      <w:r w:rsidR="00266BFE" w:rsidRPr="0009223E">
        <w:rPr>
          <w:lang w:val="en-GB"/>
        </w:rPr>
        <w:t xml:space="preserve"> typically every less than 10 seconds. This </w:t>
      </w:r>
      <w:r w:rsidR="00DC00B1" w:rsidRPr="0009223E">
        <w:rPr>
          <w:lang w:val="en-GB"/>
        </w:rPr>
        <w:t>implies</w:t>
      </w:r>
      <w:r w:rsidR="00266BFE" w:rsidRPr="0009223E">
        <w:rPr>
          <w:lang w:val="en-GB"/>
        </w:rPr>
        <w:t xml:space="preserve"> that the reconstruction of the impact </w:t>
      </w:r>
      <w:r w:rsidR="00DC00B1" w:rsidRPr="0009223E">
        <w:rPr>
          <w:lang w:val="en-GB"/>
        </w:rPr>
        <w:t>generated by the odorous emissions should in principle take into account this peculiarity</w:t>
      </w:r>
      <w:r w:rsidR="00433BFC" w:rsidRPr="0009223E">
        <w:rPr>
          <w:lang w:val="en-GB"/>
        </w:rPr>
        <w:t xml:space="preserve"> and a reconstruction of </w:t>
      </w:r>
      <w:r w:rsidR="0063294D" w:rsidRPr="0009223E">
        <w:rPr>
          <w:lang w:val="en-GB"/>
        </w:rPr>
        <w:t xml:space="preserve">the </w:t>
      </w:r>
      <w:r w:rsidR="0009223E" w:rsidRPr="0009223E">
        <w:rPr>
          <w:lang w:val="en-GB"/>
        </w:rPr>
        <w:t>short-term</w:t>
      </w:r>
      <w:r w:rsidR="00DC00B1" w:rsidRPr="0009223E">
        <w:rPr>
          <w:lang w:val="en-GB"/>
        </w:rPr>
        <w:t xml:space="preserve"> concentrations, which are more assimilated to instantaneous</w:t>
      </w:r>
      <w:r w:rsidR="00976B91" w:rsidRPr="0009223E">
        <w:rPr>
          <w:lang w:val="en-GB"/>
        </w:rPr>
        <w:t xml:space="preserve"> events</w:t>
      </w:r>
      <w:r w:rsidR="00433BFC" w:rsidRPr="0009223E">
        <w:rPr>
          <w:lang w:val="en-GB"/>
        </w:rPr>
        <w:t xml:space="preserve">, is </w:t>
      </w:r>
      <w:r w:rsidR="00C34DE2" w:rsidRPr="0009223E">
        <w:rPr>
          <w:lang w:val="en-GB"/>
        </w:rPr>
        <w:t xml:space="preserve">potentially </w:t>
      </w:r>
      <w:r w:rsidR="00433BFC" w:rsidRPr="0009223E">
        <w:rPr>
          <w:lang w:val="en-GB"/>
        </w:rPr>
        <w:t>required</w:t>
      </w:r>
      <w:r w:rsidR="00993DCC" w:rsidRPr="0009223E">
        <w:rPr>
          <w:lang w:val="en-GB"/>
        </w:rPr>
        <w:t xml:space="preserve"> (Capelli et al., 2013)</w:t>
      </w:r>
      <w:r w:rsidR="00290371" w:rsidRPr="0009223E">
        <w:rPr>
          <w:lang w:val="en-GB"/>
        </w:rPr>
        <w:t xml:space="preserve">. This means that models should include a way to predict also concentration fluctuations or a statistical indicator to describe them. The availability of both the average concentrations and concentration fluctuations as model output, allows to make a more complete and correct estimation of the impact that odorous emissions can have on the population. Not many of the typical models used in the framework of odour impact have a direct mechanism </w:t>
      </w:r>
      <w:r w:rsidR="0009223E" w:rsidRPr="0009223E">
        <w:rPr>
          <w:lang w:val="en-GB"/>
        </w:rPr>
        <w:t xml:space="preserve">inside </w:t>
      </w:r>
      <w:r w:rsidR="00290371" w:rsidRPr="0009223E">
        <w:rPr>
          <w:lang w:val="en-GB"/>
        </w:rPr>
        <w:t xml:space="preserve">to fulfil this request. A </w:t>
      </w:r>
      <w:r w:rsidR="00B74FF8" w:rsidRPr="0009223E">
        <w:rPr>
          <w:lang w:val="en-GB"/>
        </w:rPr>
        <w:t xml:space="preserve">useful </w:t>
      </w:r>
      <w:r w:rsidR="00290371" w:rsidRPr="0009223E">
        <w:rPr>
          <w:lang w:val="en-GB"/>
        </w:rPr>
        <w:t>review of the efforts made by the scientific community in the last seventy years to include the reconstruction of concentration fluctuations ins</w:t>
      </w:r>
      <w:r w:rsidR="00F41552" w:rsidRPr="0009223E">
        <w:rPr>
          <w:lang w:val="en-GB"/>
        </w:rPr>
        <w:t>i</w:t>
      </w:r>
      <w:r w:rsidR="00290371" w:rsidRPr="0009223E">
        <w:rPr>
          <w:lang w:val="en-GB"/>
        </w:rPr>
        <w:t>de dispersion model</w:t>
      </w:r>
      <w:r w:rsidR="004D5926" w:rsidRPr="0009223E">
        <w:rPr>
          <w:lang w:val="en-GB"/>
        </w:rPr>
        <w:t>s</w:t>
      </w:r>
      <w:r w:rsidR="00290371" w:rsidRPr="0009223E">
        <w:rPr>
          <w:lang w:val="en-GB"/>
        </w:rPr>
        <w:t xml:space="preserve"> can be found in </w:t>
      </w:r>
      <w:proofErr w:type="spellStart"/>
      <w:r w:rsidR="00290371" w:rsidRPr="0009223E">
        <w:rPr>
          <w:lang w:val="en-GB"/>
        </w:rPr>
        <w:t>Cassiani</w:t>
      </w:r>
      <w:proofErr w:type="spellEnd"/>
      <w:r w:rsidR="00290371" w:rsidRPr="0009223E">
        <w:rPr>
          <w:lang w:val="en-GB"/>
        </w:rPr>
        <w:t xml:space="preserve"> et al.</w:t>
      </w:r>
      <w:r w:rsidR="00B21DC2" w:rsidRPr="0009223E">
        <w:rPr>
          <w:lang w:val="en-GB"/>
        </w:rPr>
        <w:t xml:space="preserve"> (</w:t>
      </w:r>
      <w:r w:rsidR="00290371" w:rsidRPr="0009223E">
        <w:rPr>
          <w:lang w:val="en-GB"/>
        </w:rPr>
        <w:t>2020</w:t>
      </w:r>
      <w:r w:rsidR="00B21DC2" w:rsidRPr="0009223E">
        <w:rPr>
          <w:lang w:val="en-GB"/>
        </w:rPr>
        <w:t>)</w:t>
      </w:r>
      <w:r w:rsidR="00F41552" w:rsidRPr="0009223E">
        <w:rPr>
          <w:lang w:val="en-GB"/>
        </w:rPr>
        <w:t>.</w:t>
      </w:r>
      <w:r w:rsidR="004D5926" w:rsidRPr="0009223E">
        <w:rPr>
          <w:lang w:val="en-GB"/>
        </w:rPr>
        <w:t xml:space="preserve"> A particular attention was devoted to </w:t>
      </w:r>
      <w:proofErr w:type="spellStart"/>
      <w:r w:rsidR="004D5926" w:rsidRPr="0009223E">
        <w:rPr>
          <w:lang w:val="en-GB"/>
        </w:rPr>
        <w:t>Lagrangian</w:t>
      </w:r>
      <w:proofErr w:type="spellEnd"/>
      <w:r w:rsidR="004D5926" w:rsidRPr="0009223E">
        <w:rPr>
          <w:lang w:val="en-GB"/>
        </w:rPr>
        <w:t xml:space="preserve"> one-particle dispersion models, derived from the </w:t>
      </w:r>
      <w:r w:rsidR="005E1998" w:rsidRPr="0009223E">
        <w:rPr>
          <w:lang w:val="en-GB"/>
        </w:rPr>
        <w:t xml:space="preserve">fundamental </w:t>
      </w:r>
      <w:r w:rsidR="004D5926" w:rsidRPr="0009223E">
        <w:rPr>
          <w:lang w:val="en-GB"/>
        </w:rPr>
        <w:t>work of Thomson (1987)</w:t>
      </w:r>
      <w:r w:rsidR="0009223E">
        <w:rPr>
          <w:lang w:val="en-GB"/>
        </w:rPr>
        <w:t>,</w:t>
      </w:r>
      <w:r w:rsidR="004D5926" w:rsidRPr="0009223E">
        <w:rPr>
          <w:lang w:val="en-GB"/>
        </w:rPr>
        <w:t xml:space="preserve"> and widely used in the frame of air quality </w:t>
      </w:r>
      <w:r w:rsidR="00B21DC2" w:rsidRPr="0009223E">
        <w:rPr>
          <w:lang w:val="en-GB"/>
        </w:rPr>
        <w:t>to reconstruct ensemble average concentration</w:t>
      </w:r>
      <w:r w:rsidR="005E1998" w:rsidRPr="0009223E">
        <w:rPr>
          <w:lang w:val="en-GB"/>
        </w:rPr>
        <w:t>s</w:t>
      </w:r>
      <w:r w:rsidR="00B21DC2" w:rsidRPr="0009223E">
        <w:rPr>
          <w:lang w:val="en-GB"/>
        </w:rPr>
        <w:t xml:space="preserve"> over complex terrain. Different methods have been </w:t>
      </w:r>
      <w:r w:rsidR="00B21DC2" w:rsidRPr="0009223E">
        <w:rPr>
          <w:lang w:val="en-GB"/>
        </w:rPr>
        <w:lastRenderedPageBreak/>
        <w:t xml:space="preserve">proposed for these models to couple the calculation of concentration fluctuations with the standard calculation of average concentrations. Among them, a parameterization of the concentration variance transport and dissipation equation (Ferrero et al., 2017) and a simplified form of a </w:t>
      </w:r>
      <w:proofErr w:type="spellStart"/>
      <w:r w:rsidR="00B21DC2" w:rsidRPr="0009223E">
        <w:rPr>
          <w:lang w:val="en-GB"/>
        </w:rPr>
        <w:t>micromixing</w:t>
      </w:r>
      <w:proofErr w:type="spellEnd"/>
      <w:r w:rsidR="00B21DC2" w:rsidRPr="0009223E">
        <w:rPr>
          <w:lang w:val="en-GB"/>
        </w:rPr>
        <w:t xml:space="preserve"> model allowing to take into account only particles coming from the emissions (</w:t>
      </w:r>
      <w:proofErr w:type="spellStart"/>
      <w:r w:rsidR="00B21DC2" w:rsidRPr="0009223E">
        <w:rPr>
          <w:lang w:val="en-GB"/>
        </w:rPr>
        <w:t>Cassiani</w:t>
      </w:r>
      <w:proofErr w:type="spellEnd"/>
      <w:r w:rsidR="008325FD" w:rsidRPr="0009223E">
        <w:rPr>
          <w:lang w:val="en-GB"/>
        </w:rPr>
        <w:t xml:space="preserve">, </w:t>
      </w:r>
      <w:r w:rsidR="00B21DC2" w:rsidRPr="0009223E">
        <w:rPr>
          <w:lang w:val="en-GB"/>
        </w:rPr>
        <w:t xml:space="preserve">2013) can be cited. </w:t>
      </w:r>
      <w:r w:rsidR="005E1998" w:rsidRPr="0009223E">
        <w:rPr>
          <w:lang w:val="en-GB"/>
        </w:rPr>
        <w:t xml:space="preserve">Both these methods have been </w:t>
      </w:r>
      <w:r w:rsidR="0009223E" w:rsidRPr="0009223E">
        <w:rPr>
          <w:lang w:val="en-GB"/>
        </w:rPr>
        <w:t>incorporated</w:t>
      </w:r>
      <w:r w:rsidR="005E1998" w:rsidRPr="0009223E">
        <w:rPr>
          <w:lang w:val="en-GB"/>
        </w:rPr>
        <w:t xml:space="preserve"> into the </w:t>
      </w:r>
      <w:proofErr w:type="spellStart"/>
      <w:r w:rsidR="005E1998" w:rsidRPr="0009223E">
        <w:rPr>
          <w:lang w:val="en-GB"/>
        </w:rPr>
        <w:t>Lagrangian</w:t>
      </w:r>
      <w:proofErr w:type="spellEnd"/>
      <w:r w:rsidR="005E1998" w:rsidRPr="0009223E">
        <w:rPr>
          <w:lang w:val="en-GB"/>
        </w:rPr>
        <w:t xml:space="preserve"> Particle Dispersion Model SPRAY (Tinarelli et al., 2000), in order to calculate concentration </w:t>
      </w:r>
      <w:proofErr w:type="gramStart"/>
      <w:r w:rsidR="005E1998" w:rsidRPr="0009223E">
        <w:rPr>
          <w:lang w:val="en-GB"/>
        </w:rPr>
        <w:t>fluc</w:t>
      </w:r>
      <w:r w:rsidR="00D35619" w:rsidRPr="0009223E">
        <w:rPr>
          <w:lang w:val="en-GB"/>
        </w:rPr>
        <w:t>t</w:t>
      </w:r>
      <w:r w:rsidR="005E1998" w:rsidRPr="0009223E">
        <w:rPr>
          <w:lang w:val="en-GB"/>
        </w:rPr>
        <w:t>uation</w:t>
      </w:r>
      <w:r w:rsidR="0054359A">
        <w:rPr>
          <w:lang w:val="en-GB"/>
        </w:rPr>
        <w:t>s</w:t>
      </w:r>
      <w:proofErr w:type="gramEnd"/>
      <w:r w:rsidR="005E1998" w:rsidRPr="0009223E">
        <w:rPr>
          <w:lang w:val="en-GB"/>
        </w:rPr>
        <w:t xml:space="preserve"> close to the ground, allowing to estimate a peak-to-mean concentration ratio to be applied in simulations of odorous emissions. In this paper</w:t>
      </w:r>
      <w:r w:rsidR="00D35619" w:rsidRPr="0009223E">
        <w:rPr>
          <w:lang w:val="en-GB"/>
        </w:rPr>
        <w:t>,</w:t>
      </w:r>
      <w:r w:rsidR="005E1998" w:rsidRPr="0009223E">
        <w:rPr>
          <w:lang w:val="en-GB"/>
        </w:rPr>
        <w:t xml:space="preserve"> the implementation of the simplified </w:t>
      </w:r>
      <w:proofErr w:type="spellStart"/>
      <w:r w:rsidR="005E1998" w:rsidRPr="0009223E">
        <w:rPr>
          <w:lang w:val="en-GB"/>
        </w:rPr>
        <w:t>micromixing</w:t>
      </w:r>
      <w:proofErr w:type="spellEnd"/>
      <w:r w:rsidR="005E1998" w:rsidRPr="0009223E">
        <w:rPr>
          <w:lang w:val="en-GB"/>
        </w:rPr>
        <w:t xml:space="preserve"> method, named Volume </w:t>
      </w:r>
      <w:r w:rsidR="00D35619" w:rsidRPr="0009223E">
        <w:rPr>
          <w:lang w:val="en-GB"/>
        </w:rPr>
        <w:t>Particle Approach</w:t>
      </w:r>
      <w:r w:rsidR="00986B69" w:rsidRPr="0009223E">
        <w:rPr>
          <w:lang w:val="en-GB"/>
        </w:rPr>
        <w:t xml:space="preserve"> (VPA)</w:t>
      </w:r>
      <w:r w:rsidR="00D35619" w:rsidRPr="0009223E">
        <w:rPr>
          <w:lang w:val="en-GB"/>
        </w:rPr>
        <w:t xml:space="preserve">, is explained and some results in controlled conditions </w:t>
      </w:r>
      <w:r w:rsidR="0009223E" w:rsidRPr="0009223E">
        <w:rPr>
          <w:lang w:val="en-GB"/>
        </w:rPr>
        <w:t>are shown</w:t>
      </w:r>
      <w:r w:rsidR="0009223E">
        <w:rPr>
          <w:lang w:val="en-GB"/>
        </w:rPr>
        <w:t>, also</w:t>
      </w:r>
      <w:r w:rsidR="0009223E" w:rsidRPr="0009223E">
        <w:rPr>
          <w:lang w:val="en-GB"/>
        </w:rPr>
        <w:t xml:space="preserve"> </w:t>
      </w:r>
      <w:r w:rsidR="00D35619" w:rsidRPr="0009223E">
        <w:rPr>
          <w:lang w:val="en-GB"/>
        </w:rPr>
        <w:t xml:space="preserve">comparing this method with </w:t>
      </w:r>
      <w:r w:rsidR="00D03BA4" w:rsidRPr="0009223E">
        <w:rPr>
          <w:lang w:val="en-GB"/>
        </w:rPr>
        <w:t>the</w:t>
      </w:r>
      <w:r w:rsidR="00D35619" w:rsidRPr="0009223E">
        <w:rPr>
          <w:lang w:val="en-GB"/>
        </w:rPr>
        <w:t xml:space="preserve"> Variance Transport Equation </w:t>
      </w:r>
      <w:r w:rsidR="00986B69" w:rsidRPr="0009223E">
        <w:rPr>
          <w:lang w:val="en-GB"/>
        </w:rPr>
        <w:t xml:space="preserve">(VTE) </w:t>
      </w:r>
      <w:r w:rsidR="00D35619" w:rsidRPr="0009223E">
        <w:rPr>
          <w:lang w:val="en-GB"/>
        </w:rPr>
        <w:t xml:space="preserve">method </w:t>
      </w:r>
      <w:r w:rsidR="00D03BA4" w:rsidRPr="0009223E">
        <w:rPr>
          <w:lang w:val="en-GB"/>
        </w:rPr>
        <w:t>already present in the code</w:t>
      </w:r>
      <w:r w:rsidR="00D35619" w:rsidRPr="0009223E">
        <w:rPr>
          <w:lang w:val="en-GB"/>
        </w:rPr>
        <w:t>. Being the implementation main</w:t>
      </w:r>
      <w:r w:rsidR="0054359A">
        <w:rPr>
          <w:lang w:val="en-GB"/>
        </w:rPr>
        <w:t>ly</w:t>
      </w:r>
      <w:r w:rsidR="00D35619" w:rsidRPr="0009223E">
        <w:rPr>
          <w:lang w:val="en-GB"/>
        </w:rPr>
        <w:t xml:space="preserve"> targeted to the reconstruction of odorous emissions, results from the two methods are also compared with </w:t>
      </w:r>
      <w:r w:rsidR="00D03BA4" w:rsidRPr="0009223E">
        <w:rPr>
          <w:lang w:val="en-GB"/>
        </w:rPr>
        <w:t xml:space="preserve">a </w:t>
      </w:r>
      <w:r w:rsidR="00D35619" w:rsidRPr="0009223E">
        <w:rPr>
          <w:lang w:val="en-GB"/>
        </w:rPr>
        <w:t>more trivial peak-to-mean parameterization widely used in this field, to understand the main differences that can arise.</w:t>
      </w:r>
    </w:p>
    <w:p w14:paraId="69B01B78" w14:textId="0BBA8DB8" w:rsidR="009A4EB2" w:rsidRPr="0009223E" w:rsidRDefault="009A4EB2" w:rsidP="009A4EB2">
      <w:pPr>
        <w:pStyle w:val="CETHeading1"/>
        <w:rPr>
          <w:lang w:val="en-GB"/>
        </w:rPr>
      </w:pPr>
      <w:r w:rsidRPr="0009223E">
        <w:rPr>
          <w:lang w:val="en-GB"/>
        </w:rPr>
        <w:t xml:space="preserve">Theoretical description of the </w:t>
      </w:r>
      <w:r w:rsidR="001E771E" w:rsidRPr="0009223E">
        <w:rPr>
          <w:lang w:val="en-GB"/>
        </w:rPr>
        <w:t xml:space="preserve">SPRAY </w:t>
      </w:r>
      <w:r w:rsidRPr="0009223E">
        <w:rPr>
          <w:lang w:val="en-GB"/>
        </w:rPr>
        <w:t>model</w:t>
      </w:r>
    </w:p>
    <w:p w14:paraId="07A540B5" w14:textId="4A8A2642" w:rsidR="009A4EB2" w:rsidRPr="0009223E" w:rsidRDefault="00FA6B56" w:rsidP="00FA6B56">
      <w:pPr>
        <w:pStyle w:val="CETBodytext"/>
        <w:rPr>
          <w:lang w:val="en-GB"/>
        </w:rPr>
      </w:pPr>
      <w:r w:rsidRPr="0009223E">
        <w:rPr>
          <w:lang w:val="en-GB"/>
        </w:rPr>
        <w:t xml:space="preserve">In the </w:t>
      </w:r>
      <w:proofErr w:type="spellStart"/>
      <w:r w:rsidRPr="0009223E">
        <w:rPr>
          <w:lang w:val="en-GB"/>
        </w:rPr>
        <w:t>Lagrangian</w:t>
      </w:r>
      <w:proofErr w:type="spellEnd"/>
      <w:r w:rsidRPr="0009223E">
        <w:rPr>
          <w:lang w:val="en-GB"/>
        </w:rPr>
        <w:t xml:space="preserve"> Particle SPRAY code, the dispersion of an airborne pollutant is simulated following the motion of a large number of fictitious particles. Each particle moves through a ‘‘transport’’ component of the </w:t>
      </w:r>
      <w:r w:rsidR="00D03BA4" w:rsidRPr="0009223E">
        <w:rPr>
          <w:lang w:val="en-GB"/>
        </w:rPr>
        <w:t xml:space="preserve">velocity </w:t>
      </w:r>
      <w:r w:rsidRPr="0009223E">
        <w:rPr>
          <w:lang w:val="en-GB"/>
        </w:rPr>
        <w:t xml:space="preserve">provided by an external meteorological driver and a stochastic or ‘‘turbulent’’ component obtained by solving a 3-D form of a Langevin equation defined </w:t>
      </w:r>
      <w:r w:rsidR="00135A35" w:rsidRPr="0009223E">
        <w:rPr>
          <w:lang w:val="en-GB"/>
        </w:rPr>
        <w:t xml:space="preserve">in its general form, </w:t>
      </w:r>
      <w:r w:rsidRPr="0009223E">
        <w:rPr>
          <w:lang w:val="en-GB"/>
        </w:rPr>
        <w:t>following Thomson (1987) as:</w:t>
      </w:r>
    </w:p>
    <w:p w14:paraId="46BCBA9D" w14:textId="698BAC2B" w:rsidR="00135A35" w:rsidRPr="0009223E" w:rsidRDefault="00135A35" w:rsidP="00F936E9">
      <w:pPr>
        <w:pStyle w:val="CETEquation"/>
      </w:pPr>
      <m:oMathPara>
        <m:oMath>
          <m:r>
            <w:rPr>
              <w:rFonts w:ascii="Cambria Math" w:hAnsi="Cambria Math"/>
            </w:rPr>
            <m:t>d</m:t>
          </m:r>
          <m:sSub>
            <m:sSubPr>
              <m:ctrlPr>
                <w:rPr>
                  <w:rFonts w:ascii="Cambria Math" w:hAnsi="Cambria Math"/>
                </w:rPr>
              </m:ctrlPr>
            </m:sSubPr>
            <m:e>
              <m:r>
                <w:rPr>
                  <w:rFonts w:ascii="Cambria Math" w:hAnsi="Cambria Math"/>
                </w:rPr>
                <m:t>u</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i</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m:rPr>
                  <m:sty m:val="bi"/>
                </m:rPr>
                <w:rPr>
                  <w:rFonts w:ascii="Cambria Math" w:hAnsi="Cambria Math"/>
                </w:rPr>
                <m:t>u</m:t>
              </m:r>
              <m:r>
                <m:rPr>
                  <m:sty m:val="p"/>
                </m:rPr>
                <w:rPr>
                  <w:rFonts w:ascii="Cambria Math" w:hAnsi="Cambria Math"/>
                </w:rPr>
                <m:t>,</m:t>
              </m:r>
              <m:r>
                <w:rPr>
                  <w:rFonts w:ascii="Cambria Math" w:hAnsi="Cambria Math"/>
                </w:rPr>
                <m:t>t</m:t>
              </m:r>
            </m:e>
          </m:d>
          <m:r>
            <w:rPr>
              <w:rFonts w:ascii="Cambria Math" w:hAnsi="Cambria Math"/>
            </w:rPr>
            <m:t>dt</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ij</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m:rPr>
                  <m:sty m:val="bi"/>
                </m:rPr>
                <w:rPr>
                  <w:rFonts w:ascii="Cambria Math" w:hAnsi="Cambria Math"/>
                </w:rPr>
                <m:t>u</m:t>
              </m:r>
              <m:r>
                <m:rPr>
                  <m:sty m:val="p"/>
                </m:rPr>
                <w:rPr>
                  <w:rFonts w:ascii="Cambria Math" w:hAnsi="Cambria Math"/>
                </w:rPr>
                <m:t>,</m:t>
              </m:r>
              <m:r>
                <w:rPr>
                  <w:rFonts w:ascii="Cambria Math" w:hAnsi="Cambria Math"/>
                </w:rPr>
                <m:t>t</m:t>
              </m:r>
            </m:e>
          </m:d>
          <m:r>
            <w:rPr>
              <w:rFonts w:ascii="Cambria Math" w:hAnsi="Cambria Math"/>
            </w:rPr>
            <m:t>d</m:t>
          </m:r>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t</m:t>
              </m:r>
            </m:e>
          </m:d>
        </m:oMath>
      </m:oMathPara>
    </w:p>
    <w:p w14:paraId="7CEA33F4" w14:textId="3AC19FF7" w:rsidR="00283A00" w:rsidRDefault="00135A35" w:rsidP="00986B69">
      <w:pPr>
        <w:pStyle w:val="CETBodytext"/>
        <w:rPr>
          <w:lang w:val="en-GB"/>
        </w:rPr>
      </w:pPr>
      <w:r w:rsidRPr="0009223E">
        <w:rPr>
          <w:lang w:val="en-GB"/>
        </w:rPr>
        <w:t xml:space="preserve">where </w:t>
      </w:r>
      <w:r w:rsidRPr="0009223E">
        <w:rPr>
          <w:rFonts w:ascii="Cambria Math" w:hAnsi="Cambria Math"/>
          <w:b/>
          <w:bCs/>
          <w:i/>
          <w:iCs/>
          <w:sz w:val="20"/>
          <w:lang w:val="en-GB"/>
        </w:rPr>
        <w:t xml:space="preserve">x </w:t>
      </w:r>
      <w:r w:rsidRPr="0009223E">
        <w:rPr>
          <w:lang w:val="en-GB"/>
        </w:rPr>
        <w:t xml:space="preserve">represents the vector of the particle position, and </w:t>
      </w:r>
      <w:r w:rsidRPr="0009223E">
        <w:rPr>
          <w:rFonts w:ascii="Cambria Math" w:hAnsi="Cambria Math"/>
          <w:b/>
          <w:bCs/>
          <w:i/>
          <w:iCs/>
          <w:sz w:val="20"/>
          <w:lang w:val="en-GB"/>
        </w:rPr>
        <w:t>u</w:t>
      </w:r>
      <w:r w:rsidRPr="0009223E">
        <w:rPr>
          <w:lang w:val="en-GB"/>
        </w:rPr>
        <w:t xml:space="preserve"> the </w:t>
      </w:r>
      <w:proofErr w:type="spellStart"/>
      <w:r w:rsidRPr="0009223E">
        <w:rPr>
          <w:lang w:val="en-GB"/>
        </w:rPr>
        <w:t>Lagrangian</w:t>
      </w:r>
      <w:proofErr w:type="spellEnd"/>
      <w:r w:rsidRPr="0009223E">
        <w:rPr>
          <w:lang w:val="en-GB"/>
        </w:rPr>
        <w:t xml:space="preserve"> velocity vector, </w:t>
      </w:r>
      <w:r w:rsidR="00274B6B" w:rsidRPr="0009223E">
        <w:rPr>
          <w:rFonts w:ascii="Cambria Math" w:hAnsi="Cambria Math"/>
          <w:i/>
          <w:lang w:val="en-GB"/>
        </w:rPr>
        <w:br/>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i</m:t>
            </m:r>
          </m:sub>
        </m:sSub>
        <m:d>
          <m:dPr>
            <m:ctrlPr>
              <w:rPr>
                <w:rFonts w:ascii="Cambria Math" w:hAnsi="Cambria Math"/>
                <w:i/>
                <w:lang w:val="en-GB"/>
              </w:rPr>
            </m:ctrlPr>
          </m:dPr>
          <m:e>
            <m:r>
              <m:rPr>
                <m:sty m:val="bi"/>
              </m:rPr>
              <w:rPr>
                <w:rFonts w:ascii="Cambria Math" w:hAnsi="Cambria Math"/>
                <w:lang w:val="en-GB"/>
              </w:rPr>
              <m:t>x</m:t>
            </m:r>
            <m:r>
              <w:rPr>
                <w:rFonts w:ascii="Cambria Math" w:hAnsi="Cambria Math"/>
                <w:lang w:val="en-GB"/>
              </w:rPr>
              <m:t>,</m:t>
            </m:r>
            <m:r>
              <m:rPr>
                <m:sty m:val="bi"/>
              </m:rPr>
              <w:rPr>
                <w:rFonts w:ascii="Cambria Math" w:hAnsi="Cambria Math"/>
                <w:lang w:val="en-GB"/>
              </w:rPr>
              <m:t>u</m:t>
            </m:r>
            <m:r>
              <w:rPr>
                <w:rFonts w:ascii="Cambria Math" w:hAnsi="Cambria Math"/>
                <w:lang w:val="en-GB"/>
              </w:rPr>
              <m:t>,t</m:t>
            </m:r>
          </m:e>
        </m:d>
        <m:r>
          <w:rPr>
            <w:rFonts w:ascii="Cambria Math" w:hAnsi="Cambria Math"/>
            <w:lang w:val="en-GB"/>
          </w:rPr>
          <m:t>dt</m:t>
        </m:r>
      </m:oMath>
      <w:r w:rsidR="00274B6B" w:rsidRPr="0009223E">
        <w:rPr>
          <w:rFonts w:ascii="Cambria Math" w:hAnsi="Cambria Math"/>
          <w:i/>
          <w:lang w:val="en-GB"/>
        </w:rPr>
        <w:t xml:space="preserve"> </w:t>
      </w:r>
      <w:r w:rsidR="00274B6B" w:rsidRPr="0009223E">
        <w:rPr>
          <w:lang w:val="en-GB"/>
        </w:rPr>
        <w:t>is a deterministic term depending on Eulerian probability density function (PDF) of the turbulent velocity, determined from the Fokker–Planck equation and</w:t>
      </w:r>
      <w:r w:rsidR="00274B6B" w:rsidRPr="0009223E">
        <w:rPr>
          <w:rFonts w:ascii="Cambria Math" w:hAnsi="Cambria Math"/>
          <w:i/>
          <w:lang w:val="en-GB"/>
        </w:rPr>
        <w:br/>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ij</m:t>
            </m:r>
          </m:sub>
        </m:sSub>
        <m:d>
          <m:dPr>
            <m:ctrlPr>
              <w:rPr>
                <w:rFonts w:ascii="Cambria Math" w:hAnsi="Cambria Math"/>
                <w:i/>
                <w:lang w:val="en-GB"/>
              </w:rPr>
            </m:ctrlPr>
          </m:dPr>
          <m:e>
            <m:r>
              <m:rPr>
                <m:sty m:val="bi"/>
              </m:rPr>
              <w:rPr>
                <w:rFonts w:ascii="Cambria Math" w:hAnsi="Cambria Math"/>
                <w:lang w:val="en-GB"/>
              </w:rPr>
              <m:t>x</m:t>
            </m:r>
            <m:r>
              <w:rPr>
                <w:rFonts w:ascii="Cambria Math" w:hAnsi="Cambria Math"/>
                <w:lang w:val="en-GB"/>
              </w:rPr>
              <m:t>,</m:t>
            </m:r>
            <m:r>
              <m:rPr>
                <m:sty m:val="bi"/>
              </m:rPr>
              <w:rPr>
                <w:rFonts w:ascii="Cambria Math" w:hAnsi="Cambria Math"/>
                <w:lang w:val="en-GB"/>
              </w:rPr>
              <m:t>u</m:t>
            </m:r>
            <m:r>
              <w:rPr>
                <w:rFonts w:ascii="Cambria Math" w:hAnsi="Cambria Math"/>
                <w:lang w:val="en-GB"/>
              </w:rPr>
              <m:t>,t</m:t>
            </m:r>
          </m:e>
        </m:d>
        <m:r>
          <w:rPr>
            <w:rFonts w:ascii="Cambria Math" w:hAnsi="Cambria Math"/>
            <w:lang w:val="en-GB"/>
          </w:rPr>
          <m:t>d</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j</m:t>
            </m:r>
          </m:sub>
        </m:sSub>
        <m:d>
          <m:dPr>
            <m:ctrlPr>
              <w:rPr>
                <w:rFonts w:ascii="Cambria Math" w:hAnsi="Cambria Math"/>
                <w:i/>
                <w:lang w:val="en-GB"/>
              </w:rPr>
            </m:ctrlPr>
          </m:dPr>
          <m:e>
            <m:r>
              <w:rPr>
                <w:rFonts w:ascii="Cambria Math" w:hAnsi="Cambria Math"/>
                <w:lang w:val="en-GB"/>
              </w:rPr>
              <m:t>t</m:t>
            </m:r>
          </m:e>
        </m:d>
      </m:oMath>
      <w:r w:rsidR="00274B6B" w:rsidRPr="0009223E">
        <w:rPr>
          <w:rFonts w:ascii="Cambria Math" w:hAnsi="Cambria Math"/>
          <w:i/>
          <w:lang w:val="en-GB"/>
        </w:rPr>
        <w:t xml:space="preserve"> </w:t>
      </w:r>
      <w:r w:rsidR="00274B6B" w:rsidRPr="0009223E">
        <w:rPr>
          <w:lang w:val="en-GB"/>
        </w:rPr>
        <w:t xml:space="preserve">represents a stochastic term where </w:t>
      </w:r>
      <m:oMath>
        <m:r>
          <w:rPr>
            <w:rFonts w:ascii="Cambria Math" w:hAnsi="Cambria Math"/>
            <w:lang w:val="en-GB"/>
          </w:rPr>
          <m:t>d</m:t>
        </m:r>
        <m:sSub>
          <m:sSubPr>
            <m:ctrlPr>
              <w:rPr>
                <w:rFonts w:ascii="Cambria Math" w:hAnsi="Cambria Math"/>
                <w:i/>
                <w:lang w:val="en-GB"/>
              </w:rPr>
            </m:ctrlPr>
          </m:sSubPr>
          <m:e>
            <m:r>
              <w:rPr>
                <w:rFonts w:ascii="Cambria Math" w:hAnsi="Cambria Math"/>
                <w:lang w:val="en-GB"/>
              </w:rPr>
              <m:t>W</m:t>
            </m:r>
          </m:e>
          <m:sub>
            <m:r>
              <w:rPr>
                <w:rFonts w:ascii="Cambria Math" w:hAnsi="Cambria Math"/>
                <w:lang w:val="en-GB"/>
              </w:rPr>
              <m:t>j</m:t>
            </m:r>
          </m:sub>
        </m:sSub>
        <m:d>
          <m:dPr>
            <m:ctrlPr>
              <w:rPr>
                <w:rFonts w:ascii="Cambria Math" w:hAnsi="Cambria Math"/>
                <w:i/>
                <w:lang w:val="en-GB"/>
              </w:rPr>
            </m:ctrlPr>
          </m:dPr>
          <m:e>
            <m:r>
              <w:rPr>
                <w:rFonts w:ascii="Cambria Math" w:hAnsi="Cambria Math"/>
                <w:lang w:val="en-GB"/>
              </w:rPr>
              <m:t>t</m:t>
            </m:r>
          </m:e>
        </m:d>
      </m:oMath>
      <w:r w:rsidR="00274B6B" w:rsidRPr="0009223E">
        <w:rPr>
          <w:lang w:val="en-GB"/>
        </w:rPr>
        <w:t xml:space="preserve"> is the incremental Wiener process. Each particle carries a mass of pollutants that in case of odorous emission can be considered in terms of “</w:t>
      </w:r>
      <w:r w:rsidR="00D03BA4" w:rsidRPr="0009223E">
        <w:rPr>
          <w:lang w:val="en-GB"/>
        </w:rPr>
        <w:t>O</w:t>
      </w:r>
      <w:r w:rsidR="00274B6B" w:rsidRPr="0009223E">
        <w:rPr>
          <w:lang w:val="en-GB"/>
        </w:rPr>
        <w:t xml:space="preserve">dour </w:t>
      </w:r>
      <w:r w:rsidR="00D03BA4" w:rsidRPr="0009223E">
        <w:rPr>
          <w:lang w:val="en-GB"/>
        </w:rPr>
        <w:t>U</w:t>
      </w:r>
      <w:r w:rsidR="00274B6B" w:rsidRPr="0009223E">
        <w:rPr>
          <w:lang w:val="en-GB"/>
        </w:rPr>
        <w:t>nit</w:t>
      </w:r>
      <w:r w:rsidR="00D03BA4" w:rsidRPr="0009223E">
        <w:rPr>
          <w:lang w:val="en-GB"/>
        </w:rPr>
        <w:t>s</w:t>
      </w:r>
      <w:r w:rsidR="00274B6B" w:rsidRPr="0009223E">
        <w:rPr>
          <w:lang w:val="en-GB"/>
        </w:rPr>
        <w:t xml:space="preserve">” and ensemble average concentrations can be computed considering the total mass of all the particles contained into control volumes </w:t>
      </w:r>
      <w:r w:rsidR="00780C3C" w:rsidRPr="0009223E">
        <w:rPr>
          <w:lang w:val="en-GB"/>
        </w:rPr>
        <w:t>of a 3D grid.</w:t>
      </w:r>
      <w:r w:rsidR="001E771E" w:rsidRPr="0009223E">
        <w:rPr>
          <w:lang w:val="en-GB"/>
        </w:rPr>
        <w:t xml:space="preserve"> Although </w:t>
      </w:r>
      <w:proofErr w:type="spellStart"/>
      <w:r w:rsidR="005A1A3D" w:rsidRPr="0009223E">
        <w:rPr>
          <w:lang w:val="en-GB"/>
        </w:rPr>
        <w:t>Lagrangian</w:t>
      </w:r>
      <w:proofErr w:type="spellEnd"/>
      <w:r w:rsidR="005A1A3D" w:rsidRPr="0009223E">
        <w:rPr>
          <w:lang w:val="en-GB"/>
        </w:rPr>
        <w:t xml:space="preserve"> Particle Dispersion Models </w:t>
      </w:r>
      <w:r w:rsidR="005A1A3D">
        <w:rPr>
          <w:lang w:val="en-GB"/>
        </w:rPr>
        <w:t xml:space="preserve">are </w:t>
      </w:r>
      <w:r w:rsidR="001E771E" w:rsidRPr="0009223E">
        <w:rPr>
          <w:lang w:val="en-GB"/>
        </w:rPr>
        <w:t>used in many situations to describe the dispersion in complex conditions</w:t>
      </w:r>
      <w:r w:rsidR="00D31008">
        <w:rPr>
          <w:lang w:val="en-GB"/>
        </w:rPr>
        <w:t xml:space="preserve">, </w:t>
      </w:r>
      <w:r w:rsidR="005A1A3D">
        <w:rPr>
          <w:lang w:val="en-GB"/>
        </w:rPr>
        <w:t xml:space="preserve">they </w:t>
      </w:r>
      <w:r w:rsidR="001E771E" w:rsidRPr="0009223E">
        <w:rPr>
          <w:lang w:val="en-GB"/>
        </w:rPr>
        <w:t xml:space="preserve">cannot in principle directly address the calculation of concentration fluctuations </w:t>
      </w:r>
      <w:r w:rsidR="001C01B5" w:rsidRPr="0009223E">
        <w:rPr>
          <w:lang w:val="en-GB"/>
        </w:rPr>
        <w:t>useful for a correct</w:t>
      </w:r>
      <w:r w:rsidR="001E771E" w:rsidRPr="0009223E">
        <w:rPr>
          <w:lang w:val="en-GB"/>
        </w:rPr>
        <w:t xml:space="preserve"> estimation of instantaneous </w:t>
      </w:r>
      <w:r w:rsidR="005862BA" w:rsidRPr="0009223E">
        <w:rPr>
          <w:lang w:val="en-GB"/>
        </w:rPr>
        <w:t>concentrations</w:t>
      </w:r>
      <w:r w:rsidR="001C01B5" w:rsidRPr="0009223E">
        <w:rPr>
          <w:lang w:val="en-GB"/>
        </w:rPr>
        <w:t>.</w:t>
      </w:r>
      <w:r w:rsidR="00D03BA4" w:rsidRPr="0009223E">
        <w:rPr>
          <w:lang w:val="en-GB"/>
        </w:rPr>
        <w:t xml:space="preserve"> </w:t>
      </w:r>
    </w:p>
    <w:p w14:paraId="42F9309F" w14:textId="57F213B0" w:rsidR="00986B69" w:rsidRPr="0009223E" w:rsidRDefault="00986B69" w:rsidP="00986B69">
      <w:pPr>
        <w:pStyle w:val="CETBodytext"/>
        <w:rPr>
          <w:lang w:val="en-GB"/>
        </w:rPr>
      </w:pPr>
      <w:r w:rsidRPr="0009223E">
        <w:rPr>
          <w:lang w:val="en-GB"/>
        </w:rPr>
        <w:t xml:space="preserve">Currently, the simplified VTE method to compute concentration </w:t>
      </w:r>
      <w:r w:rsidR="0087150E" w:rsidRPr="0009223E">
        <w:rPr>
          <w:lang w:val="en-GB"/>
        </w:rPr>
        <w:t>variances</w:t>
      </w:r>
      <w:r w:rsidRPr="0009223E">
        <w:rPr>
          <w:lang w:val="en-GB"/>
        </w:rPr>
        <w:t xml:space="preserve"> is implemented into the SPRAY code as follows. A</w:t>
      </w:r>
      <w:r w:rsidR="0087150E" w:rsidRPr="0009223E">
        <w:rPr>
          <w:lang w:val="en-GB"/>
        </w:rPr>
        <w:t>n</w:t>
      </w:r>
      <w:r w:rsidRPr="0009223E">
        <w:rPr>
          <w:lang w:val="en-GB"/>
        </w:rPr>
        <w:t xml:space="preserve"> instantaneous concentration </w:t>
      </w:r>
      <w:r w:rsidRPr="001E106E">
        <w:rPr>
          <w:i/>
          <w:iCs/>
          <w:lang w:val="en-GB"/>
        </w:rPr>
        <w:t>c</w:t>
      </w:r>
      <w:r w:rsidRPr="0009223E">
        <w:rPr>
          <w:lang w:val="en-GB"/>
        </w:rPr>
        <w:t xml:space="preserve"> can be supposed as the sum of an (time or ensemble) average value </w:t>
      </w:r>
      <w:r w:rsidRPr="001E106E">
        <w:rPr>
          <w:i/>
          <w:iCs/>
          <w:lang w:val="en-GB"/>
        </w:rPr>
        <w:t>C</w:t>
      </w:r>
      <w:r w:rsidRPr="0009223E">
        <w:rPr>
          <w:lang w:val="en-GB"/>
        </w:rPr>
        <w:t xml:space="preserve"> plus a fluctuation </w:t>
      </w:r>
      <w:r w:rsidRPr="0009223E">
        <w:rPr>
          <w:i/>
          <w:iCs/>
          <w:lang w:val="en-GB"/>
        </w:rPr>
        <w:t>c’</w:t>
      </w:r>
      <w:r w:rsidRPr="0009223E">
        <w:rPr>
          <w:lang w:val="en-GB"/>
        </w:rPr>
        <w:t xml:space="preserve">. In general, the conservation equation for the concentration variance </w:t>
      </w:r>
      <w:r w:rsidRPr="0009223E">
        <w:rPr>
          <w:i/>
          <w:iCs/>
          <w:lang w:val="en-GB"/>
        </w:rPr>
        <w:t>c’</w:t>
      </w:r>
      <w:r w:rsidRPr="0009223E">
        <w:rPr>
          <w:i/>
          <w:iCs/>
          <w:vertAlign w:val="superscript"/>
          <w:lang w:val="en-GB"/>
        </w:rPr>
        <w:t>2</w:t>
      </w:r>
      <w:r w:rsidRPr="0009223E">
        <w:rPr>
          <w:lang w:val="en-GB"/>
        </w:rPr>
        <w:t xml:space="preserve"> can be written (Stull, 1989, </w:t>
      </w:r>
      <w:proofErr w:type="spellStart"/>
      <w:r w:rsidRPr="0009223E">
        <w:rPr>
          <w:lang w:val="en-GB"/>
        </w:rPr>
        <w:t>Milliez</w:t>
      </w:r>
      <w:proofErr w:type="spellEnd"/>
      <w:r w:rsidRPr="0009223E">
        <w:rPr>
          <w:lang w:val="en-GB"/>
        </w:rPr>
        <w:t xml:space="preserve"> and </w:t>
      </w:r>
      <w:proofErr w:type="spellStart"/>
      <w:r w:rsidRPr="0009223E">
        <w:rPr>
          <w:lang w:val="en-GB"/>
        </w:rPr>
        <w:t>Carissimo</w:t>
      </w:r>
      <w:proofErr w:type="spellEnd"/>
      <w:r w:rsidRPr="0009223E">
        <w:rPr>
          <w:lang w:val="en-GB"/>
        </w:rPr>
        <w:t>, 2008) in the following form:</w:t>
      </w:r>
    </w:p>
    <w:p w14:paraId="1621A365" w14:textId="004BA3AB" w:rsidR="00F936E9" w:rsidRPr="0009223E" w:rsidRDefault="002A115B" w:rsidP="00F936E9">
      <w:pPr>
        <w:pStyle w:val="CETEquation"/>
      </w:pPr>
      <m:oMathPara>
        <m:oMath>
          <m:f>
            <m:fPr>
              <m:ctrlPr>
                <w:rPr>
                  <w:rFonts w:ascii="Cambria Math" w:hAnsi="Cambria Math"/>
                </w:rPr>
              </m:ctrlPr>
            </m:fPr>
            <m:num>
              <m:r>
                <w:rPr>
                  <w:rFonts w:ascii="Cambria Math" w:hAnsi="Cambria Math"/>
                </w:rPr>
                <m:t>∂</m:t>
              </m:r>
              <m:acc>
                <m:accPr>
                  <m:chr m:val="̅"/>
                  <m:ctrlPr>
                    <w:rPr>
                      <w:rFonts w:ascii="Cambria Math" w:hAnsi="Cambria Math"/>
                    </w:rPr>
                  </m:ctrlPr>
                </m:accPr>
                <m:e>
                  <m:sSup>
                    <m:sSupPr>
                      <m:ctrlPr>
                        <w:rPr>
                          <w:rFonts w:ascii="Cambria Math" w:hAnsi="Cambria Math"/>
                        </w:rPr>
                      </m:ctrlPr>
                    </m:sSupPr>
                    <m:e>
                      <m:r>
                        <w:rPr>
                          <w:rFonts w:ascii="Cambria Math" w:hAnsi="Cambria Math"/>
                        </w:rPr>
                        <m:t>c</m:t>
                      </m:r>
                    </m:e>
                    <m:sup>
                      <m:r>
                        <m:rPr>
                          <m:sty m:val="p"/>
                        </m:rPr>
                        <w:rPr>
                          <w:rFonts w:ascii="Cambria Math" w:hAnsi="Cambria Math"/>
                        </w:rPr>
                        <m:t>'2</m:t>
                      </m:r>
                    </m:sup>
                  </m:sSup>
                </m:e>
              </m:acc>
            </m:num>
            <m:den>
              <m:r>
                <w:rPr>
                  <w:rFonts w:ascii="Cambria Math" w:hAnsi="Cambria Math"/>
                </w:rPr>
                <m:t>∂t</m:t>
              </m:r>
            </m:den>
          </m:f>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j</m:t>
              </m:r>
            </m:sub>
          </m:sSub>
          <m:f>
            <m:fPr>
              <m:ctrlPr>
                <w:rPr>
                  <w:rFonts w:ascii="Cambria Math" w:hAnsi="Cambria Math"/>
                </w:rPr>
              </m:ctrlPr>
            </m:fPr>
            <m:num>
              <m:r>
                <w:rPr>
                  <w:rFonts w:ascii="Cambria Math" w:hAnsi="Cambria Math"/>
                </w:rPr>
                <m:t>∂</m:t>
              </m:r>
              <m:acc>
                <m:accPr>
                  <m:chr m:val="̅"/>
                  <m:ctrlPr>
                    <w:rPr>
                      <w:rFonts w:ascii="Cambria Math" w:hAnsi="Cambria Math"/>
                    </w:rPr>
                  </m:ctrlPr>
                </m:accPr>
                <m:e>
                  <m:sSup>
                    <m:sSupPr>
                      <m:ctrlPr>
                        <w:rPr>
                          <w:rFonts w:ascii="Cambria Math" w:hAnsi="Cambria Math"/>
                        </w:rPr>
                      </m:ctrlPr>
                    </m:sSupPr>
                    <m:e>
                      <m:r>
                        <w:rPr>
                          <w:rFonts w:ascii="Cambria Math" w:hAnsi="Cambria Math"/>
                        </w:rPr>
                        <m:t>c</m:t>
                      </m:r>
                    </m:e>
                    <m:sup>
                      <m:r>
                        <m:rPr>
                          <m:sty m:val="p"/>
                        </m:rPr>
                        <w:rPr>
                          <w:rFonts w:ascii="Cambria Math" w:hAnsi="Cambria Math"/>
                        </w:rPr>
                        <m:t>'2</m:t>
                      </m:r>
                    </m:sup>
                  </m:sSup>
                </m:e>
              </m:acc>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r>
            <m:rPr>
              <m:sty m:val="p"/>
            </m:rPr>
            <w:rPr>
              <w:rFonts w:ascii="Cambria Math" w:hAnsi="Cambria Math"/>
            </w:rPr>
            <m:t>=-2</m:t>
          </m:r>
          <m:sSub>
            <m:sSubPr>
              <m:ctrlPr>
                <w:rPr>
                  <w:rFonts w:ascii="Cambria Math" w:hAnsi="Cambria Math"/>
                </w:rPr>
              </m:ctrlPr>
            </m:sSubPr>
            <m:e>
              <m:r>
                <w:rPr>
                  <w:rFonts w:ascii="Cambria Math" w:hAnsi="Cambria Math"/>
                </w:rPr>
                <m:t>ν</m:t>
              </m:r>
            </m:e>
            <m:sub>
              <m:r>
                <w:rPr>
                  <w:rFonts w:ascii="Cambria Math" w:hAnsi="Cambria Math"/>
                </w:rPr>
                <m:t>C</m:t>
              </m:r>
            </m:sub>
          </m:sSub>
          <m:acc>
            <m:accPr>
              <m:chr m:val="̅"/>
              <m:ctrlPr>
                <w:rPr>
                  <w:rFonts w:ascii="Cambria Math" w:hAnsi="Cambria Math"/>
                </w:rPr>
              </m:ctrlPr>
            </m:acc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m:t>
                              </m:r>
                            </m:sup>
                          </m:sSup>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m:rPr>
                      <m:sty m:val="p"/>
                    </m:rPr>
                    <w:rPr>
                      <w:rFonts w:ascii="Cambria Math" w:hAnsi="Cambria Math"/>
                    </w:rPr>
                    <m:t>2</m:t>
                  </m:r>
                </m:sup>
              </m:sSup>
            </m:e>
          </m:acc>
          <m:r>
            <m:rPr>
              <m:sty m:val="p"/>
            </m:rPr>
            <w:rPr>
              <w:rFonts w:ascii="Cambria Math" w:hAnsi="Cambria Math"/>
            </w:rPr>
            <m:t>-</m:t>
          </m:r>
          <m:f>
            <m:fPr>
              <m:ctrlPr>
                <w:rPr>
                  <w:rFonts w:ascii="Cambria Math" w:hAnsi="Cambria Math"/>
                </w:rPr>
              </m:ctrlPr>
            </m:fPr>
            <m:num>
              <m:r>
                <w:rPr>
                  <w:rFonts w:ascii="Cambria Math" w:hAnsi="Cambria Math"/>
                </w:rPr>
                <m:t>∂</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d>
            <m:dPr>
              <m:ctrlPr>
                <w:rPr>
                  <w:rFonts w:ascii="Cambria Math" w:hAnsi="Cambria Math"/>
                </w:rPr>
              </m:ctrlPr>
            </m:dPr>
            <m:e>
              <m:acc>
                <m:accPr>
                  <m:chr m:val="̅"/>
                  <m:ctrlPr>
                    <w:rPr>
                      <w:rFonts w:ascii="Cambria Math" w:hAnsi="Cambria Math"/>
                    </w:rPr>
                  </m:ctrlPr>
                </m:accPr>
                <m:e>
                  <m:sSubSup>
                    <m:sSubSupPr>
                      <m:ctrlPr>
                        <w:rPr>
                          <w:rFonts w:ascii="Cambria Math" w:hAnsi="Cambria Math"/>
                        </w:rPr>
                      </m:ctrlPr>
                    </m:sSubSupPr>
                    <m:e>
                      <m:r>
                        <w:rPr>
                          <w:rFonts w:ascii="Cambria Math" w:hAnsi="Cambria Math"/>
                        </w:rPr>
                        <m:t>u</m:t>
                      </m:r>
                    </m:e>
                    <m:sub>
                      <m:r>
                        <w:rPr>
                          <w:rFonts w:ascii="Cambria Math" w:hAnsi="Cambria Math"/>
                        </w:rPr>
                        <m:t>j</m:t>
                      </m:r>
                    </m:sub>
                    <m:sup>
                      <m:r>
                        <m:rPr>
                          <m:sty m:val="p"/>
                        </m:rPr>
                        <w:rPr>
                          <w:rFonts w:ascii="Cambria Math" w:hAnsi="Cambria Math"/>
                        </w:rPr>
                        <m:t>'</m:t>
                      </m:r>
                    </m:sup>
                  </m:sSubSup>
                  <m:sSup>
                    <m:sSupPr>
                      <m:ctrlPr>
                        <w:rPr>
                          <w:rFonts w:ascii="Cambria Math" w:hAnsi="Cambria Math"/>
                        </w:rPr>
                      </m:ctrlPr>
                    </m:sSupPr>
                    <m:e>
                      <m:r>
                        <w:rPr>
                          <w:rFonts w:ascii="Cambria Math" w:hAnsi="Cambria Math"/>
                        </w:rPr>
                        <m:t>c</m:t>
                      </m:r>
                    </m:e>
                    <m:sup>
                      <m:r>
                        <m:rPr>
                          <m:sty m:val="p"/>
                        </m:rPr>
                        <w:rPr>
                          <w:rFonts w:ascii="Cambria Math" w:hAnsi="Cambria Math"/>
                        </w:rPr>
                        <m:t>'2</m:t>
                      </m:r>
                    </m:sup>
                  </m:sSup>
                </m:e>
              </m:acc>
            </m:e>
          </m:d>
          <m:r>
            <m:rPr>
              <m:sty m:val="p"/>
            </m:rPr>
            <w:rPr>
              <w:rFonts w:ascii="Cambria Math" w:hAnsi="Cambria Math"/>
            </w:rPr>
            <m:t>-2</m:t>
          </m:r>
          <m:acc>
            <m:accPr>
              <m:chr m:val="̅"/>
              <m:ctrlPr>
                <w:rPr>
                  <w:rFonts w:ascii="Cambria Math" w:hAnsi="Cambria Math"/>
                </w:rPr>
              </m:ctrlPr>
            </m:accPr>
            <m:e>
              <m:sSubSup>
                <m:sSubSupPr>
                  <m:ctrlPr>
                    <w:rPr>
                      <w:rFonts w:ascii="Cambria Math" w:hAnsi="Cambria Math"/>
                    </w:rPr>
                  </m:ctrlPr>
                </m:sSubSupPr>
                <m:e>
                  <m:r>
                    <w:rPr>
                      <w:rFonts w:ascii="Cambria Math" w:hAnsi="Cambria Math"/>
                    </w:rPr>
                    <m:t>u</m:t>
                  </m:r>
                </m:e>
                <m:sub>
                  <m:r>
                    <w:rPr>
                      <w:rFonts w:ascii="Cambria Math" w:hAnsi="Cambria Math"/>
                    </w:rPr>
                    <m:t>j</m:t>
                  </m:r>
                </m:sub>
                <m:sup>
                  <m:r>
                    <m:rPr>
                      <m:sty m:val="p"/>
                    </m:rPr>
                    <w:rPr>
                      <w:rFonts w:ascii="Cambria Math" w:hAnsi="Cambria Math"/>
                    </w:rPr>
                    <m:t>'</m:t>
                  </m:r>
                </m:sup>
              </m:sSubSup>
              <m:r>
                <w:rPr>
                  <w:rFonts w:ascii="Cambria Math" w:hAnsi="Cambria Math"/>
                </w:rPr>
                <m:t>c</m:t>
              </m:r>
              <m:r>
                <m:rPr>
                  <m:sty m:val="p"/>
                </m:rPr>
                <w:rPr>
                  <w:rFonts w:ascii="Cambria Math" w:hAnsi="Cambria Math"/>
                </w:rPr>
                <m:t>'</m:t>
              </m:r>
            </m:e>
          </m:acc>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m:rPr>
                  <m:sty m:val="p"/>
                </m:rPr>
                <w:rPr>
                  <w:rFonts w:ascii="Cambria Math" w:hAnsi="Cambria Math"/>
                </w:rPr>
                <m:t>2</m:t>
              </m:r>
            </m:sup>
          </m:sSup>
        </m:oMath>
      </m:oMathPara>
    </w:p>
    <w:p w14:paraId="47FC05F4" w14:textId="4873AA57" w:rsidR="00986B69" w:rsidRPr="0009223E" w:rsidRDefault="00986B69" w:rsidP="00986B69">
      <w:r w:rsidRPr="0009223E">
        <w:t>where the two terms on the left represent the storage and advection, the first term on the right represent</w:t>
      </w:r>
      <w:r w:rsidR="005A1A3D">
        <w:t>s</w:t>
      </w:r>
      <w:r w:rsidRPr="0009223E">
        <w:t xml:space="preserve"> the viscous dissipation, the second one represents the divergence of the turbulent flow and the third one the source term for the variance, proportional to the average concentration gradient. Following Hsieh (2007) and </w:t>
      </w:r>
      <w:proofErr w:type="spellStart"/>
      <w:r w:rsidRPr="0009223E">
        <w:t>Milliez</w:t>
      </w:r>
      <w:proofErr w:type="spellEnd"/>
      <w:r w:rsidRPr="0009223E">
        <w:t xml:space="preserve"> and </w:t>
      </w:r>
      <w:proofErr w:type="spellStart"/>
      <w:r w:rsidRPr="0009223E">
        <w:t>Carissimo</w:t>
      </w:r>
      <w:proofErr w:type="spellEnd"/>
      <w:r w:rsidRPr="0009223E">
        <w:t xml:space="preserve"> (2008) an algebraic closure for the molecular dissipation can be rewritten as:</w:t>
      </w:r>
    </w:p>
    <w:p w14:paraId="58F3778E" w14:textId="48A413ED" w:rsidR="00F936E9" w:rsidRPr="0009223E" w:rsidRDefault="00F936E9" w:rsidP="00F936E9">
      <w:pPr>
        <w:pStyle w:val="CETEquation"/>
      </w:pPr>
      <m:oMathPara>
        <m:oMath>
          <m:r>
            <w:rPr>
              <w:rFonts w:ascii="Cambria Math" w:hAnsi="Cambria Math"/>
            </w:rPr>
            <m:t>-2</m:t>
          </m:r>
          <m:sSub>
            <m:sSubPr>
              <m:ctrlPr>
                <w:rPr>
                  <w:rFonts w:ascii="Cambria Math" w:hAnsi="Cambria Math"/>
                  <w:i/>
                </w:rPr>
              </m:ctrlPr>
            </m:sSubPr>
            <m:e>
              <m:r>
                <w:rPr>
                  <w:rFonts w:ascii="Cambria Math" w:hAnsi="Cambria Math"/>
                </w:rPr>
                <m:t>ν</m:t>
              </m:r>
            </m:e>
            <m:sub>
              <m:r>
                <w:rPr>
                  <w:rFonts w:ascii="Cambria Math" w:hAnsi="Cambria Math"/>
                </w:rPr>
                <m:t>C</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m:t>
                          </m:r>
                        </m:sup>
                      </m:sSup>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c</m:t>
              </m:r>
            </m:sub>
          </m:sSub>
          <m:r>
            <w:rPr>
              <w:rFonts w:ascii="Cambria Math" w:hAnsi="Cambria Math"/>
            </w:rPr>
            <m:t>=</m:t>
          </m:r>
          <m:f>
            <m:fPr>
              <m:ctrlPr>
                <w:rPr>
                  <w:rFonts w:ascii="Cambria Math" w:hAnsi="Cambria Math"/>
                  <w:i/>
                </w:rPr>
              </m:ctrlPr>
            </m:fPr>
            <m:num>
              <m:acc>
                <m:accPr>
                  <m:chr m:val="̅"/>
                  <m:ctrlPr>
                    <w:rPr>
                      <w:rFonts w:ascii="Cambria Math" w:hAnsi="Cambria Math"/>
                      <w:i/>
                    </w:rPr>
                  </m:ctrlPr>
                </m:accPr>
                <m:e>
                  <m:sSup>
                    <m:sSupPr>
                      <m:ctrlPr>
                        <w:rPr>
                          <w:rFonts w:ascii="Cambria Math" w:hAnsi="Cambria Math"/>
                          <w:i/>
                        </w:rPr>
                      </m:ctrlPr>
                    </m:sSupPr>
                    <m:e>
                      <m:r>
                        <w:rPr>
                          <w:rFonts w:ascii="Cambria Math" w:hAnsi="Cambria Math"/>
                        </w:rPr>
                        <m:t>c</m:t>
                      </m:r>
                    </m:e>
                    <m:sup>
                      <m:r>
                        <w:rPr>
                          <w:rFonts w:ascii="Cambria Math" w:hAnsi="Cambria Math"/>
                        </w:rPr>
                        <m:t>'2</m:t>
                      </m:r>
                    </m:sup>
                  </m:sSup>
                </m:e>
              </m:acc>
            </m:num>
            <m:den>
              <m:sSub>
                <m:sSubPr>
                  <m:ctrlPr>
                    <w:rPr>
                      <w:rFonts w:ascii="Cambria Math" w:hAnsi="Cambria Math"/>
                      <w:i/>
                    </w:rPr>
                  </m:ctrlPr>
                </m:sSubPr>
                <m:e>
                  <m:r>
                    <w:rPr>
                      <w:rFonts w:ascii="Cambria Math" w:hAnsi="Cambria Math"/>
                    </w:rPr>
                    <m:t>t</m:t>
                  </m:r>
                </m:e>
                <m:sub>
                  <m:r>
                    <w:rPr>
                      <w:rFonts w:ascii="Cambria Math" w:hAnsi="Cambria Math"/>
                    </w:rPr>
                    <m:t>d</m:t>
                  </m:r>
                </m:sub>
              </m:sSub>
            </m:den>
          </m:f>
        </m:oMath>
      </m:oMathPara>
    </w:p>
    <w:p w14:paraId="202EFD11" w14:textId="0DB4F416" w:rsidR="00986B69" w:rsidRPr="0009223E" w:rsidRDefault="005A1A3D" w:rsidP="00986B69">
      <w:r>
        <w:t>w</w:t>
      </w:r>
      <w:r w:rsidRPr="0009223E">
        <w:t xml:space="preserve">here </w:t>
      </w:r>
      <w:r w:rsidR="00986B69" w:rsidRPr="0009223E">
        <w:rPr>
          <w:i/>
          <w:iCs/>
        </w:rPr>
        <w:t>t</w:t>
      </w:r>
      <w:r w:rsidR="00986B69" w:rsidRPr="0009223E">
        <w:rPr>
          <w:i/>
          <w:iCs/>
          <w:vertAlign w:val="subscript"/>
        </w:rPr>
        <w:t>d</w:t>
      </w:r>
      <w:r w:rsidR="00986B69" w:rsidRPr="0009223E">
        <w:t xml:space="preserve"> represents a dissipation time scale characteristic of the concentration variance decay. </w:t>
      </w:r>
      <w:r w:rsidR="0054359A">
        <w:t>For t</w:t>
      </w:r>
      <w:r w:rsidR="00986B69" w:rsidRPr="0009223E">
        <w:t>he third order term representing the turbulent divergence of the concentration variance a K closure can be adopted, obtaining:</w:t>
      </w:r>
    </w:p>
    <w:p w14:paraId="2EAA6789" w14:textId="1A487DC3" w:rsidR="007A3CA0" w:rsidRPr="0009223E" w:rsidRDefault="00D31008" w:rsidP="0054359A">
      <w:pPr>
        <w:pStyle w:val="CETEquation"/>
      </w:pPr>
      <w:r>
        <w:t xml:space="preserve">                                                                             </w:t>
      </w:r>
      <m:oMath>
        <m:acc>
          <m:accPr>
            <m:chr m:val="̅"/>
            <m:ctrlPr>
              <w:rPr>
                <w:rFonts w:ascii="Cambria Math" w:hAnsi="Cambria Math"/>
                <w:i/>
              </w:rPr>
            </m:ctrlPr>
          </m:accPr>
          <m:e>
            <m:sSubSup>
              <m:sSubSupPr>
                <m:ctrlPr>
                  <w:rPr>
                    <w:rFonts w:ascii="Cambria Math" w:hAnsi="Cambria Math"/>
                    <w:i/>
                  </w:rPr>
                </m:ctrlPr>
              </m:sSubSupPr>
              <m:e>
                <m:r>
                  <w:rPr>
                    <w:rFonts w:ascii="Cambria Math" w:hAnsi="Cambria Math"/>
                  </w:rPr>
                  <m:t>u</m:t>
                </m:r>
              </m:e>
              <m:sub>
                <m:r>
                  <w:rPr>
                    <w:rFonts w:ascii="Cambria Math" w:hAnsi="Cambria Math"/>
                  </w:rPr>
                  <m:t>j</m:t>
                </m:r>
              </m:sub>
              <m:sup>
                <m:r>
                  <w:rPr>
                    <w:rFonts w:ascii="Cambria Math" w:hAnsi="Cambria Math"/>
                  </w:rPr>
                  <m:t>'</m:t>
                </m:r>
              </m:sup>
            </m:sSubSup>
            <m:sSup>
              <m:sSupPr>
                <m:ctrlPr>
                  <w:rPr>
                    <w:rFonts w:ascii="Cambria Math" w:hAnsi="Cambria Math"/>
                    <w:i/>
                  </w:rPr>
                </m:ctrlPr>
              </m:sSupPr>
              <m:e>
                <m:r>
                  <w:rPr>
                    <w:rFonts w:ascii="Cambria Math" w:hAnsi="Cambria Math"/>
                  </w:rPr>
                  <m:t>c</m:t>
                </m:r>
              </m:e>
              <m:sup>
                <m:r>
                  <w:rPr>
                    <w:rFonts w:ascii="Cambria Math" w:hAnsi="Cambria Math"/>
                  </w:rPr>
                  <m:t>'</m:t>
                </m:r>
              </m:sup>
            </m:sSup>
          </m:e>
        </m:acc>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f>
          <m:fPr>
            <m:ctrlPr>
              <w:rPr>
                <w:rFonts w:ascii="Cambria Math" w:hAnsi="Cambria Math"/>
                <w:i/>
              </w:rPr>
            </m:ctrlPr>
          </m:fPr>
          <m:num>
            <m:r>
              <w:rPr>
                <w:rFonts w:ascii="Cambria Math" w:hAnsi="Cambria Math"/>
              </w:rPr>
              <m:t>∂C</m:t>
            </m:r>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den>
        </m:f>
      </m:oMath>
      <w:r>
        <w:t xml:space="preserve">           where:</w:t>
      </w:r>
    </w:p>
    <w:p w14:paraId="35D647D0" w14:textId="2D30CDF7" w:rsidR="00F936E9" w:rsidRPr="0009223E" w:rsidRDefault="002A115B" w:rsidP="00F936E9">
      <w:pPr>
        <w:pStyle w:val="CETEquation"/>
      </w:pPr>
      <m:oMathPara>
        <m:oMath>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u</m:t>
                  </m:r>
                </m:e>
                <m:sub>
                  <m:r>
                    <w:rPr>
                      <w:rFonts w:ascii="Cambria Math" w:hAnsi="Cambria Math"/>
                    </w:rPr>
                    <m:t>j</m:t>
                  </m:r>
                </m:sub>
              </m:sSub>
            </m:sub>
            <m:sup>
              <m:r>
                <w:rPr>
                  <w:rFonts w:ascii="Cambria Math" w:hAnsi="Cambria Math"/>
                </w:rPr>
                <m:t>2</m:t>
              </m:r>
            </m:sup>
          </m:sSubSup>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L</m:t>
                  </m:r>
                </m:e>
                <m:sub>
                  <m:r>
                    <w:rPr>
                      <w:rFonts w:ascii="Cambria Math" w:hAnsi="Cambria Math"/>
                    </w:rPr>
                    <m:t>j</m:t>
                  </m:r>
                </m:sub>
              </m:sSub>
            </m:sub>
          </m:sSub>
        </m:oMath>
      </m:oMathPara>
    </w:p>
    <w:p w14:paraId="29C72E01" w14:textId="77777777" w:rsidR="00986B69" w:rsidRPr="0009223E" w:rsidRDefault="00986B69" w:rsidP="00F936E9">
      <w:pPr>
        <w:widowControl w:val="0"/>
        <w:rPr>
          <w:rStyle w:val="jlqj4b"/>
        </w:rPr>
      </w:pPr>
      <w:proofErr w:type="spellStart"/>
      <w:r w:rsidRPr="0009223E">
        <w:t>Oettl</w:t>
      </w:r>
      <w:proofErr w:type="spellEnd"/>
      <w:r w:rsidRPr="0009223E">
        <w:t xml:space="preserve"> and Ferrero (2017) </w:t>
      </w:r>
      <w:r w:rsidRPr="0009223E">
        <w:rPr>
          <w:rStyle w:val="jlqj4b"/>
        </w:rPr>
        <w:t>evaluated the relative importance of the various terms inside the conservation equation for the concentration variance through some considerations derived from available measurements.</w:t>
      </w:r>
      <w:r w:rsidRPr="0009223E">
        <w:rPr>
          <w:rStyle w:val="viiyi"/>
        </w:rPr>
        <w:t xml:space="preserve"> </w:t>
      </w:r>
      <w:r w:rsidRPr="0009223E">
        <w:rPr>
          <w:rStyle w:val="jlqj4b"/>
        </w:rPr>
        <w:t>As a result, they estimated that the advection term on the left and the diffusion term on the right can be reasonably neglected, obtaining an equation independent from the mean flow field in the form:</w:t>
      </w:r>
    </w:p>
    <w:p w14:paraId="0F142A16" w14:textId="619AC0AE" w:rsidR="00F936E9" w:rsidRPr="0009223E" w:rsidRDefault="002A115B" w:rsidP="00F936E9">
      <w:pPr>
        <w:pStyle w:val="CETEquation"/>
        <w:rPr>
          <w:rStyle w:val="jlqj4b"/>
        </w:rPr>
      </w:pPr>
      <m:oMathPara>
        <m:oMath>
          <m:f>
            <m:fPr>
              <m:ctrlPr>
                <w:rPr>
                  <w:rFonts w:ascii="Cambria Math" w:hAnsi="Cambria Math"/>
                </w:rPr>
              </m:ctrlPr>
            </m:fPr>
            <m:num>
              <m:r>
                <w:rPr>
                  <w:rFonts w:ascii="Cambria Math" w:hAnsi="Cambria Math"/>
                </w:rPr>
                <m:t>∂</m:t>
              </m:r>
              <m:acc>
                <m:accPr>
                  <m:chr m:val="̅"/>
                  <m:ctrlPr>
                    <w:rPr>
                      <w:rFonts w:ascii="Cambria Math" w:hAnsi="Cambria Math"/>
                    </w:rPr>
                  </m:ctrlPr>
                </m:accPr>
                <m:e>
                  <m:sSup>
                    <m:sSupPr>
                      <m:ctrlPr>
                        <w:rPr>
                          <w:rFonts w:ascii="Cambria Math" w:hAnsi="Cambria Math"/>
                        </w:rPr>
                      </m:ctrlPr>
                    </m:sSupPr>
                    <m:e>
                      <m:r>
                        <w:rPr>
                          <w:rFonts w:ascii="Cambria Math" w:hAnsi="Cambria Math"/>
                        </w:rPr>
                        <m:t>c</m:t>
                      </m:r>
                    </m:e>
                    <m:sup>
                      <m:r>
                        <m:rPr>
                          <m:sty m:val="p"/>
                        </m:rPr>
                        <w:rPr>
                          <w:rFonts w:ascii="Cambria Math" w:hAnsi="Cambria Math"/>
                        </w:rPr>
                        <m:t>'2</m:t>
                      </m:r>
                    </m:sup>
                  </m:sSup>
                </m:e>
              </m:acc>
            </m:num>
            <m:den>
              <m:r>
                <w:rPr>
                  <w:rFonts w:ascii="Cambria Math" w:hAnsi="Cambria Math"/>
                </w:rPr>
                <m:t>∂t</m:t>
              </m:r>
            </m:den>
          </m:f>
          <m:r>
            <m:rPr>
              <m:sty m:val="p"/>
            </m:rPr>
            <w:rPr>
              <w:rFonts w:ascii="Cambria Math" w:hAnsi="Cambria Math"/>
            </w:rPr>
            <m:t>=2</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u</m:t>
                  </m:r>
                </m:e>
                <m:sub>
                  <m:r>
                    <w:rPr>
                      <w:rFonts w:ascii="Cambria Math" w:hAnsi="Cambria Math"/>
                    </w:rPr>
                    <m:t>j</m:t>
                  </m:r>
                </m:sub>
              </m:sSub>
            </m:sub>
            <m:sup>
              <m:r>
                <w:rPr>
                  <w:rFonts w:ascii="Cambria Math" w:hAnsi="Cambria Math"/>
                </w:rPr>
                <m:t>2</m:t>
              </m:r>
            </m:sup>
          </m:sSubSup>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L</m:t>
                  </m:r>
                </m:e>
                <m:sub>
                  <m:r>
                    <w:rPr>
                      <w:rFonts w:ascii="Cambria Math" w:hAnsi="Cambria Math"/>
                    </w:rPr>
                    <m:t>j</m:t>
                  </m:r>
                </m:sub>
              </m:sSub>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acc>
                <m:accPr>
                  <m:chr m:val="̅"/>
                  <m:ctrlPr>
                    <w:rPr>
                      <w:rFonts w:ascii="Cambria Math" w:hAnsi="Cambria Math"/>
                      <w:i/>
                    </w:rPr>
                  </m:ctrlPr>
                </m:accPr>
                <m:e>
                  <m:sSup>
                    <m:sSupPr>
                      <m:ctrlPr>
                        <w:rPr>
                          <w:rFonts w:ascii="Cambria Math" w:hAnsi="Cambria Math"/>
                        </w:rPr>
                      </m:ctrlPr>
                    </m:sSupPr>
                    <m:e>
                      <m:r>
                        <w:rPr>
                          <w:rFonts w:ascii="Cambria Math" w:hAnsi="Cambria Math"/>
                        </w:rPr>
                        <m:t>c</m:t>
                      </m:r>
                    </m:e>
                    <m:sup>
                      <m:r>
                        <m:rPr>
                          <m:sty m:val="p"/>
                        </m:rPr>
                        <w:rPr>
                          <w:rFonts w:ascii="Cambria Math" w:hAnsi="Cambria Math"/>
                        </w:rPr>
                        <m:t>'2</m:t>
                      </m:r>
                    </m:sup>
                  </m:sSup>
                </m:e>
              </m:acc>
            </m:num>
            <m:den>
              <m:sSub>
                <m:sSubPr>
                  <m:ctrlPr>
                    <w:rPr>
                      <w:rFonts w:ascii="Cambria Math" w:hAnsi="Cambria Math"/>
                      <w:i/>
                    </w:rPr>
                  </m:ctrlPr>
                </m:sSubPr>
                <m:e>
                  <m:r>
                    <w:rPr>
                      <w:rFonts w:ascii="Cambria Math" w:hAnsi="Cambria Math"/>
                    </w:rPr>
                    <m:t>t</m:t>
                  </m:r>
                </m:e>
                <m:sub>
                  <m:r>
                    <w:rPr>
                      <w:rFonts w:ascii="Cambria Math" w:hAnsi="Cambria Math"/>
                    </w:rPr>
                    <m:t>d</m:t>
                  </m:r>
                </m:sub>
              </m:sSub>
            </m:den>
          </m:f>
        </m:oMath>
      </m:oMathPara>
    </w:p>
    <w:p w14:paraId="002371A8" w14:textId="4C5E05E0" w:rsidR="00986B69" w:rsidRPr="0009223E" w:rsidRDefault="00283A00" w:rsidP="00986B69">
      <w:r>
        <w:t>T</w:t>
      </w:r>
      <w:r w:rsidRPr="0009223E">
        <w:t xml:space="preserve">his </w:t>
      </w:r>
      <w:r w:rsidR="00986B69" w:rsidRPr="0009223E">
        <w:t>equation has the following analytical solution:</w:t>
      </w:r>
    </w:p>
    <w:p w14:paraId="1AD62A2F" w14:textId="683C8BD2" w:rsidR="00F936E9" w:rsidRPr="0009223E" w:rsidRDefault="002A115B" w:rsidP="00F936E9">
      <w:pPr>
        <w:pStyle w:val="CETEquation"/>
        <w:rPr>
          <w:rStyle w:val="jlqj4b"/>
        </w:rPr>
      </w:pPr>
      <m:oMathPara>
        <m:oMath>
          <m:acc>
            <m:accPr>
              <m:chr m:val="̅"/>
              <m:ctrlPr>
                <w:rPr>
                  <w:rFonts w:ascii="Cambria Math" w:hAnsi="Cambria Math"/>
                </w:rPr>
              </m:ctrlPr>
            </m:accPr>
            <m:e>
              <m:sSup>
                <m:sSupPr>
                  <m:ctrlPr>
                    <w:rPr>
                      <w:rFonts w:ascii="Cambria Math" w:hAnsi="Cambria Math"/>
                    </w:rPr>
                  </m:ctrlPr>
                </m:sSupPr>
                <m:e>
                  <m:r>
                    <w:rPr>
                      <w:rFonts w:ascii="Cambria Math" w:hAnsi="Cambria Math"/>
                    </w:rPr>
                    <m:t>c</m:t>
                  </m:r>
                </m:e>
                <m:sup>
                  <m:r>
                    <m:rPr>
                      <m:sty m:val="p"/>
                    </m:rPr>
                    <w:rPr>
                      <w:rFonts w:ascii="Cambria Math" w:hAnsi="Cambria Math"/>
                    </w:rPr>
                    <m:t>'2</m:t>
                  </m:r>
                </m:sup>
              </m:sSup>
            </m:e>
          </m:acc>
          <m:r>
            <m:rPr>
              <m:sty m:val="p"/>
            </m:rPr>
            <w:rPr>
              <w:rFonts w:ascii="Cambria Math" w:hAnsi="Cambria Math"/>
            </w:rPr>
            <m:t>=2</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u</m:t>
                  </m:r>
                </m:e>
                <m:sub>
                  <m:r>
                    <w:rPr>
                      <w:rFonts w:ascii="Cambria Math" w:hAnsi="Cambria Math"/>
                    </w:rPr>
                    <m:t>j</m:t>
                  </m:r>
                </m:sub>
              </m:sSub>
            </m:sub>
            <m:sup>
              <m:r>
                <w:rPr>
                  <w:rFonts w:ascii="Cambria Math" w:hAnsi="Cambria Math"/>
                </w:rPr>
                <m:t>2</m:t>
              </m:r>
            </m:sup>
          </m:sSubSup>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L</m:t>
                  </m:r>
                </m:e>
                <m:sub>
                  <m:r>
                    <w:rPr>
                      <w:rFonts w:ascii="Cambria Math" w:hAnsi="Cambria Math"/>
                    </w:rPr>
                    <m:t>j</m:t>
                  </m:r>
                </m:sub>
              </m:sSub>
            </m:sub>
          </m:sSub>
          <m:sSub>
            <m:sSubPr>
              <m:ctrlPr>
                <w:rPr>
                  <w:rFonts w:ascii="Cambria Math" w:hAnsi="Cambria Math"/>
                  <w:i/>
                </w:rPr>
              </m:ctrlPr>
            </m:sSubPr>
            <m:e>
              <m:r>
                <w:rPr>
                  <w:rFonts w:ascii="Cambria Math" w:hAnsi="Cambria Math"/>
                </w:rPr>
                <m:t>t</m:t>
              </m:r>
            </m:e>
            <m:sub>
              <m:r>
                <w:rPr>
                  <w:rFonts w:ascii="Cambria Math" w:hAnsi="Cambria Math"/>
                </w:rPr>
                <m:t>d</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∂C</m:t>
                      </m:r>
                    </m:num>
                    <m:den>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den>
                  </m:f>
                </m:e>
              </m:d>
            </m:e>
            <m:sup>
              <m:r>
                <m:rPr>
                  <m:sty m:val="p"/>
                </m:rPr>
                <w:rPr>
                  <w:rFonts w:ascii="Cambria Math" w:hAnsi="Cambria Math"/>
                </w:rPr>
                <m:t>2</m:t>
              </m:r>
            </m:sup>
          </m:sSup>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m:t>
                      </m:r>
                      <m:f>
                        <m:fPr>
                          <m:type m:val="lin"/>
                          <m:ctrlPr>
                            <w:rPr>
                              <w:rFonts w:ascii="Cambria Math" w:hAnsi="Cambria Math"/>
                              <w:i/>
                            </w:rPr>
                          </m:ctrlPr>
                        </m:fPr>
                        <m:num>
                          <m:r>
                            <w:rPr>
                              <w:rFonts w:ascii="Cambria Math" w:hAnsi="Cambria Math"/>
                            </w:rPr>
                            <m:t>t</m:t>
                          </m:r>
                        </m:num>
                        <m:den>
                          <m:sSub>
                            <m:sSubPr>
                              <m:ctrlPr>
                                <w:rPr>
                                  <w:rFonts w:ascii="Cambria Math" w:hAnsi="Cambria Math"/>
                                  <w:i/>
                                </w:rPr>
                              </m:ctrlPr>
                            </m:sSubPr>
                            <m:e>
                              <m:r>
                                <w:rPr>
                                  <w:rFonts w:ascii="Cambria Math" w:hAnsi="Cambria Math"/>
                                </w:rPr>
                                <m:t>t</m:t>
                              </m:r>
                            </m:e>
                            <m:sub>
                              <m:r>
                                <w:rPr>
                                  <w:rFonts w:ascii="Cambria Math" w:hAnsi="Cambria Math"/>
                                </w:rPr>
                                <m:t>d</m:t>
                              </m:r>
                            </m:sub>
                          </m:sSub>
                        </m:den>
                      </m:f>
                    </m:e>
                  </m:d>
                </m:sup>
              </m:sSup>
            </m:e>
          </m:d>
        </m:oMath>
      </m:oMathPara>
    </w:p>
    <w:p w14:paraId="049DAC36" w14:textId="77DB6CB8" w:rsidR="00986B69" w:rsidRPr="0009223E" w:rsidRDefault="00986B69" w:rsidP="00425835">
      <w:r w:rsidRPr="0009223E">
        <w:t xml:space="preserve">It is suggested (Ferrero et al., 2020) that the approximation represented by the last relationship can be considered acceptable for the calculation of the concentration variance, once the turbulent variables and the average concentration field are known. Using the average concentration field </w:t>
      </w:r>
      <w:r w:rsidR="00906F40" w:rsidRPr="0009223E">
        <w:t>directly computed</w:t>
      </w:r>
      <w:r w:rsidRPr="0009223E">
        <w:t xml:space="preserve"> by the code and the turbulent variables considered for the particle movement, a time varying concentration variance field is calculated </w:t>
      </w:r>
      <w:r w:rsidR="00283A00">
        <w:t xml:space="preserve">with </w:t>
      </w:r>
      <w:r w:rsidR="00283A00" w:rsidRPr="0009223E">
        <w:t xml:space="preserve">the previous relationship </w:t>
      </w:r>
      <w:r w:rsidRPr="0009223E">
        <w:t xml:space="preserve">on the same grid considered for the average concentrations. It is supposed </w:t>
      </w:r>
      <w:r w:rsidRPr="001F1554">
        <w:t xml:space="preserve">that </w:t>
      </w:r>
      <w:r w:rsidRPr="001F1554">
        <w:rPr>
          <w:i/>
          <w:iCs/>
        </w:rPr>
        <w:t>t</w:t>
      </w:r>
      <w:r w:rsidRPr="001F1554">
        <w:rPr>
          <w:i/>
          <w:iCs/>
          <w:vertAlign w:val="subscript"/>
        </w:rPr>
        <w:t xml:space="preserve">d </w:t>
      </w:r>
      <w:r w:rsidRPr="001F1554">
        <w:rPr>
          <w:i/>
          <w:iCs/>
        </w:rPr>
        <w:t xml:space="preserve">= </w:t>
      </w:r>
      <w:proofErr w:type="spellStart"/>
      <w:r w:rsidRPr="001F1554">
        <w:rPr>
          <w:i/>
          <w:iCs/>
        </w:rPr>
        <w:t>T</w:t>
      </w:r>
      <w:r w:rsidRPr="001F1554">
        <w:rPr>
          <w:i/>
          <w:iCs/>
          <w:vertAlign w:val="subscript"/>
        </w:rPr>
        <w:t>Lw</w:t>
      </w:r>
      <w:proofErr w:type="spellEnd"/>
      <w:r w:rsidRPr="0009223E">
        <w:t>.</w:t>
      </w:r>
      <w:r w:rsidR="00906F40" w:rsidRPr="0009223E">
        <w:t xml:space="preserve"> Once the concentration variance is computed, t</w:t>
      </w:r>
      <w:r w:rsidRPr="0009223E">
        <w:t xml:space="preserve">he peak concentration is then </w:t>
      </w:r>
      <w:r w:rsidR="00906F40" w:rsidRPr="0009223E">
        <w:t xml:space="preserve">estimated </w:t>
      </w:r>
      <w:r w:rsidRPr="0009223E">
        <w:t xml:space="preserve">considering the </w:t>
      </w:r>
      <w:r w:rsidRPr="001F1554">
        <w:t>98 percentile</w:t>
      </w:r>
      <w:r w:rsidRPr="0009223E">
        <w:t xml:space="preserve"> of </w:t>
      </w:r>
      <w:r w:rsidR="00E03D2D" w:rsidRPr="0009223E">
        <w:t>a</w:t>
      </w:r>
      <w:r w:rsidRPr="0009223E">
        <w:t xml:space="preserve"> </w:t>
      </w:r>
      <w:r w:rsidR="00C90505">
        <w:t>two</w:t>
      </w:r>
      <w:r w:rsidRPr="0009223E">
        <w:t xml:space="preserve"> parameters Weibull distribution having the </w:t>
      </w:r>
      <w:r w:rsidR="00906F40" w:rsidRPr="0009223E">
        <w:t xml:space="preserve">known </w:t>
      </w:r>
      <w:r w:rsidRPr="0009223E">
        <w:t>average concentration and concentration variance</w:t>
      </w:r>
      <w:r w:rsidR="00906F40" w:rsidRPr="0009223E">
        <w:t>.</w:t>
      </w:r>
    </w:p>
    <w:p w14:paraId="0672F8F1" w14:textId="5E6E7885" w:rsidR="00425835" w:rsidRPr="0009223E" w:rsidRDefault="00425835" w:rsidP="00425835">
      <w:pPr>
        <w:pStyle w:val="CETheadingx"/>
        <w:rPr>
          <w:lang w:val="en-GB"/>
        </w:rPr>
      </w:pPr>
      <w:r w:rsidRPr="0009223E">
        <w:rPr>
          <w:lang w:val="en-GB"/>
        </w:rPr>
        <w:t xml:space="preserve">Simplified </w:t>
      </w:r>
      <w:proofErr w:type="spellStart"/>
      <w:r w:rsidRPr="0009223E">
        <w:rPr>
          <w:lang w:val="en-GB"/>
        </w:rPr>
        <w:t>Micromixing</w:t>
      </w:r>
      <w:proofErr w:type="spellEnd"/>
      <w:r w:rsidRPr="0009223E">
        <w:rPr>
          <w:lang w:val="en-GB"/>
        </w:rPr>
        <w:t xml:space="preserve"> VPA model</w:t>
      </w:r>
    </w:p>
    <w:p w14:paraId="7706527F" w14:textId="37E6D57E" w:rsidR="00425835" w:rsidRPr="0009223E" w:rsidRDefault="00425835" w:rsidP="00425835">
      <w:pPr>
        <w:rPr>
          <w:rFonts w:ascii="Calibri" w:hAnsi="Calibri"/>
        </w:rPr>
      </w:pPr>
      <w:r w:rsidRPr="0009223E">
        <w:t xml:space="preserve">A </w:t>
      </w:r>
      <w:proofErr w:type="spellStart"/>
      <w:r w:rsidRPr="0009223E">
        <w:t>micromixing</w:t>
      </w:r>
      <w:proofErr w:type="spellEnd"/>
      <w:r w:rsidRPr="0009223E">
        <w:t xml:space="preserve"> model (or PDF model) </w:t>
      </w:r>
      <w:r w:rsidR="008271B5">
        <w:t>simulates</w:t>
      </w:r>
      <w:r w:rsidR="008271B5" w:rsidRPr="0009223E">
        <w:t xml:space="preserve"> </w:t>
      </w:r>
      <w:r w:rsidRPr="0009223E">
        <w:t xml:space="preserve">the intrinsically continuous Planetary Boundary Layer as a geometric space in which a very large number of air particles, each fully detectable, are uniformly distributed. Each of them is completely characterized at a generic instant </w:t>
      </w:r>
      <w:r w:rsidRPr="001E106E">
        <w:rPr>
          <w:i/>
          <w:iCs/>
        </w:rPr>
        <w:t>t</w:t>
      </w:r>
      <w:r w:rsidRPr="0009223E">
        <w:t xml:space="preserve"> by:</w:t>
      </w:r>
      <w:r w:rsidRPr="0009223E">
        <w:rPr>
          <w:rFonts w:ascii="Calibri" w:hAnsi="Calibri"/>
        </w:rPr>
        <w:tab/>
      </w:r>
      <w:r w:rsidRPr="0009223E">
        <w:rPr>
          <w:rFonts w:ascii="Calibri" w:hAnsi="Calibri"/>
        </w:rPr>
        <w:tab/>
      </w:r>
      <w:r w:rsidRPr="0009223E">
        <w:rPr>
          <w:rFonts w:ascii="Calibri" w:hAnsi="Calibri"/>
        </w:rPr>
        <w:tab/>
      </w:r>
    </w:p>
    <w:p w14:paraId="4897B830" w14:textId="77777777" w:rsidR="00425835" w:rsidRPr="0009223E" w:rsidRDefault="00425835" w:rsidP="00425835">
      <w:pPr>
        <w:pStyle w:val="Paragrafoelenco"/>
        <w:numPr>
          <w:ilvl w:val="0"/>
          <w:numId w:val="25"/>
        </w:numPr>
        <w:tabs>
          <w:tab w:val="clear" w:pos="7100"/>
        </w:tabs>
        <w:spacing w:after="160" w:line="259" w:lineRule="auto"/>
        <w:jc w:val="left"/>
      </w:pPr>
      <w:r w:rsidRPr="0009223E">
        <w:t xml:space="preserve">a position in space </w:t>
      </w:r>
      <w:r w:rsidRPr="0009223E">
        <w:rPr>
          <w:b/>
          <w:bCs/>
        </w:rPr>
        <w:t>X</w:t>
      </w:r>
      <w:r w:rsidRPr="0009223E">
        <w:t>(t),</w:t>
      </w:r>
    </w:p>
    <w:p w14:paraId="7F81F28F" w14:textId="2D9905FC" w:rsidR="00425835" w:rsidRPr="0009223E" w:rsidRDefault="00425835" w:rsidP="00425835">
      <w:pPr>
        <w:pStyle w:val="Paragrafoelenco"/>
        <w:numPr>
          <w:ilvl w:val="0"/>
          <w:numId w:val="25"/>
        </w:numPr>
        <w:tabs>
          <w:tab w:val="clear" w:pos="7100"/>
        </w:tabs>
        <w:spacing w:after="160" w:line="259" w:lineRule="auto"/>
        <w:jc w:val="left"/>
      </w:pPr>
      <w:r w:rsidRPr="0009223E">
        <w:t xml:space="preserve">a velocity fluctuation </w:t>
      </w:r>
      <w:r w:rsidRPr="0009223E">
        <w:rPr>
          <w:b/>
        </w:rPr>
        <w:t>u</w:t>
      </w:r>
      <w:r w:rsidRPr="0009223E">
        <w:t>(</w:t>
      </w:r>
      <w:proofErr w:type="spellStart"/>
      <w:r w:rsidRPr="0009223E">
        <w:rPr>
          <w:b/>
        </w:rPr>
        <w:t>X</w:t>
      </w:r>
      <w:r w:rsidRPr="0009223E">
        <w:t>,t</w:t>
      </w:r>
      <w:proofErr w:type="spellEnd"/>
      <w:r w:rsidRPr="0009223E">
        <w:t xml:space="preserve">) with respect to a mean (Eulerian) field of motion </w:t>
      </w:r>
      <w:r w:rsidRPr="0009223E">
        <w:rPr>
          <w:b/>
          <w:bCs/>
        </w:rPr>
        <w:t>U</w:t>
      </w:r>
      <w:r w:rsidRPr="0009223E">
        <w:t>(</w:t>
      </w:r>
      <w:proofErr w:type="spellStart"/>
      <w:r w:rsidRPr="0009223E">
        <w:t>X,t</w:t>
      </w:r>
      <w:proofErr w:type="spellEnd"/>
      <w:r w:rsidRPr="0009223E">
        <w:t>)</w:t>
      </w:r>
      <w:r w:rsidR="007F0589">
        <w:t>,</w:t>
      </w:r>
    </w:p>
    <w:p w14:paraId="37435215" w14:textId="003E022B" w:rsidR="00425835" w:rsidRPr="0009223E" w:rsidRDefault="00425835" w:rsidP="00425835">
      <w:pPr>
        <w:pStyle w:val="Paragrafoelenco"/>
        <w:numPr>
          <w:ilvl w:val="0"/>
          <w:numId w:val="25"/>
        </w:numPr>
        <w:tabs>
          <w:tab w:val="clear" w:pos="7100"/>
        </w:tabs>
        <w:spacing w:after="160" w:line="259" w:lineRule="auto"/>
        <w:jc w:val="left"/>
      </w:pPr>
      <w:r w:rsidRPr="0009223E">
        <w:t xml:space="preserve">a concentration of the interested pollutant </w:t>
      </w:r>
      <w:r w:rsidR="007F0589" w:rsidRPr="007F0589">
        <w:rPr>
          <w:rFonts w:ascii="Cambria Math" w:hAnsi="Cambria Math"/>
        </w:rPr>
        <w:t xml:space="preserve"> </w:t>
      </w:r>
      <w:bookmarkStart w:id="0" w:name="_Hlk101349316"/>
      <w:r w:rsidR="007F0589" w:rsidRPr="00B66DDA">
        <w:rPr>
          <w:rFonts w:ascii="Cambria Math" w:hAnsi="Cambria Math"/>
        </w:rPr>
        <w:t>C</w:t>
      </w:r>
      <w:bookmarkEnd w:id="0"/>
      <w:r w:rsidRPr="0009223E">
        <w:t>(</w:t>
      </w:r>
      <w:proofErr w:type="spellStart"/>
      <w:r w:rsidRPr="0009223E">
        <w:rPr>
          <w:b/>
          <w:bCs/>
        </w:rPr>
        <w:t>X</w:t>
      </w:r>
      <w:r w:rsidRPr="0009223E">
        <w:t>,t</w:t>
      </w:r>
      <w:proofErr w:type="spellEnd"/>
      <w:r w:rsidRPr="0009223E">
        <w:t>)</w:t>
      </w:r>
      <w:r w:rsidR="007F0589">
        <w:t>.</w:t>
      </w:r>
    </w:p>
    <w:p w14:paraId="2CB0CC77" w14:textId="3B42884A" w:rsidR="00425835" w:rsidRPr="0009223E" w:rsidRDefault="00425835" w:rsidP="00425835">
      <w:r w:rsidRPr="0009223E">
        <w:t xml:space="preserve">At each instant </w:t>
      </w:r>
      <w:r w:rsidRPr="001E106E">
        <w:rPr>
          <w:i/>
          <w:iCs/>
        </w:rPr>
        <w:t>t</w:t>
      </w:r>
      <w:r w:rsidRPr="0009223E">
        <w:t xml:space="preserve"> prior to an initial instant </w:t>
      </w:r>
      <w:r w:rsidRPr="001E106E">
        <w:rPr>
          <w:i/>
          <w:iCs/>
        </w:rPr>
        <w:t>t</w:t>
      </w:r>
      <w:r w:rsidRPr="001E106E">
        <w:rPr>
          <w:i/>
          <w:iCs/>
          <w:vertAlign w:val="subscript"/>
        </w:rPr>
        <w:t>0</w:t>
      </w:r>
      <w:r w:rsidRPr="0009223E">
        <w:t xml:space="preserve"> all particles (initially uniformly distributed in space) possess a concentration </w:t>
      </w:r>
      <w:r w:rsidRPr="001E106E">
        <w:rPr>
          <w:rFonts w:ascii="Cambria Math" w:hAnsi="Cambria Math"/>
        </w:rPr>
        <w:t>C(t&lt;t</w:t>
      </w:r>
      <w:r w:rsidRPr="001E106E">
        <w:rPr>
          <w:rFonts w:ascii="Cambria Math" w:hAnsi="Cambria Math"/>
          <w:vertAlign w:val="subscript"/>
        </w:rPr>
        <w:t>0</w:t>
      </w:r>
      <w:r w:rsidRPr="001E106E">
        <w:rPr>
          <w:rFonts w:ascii="Cambria Math" w:hAnsi="Cambria Math"/>
        </w:rPr>
        <w:t>)</w:t>
      </w:r>
      <w:r w:rsidRPr="0009223E">
        <w:t xml:space="preserve"> = 0. At a given initial time </w:t>
      </w:r>
      <w:r w:rsidRPr="001E106E">
        <w:rPr>
          <w:i/>
          <w:iCs/>
        </w:rPr>
        <w:t>t</w:t>
      </w:r>
      <w:r w:rsidRPr="001E106E">
        <w:rPr>
          <w:i/>
          <w:iCs/>
          <w:vertAlign w:val="subscript"/>
        </w:rPr>
        <w:t>0</w:t>
      </w:r>
      <w:r w:rsidRPr="0009223E">
        <w:t xml:space="preserve">, some of these particles will transit through the source (e.g. a point source) and will acquire mass from it and therefore an initial concentration </w:t>
      </w:r>
      <w:r w:rsidRPr="001E106E">
        <w:rPr>
          <w:rFonts w:ascii="Cambria Math" w:hAnsi="Cambria Math"/>
        </w:rPr>
        <w:t>C</w:t>
      </w:r>
      <w:r w:rsidRPr="001E106E">
        <w:rPr>
          <w:rFonts w:ascii="Cambria Math" w:hAnsi="Cambria Math"/>
          <w:vertAlign w:val="subscript"/>
        </w:rPr>
        <w:t>0</w:t>
      </w:r>
      <w:r w:rsidRPr="001E106E">
        <w:rPr>
          <w:rFonts w:ascii="Cambria Math" w:hAnsi="Cambria Math"/>
        </w:rPr>
        <w:t>(t</w:t>
      </w:r>
      <w:r w:rsidRPr="001E106E">
        <w:rPr>
          <w:rFonts w:ascii="Cambria Math" w:hAnsi="Cambria Math"/>
          <w:vertAlign w:val="subscript"/>
        </w:rPr>
        <w:t>0</w:t>
      </w:r>
      <w:r w:rsidRPr="001E106E">
        <w:rPr>
          <w:rFonts w:ascii="Cambria Math" w:hAnsi="Cambria Math"/>
        </w:rPr>
        <w:t>)</w:t>
      </w:r>
      <w:r w:rsidR="007F0589">
        <w:rPr>
          <w:rFonts w:ascii="Cambria Math" w:hAnsi="Cambria Math"/>
        </w:rPr>
        <w:t>,</w:t>
      </w:r>
      <w:r w:rsidRPr="0009223E">
        <w:t xml:space="preserve"> while all the others will continue to keep zero concentration.  From the instant </w:t>
      </w:r>
      <w:r w:rsidRPr="001E106E">
        <w:rPr>
          <w:i/>
          <w:iCs/>
        </w:rPr>
        <w:t>t</w:t>
      </w:r>
      <w:r w:rsidRPr="001E106E">
        <w:rPr>
          <w:i/>
          <w:iCs/>
          <w:vertAlign w:val="subscript"/>
        </w:rPr>
        <w:t>0</w:t>
      </w:r>
      <w:r w:rsidRPr="0009223E">
        <w:t xml:space="preserve"> onwards, the model will begin to simulate the dispersion of all the particles (both those with non-zero concentration and those with zero concentration)</w:t>
      </w:r>
      <w:r w:rsidR="00385C92">
        <w:t>, considering</w:t>
      </w:r>
      <w:r w:rsidRPr="0009223E">
        <w:t xml:space="preserve"> their different stochastic trajectories and their mutual interaction. This interaction is constituted by a mass exchange of the pollutant between a generic particle and the adjacent particles, induced by molecular diffusivity and driven by the turbulence that </w:t>
      </w:r>
      <w:r w:rsidR="00781504">
        <w:t>characterizes</w:t>
      </w:r>
      <w:r w:rsidRPr="0009223E">
        <w:t xml:space="preserve"> locally the PBL. </w:t>
      </w:r>
      <w:r w:rsidR="007D53C2">
        <w:t>Therefore</w:t>
      </w:r>
      <w:r w:rsidRPr="0009223E">
        <w:t xml:space="preserve">, the model will simulate the trajectory of all particles </w:t>
      </w:r>
      <w:r w:rsidR="007D53C2">
        <w:t>as</w:t>
      </w:r>
      <w:r w:rsidRPr="0009223E">
        <w:t xml:space="preserve"> a normal </w:t>
      </w:r>
      <w:proofErr w:type="spellStart"/>
      <w:r w:rsidRPr="0009223E">
        <w:t>Lagrangian</w:t>
      </w:r>
      <w:proofErr w:type="spellEnd"/>
      <w:r w:rsidRPr="0009223E">
        <w:t xml:space="preserve"> one-particle model with the</w:t>
      </w:r>
      <w:r w:rsidR="001E106E">
        <w:t xml:space="preserve"> additional</w:t>
      </w:r>
      <w:r w:rsidRPr="0009223E">
        <w:t xml:space="preserve"> practical problem related to the huge number of particles whose trajectory and mass exchange must be simulated. </w:t>
      </w:r>
    </w:p>
    <w:p w14:paraId="15A0CD18" w14:textId="47E41735" w:rsidR="00425835" w:rsidRPr="0009223E" w:rsidRDefault="00425835" w:rsidP="00425835">
      <w:r w:rsidRPr="0009223E">
        <w:t xml:space="preserve">In a </w:t>
      </w:r>
      <w:proofErr w:type="spellStart"/>
      <w:r w:rsidRPr="0009223E">
        <w:t>micromixing</w:t>
      </w:r>
      <w:proofErr w:type="spellEnd"/>
      <w:r w:rsidRPr="0009223E">
        <w:t xml:space="preserve"> model, the pollutant exchange among close particles is </w:t>
      </w:r>
      <w:r w:rsidR="008271B5" w:rsidRPr="0009223E">
        <w:t>modelled</w:t>
      </w:r>
      <w:r w:rsidRPr="0009223E">
        <w:t xml:space="preserve">, for simplicity, through a bulk law describing, for each particle, </w:t>
      </w:r>
      <w:r w:rsidR="00A94C18">
        <w:t>the</w:t>
      </w:r>
      <w:r w:rsidR="00A94C18" w:rsidRPr="0009223E">
        <w:t xml:space="preserve"> </w:t>
      </w:r>
      <w:r w:rsidRPr="0009223E">
        <w:t xml:space="preserve">mass exchange with the adjacent external environment, </w:t>
      </w:r>
      <w:r w:rsidR="00A94C18">
        <w:t>simulated</w:t>
      </w:r>
      <w:r w:rsidR="00A94C18" w:rsidRPr="0009223E">
        <w:t xml:space="preserve"> </w:t>
      </w:r>
      <w:r w:rsidRPr="0009223E">
        <w:t>as a continuous fluid characterized by an average concentration</w:t>
      </w:r>
      <w:r w:rsidR="001E106E">
        <w:t xml:space="preserve"> </w:t>
      </w:r>
      <w:r w:rsidR="001E106E" w:rsidRPr="00B66DDA">
        <w:rPr>
          <w:rFonts w:ascii="Cambria Math" w:hAnsi="Cambria Math"/>
        </w:rPr>
        <w:t>C</w:t>
      </w:r>
      <w:r w:rsidRPr="0009223E">
        <w:t xml:space="preserve">. In practice, for the </w:t>
      </w:r>
      <w:r w:rsidRPr="001E106E">
        <w:rPr>
          <w:i/>
          <w:iCs/>
        </w:rPr>
        <w:t>p</w:t>
      </w:r>
      <w:r w:rsidRPr="0009223E">
        <w:t>-</w:t>
      </w:r>
      <w:proofErr w:type="spellStart"/>
      <w:r w:rsidRPr="0009223E">
        <w:t>th</w:t>
      </w:r>
      <w:proofErr w:type="spellEnd"/>
      <w:r w:rsidRPr="0009223E">
        <w:t xml:space="preserve"> particle this exchange is described by the </w:t>
      </w:r>
      <w:r w:rsidR="00EA7562">
        <w:t xml:space="preserve">following </w:t>
      </w:r>
      <w:proofErr w:type="spellStart"/>
      <w:r w:rsidRPr="0009223E">
        <w:t>micromixing</w:t>
      </w:r>
      <w:proofErr w:type="spellEnd"/>
      <w:r w:rsidRPr="0009223E">
        <w:t xml:space="preserve"> relation that simulates the action of molecular diffusivity:</w:t>
      </w:r>
    </w:p>
    <w:tbl>
      <w:tblPr>
        <w:tblW w:w="5000" w:type="pct"/>
        <w:tblLook w:val="04A0" w:firstRow="1" w:lastRow="0" w:firstColumn="1" w:lastColumn="0" w:noHBand="0" w:noVBand="1"/>
      </w:tblPr>
      <w:tblGrid>
        <w:gridCol w:w="7985"/>
        <w:gridCol w:w="802"/>
      </w:tblGrid>
      <w:tr w:rsidR="00F936E9" w:rsidRPr="0009223E" w14:paraId="60DB9EB5" w14:textId="77777777" w:rsidTr="00B865DD">
        <w:tc>
          <w:tcPr>
            <w:tcW w:w="8188" w:type="dxa"/>
            <w:shd w:val="clear" w:color="auto" w:fill="auto"/>
            <w:vAlign w:val="center"/>
          </w:tcPr>
          <w:p w14:paraId="33BD9B3A" w14:textId="7943AA66" w:rsidR="00F936E9" w:rsidRPr="0009223E" w:rsidRDefault="002A115B" w:rsidP="00F936E9">
            <w:pPr>
              <w:pStyle w:val="CETEquation"/>
            </w:pPr>
            <m:oMathPara>
              <m:oMath>
                <m:f>
                  <m:fPr>
                    <m:ctrlPr>
                      <w:rPr>
                        <w:rFonts w:ascii="Cambria Math" w:hAnsi="Cambria Math"/>
                        <w:i/>
                      </w:rPr>
                    </m:ctrlPr>
                  </m:fPr>
                  <m:num>
                    <m:r>
                      <w:rPr>
                        <w:rFonts w:ascii="Cambria Math" w:hAnsi="Cambria Math"/>
                      </w:rPr>
                      <m:t>d</m:t>
                    </m:r>
                    <m:sSup>
                      <m:sSupPr>
                        <m:ctrlPr>
                          <w:rPr>
                            <w:rFonts w:ascii="Cambria Math" w:hAnsi="Cambria Math"/>
                            <w:i/>
                          </w:rPr>
                        </m:ctrlPr>
                      </m:sSupPr>
                      <m:e>
                        <m:r>
                          <w:rPr>
                            <w:rFonts w:ascii="Cambria Math" w:hAnsi="Cambria Math"/>
                          </w:rPr>
                          <m:t>C</m:t>
                        </m:r>
                      </m:e>
                      <m:sup>
                        <m:r>
                          <w:rPr>
                            <w:rFonts w:ascii="Cambria Math" w:hAnsi="Cambria Math"/>
                          </w:rPr>
                          <m:t>p</m:t>
                        </m:r>
                      </m:sup>
                    </m:sSup>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p</m:t>
                            </m:r>
                          </m:sub>
                        </m:sSub>
                        <m:r>
                          <w:rPr>
                            <w:rFonts w:ascii="Cambria Math" w:hAnsi="Cambria Math"/>
                          </w:rPr>
                          <m:t>,t</m:t>
                        </m:r>
                      </m:e>
                    </m:d>
                  </m:num>
                  <m:den>
                    <m:r>
                      <w:rPr>
                        <w:rFonts w:ascii="Cambria Math" w:hAnsi="Cambria Math"/>
                      </w:rPr>
                      <m:t>dt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C</m:t>
                        </m:r>
                      </m:e>
                      <m:sup>
                        <m:r>
                          <w:rPr>
                            <w:rFonts w:ascii="Cambria Math" w:hAnsi="Cambria Math"/>
                          </w:rPr>
                          <m:t>p</m:t>
                        </m:r>
                      </m:sup>
                    </m:sSup>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p</m:t>
                            </m:r>
                          </m:sub>
                        </m:sSub>
                        <m:r>
                          <w:rPr>
                            <w:rFonts w:ascii="Cambria Math" w:hAnsi="Cambria Math"/>
                          </w:rPr>
                          <m:t>,t</m:t>
                        </m:r>
                      </m:e>
                    </m:d>
                    <m:r>
                      <w:rPr>
                        <w:rFonts w:ascii="Cambria Math" w:hAnsi="Cambria Math"/>
                      </w:rPr>
                      <m:t>-</m:t>
                    </m:r>
                    <m:acc>
                      <m:accPr>
                        <m:chr m:val="̅"/>
                        <m:ctrlPr>
                          <w:rPr>
                            <w:rFonts w:ascii="Cambria Math" w:hAnsi="Cambria Math"/>
                            <w:i/>
                          </w:rPr>
                        </m:ctrlPr>
                      </m:accPr>
                      <m:e>
                        <m:r>
                          <w:rPr>
                            <w:rFonts w:ascii="Cambria Math" w:hAnsi="Cambria Math"/>
                          </w:rPr>
                          <m:t>C</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p</m:t>
                                </m:r>
                              </m:sub>
                            </m:sSub>
                            <m:r>
                              <w:rPr>
                                <w:rFonts w:ascii="Cambria Math" w:hAnsi="Cambria Math"/>
                              </w:rPr>
                              <m:t>,t</m:t>
                            </m:r>
                          </m:e>
                        </m:d>
                      </m:e>
                    </m:acc>
                  </m:num>
                  <m:den>
                    <m:sSub>
                      <m:sSubPr>
                        <m:ctrlPr>
                          <w:rPr>
                            <w:rFonts w:ascii="Cambria Math" w:hAnsi="Cambria Math"/>
                            <w:i/>
                          </w:rPr>
                        </m:ctrlPr>
                      </m:sSubPr>
                      <m:e>
                        <m:r>
                          <w:rPr>
                            <w:rFonts w:ascii="Cambria Math" w:hAnsi="Cambria Math"/>
                          </w:rPr>
                          <m:t>τ</m:t>
                        </m:r>
                      </m:e>
                      <m:sub>
                        <m:r>
                          <w:rPr>
                            <w:rFonts w:ascii="Cambria Math" w:hAnsi="Cambria Math"/>
                          </w:rPr>
                          <m:t>m</m:t>
                        </m:r>
                      </m:sub>
                    </m:sSub>
                  </m:den>
                </m:f>
              </m:oMath>
            </m:oMathPara>
          </w:p>
        </w:tc>
        <w:tc>
          <w:tcPr>
            <w:tcW w:w="815" w:type="dxa"/>
            <w:shd w:val="clear" w:color="auto" w:fill="auto"/>
            <w:vAlign w:val="center"/>
          </w:tcPr>
          <w:p w14:paraId="0BF8BF9D" w14:textId="77777777" w:rsidR="00F936E9" w:rsidRPr="0009223E" w:rsidRDefault="00F936E9" w:rsidP="00F936E9">
            <w:pPr>
              <w:pStyle w:val="CETEquation"/>
            </w:pPr>
            <w:r w:rsidRPr="0009223E">
              <w:t>(1)</w:t>
            </w:r>
          </w:p>
        </w:tc>
      </w:tr>
    </w:tbl>
    <w:p w14:paraId="04DB730F" w14:textId="3C7C9FA9" w:rsidR="00425835" w:rsidRPr="0009223E" w:rsidRDefault="00AE219E" w:rsidP="00425835">
      <w:r w:rsidRPr="0009223E">
        <w:t>w</w:t>
      </w:r>
      <w:r w:rsidR="00425835" w:rsidRPr="0009223E">
        <w:t>here</w:t>
      </w:r>
      <m:oMath>
        <m:r>
          <w:rPr>
            <w:rFonts w:ascii="Cambria Math" w:hAnsi="Cambria Math"/>
          </w:rPr>
          <m:t xml:space="preserve"> </m:t>
        </m:r>
        <m:sSub>
          <m:sSubPr>
            <m:ctrlPr>
              <w:rPr>
                <w:rFonts w:ascii="Cambria Math" w:hAnsi="Cambria Math"/>
                <w:i/>
              </w:rPr>
            </m:ctrlPr>
          </m:sSubPr>
          <m:e>
            <m:r>
              <w:rPr>
                <w:rFonts w:ascii="Cambria Math" w:hAnsi="Cambria Math"/>
              </w:rPr>
              <m:t>τ</m:t>
            </m:r>
          </m:e>
          <m:sub>
            <m:r>
              <w:rPr>
                <w:rFonts w:ascii="Cambria Math" w:hAnsi="Cambria Math"/>
              </w:rPr>
              <m:t>m</m:t>
            </m:r>
          </m:sub>
        </m:sSub>
      </m:oMath>
      <w:r w:rsidR="00425835" w:rsidRPr="0009223E">
        <w:t xml:space="preserve"> represents the so-called micromixing time scale. Some particles will decrease in concentration (those passing through the source) while others (those that constitute the surrounding air) will increase it.</w:t>
      </w:r>
    </w:p>
    <w:p w14:paraId="71D9B86C" w14:textId="145B16F6" w:rsidR="00425835" w:rsidRPr="0009223E" w:rsidRDefault="00425835" w:rsidP="00425835">
      <w:r w:rsidRPr="0009223E">
        <w:t xml:space="preserve">Assuming to divide the entire computational domain in cells, at the end of the time step there will be </w:t>
      </w:r>
      <w:proofErr w:type="spellStart"/>
      <w:r w:rsidRPr="0009223E">
        <w:rPr>
          <w:i/>
        </w:rPr>
        <w:t>N</w:t>
      </w:r>
      <w:r w:rsidRPr="001E106E">
        <w:rPr>
          <w:i/>
          <w:iCs/>
          <w:vertAlign w:val="subscript"/>
        </w:rPr>
        <w:t>k</w:t>
      </w:r>
      <w:proofErr w:type="spellEnd"/>
      <w:r w:rsidRPr="0009223E">
        <w:t xml:space="preserve"> particles in the </w:t>
      </w:r>
      <w:r w:rsidRPr="0009223E">
        <w:rPr>
          <w:i/>
        </w:rPr>
        <w:t>k</w:t>
      </w:r>
      <w:r w:rsidRPr="0009223E">
        <w:t>-</w:t>
      </w:r>
      <w:proofErr w:type="spellStart"/>
      <w:r w:rsidRPr="0009223E">
        <w:t>th</w:t>
      </w:r>
      <w:proofErr w:type="spellEnd"/>
      <w:r w:rsidRPr="0009223E">
        <w:t xml:space="preserve"> cell, each with its own concentration. The average characteristic concentration of the cell can be computed as:</w:t>
      </w:r>
    </w:p>
    <w:p w14:paraId="48850D5B" w14:textId="5534ED16" w:rsidR="00425835" w:rsidRPr="0009223E" w:rsidRDefault="006154AD" w:rsidP="007A3CA0">
      <w:pPr>
        <w:pStyle w:val="CETEquation"/>
        <w:rPr>
          <w:rFonts w:eastAsiaTheme="minorEastAsia"/>
        </w:rPr>
      </w:pPr>
      <w:r w:rsidRPr="0009223E">
        <w:t xml:space="preserv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C</m:t>
                </m:r>
              </m:e>
              <m:sub>
                <m:r>
                  <w:rPr>
                    <w:rFonts w:ascii="Cambria Math" w:hAnsi="Cambria Math"/>
                  </w:rPr>
                  <m:t>k</m:t>
                </m:r>
              </m:sub>
            </m:sSub>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ctrlPr>
              <w:rPr>
                <w:rFonts w:ascii="Cambria Math" w:hAnsi="Cambria Math"/>
                <w:i/>
              </w:rPr>
            </m:ctrlPr>
          </m:naryPr>
          <m:sub>
            <m:r>
              <w:rPr>
                <w:rFonts w:ascii="Cambria Math" w:hAnsi="Cambria Math"/>
              </w:rPr>
              <m:t>p_1</m:t>
            </m:r>
          </m:sub>
          <m:sup>
            <m:sSub>
              <m:sSubPr>
                <m:ctrlPr>
                  <w:rPr>
                    <w:rFonts w:ascii="Cambria Math" w:hAnsi="Cambria Math"/>
                    <w:i/>
                  </w:rPr>
                </m:ctrlPr>
              </m:sSubPr>
              <m:e>
                <m:r>
                  <w:rPr>
                    <w:rFonts w:ascii="Cambria Math" w:hAnsi="Cambria Math"/>
                  </w:rPr>
                  <m:t>N</m:t>
                </m:r>
              </m:e>
              <m:sub>
                <m:r>
                  <w:rPr>
                    <w:rFonts w:ascii="Cambria Math" w:hAnsi="Cambria Math"/>
                  </w:rPr>
                  <m:t>k</m:t>
                </m:r>
              </m:sub>
            </m:sSub>
          </m:sup>
          <m:e>
            <m:sSup>
              <m:sSupPr>
                <m:ctrlPr>
                  <w:rPr>
                    <w:rFonts w:ascii="Cambria Math" w:hAnsi="Cambria Math"/>
                    <w:i/>
                  </w:rPr>
                </m:ctrlPr>
              </m:sSupPr>
              <m:e>
                <m:r>
                  <w:rPr>
                    <w:rFonts w:ascii="Cambria Math" w:hAnsi="Cambria Math"/>
                  </w:rPr>
                  <m:t>C</m:t>
                </m:r>
              </m:e>
              <m:sup>
                <m:r>
                  <w:rPr>
                    <w:rFonts w:ascii="Cambria Math" w:hAnsi="Cambria Math"/>
                  </w:rPr>
                  <m:t>p</m:t>
                </m:r>
              </m:sup>
            </m:sSup>
            <m:d>
              <m:dPr>
                <m:ctrlPr>
                  <w:rPr>
                    <w:rFonts w:ascii="Cambria Math" w:hAnsi="Cambria Math"/>
                    <w:i/>
                  </w:rPr>
                </m:ctrlPr>
              </m:dPr>
              <m:e>
                <m:r>
                  <w:rPr>
                    <w:rFonts w:ascii="Cambria Math" w:hAnsi="Cambria Math"/>
                  </w:rPr>
                  <m:t>t</m:t>
                </m:r>
              </m:e>
            </m:d>
          </m:e>
        </m:nary>
      </m:oMath>
      <w:r w:rsidRPr="0009223E">
        <w:rPr>
          <w:rFonts w:eastAsiaTheme="minorEastAsia"/>
        </w:rPr>
        <w:t xml:space="preserve">                                        </w:t>
      </w:r>
    </w:p>
    <w:p w14:paraId="335E3B4B" w14:textId="0099CF62" w:rsidR="00425835" w:rsidRPr="0009223E" w:rsidRDefault="00425835" w:rsidP="00425835">
      <w:r w:rsidRPr="0009223E">
        <w:t>while the second moment can be computed as:</w:t>
      </w:r>
    </w:p>
    <w:p w14:paraId="411580EA" w14:textId="7B167911" w:rsidR="00425835" w:rsidRPr="0009223E" w:rsidRDefault="002A115B" w:rsidP="007A3CA0">
      <w:pPr>
        <w:pStyle w:val="CETEquation"/>
      </w:pPr>
      <m:oMathPara>
        <m:oMath>
          <m:acc>
            <m:accPr>
              <m:chr m:val="̅"/>
              <m:ctrlPr>
                <w:rPr>
                  <w:rFonts w:ascii="Cambria Math" w:hAnsi="Cambria Math"/>
                </w:rPr>
              </m:ctrlPr>
            </m:accPr>
            <m:e>
              <m:sSubSup>
                <m:sSubSupPr>
                  <m:ctrlPr>
                    <w:rPr>
                      <w:rFonts w:ascii="Cambria Math" w:hAnsi="Cambria Math"/>
                    </w:rPr>
                  </m:ctrlPr>
                </m:sSubSupPr>
                <m:e>
                  <m:r>
                    <w:rPr>
                      <w:rFonts w:ascii="Cambria Math" w:hAnsi="Cambria Math"/>
                    </w:rPr>
                    <m:t>C</m:t>
                  </m:r>
                </m:e>
                <m:sub>
                  <m:r>
                    <w:rPr>
                      <w:rFonts w:ascii="Cambria Math" w:hAnsi="Cambria Math"/>
                    </w:rPr>
                    <m:t>k</m:t>
                  </m:r>
                </m:sub>
                <m:sup>
                  <m:r>
                    <m:rPr>
                      <m:sty m:val="p"/>
                    </m:rPr>
                    <w:rPr>
                      <w:rFonts w:ascii="Cambria Math" w:hAnsi="Cambria Math"/>
                    </w:rPr>
                    <m:t>2</m:t>
                  </m:r>
                </m:sup>
              </m:sSubSup>
            </m:e>
          </m:acc>
          <m:d>
            <m:dPr>
              <m:ctrlPr>
                <w:rPr>
                  <w:rFonts w:ascii="Cambria Math" w:hAnsi="Cambria Math"/>
                </w:rPr>
              </m:ctrlPr>
            </m:dPr>
            <m:e>
              <m:r>
                <w:rPr>
                  <w:rFonts w:ascii="Cambria Math" w:hAnsi="Cambria Math"/>
                </w:rPr>
                <m:t>t</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k</m:t>
                  </m:r>
                </m:sub>
              </m:sSub>
            </m:den>
          </m:f>
          <m:nary>
            <m:naryPr>
              <m:chr m:val="∑"/>
              <m:limLoc m:val="subSup"/>
              <m:ctrlPr>
                <w:rPr>
                  <w:rFonts w:ascii="Cambria Math" w:hAnsi="Cambria Math"/>
                </w:rPr>
              </m:ctrlPr>
            </m:naryPr>
            <m:sub>
              <m:r>
                <w:rPr>
                  <w:rFonts w:ascii="Cambria Math" w:hAnsi="Cambria Math"/>
                </w:rPr>
                <m:t>p</m:t>
              </m:r>
              <m:r>
                <m:rPr>
                  <m:sty m:val="p"/>
                </m:rPr>
                <w:rPr>
                  <w:rFonts w:ascii="Cambria Math" w:hAnsi="Cambria Math"/>
                </w:rPr>
                <m:t>_1</m:t>
              </m:r>
            </m:sub>
            <m:sup>
              <m:sSub>
                <m:sSubPr>
                  <m:ctrlPr>
                    <w:rPr>
                      <w:rFonts w:ascii="Cambria Math" w:hAnsi="Cambria Math"/>
                    </w:rPr>
                  </m:ctrlPr>
                </m:sSubPr>
                <m:e>
                  <m:r>
                    <w:rPr>
                      <w:rFonts w:ascii="Cambria Math" w:hAnsi="Cambria Math"/>
                    </w:rPr>
                    <m:t>N</m:t>
                  </m:r>
                </m:e>
                <m:sub>
                  <m:r>
                    <w:rPr>
                      <w:rFonts w:ascii="Cambria Math" w:hAnsi="Cambria Math"/>
                    </w:rPr>
                    <m:t>k</m:t>
                  </m:r>
                </m:sub>
              </m:sSub>
            </m:sup>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r>
                            <w:rPr>
                              <w:rFonts w:ascii="Cambria Math" w:hAnsi="Cambria Math"/>
                            </w:rPr>
                            <m:t>p</m:t>
                          </m:r>
                        </m:sup>
                      </m:sSup>
                      <m:d>
                        <m:dPr>
                          <m:ctrlPr>
                            <w:rPr>
                              <w:rFonts w:ascii="Cambria Math" w:hAnsi="Cambria Math"/>
                            </w:rPr>
                          </m:ctrlPr>
                        </m:dPr>
                        <m:e>
                          <m:r>
                            <w:rPr>
                              <w:rFonts w:ascii="Cambria Math" w:hAnsi="Cambria Math"/>
                            </w:rPr>
                            <m:t>t</m:t>
                          </m:r>
                        </m:e>
                      </m:d>
                    </m:e>
                  </m:d>
                </m:e>
                <m:sup>
                  <m:r>
                    <m:rPr>
                      <m:sty m:val="p"/>
                    </m:rPr>
                    <w:rPr>
                      <w:rFonts w:ascii="Cambria Math" w:hAnsi="Cambria Math"/>
                    </w:rPr>
                    <m:t>2</m:t>
                  </m:r>
                </m:sup>
              </m:sSup>
            </m:e>
          </m:nary>
        </m:oMath>
      </m:oMathPara>
    </w:p>
    <w:p w14:paraId="4B13C75F" w14:textId="058C9285" w:rsidR="006154AD" w:rsidRPr="0009223E" w:rsidRDefault="00425835" w:rsidP="00651934">
      <w:pPr>
        <w:jc w:val="left"/>
      </w:pPr>
      <w:r w:rsidRPr="0009223E">
        <w:t>and the concentration variance can be computed as:</w:t>
      </w:r>
    </w:p>
    <w:tbl>
      <w:tblPr>
        <w:tblW w:w="5000" w:type="pct"/>
        <w:tblLook w:val="04A0" w:firstRow="1" w:lastRow="0" w:firstColumn="1" w:lastColumn="0" w:noHBand="0" w:noVBand="1"/>
      </w:tblPr>
      <w:tblGrid>
        <w:gridCol w:w="7983"/>
        <w:gridCol w:w="804"/>
      </w:tblGrid>
      <w:tr w:rsidR="00F936E9" w:rsidRPr="0009223E" w14:paraId="4DCEAEA0" w14:textId="77777777" w:rsidTr="00B865DD">
        <w:tc>
          <w:tcPr>
            <w:tcW w:w="8188" w:type="dxa"/>
            <w:shd w:val="clear" w:color="auto" w:fill="auto"/>
            <w:vAlign w:val="center"/>
          </w:tcPr>
          <w:p w14:paraId="12651BEA" w14:textId="5F9CEE59" w:rsidR="00F936E9" w:rsidRPr="0009223E" w:rsidRDefault="002A115B" w:rsidP="00B865DD">
            <w:pPr>
              <w:pStyle w:val="CETEquation"/>
            </w:pPr>
            <m:oMathPara>
              <m:oMath>
                <m:sSub>
                  <m:sSubPr>
                    <m:ctrlPr>
                      <w:rPr>
                        <w:rFonts w:ascii="Cambria Math" w:hAnsi="Cambria Math"/>
                      </w:rPr>
                    </m:ctrlPr>
                  </m:sSubPr>
                  <m:e>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C</m:t>
                            </m:r>
                          </m:sub>
                          <m:sup>
                            <m:r>
                              <m:rPr>
                                <m:sty m:val="p"/>
                              </m:rPr>
                              <w:rPr>
                                <w:rFonts w:ascii="Cambria Math" w:hAnsi="Cambria Math"/>
                              </w:rPr>
                              <m:t>2</m:t>
                            </m:r>
                          </m:sup>
                        </m:sSubSup>
                      </m:e>
                    </m:d>
                  </m:e>
                  <m:sub>
                    <m:r>
                      <w:rPr>
                        <w:rFonts w:ascii="Cambria Math" w:hAnsi="Cambria Math"/>
                      </w:rPr>
                      <m:t>k</m:t>
                    </m:r>
                  </m:sub>
                </m:sSub>
                <m:r>
                  <m:rPr>
                    <m:sty m:val="p"/>
                  </m:rPr>
                  <w:rPr>
                    <w:rFonts w:ascii="Cambria Math" w:hAnsi="Cambria Math"/>
                  </w:rPr>
                  <m:t>=</m:t>
                </m:r>
                <m:acc>
                  <m:accPr>
                    <m:chr m:val="̅"/>
                    <m:ctrlPr>
                      <w:rPr>
                        <w:rFonts w:ascii="Cambria Math" w:hAnsi="Cambria Math"/>
                      </w:rPr>
                    </m:ctrlPr>
                  </m:accPr>
                  <m:e>
                    <m:sSubSup>
                      <m:sSubSupPr>
                        <m:ctrlPr>
                          <w:rPr>
                            <w:rFonts w:ascii="Cambria Math" w:hAnsi="Cambria Math"/>
                          </w:rPr>
                        </m:ctrlPr>
                      </m:sSubSupPr>
                      <m:e>
                        <m:r>
                          <w:rPr>
                            <w:rFonts w:ascii="Cambria Math" w:hAnsi="Cambria Math"/>
                          </w:rPr>
                          <m:t>C</m:t>
                        </m:r>
                      </m:e>
                      <m:sub>
                        <m:r>
                          <w:rPr>
                            <w:rFonts w:ascii="Cambria Math" w:hAnsi="Cambria Math"/>
                          </w:rPr>
                          <m:t>k</m:t>
                        </m:r>
                      </m:sub>
                      <m:sup>
                        <m:r>
                          <m:rPr>
                            <m:sty m:val="p"/>
                          </m:rPr>
                          <w:rPr>
                            <w:rFonts w:ascii="Cambria Math" w:hAnsi="Cambria Math"/>
                          </w:rPr>
                          <m:t>2</m:t>
                        </m:r>
                      </m:sup>
                    </m:sSubSup>
                  </m:e>
                </m:acc>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C</m:t>
                                </m:r>
                              </m:e>
                              <m:sub>
                                <m:r>
                                  <w:rPr>
                                    <w:rFonts w:ascii="Cambria Math" w:hAnsi="Cambria Math"/>
                                  </w:rPr>
                                  <m:t>k</m:t>
                                </m:r>
                              </m:sub>
                            </m:sSub>
                          </m:e>
                        </m:acc>
                        <m:d>
                          <m:dPr>
                            <m:ctrlPr>
                              <w:rPr>
                                <w:rFonts w:ascii="Cambria Math" w:hAnsi="Cambria Math"/>
                              </w:rPr>
                            </m:ctrlPr>
                          </m:dPr>
                          <m:e>
                            <m:r>
                              <w:rPr>
                                <w:rFonts w:ascii="Cambria Math" w:hAnsi="Cambria Math"/>
                              </w:rPr>
                              <m:t>t</m:t>
                            </m:r>
                          </m:e>
                        </m:d>
                      </m:e>
                    </m:d>
                  </m:e>
                  <m:sup>
                    <m:r>
                      <m:rPr>
                        <m:sty m:val="p"/>
                      </m:rPr>
                      <w:rPr>
                        <w:rFonts w:ascii="Cambria Math" w:hAnsi="Cambria Math"/>
                      </w:rPr>
                      <m:t>2</m:t>
                    </m:r>
                  </m:sup>
                </m:sSup>
              </m:oMath>
            </m:oMathPara>
          </w:p>
        </w:tc>
        <w:tc>
          <w:tcPr>
            <w:tcW w:w="815" w:type="dxa"/>
            <w:shd w:val="clear" w:color="auto" w:fill="auto"/>
            <w:vAlign w:val="center"/>
          </w:tcPr>
          <w:p w14:paraId="4BEC92F5" w14:textId="6D22CB9A" w:rsidR="00F936E9" w:rsidRPr="0009223E" w:rsidRDefault="00F936E9" w:rsidP="00F936E9">
            <w:pPr>
              <w:pStyle w:val="CETEquation"/>
              <w:jc w:val="right"/>
            </w:pPr>
            <w:r w:rsidRPr="0009223E">
              <w:t>(2)</w:t>
            </w:r>
          </w:p>
        </w:tc>
      </w:tr>
    </w:tbl>
    <w:p w14:paraId="25AC480A" w14:textId="3F281FE8" w:rsidR="00EE74CE" w:rsidRPr="0009223E" w:rsidRDefault="00425835" w:rsidP="00EE74CE">
      <w:r w:rsidRPr="0009223E">
        <w:lastRenderedPageBreak/>
        <w:t>To overcome the problem of simulating a huge number of particles</w:t>
      </w:r>
      <w:r w:rsidR="00651934" w:rsidRPr="0009223E">
        <w:t>, both those emitted by the considered sources and those referring to the background</w:t>
      </w:r>
      <w:r w:rsidRPr="0009223E">
        <w:t xml:space="preserve">, </w:t>
      </w:r>
      <w:proofErr w:type="spellStart"/>
      <w:r w:rsidRPr="0009223E">
        <w:t>Cassiani</w:t>
      </w:r>
      <w:proofErr w:type="spellEnd"/>
      <w:r w:rsidRPr="0009223E">
        <w:t xml:space="preserve"> (2013) proposed the </w:t>
      </w:r>
      <w:r w:rsidR="00651934" w:rsidRPr="0009223E">
        <w:t>VPA approach</w:t>
      </w:r>
      <w:r w:rsidR="00282456">
        <w:t>. This approach</w:t>
      </w:r>
      <w:r w:rsidR="00651934" w:rsidRPr="0009223E">
        <w:t>, allows to consider only the particles emitted by the source</w:t>
      </w:r>
      <w:r w:rsidR="00282456">
        <w:t>, as</w:t>
      </w:r>
      <w:r w:rsidR="00651934" w:rsidRPr="0009223E">
        <w:t xml:space="preserve"> during the normal execution of the SPRAY code.</w:t>
      </w:r>
      <w:r w:rsidR="00FF0FEC" w:rsidRPr="0009223E">
        <w:t xml:space="preserve"> To this aim, </w:t>
      </w:r>
      <w:r w:rsidR="00EE74CE" w:rsidRPr="0009223E">
        <w:t xml:space="preserve">the volume </w:t>
      </w:r>
      <w:proofErr w:type="spellStart"/>
      <w:r w:rsidR="00EE74CE" w:rsidRPr="0009223E">
        <w:rPr>
          <w:i/>
          <w:iCs/>
        </w:rPr>
        <w:t>V</w:t>
      </w:r>
      <w:r w:rsidR="00EE74CE" w:rsidRPr="0009223E">
        <w:rPr>
          <w:i/>
          <w:iCs/>
          <w:vertAlign w:val="subscript"/>
        </w:rPr>
        <w:t>p</w:t>
      </w:r>
      <w:proofErr w:type="spellEnd"/>
      <w:r w:rsidR="00EE74CE" w:rsidRPr="0009223E">
        <w:t xml:space="preserve"> is added </w:t>
      </w:r>
      <w:r w:rsidR="00277B5B" w:rsidRPr="0009223E">
        <w:t xml:space="preserve">to each particle as </w:t>
      </w:r>
      <w:r w:rsidR="00EE74CE" w:rsidRPr="0009223E">
        <w:t>an additional property. Considering the appropriate initial conditions for the particle volume</w:t>
      </w:r>
      <w:r w:rsidR="00282456">
        <w:t>,</w:t>
      </w:r>
      <w:r w:rsidR="00EE74CE" w:rsidRPr="0009223E">
        <w:t xml:space="preserve"> related mainly to the initial source size, it is possible to define the evolution of the particle concentration from its initial value</w:t>
      </w:r>
      <w:r w:rsidR="00282456">
        <w:t>,</w:t>
      </w:r>
      <w:r w:rsidR="00EE74CE" w:rsidRPr="0009223E">
        <w:t xml:space="preserve"> as described in equation (1), during a model discretization time step. Since the particle mass must be conserved, this means that also a change in volume must be considered as:</w:t>
      </w:r>
    </w:p>
    <w:p w14:paraId="6D03B117" w14:textId="699B9558" w:rsidR="00651934" w:rsidRPr="0009223E" w:rsidRDefault="002A115B" w:rsidP="00F936E9">
      <w:pPr>
        <w:pStyle w:val="CETEquation"/>
      </w:pPr>
      <m:oMathPara>
        <m:oMath>
          <m:sSup>
            <m:sSupPr>
              <m:ctrlPr>
                <w:rPr>
                  <w:rFonts w:ascii="Cambria Math" w:hAnsi="Cambria Math"/>
                </w:rPr>
              </m:ctrlPr>
            </m:sSupPr>
            <m:e>
              <m:r>
                <w:rPr>
                  <w:rFonts w:ascii="Cambria Math" w:hAnsi="Cambria Math"/>
                </w:rPr>
                <m:t>V</m:t>
              </m:r>
            </m:e>
            <m:sup>
              <m:r>
                <w:rPr>
                  <w:rFonts w:ascii="Cambria Math" w:hAnsi="Cambria Math"/>
                </w:rPr>
                <m:t>p</m:t>
              </m:r>
            </m:sup>
          </m:sSup>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t</m:t>
          </m:r>
          <m:r>
            <m:rPr>
              <m:sty m:val="p"/>
            </m:rPr>
            <w:rPr>
              <w:rFonts w:ascii="Cambria Math" w:hAnsi="Cambria Math"/>
            </w:rPr>
            <m:t>)=</m:t>
          </m:r>
          <m:sSup>
            <m:sSupPr>
              <m:ctrlPr>
                <w:rPr>
                  <w:rFonts w:ascii="Cambria Math" w:hAnsi="Cambria Math"/>
                </w:rPr>
              </m:ctrlPr>
            </m:sSupPr>
            <m:e>
              <m:r>
                <w:rPr>
                  <w:rFonts w:ascii="Cambria Math" w:hAnsi="Cambria Math"/>
                </w:rPr>
                <m:t>V</m:t>
              </m:r>
            </m:e>
            <m:sup>
              <m:r>
                <w:rPr>
                  <w:rFonts w:ascii="Cambria Math" w:hAnsi="Cambria Math"/>
                </w:rPr>
                <m:t>p</m:t>
              </m:r>
            </m:sup>
          </m:sSup>
          <m:r>
            <m:rPr>
              <m:sty m:val="p"/>
            </m:rPr>
            <w:rPr>
              <w:rFonts w:ascii="Cambria Math" w:hAnsi="Cambria Math"/>
            </w:rPr>
            <m:t>(</m:t>
          </m:r>
          <m:r>
            <w:rPr>
              <w:rFonts w:ascii="Cambria Math" w:hAnsi="Cambria Math"/>
            </w:rPr>
            <m:t>t</m:t>
          </m:r>
          <m:r>
            <m:rPr>
              <m:sty m:val="p"/>
            </m:rPr>
            <w:rPr>
              <w:rFonts w:ascii="Cambria Math" w:hAnsi="Cambria Math"/>
            </w:rPr>
            <m:t>)</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C</m:t>
                      </m:r>
                    </m:e>
                    <m:sup>
                      <m:r>
                        <w:rPr>
                          <w:rFonts w:ascii="Cambria Math" w:hAnsi="Cambria Math"/>
                        </w:rPr>
                        <m:t>p</m:t>
                      </m:r>
                    </m:sup>
                  </m:sSup>
                  <m:r>
                    <m:rPr>
                      <m:sty m:val="p"/>
                    </m:rPr>
                    <w:rPr>
                      <w:rFonts w:ascii="Cambria Math" w:hAnsi="Cambria Math"/>
                    </w:rPr>
                    <m:t>(</m:t>
                  </m:r>
                  <m:r>
                    <w:rPr>
                      <w:rFonts w:ascii="Cambria Math" w:hAnsi="Cambria Math"/>
                    </w:rPr>
                    <m:t>t</m:t>
                  </m:r>
                  <m:r>
                    <m:rPr>
                      <m:sty m:val="p"/>
                    </m:rPr>
                    <w:rPr>
                      <w:rFonts w:ascii="Cambria Math" w:hAnsi="Cambria Math"/>
                    </w:rPr>
                    <m:t>)</m:t>
                  </m:r>
                </m:num>
                <m:den>
                  <m:sSup>
                    <m:sSupPr>
                      <m:ctrlPr>
                        <w:rPr>
                          <w:rFonts w:ascii="Cambria Math" w:hAnsi="Cambria Math"/>
                        </w:rPr>
                      </m:ctrlPr>
                    </m:sSupPr>
                    <m:e>
                      <m:r>
                        <w:rPr>
                          <w:rFonts w:ascii="Cambria Math" w:hAnsi="Cambria Math"/>
                        </w:rPr>
                        <m:t>C</m:t>
                      </m:r>
                    </m:e>
                    <m:sup>
                      <m:r>
                        <w:rPr>
                          <w:rFonts w:ascii="Cambria Math" w:hAnsi="Cambria Math"/>
                        </w:rPr>
                        <m:t>P</m:t>
                      </m:r>
                    </m:sup>
                  </m:sSup>
                  <m:d>
                    <m:dPr>
                      <m:ctrlPr>
                        <w:rPr>
                          <w:rFonts w:ascii="Cambria Math" w:hAnsi="Cambria Math"/>
                        </w:rPr>
                      </m:ctrlPr>
                    </m:dPr>
                    <m:e>
                      <m:r>
                        <w:rPr>
                          <w:rFonts w:ascii="Cambria Math" w:hAnsi="Cambria Math"/>
                        </w:rPr>
                        <m:t>t</m:t>
                      </m:r>
                    </m:e>
                  </m:d>
                  <m:r>
                    <m:rPr>
                      <m:sty m:val="p"/>
                    </m:rPr>
                    <w:rPr>
                      <w:rFonts w:ascii="Cambria Math" w:hAnsi="Cambria Math"/>
                    </w:rPr>
                    <m:t>+∆</m:t>
                  </m:r>
                  <m:sSup>
                    <m:sSupPr>
                      <m:ctrlPr>
                        <w:rPr>
                          <w:rFonts w:ascii="Cambria Math" w:hAnsi="Cambria Math"/>
                        </w:rPr>
                      </m:ctrlPr>
                    </m:sSupPr>
                    <m:e>
                      <m:r>
                        <w:rPr>
                          <w:rFonts w:ascii="Cambria Math" w:hAnsi="Cambria Math"/>
                        </w:rPr>
                        <m:t>C</m:t>
                      </m:r>
                    </m:e>
                    <m:sup>
                      <m:r>
                        <w:rPr>
                          <w:rFonts w:ascii="Cambria Math" w:hAnsi="Cambria Math"/>
                        </w:rPr>
                        <m:t>p</m:t>
                      </m:r>
                    </m:sup>
                  </m:sSup>
                </m:den>
              </m:f>
            </m:e>
          </m:d>
        </m:oMath>
      </m:oMathPara>
    </w:p>
    <w:p w14:paraId="14EA6C0B" w14:textId="2A7399D6" w:rsidR="00425835" w:rsidRPr="0009223E" w:rsidRDefault="005673E0" w:rsidP="00425835">
      <w:r w:rsidRPr="0009223E">
        <w:t xml:space="preserve">In the current implementation of the VPA model inside SPRAY, </w:t>
      </w:r>
      <w:r w:rsidR="00425835" w:rsidRPr="0009223E">
        <w:t xml:space="preserve">the </w:t>
      </w:r>
      <w:proofErr w:type="spellStart"/>
      <w:r w:rsidR="00425835" w:rsidRPr="0009223E">
        <w:t>micromixing</w:t>
      </w:r>
      <w:proofErr w:type="spellEnd"/>
      <w:r w:rsidR="00425835" w:rsidRPr="0009223E">
        <w:t xml:space="preserve"> time scale </w:t>
      </w:r>
      <m:oMath>
        <m:sSub>
          <m:sSubPr>
            <m:ctrlPr>
              <w:rPr>
                <w:rFonts w:ascii="Cambria Math" w:hAnsi="Cambria Math"/>
                <w:i/>
              </w:rPr>
            </m:ctrlPr>
          </m:sSubPr>
          <m:e>
            <m:r>
              <w:rPr>
                <w:rFonts w:ascii="Cambria Math" w:hAnsi="Cambria Math"/>
              </w:rPr>
              <m:t>τ</m:t>
            </m:r>
          </m:e>
          <m:sub>
            <m:r>
              <w:rPr>
                <w:rFonts w:ascii="Cambria Math" w:hAnsi="Cambria Math"/>
              </w:rPr>
              <m:t>m</m:t>
            </m:r>
          </m:sub>
        </m:sSub>
      </m:oMath>
      <w:r w:rsidR="00425835" w:rsidRPr="0009223E">
        <w:rPr>
          <w:rFonts w:eastAsiaTheme="minorEastAsia"/>
        </w:rPr>
        <w:t xml:space="preserve"> </w:t>
      </w:r>
      <w:r w:rsidRPr="0009223E">
        <w:rPr>
          <w:rFonts w:eastAsiaTheme="minorEastAsia"/>
        </w:rPr>
        <w:t>is defined</w:t>
      </w:r>
      <w:r w:rsidR="006154AD" w:rsidRPr="0009223E">
        <w:rPr>
          <w:rFonts w:eastAsiaTheme="minorEastAsia"/>
        </w:rPr>
        <w:t>,</w:t>
      </w:r>
      <w:r w:rsidRPr="0009223E">
        <w:rPr>
          <w:rFonts w:eastAsiaTheme="minorEastAsia"/>
        </w:rPr>
        <w:t xml:space="preserve"> as</w:t>
      </w:r>
      <w:r w:rsidR="00425835" w:rsidRPr="0009223E">
        <w:rPr>
          <w:rFonts w:eastAsiaTheme="minorEastAsia"/>
        </w:rPr>
        <w:t xml:space="preserve"> described in Dixon and Tomlin (2007)</w:t>
      </w:r>
      <w:r w:rsidR="006154AD" w:rsidRPr="0009223E">
        <w:t>, with the following simplified formula:</w:t>
      </w:r>
    </w:p>
    <w:p w14:paraId="182D552C" w14:textId="0FE807FA" w:rsidR="006154AD" w:rsidRPr="0009223E" w:rsidRDefault="002A115B" w:rsidP="00F936E9">
      <w:pPr>
        <w:pStyle w:val="CETEquation"/>
      </w:pPr>
      <m:oMathPara>
        <m:oMath>
          <m:sSub>
            <m:sSubPr>
              <m:ctrlPr>
                <w:rPr>
                  <w:rFonts w:ascii="Cambria Math" w:hAnsi="Cambria Math"/>
                </w:rPr>
              </m:ctrlPr>
            </m:sSubPr>
            <m:e>
              <m:r>
                <w:rPr>
                  <w:rFonts w:ascii="Cambria Math" w:hAnsi="Cambria Math"/>
                </w:rPr>
                <m:t>τ</m:t>
              </m:r>
            </m:e>
            <m:sub>
              <m:r>
                <w:rPr>
                  <w:rFonts w:ascii="Cambria Math" w:hAnsi="Cambria Math"/>
                </w:rPr>
                <m:t>m</m:t>
              </m:r>
            </m:sub>
          </m:sSub>
          <m:r>
            <m:rPr>
              <m:sty m:val="p"/>
            </m:rPr>
            <w:rPr>
              <w:rFonts w:ascii="Cambria Math" w:hAnsi="Cambria Math"/>
            </w:rPr>
            <m:t>=0.75</m:t>
          </m:r>
          <m:f>
            <m:fPr>
              <m:type m:val="lin"/>
              <m:ctrlPr>
                <w:rPr>
                  <w:rFonts w:ascii="Cambria Math" w:hAnsi="Cambria Math"/>
                </w:rPr>
              </m:ctrlPr>
            </m:fPr>
            <m:num>
              <m:r>
                <w:rPr>
                  <w:rFonts w:ascii="Cambria Math" w:hAnsi="Cambria Math"/>
                </w:rPr>
                <m:t>k</m:t>
              </m:r>
            </m:num>
            <m:den>
              <m:r>
                <w:rPr>
                  <w:rFonts w:ascii="Cambria Math" w:hAnsi="Cambria Math"/>
                </w:rPr>
                <m:t>ε</m:t>
              </m:r>
            </m:den>
          </m:f>
        </m:oMath>
      </m:oMathPara>
    </w:p>
    <w:p w14:paraId="1D1A8460" w14:textId="6052752B" w:rsidR="00277B5B" w:rsidRPr="0009223E" w:rsidRDefault="006154AD" w:rsidP="00277B5B">
      <w:r w:rsidRPr="0009223E">
        <w:t xml:space="preserve">where </w:t>
      </w:r>
      <w:r w:rsidRPr="0009223E">
        <w:rPr>
          <w:i/>
          <w:iCs/>
        </w:rPr>
        <w:t xml:space="preserve">k </w:t>
      </w:r>
      <w:r w:rsidRPr="0009223E">
        <w:t xml:space="preserve">represents the turbulent kinetic energy and </w:t>
      </w:r>
      <m:oMath>
        <m:r>
          <w:rPr>
            <w:rFonts w:ascii="Cambria Math" w:hAnsi="Cambria Math"/>
            <w:sz w:val="24"/>
            <w:szCs w:val="24"/>
          </w:rPr>
          <m:t>ε</m:t>
        </m:r>
      </m:oMath>
      <w:r w:rsidRPr="0009223E">
        <w:rPr>
          <w:szCs w:val="18"/>
        </w:rPr>
        <w:t xml:space="preserve"> represents its dissipation rate. Both terms can be calculated in each point using the variables </w:t>
      </w:r>
      <w:r w:rsidR="00282456">
        <w:rPr>
          <w:szCs w:val="18"/>
        </w:rPr>
        <w:t>that</w:t>
      </w:r>
      <w:r w:rsidRPr="0009223E">
        <w:rPr>
          <w:szCs w:val="18"/>
        </w:rPr>
        <w:t xml:space="preserve"> define the turbulence parameters inside the code. Once the average concentration</w:t>
      </w:r>
      <w:r w:rsidR="00282456">
        <w:rPr>
          <w:szCs w:val="18"/>
        </w:rPr>
        <w:t>s</w:t>
      </w:r>
      <w:r w:rsidRPr="0009223E">
        <w:rPr>
          <w:szCs w:val="18"/>
        </w:rPr>
        <w:t xml:space="preserve"> are computed and concentration variances are estimated using (</w:t>
      </w:r>
      <w:r w:rsidR="00580F83" w:rsidRPr="0009223E">
        <w:rPr>
          <w:szCs w:val="18"/>
        </w:rPr>
        <w:t>2</w:t>
      </w:r>
      <w:r w:rsidRPr="0009223E">
        <w:rPr>
          <w:szCs w:val="18"/>
        </w:rPr>
        <w:t>)</w:t>
      </w:r>
      <w:r w:rsidR="00277B5B" w:rsidRPr="0009223E">
        <w:rPr>
          <w:szCs w:val="18"/>
        </w:rPr>
        <w:t xml:space="preserve">, </w:t>
      </w:r>
      <w:r w:rsidR="00580F83" w:rsidRPr="0009223E">
        <w:rPr>
          <w:szCs w:val="18"/>
        </w:rPr>
        <w:t>then</w:t>
      </w:r>
      <w:r w:rsidR="00277B5B" w:rsidRPr="0009223E">
        <w:rPr>
          <w:szCs w:val="18"/>
        </w:rPr>
        <w:t xml:space="preserve"> </w:t>
      </w:r>
      <w:r w:rsidR="00277B5B" w:rsidRPr="0009223E">
        <w:t xml:space="preserve">the peak concentration is calculated as the 98 percentile of a </w:t>
      </w:r>
      <w:r w:rsidR="00C90505">
        <w:t>two</w:t>
      </w:r>
      <w:r w:rsidR="00277B5B" w:rsidRPr="0009223E">
        <w:t xml:space="preserve"> parameters Weibull distribution.</w:t>
      </w:r>
    </w:p>
    <w:p w14:paraId="6F86AAEA" w14:textId="2B9D302A" w:rsidR="00580F83" w:rsidRPr="0009223E" w:rsidRDefault="00580F83" w:rsidP="00580F83">
      <w:pPr>
        <w:pStyle w:val="CETHeading1"/>
        <w:rPr>
          <w:lang w:val="en-GB"/>
        </w:rPr>
      </w:pPr>
      <w:r w:rsidRPr="0009223E">
        <w:rPr>
          <w:lang w:val="en-GB"/>
        </w:rPr>
        <w:t>Results</w:t>
      </w:r>
    </w:p>
    <w:p w14:paraId="22C9503B" w14:textId="5699A050" w:rsidR="00580F83" w:rsidRPr="0009223E" w:rsidRDefault="00580F83" w:rsidP="00580F83">
      <w:pPr>
        <w:pStyle w:val="CETheadingx"/>
        <w:rPr>
          <w:lang w:val="en-GB"/>
        </w:rPr>
      </w:pPr>
      <w:r w:rsidRPr="0009223E">
        <w:rPr>
          <w:lang w:val="en-GB"/>
        </w:rPr>
        <w:t>Peak-to-mean in controlled conditions</w:t>
      </w:r>
    </w:p>
    <w:p w14:paraId="661E02FB" w14:textId="63133D74" w:rsidR="008703B9" w:rsidRPr="0009223E" w:rsidRDefault="0083354C" w:rsidP="00580F83">
      <w:pPr>
        <w:pStyle w:val="CETBodytext"/>
        <w:rPr>
          <w:lang w:val="en-GB"/>
        </w:rPr>
      </w:pPr>
      <w:r w:rsidRPr="0009223E">
        <w:rPr>
          <w:lang w:val="en-GB"/>
        </w:rPr>
        <w:t xml:space="preserve">To obtain some preliminary results, a </w:t>
      </w:r>
      <w:r w:rsidR="00401525" w:rsidRPr="0009223E">
        <w:rPr>
          <w:lang w:val="en-GB"/>
        </w:rPr>
        <w:t>simulation in controlled condition</w:t>
      </w:r>
      <w:r w:rsidR="0054359A">
        <w:rPr>
          <w:lang w:val="en-GB"/>
        </w:rPr>
        <w:t>s</w:t>
      </w:r>
      <w:r w:rsidR="00401525" w:rsidRPr="0009223E">
        <w:rPr>
          <w:lang w:val="en-GB"/>
        </w:rPr>
        <w:t xml:space="preserve"> has been performed </w:t>
      </w:r>
      <w:proofErr w:type="gramStart"/>
      <w:r w:rsidR="00401525" w:rsidRPr="0009223E">
        <w:rPr>
          <w:lang w:val="en-GB"/>
        </w:rPr>
        <w:t>in order to</w:t>
      </w:r>
      <w:proofErr w:type="gramEnd"/>
      <w:r w:rsidR="00401525" w:rsidRPr="0009223E">
        <w:rPr>
          <w:lang w:val="en-GB"/>
        </w:rPr>
        <w:t xml:space="preserve"> compare the results between the VTE and VPA methods</w:t>
      </w:r>
      <w:r w:rsidRPr="0009223E">
        <w:rPr>
          <w:lang w:val="en-GB"/>
        </w:rPr>
        <w:t>. A 12 x 12 km</w:t>
      </w:r>
      <w:r w:rsidRPr="0009223E">
        <w:rPr>
          <w:vertAlign w:val="superscript"/>
          <w:lang w:val="en-GB"/>
        </w:rPr>
        <w:t>2</w:t>
      </w:r>
      <w:r w:rsidRPr="0009223E">
        <w:rPr>
          <w:lang w:val="en-GB"/>
        </w:rPr>
        <w:t xml:space="preserve"> computational domain with flat terrain </w:t>
      </w:r>
      <w:r w:rsidR="007F4E24" w:rsidRPr="0009223E">
        <w:rPr>
          <w:lang w:val="en-GB"/>
        </w:rPr>
        <w:t xml:space="preserve">and a surface roughness of 0.1 m </w:t>
      </w:r>
      <w:r w:rsidRPr="0009223E">
        <w:rPr>
          <w:lang w:val="en-GB"/>
        </w:rPr>
        <w:t>has been considered</w:t>
      </w:r>
      <w:r w:rsidR="007F4E24" w:rsidRPr="0009223E">
        <w:rPr>
          <w:lang w:val="en-GB"/>
        </w:rPr>
        <w:t>.</w:t>
      </w:r>
      <w:r w:rsidRPr="0009223E">
        <w:rPr>
          <w:lang w:val="en-GB"/>
        </w:rPr>
        <w:t xml:space="preserve"> </w:t>
      </w:r>
      <w:r w:rsidR="007F4E24" w:rsidRPr="0009223E">
        <w:rPr>
          <w:lang w:val="en-GB"/>
        </w:rPr>
        <w:t xml:space="preserve">The meteorological conditions consider a </w:t>
      </w:r>
      <w:r w:rsidRPr="0009223E">
        <w:rPr>
          <w:lang w:val="en-GB"/>
        </w:rPr>
        <w:t xml:space="preserve">constant </w:t>
      </w:r>
      <w:r w:rsidR="007F4E24" w:rsidRPr="0009223E">
        <w:rPr>
          <w:lang w:val="en-GB"/>
        </w:rPr>
        <w:t xml:space="preserve">mean </w:t>
      </w:r>
      <w:r w:rsidRPr="0009223E">
        <w:rPr>
          <w:lang w:val="en-GB"/>
        </w:rPr>
        <w:t xml:space="preserve">wind of </w:t>
      </w:r>
      <w:r w:rsidR="007F4E24" w:rsidRPr="0009223E">
        <w:rPr>
          <w:lang w:val="en-GB"/>
        </w:rPr>
        <w:t>1</w:t>
      </w:r>
      <w:r w:rsidRPr="0009223E">
        <w:rPr>
          <w:lang w:val="en-GB"/>
        </w:rPr>
        <w:t xml:space="preserve"> m/s blowing towards </w:t>
      </w:r>
      <w:r w:rsidR="001B29E8">
        <w:rPr>
          <w:lang w:val="en-GB"/>
        </w:rPr>
        <w:t>N</w:t>
      </w:r>
      <w:r w:rsidR="001B29E8" w:rsidRPr="0009223E">
        <w:rPr>
          <w:lang w:val="en-GB"/>
        </w:rPr>
        <w:t xml:space="preserve">orth </w:t>
      </w:r>
      <w:r w:rsidRPr="0009223E">
        <w:rPr>
          <w:lang w:val="en-GB"/>
        </w:rPr>
        <w:t xml:space="preserve">and </w:t>
      </w:r>
      <w:r w:rsidR="007F4E24" w:rsidRPr="0009223E">
        <w:rPr>
          <w:lang w:val="en-GB"/>
        </w:rPr>
        <w:t>unstable convective</w:t>
      </w:r>
      <w:r w:rsidRPr="0009223E">
        <w:rPr>
          <w:lang w:val="en-GB"/>
        </w:rPr>
        <w:t xml:space="preserve"> </w:t>
      </w:r>
      <w:r w:rsidR="007F4E24" w:rsidRPr="0009223E">
        <w:rPr>
          <w:lang w:val="en-GB"/>
        </w:rPr>
        <w:t xml:space="preserve">stability </w:t>
      </w:r>
      <w:r w:rsidRPr="0009223E">
        <w:rPr>
          <w:lang w:val="en-GB"/>
        </w:rPr>
        <w:t xml:space="preserve">conditions </w:t>
      </w:r>
      <w:r w:rsidR="007F4E24" w:rsidRPr="0009223E">
        <w:rPr>
          <w:lang w:val="en-GB"/>
        </w:rPr>
        <w:t xml:space="preserve">characterized by a </w:t>
      </w:r>
      <w:proofErr w:type="spellStart"/>
      <w:r w:rsidR="007F4E24" w:rsidRPr="0009223E">
        <w:rPr>
          <w:lang w:val="en-GB"/>
        </w:rPr>
        <w:t>Monin-Obuhkov</w:t>
      </w:r>
      <w:proofErr w:type="spellEnd"/>
      <w:r w:rsidR="007F4E24" w:rsidRPr="0009223E">
        <w:rPr>
          <w:lang w:val="en-GB"/>
        </w:rPr>
        <w:t xml:space="preserve"> length of -10 m, a vertical mixed layer of 1500 m</w:t>
      </w:r>
      <w:r w:rsidR="00D904D4" w:rsidRPr="0009223E">
        <w:rPr>
          <w:lang w:val="en-GB"/>
        </w:rPr>
        <w:t xml:space="preserve"> and</w:t>
      </w:r>
      <w:r w:rsidR="007F4E24" w:rsidRPr="0009223E">
        <w:rPr>
          <w:lang w:val="en-GB"/>
        </w:rPr>
        <w:t xml:space="preserve"> a convective velocity scale of 0.2 m/s</w:t>
      </w:r>
      <w:r w:rsidR="00D904D4" w:rsidRPr="0009223E">
        <w:rPr>
          <w:lang w:val="en-GB"/>
        </w:rPr>
        <w:t xml:space="preserve">. In these conditions, a neutrally buoyant point source with stack height = 10 m, stack diameter = 0.5 m, </w:t>
      </w:r>
      <w:r w:rsidR="002A0D80" w:rsidRPr="0009223E">
        <w:rPr>
          <w:lang w:val="en-GB"/>
        </w:rPr>
        <w:t xml:space="preserve">stationary </w:t>
      </w:r>
      <w:r w:rsidR="00D904D4" w:rsidRPr="0009223E">
        <w:rPr>
          <w:lang w:val="en-GB"/>
        </w:rPr>
        <w:t xml:space="preserve">emitting flow = </w:t>
      </w:r>
      <w:r w:rsidR="00431FC7" w:rsidRPr="0009223E">
        <w:rPr>
          <w:lang w:val="en-GB"/>
        </w:rPr>
        <w:t>1700</w:t>
      </w:r>
      <w:r w:rsidR="00D904D4" w:rsidRPr="0009223E">
        <w:rPr>
          <w:lang w:val="en-GB"/>
        </w:rPr>
        <w:t xml:space="preserve"> </w:t>
      </w:r>
      <w:proofErr w:type="spellStart"/>
      <w:r w:rsidR="00E83DA5" w:rsidRPr="0009223E">
        <w:rPr>
          <w:lang w:val="en-GB"/>
        </w:rPr>
        <w:t>eu</w:t>
      </w:r>
      <w:proofErr w:type="spellEnd"/>
      <w:r w:rsidR="00D904D4" w:rsidRPr="0009223E">
        <w:rPr>
          <w:lang w:val="en-GB"/>
        </w:rPr>
        <w:t>/s has been simulated</w:t>
      </w:r>
      <w:r w:rsidR="00E83DA5" w:rsidRPr="0009223E">
        <w:rPr>
          <w:lang w:val="en-GB"/>
        </w:rPr>
        <w:t xml:space="preserve">, where </w:t>
      </w:r>
      <w:proofErr w:type="spellStart"/>
      <w:r w:rsidR="00E83DA5" w:rsidRPr="0009223E">
        <w:rPr>
          <w:lang w:val="en-GB"/>
        </w:rPr>
        <w:t>eu</w:t>
      </w:r>
      <w:proofErr w:type="spellEnd"/>
      <w:r w:rsidR="00E83DA5" w:rsidRPr="0009223E">
        <w:rPr>
          <w:lang w:val="en-GB"/>
        </w:rPr>
        <w:t xml:space="preserve"> represents </w:t>
      </w:r>
      <w:r w:rsidR="002A0D80" w:rsidRPr="0009223E">
        <w:rPr>
          <w:lang w:val="en-GB"/>
        </w:rPr>
        <w:t xml:space="preserve">generic </w:t>
      </w:r>
      <w:r w:rsidR="00E83DA5" w:rsidRPr="0009223E">
        <w:rPr>
          <w:lang w:val="en-GB"/>
        </w:rPr>
        <w:t xml:space="preserve">“emission units” </w:t>
      </w:r>
      <w:r w:rsidR="00AA09CD" w:rsidRPr="0009223E">
        <w:rPr>
          <w:lang w:val="en-GB"/>
        </w:rPr>
        <w:t>that</w:t>
      </w:r>
      <w:r w:rsidR="00E83DA5" w:rsidRPr="0009223E">
        <w:rPr>
          <w:lang w:val="en-GB"/>
        </w:rPr>
        <w:t xml:space="preserve"> can be interpreted as odour units in case of odour emissions or mass units in case of pollutant mass emissions.  </w:t>
      </w:r>
      <w:r w:rsidR="0054359A">
        <w:rPr>
          <w:lang w:val="en-GB"/>
        </w:rPr>
        <w:t xml:space="preserve"> </w:t>
      </w:r>
      <w:r w:rsidR="008703B9" w:rsidRPr="0009223E">
        <w:rPr>
          <w:lang w:val="en-GB"/>
        </w:rPr>
        <w:t xml:space="preserve">Figure </w:t>
      </w:r>
      <w:r w:rsidR="00B8436E" w:rsidRPr="0009223E">
        <w:rPr>
          <w:lang w:val="en-GB"/>
        </w:rPr>
        <w:t xml:space="preserve">1a </w:t>
      </w:r>
      <w:r w:rsidR="008703B9" w:rsidRPr="0009223E">
        <w:rPr>
          <w:lang w:val="en-GB"/>
        </w:rPr>
        <w:t xml:space="preserve">represents the average concentration field close to the ground given by the standard dispersion model, while </w:t>
      </w:r>
      <w:r w:rsidR="00B8436E" w:rsidRPr="0009223E">
        <w:rPr>
          <w:lang w:val="en-GB"/>
        </w:rPr>
        <w:t>Figure 1b</w:t>
      </w:r>
      <w:r w:rsidR="008703B9" w:rsidRPr="0009223E">
        <w:rPr>
          <w:lang w:val="en-GB"/>
        </w:rPr>
        <w:t xml:space="preserve"> </w:t>
      </w:r>
      <w:r w:rsidR="00B8436E" w:rsidRPr="0009223E">
        <w:rPr>
          <w:lang w:val="en-GB"/>
        </w:rPr>
        <w:t xml:space="preserve">and Figure 1c </w:t>
      </w:r>
      <w:r w:rsidR="008703B9" w:rsidRPr="0009223E">
        <w:rPr>
          <w:lang w:val="en-GB"/>
        </w:rPr>
        <w:t>reproduce peak concentrations using the VTE method and the VPA method respectively</w:t>
      </w:r>
      <w:r w:rsidR="002A0D80" w:rsidRPr="0009223E">
        <w:rPr>
          <w:lang w:val="en-GB"/>
        </w:rPr>
        <w:t xml:space="preserve">, as described in </w:t>
      </w:r>
      <w:r w:rsidR="001B29E8">
        <w:rPr>
          <w:lang w:val="en-GB"/>
        </w:rPr>
        <w:t>C</w:t>
      </w:r>
      <w:r w:rsidR="001B29E8" w:rsidRPr="0009223E">
        <w:rPr>
          <w:lang w:val="en-GB"/>
        </w:rPr>
        <w:t xml:space="preserve">hapter </w:t>
      </w:r>
      <w:r w:rsidR="002A0D80" w:rsidRPr="0009223E">
        <w:rPr>
          <w:lang w:val="en-GB"/>
        </w:rPr>
        <w:t>2.</w:t>
      </w:r>
      <w:r w:rsidR="001A17D8" w:rsidRPr="0009223E">
        <w:rPr>
          <w:lang w:val="en-GB"/>
        </w:rPr>
        <w:t xml:space="preserve"> For both methods, peak concentration fields show a pattern evidently larger tha</w:t>
      </w:r>
      <w:r w:rsidR="001B29E8">
        <w:rPr>
          <w:lang w:val="en-GB"/>
        </w:rPr>
        <w:t>n</w:t>
      </w:r>
      <w:r w:rsidR="001A17D8" w:rsidRPr="0009223E">
        <w:rPr>
          <w:lang w:val="en-GB"/>
        </w:rPr>
        <w:t xml:space="preserve"> the one of average values, with </w:t>
      </w:r>
      <w:r w:rsidR="007B24E0" w:rsidRPr="0009223E">
        <w:rPr>
          <w:lang w:val="en-GB"/>
        </w:rPr>
        <w:t xml:space="preserve">values systematically higher in each simulated point. The VTE method shows larger concentration values in the proximity to the source with a maximum of 5 </w:t>
      </w:r>
      <w:proofErr w:type="spellStart"/>
      <w:r w:rsidR="007B24E0" w:rsidRPr="0009223E">
        <w:rPr>
          <w:lang w:val="en-GB"/>
        </w:rPr>
        <w:t>eu</w:t>
      </w:r>
      <w:proofErr w:type="spellEnd"/>
      <w:r w:rsidR="007B24E0" w:rsidRPr="0009223E">
        <w:rPr>
          <w:lang w:val="en-GB"/>
        </w:rPr>
        <w:t>/m</w:t>
      </w:r>
      <w:r w:rsidR="007B24E0" w:rsidRPr="0009223E">
        <w:rPr>
          <w:vertAlign w:val="superscript"/>
          <w:lang w:val="en-GB"/>
        </w:rPr>
        <w:t>3</w:t>
      </w:r>
      <w:r w:rsidR="007B24E0" w:rsidRPr="0009223E">
        <w:rPr>
          <w:lang w:val="en-GB"/>
        </w:rPr>
        <w:t xml:space="preserve">, compared to a maximum of the average value at the same point of 1.57 </w:t>
      </w:r>
      <w:proofErr w:type="spellStart"/>
      <w:r w:rsidR="007B24E0" w:rsidRPr="0009223E">
        <w:rPr>
          <w:lang w:val="en-GB"/>
        </w:rPr>
        <w:t>eu</w:t>
      </w:r>
      <w:proofErr w:type="spellEnd"/>
      <w:r w:rsidR="007B24E0" w:rsidRPr="0009223E">
        <w:rPr>
          <w:lang w:val="en-GB"/>
        </w:rPr>
        <w:t>/m</w:t>
      </w:r>
      <w:r w:rsidR="007B24E0" w:rsidRPr="0009223E">
        <w:rPr>
          <w:vertAlign w:val="superscript"/>
          <w:lang w:val="en-GB"/>
        </w:rPr>
        <w:t>3</w:t>
      </w:r>
      <w:r w:rsidR="007B24E0" w:rsidRPr="0009223E">
        <w:rPr>
          <w:lang w:val="en-GB"/>
        </w:rPr>
        <w:t xml:space="preserve"> (corresponding to a peak-to-mean value for the maximum </w:t>
      </w:r>
      <w:r w:rsidR="00B77D31" w:rsidRPr="0009223E">
        <w:rPr>
          <w:lang w:val="en-GB"/>
        </w:rPr>
        <w:t xml:space="preserve">average </w:t>
      </w:r>
      <w:r w:rsidR="007B24E0" w:rsidRPr="0009223E">
        <w:rPr>
          <w:lang w:val="en-GB"/>
        </w:rPr>
        <w:t xml:space="preserve">concentration of 3.18). The VPA method shows instead a larger pattern extending </w:t>
      </w:r>
      <w:r w:rsidR="00B77D31" w:rsidRPr="0009223E">
        <w:rPr>
          <w:lang w:val="en-GB"/>
        </w:rPr>
        <w:t>to a greater distance from the source</w:t>
      </w:r>
      <w:r w:rsidR="007B24E0" w:rsidRPr="0009223E">
        <w:rPr>
          <w:lang w:val="en-GB"/>
        </w:rPr>
        <w:t>,</w:t>
      </w:r>
      <w:r w:rsidR="00B8436E" w:rsidRPr="0009223E">
        <w:rPr>
          <w:lang w:val="en-GB"/>
        </w:rPr>
        <w:t xml:space="preserve"> even if</w:t>
      </w:r>
      <w:r w:rsidR="00B77D31" w:rsidRPr="0009223E">
        <w:rPr>
          <w:lang w:val="en-GB"/>
        </w:rPr>
        <w:t xml:space="preserve"> </w:t>
      </w:r>
      <w:r w:rsidR="007B24E0" w:rsidRPr="0009223E">
        <w:rPr>
          <w:lang w:val="en-GB"/>
        </w:rPr>
        <w:t xml:space="preserve">characterized by smaller concentrations </w:t>
      </w:r>
      <w:r w:rsidR="00B77D31" w:rsidRPr="0009223E">
        <w:rPr>
          <w:lang w:val="en-GB"/>
        </w:rPr>
        <w:t xml:space="preserve">close to the emission with a maximum of 1.96 </w:t>
      </w:r>
      <w:proofErr w:type="spellStart"/>
      <w:r w:rsidR="00B77D31" w:rsidRPr="0009223E">
        <w:rPr>
          <w:lang w:val="en-GB"/>
        </w:rPr>
        <w:t>eu</w:t>
      </w:r>
      <w:proofErr w:type="spellEnd"/>
      <w:r w:rsidR="00B77D31" w:rsidRPr="0009223E">
        <w:rPr>
          <w:lang w:val="en-GB"/>
        </w:rPr>
        <w:t>/m</w:t>
      </w:r>
      <w:r w:rsidR="00B77D31" w:rsidRPr="0009223E">
        <w:rPr>
          <w:vertAlign w:val="superscript"/>
          <w:lang w:val="en-GB"/>
        </w:rPr>
        <w:t>3</w:t>
      </w:r>
      <w:r w:rsidR="00B77D31" w:rsidRPr="0009223E">
        <w:rPr>
          <w:lang w:val="en-GB"/>
        </w:rPr>
        <w:t xml:space="preserve"> (corresponding to a peak-to mean value for the maximum average concentrations of 1.25 only).</w:t>
      </w:r>
    </w:p>
    <w:p w14:paraId="5386C973" w14:textId="77777777" w:rsidR="007A3CA0" w:rsidRPr="0009223E" w:rsidRDefault="007A3CA0" w:rsidP="00580F83">
      <w:pPr>
        <w:pStyle w:val="CETBodytext"/>
        <w:rPr>
          <w:lang w:val="en-GB"/>
        </w:rPr>
      </w:pPr>
    </w:p>
    <w:p w14:paraId="33597809" w14:textId="096DA752" w:rsidR="00B26153" w:rsidRPr="0009223E" w:rsidRDefault="00B8436E" w:rsidP="00580F83">
      <w:pPr>
        <w:pStyle w:val="CETBodytext"/>
        <w:rPr>
          <w:lang w:val="en-GB"/>
        </w:rPr>
      </w:pPr>
      <w:r w:rsidRPr="0009223E">
        <w:rPr>
          <w:noProof/>
          <w:lang w:val="cs-CZ" w:eastAsia="cs-CZ"/>
        </w:rPr>
        <mc:AlternateContent>
          <mc:Choice Requires="wps">
            <w:drawing>
              <wp:anchor distT="0" distB="0" distL="114300" distR="114300" simplePos="0" relativeHeight="251663360" behindDoc="0" locked="0" layoutInCell="1" allowOverlap="1" wp14:anchorId="6284A8CE" wp14:editId="0CF4D238">
                <wp:simplePos x="0" y="0"/>
                <wp:positionH relativeFrom="column">
                  <wp:posOffset>5015621</wp:posOffset>
                </wp:positionH>
                <wp:positionV relativeFrom="paragraph">
                  <wp:posOffset>1267411</wp:posOffset>
                </wp:positionV>
                <wp:extent cx="257908" cy="211015"/>
                <wp:effectExtent l="0" t="0" r="8890" b="0"/>
                <wp:wrapNone/>
                <wp:docPr id="26" name="Casella di testo 26"/>
                <wp:cNvGraphicFramePr/>
                <a:graphic xmlns:a="http://schemas.openxmlformats.org/drawingml/2006/main">
                  <a:graphicData uri="http://schemas.microsoft.com/office/word/2010/wordprocessingShape">
                    <wps:wsp>
                      <wps:cNvSpPr txBox="1"/>
                      <wps:spPr>
                        <a:xfrm>
                          <a:off x="0" y="0"/>
                          <a:ext cx="257908" cy="211015"/>
                        </a:xfrm>
                        <a:prstGeom prst="rect">
                          <a:avLst/>
                        </a:prstGeom>
                        <a:solidFill>
                          <a:schemeClr val="lt1"/>
                        </a:solidFill>
                        <a:ln w="6350">
                          <a:noFill/>
                        </a:ln>
                      </wps:spPr>
                      <wps:txbx>
                        <w:txbxContent>
                          <w:p w14:paraId="71C273C7" w14:textId="2CD8C315" w:rsidR="00B77D31" w:rsidRPr="000E7F21" w:rsidRDefault="00B8436E" w:rsidP="00B77D31">
                            <w:pPr>
                              <w:rPr>
                                <w:b/>
                                <w:bCs/>
                                <w:sz w:val="12"/>
                                <w:szCs w:val="12"/>
                                <w:lang w:val="it-IT"/>
                              </w:rPr>
                            </w:pPr>
                            <w:r w:rsidRPr="000E7F21">
                              <w:rPr>
                                <w:b/>
                                <w:bCs/>
                                <w:lang w:val="it-I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84A8CE" id="_x0000_t202" coordsize="21600,21600" o:spt="202" path="m,l,21600r21600,l21600,xe">
                <v:stroke joinstyle="miter"/>
                <v:path gradientshapeok="t" o:connecttype="rect"/>
              </v:shapetype>
              <v:shape id="Casella di testo 26" o:spid="_x0000_s1026" type="#_x0000_t202" style="position:absolute;left:0;text-align:left;margin-left:394.95pt;margin-top:99.8pt;width:20.3pt;height:16.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" fillcolor="white [3201]" stroked="f" strokeweight=".5pt">
                <v:textbox>
                  <w:txbxContent>
                    <w:p w14:paraId="71C273C7" w14:textId="2CD8C315" w:rsidR="00B77D31" w:rsidRPr="000E7F21" w:rsidRDefault="00B8436E" w:rsidP="00B77D31">
                      <w:pPr>
                        <w:rPr>
                          <w:b/>
                          <w:bCs/>
                          <w:sz w:val="12"/>
                          <w:szCs w:val="12"/>
                          <w:lang w:val="it-IT"/>
                        </w:rPr>
                      </w:pPr>
                      <w:r w:rsidRPr="000E7F21">
                        <w:rPr>
                          <w:b/>
                          <w:bCs/>
                          <w:lang w:val="it-IT"/>
                        </w:rPr>
                        <w:t>c</w:t>
                      </w:r>
                    </w:p>
                  </w:txbxContent>
                </v:textbox>
              </v:shape>
            </w:pict>
          </mc:Fallback>
        </mc:AlternateContent>
      </w:r>
      <w:r w:rsidR="00B77D31" w:rsidRPr="0009223E">
        <w:rPr>
          <w:noProof/>
          <w:lang w:val="cs-CZ" w:eastAsia="cs-CZ"/>
        </w:rPr>
        <mc:AlternateContent>
          <mc:Choice Requires="wps">
            <w:drawing>
              <wp:anchor distT="0" distB="0" distL="114300" distR="114300" simplePos="0" relativeHeight="251661312" behindDoc="0" locked="0" layoutInCell="1" allowOverlap="1" wp14:anchorId="2CA84C73" wp14:editId="7EBB7D54">
                <wp:simplePos x="0" y="0"/>
                <wp:positionH relativeFrom="column">
                  <wp:posOffset>3176953</wp:posOffset>
                </wp:positionH>
                <wp:positionV relativeFrom="paragraph">
                  <wp:posOffset>1265458</wp:posOffset>
                </wp:positionV>
                <wp:extent cx="257908" cy="211015"/>
                <wp:effectExtent l="0" t="0" r="8890" b="0"/>
                <wp:wrapNone/>
                <wp:docPr id="24" name="Casella di testo 24"/>
                <wp:cNvGraphicFramePr/>
                <a:graphic xmlns:a="http://schemas.openxmlformats.org/drawingml/2006/main">
                  <a:graphicData uri="http://schemas.microsoft.com/office/word/2010/wordprocessingShape">
                    <wps:wsp>
                      <wps:cNvSpPr txBox="1"/>
                      <wps:spPr>
                        <a:xfrm>
                          <a:off x="0" y="0"/>
                          <a:ext cx="257908" cy="211015"/>
                        </a:xfrm>
                        <a:prstGeom prst="rect">
                          <a:avLst/>
                        </a:prstGeom>
                        <a:solidFill>
                          <a:schemeClr val="lt1"/>
                        </a:solidFill>
                        <a:ln w="6350">
                          <a:noFill/>
                        </a:ln>
                      </wps:spPr>
                      <wps:txbx>
                        <w:txbxContent>
                          <w:p w14:paraId="64F4EA1D" w14:textId="15257CAF" w:rsidR="00B77D31" w:rsidRPr="00B77D31" w:rsidRDefault="00B77D31" w:rsidP="00B77D31">
                            <w:pPr>
                              <w:rPr>
                                <w:sz w:val="12"/>
                                <w:szCs w:val="12"/>
                                <w:lang w:val="it-IT"/>
                              </w:rPr>
                            </w:pPr>
                            <w:r w:rsidRPr="000E7F21">
                              <w:rPr>
                                <w:b/>
                                <w:bCs/>
                                <w:lang w:val="it-IT"/>
                              </w:rPr>
                              <w:t>b</w:t>
                            </w:r>
                            <w:r w:rsidRPr="00B77D31">
                              <w:rPr>
                                <w:noProof/>
                                <w:lang w:val="cs-CZ" w:eastAsia="cs-CZ"/>
                              </w:rPr>
                              <w:drawing>
                                <wp:inline distT="0" distB="0" distL="0" distR="0" wp14:anchorId="473615F8" wp14:editId="44C6106F">
                                  <wp:extent cx="68580" cy="53340"/>
                                  <wp:effectExtent l="0" t="0" r="762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 cy="53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A84C73" id="Casella di testo 24" o:spid="_x0000_s1027" type="#_x0000_t202" style="position:absolute;left:0;text-align:left;margin-left:250.15pt;margin-top:99.65pt;width:20.3pt;height:16.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" fillcolor="white [3201]" stroked="f" strokeweight=".5pt">
                <v:textbox>
                  <w:txbxContent>
                    <w:p w14:paraId="64F4EA1D" w14:textId="15257CAF" w:rsidR="00B77D31" w:rsidRPr="00B77D31" w:rsidRDefault="00B77D31" w:rsidP="00B77D31">
                      <w:pPr>
                        <w:rPr>
                          <w:sz w:val="12"/>
                          <w:szCs w:val="12"/>
                          <w:lang w:val="it-IT"/>
                        </w:rPr>
                      </w:pPr>
                      <w:r w:rsidRPr="000E7F21">
                        <w:rPr>
                          <w:b/>
                          <w:bCs/>
                          <w:lang w:val="it-IT"/>
                        </w:rPr>
                        <w:t>b</w:t>
                      </w:r>
                      <w:r w:rsidRPr="00B77D31">
                        <w:rPr>
                          <w:noProof/>
                          <w:lang w:val="cs-CZ" w:eastAsia="cs-CZ"/>
                        </w:rPr>
                        <w:drawing>
                          <wp:inline distT="0" distB="0" distL="0" distR="0" wp14:anchorId="473615F8" wp14:editId="44C6106F">
                            <wp:extent cx="68580" cy="53340"/>
                            <wp:effectExtent l="0" t="0" r="762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 cy="53340"/>
                                    </a:xfrm>
                                    <a:prstGeom prst="rect">
                                      <a:avLst/>
                                    </a:prstGeom>
                                    <a:noFill/>
                                    <a:ln>
                                      <a:noFill/>
                                    </a:ln>
                                  </pic:spPr>
                                </pic:pic>
                              </a:graphicData>
                            </a:graphic>
                          </wp:inline>
                        </w:drawing>
                      </w:r>
                    </w:p>
                  </w:txbxContent>
                </v:textbox>
              </v:shape>
            </w:pict>
          </mc:Fallback>
        </mc:AlternateContent>
      </w:r>
      <w:r w:rsidR="00B77D31" w:rsidRPr="0009223E">
        <w:rPr>
          <w:noProof/>
          <w:lang w:val="cs-CZ" w:eastAsia="cs-CZ"/>
        </w:rPr>
        <mc:AlternateContent>
          <mc:Choice Requires="wps">
            <w:drawing>
              <wp:anchor distT="0" distB="0" distL="114300" distR="114300" simplePos="0" relativeHeight="251659264" behindDoc="0" locked="0" layoutInCell="1" allowOverlap="1" wp14:anchorId="23485167" wp14:editId="6F762301">
                <wp:simplePos x="0" y="0"/>
                <wp:positionH relativeFrom="column">
                  <wp:posOffset>1316697</wp:posOffset>
                </wp:positionH>
                <wp:positionV relativeFrom="paragraph">
                  <wp:posOffset>1266337</wp:posOffset>
                </wp:positionV>
                <wp:extent cx="257908" cy="211015"/>
                <wp:effectExtent l="0" t="0" r="8890" b="0"/>
                <wp:wrapNone/>
                <wp:docPr id="22" name="Casella di testo 22"/>
                <wp:cNvGraphicFramePr/>
                <a:graphic xmlns:a="http://schemas.openxmlformats.org/drawingml/2006/main">
                  <a:graphicData uri="http://schemas.microsoft.com/office/word/2010/wordprocessingShape">
                    <wps:wsp>
                      <wps:cNvSpPr txBox="1"/>
                      <wps:spPr>
                        <a:xfrm>
                          <a:off x="0" y="0"/>
                          <a:ext cx="257908" cy="211015"/>
                        </a:xfrm>
                        <a:prstGeom prst="rect">
                          <a:avLst/>
                        </a:prstGeom>
                        <a:solidFill>
                          <a:schemeClr val="lt1"/>
                        </a:solidFill>
                        <a:ln w="6350">
                          <a:noFill/>
                        </a:ln>
                      </wps:spPr>
                      <wps:txbx>
                        <w:txbxContent>
                          <w:p w14:paraId="2C74A2E9" w14:textId="32F15139" w:rsidR="00B77D31" w:rsidRPr="000E7F21" w:rsidRDefault="00B77D31">
                            <w:pPr>
                              <w:rPr>
                                <w:b/>
                                <w:bCs/>
                                <w:sz w:val="12"/>
                                <w:szCs w:val="12"/>
                                <w:lang w:val="it-IT"/>
                              </w:rPr>
                            </w:pPr>
                            <w:r w:rsidRPr="000E7F21">
                              <w:rPr>
                                <w:b/>
                                <w:bCs/>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485167" id="Casella di testo 22" o:spid="_x0000_s1028" type="#_x0000_t202" style="position:absolute;left:0;text-align:left;margin-left:103.7pt;margin-top:99.7pt;width:20.3pt;height:1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" fillcolor="white [3201]" stroked="f" strokeweight=".5pt">
                <v:textbox>
                  <w:txbxContent>
                    <w:p w14:paraId="2C74A2E9" w14:textId="32F15139" w:rsidR="00B77D31" w:rsidRPr="000E7F21" w:rsidRDefault="00B77D31">
                      <w:pPr>
                        <w:rPr>
                          <w:b/>
                          <w:bCs/>
                          <w:sz w:val="12"/>
                          <w:szCs w:val="12"/>
                          <w:lang w:val="it-IT"/>
                        </w:rPr>
                      </w:pPr>
                      <w:r w:rsidRPr="000E7F21">
                        <w:rPr>
                          <w:b/>
                          <w:bCs/>
                          <w:lang w:val="it-IT"/>
                        </w:rPr>
                        <w:t>a</w:t>
                      </w:r>
                    </w:p>
                  </w:txbxContent>
                </v:textbox>
              </v:shape>
            </w:pict>
          </mc:Fallback>
        </mc:AlternateContent>
      </w:r>
      <w:r w:rsidR="00373639" w:rsidRPr="0009223E">
        <w:rPr>
          <w:noProof/>
          <w:lang w:val="cs-CZ" w:eastAsia="cs-CZ"/>
        </w:rPr>
        <w:drawing>
          <wp:inline distT="0" distB="0" distL="0" distR="0" wp14:anchorId="67AAB99E" wp14:editId="6C79F454">
            <wp:extent cx="1848164" cy="1634392"/>
            <wp:effectExtent l="0" t="0" r="0"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11"/>
                    <a:stretch>
                      <a:fillRect/>
                    </a:stretch>
                  </pic:blipFill>
                  <pic:spPr>
                    <a:xfrm>
                      <a:off x="0" y="0"/>
                      <a:ext cx="1864281" cy="1648645"/>
                    </a:xfrm>
                    <a:prstGeom prst="rect">
                      <a:avLst/>
                    </a:prstGeom>
                  </pic:spPr>
                </pic:pic>
              </a:graphicData>
            </a:graphic>
          </wp:inline>
        </w:drawing>
      </w:r>
      <w:r w:rsidR="009122AF" w:rsidRPr="0009223E">
        <w:rPr>
          <w:noProof/>
          <w:lang w:val="cs-CZ" w:eastAsia="cs-CZ"/>
        </w:rPr>
        <w:drawing>
          <wp:inline distT="0" distB="0" distL="0" distR="0" wp14:anchorId="6DF9FA54" wp14:editId="3A7FFBD1">
            <wp:extent cx="1847973" cy="1634224"/>
            <wp:effectExtent l="0" t="0" r="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12"/>
                    <a:stretch>
                      <a:fillRect/>
                    </a:stretch>
                  </pic:blipFill>
                  <pic:spPr>
                    <a:xfrm>
                      <a:off x="0" y="0"/>
                      <a:ext cx="1847973" cy="1634224"/>
                    </a:xfrm>
                    <a:prstGeom prst="rect">
                      <a:avLst/>
                    </a:prstGeom>
                  </pic:spPr>
                </pic:pic>
              </a:graphicData>
            </a:graphic>
          </wp:inline>
        </w:drawing>
      </w:r>
      <w:r w:rsidR="009122AF" w:rsidRPr="0009223E">
        <w:rPr>
          <w:noProof/>
          <w:lang w:val="cs-CZ" w:eastAsia="cs-CZ"/>
        </w:rPr>
        <w:drawing>
          <wp:inline distT="0" distB="0" distL="0" distR="0" wp14:anchorId="5F162148" wp14:editId="2527FBDC">
            <wp:extent cx="1847973" cy="1634224"/>
            <wp:effectExtent l="0" t="0" r="0" b="444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13"/>
                    <a:stretch>
                      <a:fillRect/>
                    </a:stretch>
                  </pic:blipFill>
                  <pic:spPr>
                    <a:xfrm>
                      <a:off x="0" y="0"/>
                      <a:ext cx="1847973" cy="1634224"/>
                    </a:xfrm>
                    <a:prstGeom prst="rect">
                      <a:avLst/>
                    </a:prstGeom>
                  </pic:spPr>
                </pic:pic>
              </a:graphicData>
            </a:graphic>
          </wp:inline>
        </w:drawing>
      </w:r>
    </w:p>
    <w:p w14:paraId="3CF81AE2" w14:textId="0350C834" w:rsidR="00F162FA" w:rsidRPr="0009223E" w:rsidRDefault="00F162FA" w:rsidP="00580F83">
      <w:pPr>
        <w:pStyle w:val="CETBodytext"/>
        <w:rPr>
          <w:rStyle w:val="CETCaptionCarattere"/>
        </w:rPr>
      </w:pPr>
      <w:r w:rsidRPr="0009223E">
        <w:rPr>
          <w:rStyle w:val="CETCaptionCarattere"/>
        </w:rPr>
        <w:t>Figure 1: ground level average concentrations (</w:t>
      </w:r>
      <w:r w:rsidR="00B77D31" w:rsidRPr="0009223E">
        <w:rPr>
          <w:rStyle w:val="CETCaptionCarattere"/>
        </w:rPr>
        <w:t>a</w:t>
      </w:r>
      <w:r w:rsidRPr="0009223E">
        <w:rPr>
          <w:rStyle w:val="CETCaptionCarattere"/>
        </w:rPr>
        <w:t xml:space="preserve">), peak concentrations </w:t>
      </w:r>
      <w:r w:rsidR="00E87D12" w:rsidRPr="0009223E">
        <w:rPr>
          <w:rStyle w:val="CETCaptionCarattere"/>
        </w:rPr>
        <w:t>using</w:t>
      </w:r>
      <w:r w:rsidRPr="0009223E">
        <w:rPr>
          <w:rStyle w:val="CETCaptionCarattere"/>
        </w:rPr>
        <w:t xml:space="preserve"> VTE method (</w:t>
      </w:r>
      <w:r w:rsidR="00B77D31" w:rsidRPr="0009223E">
        <w:rPr>
          <w:rStyle w:val="CETCaptionCarattere"/>
        </w:rPr>
        <w:t>b</w:t>
      </w:r>
      <w:r w:rsidRPr="0009223E">
        <w:rPr>
          <w:rStyle w:val="CETCaptionCarattere"/>
        </w:rPr>
        <w:t xml:space="preserve">) and peak concentrations </w:t>
      </w:r>
      <w:r w:rsidR="00E87D12" w:rsidRPr="0009223E">
        <w:rPr>
          <w:rStyle w:val="CETCaptionCarattere"/>
        </w:rPr>
        <w:t>using</w:t>
      </w:r>
      <w:r w:rsidRPr="0009223E">
        <w:rPr>
          <w:rStyle w:val="CETCaptionCarattere"/>
        </w:rPr>
        <w:t xml:space="preserve"> VPA method (</w:t>
      </w:r>
      <w:r w:rsidR="00B77D31" w:rsidRPr="0009223E">
        <w:rPr>
          <w:rStyle w:val="CETCaptionCarattere"/>
        </w:rPr>
        <w:t>c</w:t>
      </w:r>
      <w:r w:rsidRPr="0009223E">
        <w:rPr>
          <w:rStyle w:val="CETCaptionCarattere"/>
        </w:rPr>
        <w:t>)</w:t>
      </w:r>
    </w:p>
    <w:p w14:paraId="7221A41A" w14:textId="53B0FDC0" w:rsidR="00F162FA" w:rsidRPr="0009223E" w:rsidRDefault="00F162FA" w:rsidP="00580F83">
      <w:pPr>
        <w:pStyle w:val="CETBodytext"/>
        <w:rPr>
          <w:lang w:val="en-GB"/>
        </w:rPr>
      </w:pPr>
    </w:p>
    <w:p w14:paraId="4803812C" w14:textId="6BB3E635" w:rsidR="00B77D31" w:rsidRPr="0009223E" w:rsidRDefault="00B77D31" w:rsidP="00580F83">
      <w:pPr>
        <w:pStyle w:val="CETBodytext"/>
        <w:rPr>
          <w:lang w:val="en-GB"/>
        </w:rPr>
      </w:pPr>
      <w:r w:rsidRPr="0009223E">
        <w:rPr>
          <w:lang w:val="en-GB"/>
        </w:rPr>
        <w:t xml:space="preserve">To have a </w:t>
      </w:r>
      <w:r w:rsidR="00B8436E" w:rsidRPr="0009223E">
        <w:rPr>
          <w:lang w:val="en-GB"/>
        </w:rPr>
        <w:t>clearer</w:t>
      </w:r>
      <w:r w:rsidRPr="0009223E">
        <w:rPr>
          <w:lang w:val="en-GB"/>
        </w:rPr>
        <w:t xml:space="preserve"> view of the spatial </w:t>
      </w:r>
      <w:r w:rsidR="001B29E8" w:rsidRPr="0009223E">
        <w:rPr>
          <w:lang w:val="en-GB"/>
        </w:rPr>
        <w:t>behaviour</w:t>
      </w:r>
      <w:r w:rsidRPr="0009223E">
        <w:rPr>
          <w:lang w:val="en-GB"/>
        </w:rPr>
        <w:t xml:space="preserve"> of the peak values and their relationship with the average concentrations, two sections </w:t>
      </w:r>
      <w:r w:rsidR="000E7F21" w:rsidRPr="0009223E">
        <w:rPr>
          <w:lang w:val="en-GB"/>
        </w:rPr>
        <w:t xml:space="preserve">along the x axis </w:t>
      </w:r>
      <w:r w:rsidRPr="0009223E">
        <w:rPr>
          <w:lang w:val="en-GB"/>
        </w:rPr>
        <w:t xml:space="preserve">of the ground level average and peak concentrations have been </w:t>
      </w:r>
      <w:r w:rsidRPr="0009223E">
        <w:rPr>
          <w:lang w:val="en-GB"/>
        </w:rPr>
        <w:lastRenderedPageBreak/>
        <w:t xml:space="preserve">extracted corresponding to the two horizontal </w:t>
      </w:r>
      <w:r w:rsidR="00F72419" w:rsidRPr="0009223E">
        <w:rPr>
          <w:lang w:val="en-GB"/>
        </w:rPr>
        <w:t xml:space="preserve">dashed </w:t>
      </w:r>
      <w:r w:rsidR="00B8436E" w:rsidRPr="0009223E">
        <w:rPr>
          <w:lang w:val="en-GB"/>
        </w:rPr>
        <w:t xml:space="preserve">and </w:t>
      </w:r>
      <w:r w:rsidR="00F72419" w:rsidRPr="0009223E">
        <w:rPr>
          <w:lang w:val="en-GB"/>
        </w:rPr>
        <w:t>continuous</w:t>
      </w:r>
      <w:r w:rsidR="00F72419" w:rsidRPr="0009223E" w:rsidDel="00F72419">
        <w:rPr>
          <w:lang w:val="en-GB"/>
        </w:rPr>
        <w:t xml:space="preserve"> </w:t>
      </w:r>
      <w:r w:rsidRPr="0009223E">
        <w:rPr>
          <w:lang w:val="en-GB"/>
        </w:rPr>
        <w:t>lines depicted in Figure 1</w:t>
      </w:r>
      <w:r w:rsidR="00B8436E" w:rsidRPr="0009223E">
        <w:rPr>
          <w:lang w:val="en-GB"/>
        </w:rPr>
        <w:t xml:space="preserve"> </w:t>
      </w:r>
      <w:proofErr w:type="spellStart"/>
      <w:proofErr w:type="gramStart"/>
      <w:r w:rsidR="00B8436E" w:rsidRPr="0009223E">
        <w:rPr>
          <w:lang w:val="en-GB"/>
        </w:rPr>
        <w:t>a,b</w:t>
      </w:r>
      <w:proofErr w:type="gramEnd"/>
      <w:r w:rsidR="00B8436E" w:rsidRPr="0009223E">
        <w:rPr>
          <w:lang w:val="en-GB"/>
        </w:rPr>
        <w:t>,c</w:t>
      </w:r>
      <w:proofErr w:type="spellEnd"/>
      <w:r w:rsidR="00B8436E" w:rsidRPr="0009223E">
        <w:rPr>
          <w:lang w:val="en-GB"/>
        </w:rPr>
        <w:t>, located 1 and 5 km downwind the source respectively</w:t>
      </w:r>
      <w:r w:rsidR="00456A55" w:rsidRPr="0009223E">
        <w:rPr>
          <w:lang w:val="en-GB"/>
        </w:rPr>
        <w:t>. Figure</w:t>
      </w:r>
      <w:r w:rsidR="00123C91" w:rsidRPr="0009223E">
        <w:rPr>
          <w:lang w:val="en-GB"/>
        </w:rPr>
        <w:t>s</w:t>
      </w:r>
      <w:r w:rsidR="00456A55" w:rsidRPr="0009223E">
        <w:rPr>
          <w:lang w:val="en-GB"/>
        </w:rPr>
        <w:t xml:space="preserve"> 2</w:t>
      </w:r>
      <w:r w:rsidR="00123C91" w:rsidRPr="0009223E">
        <w:rPr>
          <w:lang w:val="en-GB"/>
        </w:rPr>
        <w:t>a</w:t>
      </w:r>
      <w:r w:rsidR="00F55682" w:rsidRPr="0009223E">
        <w:rPr>
          <w:lang w:val="en-GB"/>
        </w:rPr>
        <w:t xml:space="preserve"> and 2b</w:t>
      </w:r>
      <w:r w:rsidR="00456A55" w:rsidRPr="0009223E">
        <w:rPr>
          <w:lang w:val="en-GB"/>
        </w:rPr>
        <w:t xml:space="preserve"> illustrate the </w:t>
      </w:r>
      <w:r w:rsidR="00F72419" w:rsidRPr="0009223E">
        <w:rPr>
          <w:lang w:val="en-GB"/>
        </w:rPr>
        <w:t>behaviour</w:t>
      </w:r>
      <w:r w:rsidR="00456A55" w:rsidRPr="0009223E">
        <w:rPr>
          <w:lang w:val="en-GB"/>
        </w:rPr>
        <w:t xml:space="preserve"> of average and peak concentrations at the </w:t>
      </w:r>
      <w:r w:rsidR="00123C91" w:rsidRPr="0009223E">
        <w:rPr>
          <w:lang w:val="en-GB"/>
        </w:rPr>
        <w:t xml:space="preserve">1 km and 5 km horizontal </w:t>
      </w:r>
      <w:r w:rsidR="00456A55" w:rsidRPr="0009223E">
        <w:rPr>
          <w:lang w:val="en-GB"/>
        </w:rPr>
        <w:t>sections</w:t>
      </w:r>
      <w:r w:rsidR="00123C91" w:rsidRPr="0009223E">
        <w:rPr>
          <w:lang w:val="en-GB"/>
        </w:rPr>
        <w:t xml:space="preserve"> respectively</w:t>
      </w:r>
      <w:r w:rsidR="00456A55" w:rsidRPr="0009223E">
        <w:rPr>
          <w:lang w:val="en-GB"/>
        </w:rPr>
        <w:t xml:space="preserve">. Along section 1, closer to the source, VPA method shows similar values with respect to VTE with slightly larger values </w:t>
      </w:r>
      <w:r w:rsidR="00123C91" w:rsidRPr="0009223E">
        <w:rPr>
          <w:lang w:val="en-GB"/>
        </w:rPr>
        <w:t xml:space="preserve">close to </w:t>
      </w:r>
      <w:r w:rsidR="00456A55" w:rsidRPr="0009223E">
        <w:rPr>
          <w:lang w:val="en-GB"/>
        </w:rPr>
        <w:t xml:space="preserve">the plume </w:t>
      </w:r>
      <w:r w:rsidR="00F72419" w:rsidRPr="0009223E">
        <w:rPr>
          <w:lang w:val="en-GB"/>
        </w:rPr>
        <w:t>centreline</w:t>
      </w:r>
      <w:r w:rsidR="00123C91" w:rsidRPr="0009223E">
        <w:rPr>
          <w:lang w:val="en-GB"/>
        </w:rPr>
        <w:t xml:space="preserve"> where</w:t>
      </w:r>
      <w:r w:rsidR="00456A55" w:rsidRPr="0009223E">
        <w:rPr>
          <w:lang w:val="en-GB"/>
        </w:rPr>
        <w:t xml:space="preserve"> </w:t>
      </w:r>
      <w:r w:rsidR="00123C91" w:rsidRPr="0009223E">
        <w:rPr>
          <w:lang w:val="en-GB"/>
        </w:rPr>
        <w:t>a</w:t>
      </w:r>
      <w:r w:rsidR="00456A55" w:rsidRPr="0009223E">
        <w:rPr>
          <w:lang w:val="en-GB"/>
        </w:rPr>
        <w:t xml:space="preserve"> peak-to-mean </w:t>
      </w:r>
      <w:r w:rsidR="00123C91" w:rsidRPr="0009223E">
        <w:rPr>
          <w:lang w:val="en-GB"/>
        </w:rPr>
        <w:t>ratio</w:t>
      </w:r>
      <w:r w:rsidR="00456A55" w:rsidRPr="0009223E">
        <w:rPr>
          <w:lang w:val="en-GB"/>
        </w:rPr>
        <w:t xml:space="preserve"> is about to 1.75 for VPA and 1.55 for VTE. Moving </w:t>
      </w:r>
      <w:r w:rsidR="00123C91" w:rsidRPr="0009223E">
        <w:rPr>
          <w:lang w:val="en-GB"/>
        </w:rPr>
        <w:t xml:space="preserve">away from the source position, the VPA method shows a clearer signal, with larger peak values compared to VTE methods and a peak-to-mean ratio close to the plume </w:t>
      </w:r>
      <w:r w:rsidR="00F72419" w:rsidRPr="0009223E">
        <w:rPr>
          <w:lang w:val="en-GB"/>
        </w:rPr>
        <w:t>centreline</w:t>
      </w:r>
      <w:r w:rsidR="00123C91" w:rsidRPr="0009223E">
        <w:rPr>
          <w:lang w:val="en-GB"/>
        </w:rPr>
        <w:t xml:space="preserve"> of about 2.4 for VPA and 1.54 for VTE.</w:t>
      </w:r>
    </w:p>
    <w:p w14:paraId="77C989BC" w14:textId="4090F09F" w:rsidR="000E7F21" w:rsidRPr="0009223E" w:rsidRDefault="00B35505" w:rsidP="00580F83">
      <w:pPr>
        <w:pStyle w:val="CETBodytext"/>
        <w:rPr>
          <w:lang w:val="en-GB"/>
        </w:rPr>
      </w:pPr>
      <w:r w:rsidRPr="0009223E">
        <w:rPr>
          <w:noProof/>
          <w:lang w:val="cs-CZ" w:eastAsia="cs-CZ"/>
        </w:rPr>
        <mc:AlternateContent>
          <mc:Choice Requires="wps">
            <w:drawing>
              <wp:anchor distT="0" distB="0" distL="114300" distR="114300" simplePos="0" relativeHeight="251665408" behindDoc="0" locked="0" layoutInCell="1" allowOverlap="1" wp14:anchorId="39ACD43C" wp14:editId="6CD95A89">
                <wp:simplePos x="0" y="0"/>
                <wp:positionH relativeFrom="page">
                  <wp:posOffset>3593465</wp:posOffset>
                </wp:positionH>
                <wp:positionV relativeFrom="paragraph">
                  <wp:posOffset>87792</wp:posOffset>
                </wp:positionV>
                <wp:extent cx="257810" cy="210820"/>
                <wp:effectExtent l="0" t="0" r="8890" b="0"/>
                <wp:wrapNone/>
                <wp:docPr id="30" name="Casella di testo 30"/>
                <wp:cNvGraphicFramePr/>
                <a:graphic xmlns:a="http://schemas.openxmlformats.org/drawingml/2006/main">
                  <a:graphicData uri="http://schemas.microsoft.com/office/word/2010/wordprocessingShape">
                    <wps:wsp>
                      <wps:cNvSpPr txBox="1"/>
                      <wps:spPr>
                        <a:xfrm>
                          <a:off x="0" y="0"/>
                          <a:ext cx="257810" cy="210820"/>
                        </a:xfrm>
                        <a:prstGeom prst="rect">
                          <a:avLst/>
                        </a:prstGeom>
                        <a:solidFill>
                          <a:schemeClr val="lt1"/>
                        </a:solidFill>
                        <a:ln w="6350">
                          <a:noFill/>
                        </a:ln>
                      </wps:spPr>
                      <wps:txbx>
                        <w:txbxContent>
                          <w:p w14:paraId="1C2116E2" w14:textId="77777777" w:rsidR="000E7F21" w:rsidRPr="000E7F21" w:rsidRDefault="000E7F21" w:rsidP="000E7F21">
                            <w:pPr>
                              <w:rPr>
                                <w:b/>
                                <w:bCs/>
                                <w:sz w:val="12"/>
                                <w:szCs w:val="12"/>
                                <w:lang w:val="it-IT"/>
                              </w:rPr>
                            </w:pPr>
                            <w:r w:rsidRPr="000E7F21">
                              <w:rPr>
                                <w:b/>
                                <w:bCs/>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ACD43C" id="Casella di testo 30" o:spid="_x0000_s1029" type="#_x0000_t202" style="position:absolute;left:0;text-align:left;margin-left:282.95pt;margin-top:6.9pt;width:20.3pt;height:16.6pt;z-index:2516654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" fillcolor="white [3201]" stroked="f" strokeweight=".5pt">
                <v:textbox>
                  <w:txbxContent>
                    <w:p w14:paraId="1C2116E2" w14:textId="77777777" w:rsidR="000E7F21" w:rsidRPr="000E7F21" w:rsidRDefault="000E7F21" w:rsidP="000E7F21">
                      <w:pPr>
                        <w:rPr>
                          <w:b/>
                          <w:bCs/>
                          <w:sz w:val="12"/>
                          <w:szCs w:val="12"/>
                          <w:lang w:val="it-IT"/>
                        </w:rPr>
                      </w:pPr>
                      <w:r w:rsidRPr="000E7F21">
                        <w:rPr>
                          <w:b/>
                          <w:bCs/>
                          <w:lang w:val="it-IT"/>
                        </w:rPr>
                        <w:t>a</w:t>
                      </w:r>
                    </w:p>
                  </w:txbxContent>
                </v:textbox>
                <w10:wrap anchorx="page"/>
              </v:shape>
            </w:pict>
          </mc:Fallback>
        </mc:AlternateContent>
      </w:r>
      <w:r w:rsidRPr="0009223E">
        <w:rPr>
          <w:noProof/>
          <w:lang w:val="cs-CZ" w:eastAsia="cs-CZ"/>
        </w:rPr>
        <mc:AlternateContent>
          <mc:Choice Requires="wps">
            <w:drawing>
              <wp:anchor distT="0" distB="0" distL="114300" distR="114300" simplePos="0" relativeHeight="251667456" behindDoc="0" locked="0" layoutInCell="1" allowOverlap="1" wp14:anchorId="33A483D3" wp14:editId="136BD49D">
                <wp:simplePos x="0" y="0"/>
                <wp:positionH relativeFrom="page">
                  <wp:posOffset>6365240</wp:posOffset>
                </wp:positionH>
                <wp:positionV relativeFrom="paragraph">
                  <wp:posOffset>120177</wp:posOffset>
                </wp:positionV>
                <wp:extent cx="257810" cy="210820"/>
                <wp:effectExtent l="0" t="0" r="8890" b="0"/>
                <wp:wrapNone/>
                <wp:docPr id="31" name="Casella di testo 31"/>
                <wp:cNvGraphicFramePr/>
                <a:graphic xmlns:a="http://schemas.openxmlformats.org/drawingml/2006/main">
                  <a:graphicData uri="http://schemas.microsoft.com/office/word/2010/wordprocessingShape">
                    <wps:wsp>
                      <wps:cNvSpPr txBox="1"/>
                      <wps:spPr>
                        <a:xfrm>
                          <a:off x="0" y="0"/>
                          <a:ext cx="257810" cy="210820"/>
                        </a:xfrm>
                        <a:prstGeom prst="rect">
                          <a:avLst/>
                        </a:prstGeom>
                        <a:solidFill>
                          <a:schemeClr val="lt1"/>
                        </a:solidFill>
                        <a:ln w="6350">
                          <a:noFill/>
                        </a:ln>
                      </wps:spPr>
                      <wps:txbx>
                        <w:txbxContent>
                          <w:p w14:paraId="5DED423C" w14:textId="3818D9C0" w:rsidR="000E7F21" w:rsidRPr="000E7F21" w:rsidRDefault="000E7F21" w:rsidP="000E7F21">
                            <w:pPr>
                              <w:rPr>
                                <w:b/>
                                <w:bCs/>
                                <w:sz w:val="12"/>
                                <w:szCs w:val="12"/>
                                <w:lang w:val="it-IT"/>
                              </w:rPr>
                            </w:pPr>
                            <w:r w:rsidRPr="000E7F21">
                              <w:rPr>
                                <w:b/>
                                <w:bCs/>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A483D3" id="Casella di testo 31" o:spid="_x0000_s1030" type="#_x0000_t202" style="position:absolute;left:0;text-align:left;margin-left:501.2pt;margin-top:9.45pt;width:20.3pt;height:16.6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" fillcolor="white [3201]" stroked="f" strokeweight=".5pt">
                <v:textbox>
                  <w:txbxContent>
                    <w:p w14:paraId="5DED423C" w14:textId="3818D9C0" w:rsidR="000E7F21" w:rsidRPr="000E7F21" w:rsidRDefault="000E7F21" w:rsidP="000E7F21">
                      <w:pPr>
                        <w:rPr>
                          <w:b/>
                          <w:bCs/>
                          <w:sz w:val="12"/>
                          <w:szCs w:val="12"/>
                          <w:lang w:val="it-IT"/>
                        </w:rPr>
                      </w:pPr>
                      <w:r w:rsidRPr="000E7F21">
                        <w:rPr>
                          <w:b/>
                          <w:bCs/>
                          <w:lang w:val="it-IT"/>
                        </w:rPr>
                        <w:t>b</w:t>
                      </w:r>
                    </w:p>
                  </w:txbxContent>
                </v:textbox>
                <w10:wrap anchorx="page"/>
              </v:shape>
            </w:pict>
          </mc:Fallback>
        </mc:AlternateContent>
      </w:r>
    </w:p>
    <w:p w14:paraId="201ED9F1" w14:textId="7469E3E4" w:rsidR="000E7F21" w:rsidRPr="0009223E" w:rsidRDefault="000E7F21" w:rsidP="00580F83">
      <w:pPr>
        <w:pStyle w:val="CETBodytext"/>
        <w:rPr>
          <w:lang w:val="en-GB"/>
        </w:rPr>
      </w:pPr>
      <w:r w:rsidRPr="0009223E">
        <w:rPr>
          <w:noProof/>
          <w:lang w:val="cs-CZ" w:eastAsia="cs-CZ"/>
        </w:rPr>
        <w:drawing>
          <wp:inline distT="0" distB="0" distL="0" distR="0" wp14:anchorId="61A295FB" wp14:editId="293339D2">
            <wp:extent cx="2790092" cy="162350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6027" cy="1661872"/>
                    </a:xfrm>
                    <a:prstGeom prst="rect">
                      <a:avLst/>
                    </a:prstGeom>
                  </pic:spPr>
                </pic:pic>
              </a:graphicData>
            </a:graphic>
          </wp:inline>
        </w:drawing>
      </w:r>
      <w:r w:rsidRPr="0009223E">
        <w:rPr>
          <w:noProof/>
          <w:lang w:val="cs-CZ" w:eastAsia="cs-CZ"/>
        </w:rPr>
        <w:drawing>
          <wp:inline distT="0" distB="0" distL="0" distR="0" wp14:anchorId="7A097A0E" wp14:editId="2415FF90">
            <wp:extent cx="2772508" cy="1615482"/>
            <wp:effectExtent l="0" t="0" r="8890" b="38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4238" cy="1645624"/>
                    </a:xfrm>
                    <a:prstGeom prst="rect">
                      <a:avLst/>
                    </a:prstGeom>
                  </pic:spPr>
                </pic:pic>
              </a:graphicData>
            </a:graphic>
          </wp:inline>
        </w:drawing>
      </w:r>
    </w:p>
    <w:p w14:paraId="5F02A35A" w14:textId="0577F523" w:rsidR="000E7F21" w:rsidRDefault="000E7F21" w:rsidP="00580F83">
      <w:pPr>
        <w:pStyle w:val="CETBodytext"/>
        <w:rPr>
          <w:rStyle w:val="CETCaptionCarattere"/>
        </w:rPr>
      </w:pPr>
      <w:r w:rsidRPr="0009223E">
        <w:rPr>
          <w:rStyle w:val="CETCaptionCarattere"/>
        </w:rPr>
        <w:t>Figure 2: ground level average and peak concentrations at the two sections along x axis 1 km (a) and 5 km (b) downwind the source position.</w:t>
      </w:r>
    </w:p>
    <w:p w14:paraId="6603EF11" w14:textId="77777777" w:rsidR="0054359A" w:rsidRDefault="0054359A" w:rsidP="00580F83">
      <w:pPr>
        <w:pStyle w:val="CETBodytext"/>
        <w:rPr>
          <w:rStyle w:val="CETCaptionCarattere"/>
        </w:rPr>
      </w:pPr>
    </w:p>
    <w:p w14:paraId="27DC29BC" w14:textId="31140A65" w:rsidR="003F0F9D" w:rsidRDefault="003F0F9D" w:rsidP="003F0F9D">
      <w:pPr>
        <w:pStyle w:val="CETBodytext"/>
        <w:rPr>
          <w:iCs/>
          <w:lang w:val="en-GB"/>
        </w:rPr>
      </w:pPr>
      <w:r>
        <w:rPr>
          <w:iCs/>
          <w:lang w:val="en-GB"/>
        </w:rPr>
        <w:t>A preliminar</w:t>
      </w:r>
      <w:r w:rsidR="00F02C88">
        <w:rPr>
          <w:iCs/>
          <w:lang w:val="en-GB"/>
        </w:rPr>
        <w:t>y</w:t>
      </w:r>
      <w:r>
        <w:rPr>
          <w:iCs/>
          <w:lang w:val="en-GB"/>
        </w:rPr>
        <w:t xml:space="preserve"> comparison </w:t>
      </w:r>
      <w:r w:rsidR="006D1D57">
        <w:rPr>
          <w:iCs/>
          <w:lang w:val="en-GB"/>
        </w:rPr>
        <w:t xml:space="preserve">of the peak-to-mean ratios obtained by the </w:t>
      </w:r>
      <w:r w:rsidR="00B35505">
        <w:rPr>
          <w:iCs/>
          <w:lang w:val="en-GB"/>
        </w:rPr>
        <w:t>VPA</w:t>
      </w:r>
      <w:r w:rsidR="006D1D57">
        <w:rPr>
          <w:iCs/>
          <w:lang w:val="en-GB"/>
        </w:rPr>
        <w:t xml:space="preserve"> model </w:t>
      </w:r>
      <w:r w:rsidR="00D31008">
        <w:rPr>
          <w:iCs/>
          <w:lang w:val="en-GB"/>
        </w:rPr>
        <w:t>against</w:t>
      </w:r>
      <w:r>
        <w:rPr>
          <w:iCs/>
          <w:lang w:val="en-GB"/>
        </w:rPr>
        <w:t xml:space="preserve"> crosswind theoretical </w:t>
      </w:r>
      <w:r w:rsidR="006D1D57">
        <w:rPr>
          <w:iCs/>
          <w:lang w:val="en-GB"/>
        </w:rPr>
        <w:t>values</w:t>
      </w:r>
      <w:r>
        <w:rPr>
          <w:iCs/>
          <w:lang w:val="en-GB"/>
        </w:rPr>
        <w:t xml:space="preserve"> </w:t>
      </w:r>
      <w:r w:rsidR="006D1D57">
        <w:rPr>
          <w:iCs/>
          <w:lang w:val="en-GB"/>
        </w:rPr>
        <w:t xml:space="preserve">250 m downwind </w:t>
      </w:r>
      <w:r w:rsidR="00626A31">
        <w:rPr>
          <w:iCs/>
          <w:lang w:val="en-GB"/>
        </w:rPr>
        <w:t xml:space="preserve">the </w:t>
      </w:r>
      <w:r w:rsidR="006D1D57">
        <w:rPr>
          <w:iCs/>
          <w:lang w:val="en-GB"/>
        </w:rPr>
        <w:t xml:space="preserve">source position </w:t>
      </w:r>
      <w:r>
        <w:rPr>
          <w:iCs/>
          <w:lang w:val="en-GB"/>
        </w:rPr>
        <w:t>obtained</w:t>
      </w:r>
      <w:r w:rsidR="006D1D57">
        <w:rPr>
          <w:iCs/>
          <w:lang w:val="en-GB"/>
        </w:rPr>
        <w:t xml:space="preserve"> </w:t>
      </w:r>
      <w:r w:rsidR="00D31008">
        <w:rPr>
          <w:iCs/>
          <w:lang w:val="en-GB"/>
        </w:rPr>
        <w:t xml:space="preserve">by a </w:t>
      </w:r>
      <w:r>
        <w:rPr>
          <w:iCs/>
          <w:lang w:val="en-GB"/>
        </w:rPr>
        <w:t xml:space="preserve">semi-empirical Gaussian Plume model validated </w:t>
      </w:r>
      <w:r w:rsidR="00D31008">
        <w:rPr>
          <w:iCs/>
          <w:lang w:val="en-GB"/>
        </w:rPr>
        <w:t xml:space="preserve">with </w:t>
      </w:r>
      <w:r>
        <w:rPr>
          <w:iCs/>
          <w:lang w:val="en-GB"/>
        </w:rPr>
        <w:t>experiments by L</w:t>
      </w:r>
      <w:r w:rsidR="001529A3" w:rsidRPr="00D32833">
        <w:t>ǿ</w:t>
      </w:r>
      <w:proofErr w:type="spellStart"/>
      <w:r>
        <w:rPr>
          <w:iCs/>
          <w:lang w:val="en-GB"/>
        </w:rPr>
        <w:t>fstrom</w:t>
      </w:r>
      <w:proofErr w:type="spellEnd"/>
      <w:r>
        <w:rPr>
          <w:iCs/>
          <w:lang w:val="en-GB"/>
        </w:rPr>
        <w:t xml:space="preserve"> at al. </w:t>
      </w:r>
      <w:r w:rsidR="006D1D57">
        <w:rPr>
          <w:iCs/>
          <w:lang w:val="en-GB"/>
        </w:rPr>
        <w:t>(</w:t>
      </w:r>
      <w:r>
        <w:rPr>
          <w:iCs/>
          <w:lang w:val="en-GB"/>
        </w:rPr>
        <w:t>1994)</w:t>
      </w:r>
      <w:r w:rsidR="00626A31">
        <w:rPr>
          <w:iCs/>
          <w:lang w:val="en-GB"/>
        </w:rPr>
        <w:t xml:space="preserve"> in unstable conditions</w:t>
      </w:r>
      <w:r>
        <w:rPr>
          <w:iCs/>
          <w:lang w:val="en-GB"/>
        </w:rPr>
        <w:t xml:space="preserve"> is</w:t>
      </w:r>
      <w:r w:rsidR="006D1D57">
        <w:rPr>
          <w:iCs/>
          <w:lang w:val="en-GB"/>
        </w:rPr>
        <w:t xml:space="preserve"> illustrated</w:t>
      </w:r>
      <w:r>
        <w:rPr>
          <w:iCs/>
          <w:lang w:val="en-GB"/>
        </w:rPr>
        <w:t xml:space="preserve"> in Figure </w:t>
      </w:r>
      <w:r w:rsidR="00626A31">
        <w:rPr>
          <w:iCs/>
          <w:lang w:val="en-GB"/>
        </w:rPr>
        <w:t>3</w:t>
      </w:r>
      <w:r>
        <w:rPr>
          <w:iCs/>
          <w:lang w:val="en-GB"/>
        </w:rPr>
        <w:t xml:space="preserve">, </w:t>
      </w:r>
      <w:r w:rsidR="006D1D57">
        <w:rPr>
          <w:iCs/>
          <w:lang w:val="en-GB"/>
        </w:rPr>
        <w:t>showing</w:t>
      </w:r>
      <w:r>
        <w:rPr>
          <w:iCs/>
          <w:lang w:val="en-GB"/>
        </w:rPr>
        <w:t xml:space="preserve"> promising results.</w:t>
      </w:r>
    </w:p>
    <w:p w14:paraId="68DF8880" w14:textId="77777777" w:rsidR="00D62460" w:rsidRDefault="00D62460" w:rsidP="003F0F9D">
      <w:pPr>
        <w:pStyle w:val="CETBodytext"/>
        <w:rPr>
          <w:iCs/>
          <w:lang w:val="en-GB"/>
        </w:rPr>
      </w:pPr>
    </w:p>
    <w:p w14:paraId="40DE1500" w14:textId="407B8055" w:rsidR="003F0F9D" w:rsidRDefault="00D32833" w:rsidP="00D32833">
      <w:pPr>
        <w:pStyle w:val="CETBodytext"/>
        <w:jc w:val="center"/>
        <w:rPr>
          <w:iCs/>
          <w:lang w:val="en-GB"/>
        </w:rPr>
      </w:pPr>
      <w:r w:rsidRPr="00D32833">
        <w:rPr>
          <w:noProof/>
        </w:rPr>
        <w:drawing>
          <wp:inline distT="0" distB="0" distL="0" distR="0" wp14:anchorId="34C67590" wp14:editId="1F5343A3">
            <wp:extent cx="2727454" cy="1669312"/>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8665" cy="1682294"/>
                    </a:xfrm>
                    <a:prstGeom prst="rect">
                      <a:avLst/>
                    </a:prstGeom>
                  </pic:spPr>
                </pic:pic>
              </a:graphicData>
            </a:graphic>
          </wp:inline>
        </w:drawing>
      </w:r>
    </w:p>
    <w:p w14:paraId="64C9A92E" w14:textId="0CCC4DEE" w:rsidR="00626A31" w:rsidRPr="00D32833" w:rsidRDefault="00626A31" w:rsidP="00D32833">
      <w:pPr>
        <w:pStyle w:val="CETBodytext"/>
        <w:rPr>
          <w:i/>
          <w:lang w:val="en-GB"/>
        </w:rPr>
      </w:pPr>
      <w:r w:rsidRPr="0009223E">
        <w:rPr>
          <w:rStyle w:val="CETCaptionCarattere"/>
        </w:rPr>
        <w:t xml:space="preserve">Figure </w:t>
      </w:r>
      <w:r>
        <w:rPr>
          <w:rStyle w:val="CETCaptionCarattere"/>
        </w:rPr>
        <w:t>3</w:t>
      </w:r>
      <w:r w:rsidRPr="0009223E">
        <w:rPr>
          <w:rStyle w:val="CETCaptionCarattere"/>
        </w:rPr>
        <w:t>:</w:t>
      </w:r>
      <w:r>
        <w:rPr>
          <w:rStyle w:val="CETCaptionCarattere"/>
        </w:rPr>
        <w:t xml:space="preserve"> comparison of crosswind peak-to-mean ratios 250 m </w:t>
      </w:r>
      <w:r w:rsidR="00D32833">
        <w:rPr>
          <w:rStyle w:val="CETCaptionCarattere"/>
        </w:rPr>
        <w:t>downwind</w:t>
      </w:r>
      <w:r>
        <w:rPr>
          <w:rStyle w:val="CETCaptionCarattere"/>
        </w:rPr>
        <w:t xml:space="preserve"> source in unstable conditions obtained by the semi-empirical Gaussian model validated in Lofstrom et al. (1994) and results from the </w:t>
      </w:r>
      <w:r w:rsidR="00B35505">
        <w:rPr>
          <w:rStyle w:val="CETCaptionCarattere"/>
        </w:rPr>
        <w:t>VPA</w:t>
      </w:r>
      <w:r>
        <w:rPr>
          <w:rStyle w:val="CETCaptionCarattere"/>
        </w:rPr>
        <w:t xml:space="preserve"> model</w:t>
      </w:r>
    </w:p>
    <w:p w14:paraId="26152709" w14:textId="5FB5EF26" w:rsidR="00580F83" w:rsidRPr="0009223E" w:rsidRDefault="00580F83" w:rsidP="00580F83">
      <w:pPr>
        <w:pStyle w:val="CETheadingx"/>
        <w:rPr>
          <w:lang w:val="en-GB"/>
        </w:rPr>
      </w:pPr>
      <w:r w:rsidRPr="0009223E">
        <w:rPr>
          <w:lang w:val="en-GB"/>
        </w:rPr>
        <w:t>Comparison with constant peak-to-mean</w:t>
      </w:r>
      <w:r w:rsidR="00A8238C" w:rsidRPr="0009223E">
        <w:rPr>
          <w:lang w:val="en-GB"/>
        </w:rPr>
        <w:t xml:space="preserve"> ratio</w:t>
      </w:r>
    </w:p>
    <w:p w14:paraId="2FEF4D65" w14:textId="571E32EE" w:rsidR="00D31008" w:rsidRPr="0054359A" w:rsidRDefault="00D66E3F" w:rsidP="006D1D57">
      <w:pPr>
        <w:pStyle w:val="CETBodytext"/>
        <w:rPr>
          <w:i/>
          <w:lang w:val="en-GB"/>
        </w:rPr>
      </w:pPr>
      <w:r w:rsidRPr="0009223E">
        <w:rPr>
          <w:lang w:val="en-GB"/>
        </w:rPr>
        <w:t>It is a common procedure, in the frame</w:t>
      </w:r>
      <w:r w:rsidR="0054359A">
        <w:rPr>
          <w:lang w:val="en-GB"/>
        </w:rPr>
        <w:t xml:space="preserve"> of </w:t>
      </w:r>
      <w:r w:rsidRPr="0009223E">
        <w:rPr>
          <w:lang w:val="en-GB"/>
        </w:rPr>
        <w:t xml:space="preserve">odour applications, to calculate peak concentrations </w:t>
      </w:r>
      <w:r w:rsidR="00E658B3" w:rsidRPr="0009223E">
        <w:rPr>
          <w:lang w:val="en-GB"/>
        </w:rPr>
        <w:t xml:space="preserve">by </w:t>
      </w:r>
      <w:r w:rsidRPr="0009223E">
        <w:rPr>
          <w:lang w:val="en-GB"/>
        </w:rPr>
        <w:t xml:space="preserve">applying a </w:t>
      </w:r>
      <w:r w:rsidR="00E658B3" w:rsidRPr="0009223E">
        <w:rPr>
          <w:lang w:val="en-GB"/>
        </w:rPr>
        <w:t xml:space="preserve">simple </w:t>
      </w:r>
      <w:r w:rsidRPr="0009223E">
        <w:rPr>
          <w:lang w:val="en-GB"/>
        </w:rPr>
        <w:t>peak-to-mean ratio</w:t>
      </w:r>
      <w:r w:rsidR="00E658B3" w:rsidRPr="0009223E">
        <w:rPr>
          <w:lang w:val="en-GB"/>
        </w:rPr>
        <w:t>, kept uniformly constant throughout the domain and over time</w:t>
      </w:r>
      <w:r w:rsidRPr="0009223E">
        <w:rPr>
          <w:lang w:val="en-GB"/>
        </w:rPr>
        <w:t xml:space="preserve">. </w:t>
      </w:r>
      <w:r w:rsidR="00E658B3" w:rsidRPr="0009223E">
        <w:rPr>
          <w:lang w:val="en-GB"/>
        </w:rPr>
        <w:t xml:space="preserve">This way of operating is meant to represent a sort of precautional procedure, giving safe peak values everywhere. As an example, although there is not a </w:t>
      </w:r>
      <w:r w:rsidR="001B55F9" w:rsidRPr="0009223E">
        <w:rPr>
          <w:lang w:val="en-GB"/>
        </w:rPr>
        <w:t>legislation at national level, some Italian guidelines are applied at a regional level, suggesting the use of a constant 2.3 peak-to-mean ratio. It is hence interesting to understand the differences that can arise using the two VTE and VPA methods introduced here and a simplified procedure in the calculation of peak concentrations</w:t>
      </w:r>
      <w:r w:rsidR="00CA3F84" w:rsidRPr="0009223E">
        <w:rPr>
          <w:lang w:val="en-GB"/>
        </w:rPr>
        <w:t xml:space="preserve">. </w:t>
      </w:r>
      <w:r w:rsidR="0054359A" w:rsidRPr="0009223E">
        <w:rPr>
          <w:lang w:val="en-GB"/>
        </w:rPr>
        <w:t xml:space="preserve">Figures </w:t>
      </w:r>
      <w:r w:rsidR="0054359A">
        <w:rPr>
          <w:lang w:val="en-GB"/>
        </w:rPr>
        <w:t>4</w:t>
      </w:r>
      <w:r w:rsidR="0054359A" w:rsidRPr="0009223E">
        <w:rPr>
          <w:lang w:val="en-GB"/>
        </w:rPr>
        <w:t>a</w:t>
      </w:r>
      <w:r w:rsidR="0054359A">
        <w:rPr>
          <w:lang w:val="en-GB"/>
        </w:rPr>
        <w:t xml:space="preserve"> </w:t>
      </w:r>
      <w:r w:rsidR="0054359A" w:rsidRPr="0009223E">
        <w:rPr>
          <w:lang w:val="en-GB"/>
        </w:rPr>
        <w:t xml:space="preserve">and </w:t>
      </w:r>
      <w:r w:rsidR="0054359A">
        <w:rPr>
          <w:lang w:val="en-GB"/>
        </w:rPr>
        <w:t>4</w:t>
      </w:r>
      <w:r w:rsidR="0054359A" w:rsidRPr="0009223E">
        <w:rPr>
          <w:lang w:val="en-GB"/>
        </w:rPr>
        <w:t>b illustrate the absolute differences between peak values computed using VTE and VPA methods respectively and those computed applying a 2.3 uniform peak-to-mean ratio.</w:t>
      </w:r>
      <w:r w:rsidR="0054359A">
        <w:rPr>
          <w:lang w:val="en-GB"/>
        </w:rPr>
        <w:t xml:space="preserve"> </w:t>
      </w:r>
      <w:r w:rsidR="0054359A" w:rsidRPr="0009223E">
        <w:rPr>
          <w:lang w:val="en-GB"/>
        </w:rPr>
        <w:t>In the figure, regions represented by colours from green to red are those containing a peak-to-mean ratio larger than 2.3, while regions in blue are those with peak-to-mean smaller.</w:t>
      </w:r>
      <w:r w:rsidR="0054359A">
        <w:rPr>
          <w:lang w:val="en-GB"/>
        </w:rPr>
        <w:t xml:space="preserve"> </w:t>
      </w:r>
      <w:r w:rsidR="0054359A" w:rsidRPr="0009223E">
        <w:rPr>
          <w:lang w:val="en-GB"/>
        </w:rPr>
        <w:t>Both VTE and VPA methods calculate a non-uniform distribution of the peak-to-mean ratio both with a general similar behaviour showing smaller than 2.3 values downwind the source close to the plume centreline and larger than 2.3 values close to the plume external border.</w:t>
      </w:r>
      <w:r w:rsidR="0054359A">
        <w:rPr>
          <w:lang w:val="en-GB"/>
        </w:rPr>
        <w:t xml:space="preserve"> </w:t>
      </w:r>
      <w:r w:rsidR="0054359A" w:rsidRPr="0009223E">
        <w:rPr>
          <w:lang w:val="en-GB"/>
        </w:rPr>
        <w:t>The VTE method gives larger peak concentrations close to the source, where the VPA method doesn’t calculate such big values. The VPA method shows instead peak-to-mean ratios significantly higher than the constant 2.3 factor also at large distances from the source, where the VTE method doesn’t manifest such big values.</w:t>
      </w:r>
    </w:p>
    <w:p w14:paraId="484D84D6" w14:textId="3AD4B6E7" w:rsidR="00580F83" w:rsidRPr="0009223E" w:rsidRDefault="00B35505" w:rsidP="003F0F9D">
      <w:pPr>
        <w:pStyle w:val="CETBodytext"/>
        <w:jc w:val="center"/>
        <w:rPr>
          <w:lang w:val="en-GB"/>
        </w:rPr>
      </w:pPr>
      <w:r w:rsidRPr="0009223E">
        <w:rPr>
          <w:noProof/>
          <w:lang w:val="cs-CZ" w:eastAsia="cs-CZ"/>
        </w:rPr>
        <w:lastRenderedPageBreak/>
        <mc:AlternateContent>
          <mc:Choice Requires="wps">
            <w:drawing>
              <wp:anchor distT="0" distB="0" distL="114300" distR="114300" simplePos="0" relativeHeight="251669504" behindDoc="0" locked="0" layoutInCell="1" allowOverlap="1" wp14:anchorId="1046A0BE" wp14:editId="78874B96">
                <wp:simplePos x="0" y="0"/>
                <wp:positionH relativeFrom="page">
                  <wp:posOffset>3418205</wp:posOffset>
                </wp:positionH>
                <wp:positionV relativeFrom="paragraph">
                  <wp:posOffset>-9687</wp:posOffset>
                </wp:positionV>
                <wp:extent cx="257810" cy="210820"/>
                <wp:effectExtent l="0" t="0" r="8890" b="0"/>
                <wp:wrapNone/>
                <wp:docPr id="34" name="Casella di testo 34"/>
                <wp:cNvGraphicFramePr/>
                <a:graphic xmlns:a="http://schemas.openxmlformats.org/drawingml/2006/main">
                  <a:graphicData uri="http://schemas.microsoft.com/office/word/2010/wordprocessingShape">
                    <wps:wsp>
                      <wps:cNvSpPr txBox="1"/>
                      <wps:spPr>
                        <a:xfrm>
                          <a:off x="0" y="0"/>
                          <a:ext cx="257810" cy="210820"/>
                        </a:xfrm>
                        <a:prstGeom prst="rect">
                          <a:avLst/>
                        </a:prstGeom>
                        <a:solidFill>
                          <a:schemeClr val="lt1"/>
                        </a:solidFill>
                        <a:ln w="6350">
                          <a:noFill/>
                        </a:ln>
                      </wps:spPr>
                      <wps:txbx>
                        <w:txbxContent>
                          <w:p w14:paraId="1D1B46AF" w14:textId="77777777" w:rsidR="0049776D" w:rsidRPr="000E7F21" w:rsidRDefault="0049776D" w:rsidP="0049776D">
                            <w:pPr>
                              <w:rPr>
                                <w:b/>
                                <w:bCs/>
                                <w:sz w:val="12"/>
                                <w:szCs w:val="12"/>
                                <w:lang w:val="it-IT"/>
                              </w:rPr>
                            </w:pPr>
                            <w:r w:rsidRPr="000E7F21">
                              <w:rPr>
                                <w:b/>
                                <w:bCs/>
                                <w:lang w:val="it-I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6A0BE" id="Casella di testo 34" o:spid="_x0000_s1031" type="#_x0000_t202" style="position:absolute;left:0;text-align:left;margin-left:269.15pt;margin-top:-.75pt;width:20.3pt;height:16.6pt;z-index:2516695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" fillcolor="white [3201]" stroked="f" strokeweight=".5pt">
                <v:textbox>
                  <w:txbxContent>
                    <w:p w14:paraId="1D1B46AF" w14:textId="77777777" w:rsidR="0049776D" w:rsidRPr="000E7F21" w:rsidRDefault="0049776D" w:rsidP="0049776D">
                      <w:pPr>
                        <w:rPr>
                          <w:b/>
                          <w:bCs/>
                          <w:sz w:val="12"/>
                          <w:szCs w:val="12"/>
                          <w:lang w:val="it-IT"/>
                        </w:rPr>
                      </w:pPr>
                      <w:r w:rsidRPr="000E7F21">
                        <w:rPr>
                          <w:b/>
                          <w:bCs/>
                          <w:lang w:val="it-IT"/>
                        </w:rPr>
                        <w:t>a</w:t>
                      </w:r>
                    </w:p>
                  </w:txbxContent>
                </v:textbox>
                <w10:wrap anchorx="page"/>
              </v:shape>
            </w:pict>
          </mc:Fallback>
        </mc:AlternateContent>
      </w:r>
      <w:r w:rsidRPr="0009223E">
        <w:rPr>
          <w:noProof/>
          <w:lang w:val="cs-CZ" w:eastAsia="cs-CZ"/>
        </w:rPr>
        <mc:AlternateContent>
          <mc:Choice Requires="wps">
            <w:drawing>
              <wp:anchor distT="0" distB="0" distL="114300" distR="114300" simplePos="0" relativeHeight="251671552" behindDoc="0" locked="0" layoutInCell="1" allowOverlap="1" wp14:anchorId="693E8A92" wp14:editId="0D799092">
                <wp:simplePos x="0" y="0"/>
                <wp:positionH relativeFrom="page">
                  <wp:posOffset>5310343</wp:posOffset>
                </wp:positionH>
                <wp:positionV relativeFrom="paragraph">
                  <wp:posOffset>55245</wp:posOffset>
                </wp:positionV>
                <wp:extent cx="257810" cy="210820"/>
                <wp:effectExtent l="0" t="0" r="8890" b="0"/>
                <wp:wrapNone/>
                <wp:docPr id="35" name="Casella di testo 35"/>
                <wp:cNvGraphicFramePr/>
                <a:graphic xmlns:a="http://schemas.openxmlformats.org/drawingml/2006/main">
                  <a:graphicData uri="http://schemas.microsoft.com/office/word/2010/wordprocessingShape">
                    <wps:wsp>
                      <wps:cNvSpPr txBox="1"/>
                      <wps:spPr>
                        <a:xfrm>
                          <a:off x="0" y="0"/>
                          <a:ext cx="257810" cy="210820"/>
                        </a:xfrm>
                        <a:prstGeom prst="rect">
                          <a:avLst/>
                        </a:prstGeom>
                        <a:solidFill>
                          <a:schemeClr val="lt1"/>
                        </a:solidFill>
                        <a:ln w="6350">
                          <a:noFill/>
                        </a:ln>
                      </wps:spPr>
                      <wps:txbx>
                        <w:txbxContent>
                          <w:p w14:paraId="3DD2E3E3" w14:textId="77777777" w:rsidR="0049776D" w:rsidRPr="000E7F21" w:rsidRDefault="0049776D" w:rsidP="0049776D">
                            <w:pPr>
                              <w:rPr>
                                <w:b/>
                                <w:bCs/>
                                <w:sz w:val="12"/>
                                <w:szCs w:val="12"/>
                                <w:lang w:val="it-IT"/>
                              </w:rPr>
                            </w:pPr>
                            <w:r w:rsidRPr="000E7F21">
                              <w:rPr>
                                <w:b/>
                                <w:bCs/>
                                <w:lang w:val="it-I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3E8A92" id="Casella di testo 35" o:spid="_x0000_s1032" type="#_x0000_t202" style="position:absolute;left:0;text-align:left;margin-left:418.15pt;margin-top:4.35pt;width:20.3pt;height:16.6pt;z-index:2516715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" fillcolor="white [3201]" stroked="f" strokeweight=".5pt">
                <v:textbox>
                  <w:txbxContent>
                    <w:p w14:paraId="3DD2E3E3" w14:textId="77777777" w:rsidR="0049776D" w:rsidRPr="000E7F21" w:rsidRDefault="0049776D" w:rsidP="0049776D">
                      <w:pPr>
                        <w:rPr>
                          <w:b/>
                          <w:bCs/>
                          <w:sz w:val="12"/>
                          <w:szCs w:val="12"/>
                          <w:lang w:val="it-IT"/>
                        </w:rPr>
                      </w:pPr>
                      <w:r w:rsidRPr="000E7F21">
                        <w:rPr>
                          <w:b/>
                          <w:bCs/>
                          <w:lang w:val="it-IT"/>
                        </w:rPr>
                        <w:t>b</w:t>
                      </w:r>
                    </w:p>
                  </w:txbxContent>
                </v:textbox>
                <w10:wrap anchorx="page"/>
              </v:shape>
            </w:pict>
          </mc:Fallback>
        </mc:AlternateContent>
      </w:r>
      <w:r w:rsidR="001B55F9" w:rsidRPr="0009223E">
        <w:rPr>
          <w:noProof/>
          <w:lang w:val="cs-CZ" w:eastAsia="cs-CZ"/>
        </w:rPr>
        <w:drawing>
          <wp:inline distT="0" distB="0" distL="0" distR="0" wp14:anchorId="7E251565" wp14:editId="18E22693">
            <wp:extent cx="1969076" cy="1739351"/>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pic:cNvPicPr/>
                  </pic:nvPicPr>
                  <pic:blipFill>
                    <a:blip r:embed="rId17"/>
                    <a:stretch>
                      <a:fillRect/>
                    </a:stretch>
                  </pic:blipFill>
                  <pic:spPr>
                    <a:xfrm>
                      <a:off x="0" y="0"/>
                      <a:ext cx="1969076" cy="1739351"/>
                    </a:xfrm>
                    <a:prstGeom prst="rect">
                      <a:avLst/>
                    </a:prstGeom>
                  </pic:spPr>
                </pic:pic>
              </a:graphicData>
            </a:graphic>
          </wp:inline>
        </w:drawing>
      </w:r>
      <w:r w:rsidR="001B55F9" w:rsidRPr="0009223E">
        <w:rPr>
          <w:noProof/>
          <w:lang w:val="cs-CZ" w:eastAsia="cs-CZ"/>
        </w:rPr>
        <w:drawing>
          <wp:inline distT="0" distB="0" distL="0" distR="0" wp14:anchorId="64383712" wp14:editId="21AF1F9F">
            <wp:extent cx="1956391" cy="1728145"/>
            <wp:effectExtent l="0" t="0" r="6350" b="571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18"/>
                    <a:stretch>
                      <a:fillRect/>
                    </a:stretch>
                  </pic:blipFill>
                  <pic:spPr>
                    <a:xfrm>
                      <a:off x="0" y="0"/>
                      <a:ext cx="1977106" cy="1746443"/>
                    </a:xfrm>
                    <a:prstGeom prst="rect">
                      <a:avLst/>
                    </a:prstGeom>
                  </pic:spPr>
                </pic:pic>
              </a:graphicData>
            </a:graphic>
          </wp:inline>
        </w:drawing>
      </w:r>
    </w:p>
    <w:p w14:paraId="0CABDB51" w14:textId="25A52EB5" w:rsidR="001B55F9" w:rsidRDefault="001B55F9" w:rsidP="001B55F9">
      <w:pPr>
        <w:pStyle w:val="CETBodytext"/>
        <w:rPr>
          <w:rStyle w:val="CETCaptionCarattere"/>
        </w:rPr>
      </w:pPr>
      <w:r w:rsidRPr="0009223E">
        <w:rPr>
          <w:rStyle w:val="CETCaptionCarattere"/>
        </w:rPr>
        <w:t xml:space="preserve">Figure </w:t>
      </w:r>
      <w:r w:rsidR="00D31008">
        <w:rPr>
          <w:rStyle w:val="CETCaptionCarattere"/>
        </w:rPr>
        <w:t>4</w:t>
      </w:r>
      <w:r w:rsidRPr="0009223E">
        <w:rPr>
          <w:rStyle w:val="CETCaptionCarattere"/>
        </w:rPr>
        <w:t xml:space="preserve">: absolute differences between peak concentrations </w:t>
      </w:r>
      <w:r w:rsidR="00CA3F84" w:rsidRPr="0009223E">
        <w:rPr>
          <w:rStyle w:val="CETCaptionCarattere"/>
        </w:rPr>
        <w:t xml:space="preserve">at ground </w:t>
      </w:r>
      <w:r w:rsidRPr="0009223E">
        <w:rPr>
          <w:rStyle w:val="CETCaptionCarattere"/>
        </w:rPr>
        <w:t xml:space="preserve">computed using the VTE method (a) and VPA method (b) and the </w:t>
      </w:r>
      <w:r w:rsidR="00CA3F84" w:rsidRPr="0009223E">
        <w:rPr>
          <w:rStyle w:val="CETCaptionCarattere"/>
        </w:rPr>
        <w:t>application of a 2.3 constant peak-to-mean ratio.</w:t>
      </w:r>
    </w:p>
    <w:p w14:paraId="3A586FE3" w14:textId="2CD41C22" w:rsidR="00810D95" w:rsidRPr="0009223E" w:rsidRDefault="00810D95" w:rsidP="00810D95">
      <w:pPr>
        <w:pStyle w:val="CETHeading1"/>
        <w:tabs>
          <w:tab w:val="num" w:pos="360"/>
        </w:tabs>
        <w:rPr>
          <w:lang w:val="en-GB"/>
        </w:rPr>
      </w:pPr>
      <w:r w:rsidRPr="0009223E">
        <w:rPr>
          <w:lang w:val="en-GB"/>
        </w:rPr>
        <w:t>Conclusions</w:t>
      </w:r>
    </w:p>
    <w:p w14:paraId="60480610" w14:textId="50FEDB44" w:rsidR="001241B8" w:rsidRPr="0009223E" w:rsidRDefault="00925FAB" w:rsidP="001241B8">
      <w:pPr>
        <w:pStyle w:val="CETBodytext"/>
        <w:rPr>
          <w:lang w:val="en-GB"/>
        </w:rPr>
      </w:pPr>
      <w:r w:rsidRPr="0009223E">
        <w:rPr>
          <w:lang w:val="en-GB"/>
        </w:rPr>
        <w:t xml:space="preserve">A simplified </w:t>
      </w:r>
      <w:proofErr w:type="spellStart"/>
      <w:r w:rsidRPr="0009223E">
        <w:rPr>
          <w:lang w:val="en-GB"/>
        </w:rPr>
        <w:t>micromixing</w:t>
      </w:r>
      <w:proofErr w:type="spellEnd"/>
      <w:r w:rsidRPr="0009223E">
        <w:rPr>
          <w:lang w:val="en-GB"/>
        </w:rPr>
        <w:t xml:space="preserve"> model </w:t>
      </w:r>
      <w:r w:rsidR="002F30F7" w:rsidRPr="0009223E">
        <w:rPr>
          <w:lang w:val="en-GB"/>
        </w:rPr>
        <w:t xml:space="preserve">(VPA) </w:t>
      </w:r>
      <w:r w:rsidRPr="0009223E">
        <w:rPr>
          <w:lang w:val="en-GB"/>
        </w:rPr>
        <w:t xml:space="preserve">was introduced inside the </w:t>
      </w:r>
      <w:proofErr w:type="spellStart"/>
      <w:r w:rsidRPr="0009223E">
        <w:rPr>
          <w:lang w:val="en-GB"/>
        </w:rPr>
        <w:t>Lagrangian</w:t>
      </w:r>
      <w:proofErr w:type="spellEnd"/>
      <w:r w:rsidRPr="0009223E">
        <w:rPr>
          <w:lang w:val="en-GB"/>
        </w:rPr>
        <w:t xml:space="preserve"> Particle Dispersion Model SPRAY with the aim of calculating concentration variances and </w:t>
      </w:r>
      <w:r w:rsidR="0067346C" w:rsidRPr="0009223E">
        <w:rPr>
          <w:lang w:val="en-GB"/>
        </w:rPr>
        <w:t>estimat</w:t>
      </w:r>
      <w:r w:rsidR="0067346C">
        <w:rPr>
          <w:lang w:val="en-GB"/>
        </w:rPr>
        <w:t>ing</w:t>
      </w:r>
      <w:r w:rsidR="0067346C" w:rsidRPr="0009223E">
        <w:rPr>
          <w:lang w:val="en-GB"/>
        </w:rPr>
        <w:t xml:space="preserve"> </w:t>
      </w:r>
      <w:r w:rsidRPr="0009223E">
        <w:rPr>
          <w:lang w:val="en-GB"/>
        </w:rPr>
        <w:t>peak concentrations, specifically required to reconstruct the impact of odorous emissions. This method</w:t>
      </w:r>
      <w:r w:rsidR="002F30F7" w:rsidRPr="0009223E">
        <w:rPr>
          <w:lang w:val="en-GB"/>
        </w:rPr>
        <w:t xml:space="preserve"> </w:t>
      </w:r>
      <w:r w:rsidRPr="0009223E">
        <w:rPr>
          <w:lang w:val="en-GB"/>
        </w:rPr>
        <w:t xml:space="preserve">allows </w:t>
      </w:r>
      <w:r w:rsidR="00D12AF0">
        <w:rPr>
          <w:lang w:val="en-GB"/>
        </w:rPr>
        <w:t>to</w:t>
      </w:r>
      <w:r w:rsidRPr="0009223E">
        <w:rPr>
          <w:lang w:val="en-GB"/>
        </w:rPr>
        <w:t xml:space="preserve"> tak</w:t>
      </w:r>
      <w:r w:rsidR="00D12AF0">
        <w:rPr>
          <w:lang w:val="en-GB"/>
        </w:rPr>
        <w:t>e</w:t>
      </w:r>
      <w:r w:rsidRPr="0009223E">
        <w:rPr>
          <w:lang w:val="en-GB"/>
        </w:rPr>
        <w:t xml:space="preserve"> into consideration only the particles </w:t>
      </w:r>
      <w:r w:rsidR="00D12AF0">
        <w:rPr>
          <w:lang w:val="en-GB"/>
        </w:rPr>
        <w:t xml:space="preserve">related to </w:t>
      </w:r>
      <w:r w:rsidRPr="0009223E">
        <w:rPr>
          <w:lang w:val="en-GB"/>
        </w:rPr>
        <w:t>the emissions</w:t>
      </w:r>
      <w:r w:rsidR="00D12AF0">
        <w:rPr>
          <w:lang w:val="en-GB"/>
        </w:rPr>
        <w:t>,</w:t>
      </w:r>
      <w:r w:rsidRPr="0009223E">
        <w:rPr>
          <w:lang w:val="en-GB"/>
        </w:rPr>
        <w:t xml:space="preserve"> increasing the computational efficiency with respect to a standard </w:t>
      </w:r>
      <w:proofErr w:type="spellStart"/>
      <w:r w:rsidRPr="0009223E">
        <w:rPr>
          <w:lang w:val="en-GB"/>
        </w:rPr>
        <w:t>micromixing</w:t>
      </w:r>
      <w:proofErr w:type="spellEnd"/>
      <w:r w:rsidRPr="0009223E">
        <w:rPr>
          <w:lang w:val="en-GB"/>
        </w:rPr>
        <w:t xml:space="preserve"> method that requires to follow also particles representing the atmospheric background. The </w:t>
      </w:r>
      <w:proofErr w:type="spellStart"/>
      <w:r w:rsidRPr="0009223E">
        <w:rPr>
          <w:lang w:val="en-GB"/>
        </w:rPr>
        <w:t>micromixing</w:t>
      </w:r>
      <w:proofErr w:type="spellEnd"/>
      <w:r w:rsidRPr="0009223E">
        <w:rPr>
          <w:lang w:val="en-GB"/>
        </w:rPr>
        <w:t xml:space="preserve"> model has been compared </w:t>
      </w:r>
      <w:r w:rsidR="002F30F7" w:rsidRPr="0009223E">
        <w:rPr>
          <w:lang w:val="en-GB"/>
        </w:rPr>
        <w:t xml:space="preserve">in a controlled condition </w:t>
      </w:r>
      <w:r w:rsidRPr="0009223E">
        <w:rPr>
          <w:lang w:val="en-GB"/>
        </w:rPr>
        <w:t xml:space="preserve">with another existing method already present in the code implementing a simplified form for the </w:t>
      </w:r>
      <w:r w:rsidR="002F30F7" w:rsidRPr="0009223E">
        <w:rPr>
          <w:lang w:val="en-GB"/>
        </w:rPr>
        <w:t xml:space="preserve">transport equation of the concentration variance (VTE). </w:t>
      </w:r>
      <w:r w:rsidR="0080737E" w:rsidRPr="0009223E">
        <w:rPr>
          <w:lang w:val="en-GB"/>
        </w:rPr>
        <w:t xml:space="preserve">Both methods show a general </w:t>
      </w:r>
      <w:r w:rsidR="0067346C" w:rsidRPr="0009223E">
        <w:rPr>
          <w:lang w:val="en-GB"/>
        </w:rPr>
        <w:t>behaviour</w:t>
      </w:r>
      <w:r w:rsidR="0080737E" w:rsidRPr="0009223E">
        <w:rPr>
          <w:lang w:val="en-GB"/>
        </w:rPr>
        <w:t xml:space="preserve"> of giving non uniform peak-to-mean ratios with larger peak concentrations close to the plume border and smaller around the plume </w:t>
      </w:r>
      <w:r w:rsidR="0067346C" w:rsidRPr="0009223E">
        <w:rPr>
          <w:lang w:val="en-GB"/>
        </w:rPr>
        <w:t>centreline</w:t>
      </w:r>
      <w:r w:rsidR="0080737E" w:rsidRPr="0009223E">
        <w:rPr>
          <w:lang w:val="en-GB"/>
        </w:rPr>
        <w:t xml:space="preserve">. </w:t>
      </w:r>
      <w:r w:rsidR="002F30F7" w:rsidRPr="0009223E">
        <w:rPr>
          <w:lang w:val="en-GB"/>
        </w:rPr>
        <w:t xml:space="preserve">Results show that the VTE method determines higher peaks close to the source, with peak-to-mean ratios that can be significantly larger than a factor 3, while the VPA method shows smaller peak-to-mean ratios close to the source but extending over regions further away from the source, even for more than 5 km. </w:t>
      </w:r>
      <w:r w:rsidR="0080737E" w:rsidRPr="0009223E">
        <w:rPr>
          <w:lang w:val="en-GB"/>
        </w:rPr>
        <w:t xml:space="preserve">These preliminary results must be confirmed through a comparison with available measured data in a real environment and this validation procedure will be implemented in the next future. </w:t>
      </w:r>
    </w:p>
    <w:p w14:paraId="4F1327F8" w14:textId="77777777" w:rsidR="00600535" w:rsidRPr="0009223E" w:rsidRDefault="00600535" w:rsidP="00600535">
      <w:pPr>
        <w:pStyle w:val="CETReference"/>
      </w:pPr>
      <w:r w:rsidRPr="0009223E">
        <w:t>References</w:t>
      </w:r>
    </w:p>
    <w:p w14:paraId="5BECDD65" w14:textId="4A0EDB86" w:rsidR="000440B0" w:rsidRPr="0009223E" w:rsidRDefault="000440B0" w:rsidP="000440B0">
      <w:pPr>
        <w:pStyle w:val="CETReferencetext"/>
      </w:pPr>
      <w:r w:rsidRPr="0009223E">
        <w:t>Capelli L</w:t>
      </w:r>
      <w:r w:rsidR="0081191F" w:rsidRPr="0009223E">
        <w:t>.</w:t>
      </w:r>
      <w:r w:rsidRPr="0009223E">
        <w:t xml:space="preserve">, </w:t>
      </w:r>
      <w:proofErr w:type="spellStart"/>
      <w:r w:rsidRPr="0009223E">
        <w:t>Sironi</w:t>
      </w:r>
      <w:proofErr w:type="spellEnd"/>
      <w:r w:rsidRPr="0009223E">
        <w:t xml:space="preserve"> S</w:t>
      </w:r>
      <w:r w:rsidR="0081191F" w:rsidRPr="0009223E">
        <w:t>.</w:t>
      </w:r>
      <w:r w:rsidRPr="0009223E">
        <w:t>, Del Rosso R</w:t>
      </w:r>
      <w:r w:rsidR="0081191F" w:rsidRPr="0009223E">
        <w:t>.</w:t>
      </w:r>
      <w:r w:rsidRPr="0009223E">
        <w:t>, Guillot J</w:t>
      </w:r>
      <w:r w:rsidR="0081191F" w:rsidRPr="0009223E">
        <w:t>.</w:t>
      </w:r>
      <w:r w:rsidRPr="0009223E">
        <w:t>M</w:t>
      </w:r>
      <w:r w:rsidR="0081191F" w:rsidRPr="0009223E">
        <w:t>.</w:t>
      </w:r>
      <w:r w:rsidRPr="0009223E">
        <w:t>, 2013, Measuring odours in the environment vs. dispersion modelling: a review</w:t>
      </w:r>
      <w:r w:rsidR="0087590F">
        <w:t xml:space="preserve"> -</w:t>
      </w:r>
      <w:r w:rsidRPr="0009223E">
        <w:t xml:space="preserve"> Atmospheric Environment, 79, 731–743</w:t>
      </w:r>
      <w:r w:rsidR="00F41552" w:rsidRPr="0009223E">
        <w:t>.</w:t>
      </w:r>
    </w:p>
    <w:p w14:paraId="1BD693AC" w14:textId="0F07F3FB" w:rsidR="008325FD" w:rsidRPr="0009223E" w:rsidRDefault="008325FD" w:rsidP="008325FD">
      <w:pPr>
        <w:pStyle w:val="CETReferencetext"/>
      </w:pPr>
      <w:proofErr w:type="spellStart"/>
      <w:r w:rsidRPr="0009223E">
        <w:t>Cassiani</w:t>
      </w:r>
      <w:proofErr w:type="spellEnd"/>
      <w:r w:rsidRPr="0009223E">
        <w:t xml:space="preserve"> M., 2013, The Volumetric Particle Approach for Concentration Fluctuations and Chemical Reactions in </w:t>
      </w:r>
      <w:proofErr w:type="spellStart"/>
      <w:r w:rsidRPr="0009223E">
        <w:t>Lagrangian</w:t>
      </w:r>
      <w:proofErr w:type="spellEnd"/>
      <w:r w:rsidRPr="0009223E">
        <w:t xml:space="preserve"> Particle and Particle-grid Models</w:t>
      </w:r>
      <w:r w:rsidR="0087590F">
        <w:t xml:space="preserve"> -</w:t>
      </w:r>
      <w:r w:rsidRPr="0009223E">
        <w:t xml:space="preserve"> Boundary-Layer Meteorology 146, 207–233.</w:t>
      </w:r>
    </w:p>
    <w:p w14:paraId="41830051" w14:textId="38D21C31" w:rsidR="00F41552" w:rsidRPr="0009223E" w:rsidRDefault="00F41552" w:rsidP="000440B0">
      <w:pPr>
        <w:pStyle w:val="CETReferencetext"/>
      </w:pPr>
      <w:proofErr w:type="spellStart"/>
      <w:r w:rsidRPr="0009223E">
        <w:t>Cassiani</w:t>
      </w:r>
      <w:proofErr w:type="spellEnd"/>
      <w:r w:rsidRPr="0009223E">
        <w:t xml:space="preserve"> M., </w:t>
      </w:r>
      <w:proofErr w:type="spellStart"/>
      <w:r w:rsidRPr="0009223E">
        <w:t>Bertagni</w:t>
      </w:r>
      <w:proofErr w:type="spellEnd"/>
      <w:r w:rsidRPr="0009223E">
        <w:t xml:space="preserve"> M.B., </w:t>
      </w:r>
      <w:proofErr w:type="spellStart"/>
      <w:r w:rsidRPr="0009223E">
        <w:t>Marro</w:t>
      </w:r>
      <w:proofErr w:type="spellEnd"/>
      <w:r w:rsidRPr="0009223E">
        <w:t xml:space="preserve"> M., </w:t>
      </w:r>
      <w:proofErr w:type="spellStart"/>
      <w:r w:rsidRPr="0009223E">
        <w:t>Salizzoni</w:t>
      </w:r>
      <w:proofErr w:type="spellEnd"/>
      <w:r w:rsidRPr="0009223E">
        <w:t xml:space="preserve"> P., 2020, Concentration Fluctuations from Localiz</w:t>
      </w:r>
      <w:r w:rsidR="0067346C">
        <w:t>e</w:t>
      </w:r>
      <w:r w:rsidRPr="0009223E">
        <w:t>d Atmospheric Releases</w:t>
      </w:r>
      <w:r w:rsidR="0087590F">
        <w:t xml:space="preserve"> - </w:t>
      </w:r>
      <w:r w:rsidRPr="0009223E">
        <w:t>Boundary-Layer Meteorology, 177, 461–510.</w:t>
      </w:r>
    </w:p>
    <w:p w14:paraId="320DA73D" w14:textId="7AF9A91A" w:rsidR="00277B5B" w:rsidRPr="0009223E" w:rsidRDefault="00277B5B" w:rsidP="00277B5B">
      <w:pPr>
        <w:pStyle w:val="CETReferencetext"/>
      </w:pPr>
      <w:r w:rsidRPr="0009223E">
        <w:t xml:space="preserve">Dixon N.S., Tomlin A.S., 2007, A </w:t>
      </w:r>
      <w:proofErr w:type="spellStart"/>
      <w:r w:rsidRPr="0009223E">
        <w:t>Lagrangian</w:t>
      </w:r>
      <w:proofErr w:type="spellEnd"/>
      <w:r w:rsidRPr="0009223E">
        <w:t xml:space="preserve"> stochastic model for predicting concentration fluctuations in urban areas</w:t>
      </w:r>
      <w:r w:rsidR="0087590F">
        <w:t xml:space="preserve"> -</w:t>
      </w:r>
      <w:r w:rsidRPr="0009223E">
        <w:t xml:space="preserve"> Atmospheric Environment, 41, 8114-8127.</w:t>
      </w:r>
    </w:p>
    <w:p w14:paraId="6F18B16C" w14:textId="7ACF11A6" w:rsidR="008325FD" w:rsidRPr="0009223E" w:rsidRDefault="008325FD" w:rsidP="008325FD">
      <w:pPr>
        <w:pStyle w:val="CETReferencetext"/>
      </w:pPr>
      <w:r w:rsidRPr="0009223E">
        <w:t xml:space="preserve">Ferrero E., </w:t>
      </w:r>
      <w:proofErr w:type="spellStart"/>
      <w:r w:rsidRPr="0009223E">
        <w:t>Mortarini</w:t>
      </w:r>
      <w:proofErr w:type="spellEnd"/>
      <w:r w:rsidRPr="0009223E">
        <w:t xml:space="preserve"> L., </w:t>
      </w:r>
      <w:proofErr w:type="spellStart"/>
      <w:r w:rsidRPr="0009223E">
        <w:t>Purghè</w:t>
      </w:r>
      <w:proofErr w:type="spellEnd"/>
      <w:r w:rsidRPr="0009223E">
        <w:t xml:space="preserve"> F., 2017, A Simple Parametrization for the Concentration Variance Dissipation in a </w:t>
      </w:r>
      <w:proofErr w:type="spellStart"/>
      <w:r w:rsidRPr="0009223E">
        <w:t>Lagrangian</w:t>
      </w:r>
      <w:proofErr w:type="spellEnd"/>
      <w:r w:rsidRPr="0009223E">
        <w:t xml:space="preserve"> Single-Particle Model</w:t>
      </w:r>
      <w:r w:rsidR="0087590F">
        <w:t xml:space="preserve"> -</w:t>
      </w:r>
      <w:r w:rsidRPr="0009223E">
        <w:t xml:space="preserve"> Boundary-Layer Meteorology, 163, 91–101.</w:t>
      </w:r>
    </w:p>
    <w:p w14:paraId="6612B192" w14:textId="50E86B20" w:rsidR="009F764C" w:rsidRPr="0009223E" w:rsidRDefault="009F764C" w:rsidP="009F764C">
      <w:pPr>
        <w:pStyle w:val="CETReferencetext"/>
      </w:pPr>
      <w:r w:rsidRPr="0009223E">
        <w:t xml:space="preserve">Ferrero E., </w:t>
      </w:r>
      <w:proofErr w:type="spellStart"/>
      <w:r w:rsidRPr="0009223E">
        <w:t>Monor</w:t>
      </w:r>
      <w:proofErr w:type="spellEnd"/>
      <w:r w:rsidRPr="0009223E">
        <w:t xml:space="preserve"> A., </w:t>
      </w:r>
      <w:proofErr w:type="spellStart"/>
      <w:r w:rsidRPr="0009223E">
        <w:t>Mortarini</w:t>
      </w:r>
      <w:proofErr w:type="spellEnd"/>
      <w:r w:rsidRPr="0009223E">
        <w:t xml:space="preserve"> L., </w:t>
      </w:r>
      <w:proofErr w:type="spellStart"/>
      <w:r w:rsidRPr="0009223E">
        <w:t>Oettl</w:t>
      </w:r>
      <w:proofErr w:type="spellEnd"/>
      <w:r w:rsidRPr="0009223E">
        <w:t xml:space="preserve"> D., 2020, Conce</w:t>
      </w:r>
      <w:r w:rsidR="0067346C">
        <w:t>n</w:t>
      </w:r>
      <w:r w:rsidRPr="0009223E">
        <w:t xml:space="preserve">tration fluctuations and </w:t>
      </w:r>
      <w:proofErr w:type="spellStart"/>
      <w:r w:rsidRPr="0009223E">
        <w:t>odor</w:t>
      </w:r>
      <w:proofErr w:type="spellEnd"/>
      <w:r w:rsidRPr="0009223E">
        <w:t xml:space="preserve"> dispersion in </w:t>
      </w:r>
      <w:proofErr w:type="spellStart"/>
      <w:r w:rsidRPr="0009223E">
        <w:t>Lagrangian</w:t>
      </w:r>
      <w:proofErr w:type="spellEnd"/>
      <w:r w:rsidRPr="0009223E">
        <w:t xml:space="preserve"> Models – Atmosphere, 11, 27; doi:10.3390/atmos11010027.</w:t>
      </w:r>
    </w:p>
    <w:p w14:paraId="1FE21D66" w14:textId="6F602D82" w:rsidR="009F764C" w:rsidRDefault="009F764C" w:rsidP="0081191F">
      <w:pPr>
        <w:pStyle w:val="CETReferencetext"/>
      </w:pPr>
      <w:r w:rsidRPr="0009223E">
        <w:t xml:space="preserve">Hsieh </w:t>
      </w:r>
      <w:r w:rsidR="0081191F" w:rsidRPr="0009223E">
        <w:t>K.K.</w:t>
      </w:r>
      <w:r w:rsidRPr="0009223E">
        <w:t>, Lien</w:t>
      </w:r>
      <w:r w:rsidR="0081191F" w:rsidRPr="0009223E">
        <w:t xml:space="preserve"> F.S.</w:t>
      </w:r>
      <w:r w:rsidRPr="0009223E">
        <w:t xml:space="preserve">, Yee </w:t>
      </w:r>
      <w:r w:rsidR="0081191F" w:rsidRPr="0009223E">
        <w:t xml:space="preserve">E., </w:t>
      </w:r>
      <w:r w:rsidRPr="0009223E">
        <w:t>2007</w:t>
      </w:r>
      <w:r w:rsidR="0081191F" w:rsidRPr="0009223E">
        <w:t>,</w:t>
      </w:r>
      <w:r w:rsidRPr="0009223E">
        <w:t xml:space="preserve"> Numerical modelling of passive scalar dispersion in an urban</w:t>
      </w:r>
      <w:r w:rsidR="0081191F" w:rsidRPr="0009223E">
        <w:t xml:space="preserve"> </w:t>
      </w:r>
      <w:r w:rsidRPr="0009223E">
        <w:t>canopy layer</w:t>
      </w:r>
      <w:r w:rsidR="0087590F">
        <w:t xml:space="preserve"> -</w:t>
      </w:r>
      <w:r w:rsidR="0081191F" w:rsidRPr="0009223E">
        <w:t xml:space="preserve"> </w:t>
      </w:r>
      <w:r w:rsidRPr="0009223E">
        <w:t xml:space="preserve">J. Wind Eng. Ind. </w:t>
      </w:r>
      <w:proofErr w:type="spellStart"/>
      <w:r w:rsidRPr="0009223E">
        <w:t>Aerodyn</w:t>
      </w:r>
      <w:proofErr w:type="spellEnd"/>
      <w:r w:rsidRPr="0009223E">
        <w:t>., 95, 1611-1636</w:t>
      </w:r>
      <w:r w:rsidR="0081191F" w:rsidRPr="0009223E">
        <w:t>.</w:t>
      </w:r>
    </w:p>
    <w:p w14:paraId="17ACB3DC" w14:textId="73AF0D90" w:rsidR="00D32833" w:rsidRPr="00D32833" w:rsidRDefault="00D32833" w:rsidP="00D32833">
      <w:pPr>
        <w:pStyle w:val="CETReferencetext"/>
      </w:pPr>
      <w:proofErr w:type="spellStart"/>
      <w:r w:rsidRPr="00D32833">
        <w:t>Lǿfstrom</w:t>
      </w:r>
      <w:proofErr w:type="spellEnd"/>
      <w:r w:rsidRPr="00D32833">
        <w:t xml:space="preserve"> P., </w:t>
      </w:r>
      <w:proofErr w:type="spellStart"/>
      <w:r w:rsidRPr="00D32833">
        <w:t>Jǿrgensen</w:t>
      </w:r>
      <w:proofErr w:type="spellEnd"/>
      <w:r>
        <w:t xml:space="preserve"> H.</w:t>
      </w:r>
      <w:r w:rsidRPr="00D32833">
        <w:t xml:space="preserve">, </w:t>
      </w:r>
      <w:proofErr w:type="spellStart"/>
      <w:r w:rsidRPr="00D32833">
        <w:t>Lyck</w:t>
      </w:r>
      <w:proofErr w:type="spellEnd"/>
      <w:r>
        <w:t xml:space="preserve"> E.</w:t>
      </w:r>
      <w:r w:rsidRPr="00D32833">
        <w:t xml:space="preserve">, Mikkelsen </w:t>
      </w:r>
      <w:r>
        <w:t>T.,</w:t>
      </w:r>
      <w:r w:rsidRPr="00D32833">
        <w:t>1994</w:t>
      </w:r>
      <w:r>
        <w:t>,</w:t>
      </w:r>
      <w:r w:rsidRPr="00D32833">
        <w:t xml:space="preserve"> A concentration fluctuation model for decision-makers based on joint tracer and lidar measurements from a non-buoyant elevated </w:t>
      </w:r>
      <w:r>
        <w:t>p</w:t>
      </w:r>
      <w:r w:rsidRPr="00D32833">
        <w:t>lume – Trans. Ecology and Environ., 3, 571-579</w:t>
      </w:r>
      <w:r w:rsidR="0087590F">
        <w:t>.</w:t>
      </w:r>
    </w:p>
    <w:p w14:paraId="0B405356" w14:textId="05442DDA" w:rsidR="0081191F" w:rsidRPr="0009223E" w:rsidRDefault="0081191F" w:rsidP="0081191F">
      <w:pPr>
        <w:pStyle w:val="CETReferencetext"/>
      </w:pPr>
      <w:proofErr w:type="spellStart"/>
      <w:r w:rsidRPr="0009223E">
        <w:t>Milliez</w:t>
      </w:r>
      <w:proofErr w:type="spellEnd"/>
      <w:r w:rsidRPr="0009223E">
        <w:t xml:space="preserve"> M., B. </w:t>
      </w:r>
      <w:proofErr w:type="spellStart"/>
      <w:r w:rsidRPr="0009223E">
        <w:t>Carissimo</w:t>
      </w:r>
      <w:proofErr w:type="spellEnd"/>
      <w:r w:rsidRPr="0009223E">
        <w:t xml:space="preserve"> (2008): Computational fluid dynamical modelling of concentration fluctuations in an idealized urban area – Boundary Layer Meteorology, 127, 241-259.</w:t>
      </w:r>
    </w:p>
    <w:p w14:paraId="496F7077" w14:textId="7901437F" w:rsidR="0081191F" w:rsidRPr="0009223E" w:rsidRDefault="0081191F" w:rsidP="0081191F">
      <w:pPr>
        <w:pStyle w:val="CETReferencetext"/>
      </w:pPr>
      <w:proofErr w:type="spellStart"/>
      <w:r w:rsidRPr="0009223E">
        <w:t>Oettl</w:t>
      </w:r>
      <w:proofErr w:type="spellEnd"/>
      <w:r w:rsidRPr="0009223E">
        <w:t xml:space="preserve"> D., Ferrero E., 2017, A simple model to assess odour hour for regulatory purposes - Atmospheric Environment, G155, 162-173.</w:t>
      </w:r>
    </w:p>
    <w:p w14:paraId="789C594F" w14:textId="2D48D085" w:rsidR="008325FD" w:rsidRPr="0009223E" w:rsidRDefault="008325FD" w:rsidP="008325FD">
      <w:pPr>
        <w:pStyle w:val="CETReferencetext"/>
      </w:pPr>
      <w:r w:rsidRPr="0009223E">
        <w:t>Thomson D., 1987, Criteria for the selection of stochastic models of particle trajectories in turbulent flows</w:t>
      </w:r>
      <w:r w:rsidR="0087590F">
        <w:t xml:space="preserve"> -</w:t>
      </w:r>
      <w:r w:rsidRPr="0009223E">
        <w:t xml:space="preserve"> J.</w:t>
      </w:r>
      <w:r w:rsidR="0081191F" w:rsidRPr="0009223E">
        <w:t xml:space="preserve"> </w:t>
      </w:r>
      <w:r w:rsidRPr="0009223E">
        <w:t>Fluid Mech</w:t>
      </w:r>
      <w:r w:rsidR="0081191F" w:rsidRPr="0009223E">
        <w:t>.,</w:t>
      </w:r>
      <w:r w:rsidRPr="0009223E">
        <w:t xml:space="preserve"> 180, 529–556.</w:t>
      </w:r>
    </w:p>
    <w:p w14:paraId="1E9CBCE0" w14:textId="58E9DE5B" w:rsidR="00425835" w:rsidRPr="0009223E" w:rsidRDefault="00425835" w:rsidP="00425835">
      <w:pPr>
        <w:widowControl w:val="0"/>
      </w:pPr>
      <w:r w:rsidRPr="0009223E">
        <w:t>Stull R., 1988, An introduction to Boundary Layer Meteorology - Kluwer Academic Publishers, Dordrecht</w:t>
      </w:r>
      <w:r w:rsidR="0087590F">
        <w:t>.</w:t>
      </w:r>
    </w:p>
    <w:p w14:paraId="19C4FC68" w14:textId="4DBA6965" w:rsidR="004628D2" w:rsidRPr="0009223E" w:rsidRDefault="00D87E28" w:rsidP="00D87E28">
      <w:pPr>
        <w:pStyle w:val="CETReferencetext"/>
      </w:pPr>
      <w:r w:rsidRPr="0009223E">
        <w:t xml:space="preserve">Tinarelli G., </w:t>
      </w:r>
      <w:proofErr w:type="spellStart"/>
      <w:r w:rsidRPr="0009223E">
        <w:t>Anfossi</w:t>
      </w:r>
      <w:proofErr w:type="spellEnd"/>
      <w:r w:rsidRPr="0009223E">
        <w:t xml:space="preserve"> D., Trini Castelli S., </w:t>
      </w:r>
      <w:proofErr w:type="spellStart"/>
      <w:r w:rsidRPr="0009223E">
        <w:t>Bider</w:t>
      </w:r>
      <w:proofErr w:type="spellEnd"/>
      <w:r w:rsidRPr="0009223E">
        <w:t xml:space="preserve"> M., Ferrero E., 2000, A new </w:t>
      </w:r>
      <w:proofErr w:type="gramStart"/>
      <w:r w:rsidRPr="0009223E">
        <w:t>high performance</w:t>
      </w:r>
      <w:proofErr w:type="gramEnd"/>
      <w:r w:rsidRPr="0009223E">
        <w:t xml:space="preserve"> version of the </w:t>
      </w:r>
      <w:proofErr w:type="spellStart"/>
      <w:r w:rsidRPr="0009223E">
        <w:t>Lagrangian</w:t>
      </w:r>
      <w:proofErr w:type="spellEnd"/>
      <w:r w:rsidRPr="0009223E">
        <w:t xml:space="preserve"> particle dispersion model SPRAY, some case studies, in Air pollution </w:t>
      </w:r>
      <w:proofErr w:type="spellStart"/>
      <w:r w:rsidRPr="0009223E">
        <w:t>modeling</w:t>
      </w:r>
      <w:proofErr w:type="spellEnd"/>
      <w:r w:rsidRPr="0009223E">
        <w:t xml:space="preserve"> and its application XIII, 499-507.</w:t>
      </w:r>
    </w:p>
    <w:sectPr w:rsidR="004628D2" w:rsidRPr="0009223E"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68972" w14:textId="77777777" w:rsidR="002A115B" w:rsidRDefault="002A115B" w:rsidP="004F5E36">
      <w:r>
        <w:separator/>
      </w:r>
    </w:p>
  </w:endnote>
  <w:endnote w:type="continuationSeparator" w:id="0">
    <w:p w14:paraId="7B29DDA1" w14:textId="77777777" w:rsidR="002A115B" w:rsidRDefault="002A115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3770A" w14:textId="77777777" w:rsidR="002A115B" w:rsidRDefault="002A115B" w:rsidP="004F5E36">
      <w:r>
        <w:separator/>
      </w:r>
    </w:p>
  </w:footnote>
  <w:footnote w:type="continuationSeparator" w:id="0">
    <w:p w14:paraId="2F767530" w14:textId="77777777" w:rsidR="002A115B" w:rsidRDefault="002A115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2B3B24F1"/>
    <w:multiLevelType w:val="hybridMultilevel"/>
    <w:tmpl w:val="C4D6CE3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4117133"/>
    <w:multiLevelType w:val="hybridMultilevel"/>
    <w:tmpl w:val="0F9C1F2A"/>
    <w:lvl w:ilvl="0" w:tplc="1A3A9B2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 w:numId="24">
    <w:abstractNumId w:val="22"/>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 w:name="FLIR_DOCUMENT_ID" w:val="08b6d287-54a4-4672-b1ca-22d246f6bfda"/>
  </w:docVars>
  <w:rsids>
    <w:rsidRoot w:val="000E414A"/>
    <w:rsid w:val="000027C0"/>
    <w:rsid w:val="000035AA"/>
    <w:rsid w:val="000052FB"/>
    <w:rsid w:val="000117CB"/>
    <w:rsid w:val="0003148D"/>
    <w:rsid w:val="00031EEC"/>
    <w:rsid w:val="000440B0"/>
    <w:rsid w:val="00044F28"/>
    <w:rsid w:val="00051566"/>
    <w:rsid w:val="00062A9A"/>
    <w:rsid w:val="00065058"/>
    <w:rsid w:val="00086C39"/>
    <w:rsid w:val="0009223E"/>
    <w:rsid w:val="0009391F"/>
    <w:rsid w:val="00093983"/>
    <w:rsid w:val="000A03B2"/>
    <w:rsid w:val="000D0268"/>
    <w:rsid w:val="000D34BE"/>
    <w:rsid w:val="000E102F"/>
    <w:rsid w:val="000E36F1"/>
    <w:rsid w:val="000E3A73"/>
    <w:rsid w:val="000E414A"/>
    <w:rsid w:val="000E7F21"/>
    <w:rsid w:val="000F093C"/>
    <w:rsid w:val="000F787B"/>
    <w:rsid w:val="00107318"/>
    <w:rsid w:val="0012091F"/>
    <w:rsid w:val="00123C91"/>
    <w:rsid w:val="001241B8"/>
    <w:rsid w:val="00126BC2"/>
    <w:rsid w:val="001308B6"/>
    <w:rsid w:val="0013121F"/>
    <w:rsid w:val="00131FE6"/>
    <w:rsid w:val="0013263F"/>
    <w:rsid w:val="001331DF"/>
    <w:rsid w:val="00134DE4"/>
    <w:rsid w:val="00135A35"/>
    <w:rsid w:val="0014034D"/>
    <w:rsid w:val="00144D16"/>
    <w:rsid w:val="00150E59"/>
    <w:rsid w:val="001529A3"/>
    <w:rsid w:val="00152DE3"/>
    <w:rsid w:val="00164CF9"/>
    <w:rsid w:val="001667A6"/>
    <w:rsid w:val="001734CB"/>
    <w:rsid w:val="00184AD6"/>
    <w:rsid w:val="001A17D8"/>
    <w:rsid w:val="001A4AF7"/>
    <w:rsid w:val="001B0349"/>
    <w:rsid w:val="001B1E93"/>
    <w:rsid w:val="001B29E8"/>
    <w:rsid w:val="001B55F9"/>
    <w:rsid w:val="001B65C1"/>
    <w:rsid w:val="001C01B5"/>
    <w:rsid w:val="001C684B"/>
    <w:rsid w:val="001D0CFB"/>
    <w:rsid w:val="001D21AF"/>
    <w:rsid w:val="001D53FC"/>
    <w:rsid w:val="001E106E"/>
    <w:rsid w:val="001E771E"/>
    <w:rsid w:val="001F1554"/>
    <w:rsid w:val="001F42A5"/>
    <w:rsid w:val="001F7B9D"/>
    <w:rsid w:val="00201C93"/>
    <w:rsid w:val="002224B4"/>
    <w:rsid w:val="0023558E"/>
    <w:rsid w:val="00236C52"/>
    <w:rsid w:val="002447EF"/>
    <w:rsid w:val="00250A65"/>
    <w:rsid w:val="00251550"/>
    <w:rsid w:val="00263B05"/>
    <w:rsid w:val="00266BFE"/>
    <w:rsid w:val="0027221A"/>
    <w:rsid w:val="00274B6B"/>
    <w:rsid w:val="00275B61"/>
    <w:rsid w:val="00277B5B"/>
    <w:rsid w:val="00280FAF"/>
    <w:rsid w:val="00282456"/>
    <w:rsid w:val="00282656"/>
    <w:rsid w:val="00283A00"/>
    <w:rsid w:val="00290371"/>
    <w:rsid w:val="00296B83"/>
    <w:rsid w:val="002A0D80"/>
    <w:rsid w:val="002A115B"/>
    <w:rsid w:val="002A25B5"/>
    <w:rsid w:val="002B4015"/>
    <w:rsid w:val="002B78CE"/>
    <w:rsid w:val="002C2FB6"/>
    <w:rsid w:val="002D097F"/>
    <w:rsid w:val="002E5FA7"/>
    <w:rsid w:val="002F30F7"/>
    <w:rsid w:val="002F3309"/>
    <w:rsid w:val="003008CE"/>
    <w:rsid w:val="003009B7"/>
    <w:rsid w:val="00300E56"/>
    <w:rsid w:val="0030469C"/>
    <w:rsid w:val="0030513D"/>
    <w:rsid w:val="00321CA6"/>
    <w:rsid w:val="00323763"/>
    <w:rsid w:val="00323C5F"/>
    <w:rsid w:val="0032453C"/>
    <w:rsid w:val="00334C09"/>
    <w:rsid w:val="003723D4"/>
    <w:rsid w:val="00373639"/>
    <w:rsid w:val="00381360"/>
    <w:rsid w:val="00381905"/>
    <w:rsid w:val="00384CC8"/>
    <w:rsid w:val="00385C92"/>
    <w:rsid w:val="003871FD"/>
    <w:rsid w:val="003A1E30"/>
    <w:rsid w:val="003A2829"/>
    <w:rsid w:val="003A7D1C"/>
    <w:rsid w:val="003B304B"/>
    <w:rsid w:val="003B3146"/>
    <w:rsid w:val="003E6805"/>
    <w:rsid w:val="003F015E"/>
    <w:rsid w:val="003F0F9D"/>
    <w:rsid w:val="003F6E72"/>
    <w:rsid w:val="00400414"/>
    <w:rsid w:val="00400D21"/>
    <w:rsid w:val="00401525"/>
    <w:rsid w:val="0041446B"/>
    <w:rsid w:val="00425835"/>
    <w:rsid w:val="00431FC7"/>
    <w:rsid w:val="00433BFC"/>
    <w:rsid w:val="0044071E"/>
    <w:rsid w:val="0044329C"/>
    <w:rsid w:val="00453E24"/>
    <w:rsid w:val="00456A55"/>
    <w:rsid w:val="00457456"/>
    <w:rsid w:val="004577FE"/>
    <w:rsid w:val="0045796E"/>
    <w:rsid w:val="00457B9C"/>
    <w:rsid w:val="0046164A"/>
    <w:rsid w:val="004628D2"/>
    <w:rsid w:val="00462DCD"/>
    <w:rsid w:val="004648AD"/>
    <w:rsid w:val="004703A9"/>
    <w:rsid w:val="004760DE"/>
    <w:rsid w:val="004763D7"/>
    <w:rsid w:val="0049776D"/>
    <w:rsid w:val="004A004E"/>
    <w:rsid w:val="004A24CF"/>
    <w:rsid w:val="004C3D1D"/>
    <w:rsid w:val="004C3D84"/>
    <w:rsid w:val="004C7913"/>
    <w:rsid w:val="004D5926"/>
    <w:rsid w:val="004E4DD6"/>
    <w:rsid w:val="004F5E36"/>
    <w:rsid w:val="00503B63"/>
    <w:rsid w:val="00507B47"/>
    <w:rsid w:val="00507BEF"/>
    <w:rsid w:val="00507CC9"/>
    <w:rsid w:val="005119A5"/>
    <w:rsid w:val="005278B7"/>
    <w:rsid w:val="00532016"/>
    <w:rsid w:val="005346C8"/>
    <w:rsid w:val="0054359A"/>
    <w:rsid w:val="00543E7D"/>
    <w:rsid w:val="00547A68"/>
    <w:rsid w:val="005531C9"/>
    <w:rsid w:val="005650F7"/>
    <w:rsid w:val="005673E0"/>
    <w:rsid w:val="00570C43"/>
    <w:rsid w:val="00580F83"/>
    <w:rsid w:val="005862BA"/>
    <w:rsid w:val="005A1A3D"/>
    <w:rsid w:val="005B2110"/>
    <w:rsid w:val="005B61E6"/>
    <w:rsid w:val="005C77E1"/>
    <w:rsid w:val="005D668A"/>
    <w:rsid w:val="005D6A2F"/>
    <w:rsid w:val="005E1998"/>
    <w:rsid w:val="005E1A82"/>
    <w:rsid w:val="005E794C"/>
    <w:rsid w:val="005F0A28"/>
    <w:rsid w:val="005F0E5E"/>
    <w:rsid w:val="00600535"/>
    <w:rsid w:val="00610CD6"/>
    <w:rsid w:val="006154AD"/>
    <w:rsid w:val="00620DEE"/>
    <w:rsid w:val="00621F92"/>
    <w:rsid w:val="0062280A"/>
    <w:rsid w:val="00625639"/>
    <w:rsid w:val="00626A31"/>
    <w:rsid w:val="00631B33"/>
    <w:rsid w:val="0063294D"/>
    <w:rsid w:val="0064184D"/>
    <w:rsid w:val="006422CC"/>
    <w:rsid w:val="00651934"/>
    <w:rsid w:val="00651FE6"/>
    <w:rsid w:val="00660E3E"/>
    <w:rsid w:val="00662E74"/>
    <w:rsid w:val="0067346C"/>
    <w:rsid w:val="00680C23"/>
    <w:rsid w:val="00693766"/>
    <w:rsid w:val="00694061"/>
    <w:rsid w:val="006A3281"/>
    <w:rsid w:val="006B4888"/>
    <w:rsid w:val="006C2E45"/>
    <w:rsid w:val="006C359C"/>
    <w:rsid w:val="006C5579"/>
    <w:rsid w:val="006D1D57"/>
    <w:rsid w:val="006D6E8B"/>
    <w:rsid w:val="006E737D"/>
    <w:rsid w:val="00713973"/>
    <w:rsid w:val="00720A24"/>
    <w:rsid w:val="00723132"/>
    <w:rsid w:val="00732386"/>
    <w:rsid w:val="0073514D"/>
    <w:rsid w:val="007447F3"/>
    <w:rsid w:val="0075499F"/>
    <w:rsid w:val="007661C8"/>
    <w:rsid w:val="0077098D"/>
    <w:rsid w:val="00780C3C"/>
    <w:rsid w:val="00781504"/>
    <w:rsid w:val="007931FA"/>
    <w:rsid w:val="007A3CA0"/>
    <w:rsid w:val="007A4861"/>
    <w:rsid w:val="007A7BBA"/>
    <w:rsid w:val="007B0C50"/>
    <w:rsid w:val="007B24E0"/>
    <w:rsid w:val="007B2BD3"/>
    <w:rsid w:val="007B48F9"/>
    <w:rsid w:val="007C1A43"/>
    <w:rsid w:val="007D53C2"/>
    <w:rsid w:val="007F0589"/>
    <w:rsid w:val="007F4E24"/>
    <w:rsid w:val="0080013E"/>
    <w:rsid w:val="0080737E"/>
    <w:rsid w:val="00810D95"/>
    <w:rsid w:val="0081191F"/>
    <w:rsid w:val="00813288"/>
    <w:rsid w:val="008168FC"/>
    <w:rsid w:val="008271B5"/>
    <w:rsid w:val="00830996"/>
    <w:rsid w:val="008325FD"/>
    <w:rsid w:val="0083354C"/>
    <w:rsid w:val="008345F1"/>
    <w:rsid w:val="00840C33"/>
    <w:rsid w:val="008438DA"/>
    <w:rsid w:val="00845CB2"/>
    <w:rsid w:val="00850305"/>
    <w:rsid w:val="008641A5"/>
    <w:rsid w:val="00865B07"/>
    <w:rsid w:val="008667EA"/>
    <w:rsid w:val="008703B9"/>
    <w:rsid w:val="0087150E"/>
    <w:rsid w:val="0087590F"/>
    <w:rsid w:val="0087637F"/>
    <w:rsid w:val="00892AD5"/>
    <w:rsid w:val="008A0804"/>
    <w:rsid w:val="008A1512"/>
    <w:rsid w:val="008D32B9"/>
    <w:rsid w:val="008D433B"/>
    <w:rsid w:val="008D4A16"/>
    <w:rsid w:val="008E566E"/>
    <w:rsid w:val="0090161A"/>
    <w:rsid w:val="00901EB6"/>
    <w:rsid w:val="00904C62"/>
    <w:rsid w:val="009067C0"/>
    <w:rsid w:val="00906F40"/>
    <w:rsid w:val="009122AF"/>
    <w:rsid w:val="00922BA8"/>
    <w:rsid w:val="00924DAC"/>
    <w:rsid w:val="00925FAB"/>
    <w:rsid w:val="00927058"/>
    <w:rsid w:val="00942750"/>
    <w:rsid w:val="009450CE"/>
    <w:rsid w:val="00947179"/>
    <w:rsid w:val="0095164B"/>
    <w:rsid w:val="00954090"/>
    <w:rsid w:val="009573E7"/>
    <w:rsid w:val="00963E05"/>
    <w:rsid w:val="00964A45"/>
    <w:rsid w:val="00967843"/>
    <w:rsid w:val="00967D54"/>
    <w:rsid w:val="00971028"/>
    <w:rsid w:val="00976B91"/>
    <w:rsid w:val="00986B69"/>
    <w:rsid w:val="00993B84"/>
    <w:rsid w:val="00993DCC"/>
    <w:rsid w:val="00996483"/>
    <w:rsid w:val="00996F5A"/>
    <w:rsid w:val="009A4EB2"/>
    <w:rsid w:val="009B041A"/>
    <w:rsid w:val="009C37C3"/>
    <w:rsid w:val="009C7C86"/>
    <w:rsid w:val="009D2FF7"/>
    <w:rsid w:val="009E7884"/>
    <w:rsid w:val="009E788A"/>
    <w:rsid w:val="009F0E08"/>
    <w:rsid w:val="009F764C"/>
    <w:rsid w:val="00A1763D"/>
    <w:rsid w:val="00A17CEC"/>
    <w:rsid w:val="00A27EF0"/>
    <w:rsid w:val="00A42361"/>
    <w:rsid w:val="00A50B20"/>
    <w:rsid w:val="00A51390"/>
    <w:rsid w:val="00A60D13"/>
    <w:rsid w:val="00A702F8"/>
    <w:rsid w:val="00A7223D"/>
    <w:rsid w:val="00A72745"/>
    <w:rsid w:val="00A76EFC"/>
    <w:rsid w:val="00A8238C"/>
    <w:rsid w:val="00A91010"/>
    <w:rsid w:val="00A94C18"/>
    <w:rsid w:val="00A97F29"/>
    <w:rsid w:val="00AA09CD"/>
    <w:rsid w:val="00AA702E"/>
    <w:rsid w:val="00AB0964"/>
    <w:rsid w:val="00AB5011"/>
    <w:rsid w:val="00AC7368"/>
    <w:rsid w:val="00AD16B9"/>
    <w:rsid w:val="00AE219E"/>
    <w:rsid w:val="00AE377D"/>
    <w:rsid w:val="00AF0EBA"/>
    <w:rsid w:val="00B02C8A"/>
    <w:rsid w:val="00B17FBD"/>
    <w:rsid w:val="00B21DC2"/>
    <w:rsid w:val="00B26153"/>
    <w:rsid w:val="00B315A6"/>
    <w:rsid w:val="00B31813"/>
    <w:rsid w:val="00B33365"/>
    <w:rsid w:val="00B35505"/>
    <w:rsid w:val="00B37A64"/>
    <w:rsid w:val="00B45E17"/>
    <w:rsid w:val="00B57B36"/>
    <w:rsid w:val="00B57E6F"/>
    <w:rsid w:val="00B74FF8"/>
    <w:rsid w:val="00B77D31"/>
    <w:rsid w:val="00B8436E"/>
    <w:rsid w:val="00B8686D"/>
    <w:rsid w:val="00B93F69"/>
    <w:rsid w:val="00BB1DDC"/>
    <w:rsid w:val="00BB6E62"/>
    <w:rsid w:val="00BC30C9"/>
    <w:rsid w:val="00BD077D"/>
    <w:rsid w:val="00BE3E58"/>
    <w:rsid w:val="00BF0A86"/>
    <w:rsid w:val="00C01616"/>
    <w:rsid w:val="00C0162B"/>
    <w:rsid w:val="00C068ED"/>
    <w:rsid w:val="00C22E0C"/>
    <w:rsid w:val="00C345B1"/>
    <w:rsid w:val="00C34DE2"/>
    <w:rsid w:val="00C40142"/>
    <w:rsid w:val="00C52C3C"/>
    <w:rsid w:val="00C57182"/>
    <w:rsid w:val="00C57863"/>
    <w:rsid w:val="00C6026B"/>
    <w:rsid w:val="00C635C5"/>
    <w:rsid w:val="00C640AF"/>
    <w:rsid w:val="00C655FD"/>
    <w:rsid w:val="00C75407"/>
    <w:rsid w:val="00C870A8"/>
    <w:rsid w:val="00C90505"/>
    <w:rsid w:val="00C94434"/>
    <w:rsid w:val="00CA0D75"/>
    <w:rsid w:val="00CA1C95"/>
    <w:rsid w:val="00CA3F84"/>
    <w:rsid w:val="00CA5A9C"/>
    <w:rsid w:val="00CC4C20"/>
    <w:rsid w:val="00CD3517"/>
    <w:rsid w:val="00CD5FE2"/>
    <w:rsid w:val="00CE7C68"/>
    <w:rsid w:val="00CF53AC"/>
    <w:rsid w:val="00D02B4C"/>
    <w:rsid w:val="00D03BA4"/>
    <w:rsid w:val="00D040C4"/>
    <w:rsid w:val="00D10026"/>
    <w:rsid w:val="00D12AF0"/>
    <w:rsid w:val="00D20AD1"/>
    <w:rsid w:val="00D31008"/>
    <w:rsid w:val="00D32833"/>
    <w:rsid w:val="00D34FFE"/>
    <w:rsid w:val="00D35619"/>
    <w:rsid w:val="00D46B7E"/>
    <w:rsid w:val="00D57C84"/>
    <w:rsid w:val="00D6057D"/>
    <w:rsid w:val="00D62460"/>
    <w:rsid w:val="00D66E3F"/>
    <w:rsid w:val="00D71640"/>
    <w:rsid w:val="00D836C5"/>
    <w:rsid w:val="00D84576"/>
    <w:rsid w:val="00D87E28"/>
    <w:rsid w:val="00D904D4"/>
    <w:rsid w:val="00DA1399"/>
    <w:rsid w:val="00DA24C6"/>
    <w:rsid w:val="00DA4D7B"/>
    <w:rsid w:val="00DC00B1"/>
    <w:rsid w:val="00DD271C"/>
    <w:rsid w:val="00DE264A"/>
    <w:rsid w:val="00DF5072"/>
    <w:rsid w:val="00E02D18"/>
    <w:rsid w:val="00E03D2D"/>
    <w:rsid w:val="00E041E7"/>
    <w:rsid w:val="00E23CA1"/>
    <w:rsid w:val="00E317FC"/>
    <w:rsid w:val="00E34438"/>
    <w:rsid w:val="00E409A8"/>
    <w:rsid w:val="00E50C12"/>
    <w:rsid w:val="00E658B3"/>
    <w:rsid w:val="00E65B91"/>
    <w:rsid w:val="00E7209D"/>
    <w:rsid w:val="00E72EAD"/>
    <w:rsid w:val="00E77223"/>
    <w:rsid w:val="00E83DA5"/>
    <w:rsid w:val="00E8528B"/>
    <w:rsid w:val="00E85B94"/>
    <w:rsid w:val="00E87D12"/>
    <w:rsid w:val="00E978D0"/>
    <w:rsid w:val="00EA4613"/>
    <w:rsid w:val="00EA7562"/>
    <w:rsid w:val="00EA7F91"/>
    <w:rsid w:val="00EB1523"/>
    <w:rsid w:val="00EC0E49"/>
    <w:rsid w:val="00EC101F"/>
    <w:rsid w:val="00EC1D9F"/>
    <w:rsid w:val="00EC655E"/>
    <w:rsid w:val="00EE0131"/>
    <w:rsid w:val="00EE17B0"/>
    <w:rsid w:val="00EE74CE"/>
    <w:rsid w:val="00EF06D9"/>
    <w:rsid w:val="00F02C88"/>
    <w:rsid w:val="00F162FA"/>
    <w:rsid w:val="00F30C64"/>
    <w:rsid w:val="00F32BA2"/>
    <w:rsid w:val="00F32CDB"/>
    <w:rsid w:val="00F41552"/>
    <w:rsid w:val="00F55682"/>
    <w:rsid w:val="00F565FE"/>
    <w:rsid w:val="00F63A70"/>
    <w:rsid w:val="00F63D8C"/>
    <w:rsid w:val="00F72419"/>
    <w:rsid w:val="00F7534E"/>
    <w:rsid w:val="00F936E9"/>
    <w:rsid w:val="00F9469E"/>
    <w:rsid w:val="00FA1802"/>
    <w:rsid w:val="00FA21D0"/>
    <w:rsid w:val="00FA5F5F"/>
    <w:rsid w:val="00FA6B56"/>
    <w:rsid w:val="00FB730C"/>
    <w:rsid w:val="00FC2695"/>
    <w:rsid w:val="00FC3E03"/>
    <w:rsid w:val="00FC3FC1"/>
    <w:rsid w:val="00FD5BB9"/>
    <w:rsid w:val="00FF0FEC"/>
    <w:rsid w:val="00FF6D2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styleId="Testosegnaposto">
    <w:name w:val="Placeholder Text"/>
    <w:basedOn w:val="Carpredefinitoparagrafo"/>
    <w:uiPriority w:val="99"/>
    <w:semiHidden/>
    <w:rsid w:val="00135A35"/>
    <w:rPr>
      <w:color w:val="808080"/>
    </w:rPr>
  </w:style>
  <w:style w:type="character" w:customStyle="1" w:styleId="viiyi">
    <w:name w:val="viiyi"/>
    <w:basedOn w:val="Carpredefinitoparagrafo"/>
    <w:rsid w:val="00986B69"/>
  </w:style>
  <w:style w:type="character" w:customStyle="1" w:styleId="jlqj4b">
    <w:name w:val="jlqj4b"/>
    <w:basedOn w:val="Carpredefinitoparagrafo"/>
    <w:rsid w:val="00986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0F045-CDF9-4E66-A812-FA4B56F9E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3515</Words>
  <Characters>20040</Characters>
  <Application>Microsoft Office Word</Application>
  <DocSecurity>0</DocSecurity>
  <Lines>167</Lines>
  <Paragraphs>47</Paragraphs>
  <ScaleCrop>false</ScaleCrop>
  <HeadingPairs>
    <vt:vector size="4" baseType="variant">
      <vt:variant>
        <vt:lpstr>Titolo</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2022-07-12T12:49:00Z</dcterms:created>
  <dcterms:modified xsi:type="dcterms:W3CDTF">2022-07-13T14:10:00Z</dcterms:modified>
</cp:coreProperties>
</file>