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E54FEA"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E54FEA" w:rsidRDefault="000A03B2" w:rsidP="00DE264A">
            <w:pPr>
              <w:tabs>
                <w:tab w:val="left" w:pos="-108"/>
              </w:tabs>
              <w:ind w:left="-108"/>
              <w:jc w:val="left"/>
              <w:rPr>
                <w:rFonts w:cs="Arial"/>
                <w:b/>
                <w:bCs/>
                <w:i/>
                <w:iCs/>
                <w:color w:val="000066"/>
                <w:sz w:val="12"/>
                <w:szCs w:val="12"/>
                <w:lang w:eastAsia="it-IT"/>
              </w:rPr>
            </w:pPr>
            <w:r w:rsidRPr="00E54FEA">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E54FEA">
              <w:rPr>
                <w:rFonts w:ascii="AdvP6960" w:hAnsi="AdvP6960" w:cs="AdvP6960"/>
                <w:color w:val="241F20"/>
                <w:szCs w:val="18"/>
                <w:lang w:eastAsia="it-IT"/>
              </w:rPr>
              <w:t xml:space="preserve"> </w:t>
            </w:r>
            <w:r w:rsidRPr="00E54FEA">
              <w:rPr>
                <w:rFonts w:cs="Arial"/>
                <w:b/>
                <w:bCs/>
                <w:i/>
                <w:iCs/>
                <w:color w:val="000066"/>
                <w:sz w:val="24"/>
                <w:szCs w:val="24"/>
                <w:lang w:eastAsia="it-IT"/>
              </w:rPr>
              <w:t>CHEMICAL ENGINEERING</w:t>
            </w:r>
            <w:r w:rsidRPr="00E54FEA">
              <w:rPr>
                <w:rFonts w:cs="Arial"/>
                <w:b/>
                <w:bCs/>
                <w:i/>
                <w:iCs/>
                <w:color w:val="0033FF"/>
                <w:sz w:val="24"/>
                <w:szCs w:val="24"/>
                <w:lang w:eastAsia="it-IT"/>
              </w:rPr>
              <w:t xml:space="preserve"> </w:t>
            </w:r>
            <w:r w:rsidRPr="00E54FEA">
              <w:rPr>
                <w:rFonts w:cs="Arial"/>
                <w:b/>
                <w:bCs/>
                <w:i/>
                <w:iCs/>
                <w:color w:val="666666"/>
                <w:sz w:val="24"/>
                <w:szCs w:val="24"/>
                <w:lang w:eastAsia="it-IT"/>
              </w:rPr>
              <w:t>TRANSACTIONS</w:t>
            </w:r>
            <w:r w:rsidRPr="00E54FEA">
              <w:rPr>
                <w:color w:val="333333"/>
                <w:sz w:val="24"/>
                <w:szCs w:val="24"/>
                <w:lang w:eastAsia="it-IT"/>
              </w:rPr>
              <w:t xml:space="preserve"> </w:t>
            </w:r>
            <w:r w:rsidRPr="00E54FEA">
              <w:rPr>
                <w:rFonts w:cs="Arial"/>
                <w:b/>
                <w:bCs/>
                <w:i/>
                <w:iCs/>
                <w:color w:val="000066"/>
                <w:sz w:val="27"/>
                <w:szCs w:val="27"/>
                <w:lang w:eastAsia="it-IT"/>
              </w:rPr>
              <w:br/>
            </w:r>
          </w:p>
          <w:p w14:paraId="4B780582" w14:textId="1EEF6F50" w:rsidR="000A03B2" w:rsidRPr="00E54FEA" w:rsidRDefault="00A76EFC" w:rsidP="004C3D1D">
            <w:pPr>
              <w:tabs>
                <w:tab w:val="left" w:pos="-108"/>
              </w:tabs>
              <w:ind w:left="-108"/>
              <w:rPr>
                <w:rFonts w:cs="Arial"/>
                <w:b/>
                <w:bCs/>
                <w:i/>
                <w:iCs/>
                <w:color w:val="000066"/>
                <w:sz w:val="22"/>
                <w:szCs w:val="22"/>
                <w:lang w:eastAsia="it-IT"/>
              </w:rPr>
            </w:pPr>
            <w:r w:rsidRPr="00E54FEA">
              <w:rPr>
                <w:rFonts w:cs="Arial"/>
                <w:b/>
                <w:bCs/>
                <w:i/>
                <w:iCs/>
                <w:color w:val="000066"/>
                <w:sz w:val="22"/>
                <w:szCs w:val="22"/>
                <w:lang w:eastAsia="it-IT"/>
              </w:rPr>
              <w:t xml:space="preserve">VOL. </w:t>
            </w:r>
          </w:p>
        </w:tc>
        <w:tc>
          <w:tcPr>
            <w:tcW w:w="1843" w:type="dxa"/>
            <w:tcBorders>
              <w:left w:val="single" w:sz="4" w:space="0" w:color="auto"/>
              <w:bottom w:val="nil"/>
              <w:right w:val="single" w:sz="4" w:space="0" w:color="auto"/>
            </w:tcBorders>
          </w:tcPr>
          <w:p w14:paraId="56782132" w14:textId="77777777" w:rsidR="000A03B2" w:rsidRPr="00E54FEA" w:rsidRDefault="000A03B2" w:rsidP="00CD5FE2">
            <w:pPr>
              <w:spacing w:line="140" w:lineRule="atLeast"/>
              <w:jc w:val="right"/>
              <w:rPr>
                <w:rFonts w:cs="Arial"/>
                <w:sz w:val="14"/>
                <w:szCs w:val="14"/>
              </w:rPr>
            </w:pPr>
            <w:r w:rsidRPr="00E54FEA">
              <w:rPr>
                <w:rFonts w:cs="Arial"/>
                <w:sz w:val="14"/>
                <w:szCs w:val="14"/>
              </w:rPr>
              <w:t>A publication of</w:t>
            </w:r>
          </w:p>
          <w:p w14:paraId="599E5441" w14:textId="77777777" w:rsidR="000A03B2" w:rsidRPr="00E54FEA" w:rsidRDefault="000A03B2" w:rsidP="00CD5FE2">
            <w:pPr>
              <w:jc w:val="right"/>
            </w:pPr>
            <w:r w:rsidRPr="00E54FEA">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E54FEA" w14:paraId="380FA3CD" w14:textId="77777777" w:rsidTr="00DE264A">
        <w:trPr>
          <w:trHeight w:val="567"/>
          <w:jc w:val="center"/>
        </w:trPr>
        <w:tc>
          <w:tcPr>
            <w:tcW w:w="6946" w:type="dxa"/>
            <w:vMerge/>
            <w:tcBorders>
              <w:right w:val="single" w:sz="4" w:space="0" w:color="auto"/>
            </w:tcBorders>
          </w:tcPr>
          <w:p w14:paraId="39E5E4C1" w14:textId="77777777" w:rsidR="000A03B2" w:rsidRPr="00E54FEA"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E54FEA" w:rsidRDefault="000A03B2" w:rsidP="00CD5FE2">
            <w:pPr>
              <w:spacing w:line="140" w:lineRule="atLeast"/>
              <w:jc w:val="right"/>
              <w:rPr>
                <w:rFonts w:cs="Arial"/>
                <w:sz w:val="14"/>
                <w:szCs w:val="14"/>
              </w:rPr>
            </w:pPr>
            <w:r w:rsidRPr="00E54FEA">
              <w:rPr>
                <w:rFonts w:cs="Arial"/>
                <w:sz w:val="14"/>
                <w:szCs w:val="14"/>
              </w:rPr>
              <w:t>The Italian Association</w:t>
            </w:r>
          </w:p>
          <w:p w14:paraId="7522B1D2" w14:textId="77777777" w:rsidR="000A03B2" w:rsidRPr="00E54FEA" w:rsidRDefault="000A03B2" w:rsidP="00CD5FE2">
            <w:pPr>
              <w:spacing w:line="140" w:lineRule="atLeast"/>
              <w:jc w:val="right"/>
              <w:rPr>
                <w:rFonts w:cs="Arial"/>
                <w:sz w:val="14"/>
                <w:szCs w:val="14"/>
              </w:rPr>
            </w:pPr>
            <w:r w:rsidRPr="00E54FEA">
              <w:rPr>
                <w:rFonts w:cs="Arial"/>
                <w:sz w:val="14"/>
                <w:szCs w:val="14"/>
              </w:rPr>
              <w:t>of Chemical Engineering</w:t>
            </w:r>
          </w:p>
          <w:p w14:paraId="4F0CC5DE" w14:textId="35204533" w:rsidR="000A03B2" w:rsidRPr="00E54FEA" w:rsidRDefault="005A3E9C" w:rsidP="00CD5FE2">
            <w:pPr>
              <w:spacing w:line="140" w:lineRule="atLeast"/>
              <w:jc w:val="right"/>
              <w:rPr>
                <w:rFonts w:cs="Arial"/>
                <w:sz w:val="14"/>
                <w:szCs w:val="14"/>
              </w:rPr>
            </w:pPr>
            <w:r w:rsidRPr="00E54FEA">
              <w:rPr>
                <w:rFonts w:cs="Arial"/>
                <w:sz w:val="13"/>
                <w:szCs w:val="13"/>
              </w:rPr>
              <w:t>Online at www.cetjournal.it</w:t>
            </w:r>
          </w:p>
        </w:tc>
      </w:tr>
      <w:tr w:rsidR="000A03B2" w:rsidRPr="00E54FEA" w14:paraId="2D1B7169" w14:textId="77777777" w:rsidTr="00DE264A">
        <w:trPr>
          <w:trHeight w:val="68"/>
          <w:jc w:val="center"/>
        </w:trPr>
        <w:tc>
          <w:tcPr>
            <w:tcW w:w="8789" w:type="dxa"/>
            <w:gridSpan w:val="2"/>
          </w:tcPr>
          <w:p w14:paraId="4B0BB442" w14:textId="7D24D70F" w:rsidR="00300E56" w:rsidRPr="00E54FEA" w:rsidRDefault="00300E56" w:rsidP="00EC0E49">
            <w:pPr>
              <w:tabs>
                <w:tab w:val="left" w:pos="-108"/>
              </w:tabs>
              <w:spacing w:line="140" w:lineRule="atLeast"/>
              <w:ind w:left="-108"/>
              <w:jc w:val="left"/>
              <w:rPr>
                <w:rFonts w:ascii="Tahoma" w:hAnsi="Tahoma" w:cs="Tahoma"/>
                <w:iCs/>
                <w:color w:val="333333"/>
                <w:sz w:val="14"/>
                <w:szCs w:val="14"/>
                <w:lang w:eastAsia="it-IT"/>
              </w:rPr>
            </w:pPr>
            <w:r w:rsidRPr="00E54FEA">
              <w:rPr>
                <w:rFonts w:ascii="Tahoma" w:hAnsi="Tahoma" w:cs="Tahoma"/>
                <w:iCs/>
                <w:color w:val="333333"/>
                <w:sz w:val="14"/>
                <w:szCs w:val="14"/>
                <w:lang w:eastAsia="it-IT"/>
              </w:rPr>
              <w:t>Guest Editors:</w:t>
            </w:r>
            <w:r w:rsidR="00904C62" w:rsidRPr="00E54FEA">
              <w:rPr>
                <w:rFonts w:ascii="Tahoma" w:hAnsi="Tahoma" w:cs="Tahoma"/>
                <w:iCs/>
                <w:color w:val="333333"/>
                <w:sz w:val="14"/>
                <w:szCs w:val="14"/>
                <w:lang w:eastAsia="it-IT"/>
              </w:rPr>
              <w:t xml:space="preserve"> </w:t>
            </w:r>
          </w:p>
          <w:p w14:paraId="1B0F1814" w14:textId="6CE52C7C" w:rsidR="000A03B2" w:rsidRPr="00E54FEA" w:rsidRDefault="0014464F" w:rsidP="00180860">
            <w:pPr>
              <w:tabs>
                <w:tab w:val="left" w:pos="-108"/>
              </w:tabs>
              <w:spacing w:line="140" w:lineRule="atLeast"/>
              <w:ind w:left="-108"/>
              <w:jc w:val="left"/>
            </w:pPr>
            <w:r w:rsidRPr="00E54FEA">
              <w:rPr>
                <w:rFonts w:ascii="Tahoma" w:hAnsi="Tahoma" w:cs="Tahoma"/>
                <w:iCs/>
                <w:color w:val="333333"/>
                <w:sz w:val="14"/>
                <w:szCs w:val="14"/>
                <w:lang w:eastAsia="it-IT"/>
              </w:rPr>
              <w:t xml:space="preserve">Copyright </w:t>
            </w:r>
            <w:proofErr w:type="gramStart"/>
            <w:r w:rsidRPr="00E54FEA">
              <w:rPr>
                <w:rFonts w:ascii="Tahoma" w:hAnsi="Tahoma" w:cs="Tahoma"/>
                <w:iCs/>
                <w:color w:val="333333"/>
                <w:sz w:val="14"/>
                <w:szCs w:val="14"/>
                <w:lang w:eastAsia="it-IT"/>
              </w:rPr>
              <w:t xml:space="preserve">© </w:t>
            </w:r>
            <w:r w:rsidR="00904C62" w:rsidRPr="00E54FEA">
              <w:rPr>
                <w:rFonts w:ascii="Tahoma" w:hAnsi="Tahoma" w:cs="Tahoma"/>
                <w:iCs/>
                <w:color w:val="333333"/>
                <w:sz w:val="14"/>
                <w:szCs w:val="14"/>
                <w:lang w:eastAsia="it-IT"/>
              </w:rPr>
              <w:t xml:space="preserve"> AIDIC</w:t>
            </w:r>
            <w:proofErr w:type="gramEnd"/>
            <w:r w:rsidR="00904C62" w:rsidRPr="00E54FEA">
              <w:rPr>
                <w:rFonts w:ascii="Tahoma" w:hAnsi="Tahoma" w:cs="Tahoma"/>
                <w:iCs/>
                <w:color w:val="333333"/>
                <w:sz w:val="14"/>
                <w:szCs w:val="14"/>
                <w:lang w:eastAsia="it-IT"/>
              </w:rPr>
              <w:t xml:space="preserve"> Servizi </w:t>
            </w:r>
            <w:proofErr w:type="spellStart"/>
            <w:r w:rsidR="00904C62" w:rsidRPr="00E54FEA">
              <w:rPr>
                <w:rFonts w:ascii="Tahoma" w:hAnsi="Tahoma" w:cs="Tahoma"/>
                <w:iCs/>
                <w:color w:val="333333"/>
                <w:sz w:val="14"/>
                <w:szCs w:val="14"/>
                <w:lang w:eastAsia="it-IT"/>
              </w:rPr>
              <w:t>S.r.l</w:t>
            </w:r>
            <w:proofErr w:type="spellEnd"/>
            <w:r w:rsidR="00904C62" w:rsidRPr="00E54FEA">
              <w:rPr>
                <w:rFonts w:ascii="Tahoma" w:hAnsi="Tahoma" w:cs="Tahoma"/>
                <w:iCs/>
                <w:color w:val="333333"/>
                <w:sz w:val="14"/>
                <w:szCs w:val="14"/>
                <w:lang w:eastAsia="it-IT"/>
              </w:rPr>
              <w:t>.</w:t>
            </w:r>
            <w:r w:rsidR="00300E56" w:rsidRPr="00E54FEA">
              <w:rPr>
                <w:rFonts w:ascii="Tahoma" w:hAnsi="Tahoma" w:cs="Tahoma"/>
                <w:iCs/>
                <w:color w:val="333333"/>
                <w:sz w:val="14"/>
                <w:szCs w:val="14"/>
                <w:lang w:eastAsia="it-IT"/>
              </w:rPr>
              <w:br/>
            </w:r>
            <w:r w:rsidR="00180860" w:rsidRPr="00E54FEA">
              <w:rPr>
                <w:rFonts w:ascii="Tahoma" w:hAnsi="Tahoma" w:cs="Tahoma"/>
                <w:b/>
                <w:iCs/>
                <w:color w:val="333333"/>
                <w:sz w:val="14"/>
                <w:szCs w:val="14"/>
                <w:lang w:eastAsia="it-IT"/>
              </w:rPr>
              <w:t xml:space="preserve">ISBN </w:t>
            </w:r>
            <w:r w:rsidR="00180860" w:rsidRPr="00E54FEA">
              <w:rPr>
                <w:rFonts w:ascii="Tahoma" w:hAnsi="Tahoma" w:cs="Tahoma"/>
                <w:sz w:val="14"/>
                <w:szCs w:val="14"/>
              </w:rPr>
              <w:t xml:space="preserve">978-88-95608-xx-x </w:t>
            </w:r>
            <w:r w:rsidR="00300E56" w:rsidRPr="00E54FEA">
              <w:rPr>
                <w:rFonts w:ascii="Tahoma" w:hAnsi="Tahoma" w:cs="Tahoma"/>
                <w:b/>
                <w:iCs/>
                <w:color w:val="333333"/>
                <w:sz w:val="14"/>
                <w:szCs w:val="14"/>
                <w:lang w:eastAsia="it-IT"/>
              </w:rPr>
              <w:t>ISSN</w:t>
            </w:r>
            <w:r w:rsidR="00300E56" w:rsidRPr="00E54FEA">
              <w:rPr>
                <w:rFonts w:ascii="Tahoma" w:hAnsi="Tahoma" w:cs="Tahoma"/>
                <w:iCs/>
                <w:color w:val="333333"/>
                <w:sz w:val="14"/>
                <w:szCs w:val="14"/>
                <w:lang w:eastAsia="it-IT"/>
              </w:rPr>
              <w:t xml:space="preserve"> 2283-9216</w:t>
            </w:r>
          </w:p>
        </w:tc>
      </w:tr>
    </w:tbl>
    <w:p w14:paraId="10DAA130" w14:textId="77777777" w:rsidR="000A03B2" w:rsidRPr="00E54FEA" w:rsidRDefault="000A03B2" w:rsidP="000A03B2">
      <w:pPr>
        <w:pStyle w:val="CETAuthors"/>
        <w:rPr>
          <w:noProof w:val="0"/>
        </w:rPr>
        <w:sectPr w:rsidR="000A03B2" w:rsidRPr="00E54FEA" w:rsidSect="00CD5FE2">
          <w:type w:val="continuous"/>
          <w:pgSz w:w="11906" w:h="16838" w:code="9"/>
          <w:pgMar w:top="1701" w:right="1418" w:bottom="1701" w:left="1701" w:header="1701" w:footer="0" w:gutter="0"/>
          <w:cols w:space="708"/>
          <w:titlePg/>
          <w:docGrid w:linePitch="360"/>
        </w:sectPr>
      </w:pPr>
    </w:p>
    <w:p w14:paraId="2E667253" w14:textId="3F7C3F60" w:rsidR="00E978D0" w:rsidRPr="00E54FEA" w:rsidRDefault="00E54FEA" w:rsidP="002B1649">
      <w:pPr>
        <w:pStyle w:val="CETTitle"/>
      </w:pPr>
      <w:r w:rsidRPr="00E54FEA">
        <w:t>Estimation of the Odour Emission Capacity of High-load Wastewater</w:t>
      </w:r>
    </w:p>
    <w:p w14:paraId="2B3CA35C" w14:textId="10E15537" w:rsidR="00E978D0" w:rsidRPr="000A25F2" w:rsidRDefault="004549DA" w:rsidP="00AB5011">
      <w:pPr>
        <w:pStyle w:val="CETAuthors"/>
        <w:rPr>
          <w:noProof w:val="0"/>
          <w:lang w:val="it-IT"/>
        </w:rPr>
      </w:pPr>
      <w:r w:rsidRPr="000A25F2">
        <w:rPr>
          <w:noProof w:val="0"/>
          <w:lang w:val="it-IT"/>
        </w:rPr>
        <w:t xml:space="preserve">Giacomo </w:t>
      </w:r>
      <w:proofErr w:type="spellStart"/>
      <w:r w:rsidRPr="000A25F2">
        <w:rPr>
          <w:noProof w:val="0"/>
          <w:lang w:val="it-IT"/>
        </w:rPr>
        <w:t>Scolieri</w:t>
      </w:r>
      <w:r w:rsidR="00FB2868" w:rsidRPr="000A25F2">
        <w:rPr>
          <w:noProof w:val="0"/>
          <w:vertAlign w:val="superscript"/>
          <w:lang w:val="it-IT"/>
        </w:rPr>
        <w:t>a</w:t>
      </w:r>
      <w:proofErr w:type="spellEnd"/>
      <w:r w:rsidRPr="000A25F2">
        <w:rPr>
          <w:noProof w:val="0"/>
          <w:lang w:val="it-IT"/>
        </w:rPr>
        <w:t xml:space="preserve">, Marzio </w:t>
      </w:r>
      <w:proofErr w:type="spellStart"/>
      <w:r w:rsidRPr="000A25F2">
        <w:rPr>
          <w:noProof w:val="0"/>
          <w:lang w:val="it-IT"/>
        </w:rPr>
        <w:t>Invernizzi</w:t>
      </w:r>
      <w:r w:rsidR="00FB2868" w:rsidRPr="000A25F2">
        <w:rPr>
          <w:noProof w:val="0"/>
          <w:vertAlign w:val="superscript"/>
          <w:lang w:val="it-IT"/>
        </w:rPr>
        <w:t>a</w:t>
      </w:r>
      <w:proofErr w:type="spellEnd"/>
      <w:r w:rsidRPr="000A25F2">
        <w:rPr>
          <w:noProof w:val="0"/>
          <w:lang w:val="it-IT"/>
        </w:rPr>
        <w:t xml:space="preserve">*; Selena </w:t>
      </w:r>
      <w:proofErr w:type="spellStart"/>
      <w:r w:rsidRPr="000A25F2">
        <w:rPr>
          <w:noProof w:val="0"/>
          <w:lang w:val="it-IT"/>
        </w:rPr>
        <w:t>Sironi</w:t>
      </w:r>
      <w:r w:rsidR="00FB2868" w:rsidRPr="000A25F2">
        <w:rPr>
          <w:noProof w:val="0"/>
          <w:vertAlign w:val="superscript"/>
          <w:lang w:val="it-IT"/>
        </w:rPr>
        <w:t>a</w:t>
      </w:r>
      <w:proofErr w:type="spellEnd"/>
    </w:p>
    <w:p w14:paraId="1938F80C" w14:textId="5EE5F07B" w:rsidR="00FB2868" w:rsidRPr="000A25F2" w:rsidRDefault="00FB2868" w:rsidP="00FB2868">
      <w:pPr>
        <w:pStyle w:val="CETAddress"/>
        <w:rPr>
          <w:noProof w:val="0"/>
          <w:vertAlign w:val="superscript"/>
          <w:lang w:val="it-IT"/>
        </w:rPr>
      </w:pPr>
      <w:r w:rsidRPr="000A25F2">
        <w:rPr>
          <w:noProof w:val="0"/>
          <w:vertAlign w:val="superscript"/>
          <w:lang w:val="it-IT"/>
        </w:rPr>
        <w:t xml:space="preserve">a </w:t>
      </w:r>
      <w:r w:rsidR="00DA42A6" w:rsidRPr="00DA42A6">
        <w:rPr>
          <w:noProof w:val="0"/>
          <w:lang w:val="it-IT"/>
        </w:rPr>
        <w:t xml:space="preserve">Politecnico di Milano, Department of </w:t>
      </w:r>
      <w:proofErr w:type="spellStart"/>
      <w:r w:rsidR="00DA42A6" w:rsidRPr="00DA42A6">
        <w:rPr>
          <w:noProof w:val="0"/>
          <w:lang w:val="it-IT"/>
        </w:rPr>
        <w:t>Chemistry</w:t>
      </w:r>
      <w:proofErr w:type="spellEnd"/>
      <w:r w:rsidR="00DA42A6" w:rsidRPr="00DA42A6">
        <w:rPr>
          <w:noProof w:val="0"/>
          <w:lang w:val="it-IT"/>
        </w:rPr>
        <w:t xml:space="preserve">, </w:t>
      </w:r>
      <w:proofErr w:type="spellStart"/>
      <w:r w:rsidR="00DA42A6" w:rsidRPr="00DA42A6">
        <w:rPr>
          <w:noProof w:val="0"/>
          <w:lang w:val="it-IT"/>
        </w:rPr>
        <w:t>Materials</w:t>
      </w:r>
      <w:proofErr w:type="spellEnd"/>
      <w:r w:rsidR="00DA42A6" w:rsidRPr="00DA42A6">
        <w:rPr>
          <w:noProof w:val="0"/>
          <w:lang w:val="it-IT"/>
        </w:rPr>
        <w:t xml:space="preserve"> and Chemical Engineering “Giulio Natta”, Piazza Leonardo da Vinci 32, 20133 Milano, </w:t>
      </w:r>
      <w:proofErr w:type="spellStart"/>
      <w:r w:rsidR="00DA42A6" w:rsidRPr="00DA42A6">
        <w:rPr>
          <w:noProof w:val="0"/>
          <w:lang w:val="it-IT"/>
        </w:rPr>
        <w:t>Italy</w:t>
      </w:r>
      <w:proofErr w:type="spellEnd"/>
    </w:p>
    <w:p w14:paraId="0127A28D" w14:textId="1AFF7A39" w:rsidR="00E978D0" w:rsidRPr="00E54FEA" w:rsidRDefault="00FB2868" w:rsidP="00E978D0">
      <w:pPr>
        <w:pStyle w:val="CETemail"/>
        <w:rPr>
          <w:noProof w:val="0"/>
        </w:rPr>
      </w:pPr>
      <w:r w:rsidRPr="00E54FEA">
        <w:rPr>
          <w:noProof w:val="0"/>
        </w:rPr>
        <w:t xml:space="preserve">marzio.invernizzi@polimi.it </w:t>
      </w:r>
    </w:p>
    <w:p w14:paraId="09ADFB22" w14:textId="58A578EF" w:rsidR="00E54FEA" w:rsidRPr="00E54FEA" w:rsidRDefault="00E54FEA" w:rsidP="00E54FEA">
      <w:pPr>
        <w:pStyle w:val="CETBodytext"/>
      </w:pPr>
      <w:r w:rsidRPr="00E54FEA">
        <w:t xml:space="preserve">The Odour Emission Capacity (OEC) is an experimental parameter that </w:t>
      </w:r>
      <w:r w:rsidR="00C96019">
        <w:t>quantifies</w:t>
      </w:r>
      <w:r w:rsidR="00C96019" w:rsidRPr="00E54FEA">
        <w:t xml:space="preserve"> </w:t>
      </w:r>
      <w:r w:rsidRPr="00E54FEA">
        <w:t xml:space="preserve">the odour potential of a liquid, in </w:t>
      </w:r>
      <w:r w:rsidR="00C96019">
        <w:t xml:space="preserve">terms of </w:t>
      </w:r>
      <w:r w:rsidRPr="00E54FEA">
        <w:t>ou</w:t>
      </w:r>
      <w:r w:rsidRPr="00E54FEA">
        <w:rPr>
          <w:vertAlign w:val="subscript"/>
        </w:rPr>
        <w:t>E</w:t>
      </w:r>
      <w:r w:rsidRPr="00E54FEA">
        <w:t>/m</w:t>
      </w:r>
      <w:r w:rsidRPr="00E54FEA">
        <w:rPr>
          <w:vertAlign w:val="superscript"/>
        </w:rPr>
        <w:t>3</w:t>
      </w:r>
      <w:r w:rsidRPr="00E54FEA">
        <w:rPr>
          <w:vertAlign w:val="subscript"/>
        </w:rPr>
        <w:t>liquid</w:t>
      </w:r>
      <w:r w:rsidRPr="00E54FEA">
        <w:t xml:space="preserve">, based on the stripping of odorants contained in a known amount volume of liquid.  The method was implemented for the first time in 1998 by </w:t>
      </w:r>
      <w:proofErr w:type="spellStart"/>
      <w:r w:rsidRPr="00E54FEA">
        <w:t>Frechen</w:t>
      </w:r>
      <w:proofErr w:type="spellEnd"/>
      <w:r w:rsidRPr="00E54FEA">
        <w:t xml:space="preserve"> and </w:t>
      </w:r>
      <w:proofErr w:type="spellStart"/>
      <w:r w:rsidRPr="00E54FEA">
        <w:t>Köster</w:t>
      </w:r>
      <w:proofErr w:type="spellEnd"/>
      <w:r w:rsidRPr="00E54FEA">
        <w:t xml:space="preserve"> and standardized in 2015 in the German technical standard </w:t>
      </w:r>
      <w:bookmarkStart w:id="0" w:name="_Hlk108177770"/>
      <w:r w:rsidRPr="00E54FEA">
        <w:t>VDI Guideline 3885/1</w:t>
      </w:r>
      <w:bookmarkEnd w:id="0"/>
      <w:r w:rsidRPr="00E54FEA">
        <w:t xml:space="preserve">. In particular, the sampling steps of gas phase for the dynamic </w:t>
      </w:r>
      <w:proofErr w:type="spellStart"/>
      <w:r w:rsidRPr="00E54FEA">
        <w:t>olfatctometry</w:t>
      </w:r>
      <w:proofErr w:type="spellEnd"/>
      <w:r w:rsidRPr="00E54FEA">
        <w:t xml:space="preserve"> analysis were fixed at 2, 6, 16 and 32 minutes.</w:t>
      </w:r>
    </w:p>
    <w:p w14:paraId="7287F43B" w14:textId="2650C9AE" w:rsidR="00E54FEA" w:rsidRPr="00E54FEA" w:rsidRDefault="00E54FEA" w:rsidP="00E54FEA">
      <w:pPr>
        <w:pStyle w:val="CETBodytext"/>
      </w:pPr>
      <w:r w:rsidRPr="00E54FEA">
        <w:t>This work aims to propose a modified methodology to evaluate this parameter in wastewater which come from the sewer systems and industrial wastewater treatment plants</w:t>
      </w:r>
      <w:r w:rsidR="00B30083">
        <w:t xml:space="preserve"> (WWTP)</w:t>
      </w:r>
      <w:r w:rsidRPr="00E54FEA">
        <w:t xml:space="preserve"> characterized by high odour load (</w:t>
      </w:r>
      <w:proofErr w:type="gramStart"/>
      <w:r w:rsidRPr="00E54FEA">
        <w:t>e.g.</w:t>
      </w:r>
      <w:proofErr w:type="gramEnd"/>
      <w:r w:rsidRPr="00E54FEA">
        <w:t xml:space="preserve"> oil-refinery desalter water, oil-well water).</w:t>
      </w:r>
    </w:p>
    <w:p w14:paraId="331B2D4E" w14:textId="53AF1161" w:rsidR="002B1649" w:rsidRPr="00E54FEA" w:rsidRDefault="00E54FEA" w:rsidP="00E54FEA">
      <w:pPr>
        <w:pStyle w:val="CETBodytext"/>
      </w:pPr>
      <w:r w:rsidRPr="00E54FEA">
        <w:t xml:space="preserve">The implementation of a system of dilution for the sampled gas, </w:t>
      </w:r>
      <w:r w:rsidR="00C96019">
        <w:t>has appeared to be an</w:t>
      </w:r>
      <w:r w:rsidRPr="00E54FEA">
        <w:t xml:space="preserve"> important aspect to take into account in case of high odorous load, because it allows to perform the analysis also with smaller liquid volume (</w:t>
      </w:r>
      <w:proofErr w:type="gramStart"/>
      <w:r w:rsidRPr="00E54FEA">
        <w:t>i.e.</w:t>
      </w:r>
      <w:proofErr w:type="gramEnd"/>
      <w:r w:rsidRPr="00E54FEA">
        <w:t xml:space="preserve"> 1 L), a necessary condition for lab logistics and safety considerations as the safeguard of the involved operator’s health (e.g. panel members, lab analysts). </w:t>
      </w:r>
      <w:proofErr w:type="gramStart"/>
      <w:r w:rsidRPr="00E54FEA">
        <w:t>In order to</w:t>
      </w:r>
      <w:proofErr w:type="gramEnd"/>
      <w:r w:rsidRPr="00E54FEA">
        <w:t xml:space="preserve"> improve the accuracy of the result and optimize the methodology, </w:t>
      </w:r>
      <w:r w:rsidR="00DB13BE">
        <w:t>a</w:t>
      </w:r>
      <w:r w:rsidR="00DB13BE" w:rsidRPr="00E54FEA">
        <w:t xml:space="preserve"> </w:t>
      </w:r>
      <w:r w:rsidRPr="00E54FEA">
        <w:t xml:space="preserve">different </w:t>
      </w:r>
      <w:r w:rsidR="00DA42A6" w:rsidRPr="00E54FEA">
        <w:t>approach</w:t>
      </w:r>
      <w:r w:rsidRPr="00E54FEA">
        <w:t xml:space="preserve"> </w:t>
      </w:r>
      <w:r w:rsidR="00C310C2" w:rsidRPr="00E54FEA">
        <w:t>w</w:t>
      </w:r>
      <w:r w:rsidR="00C310C2">
        <w:t>as</w:t>
      </w:r>
      <w:r w:rsidR="00C310C2" w:rsidRPr="00E54FEA">
        <w:t xml:space="preserve"> </w:t>
      </w:r>
      <w:r w:rsidRPr="00E54FEA">
        <w:t>studied</w:t>
      </w:r>
      <w:r w:rsidR="00DB13BE">
        <w:t xml:space="preserve"> through</w:t>
      </w:r>
      <w:r w:rsidR="00DB13BE" w:rsidRPr="00E54FEA">
        <w:t xml:space="preserve"> </w:t>
      </w:r>
      <w:r w:rsidRPr="00E54FEA">
        <w:t>the increase in the number of odour concentration measurements and the modification of the sampling times.</w:t>
      </w:r>
      <w:r w:rsidR="000B5730">
        <w:t xml:space="preserve"> Results show that </w:t>
      </w:r>
      <w:r w:rsidR="00290B80">
        <w:t xml:space="preserve">increasing the time of analysis from 32 min to 2 days, the trend of the </w:t>
      </w:r>
      <w:r w:rsidR="00290B80" w:rsidRPr="004635A3">
        <w:t>time-varying integral</w:t>
      </w:r>
      <w:r w:rsidR="00290B80">
        <w:t xml:space="preserve"> of OEC reaches a </w:t>
      </w:r>
      <w:r w:rsidR="00290B80" w:rsidRPr="00954CE8">
        <w:rPr>
          <w:i/>
          <w:iCs/>
        </w:rPr>
        <w:t>quasi</w:t>
      </w:r>
      <w:r w:rsidR="00290B80">
        <w:t xml:space="preserve">-stationarity respect the same </w:t>
      </w:r>
      <w:r w:rsidR="00954CE8">
        <w:t>curve associated to the OEC estimated with the standard methodology.</w:t>
      </w:r>
    </w:p>
    <w:p w14:paraId="7CEBDA9F" w14:textId="54AD2A92" w:rsidR="00C56509" w:rsidRPr="00E54FEA" w:rsidRDefault="00600535" w:rsidP="00C56509">
      <w:pPr>
        <w:pStyle w:val="CETHeading1"/>
        <w:rPr>
          <w:lang w:val="en-GB"/>
        </w:rPr>
      </w:pPr>
      <w:r w:rsidRPr="00E54FEA">
        <w:rPr>
          <w:lang w:val="en-GB"/>
        </w:rPr>
        <w:t>Introduction</w:t>
      </w:r>
    </w:p>
    <w:p w14:paraId="69D5C37F" w14:textId="0652452F" w:rsidR="00786B21" w:rsidRPr="00E54FEA" w:rsidRDefault="000A25F2" w:rsidP="00786B21">
      <w:pPr>
        <w:pStyle w:val="CETBodytext"/>
      </w:pPr>
      <w:r>
        <w:rPr>
          <w:rFonts w:eastAsiaTheme="minorHAnsi"/>
        </w:rPr>
        <w:t xml:space="preserve">In the </w:t>
      </w:r>
      <w:r w:rsidR="0077406B">
        <w:rPr>
          <w:rFonts w:eastAsiaTheme="minorHAnsi"/>
        </w:rPr>
        <w:t xml:space="preserve">research field </w:t>
      </w:r>
      <w:r>
        <w:rPr>
          <w:rFonts w:eastAsiaTheme="minorHAnsi"/>
        </w:rPr>
        <w:t xml:space="preserve">of </w:t>
      </w:r>
      <w:r w:rsidR="0077406B">
        <w:rPr>
          <w:rFonts w:eastAsiaTheme="minorHAnsi"/>
        </w:rPr>
        <w:t xml:space="preserve">environmental </w:t>
      </w:r>
      <w:r>
        <w:rPr>
          <w:rFonts w:eastAsiaTheme="minorHAnsi"/>
        </w:rPr>
        <w:t>odours</w:t>
      </w:r>
      <w:r w:rsidR="00786B21">
        <w:rPr>
          <w:rFonts w:eastAsiaTheme="minorHAnsi"/>
        </w:rPr>
        <w:t xml:space="preserve"> </w:t>
      </w:r>
      <w:r w:rsidR="00786B21">
        <w:t>a</w:t>
      </w:r>
      <w:r w:rsidR="0077406B">
        <w:t xml:space="preserve"> </w:t>
      </w:r>
      <w:r w:rsidR="00786B21">
        <w:t>parameter tha</w:t>
      </w:r>
      <w:r w:rsidR="009E3494">
        <w:t>t is</w:t>
      </w:r>
      <w:r w:rsidR="00B30083">
        <w:t xml:space="preserve"> widely</w:t>
      </w:r>
      <w:r w:rsidR="009E3494">
        <w:t xml:space="preserve"> used for </w:t>
      </w:r>
      <w:r w:rsidR="00B30083">
        <w:t>the characterization of the odours emitted by</w:t>
      </w:r>
      <w:r w:rsidR="00786B21" w:rsidRPr="00E54FEA">
        <w:t xml:space="preserve"> </w:t>
      </w:r>
      <w:r w:rsidR="00B30083">
        <w:t xml:space="preserve">civil and industrial wastewater treatment plant </w:t>
      </w:r>
      <w:r w:rsidR="00786B21" w:rsidRPr="00E54FEA">
        <w:t>is the Odour Emission Capacity</w:t>
      </w:r>
      <w:r w:rsidR="00B30083">
        <w:t xml:space="preserve"> </w:t>
      </w:r>
      <w:r w:rsidR="00934CC1">
        <w:fldChar w:fldCharType="begin" w:fldLock="1"/>
      </w:r>
      <w:r w:rsidR="00934CC1">
        <w:instrText>ADDIN CSL_CITATION {"citationItems":[{"id":"ITEM-1","itemData":{"ISBN":"9783899586084","author":[{"dropping-particle":"","family":"Frechen","given":"F.B.","non-dropping-particle":"","parse-names":false,"suffix":""}],"container-title":"Odour and VOCs: Measurement, Regulation and Control","id":"ITEM-1","issued":{"date-parts":[["2009"]]},"number-of-pages":"9-17","title":"10 Years of OEC Measurement: Methodology, Application, Results and Future Development","type":"book"},"uris":["http://www.mendeley.com/documents/?uuid=38f9f8b4-24d8-4340-9f12-278a303453f8"]},{"id":"ITEM-2","itemData":{"DOI":"10.1080/19443994.2014.942383","ISSN":"19443986","abstract":"Abstract: Odor emissions are one of the major environmental impact generated by wastewater treatment plants (WWTPs) perceived by exposed population. Consequently, the control of odor emissions is a relevant aspect that must be considered in the management of the WWTPs. Any efficient strategy for odor control was based on direct and/or indirect monitoring and characterization of odor emissions. The presented work focuses on the identification of new indirect indicators for the measurement of the odors emitted by different treatment units in a full-scale wastewater treatment plant, as to reduce the cost of environmental monitoring and the environmental impacts of the plant. The work focuses on the existing correlation in each treatment unit between the odor emission capacity (OEC) of wastewater and the odor concentration measured by dynamic olfactometry according to EN13725:2003 in ambient air. In addition the research shows the correlation between the organic contents measured by BOD5 and COD and the OEC of the wastewater by analyzing different treatment units.","author":[{"dropping-particle":"","family":"Giuliani","given":"S.","non-dropping-particle":"","parse-names":false,"suffix":""},{"dropping-particle":"","family":"Zarra","given":"T.","non-dropping-particle":"","parse-names":false,"suffix":""},{"dropping-particle":"","family":"Naddeo","given":"V.","non-dropping-particle":"","parse-names":false,"suffix":""},{"dropping-particle":"","family":"Belgiorno","given":"V.","non-dropping-particle":"","parse-names":false,"suffix":""}],"container-title":"Desalination and Water Treatment","id":"ITEM-2","issue":"3","issued":{"date-parts":[["2015"]]},"page":"712-717","title":"A novel tool for odor emission assessment in wastewater treatment plant","type":"article-journal","volume":"55"},"uris":["http://www.mendeley.com/documents/?uuid=7ee31dcd-2028-43de-a435-1d16af814780"]},{"id":"ITEM-3","itemData":{"DOI":"10.2495/RBM170051","ISSN":"17433541","abstract":"One of the major source of complaint in relation to water quality in rivers is linked to odour emissions. However, in the monitoring and regulations for water quality, odour normally is not directly considered. This paper explores the application of the Odour Emission Capacity (OEC) as a surrogate parameter in the assessment of river water quality and discuss the relationship between odour status and the traditional analytical parameters used in assessment of the ecological status. The study presents a novel and complete procedure for the assessment of the river water quality able to reduce the overall costs of analyses. At same time, the study presents the reliability of the novel procedure application with the discussion of its application in case studies. Correlation with conventional approach was studies and discussed. Results underline the strong relationship between the organic content in the river samples and their odour in terms of OEC. OEC can be easily integrated in the assessment protocol and it is a good subrogate indicator for the assessment of river water quality.","author":[{"dropping-particle":"","family":"Pandan","given":"Mary Ann","non-dropping-particle":"","parse-names":false,"suffix":""},{"dropping-particle":"","family":"Naddeo","given":"Vincenzo","non-dropping-particle":"","parse-names":false,"suffix":""},{"dropping-particle":"","family":"Zarra","given":"Tiziano","non-dropping-particle":"","parse-names":false,"suffix":""},{"dropping-particle":"","family":"Belgiorno","given":"Vincenzo","non-dropping-particle":"","parse-names":false,"suffix":""},{"dropping-particle":"","family":"Ballesteros","given":"Florencio","non-dropping-particle":"","parse-names":false,"suffix":""}],"container-title":"WIT Transactions on Ecology and the Environment","id":"ITEM-3","issued":{"date-parts":[["2017"]]},"page":"43-50","title":"Odour emission capacity as a surrogate parameter for the assessment of river water quality","type":"article-journal","volume":"221"},"uris":["http://www.mendeley.com/documents/?uuid=7900dc90-8357-4e1a-9bda-d53482f78421"]}],"mendeley":{"formattedCitation":"(Frechen, 2009; Giuliani et al., 2015; Pandan et al., 2017)","plainTextFormattedCitation":"(Frechen, 2009; Giuliani et al., 2015; Pandan et al., 2017)","previouslyFormattedCitation":"(Frechen, 2009; Giuliani et al., 2015; Pandan et al., 2017)"},"properties":{"noteIndex":0},"schema":"https://github.com/citation-style-language/schema/raw/master/csl-citation.json"}</w:instrText>
      </w:r>
      <w:r w:rsidR="00934CC1">
        <w:fldChar w:fldCharType="separate"/>
      </w:r>
      <w:r w:rsidR="00934CC1" w:rsidRPr="00934CC1">
        <w:rPr>
          <w:noProof/>
        </w:rPr>
        <w:t>(Frechen, 2009; Giuliani et al., 2015; Pandan et al., 2017)</w:t>
      </w:r>
      <w:r w:rsidR="00934CC1">
        <w:fldChar w:fldCharType="end"/>
      </w:r>
      <w:r w:rsidR="00B30083">
        <w:t>.</w:t>
      </w:r>
      <w:r w:rsidR="00786B21" w:rsidRPr="00E54FEA">
        <w:t xml:space="preserve"> </w:t>
      </w:r>
      <w:r w:rsidR="001E2503">
        <w:t xml:space="preserve">This parameter </w:t>
      </w:r>
      <w:r w:rsidR="0030223B">
        <w:t>asses</w:t>
      </w:r>
      <w:r w:rsidR="00786B21" w:rsidRPr="00E54FEA">
        <w:t>s</w:t>
      </w:r>
      <w:r w:rsidR="0030223B">
        <w:t>es</w:t>
      </w:r>
      <w:r w:rsidR="00786B21" w:rsidRPr="00E54FEA">
        <w:t xml:space="preserve"> the odour potential of a liquid. </w:t>
      </w:r>
      <w:r w:rsidR="001E2503">
        <w:t>In fact, t</w:t>
      </w:r>
      <w:r w:rsidR="00786B21" w:rsidRPr="00E54FEA">
        <w:t>he method defines OEC as the total amount of odorants, which can be stripped from 1 m</w:t>
      </w:r>
      <w:r w:rsidR="00786B21" w:rsidRPr="00E54FEA">
        <w:rPr>
          <w:vertAlign w:val="superscript"/>
        </w:rPr>
        <w:t>3</w:t>
      </w:r>
      <w:r w:rsidR="00786B21" w:rsidRPr="00E54FEA">
        <w:t xml:space="preserve"> of the liquid under given standardized conditions </w:t>
      </w:r>
      <w:r w:rsidR="00934CC1">
        <w:fldChar w:fldCharType="begin" w:fldLock="1"/>
      </w:r>
      <w:r w:rsidR="00AE0E41">
        <w:instrText>ADDIN CSL_CITATION {"citationItems":[{"id":"ITEM-1","itemData":{"DOI":"10.1016/S0273-1223(98)00451-X","ISSN":"02731223","abstract":"Odorous emissions from sewer systems and wastewater treatment plants can cause serious annoyance in the vicinity. Odorants which are present in a liquid phase are emitted into ambient air at the liquid-gaseous interface. The amount and the variation of emitted mass flow of odorants is significantly influenced by the amount of odorants which are present in the liquid. Up to now, however, no measurement method was available to describe this parameter, which can be called “Odorants Emission Capacity”. The paper describes a standardized method of determining the “Odorants Emission Capacity” and shows results and consequences from several case studies where this new method was applied.","author":[{"dropping-particle":"","family":"Frechen","given":"F.B.","non-dropping-particle":"","parse-names":false,"suffix":""},{"dropping-particle":"","family":"Köster","given":"Wulf","non-dropping-particle":"","parse-names":false,"suffix":""}],"container-title":"Water Science and Technology","id":"ITEM-1","issue":"3","issued":{"date-parts":[["1998"]]},"page":"61-69","title":"Odour emission capacity of wastewaters - standardization of measurement method and application","type":"article-journal","volume":"38"},"uris":["http://www.mendeley.com/documents/?uuid=ab298421-db6b-421a-a153-f24dcaf4f90c"]},{"id":"ITEM-2","itemData":{"author":[{"dropping-particle":"","family":"VDI","given":"","non-dropping-particle":"","parse-names":false,"suffix":""}],"id":"ITEM-2","issued":{"date-parts":[["2017"]]},"page":"1-21","title":"VDI 3885. Olfaktometrie. Messung des Geruchsstofiemissionspotenzials von Flüssigkeiten","type":"article"},"uris":["http://www.mendeley.com/documents/?uuid=c78916db-921a-48ea-a92a-0aa137c46d9e"]}],"mendeley":{"formattedCitation":"(Frechen &amp; Köster, 1998; VDI, 2017)","manualFormatting":"(Frechen and Köster, 1998; VDI, 2017)","plainTextFormattedCitation":"(Frechen &amp; Köster, 1998; VDI, 2017)","previouslyFormattedCitation":"(Frechen &amp; Köster, 1998; VDI, 2017)"},"properties":{"noteIndex":0},"schema":"https://github.com/citation-style-language/schema/raw/master/csl-citation.json"}</w:instrText>
      </w:r>
      <w:r w:rsidR="00934CC1">
        <w:fldChar w:fldCharType="separate"/>
      </w:r>
      <w:r w:rsidR="00934CC1" w:rsidRPr="00934CC1">
        <w:rPr>
          <w:noProof/>
        </w:rPr>
        <w:t xml:space="preserve">(Frechen </w:t>
      </w:r>
      <w:r w:rsidR="0084537E">
        <w:rPr>
          <w:noProof/>
        </w:rPr>
        <w:t>and</w:t>
      </w:r>
      <w:r w:rsidR="0084537E" w:rsidRPr="00934CC1">
        <w:rPr>
          <w:noProof/>
        </w:rPr>
        <w:t xml:space="preserve"> </w:t>
      </w:r>
      <w:r w:rsidR="00934CC1" w:rsidRPr="00934CC1">
        <w:rPr>
          <w:noProof/>
        </w:rPr>
        <w:t>Köster, 1998; VDI, 2017)</w:t>
      </w:r>
      <w:r w:rsidR="00934CC1">
        <w:fldChar w:fldCharType="end"/>
      </w:r>
      <w:r w:rsidR="00786B21" w:rsidRPr="00E54FEA">
        <w:t xml:space="preserve">. </w:t>
      </w:r>
      <w:r w:rsidR="0077406B">
        <w:rPr>
          <w:rFonts w:eastAsiaTheme="minorHAnsi"/>
        </w:rPr>
        <w:t>T</w:t>
      </w:r>
      <w:r w:rsidR="00786B21" w:rsidRPr="00E54FEA">
        <w:rPr>
          <w:rFonts w:eastAsiaTheme="minorHAnsi"/>
        </w:rPr>
        <w:t>he OEC is expressed in ou</w:t>
      </w:r>
      <w:r w:rsidR="00786B21" w:rsidRPr="00E54FEA">
        <w:rPr>
          <w:rFonts w:eastAsiaTheme="minorHAnsi"/>
          <w:vertAlign w:val="subscript"/>
        </w:rPr>
        <w:t>E</w:t>
      </w:r>
      <w:r w:rsidR="00786B21" w:rsidRPr="00E54FEA">
        <w:rPr>
          <w:rFonts w:eastAsiaTheme="minorHAnsi"/>
        </w:rPr>
        <w:t>/m</w:t>
      </w:r>
      <w:r w:rsidR="00786B21" w:rsidRPr="00E54FEA">
        <w:rPr>
          <w:rFonts w:eastAsia="Arial" w:cs="Arial"/>
          <w:vertAlign w:val="superscript"/>
        </w:rPr>
        <w:t>3</w:t>
      </w:r>
      <w:r w:rsidR="00786B21" w:rsidRPr="00E54FEA">
        <w:rPr>
          <w:rFonts w:eastAsia="Arial" w:cs="Arial"/>
          <w:vertAlign w:val="subscript"/>
        </w:rPr>
        <w:t>liquid</w:t>
      </w:r>
      <w:r w:rsidR="00786B21" w:rsidRPr="00E54FEA">
        <w:rPr>
          <w:rFonts w:eastAsiaTheme="minorHAnsi"/>
        </w:rPr>
        <w:t xml:space="preserve"> and is measured on a known amount volume of wastewater, which owes its olfactory characteristics to the volatile organic and inorganic compounds dissolved in it </w:t>
      </w:r>
      <w:r w:rsidR="00934CC1">
        <w:rPr>
          <w:rFonts w:eastAsiaTheme="minorHAnsi"/>
        </w:rPr>
        <w:fldChar w:fldCharType="begin" w:fldLock="1"/>
      </w:r>
      <w:r w:rsidR="00AE0E41">
        <w:rPr>
          <w:rFonts w:eastAsiaTheme="minorHAnsi"/>
        </w:rPr>
        <w:instrText>ADDIN CSL_CITATION {"citationItems":[{"id":"ITEM-1","itemData":{"DOI":"10.1016/S0273-1223(98)00451-X","ISSN":"02731223","abstract":"Odorous emissions from sewer systems and wastewater treatment plants can cause serious annoyance in the vicinity. Odorants which are present in a liquid phase are emitted into ambient air at the liquid-gaseous interface. The amount and the variation of emitted mass flow of odorants is significantly influenced by the amount of odorants which are present in the liquid. Up to now, however, no measurement method was available to describe this parameter, which can be called “Odorants Emission Capacity”. The paper describes a standardized method of determining the “Odorants Emission Capacity” and shows results and consequences from several case studies where this new method was applied.","author":[{"dropping-particle":"","family":"Frechen","given":"F.B.","non-dropping-particle":"","parse-names":false,"suffix":""},{"dropping-particle":"","family":"Köster","given":"Wulf","non-dropping-particle":"","parse-names":false,"suffix":""}],"container-title":"Water Science and Technology","id":"ITEM-1","issue":"3","issued":{"date-parts":[["1998"]]},"page":"61-69","title":"Odour emission capacity of wastewaters - standardization of measurement method and application","type":"article-journal","volume":"38"},"uris":["http://www.mendeley.com/documents/?uuid=ab298421-db6b-421a-a153-f24dcaf4f90c"]},{"id":"ITEM-2","itemData":{"ISBN":"9783899586084","author":[{"dropping-particle":"","family":"Frechen","given":"F.B.","non-dropping-particle":"","parse-names":false,"suffix":""}],"container-title":"Odour and VOCs: Measurement, Regulation and Control","id":"ITEM-2","issued":{"date-parts":[["2009"]]},"number-of-pages":"9-17","title":"10 Years of OEC Measurement: Methodology, Application, Results and Future Development","type":"book"},"uris":["http://www.mendeley.com/documents/?uuid=38f9f8b4-24d8-4340-9f12-278a303453f8"]},{"id":"ITEM-3","itemData":{"DOI":"10.3303/CET1230004","ISBN":"9788895608211","ISSN":"22839216","author":[{"dropping-particle":"","family":"Frechen","given":"F.B.","non-dropping-particle":"","parse-names":false,"suffix":""}],"id":"ITEM-3","issue":"July","issued":{"date-parts":[["2012"]]},"page":"19-24","title":"Evaluation of OEC Data for Preparation of the New VDI Guideline 3885 / 1","type":"article-journal","volume":"30"},"uris":["http://www.mendeley.com/documents/?uuid=1e9a37db-0d41-4321-b811-d834f64bece1"]}],"mendeley":{"formattedCitation":"(Frechen, 2009, 2012; Frechen &amp; Köster, 1998)","manualFormatting":"(Frechen, 2009, 2012; Frechen and Köster, 1998)","plainTextFormattedCitation":"(Frechen, 2009, 2012; Frechen &amp; Köster, 1998)","previouslyFormattedCitation":"(Frechen, 2009, 2012; Frechen &amp; Köster, 1998)"},"properties":{"noteIndex":0},"schema":"https://github.com/citation-style-language/schema/raw/master/csl-citation.json"}</w:instrText>
      </w:r>
      <w:r w:rsidR="00934CC1">
        <w:rPr>
          <w:rFonts w:eastAsiaTheme="minorHAnsi"/>
        </w:rPr>
        <w:fldChar w:fldCharType="separate"/>
      </w:r>
      <w:r w:rsidR="00934CC1" w:rsidRPr="00934CC1">
        <w:rPr>
          <w:rFonts w:eastAsiaTheme="minorHAnsi"/>
          <w:noProof/>
        </w:rPr>
        <w:t xml:space="preserve">(Frechen, 2009, 2012; Frechen </w:t>
      </w:r>
      <w:r w:rsidR="0084537E">
        <w:rPr>
          <w:rFonts w:eastAsiaTheme="minorHAnsi"/>
          <w:noProof/>
        </w:rPr>
        <w:t>and</w:t>
      </w:r>
      <w:r w:rsidR="0084537E" w:rsidRPr="00934CC1">
        <w:rPr>
          <w:rFonts w:eastAsiaTheme="minorHAnsi"/>
          <w:noProof/>
        </w:rPr>
        <w:t xml:space="preserve"> </w:t>
      </w:r>
      <w:r w:rsidR="00934CC1" w:rsidRPr="00934CC1">
        <w:rPr>
          <w:rFonts w:eastAsiaTheme="minorHAnsi"/>
          <w:noProof/>
        </w:rPr>
        <w:t>Köster, 1998)</w:t>
      </w:r>
      <w:r w:rsidR="00934CC1">
        <w:rPr>
          <w:rFonts w:eastAsiaTheme="minorHAnsi"/>
        </w:rPr>
        <w:fldChar w:fldCharType="end"/>
      </w:r>
      <w:r w:rsidR="00786B21" w:rsidRPr="00E54FEA">
        <w:rPr>
          <w:rFonts w:eastAsiaTheme="minorHAnsi"/>
        </w:rPr>
        <w:t>.</w:t>
      </w:r>
    </w:p>
    <w:p w14:paraId="6EE49D5B" w14:textId="48C4F898" w:rsidR="00E20A93" w:rsidRDefault="00BE767B" w:rsidP="00EB516E">
      <w:pPr>
        <w:pStyle w:val="CETBodytext"/>
        <w:rPr>
          <w:rFonts w:eastAsiaTheme="minorHAnsi"/>
        </w:rPr>
      </w:pPr>
      <w:r>
        <w:t>The elaboration of d</w:t>
      </w:r>
      <w:r w:rsidR="00786B21" w:rsidRPr="00E54FEA">
        <w:t xml:space="preserve">ifferent olfactometric analysis </w:t>
      </w:r>
      <w:r w:rsidR="00C310C2">
        <w:t>is</w:t>
      </w:r>
      <w:r w:rsidR="00C310C2" w:rsidRPr="00E54FEA">
        <w:t xml:space="preserve"> </w:t>
      </w:r>
      <w:r w:rsidR="00786B21" w:rsidRPr="00E54FEA">
        <w:t xml:space="preserve">the keystone for the experimental assessment </w:t>
      </w:r>
      <w:r w:rsidR="000A3680">
        <w:t>as</w:t>
      </w:r>
      <w:r w:rsidR="0084537E" w:rsidRPr="00E54FEA">
        <w:t xml:space="preserve"> </w:t>
      </w:r>
      <w:r w:rsidR="00786B21" w:rsidRPr="00E54FEA">
        <w:t>O</w:t>
      </w:r>
      <w:r w:rsidR="0084537E">
        <w:t>dour Emission Capacity and</w:t>
      </w:r>
      <w:r w:rsidR="009249BE">
        <w:t xml:space="preserve"> Hydrocarbon Odour Emission Capacity (HCOEC).</w:t>
      </w:r>
      <w:r w:rsidR="00C310C2">
        <w:t xml:space="preserve"> </w:t>
      </w:r>
      <w:r w:rsidR="009249BE">
        <w:t>For example, the first one requires the</w:t>
      </w:r>
      <w:r w:rsidR="009249BE" w:rsidRPr="00E54FEA">
        <w:t xml:space="preserve"> </w:t>
      </w:r>
      <w:r w:rsidR="0077406B">
        <w:t>evaluation</w:t>
      </w:r>
      <w:r w:rsidR="0077406B" w:rsidRPr="00E54FEA">
        <w:t xml:space="preserve"> </w:t>
      </w:r>
      <w:r w:rsidR="009249BE">
        <w:t>of</w:t>
      </w:r>
      <w:r w:rsidR="009249BE" w:rsidRPr="00E54FEA">
        <w:t xml:space="preserve"> </w:t>
      </w:r>
      <w:r w:rsidR="00786B21" w:rsidRPr="00E54FEA">
        <w:t xml:space="preserve">4 odour concentrations, measured at 4 different time steps </w:t>
      </w:r>
      <w:r w:rsidR="00786B21" w:rsidRPr="00E54FEA">
        <w:fldChar w:fldCharType="begin" w:fldLock="1"/>
      </w:r>
      <w:r w:rsidR="00786B21" w:rsidRPr="00E54FEA">
        <w:instrText>ADDIN CSL_CITATION {"citationItems":[{"id":"ITEM-1","itemData":{"DOI":"10.3303/CET1230004","ISBN":"9788895608211","ISSN":"22839216","author":[{"dropping-particle":"","family":"Frechen","given":"F.B.","non-dropping-particle":"","parse-names":false,"suffix":""}],"id":"ITEM-1","issue":"July","issued":{"date-parts":[["2012"]]},"page":"19-24","title":"Evaluation of OEC Data for Preparation of the New VDI Guideline 3885 / 1","type":"article-journal","volume":"30"},"uris":["http://www.mendeley.com/documents/?uuid=1e9a37db-0d41-4321-b811-d834f64bece1"]}],"mendeley":{"formattedCitation":"(Frechen, 2012)","plainTextFormattedCitation":"(Frechen, 2012)","previouslyFormattedCitation":"(Frechen, 2012)"},"properties":{"noteIndex":0},"schema":"https://github.com/citation-style-language/schema/raw/master/csl-citation.json"}</w:instrText>
      </w:r>
      <w:r w:rsidR="00786B21" w:rsidRPr="00E54FEA">
        <w:fldChar w:fldCharType="separate"/>
      </w:r>
      <w:r w:rsidR="00786B21" w:rsidRPr="00E54FEA">
        <w:rPr>
          <w:noProof/>
        </w:rPr>
        <w:t>(Frechen, 2012)</w:t>
      </w:r>
      <w:r w:rsidR="00786B21" w:rsidRPr="00E54FEA">
        <w:fldChar w:fldCharType="end"/>
      </w:r>
      <w:r w:rsidR="0030223B">
        <w:t>.</w:t>
      </w:r>
      <w:r w:rsidR="000A25F2">
        <w:rPr>
          <w:rFonts w:eastAsiaTheme="minorHAnsi"/>
        </w:rPr>
        <w:t xml:space="preserve"> </w:t>
      </w:r>
      <w:r w:rsidR="0077406B">
        <w:t>In</w:t>
      </w:r>
      <w:r w:rsidR="009249BE">
        <w:t>stead</w:t>
      </w:r>
      <w:r w:rsidR="0077406B">
        <w:t xml:space="preserve">, </w:t>
      </w:r>
      <w:r w:rsidR="009249BE">
        <w:t xml:space="preserve">the HCOEC is </w:t>
      </w:r>
      <w:r w:rsidR="0077406B">
        <w:t>a similar</w:t>
      </w:r>
      <w:r w:rsidR="0089135A">
        <w:t xml:space="preserve"> parameter that</w:t>
      </w:r>
      <w:r w:rsidR="00724A82">
        <w:t xml:space="preserve"> </w:t>
      </w:r>
      <w:r w:rsidR="0089135A">
        <w:t xml:space="preserve">represents </w:t>
      </w:r>
      <w:r w:rsidR="0089135A" w:rsidRPr="00E54FEA">
        <w:t>the odour emission potential of a hydrocarbon mixture (</w:t>
      </w:r>
      <w:proofErr w:type="gramStart"/>
      <w:r w:rsidR="0089135A" w:rsidRPr="00E54FEA">
        <w:t>e.g.</w:t>
      </w:r>
      <w:proofErr w:type="gramEnd"/>
      <w:r w:rsidR="0089135A" w:rsidRPr="00E54FEA">
        <w:t xml:space="preserve"> </w:t>
      </w:r>
      <w:r w:rsidR="0089135A">
        <w:t>crude oil, gasoline or diesel</w:t>
      </w:r>
      <w:r w:rsidR="0089135A" w:rsidRPr="00E54FEA">
        <w:t>)</w:t>
      </w:r>
      <w:r w:rsidR="0089135A">
        <w:t xml:space="preserve"> </w:t>
      </w:r>
      <w:r w:rsidR="0089135A" w:rsidRPr="00E54FEA">
        <w:t>expressed in ou</w:t>
      </w:r>
      <w:r w:rsidR="0089135A" w:rsidRPr="00E54FEA">
        <w:rPr>
          <w:vertAlign w:val="subscript"/>
        </w:rPr>
        <w:t>E</w:t>
      </w:r>
      <w:r w:rsidR="0089135A" w:rsidRPr="00E54FEA">
        <w:t>/</w:t>
      </w:r>
      <w:proofErr w:type="spellStart"/>
      <w:r w:rsidR="0089135A" w:rsidRPr="00E54FEA">
        <w:t>kg</w:t>
      </w:r>
      <w:r w:rsidR="0089135A" w:rsidRPr="00E54FEA">
        <w:rPr>
          <w:vertAlign w:val="subscript"/>
        </w:rPr>
        <w:t>hydrocarbon</w:t>
      </w:r>
      <w:proofErr w:type="spellEnd"/>
      <w:r w:rsidR="009249BE">
        <w:t>. The estima</w:t>
      </w:r>
      <w:r w:rsidR="00CD3998">
        <w:t>tion of HCOEC</w:t>
      </w:r>
      <w:r w:rsidR="009249BE">
        <w:t xml:space="preserve"> </w:t>
      </w:r>
      <w:r w:rsidRPr="00E54FEA">
        <w:t xml:space="preserve">needs several odour concentration measurements over </w:t>
      </w:r>
      <w:r w:rsidR="00724A82" w:rsidRPr="00E54FEA">
        <w:t>a period</w:t>
      </w:r>
      <w:r w:rsidR="0089135A">
        <w:t>. Its application is suitable to assess the odour emissions of external floating roof tanks</w:t>
      </w:r>
      <w:r w:rsidRPr="00E54FEA">
        <w:t xml:space="preserve"> </w:t>
      </w:r>
      <w:r w:rsidR="0084537E">
        <w:fldChar w:fldCharType="begin" w:fldLock="1"/>
      </w:r>
      <w:r w:rsidR="00AE0E41">
        <w:instrText>ADDIN CSL_CITATION {"citationItems":[{"id":"ITEM-1","itemData":{"DOI":"10.3303/CET1868009","ISBN":"9788895608655","abstract":"Oil refineries are one of the greatest type of industrial plant which can lead to emission of VOC and sulphur compounds. Such emissions often originate a problem of odour pollution in the human settlements located around the refinery. In many cases, odour nuisances lead the local authorities to intervene, sometimes by closing the whole plant. Odour emissions in refineries typically arise from the operating process: The aim of this work is to propose a method for the evaluation of the Odour Emission Rates from the different sources of a refinery. More in detail, the proposed method aims to quantify the Odour Emission Rate from the fugitive emissions relevant to storage tanks, whose evaluation is very complex due to the difficulty of determining both a representative odour concentration and an emitted air flow representative of this kind of sources. This method first quantifies the mass emission from the tanks, by means of the software US EPA TANKS 4.09, and after the so called \"Hydrocarbon Odour Emission Capacity\", associated with different hydrocarbons mixtures. By coupling this information, it is finally possible to give an estimate of the Odour Emission Rate deriving from a storage tank and use it in an atmospheric dispersion model. © 2018, AIDIC Servizi S.r.l.","author":[{"dropping-particle":"","family":"Invernizzi","given":"Marzio","non-dropping-particle":"","parse-names":false,"suffix":""},{"dropping-particle":"","family":"Ilare","given":"Juri","non-dropping-particle":"","parse-names":false,"suffix":""},{"dropping-particle":"","family":"Capelli","given":"Laura","non-dropping-particle":"","parse-names":false,"suffix":""},{"dropping-particle":"","family":"Sironi","given":"Selena","non-dropping-particle":"","parse-names":false,"suffix":""}],"container-title":"Chemical Engineering Transactions","id":"ITEM-1","issued":{"date-parts":[["2018"]]},"page":"49-54","title":"Proposal of a method for evaluating odour emissions from refinery storage tanks","type":"article-journal","volume":"68"},"uris":["http://www.mendeley.com/documents/?uuid=0106972f-090b-4284-ad96-bc1515ce58bf"]},{"id":"ITEM-2","itemData":{"DOI":"10.3303/CET2185012","ISBN":"9788895608839","author":[{"dropping-particle":"","family":"Invernizzi","given":"Marzio","non-dropping-particle":"","parse-names":false,"suffix":""},{"dropping-particle":"","family":"Sironi","given":"Selena","non-dropping-particle":"","parse-names":false,"suffix":""}],"container-title":"Chemical Engineering Transactions","id":"ITEM-2","issue":"February","issued":{"date-parts":[["2021"]]},"page":"67-72","title":"Odour Emission Rate Estimation Methods for Hydrocarbon Storage Tanks","type":"article-journal","volume":"85"},"uris":["http://www.mendeley.com/documents/?uuid=2e2f7337-34b2-424e-8fc1-fa30aeea8c7b"]}],"mendeley":{"formattedCitation":"(Invernizzi et al., 2018; Invernizzi &amp; Sironi, 2021)","manualFormatting":"(Invernizzi et al., 2018; Invernizzi and Sironi, 2021)","plainTextFormattedCitation":"(Invernizzi et al., 2018; Invernizzi &amp; Sironi, 2021)","previouslyFormattedCitation":"(Invernizzi et al., 2018; Invernizzi &amp; Sironi, 2021)"},"properties":{"noteIndex":0},"schema":"https://github.com/citation-style-language/schema/raw/master/csl-citation.json"}</w:instrText>
      </w:r>
      <w:r w:rsidR="0084537E">
        <w:fldChar w:fldCharType="separate"/>
      </w:r>
      <w:r w:rsidR="0084537E" w:rsidRPr="0084537E">
        <w:rPr>
          <w:noProof/>
        </w:rPr>
        <w:t xml:space="preserve">(Invernizzi et al., 2018; Invernizzi </w:t>
      </w:r>
      <w:r w:rsidR="0084537E">
        <w:rPr>
          <w:noProof/>
        </w:rPr>
        <w:t>and</w:t>
      </w:r>
      <w:r w:rsidR="0084537E" w:rsidRPr="0084537E">
        <w:rPr>
          <w:noProof/>
        </w:rPr>
        <w:t xml:space="preserve"> Sironi, 2021)</w:t>
      </w:r>
      <w:r w:rsidR="0084537E">
        <w:fldChar w:fldCharType="end"/>
      </w:r>
      <w:r w:rsidRPr="00E54FEA">
        <w:t>.</w:t>
      </w:r>
      <w:r w:rsidR="00FE1046">
        <w:t xml:space="preserve"> Back to </w:t>
      </w:r>
      <w:r w:rsidR="00FE1046">
        <w:rPr>
          <w:rFonts w:eastAsiaTheme="minorHAnsi"/>
        </w:rPr>
        <w:t>t</w:t>
      </w:r>
      <w:r w:rsidR="00E54FEA" w:rsidRPr="00E54FEA">
        <w:rPr>
          <w:rFonts w:eastAsiaTheme="minorHAnsi"/>
        </w:rPr>
        <w:t>he</w:t>
      </w:r>
      <w:r w:rsidR="00FE1046">
        <w:rPr>
          <w:rFonts w:eastAsiaTheme="minorHAnsi"/>
        </w:rPr>
        <w:t xml:space="preserve"> OEC analysis, its</w:t>
      </w:r>
      <w:r w:rsidR="00E54FEA" w:rsidRPr="00E54FEA">
        <w:rPr>
          <w:rFonts w:eastAsiaTheme="minorHAnsi"/>
        </w:rPr>
        <w:t xml:space="preserve"> application is mainly suitable for domestic wastewater, where the reduction of odour concentration up to values of the order of 10</w:t>
      </w:r>
      <w:r w:rsidR="00E54FEA" w:rsidRPr="00E54FEA">
        <w:rPr>
          <w:rFonts w:eastAsiaTheme="minorHAnsi"/>
          <w:vertAlign w:val="superscript"/>
        </w:rPr>
        <w:t>2</w:t>
      </w:r>
      <w:r w:rsidR="00E54FEA" w:rsidRPr="00E54FEA">
        <w:rPr>
          <w:rFonts w:eastAsiaTheme="minorHAnsi"/>
        </w:rPr>
        <w:t>÷10</w:t>
      </w:r>
      <w:r w:rsidR="00E54FEA" w:rsidRPr="00E54FEA">
        <w:rPr>
          <w:rFonts w:eastAsiaTheme="minorHAnsi"/>
          <w:vertAlign w:val="superscript"/>
        </w:rPr>
        <w:t>3</w:t>
      </w:r>
      <w:r w:rsidR="00E54FEA" w:rsidRPr="00E54FEA">
        <w:rPr>
          <w:rFonts w:eastAsiaTheme="minorHAnsi"/>
        </w:rPr>
        <w:t xml:space="preserve"> ou</w:t>
      </w:r>
      <w:r w:rsidR="00E54FEA" w:rsidRPr="00E54FEA">
        <w:rPr>
          <w:rFonts w:eastAsiaTheme="minorHAnsi"/>
          <w:vertAlign w:val="subscript"/>
        </w:rPr>
        <w:t>E</w:t>
      </w:r>
      <w:r w:rsidR="00E54FEA" w:rsidRPr="00E54FEA">
        <w:rPr>
          <w:rFonts w:eastAsiaTheme="minorHAnsi"/>
        </w:rPr>
        <w:t>/m</w:t>
      </w:r>
      <w:r w:rsidR="00E54FEA" w:rsidRPr="00E54FEA">
        <w:rPr>
          <w:rFonts w:eastAsiaTheme="minorHAnsi"/>
          <w:vertAlign w:val="superscript"/>
        </w:rPr>
        <w:t>3</w:t>
      </w:r>
      <w:r w:rsidR="00E54FEA" w:rsidRPr="00E54FEA">
        <w:rPr>
          <w:rFonts w:eastAsiaTheme="minorHAnsi"/>
        </w:rPr>
        <w:t xml:space="preserve"> is quite easy in the operating conditions of the analysis. Instead, in the case of wastewater produced by refineries or petrochemical plants, the odorous loads are strongly higher, due to the content of hydrocarbons</w:t>
      </w:r>
      <w:r w:rsidR="0099260E">
        <w:rPr>
          <w:rFonts w:eastAsiaTheme="minorHAnsi"/>
        </w:rPr>
        <w:t xml:space="preserve"> and sulphurous compounds</w:t>
      </w:r>
      <w:r w:rsidR="00E54FEA" w:rsidRPr="00E54FEA">
        <w:rPr>
          <w:rFonts w:eastAsiaTheme="minorHAnsi"/>
        </w:rPr>
        <w:t xml:space="preserve">. </w:t>
      </w:r>
      <w:bookmarkStart w:id="1" w:name="_Hlk108545752"/>
      <w:r w:rsidR="00E54FEA" w:rsidRPr="00E54FEA">
        <w:rPr>
          <w:rFonts w:eastAsiaTheme="minorHAnsi"/>
        </w:rPr>
        <w:t xml:space="preserve">The use of the standardized </w:t>
      </w:r>
      <w:r w:rsidR="0077406B">
        <w:rPr>
          <w:rFonts w:eastAsiaTheme="minorHAnsi"/>
        </w:rPr>
        <w:t xml:space="preserve">approach, based on the sampling of </w:t>
      </w:r>
      <w:r w:rsidR="0077406B">
        <w:rPr>
          <w:rFonts w:eastAsiaTheme="minorHAnsi"/>
        </w:rPr>
        <w:lastRenderedPageBreak/>
        <w:t>only 4 bags and a total bubbling time of 32 minutes,</w:t>
      </w:r>
      <w:r w:rsidR="0077406B" w:rsidRPr="00E54FEA">
        <w:rPr>
          <w:rFonts w:eastAsiaTheme="minorHAnsi"/>
        </w:rPr>
        <w:t xml:space="preserve"> </w:t>
      </w:r>
      <w:r w:rsidR="00E54FEA" w:rsidRPr="00E54FEA">
        <w:rPr>
          <w:rFonts w:eastAsiaTheme="minorHAnsi"/>
        </w:rPr>
        <w:t>can lead to the risk of not achieving a significant decrease of the odour concentration in the period of analysis</w:t>
      </w:r>
      <w:r w:rsidR="00314D12">
        <w:rPr>
          <w:rFonts w:eastAsiaTheme="minorHAnsi"/>
        </w:rPr>
        <w:t xml:space="preserve">, leading to the </w:t>
      </w:r>
      <w:r w:rsidR="00E54FEA" w:rsidRPr="00E54FEA">
        <w:rPr>
          <w:rFonts w:eastAsiaTheme="minorHAnsi"/>
        </w:rPr>
        <w:t>measur</w:t>
      </w:r>
      <w:r w:rsidR="00314D12">
        <w:rPr>
          <w:rFonts w:eastAsiaTheme="minorHAnsi"/>
        </w:rPr>
        <w:t>ement of</w:t>
      </w:r>
      <w:r w:rsidR="00E54FEA" w:rsidRPr="00E54FEA">
        <w:rPr>
          <w:rFonts w:eastAsiaTheme="minorHAnsi"/>
        </w:rPr>
        <w:t xml:space="preserve"> 4 odour concentration </w:t>
      </w:r>
      <w:r w:rsidR="00314D12">
        <w:rPr>
          <w:rFonts w:eastAsiaTheme="minorHAnsi"/>
        </w:rPr>
        <w:t>which are comparable among each other</w:t>
      </w:r>
      <w:bookmarkEnd w:id="1"/>
      <w:r w:rsidR="00E54FEA" w:rsidRPr="00E54FEA">
        <w:rPr>
          <w:rFonts w:eastAsiaTheme="minorHAnsi"/>
        </w:rPr>
        <w:t>. Therefore, the calculated OEC value may be significantly underestimated</w:t>
      </w:r>
      <w:r w:rsidR="00997736">
        <w:rPr>
          <w:rFonts w:eastAsiaTheme="minorHAnsi"/>
        </w:rPr>
        <w:t xml:space="preserve"> due to the leak of information related to the low number of odour concentration measurements</w:t>
      </w:r>
      <w:r w:rsidR="00E54FEA" w:rsidRPr="00E54FEA">
        <w:rPr>
          <w:rFonts w:eastAsiaTheme="minorHAnsi"/>
        </w:rPr>
        <w:t>.</w:t>
      </w:r>
      <w:r w:rsidR="00EC7B89">
        <w:rPr>
          <w:rFonts w:eastAsiaTheme="minorHAnsi"/>
        </w:rPr>
        <w:t xml:space="preserve"> Furthermore,</w:t>
      </w:r>
      <w:r w:rsidR="00052017">
        <w:rPr>
          <w:rFonts w:eastAsiaTheme="minorHAnsi"/>
        </w:rPr>
        <w:t xml:space="preserve"> </w:t>
      </w:r>
      <w:r w:rsidR="00EC7B89">
        <w:rPr>
          <w:rFonts w:eastAsiaTheme="minorHAnsi"/>
        </w:rPr>
        <w:t>f</w:t>
      </w:r>
      <w:r w:rsidR="00052017">
        <w:rPr>
          <w:rFonts w:eastAsiaTheme="minorHAnsi"/>
        </w:rPr>
        <w:t xml:space="preserve">rom </w:t>
      </w:r>
      <w:r w:rsidR="00145A61">
        <w:rPr>
          <w:rFonts w:eastAsiaTheme="minorHAnsi"/>
        </w:rPr>
        <w:t>the operating point of view, the guideline establishes that it is necessary to work with a large volume of liquid (30</w:t>
      </w:r>
      <w:r w:rsidR="004B5FAC">
        <w:rPr>
          <w:rFonts w:eastAsiaTheme="minorHAnsi"/>
        </w:rPr>
        <w:t xml:space="preserve"> L) and in the case of refinery and petrochemical’s </w:t>
      </w:r>
      <w:r w:rsidR="00EC7B89">
        <w:rPr>
          <w:rFonts w:eastAsiaTheme="minorHAnsi"/>
        </w:rPr>
        <w:t xml:space="preserve">effluents </w:t>
      </w:r>
      <w:r w:rsidR="006242B9">
        <w:rPr>
          <w:rFonts w:eastAsiaTheme="minorHAnsi"/>
        </w:rPr>
        <w:t>it</w:t>
      </w:r>
      <w:r w:rsidR="00EC7B89">
        <w:rPr>
          <w:rFonts w:eastAsiaTheme="minorHAnsi"/>
        </w:rPr>
        <w:t xml:space="preserve"> </w:t>
      </w:r>
      <w:r w:rsidR="00E27113">
        <w:rPr>
          <w:rFonts w:eastAsiaTheme="minorHAnsi"/>
        </w:rPr>
        <w:t>might</w:t>
      </w:r>
      <w:r w:rsidR="00EC7B89">
        <w:rPr>
          <w:rFonts w:eastAsiaTheme="minorHAnsi"/>
        </w:rPr>
        <w:t xml:space="preserve"> provoke </w:t>
      </w:r>
      <w:r w:rsidR="00314D12">
        <w:rPr>
          <w:rFonts w:eastAsiaTheme="minorHAnsi"/>
        </w:rPr>
        <w:t xml:space="preserve">different </w:t>
      </w:r>
      <w:r w:rsidR="00EC7B89">
        <w:rPr>
          <w:rFonts w:eastAsiaTheme="minorHAnsi"/>
        </w:rPr>
        <w:t>safety</w:t>
      </w:r>
      <w:r w:rsidR="00314D12">
        <w:rPr>
          <w:rFonts w:eastAsiaTheme="minorHAnsi"/>
        </w:rPr>
        <w:t xml:space="preserve"> and transportation permits</w:t>
      </w:r>
      <w:r w:rsidR="00EC7B89">
        <w:rPr>
          <w:rFonts w:eastAsiaTheme="minorHAnsi"/>
        </w:rPr>
        <w:t xml:space="preserve"> problems</w:t>
      </w:r>
      <w:r w:rsidR="003C0987">
        <w:rPr>
          <w:rFonts w:eastAsiaTheme="minorHAnsi"/>
        </w:rPr>
        <w:t xml:space="preserve">, related to the health of </w:t>
      </w:r>
      <w:r w:rsidR="00314D12">
        <w:rPr>
          <w:rFonts w:eastAsiaTheme="minorHAnsi"/>
        </w:rPr>
        <w:t xml:space="preserve">lab operators </w:t>
      </w:r>
      <w:r w:rsidR="003C0987">
        <w:rPr>
          <w:rFonts w:eastAsiaTheme="minorHAnsi"/>
        </w:rPr>
        <w:t xml:space="preserve">or to the possible explosions that can be generate, </w:t>
      </w:r>
      <w:r w:rsidR="00E20A93">
        <w:rPr>
          <w:rFonts w:eastAsiaTheme="minorHAnsi"/>
        </w:rPr>
        <w:t>due to the different compounds present within the wastewater</w:t>
      </w:r>
      <w:r w:rsidR="00EC7B89">
        <w:rPr>
          <w:rFonts w:eastAsiaTheme="minorHAnsi"/>
        </w:rPr>
        <w:t>.</w:t>
      </w:r>
    </w:p>
    <w:p w14:paraId="4F49C397" w14:textId="0E69F1EF" w:rsidR="00DF616F" w:rsidRPr="00FE1046" w:rsidRDefault="00E54FEA" w:rsidP="00EB516E">
      <w:pPr>
        <w:pStyle w:val="CETBodytext"/>
      </w:pPr>
      <w:r w:rsidRPr="00E54FEA">
        <w:rPr>
          <w:rFonts w:eastAsiaTheme="minorHAnsi"/>
        </w:rPr>
        <w:t xml:space="preserve">In view of this, </w:t>
      </w:r>
      <w:r w:rsidR="00314D12">
        <w:rPr>
          <w:rFonts w:eastAsiaTheme="minorHAnsi"/>
        </w:rPr>
        <w:t xml:space="preserve">in case of particularly high-load wastewaters, </w:t>
      </w:r>
      <w:r w:rsidRPr="00E54FEA">
        <w:rPr>
          <w:rFonts w:eastAsiaTheme="minorHAnsi"/>
        </w:rPr>
        <w:t xml:space="preserve">it </w:t>
      </w:r>
      <w:r w:rsidR="00314D12">
        <w:rPr>
          <w:rFonts w:eastAsiaTheme="minorHAnsi"/>
        </w:rPr>
        <w:t>has become</w:t>
      </w:r>
      <w:r w:rsidRPr="00E54FEA">
        <w:rPr>
          <w:rFonts w:eastAsiaTheme="minorHAnsi"/>
        </w:rPr>
        <w:t xml:space="preserve"> necessary to</w:t>
      </w:r>
      <w:r w:rsidR="00EC7B89">
        <w:rPr>
          <w:rFonts w:eastAsiaTheme="minorHAnsi"/>
        </w:rPr>
        <w:t xml:space="preserve"> review the operating conditions of the </w:t>
      </w:r>
      <w:r w:rsidR="00314D12">
        <w:rPr>
          <w:rFonts w:eastAsiaTheme="minorHAnsi"/>
        </w:rPr>
        <w:t>experimental procedur</w:t>
      </w:r>
      <w:r w:rsidR="00934CC1">
        <w:rPr>
          <w:rFonts w:eastAsiaTheme="minorHAnsi"/>
        </w:rPr>
        <w:t>e</w:t>
      </w:r>
      <w:r w:rsidR="00E20A93">
        <w:rPr>
          <w:rFonts w:eastAsiaTheme="minorHAnsi"/>
        </w:rPr>
        <w:t xml:space="preserve"> and to </w:t>
      </w:r>
      <w:r w:rsidRPr="00E54FEA">
        <w:rPr>
          <w:rFonts w:eastAsiaTheme="minorHAnsi"/>
        </w:rPr>
        <w:t>readapt the sampling times</w:t>
      </w:r>
      <w:r w:rsidR="0099260E">
        <w:rPr>
          <w:rFonts w:eastAsiaTheme="minorHAnsi"/>
        </w:rPr>
        <w:t xml:space="preserve"> </w:t>
      </w:r>
      <w:r w:rsidR="00E20A93">
        <w:rPr>
          <w:rFonts w:eastAsiaTheme="minorHAnsi"/>
        </w:rPr>
        <w:t>or to</w:t>
      </w:r>
      <w:r w:rsidR="0099260E">
        <w:rPr>
          <w:rFonts w:eastAsiaTheme="minorHAnsi"/>
        </w:rPr>
        <w:t xml:space="preserve"> add the number of analysed gas samples</w:t>
      </w:r>
      <w:r w:rsidRPr="00E54FEA">
        <w:rPr>
          <w:rFonts w:eastAsiaTheme="minorHAnsi"/>
        </w:rPr>
        <w:t xml:space="preserve">. The aim of this experimental work is to compare the standard OEC evaluation of a wastewater coming from a refinery with a modified approach, implemented </w:t>
      </w:r>
      <w:proofErr w:type="gramStart"/>
      <w:r w:rsidRPr="00E54FEA">
        <w:rPr>
          <w:rFonts w:eastAsiaTheme="minorHAnsi"/>
        </w:rPr>
        <w:t>in order to</w:t>
      </w:r>
      <w:proofErr w:type="gramEnd"/>
      <w:r w:rsidRPr="00E54FEA">
        <w:rPr>
          <w:rFonts w:eastAsiaTheme="minorHAnsi"/>
        </w:rPr>
        <w:t xml:space="preserve"> improve the accuracy of the final result by extending the time of analysis and </w:t>
      </w:r>
      <w:r w:rsidR="0099260E">
        <w:rPr>
          <w:rFonts w:eastAsiaTheme="minorHAnsi"/>
        </w:rPr>
        <w:t>increasing</w:t>
      </w:r>
      <w:r w:rsidRPr="00E54FEA">
        <w:rPr>
          <w:rFonts w:eastAsiaTheme="minorHAnsi"/>
        </w:rPr>
        <w:t xml:space="preserve"> the</w:t>
      </w:r>
      <w:r w:rsidR="0099260E">
        <w:rPr>
          <w:rFonts w:eastAsiaTheme="minorHAnsi"/>
        </w:rPr>
        <w:t xml:space="preserve"> quantity of</w:t>
      </w:r>
      <w:r w:rsidRPr="00E54FEA">
        <w:rPr>
          <w:rFonts w:eastAsiaTheme="minorHAnsi"/>
        </w:rPr>
        <w:t xml:space="preserve"> withdrawal of the gas phase</w:t>
      </w:r>
      <w:r w:rsidR="0099260E">
        <w:rPr>
          <w:rFonts w:eastAsiaTheme="minorHAnsi"/>
        </w:rPr>
        <w:t xml:space="preserve"> for the odour concentration analysis</w:t>
      </w:r>
      <w:r>
        <w:rPr>
          <w:rFonts w:eastAsiaTheme="minorHAnsi"/>
        </w:rPr>
        <w:t>.</w:t>
      </w:r>
    </w:p>
    <w:p w14:paraId="0193D95A" w14:textId="71910ACF" w:rsidR="007E4E04" w:rsidRPr="00E54FEA" w:rsidRDefault="007E4E04" w:rsidP="007E4E04">
      <w:pPr>
        <w:pStyle w:val="CETHeading1"/>
        <w:rPr>
          <w:lang w:val="en-GB"/>
        </w:rPr>
      </w:pPr>
      <w:r w:rsidRPr="00E54FEA">
        <w:rPr>
          <w:lang w:val="en-GB"/>
        </w:rPr>
        <w:t xml:space="preserve">Materials </w:t>
      </w:r>
      <w:r w:rsidR="00621E04" w:rsidRPr="00E54FEA">
        <w:rPr>
          <w:lang w:val="en-GB"/>
        </w:rPr>
        <w:t>a</w:t>
      </w:r>
      <w:r w:rsidRPr="00E54FEA">
        <w:rPr>
          <w:lang w:val="en-GB"/>
        </w:rPr>
        <w:t>nd Methods</w:t>
      </w:r>
    </w:p>
    <w:p w14:paraId="64589711" w14:textId="0DD7E5B8" w:rsidR="00FE2111" w:rsidRPr="00E54FEA" w:rsidRDefault="002A4ED2" w:rsidP="00AA1DC8">
      <w:pPr>
        <w:pStyle w:val="CETheadingx"/>
      </w:pPr>
      <w:r>
        <w:t xml:space="preserve">Experimental set-up and </w:t>
      </w:r>
      <w:r w:rsidR="00150A40">
        <w:t>operative conditions</w:t>
      </w:r>
    </w:p>
    <w:p w14:paraId="7A350610" w14:textId="1669C83D" w:rsidR="00E906AA" w:rsidRPr="00E54FEA" w:rsidRDefault="00177C89" w:rsidP="00CA12CD">
      <w:pPr>
        <w:pStyle w:val="CETBodytext"/>
        <w:rPr>
          <w:noProof/>
        </w:rPr>
      </w:pPr>
      <w:r w:rsidRPr="00E54FEA">
        <w:t>A</w:t>
      </w:r>
      <w:r w:rsidR="00871833">
        <w:t xml:space="preserve"> specific aliquot</w:t>
      </w:r>
      <w:r w:rsidR="00611EC7">
        <w:t xml:space="preserve"> of liquid</w:t>
      </w:r>
      <w:r w:rsidR="00CF7D62">
        <w:t xml:space="preserve"> (</w:t>
      </w:r>
      <w:proofErr w:type="gramStart"/>
      <w:r w:rsidR="00CF7D62">
        <w:t>i.e.</w:t>
      </w:r>
      <w:proofErr w:type="gramEnd"/>
      <w:r w:rsidR="00CF7D62">
        <w:t xml:space="preserve"> </w:t>
      </w:r>
      <w:r w:rsidR="00CF7D62" w:rsidRPr="00E54FEA">
        <w:t>1 L</w:t>
      </w:r>
      <w:r w:rsidR="00CF7D62">
        <w:t>),</w:t>
      </w:r>
      <w:r w:rsidR="00611EC7">
        <w:t xml:space="preserve"> </w:t>
      </w:r>
      <w:r w:rsidR="00CF7D62">
        <w:t>taken from the</w:t>
      </w:r>
      <w:r w:rsidR="00B33436">
        <w:t xml:space="preserve"> outlet of</w:t>
      </w:r>
      <w:r w:rsidR="00CF7D62">
        <w:t xml:space="preserve"> API separators of</w:t>
      </w:r>
      <w:r w:rsidR="00E520F7" w:rsidRPr="00E54FEA">
        <w:t xml:space="preserve"> a refinery </w:t>
      </w:r>
      <w:r w:rsidR="00B33436">
        <w:t>WWTP</w:t>
      </w:r>
      <w:r w:rsidR="00CF7D62">
        <w:t>, is</w:t>
      </w:r>
      <w:r w:rsidR="006F2B88" w:rsidRPr="00E54FEA">
        <w:t xml:space="preserve"> </w:t>
      </w:r>
      <w:r w:rsidRPr="00E54FEA">
        <w:t>used for the experiment</w:t>
      </w:r>
      <w:r w:rsidRPr="002A4ED2">
        <w:t>. Th</w:t>
      </w:r>
      <w:r w:rsidR="00A82AEE" w:rsidRPr="002A4ED2">
        <w:t>e</w:t>
      </w:r>
      <w:r w:rsidR="00DC21AC" w:rsidRPr="002A4ED2">
        <w:t xml:space="preserve"> analysed</w:t>
      </w:r>
      <w:r w:rsidRPr="002A4ED2">
        <w:t xml:space="preserve"> volume </w:t>
      </w:r>
      <w:r w:rsidR="00E906AA" w:rsidRPr="002A4ED2">
        <w:t xml:space="preserve">is </w:t>
      </w:r>
      <w:r w:rsidR="00DC21AC" w:rsidRPr="002A4ED2">
        <w:t>significative</w:t>
      </w:r>
      <w:r w:rsidR="00FD01FC" w:rsidRPr="002A4ED2">
        <w:t xml:space="preserve"> </w:t>
      </w:r>
      <w:r w:rsidR="00DC21AC" w:rsidRPr="002A4ED2">
        <w:t>lower than</w:t>
      </w:r>
      <w:r w:rsidR="00FE7AC3" w:rsidRPr="002A4ED2">
        <w:t xml:space="preserve"> </w:t>
      </w:r>
      <w:r w:rsidR="00FD01FC" w:rsidRPr="002A4ED2">
        <w:t xml:space="preserve">the </w:t>
      </w:r>
      <w:r w:rsidR="00DC21AC" w:rsidRPr="002A4ED2">
        <w:t xml:space="preserve">required </w:t>
      </w:r>
      <w:r w:rsidR="00FD01FC" w:rsidRPr="002A4ED2">
        <w:t>volume</w:t>
      </w:r>
      <w:r w:rsidR="00DC21AC" w:rsidRPr="002A4ED2">
        <w:t xml:space="preserve"> of</w:t>
      </w:r>
      <w:r w:rsidR="00E906AA" w:rsidRPr="002A4ED2">
        <w:t xml:space="preserve"> </w:t>
      </w:r>
      <w:r w:rsidR="00FF458A" w:rsidRPr="002A4ED2">
        <w:fldChar w:fldCharType="begin" w:fldLock="1"/>
      </w:r>
      <w:r w:rsidR="00DC21AC" w:rsidRPr="002A4ED2">
        <w:instrText>ADDIN CSL_CITATION {"citationItems":[{"id":"ITEM-1","itemData":{"author":[{"dropping-particle":"","family":"VDI","given":"","non-dropping-particle":"","parse-names":false,"suffix":""}],"id":"ITEM-1","issued":{"date-parts":[["2017"]]},"page":"1-21","title":"VDI 3885. Olfaktometrie. Messung des Geruchsstofiemissionspotenzials von Flüssigkeiten","type":"article"},"uris":["http://www.mendeley.com/documents/?uuid=c78916db-921a-48ea-a92a-0aa137c46d9e"]}],"mendeley":{"formattedCitation":"(VDI, 2017)","manualFormatting":"VDI, 2017","plainTextFormattedCitation":"(VDI, 2017)","previouslyFormattedCitation":"(VDI, 2017)"},"properties":{"noteIndex":0},"schema":"https://github.com/citation-style-language/schema/raw/master/csl-citation.json"}</w:instrText>
      </w:r>
      <w:r w:rsidR="00FF458A" w:rsidRPr="002A4ED2">
        <w:fldChar w:fldCharType="separate"/>
      </w:r>
      <w:r w:rsidR="00FF458A" w:rsidRPr="002A4ED2">
        <w:rPr>
          <w:noProof/>
        </w:rPr>
        <w:t>VDI, 2017</w:t>
      </w:r>
      <w:r w:rsidR="00FF458A" w:rsidRPr="002A4ED2">
        <w:fldChar w:fldCharType="end"/>
      </w:r>
      <w:r w:rsidR="00FF458A" w:rsidRPr="002A4ED2">
        <w:t xml:space="preserve"> for the OEC analysis</w:t>
      </w:r>
      <w:r w:rsidR="006F2B88" w:rsidRPr="002A4ED2">
        <w:t xml:space="preserve"> </w:t>
      </w:r>
      <w:r w:rsidR="00FE7AC3" w:rsidRPr="002A4ED2">
        <w:t>(</w:t>
      </w:r>
      <w:r w:rsidR="006F2B88" w:rsidRPr="002A4ED2">
        <w:t>i.e. 30 L</w:t>
      </w:r>
      <w:r w:rsidR="00FE7AC3" w:rsidRPr="002A4ED2">
        <w:t xml:space="preserve">): this is due to </w:t>
      </w:r>
      <w:r w:rsidR="002733AB" w:rsidRPr="002A4ED2">
        <w:t xml:space="preserve">lab </w:t>
      </w:r>
      <w:r w:rsidR="00AC4710" w:rsidRPr="002A4ED2">
        <w:t>logistics</w:t>
      </w:r>
      <w:r w:rsidR="00FE7AC3" w:rsidRPr="002A4ED2">
        <w:t>, safety considerations</w:t>
      </w:r>
      <w:r w:rsidR="00A82AEE" w:rsidRPr="002A4ED2">
        <w:t xml:space="preserve"> (e.g.</w:t>
      </w:r>
      <w:r w:rsidR="00FE7AC3" w:rsidRPr="002A4ED2">
        <w:t xml:space="preserve"> potential H</w:t>
      </w:r>
      <w:r w:rsidR="00FE7AC3" w:rsidRPr="002A4ED2">
        <w:rPr>
          <w:vertAlign w:val="subscript"/>
        </w:rPr>
        <w:t>2</w:t>
      </w:r>
      <w:r w:rsidR="00FE7AC3" w:rsidRPr="002A4ED2">
        <w:t>S content</w:t>
      </w:r>
      <w:r w:rsidR="00A82AEE" w:rsidRPr="002A4ED2">
        <w:t>)</w:t>
      </w:r>
      <w:r w:rsidR="00AC4710" w:rsidRPr="002A4ED2">
        <w:t xml:space="preserve"> </w:t>
      </w:r>
      <w:r w:rsidR="002733AB" w:rsidRPr="002A4ED2">
        <w:t xml:space="preserve">and the </w:t>
      </w:r>
      <w:r w:rsidR="00BA0D9B" w:rsidRPr="002A4ED2">
        <w:t xml:space="preserve">sufficiently </w:t>
      </w:r>
      <w:r w:rsidR="002733AB" w:rsidRPr="002A4ED2">
        <w:t>high odour concentrations</w:t>
      </w:r>
      <w:r w:rsidR="00C50055" w:rsidRPr="002A4ED2">
        <w:t xml:space="preserve"> </w:t>
      </w:r>
      <w:r w:rsidR="00C50055" w:rsidRPr="002A4ED2">
        <w:fldChar w:fldCharType="begin" w:fldLock="1"/>
      </w:r>
      <w:r w:rsidR="00C50055" w:rsidRPr="002A4ED2">
        <w:instrText>ADDIN CSL_CITATION {"citationItems":[{"id":"ITEM-1","itemData":{"DOI":"10.3303/CET2185015","ISBN":"9788895608839","ISSN":"22839216","abstract":"This work discusses the implementation of a Crude Monte Carlo, algorithm applied to an olfactometric case study. In particular, the study analyses the influence of uncertainty of the odour concentration measurement, by dynamic olfactometry, on experimental measurements, which employ a sequence of olfactometric analysis i.e. the estimation of Odour Emission Capacity per unit of volume, OEC. The evaluation of these physical quantities is function of a fixed number of odour concentrations data. According to the new provisional version of EN13725, each odour concentration measurement is affected by a degree of uncertainty, which follows a lognormal probability distribution function. In order to consider the uncertainty associated to each single odour concentration, a Crude Monte Carlo simulation has been carried out, obtaining 106 iterations of odour concentration datasets. The obtained data have been statistically analysed, highlighting that OEC follows a lognormal distribution function as well.","author":[{"dropping-particle":"","family":"Scolieri","given":"Giacomo","non-dropping-particle":"","parse-names":false,"suffix":""},{"dropping-particle":"","family":"Invernizzi","given":"Marzio","non-dropping-particle":"","parse-names":false,"suffix":""},{"dropping-particle":"","family":"Sironi","given":"Selena","non-dropping-particle":"","parse-names":false,"suffix":""}],"container-title":"Chemical Engineering Transactions","id":"ITEM-1","issue":"December 2020","issued":{"date-parts":[["2021"]]},"page":"85-90","title":"A crude monte carlo analysis for treating the influence of olfactometric uncertainty","type":"article-journal","volume":"85"},"uris":["http://www.mendeley.com/documents/?uuid=7dbae9d2-3087-450d-b979-f8358dd2e2f1"]}],"mendeley":{"formattedCitation":"(Scolieri et al., 2021)","manualFormatting":"(Scolieri, 2021)","plainTextFormattedCitation":"(Scolieri et al., 2021)","previouslyFormattedCitation":"(Scolieri et al., 2021)"},"properties":{"noteIndex":0},"schema":"https://github.com/citation-style-language/schema/raw/master/csl-citation.json"}</w:instrText>
      </w:r>
      <w:r w:rsidR="00C50055" w:rsidRPr="002A4ED2">
        <w:fldChar w:fldCharType="separate"/>
      </w:r>
      <w:r w:rsidR="00C50055" w:rsidRPr="002A4ED2">
        <w:rPr>
          <w:noProof/>
        </w:rPr>
        <w:t>(Scolieri</w:t>
      </w:r>
      <w:r w:rsidR="00365B41">
        <w:rPr>
          <w:noProof/>
        </w:rPr>
        <w:t xml:space="preserve"> et al.</w:t>
      </w:r>
      <w:r w:rsidR="00C50055" w:rsidRPr="002A4ED2">
        <w:rPr>
          <w:noProof/>
        </w:rPr>
        <w:t>, 2021)</w:t>
      </w:r>
      <w:r w:rsidR="00C50055" w:rsidRPr="002A4ED2">
        <w:fldChar w:fldCharType="end"/>
      </w:r>
      <w:r w:rsidR="002733AB" w:rsidRPr="002A4ED2">
        <w:t>.</w:t>
      </w:r>
      <w:r w:rsidR="00A82AEE" w:rsidRPr="002A4ED2">
        <w:t xml:space="preserve"> </w:t>
      </w:r>
      <w:r w:rsidR="005459B1" w:rsidRPr="002A4ED2">
        <w:t>In</w:t>
      </w:r>
      <w:r w:rsidR="005459B1">
        <w:t xml:space="preserve"> particular, </w:t>
      </w:r>
      <w:r w:rsidR="00CA12CD">
        <w:t>some studies highlight the presence of potential dangerous</w:t>
      </w:r>
      <w:r w:rsidR="00823B24">
        <w:t xml:space="preserve"> </w:t>
      </w:r>
      <w:r w:rsidR="002A4ED2">
        <w:t xml:space="preserve">volatile organic compounds </w:t>
      </w:r>
      <w:r w:rsidR="00CA12CD">
        <w:t xml:space="preserve">(e.g. aromatics) inside wastewater of refineries and petrochemical plant </w:t>
      </w:r>
      <w:r w:rsidR="0058569A">
        <w:fldChar w:fldCharType="begin" w:fldLock="1"/>
      </w:r>
      <w:r w:rsidR="0058569A">
        <w:instrText>ADDIN CSL_CITATION {"citationItems":[{"id":"ITEM-1","itemData":{"DOI":"10.1016/j.atmosenv.2014.01.038","ISSN":"18732844","abstract":"This study made a field VOCs (volatile organic compounds) measurement for a petroleum refinery in Beijing by determining 56 PAMS VOCs, which are demanded for photochemical assessment in US, and obtained the characteristics of VOCs emitted from the whole refinery and from its inner main devices. During the monitoring period, this refinery brought about an average increase of 61ppbv in the ambient TVOCs (sum of the PAMS VOCs) at the refinery surrounding area, while the background of TVOCs there was only 10-30ppbv. In chemical profile, the VOCs emitted from the whole refinery was characteristic by isobutane (8.7%), n-butane (7.9%), isopentane (6.3%), n-pentane (4.9%%), n-hexane (7.6%), C6 branched alkanes (6.0%), propene (12.7%), 1-butene (4.1%), benzene (7.8%), and toluene (5.9%). On the other hand, the measurement for the inner 5 devices, catalytic cracking units (CCU2 and CCU3), catalytic reforming unit (CRU), tank farm (TF), and wastewater treatment(WT), revealed the higher level of VOCs pollutions (about several hundred ppbv of TVOCs), and the individual differences in VOCs chemical profiles. Based on the measured speciated VOCs data at the surrounding downwind area, PMF receptor model was applied to identify the VOCs sources in the refinery. Then, coupling with the VOCs chemical profiles measured at the device areas, we concluded that CCU1/3 contributes to 25.9% of the TVOCs at the surrounding downwind area by volume, followed by CCU2 (24.7%), CRU (18.9%), TF (18.3%) and WT (12.0%), which was accordant with the research of US EPA (2008). Finally, ozone formation potentials of the 5 devices were also calculated by MIR technique, which showed that catalytic cracking units, accounting for about 55.6% to photochemical ozone formation, should be given the consideration of VOCs control firstly. © 2014 Elsevier Ltd.","author":[{"dropping-particle":"","family":"Wei","given":"Wei","non-dropping-particle":"","parse-names":false,"suffix":""},{"dropping-particle":"","family":"Cheng","given":"Shuiyuan","non-dropping-particle":"","parse-names":false,"suffix":""},{"dropping-particle":"","family":"Li","given":"Guohao","non-dropping-particle":"","parse-names":false,"suffix":""},{"dropping-particle":"","family":"Wang","given":"Gang","non-dropping-particle":"","parse-names":false,"suffix":""},{"dropping-particle":"","family":"Wang","given":"Haiyan","non-dropping-particle":"","parse-names":false,"suffix":""}],"container-title":"Atmospheric Environment","id":"ITEM-1","issued":{"date-parts":[["2014"]]},"page":"358-366","publisher":"Elsevier Ltd","title":"Characteristics of volatile organic compounds (VOCs) emitted from a petroleum refinery in Beijing, China","type":"article-journal","volume":"89"},"uris":["http://www.mendeley.com/documents/?uuid=e91d5a86-56c1-4cf4-b40f-ae8bec156fd5"]},{"id":"ITEM-2","itemData":{"DOI":"10.1016/j.envpol.2018.03.054","ISSN":"18736424","PMID":"29587216","abstract":"The process-specific emission of volatile organic compounds (VOCs) from a petroleum refinery in the Pearl River Delta, China was monitored to assess the health risk from VOCs to workers of this refinery. Over 60 VOCs were detected in the air samples collected from various sites in the refining, basic chemical, and wastewater treatment areas of the refinery using gas chromatography-mass spectrometry/flame ionization detection. The health risks of VOCs to the refinery workers were assessed using US Environmental Protection Agency (US EPA) and American Conference of Governmental Industrial Hygienists (ACGIH) methods. Monte Carlo simulation and sensitivity analysis were implemented to assess the uncertainty of the health risk estimation. The emission results showed that C5-C6 alkanes, including 2-methylpentane (17.6%), 2,3-dimethylbutane (15.4%) and 3-methylpentane (7.7%), were the major VOCs in the refining area. p-Diethylbenzene (9.3%), 2-methylpentane (8.1%) and m-diethylbenzene (6.8%) were dominant in the basic chemical area, and 2-methylpentane (20.9%), 2,3-dimethylbutane (11.4%) and 3-methylpentane (6.5%) were the most abundant in the wastewater treatment area. For the non-cancer risk estimated using the US EPA method, the total hazard ratio in the basic chemical area was the highest (3.1 × 103), owing to the highest level of total concentration of VOCs. For the cancer risk, the total cancer risks were very high, ranging from 2.93 × 10−3 (in the wastewater treatment area) to 1.1 × 10−2 (in the basic chemical area), suggesting a definite risk. Using the ACGIH method, the total occupational exposure cancer risks of VOCs in the basic chemical area were the highest, being much higher than those of refining and wastewater treatment areas. Among the areas, the total occupational exposure risks in the basic chemical and refining areas were &gt;1, which suggested a cancer threat to workers in these areas. Sensitivity analysis suggested that improving the accuracy of VOC concentrations themselves in future research would advance the health risk assessment. This process-specific VOC emission study revealed occupational exposure cancer risks associated with petroleum refineries, particularly in the chemical and refining areas.","author":[{"dropping-particle":"","family":"Zhang","given":"Zhijuan","non-dropping-particle":"","parse-names":false,"suffix":""},{"dropping-particle":"","family":"Yan","given":"Xiuying","non-dropping-particle":"","parse-names":false,"suffix":""},{"dropping-particle":"","family":"Gao","given":"Feilong","non-dropping-particle":"","parse-names":false,"suffix":""},{"dropping-particle":"","family":"Thai","given":"Phong","non-dropping-particle":"","parse-names":false,"suffix":""},{"dropping-particle":"","family":"Wang","given":"Hao","non-dropping-particle":"","parse-names":false,"suffix":""},{"dropping-particle":"","family":"Chen","given":"Dan","non-dropping-particle":"","parse-names":false,"suffix":""},{"dropping-particle":"","family":"Zhou","given":"Lei","non-dropping-particle":"","parse-names":false,"suffix":""},{"dropping-particle":"","family":"Gong","given":"Daocheng","non-dropping-particle":"","parse-names":false,"suffix":""},{"dropping-particle":"","family":"Li","given":"Qinqin","non-dropping-particle":"","parse-names":false,"suffix":""},{"dropping-particle":"","family":"Morawska","given":"Lidia","non-dropping-particle":"","parse-names":false,"suffix":""},{"dropping-particle":"","family":"Wang","given":"Boguang","non-dropping-particle":"","parse-names":false,"suffix":""}],"container-title":"Environmental Pollution","id":"ITEM-2","issued":{"date-parts":[["2018"]]},"page":"452-461","publisher":"Elsevier Ltd","title":"Emission and health risk assessment of volatile organic compounds in various processes of a petroleum refinery in the Pearl River Delta, China","type":"article-journal","volume":"238"},"uris":["http://www.mendeley.com/documents/?uuid=d7d07a7c-ce09-4f39-bfc9-d5ab887a409b"]}],"mendeley":{"formattedCitation":"(Wei et al., 2014; Zhang et al., 2018)","plainTextFormattedCitation":"(Wei et al., 2014; Zhang et al., 2018)"},"properties":{"noteIndex":0},"schema":"https://github.com/citation-style-language/schema/raw/master/csl-citation.json"}</w:instrText>
      </w:r>
      <w:r w:rsidR="0058569A">
        <w:fldChar w:fldCharType="separate"/>
      </w:r>
      <w:r w:rsidR="0058569A" w:rsidRPr="0058569A">
        <w:rPr>
          <w:noProof/>
        </w:rPr>
        <w:t>(Wei et al., 2014; Zhang et al., 2018)</w:t>
      </w:r>
      <w:r w:rsidR="0058569A">
        <w:fldChar w:fldCharType="end"/>
      </w:r>
      <w:r w:rsidR="00CA12CD">
        <w:t>.</w:t>
      </w:r>
    </w:p>
    <w:p w14:paraId="72D9D973" w14:textId="191C83E7" w:rsidR="004C24D1" w:rsidRPr="00E54FEA" w:rsidRDefault="00BC2A82" w:rsidP="004C24D1">
      <w:pPr>
        <w:pStyle w:val="CETBodytext"/>
      </w:pPr>
      <w:r w:rsidRPr="00E54FEA">
        <w:t>T</w:t>
      </w:r>
      <w:r w:rsidR="004C24D1" w:rsidRPr="00E54FEA">
        <w:t>he laboratory instrumentation</w:t>
      </w:r>
      <w:r w:rsidRPr="00E54FEA">
        <w:t xml:space="preserve"> used for</w:t>
      </w:r>
      <w:r w:rsidR="00FE7AC3" w:rsidRPr="00E54FEA">
        <w:t xml:space="preserve"> experimental</w:t>
      </w:r>
      <w:r w:rsidRPr="00E54FEA">
        <w:t xml:space="preserve"> tests</w:t>
      </w:r>
      <w:r w:rsidR="004C24D1" w:rsidRPr="00E54FEA">
        <w:t xml:space="preserve"> </w:t>
      </w:r>
      <w:r w:rsidR="00A92C92" w:rsidRPr="00E54FEA">
        <w:t xml:space="preserve">is </w:t>
      </w:r>
      <w:r w:rsidR="004C24D1" w:rsidRPr="00E54FEA">
        <w:t>listed below:</w:t>
      </w:r>
    </w:p>
    <w:p w14:paraId="2A77F81B" w14:textId="01BC7F0E" w:rsidR="004C24D1" w:rsidRPr="00E54FEA" w:rsidRDefault="004C24D1" w:rsidP="004C24D1">
      <w:pPr>
        <w:pStyle w:val="CETBodytext"/>
        <w:numPr>
          <w:ilvl w:val="0"/>
          <w:numId w:val="27"/>
        </w:numPr>
      </w:pPr>
      <w:r w:rsidRPr="00E54FEA">
        <w:t>glass bubbler, hermetically sealed with a Teflon</w:t>
      </w:r>
      <w:r w:rsidRPr="00E54FEA">
        <w:rPr>
          <w:vertAlign w:val="superscript"/>
        </w:rPr>
        <w:t>®</w:t>
      </w:r>
      <w:r w:rsidRPr="00E54FEA">
        <w:t xml:space="preserve"> gasket, with 2 sealed ports</w:t>
      </w:r>
      <w:r w:rsidR="00A92C92" w:rsidRPr="00E54FEA">
        <w:t>. It is used a glass bubbler dip tube model with porous septum</w:t>
      </w:r>
      <w:r w:rsidR="00EE1727">
        <w:t>. The volume of bubbler is</w:t>
      </w:r>
      <w:r w:rsidR="00A92C92" w:rsidRPr="00E54FEA">
        <w:t xml:space="preserve"> 1.5 L</w:t>
      </w:r>
      <w:r w:rsidR="00FF350D">
        <w:t xml:space="preserve"> to respect the proportion </w:t>
      </w:r>
      <w:r w:rsidR="00EE1727">
        <w:t xml:space="preserve">between the liquid sample and the headspace volume </w:t>
      </w:r>
      <w:r w:rsidR="00E52EAB">
        <w:t>recommend</w:t>
      </w:r>
      <w:r w:rsidR="00FF350D">
        <w:t xml:space="preserve">ed by the </w:t>
      </w:r>
      <w:proofErr w:type="gramStart"/>
      <w:r w:rsidR="00FF350D">
        <w:t>guideline</w:t>
      </w:r>
      <w:r w:rsidR="00A92C92" w:rsidRPr="00E54FEA">
        <w:t>;</w:t>
      </w:r>
      <w:proofErr w:type="gramEnd"/>
    </w:p>
    <w:p w14:paraId="5775E9DE" w14:textId="6E673208" w:rsidR="004C24D1" w:rsidRPr="00E54FEA" w:rsidRDefault="00FE7AC3" w:rsidP="004C24D1">
      <w:pPr>
        <w:pStyle w:val="CETBodytext"/>
        <w:numPr>
          <w:ilvl w:val="0"/>
          <w:numId w:val="27"/>
        </w:numPr>
      </w:pPr>
      <w:r w:rsidRPr="00E54FEA">
        <w:t>mass</w:t>
      </w:r>
      <w:r w:rsidR="004C24D1" w:rsidRPr="00E54FEA">
        <w:t xml:space="preserve"> flow </w:t>
      </w:r>
      <w:r w:rsidRPr="00E54FEA">
        <w:t>controller for the neutral gas,</w:t>
      </w:r>
      <w:r w:rsidR="004C24D1" w:rsidRPr="00E54FEA">
        <w:t xml:space="preserve"> wi</w:t>
      </w:r>
      <w:r w:rsidR="00A92C92" w:rsidRPr="00E54FEA">
        <w:t xml:space="preserve">th a suitable work range to perform the </w:t>
      </w:r>
      <w:proofErr w:type="gramStart"/>
      <w:r w:rsidR="00A92C92" w:rsidRPr="00E54FEA">
        <w:t>analysis</w:t>
      </w:r>
      <w:r w:rsidR="004C24D1" w:rsidRPr="00E54FEA">
        <w:t>;</w:t>
      </w:r>
      <w:proofErr w:type="gramEnd"/>
    </w:p>
    <w:p w14:paraId="6199BD1E" w14:textId="48A598BC" w:rsidR="004C24D1" w:rsidRPr="00E54FEA" w:rsidRDefault="004C24D1" w:rsidP="004C24D1">
      <w:pPr>
        <w:pStyle w:val="CETBodytext"/>
        <w:numPr>
          <w:ilvl w:val="0"/>
          <w:numId w:val="27"/>
        </w:numPr>
      </w:pPr>
      <w:r w:rsidRPr="00E54FEA">
        <w:t>Teflon</w:t>
      </w:r>
      <w:r w:rsidRPr="00E54FEA">
        <w:rPr>
          <w:vertAlign w:val="superscript"/>
        </w:rPr>
        <w:t>®</w:t>
      </w:r>
      <w:r w:rsidRPr="00E54FEA">
        <w:t xml:space="preserve"> tubes with a 6 mm diameter</w:t>
      </w:r>
      <w:r w:rsidR="009E3494">
        <w:t>.</w:t>
      </w:r>
    </w:p>
    <w:p w14:paraId="2AC42A50" w14:textId="009577AC" w:rsidR="004C24D1" w:rsidRPr="00E54FEA" w:rsidRDefault="00D67FD8" w:rsidP="004C24D1">
      <w:pPr>
        <w:pStyle w:val="CETBodytext"/>
      </w:pPr>
      <w:r>
        <w:t>Nitrogen is t</w:t>
      </w:r>
      <w:r w:rsidR="004C24D1" w:rsidRPr="00E54FEA">
        <w:t xml:space="preserve">he </w:t>
      </w:r>
      <w:r>
        <w:t xml:space="preserve">chosen </w:t>
      </w:r>
      <w:r w:rsidR="00AC4710" w:rsidRPr="00E54FEA">
        <w:t xml:space="preserve">stripping </w:t>
      </w:r>
      <w:r w:rsidR="004C24D1" w:rsidRPr="00E54FEA">
        <w:t>gas</w:t>
      </w:r>
      <w:r>
        <w:t xml:space="preserve"> fluxed in the experimental system</w:t>
      </w:r>
      <w:r w:rsidRPr="00E54FEA">
        <w:t xml:space="preserve"> because</w:t>
      </w:r>
      <w:r>
        <w:t xml:space="preserve"> it </w:t>
      </w:r>
      <w:r w:rsidR="00BE15E9">
        <w:t>should</w:t>
      </w:r>
      <w:r>
        <w:t xml:space="preserve"> be avoided to operate in condition</w:t>
      </w:r>
      <w:r w:rsidR="00A72792">
        <w:t>s</w:t>
      </w:r>
      <w:r>
        <w:t xml:space="preserve"> of </w:t>
      </w:r>
      <w:r w:rsidRPr="00D67FD8">
        <w:t>explosive atmospheres</w:t>
      </w:r>
      <w:r>
        <w:t xml:space="preserve">. </w:t>
      </w:r>
      <w:r w:rsidR="00BE15E9">
        <w:t>Its</w:t>
      </w:r>
      <w:r w:rsidR="004C24D1" w:rsidRPr="00E54FEA">
        <w:t xml:space="preserve"> flow is checked and kept constant at fixed value </w:t>
      </w:r>
      <w:r w:rsidR="00BE15E9">
        <w:t xml:space="preserve">of </w:t>
      </w:r>
      <w:r w:rsidR="00BE15E9" w:rsidRPr="00E54FEA">
        <w:t xml:space="preserve">100 L/h </w:t>
      </w:r>
      <w:r w:rsidR="004C24D1" w:rsidRPr="00E54FEA">
        <w:t>by the</w:t>
      </w:r>
      <w:r w:rsidR="000860FF" w:rsidRPr="00E54FEA">
        <w:t xml:space="preserve"> mass</w:t>
      </w:r>
      <w:r w:rsidR="004C24D1" w:rsidRPr="00E54FEA">
        <w:t xml:space="preserve"> flow </w:t>
      </w:r>
      <w:r w:rsidR="008B0267">
        <w:t>controller</w:t>
      </w:r>
      <w:r w:rsidR="00062385">
        <w:t xml:space="preserve"> (MFC)</w:t>
      </w:r>
      <w:r w:rsidR="004C24D1" w:rsidRPr="00E54FEA">
        <w:t>.</w:t>
      </w:r>
      <w:r w:rsidR="00E14CA7" w:rsidRPr="00E54FEA">
        <w:t xml:space="preserve"> </w:t>
      </w:r>
      <w:r w:rsidR="00BE15E9">
        <w:t xml:space="preserve">This rate is function of </w:t>
      </w:r>
      <w:r w:rsidR="00E14CA7" w:rsidRPr="00E54FEA">
        <w:t>the degree of turbulence</w:t>
      </w:r>
      <w:r w:rsidR="00BE15E9">
        <w:t>, which must be including</w:t>
      </w:r>
      <w:r w:rsidR="00E14CA7" w:rsidRPr="00E54FEA">
        <w:t xml:space="preserve"> </w:t>
      </w:r>
      <w:r w:rsidR="006422AD" w:rsidRPr="00E54FEA">
        <w:t>between</w:t>
      </w:r>
      <w:r w:rsidR="00E14CA7" w:rsidRPr="00E54FEA">
        <w:t xml:space="preserve"> </w:t>
      </w:r>
      <w:r w:rsidR="006422AD" w:rsidRPr="00E54FEA">
        <w:t>9</w:t>
      </w:r>
      <w:r w:rsidR="00E14CA7" w:rsidRPr="00E54FEA">
        <w:t>0 h</w:t>
      </w:r>
      <w:r w:rsidR="00E14CA7" w:rsidRPr="00E54FEA">
        <w:rPr>
          <w:vertAlign w:val="superscript"/>
        </w:rPr>
        <w:t>-1</w:t>
      </w:r>
      <w:r w:rsidR="00E14CA7" w:rsidRPr="00E54FEA">
        <w:t xml:space="preserve"> </w:t>
      </w:r>
      <w:r w:rsidR="006422AD" w:rsidRPr="00E54FEA">
        <w:t>and 110 h</w:t>
      </w:r>
      <w:r w:rsidR="006422AD" w:rsidRPr="00E54FEA">
        <w:rPr>
          <w:vertAlign w:val="superscript"/>
        </w:rPr>
        <w:t>-1</w:t>
      </w:r>
      <w:r w:rsidR="006A3A72" w:rsidRPr="00E54FEA">
        <w:t xml:space="preserve"> </w:t>
      </w:r>
      <w:r w:rsidR="006A3A72" w:rsidRPr="00E54FEA">
        <w:fldChar w:fldCharType="begin" w:fldLock="1"/>
      </w:r>
      <w:r w:rsidR="006A3A72" w:rsidRPr="00E54FEA">
        <w:instrText>ADDIN CSL_CITATION {"citationItems":[{"id":"ITEM-1","itemData":{"DOI":"10.3303/CET1230004","ISBN":"9788895608211","ISSN":"22839216","author":[{"dropping-particle":"","family":"Frechen","given":"F.B.","non-dropping-particle":"","parse-names":false,"suffix":""}],"id":"ITEM-1","issue":"July","issued":{"date-parts":[["2012"]]},"page":"19-24","title":"Evaluation of OEC Data for Preparation of the New VDI Guideline 3885 / 1","type":"article-journal","volume":"30"},"uris":["http://www.mendeley.com/documents/?uuid=1e9a37db-0d41-4321-b811-d834f64bece1"]}],"mendeley":{"formattedCitation":"(Frechen, 2012)","plainTextFormattedCitation":"(Frechen, 2012)","previouslyFormattedCitation":"(Frechen, 2012)"},"properties":{"noteIndex":0},"schema":"https://github.com/citation-style-language/schema/raw/master/csl-citation.json"}</w:instrText>
      </w:r>
      <w:r w:rsidR="006A3A72" w:rsidRPr="00E54FEA">
        <w:fldChar w:fldCharType="separate"/>
      </w:r>
      <w:r w:rsidR="006A3A72" w:rsidRPr="00E54FEA">
        <w:rPr>
          <w:noProof/>
        </w:rPr>
        <w:t>(Frechen, 2012)</w:t>
      </w:r>
      <w:r w:rsidR="006A3A72" w:rsidRPr="00E54FEA">
        <w:fldChar w:fldCharType="end"/>
      </w:r>
      <w:r w:rsidR="00E14CA7" w:rsidRPr="00E54FEA">
        <w:t>.</w:t>
      </w:r>
    </w:p>
    <w:p w14:paraId="529B69F2" w14:textId="54E54EEC" w:rsidR="00AA1DC8" w:rsidRPr="00E54FEA" w:rsidRDefault="004C24D1" w:rsidP="004C24D1">
      <w:pPr>
        <w:pStyle w:val="CETBodytext"/>
      </w:pPr>
      <w:r w:rsidRPr="00E54FEA">
        <w:t xml:space="preserve">Downstream of the flow </w:t>
      </w:r>
      <w:r w:rsidR="008B0267">
        <w:t>controller</w:t>
      </w:r>
      <w:r w:rsidR="00670509" w:rsidRPr="00E54FEA">
        <w:t>,</w:t>
      </w:r>
      <w:r w:rsidR="00FE7AC3" w:rsidRPr="00E54FEA">
        <w:t xml:space="preserve"> the</w:t>
      </w:r>
      <w:r w:rsidRPr="00E54FEA">
        <w:t xml:space="preserve"> </w:t>
      </w:r>
      <w:r w:rsidR="006C652C">
        <w:t xml:space="preserve">glass </w:t>
      </w:r>
      <w:r w:rsidRPr="00E54FEA">
        <w:t>bubbl</w:t>
      </w:r>
      <w:r w:rsidR="0043040C" w:rsidRPr="00E54FEA">
        <w:t>er</w:t>
      </w:r>
      <w:r w:rsidR="006C652C">
        <w:t xml:space="preserve"> that contains the liquid sample</w:t>
      </w:r>
      <w:r w:rsidR="0043040C" w:rsidRPr="00E54FEA">
        <w:t xml:space="preserve"> is positioned</w:t>
      </w:r>
      <w:r w:rsidR="006C652C">
        <w:t>. It is</w:t>
      </w:r>
      <w:r w:rsidRPr="00E54FEA">
        <w:t xml:space="preserve"> fitted with two sealed ports</w:t>
      </w:r>
      <w:r w:rsidR="006C652C">
        <w:t>, one dedicated for the gas inlet and the other one for the outlet gas</w:t>
      </w:r>
      <w:r w:rsidRPr="00E54FEA">
        <w:t>.</w:t>
      </w:r>
      <w:r w:rsidR="006C652C">
        <w:t xml:space="preserve"> </w:t>
      </w:r>
      <w:r w:rsidRPr="00E54FEA">
        <w:t>Through the first port enters a Teflon</w:t>
      </w:r>
      <w:r w:rsidRPr="00E54FEA">
        <w:rPr>
          <w:vertAlign w:val="superscript"/>
        </w:rPr>
        <w:t>®</w:t>
      </w:r>
      <w:r w:rsidRPr="00E54FEA">
        <w:t xml:space="preserve"> tube</w:t>
      </w:r>
      <w:r w:rsidR="0043040C" w:rsidRPr="00E54FEA">
        <w:t>, which channels nitrogen to the</w:t>
      </w:r>
      <w:r w:rsidR="00E22E5A" w:rsidRPr="00E54FEA">
        <w:t xml:space="preserve"> porous septum</w:t>
      </w:r>
      <w:r w:rsidRPr="00E54FEA">
        <w:t xml:space="preserve"> positioned on the bottom of the bubbler. In the other port, there is a second Teflon</w:t>
      </w:r>
      <w:r w:rsidRPr="00E54FEA">
        <w:rPr>
          <w:vertAlign w:val="superscript"/>
        </w:rPr>
        <w:t>®</w:t>
      </w:r>
      <w:r w:rsidR="0043040C" w:rsidRPr="00E54FEA">
        <w:t xml:space="preserve"> tube</w:t>
      </w:r>
      <w:r w:rsidRPr="00E54FEA">
        <w:t xml:space="preserve">, </w:t>
      </w:r>
      <w:r w:rsidR="003E4A7C" w:rsidRPr="00E54FEA">
        <w:t>where</w:t>
      </w:r>
      <w:r w:rsidRPr="00E54FEA">
        <w:t xml:space="preserve"> it is possible to sample the gas phase</w:t>
      </w:r>
      <w:r w:rsidR="003E4A7C" w:rsidRPr="00E54FEA">
        <w:t xml:space="preserve"> enriched of the stripped compounds</w:t>
      </w:r>
      <w:r w:rsidRPr="00E54FEA">
        <w:t xml:space="preserve">, using </w:t>
      </w:r>
      <w:r w:rsidR="0043040C" w:rsidRPr="00E54FEA">
        <w:t>a</w:t>
      </w:r>
      <w:r w:rsidRPr="00E54FEA">
        <w:t xml:space="preserve"> </w:t>
      </w:r>
      <w:proofErr w:type="spellStart"/>
      <w:r w:rsidRPr="00E54FEA">
        <w:t>Nalophan</w:t>
      </w:r>
      <w:proofErr w:type="spellEnd"/>
      <w:r w:rsidRPr="00E54FEA">
        <w:rPr>
          <w:vertAlign w:val="superscript"/>
        </w:rPr>
        <w:t>™</w:t>
      </w:r>
      <w:r w:rsidR="0043040C" w:rsidRPr="00E54FEA">
        <w:t xml:space="preserve"> bag.</w:t>
      </w:r>
      <w:r w:rsidR="00B02E3F" w:rsidRPr="00E54FEA">
        <w:t xml:space="preserve"> </w:t>
      </w:r>
      <w:r w:rsidR="005036B8">
        <w:t>D</w:t>
      </w:r>
      <w:r w:rsidR="005036B8" w:rsidRPr="005036B8">
        <w:t>uring th</w:t>
      </w:r>
      <w:r w:rsidR="005036B8">
        <w:t>e gas sampling</w:t>
      </w:r>
      <w:r w:rsidR="005036B8" w:rsidRPr="005036B8">
        <w:t xml:space="preserve"> it is important to take in account that the odour concentration could be too high for the olfactometer</w:t>
      </w:r>
      <w:r w:rsidR="00471152">
        <w:t xml:space="preserve">. </w:t>
      </w:r>
      <w:proofErr w:type="gramStart"/>
      <w:r w:rsidR="00471152">
        <w:t>I</w:t>
      </w:r>
      <w:r w:rsidR="00471152" w:rsidRPr="00471152">
        <w:t>n order to</w:t>
      </w:r>
      <w:proofErr w:type="gramEnd"/>
      <w:r w:rsidR="00471152" w:rsidRPr="00471152">
        <w:t xml:space="preserve"> reduce the high odorous load at the outlet,</w:t>
      </w:r>
      <w:r w:rsidR="00471152">
        <w:t xml:space="preserve"> </w:t>
      </w:r>
      <w:r w:rsidR="005036B8" w:rsidRPr="005036B8">
        <w:t>during the sampling a</w:t>
      </w:r>
      <w:r w:rsidR="002369D2">
        <w:t xml:space="preserve"> dynamic</w:t>
      </w:r>
      <w:r w:rsidR="005036B8" w:rsidRPr="005036B8">
        <w:t xml:space="preserve"> dilution of gas sample </w:t>
      </w:r>
      <w:r w:rsidR="00C26FF9">
        <w:t>is</w:t>
      </w:r>
      <w:r w:rsidR="005036B8" w:rsidRPr="005036B8">
        <w:t xml:space="preserve"> done</w:t>
      </w:r>
      <w:r w:rsidR="00C26FF9">
        <w:t xml:space="preserve"> with the auxilium an additive flow of nitrogen</w:t>
      </w:r>
      <w:r w:rsidR="005036B8" w:rsidRPr="005036B8">
        <w:t xml:space="preserve">, </w:t>
      </w:r>
      <w:r w:rsidR="00C26FF9">
        <w:t xml:space="preserve">connected to the outlet gas through a </w:t>
      </w:r>
      <w:r w:rsidR="002A4ED2">
        <w:t>T</w:t>
      </w:r>
      <w:r w:rsidR="00C26FF9">
        <w:t>-connection. This application allows to reduce the volume of the analy</w:t>
      </w:r>
      <w:r w:rsidR="009C0C34">
        <w:t>s</w:t>
      </w:r>
      <w:r w:rsidR="00C26FF9">
        <w:t>ed liquid sample</w:t>
      </w:r>
      <w:r w:rsidR="005459B1">
        <w:t>, from 30 L to 1 L as previously mentioned</w:t>
      </w:r>
      <w:r w:rsidR="009C0C34">
        <w:t>. Moreover</w:t>
      </w:r>
      <w:r w:rsidR="003F3D15">
        <w:t>,</w:t>
      </w:r>
      <w:r w:rsidR="009C0C34">
        <w:t xml:space="preserve"> this arrangement ensure</w:t>
      </w:r>
      <w:r w:rsidR="003F3D15">
        <w:t>s</w:t>
      </w:r>
      <w:r w:rsidR="009C0C34">
        <w:t xml:space="preserve"> to respect the filling time fixed by the standard </w:t>
      </w:r>
      <w:r w:rsidR="002369D2">
        <w:t>(</w:t>
      </w:r>
      <w:proofErr w:type="gramStart"/>
      <w:r w:rsidR="002369D2">
        <w:t>i.e.</w:t>
      </w:r>
      <w:proofErr w:type="gramEnd"/>
      <w:r w:rsidR="002369D2">
        <w:t xml:space="preserve"> &lt; 30 s) </w:t>
      </w:r>
      <w:r w:rsidR="009C0C34" w:rsidRPr="005036B8">
        <w:t xml:space="preserve">using a suitable </w:t>
      </w:r>
      <w:r w:rsidR="002369D2">
        <w:t xml:space="preserve">flux rate, that in this case is equal to </w:t>
      </w:r>
      <w:r w:rsidR="0058569A">
        <w:t>7</w:t>
      </w:r>
      <w:r w:rsidR="003B4711">
        <w:t xml:space="preserve">00 </w:t>
      </w:r>
      <w:r w:rsidR="002369D2">
        <w:t>L/h</w:t>
      </w:r>
      <w:r w:rsidR="009720B0">
        <w:t>.</w:t>
      </w:r>
      <w:r w:rsidR="00B36F21">
        <w:t xml:space="preserve"> For this reason, each measured odour concentrations must be multiplied for </w:t>
      </w:r>
      <w:r w:rsidR="00F618C2">
        <w:t>the dilution factor (</w:t>
      </w:r>
      <w:proofErr w:type="gramStart"/>
      <w:r w:rsidR="00F618C2">
        <w:t>i.e.</w:t>
      </w:r>
      <w:proofErr w:type="gramEnd"/>
      <w:r w:rsidR="00F618C2">
        <w:t xml:space="preserve"> </w:t>
      </w:r>
      <w:r w:rsidR="0058569A">
        <w:t>8</w:t>
      </w:r>
      <w:r w:rsidR="00F618C2">
        <w:t>)</w:t>
      </w:r>
      <w:r w:rsidR="00B36F21">
        <w:t>.</w:t>
      </w:r>
      <w:r w:rsidR="003F3D15">
        <w:t xml:space="preserve"> A</w:t>
      </w:r>
      <w:r w:rsidR="00B02E3F" w:rsidRPr="00E54FEA">
        <w:t>fter</w:t>
      </w:r>
      <w:r w:rsidR="0043040C" w:rsidRPr="00E54FEA">
        <w:t xml:space="preserve"> the</w:t>
      </w:r>
      <w:r w:rsidR="00B02E3F" w:rsidRPr="00E54FEA">
        <w:t xml:space="preserve"> start of bubbling, </w:t>
      </w:r>
      <w:r w:rsidR="00B33436">
        <w:t xml:space="preserve">the </w:t>
      </w:r>
      <w:r w:rsidR="003F3D15">
        <w:t>4</w:t>
      </w:r>
      <w:r w:rsidR="00B33436">
        <w:t xml:space="preserve"> “standard”</w:t>
      </w:r>
      <w:r w:rsidR="003F3D15">
        <w:t xml:space="preserve"> </w:t>
      </w:r>
      <w:r w:rsidR="00B02E3F" w:rsidRPr="00E54FEA">
        <w:t>off</w:t>
      </w:r>
      <w:r w:rsidR="00B33436">
        <w:t>-</w:t>
      </w:r>
      <w:r w:rsidR="00B02E3F" w:rsidRPr="00E54FEA">
        <w:t xml:space="preserve">gas samples are withdrawn at </w:t>
      </w:r>
      <w:r w:rsidR="003F3D15">
        <w:t>the standard</w:t>
      </w:r>
      <w:r w:rsidR="00B02E3F" w:rsidRPr="00E54FEA">
        <w:t xml:space="preserve"> time intervals, </w:t>
      </w:r>
      <w:proofErr w:type="gramStart"/>
      <w:r w:rsidR="00B02E3F" w:rsidRPr="00E54FEA">
        <w:t>i.e.</w:t>
      </w:r>
      <w:proofErr w:type="gramEnd"/>
      <w:r w:rsidR="00B02E3F" w:rsidRPr="00E54FEA">
        <w:t xml:space="preserve"> 2 min, 6 min, 16 min and 32 min</w:t>
      </w:r>
      <w:r w:rsidR="003F3D15">
        <w:t xml:space="preserve">, and other 5 at </w:t>
      </w:r>
      <w:r w:rsidR="004D0654">
        <w:t>subsequent times</w:t>
      </w:r>
      <w:r w:rsidR="003F3D15">
        <w:t>, i.e. 60 min (1 h), 240 min (</w:t>
      </w:r>
      <w:r w:rsidR="004D0654">
        <w:t>4 h), 480 min (8 h), 1440 min (24 h) and 2880 min (48 h)</w:t>
      </w:r>
      <w:r w:rsidR="00B02E3F" w:rsidRPr="00E54FEA">
        <w:t xml:space="preserve">. </w:t>
      </w:r>
      <w:r w:rsidR="00F47811" w:rsidRPr="00E54FEA">
        <w:t>The odour concentration of each</w:t>
      </w:r>
      <w:r w:rsidR="004D0654">
        <w:t xml:space="preserve"> gas</w:t>
      </w:r>
      <w:r w:rsidR="00F47811" w:rsidRPr="00E54FEA">
        <w:t xml:space="preserve"> sample is</w:t>
      </w:r>
      <w:r w:rsidR="004D0654">
        <w:t xml:space="preserve"> then</w:t>
      </w:r>
      <w:r w:rsidR="00F47811" w:rsidRPr="00E54FEA">
        <w:t xml:space="preserve"> measured </w:t>
      </w:r>
      <w:r w:rsidR="004D0654">
        <w:t>according to</w:t>
      </w:r>
      <w:r w:rsidR="00F47811" w:rsidRPr="00E54FEA">
        <w:t xml:space="preserve"> dynamic olfactometry</w:t>
      </w:r>
      <w:r w:rsidR="004D0654">
        <w:t xml:space="preserve"> standard</w:t>
      </w:r>
      <w:r w:rsidR="00AE0E41">
        <w:t xml:space="preserve"> EN 13725:2022 </w:t>
      </w:r>
      <w:r w:rsidR="00AE0E41">
        <w:fldChar w:fldCharType="begin" w:fldLock="1"/>
      </w:r>
      <w:r w:rsidR="0058569A">
        <w:instrText>ADDIN CSL_CITATION {"citationItems":[{"id":"ITEM-1","itemData":{"author":[{"dropping-particle":"","family":"CEN","given":"","non-dropping-particle":"","parse-names":false,"suffix":""}],"id":"ITEM-1","issued":{"date-parts":[["2022"]]},"title":"EN13725:2022 - Stationary source emissions - Determination of odour concentration by dynamic olfactometry and odour emission rate","type":"article-journal"},"uris":["http://www.mendeley.com/documents/?uuid=9389f316-0679-4fd4-a38c-bedfdefd16b7"]}],"mendeley":{"formattedCitation":"(CEN, 2022)","plainTextFormattedCitation":"(CEN, 2022)","previouslyFormattedCitation":"(CEN, 2022)"},"properties":{"noteIndex":0},"schema":"https://github.com/citation-style-language/schema/raw/master/csl-citation.json"}</w:instrText>
      </w:r>
      <w:r w:rsidR="00AE0E41">
        <w:fldChar w:fldCharType="separate"/>
      </w:r>
      <w:r w:rsidR="00AE0E41" w:rsidRPr="00AE0E41">
        <w:rPr>
          <w:noProof/>
        </w:rPr>
        <w:t>(CEN, 2022)</w:t>
      </w:r>
      <w:r w:rsidR="00AE0E41">
        <w:fldChar w:fldCharType="end"/>
      </w:r>
      <w:r w:rsidR="00F47811" w:rsidRPr="00E54FEA">
        <w:t>.</w:t>
      </w:r>
      <w:r w:rsidR="000B43CF" w:rsidRPr="00E54FEA">
        <w:t xml:space="preserve"> </w:t>
      </w:r>
      <w:r w:rsidR="000B43CF" w:rsidRPr="00E54FEA">
        <w:fldChar w:fldCharType="begin"/>
      </w:r>
      <w:r w:rsidR="000B43CF" w:rsidRPr="00E54FEA">
        <w:instrText xml:space="preserve"> REF _Ref62055356 \h </w:instrText>
      </w:r>
      <w:r w:rsidR="000B43CF" w:rsidRPr="00E54FEA">
        <w:fldChar w:fldCharType="separate"/>
      </w:r>
      <w:r w:rsidR="000B43CF" w:rsidRPr="00E54FEA">
        <w:t>Figure 1</w:t>
      </w:r>
      <w:r w:rsidR="000B43CF" w:rsidRPr="00E54FEA">
        <w:fldChar w:fldCharType="end"/>
      </w:r>
      <w:r w:rsidR="000B43CF" w:rsidRPr="00E54FEA">
        <w:t xml:space="preserve"> illustrates a</w:t>
      </w:r>
      <w:r w:rsidR="00AA1DC8" w:rsidRPr="00E54FEA">
        <w:t xml:space="preserve"> </w:t>
      </w:r>
      <w:r w:rsidR="000B43CF" w:rsidRPr="00E54FEA">
        <w:t xml:space="preserve">sketch of </w:t>
      </w:r>
      <w:r w:rsidR="00AA1DC8" w:rsidRPr="00E54FEA">
        <w:t>the flows of the experimental apparatus</w:t>
      </w:r>
      <w:r w:rsidR="00670509" w:rsidRPr="00E54FEA">
        <w:t>.</w:t>
      </w:r>
    </w:p>
    <w:p w14:paraId="1461A87F" w14:textId="77777777" w:rsidR="00AA1DC8" w:rsidRPr="00E54FEA" w:rsidRDefault="00AA1DC8" w:rsidP="00AA1DC8">
      <w:pPr>
        <w:pStyle w:val="CETBodytext"/>
        <w:keepNext/>
      </w:pPr>
      <w:r w:rsidRPr="00E54FEA">
        <w:rPr>
          <w:noProof/>
          <w:lang w:eastAsia="it-IT"/>
        </w:rPr>
        <w:lastRenderedPageBreak/>
        <w:drawing>
          <wp:inline distT="0" distB="0" distL="0" distR="0" wp14:anchorId="74E5DE0A" wp14:editId="6EDFE883">
            <wp:extent cx="3600000" cy="2482324"/>
            <wp:effectExtent l="0" t="0" r="63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0"/>
                    <a:stretch>
                      <a:fillRect/>
                    </a:stretch>
                  </pic:blipFill>
                  <pic:spPr bwMode="auto">
                    <a:xfrm>
                      <a:off x="0" y="0"/>
                      <a:ext cx="3600000" cy="2482324"/>
                    </a:xfrm>
                    <a:prstGeom prst="rect">
                      <a:avLst/>
                    </a:prstGeom>
                    <a:ln>
                      <a:noFill/>
                    </a:ln>
                    <a:extLst>
                      <a:ext uri="{53640926-AAD7-44D8-BBD7-CCE9431645EC}">
                        <a14:shadowObscured xmlns:a14="http://schemas.microsoft.com/office/drawing/2010/main"/>
                      </a:ext>
                    </a:extLst>
                  </pic:spPr>
                </pic:pic>
              </a:graphicData>
            </a:graphic>
          </wp:inline>
        </w:drawing>
      </w:r>
    </w:p>
    <w:p w14:paraId="1AF66BF3" w14:textId="35CCD840" w:rsidR="00AA1DC8" w:rsidRDefault="00AA1DC8" w:rsidP="00291785">
      <w:pPr>
        <w:pStyle w:val="CETCaption"/>
        <w:rPr>
          <w:rFonts w:eastAsiaTheme="minorHAnsi"/>
        </w:rPr>
      </w:pPr>
      <w:bookmarkStart w:id="2" w:name="_Ref62055356"/>
      <w:r w:rsidRPr="00E54FEA">
        <w:t xml:space="preserve">Figure </w:t>
      </w:r>
      <w:r w:rsidRPr="00E54FEA">
        <w:fldChar w:fldCharType="begin"/>
      </w:r>
      <w:r w:rsidRPr="00E54FEA">
        <w:instrText xml:space="preserve"> SEQ Figure \* ARABIC </w:instrText>
      </w:r>
      <w:r w:rsidRPr="00E54FEA">
        <w:fldChar w:fldCharType="separate"/>
      </w:r>
      <w:r w:rsidR="008C19E9">
        <w:rPr>
          <w:noProof/>
        </w:rPr>
        <w:t>1</w:t>
      </w:r>
      <w:r w:rsidRPr="00E54FEA">
        <w:fldChar w:fldCharType="end"/>
      </w:r>
      <w:bookmarkEnd w:id="2"/>
      <w:r w:rsidRPr="00E54FEA">
        <w:t xml:space="preserve">. </w:t>
      </w:r>
      <w:r w:rsidRPr="00E54FEA">
        <w:rPr>
          <w:rFonts w:eastAsiaTheme="minorHAnsi"/>
        </w:rPr>
        <w:t>Diagram illustrating the flows of the experimental apparatus</w:t>
      </w:r>
    </w:p>
    <w:p w14:paraId="3258D25E" w14:textId="7C4237F2" w:rsidR="002A4ED2" w:rsidRPr="00E54FEA" w:rsidRDefault="00B16029" w:rsidP="002A4ED2">
      <w:pPr>
        <w:pStyle w:val="CETheadingx"/>
        <w:rPr>
          <w:rFonts w:eastAsiaTheme="minorHAnsi"/>
        </w:rPr>
      </w:pPr>
      <w:r>
        <w:rPr>
          <w:rFonts w:eastAsiaTheme="minorHAnsi"/>
        </w:rPr>
        <w:t xml:space="preserve">Standard </w:t>
      </w:r>
      <w:r w:rsidR="002A4ED2">
        <w:rPr>
          <w:rFonts w:eastAsiaTheme="minorHAnsi"/>
        </w:rPr>
        <w:t>OEC measurement</w:t>
      </w:r>
    </w:p>
    <w:p w14:paraId="0DBE04AF" w14:textId="0F908419" w:rsidR="00B35A63" w:rsidRPr="00E54FEA" w:rsidRDefault="00B35A63" w:rsidP="00B35A63">
      <w:pPr>
        <w:pStyle w:val="CETBodytext"/>
      </w:pPr>
      <w:r w:rsidRPr="00E54FEA">
        <w:t xml:space="preserve">The </w:t>
      </w:r>
      <w:r w:rsidR="00B16029">
        <w:t xml:space="preserve">utilized </w:t>
      </w:r>
      <w:r w:rsidR="00150A40">
        <w:t xml:space="preserve">approach </w:t>
      </w:r>
      <w:r w:rsidR="00B16029">
        <w:t>for evaluating the</w:t>
      </w:r>
      <w:r w:rsidRPr="00E54FEA">
        <w:t xml:space="preserve"> OEC depends on the odour concentration (C</w:t>
      </w:r>
      <w:r w:rsidRPr="00E54FEA">
        <w:rPr>
          <w:vertAlign w:val="subscript"/>
        </w:rPr>
        <w:t>od</w:t>
      </w:r>
      <w:r w:rsidRPr="00E54FEA">
        <w:t xml:space="preserve">) of the gas phase related to the evaporated wastewater </w:t>
      </w:r>
      <w:r w:rsidRPr="00E54FEA">
        <w:fldChar w:fldCharType="begin" w:fldLock="1"/>
      </w:r>
      <w:r w:rsidRPr="00E54FEA">
        <w:instrText>ADDIN CSL_CITATION {"citationItems":[{"id":"ITEM-1","itemData":{"DOI":"10.1016/S0273-1223(98)00451-X","ISSN":"02731223","abstract":"Odorous emissions from sewer systems and wastewater treatment plants can cause serious annoyance in the vicinity. Odorants which are present in a liquid phase are emitted into ambient air at the liquid-gaseous interface. The amount and the variation of emitted mass flow of odorants is significantly influenced by the amount of odorants which are present in the liquid. Up to now, however, no measurement method was available to describe this parameter, which can be called “Odorants Emission Capacity”. The paper describes a standardized method of determining the “Odorants Emission Capacity” and shows results and consequences from several case studies where this new method was applied.","author":[{"dropping-particle":"","family":"Frechen","given":"F.B.","non-dropping-particle":"","parse-names":false,"suffix":""},{"dropping-particle":"","family":"Köster","given":"Wulf","non-dropping-particle":"","parse-names":false,"suffix":""}],"container-title":"Water Science and Technology","id":"ITEM-1","issue":"3","issued":{"date-parts":[["1998"]]},"page":"61-69","title":"Odour emission capacity of wastewaters - standardization of measurement method and application","type":"article-journal","volume":"38"},"uris":["http://www.mendeley.com/documents/?uuid=ab298421-db6b-421a-a153-f24dcaf4f90c"]}],"mendeley":{"formattedCitation":"(Frechen &amp; Köster, 1998)","manualFormatting":"(Frechen et al., 1998)","plainTextFormattedCitation":"(Frechen &amp; Köster, 1998)","previouslyFormattedCitation":"(Frechen &amp; Köster, 1998)"},"properties":{"noteIndex":0},"schema":"https://github.com/citation-style-language/schema/raw/master/csl-citation.json"}</w:instrText>
      </w:r>
      <w:r w:rsidRPr="00E54FEA">
        <w:fldChar w:fldCharType="separate"/>
      </w:r>
      <w:r w:rsidRPr="00E54FEA">
        <w:rPr>
          <w:noProof/>
        </w:rPr>
        <w:t>(Frechen et al., 1998)</w:t>
      </w:r>
      <w:r w:rsidRPr="00E54FEA">
        <w:fldChar w:fldCharType="end"/>
      </w:r>
      <w:r w:rsidRPr="00E54FEA">
        <w:t xml:space="preserve">. The estimation of OEC value relating to the examined liquid is based on </w:t>
      </w:r>
      <w:proofErr w:type="spellStart"/>
      <w:proofErr w:type="gramStart"/>
      <w:r w:rsidR="003869A4" w:rsidRPr="00E54FEA">
        <w:t>Eq</w:t>
      </w:r>
      <w:proofErr w:type="spellEnd"/>
      <w:r w:rsidR="003869A4" w:rsidRPr="00E54FEA">
        <w:t>(</w:t>
      </w:r>
      <w:proofErr w:type="gramEnd"/>
      <w:r w:rsidR="003869A4" w:rsidRPr="00E54FEA">
        <w:t>1)</w:t>
      </w:r>
      <w:r w:rsidRPr="00E54FEA">
        <w:t>:</w:t>
      </w:r>
    </w:p>
    <w:tbl>
      <w:tblPr>
        <w:tblW w:w="5000" w:type="pct"/>
        <w:tblLook w:val="04A0" w:firstRow="1" w:lastRow="0" w:firstColumn="1" w:lastColumn="0" w:noHBand="0" w:noVBand="1"/>
      </w:tblPr>
      <w:tblGrid>
        <w:gridCol w:w="7984"/>
        <w:gridCol w:w="803"/>
      </w:tblGrid>
      <w:tr w:rsidR="00B35A63" w:rsidRPr="00E54FEA" w14:paraId="3974718F" w14:textId="77777777" w:rsidTr="00C71222">
        <w:tc>
          <w:tcPr>
            <w:tcW w:w="8188" w:type="dxa"/>
            <w:shd w:val="clear" w:color="auto" w:fill="auto"/>
            <w:vAlign w:val="center"/>
          </w:tcPr>
          <w:p w14:paraId="4DC65463" w14:textId="5162C50A" w:rsidR="00B35A63" w:rsidRPr="00E54FEA" w:rsidRDefault="00B35A63" w:rsidP="00B35A63">
            <w:pPr>
              <w:pStyle w:val="CETEquation"/>
            </w:pPr>
            <m:oMathPara>
              <m:oMathParaPr>
                <m:jc m:val="left"/>
              </m:oMathParaPr>
              <m:oMath>
                <m:r>
                  <w:rPr>
                    <w:rFonts w:ascii="Cambria Math" w:hAnsi="Cambria Math"/>
                  </w:rPr>
                  <m:t>OEC</m:t>
                </m:r>
                <m:r>
                  <m:rPr>
                    <m:sty m:val="p"/>
                  </m:rPr>
                  <w:rPr>
                    <w:rFonts w:ascii="Cambria Math" w:hAnsi="Cambria Math"/>
                  </w:rPr>
                  <m:t>=</m:t>
                </m:r>
                <m:nary>
                  <m:naryPr>
                    <m:limLoc m:val="undOvr"/>
                    <m:subHide m:val="1"/>
                    <m:supHide m:val="1"/>
                    <m:ctrlPr>
                      <w:rPr>
                        <w:rFonts w:ascii="Cambria Math" w:hAnsi="Cambria Math"/>
                      </w:rPr>
                    </m:ctrlPr>
                  </m:naryPr>
                  <m:sub/>
                  <m:sup/>
                  <m:e>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od</m:t>
                                </m:r>
                              </m:sub>
                            </m:sSub>
                            <m:d>
                              <m:dPr>
                                <m:ctrlPr>
                                  <w:rPr>
                                    <w:rFonts w:ascii="Cambria Math" w:hAnsi="Cambria Math"/>
                                  </w:rPr>
                                </m:ctrlPr>
                              </m:dPr>
                              <m:e>
                                <m:r>
                                  <w:rPr>
                                    <w:rFonts w:ascii="Cambria Math" w:hAnsi="Cambria Math"/>
                                  </w:rPr>
                                  <m:t>t</m:t>
                                </m:r>
                              </m:e>
                            </m:d>
                            <m:r>
                              <m:rPr>
                                <m:sty m:val="p"/>
                              </m:rPr>
                              <w:rPr>
                                <w:rFonts w:ascii="Cambria Math" w:hAnsi="Cambria Math"/>
                              </w:rPr>
                              <m:t>-</m:t>
                            </m:r>
                            <m:sSub>
                              <m:sSubPr>
                                <m:ctrlPr>
                                  <w:rPr>
                                    <w:rFonts w:ascii="Cambria Math" w:hAnsi="Cambria Math"/>
                                  </w:rPr>
                                </m:ctrlPr>
                              </m:sSubPr>
                              <m:e>
                                <m:r>
                                  <w:rPr>
                                    <w:rFonts w:ascii="Cambria Math" w:hAnsi="Cambria Math"/>
                                  </w:rPr>
                                  <m:t>C</m:t>
                                </m:r>
                              </m:e>
                              <m:sub>
                                <m:r>
                                  <m:rPr>
                                    <m:sty m:val="p"/>
                                  </m:rPr>
                                  <w:rPr>
                                    <w:rFonts w:ascii="Cambria Math" w:hAnsi="Cambria Math"/>
                                  </w:rPr>
                                  <m:t>100</m:t>
                                </m:r>
                              </m:sub>
                            </m:sSub>
                          </m:e>
                        </m:d>
                      </m:num>
                      <m:den>
                        <m:sSub>
                          <m:sSubPr>
                            <m:ctrlPr>
                              <w:rPr>
                                <w:rFonts w:ascii="Cambria Math" w:hAnsi="Cambria Math"/>
                              </w:rPr>
                            </m:ctrlPr>
                          </m:sSubPr>
                          <m:e>
                            <m:r>
                              <w:rPr>
                                <w:rFonts w:ascii="Cambria Math" w:hAnsi="Cambria Math"/>
                              </w:rPr>
                              <m:t>V</m:t>
                            </m:r>
                          </m:e>
                          <m:sub>
                            <m:r>
                              <w:rPr>
                                <w:rFonts w:ascii="Cambria Math" w:hAnsi="Cambria Math"/>
                              </w:rPr>
                              <m:t>liquid</m:t>
                            </m:r>
                          </m:sub>
                        </m:sSub>
                      </m:den>
                    </m:f>
                  </m:e>
                </m:nary>
                <m:r>
                  <m:rPr>
                    <m:sty m:val="p"/>
                  </m:rPr>
                  <w:rPr>
                    <w:rFonts w:ascii="Cambria Math" w:hAnsi="Cambria Math"/>
                  </w:rPr>
                  <m:t>∙</m:t>
                </m:r>
                <m:sSub>
                  <m:sSubPr>
                    <m:ctrlPr>
                      <w:rPr>
                        <w:rFonts w:ascii="Cambria Math" w:hAnsi="Cambria Math"/>
                      </w:rPr>
                    </m:ctrlPr>
                  </m:sSubPr>
                  <m:e>
                    <m:r>
                      <w:rPr>
                        <w:rFonts w:ascii="Cambria Math" w:hAnsi="Cambria Math"/>
                      </w:rPr>
                      <m:t>dV</m:t>
                    </m:r>
                  </m:e>
                  <m:sub>
                    <m:sSub>
                      <m:sSubPr>
                        <m:ctrlPr>
                          <w:rPr>
                            <w:rFonts w:ascii="Cambria Math" w:hAnsi="Cambria Math"/>
                          </w:rPr>
                        </m:ctrlPr>
                      </m:sSubPr>
                      <m:e>
                        <m:r>
                          <w:rPr>
                            <w:rFonts w:ascii="Cambria Math" w:hAnsi="Cambria Math"/>
                          </w:rPr>
                          <m:t>N</m:t>
                        </m:r>
                      </m:e>
                      <m:sub>
                        <m:r>
                          <m:rPr>
                            <m:sty m:val="p"/>
                          </m:rPr>
                          <w:rPr>
                            <w:rFonts w:ascii="Cambria Math" w:hAnsi="Cambria Math"/>
                          </w:rPr>
                          <m:t>2</m:t>
                        </m:r>
                      </m:sub>
                    </m:sSub>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815" w:type="dxa"/>
            <w:shd w:val="clear" w:color="auto" w:fill="auto"/>
            <w:vAlign w:val="center"/>
          </w:tcPr>
          <w:p w14:paraId="4CA03740" w14:textId="06819BF9" w:rsidR="00B35A63" w:rsidRPr="00E54FEA" w:rsidRDefault="00B35A63" w:rsidP="00B35A63">
            <w:pPr>
              <w:pStyle w:val="CETEquation"/>
            </w:pPr>
            <w:r w:rsidRPr="00E54FEA">
              <w:t>(1)</w:t>
            </w:r>
          </w:p>
        </w:tc>
      </w:tr>
    </w:tbl>
    <w:p w14:paraId="2315AC10" w14:textId="37CF16B6" w:rsidR="00937439" w:rsidRPr="006533F8" w:rsidRDefault="00B35A63" w:rsidP="006533F8">
      <w:pPr>
        <w:pStyle w:val="CETBodytext"/>
        <w:rPr>
          <w:lang w:val="en-US"/>
        </w:rPr>
      </w:pPr>
      <w:r w:rsidRPr="00E54FEA">
        <w:t>where C</w:t>
      </w:r>
      <w:r w:rsidRPr="00E54FEA">
        <w:rPr>
          <w:vertAlign w:val="subscript"/>
        </w:rPr>
        <w:t>od</w:t>
      </w:r>
      <w:r w:rsidRPr="00E54FEA">
        <w:t>(t) is the measured odour concentration at the instant t</w:t>
      </w:r>
      <w:r w:rsidR="00F618C2">
        <w:t xml:space="preserve"> multiplied for </w:t>
      </w:r>
      <w:r w:rsidR="00C310C2">
        <w:t>8</w:t>
      </w:r>
      <w:r w:rsidR="00F618C2">
        <w:t xml:space="preserve"> (i.e. the dilution factor)</w:t>
      </w:r>
      <w:r w:rsidRPr="00E54FEA">
        <w:t>, C</w:t>
      </w:r>
      <w:r w:rsidRPr="00E54FEA">
        <w:rPr>
          <w:vertAlign w:val="subscript"/>
        </w:rPr>
        <w:t>100</w:t>
      </w:r>
      <w:r w:rsidRPr="00E54FEA">
        <w:t xml:space="preserve"> is the reference value of odour concentration lower limit (i.e. 100 ou</w:t>
      </w:r>
      <w:r w:rsidRPr="00E54FEA">
        <w:rPr>
          <w:vertAlign w:val="subscript"/>
        </w:rPr>
        <w:t>E</w:t>
      </w:r>
      <w:r w:rsidRPr="00E54FEA">
        <w:t>/m</w:t>
      </w:r>
      <w:r w:rsidRPr="00E54FEA">
        <w:rPr>
          <w:vertAlign w:val="superscript"/>
        </w:rPr>
        <w:t>3</w:t>
      </w:r>
      <w:r w:rsidRPr="00E54FEA">
        <w:t xml:space="preserve">), </w:t>
      </w:r>
      <w:proofErr w:type="spellStart"/>
      <w:r w:rsidRPr="00E54FEA">
        <w:t>V</w:t>
      </w:r>
      <w:r w:rsidRPr="00E54FEA">
        <w:rPr>
          <w:vertAlign w:val="subscript"/>
        </w:rPr>
        <w:t>liquid</w:t>
      </w:r>
      <w:proofErr w:type="spellEnd"/>
      <w:r w:rsidRPr="00E54FEA">
        <w:t xml:space="preserve"> is the volume of analysed liquid and dV</w:t>
      </w:r>
      <w:r w:rsidRPr="00E54FEA">
        <w:rPr>
          <w:vertAlign w:val="subscript"/>
        </w:rPr>
        <w:t>N2</w:t>
      </w:r>
      <w:r w:rsidRPr="00E54FEA">
        <w:t xml:space="preserve">(t) is the infinitesimal volume of fluxed nitrogen at the instant t. </w:t>
      </w:r>
      <w:r w:rsidR="00A81CBB" w:rsidRPr="0043040C">
        <w:fldChar w:fldCharType="begin"/>
      </w:r>
      <w:r w:rsidR="00A81CBB" w:rsidRPr="0043040C">
        <w:instrText xml:space="preserve"> REF _Ref62111207 \h  \* MERGEFORMAT </w:instrText>
      </w:r>
      <w:r w:rsidR="00A81CBB" w:rsidRPr="0043040C">
        <w:fldChar w:fldCharType="separate"/>
      </w:r>
      <w:r w:rsidR="00A81CBB" w:rsidRPr="0043040C">
        <w:t xml:space="preserve">Figure </w:t>
      </w:r>
      <w:r w:rsidR="00A81CBB" w:rsidRPr="0043040C">
        <w:rPr>
          <w:noProof/>
        </w:rPr>
        <w:t>2</w:t>
      </w:r>
      <w:r w:rsidR="00A81CBB" w:rsidRPr="0043040C">
        <w:fldChar w:fldCharType="end"/>
      </w:r>
      <w:r w:rsidR="00A81CBB" w:rsidRPr="0043040C">
        <w:t xml:space="preserve"> shows the measured odour concentrations (yellow square</w:t>
      </w:r>
      <w:r w:rsidR="00A81CBB">
        <w:t>s</w:t>
      </w:r>
      <w:r w:rsidR="00A81CBB" w:rsidRPr="0043040C">
        <w:t>) of the gas samples taken during the course of the analysis</w:t>
      </w:r>
      <w:r w:rsidR="00312D44" w:rsidRPr="00312D44">
        <w:t xml:space="preserve"> </w:t>
      </w:r>
      <w:r w:rsidR="00312D44">
        <w:t>at the time intervals fixed by guideline</w:t>
      </w:r>
      <w:r w:rsidR="00A81CBB" w:rsidRPr="0043040C">
        <w:t>.</w:t>
      </w:r>
      <w:r w:rsidR="00D64B19">
        <w:t xml:space="preserve"> </w:t>
      </w:r>
      <w:r w:rsidR="00A81CBB" w:rsidRPr="0043040C">
        <w:t xml:space="preserve">The OEC </w:t>
      </w:r>
      <w:r w:rsidR="00D64B19">
        <w:t xml:space="preserve">value </w:t>
      </w:r>
      <w:r w:rsidR="00A81CBB" w:rsidRPr="0043040C">
        <w:t>is</w:t>
      </w:r>
      <w:r w:rsidR="00312D44">
        <w:t xml:space="preserve"> </w:t>
      </w:r>
      <w:r w:rsidR="006533F8" w:rsidRPr="006533F8">
        <w:rPr>
          <w:lang w:val="en-US"/>
        </w:rPr>
        <w:t>the area between the</w:t>
      </w:r>
      <w:r w:rsidR="006533F8">
        <w:rPr>
          <w:lang w:val="en-US"/>
        </w:rPr>
        <w:t xml:space="preserve"> </w:t>
      </w:r>
      <w:r w:rsidR="006533F8" w:rsidRPr="006533F8">
        <w:rPr>
          <w:lang w:val="en-US"/>
        </w:rPr>
        <w:t>measurement curve and the lower limit of integration</w:t>
      </w:r>
      <w:r w:rsidR="006533F8">
        <w:t>,</w:t>
      </w:r>
      <w:r w:rsidR="00312D44">
        <w:t xml:space="preserve"> </w:t>
      </w:r>
      <w:r w:rsidR="00A81CBB">
        <w:t>obtained</w:t>
      </w:r>
      <w:r w:rsidR="00D64B19">
        <w:t xml:space="preserve"> through trapezoid rule</w:t>
      </w:r>
      <w:r w:rsidR="006533F8">
        <w:t xml:space="preserve">, </w:t>
      </w:r>
      <w:proofErr w:type="gramStart"/>
      <w:r w:rsidR="006533F8">
        <w:t>i.e.</w:t>
      </w:r>
      <w:proofErr w:type="gramEnd"/>
      <w:r w:rsidR="006533F8">
        <w:t xml:space="preserve"> add</w:t>
      </w:r>
      <w:r w:rsidR="00312D44">
        <w:t>ing</w:t>
      </w:r>
      <w:r w:rsidR="00D64B19" w:rsidRPr="0043040C">
        <w:t xml:space="preserve"> A1, A2, A3</w:t>
      </w:r>
      <w:r w:rsidR="006533F8">
        <w:t xml:space="preserve"> and</w:t>
      </w:r>
      <w:r w:rsidR="00D64B19" w:rsidRPr="0043040C">
        <w:t xml:space="preserve"> A4</w:t>
      </w:r>
      <w:r w:rsidR="00A81CBB" w:rsidRPr="0043040C">
        <w:t xml:space="preserve">. </w:t>
      </w:r>
      <w:r w:rsidR="00460D44">
        <w:t>D</w:t>
      </w:r>
      <w:r w:rsidR="00A81CBB" w:rsidRPr="0043040C">
        <w:t xml:space="preserve">uring the </w:t>
      </w:r>
      <w:r w:rsidR="006533F8">
        <w:t xml:space="preserve">present </w:t>
      </w:r>
      <w:r w:rsidR="00A81CBB" w:rsidRPr="0043040C">
        <w:t xml:space="preserve">test the </w:t>
      </w:r>
      <w:r w:rsidR="006533F8">
        <w:t xml:space="preserve">odour concentration never </w:t>
      </w:r>
      <w:r w:rsidR="00A81CBB" w:rsidRPr="0043040C">
        <w:t>do not fall below C</w:t>
      </w:r>
      <w:r w:rsidR="00A81CBB" w:rsidRPr="0043040C">
        <w:rPr>
          <w:vertAlign w:val="subscript"/>
        </w:rPr>
        <w:t>100</w:t>
      </w:r>
      <w:r w:rsidR="00A81CBB" w:rsidRPr="0043040C">
        <w:t>,</w:t>
      </w:r>
      <w:r w:rsidR="00460D44">
        <w:t xml:space="preserve"> consequently</w:t>
      </w:r>
      <w:r w:rsidR="007033C8">
        <w:t>, following the standard,</w:t>
      </w:r>
      <w:r w:rsidR="00A81CBB" w:rsidRPr="0043040C">
        <w:t xml:space="preserve"> it must be added </w:t>
      </w:r>
      <w:r w:rsidR="006533F8">
        <w:t>a supplementary area (</w:t>
      </w:r>
      <w:r w:rsidR="00A81CBB" w:rsidRPr="0043040C">
        <w:t>A5</w:t>
      </w:r>
      <w:r w:rsidR="006533F8">
        <w:t>)</w:t>
      </w:r>
      <w:r w:rsidR="00A81CBB" w:rsidRPr="0043040C">
        <w:t xml:space="preserve">, which is calculated </w:t>
      </w:r>
      <w:r w:rsidR="00807D52">
        <w:t>through</w:t>
      </w:r>
      <w:r w:rsidR="00A81CBB" w:rsidRPr="0043040C">
        <w:t xml:space="preserve"> linear extrapolation in linear scale.</w:t>
      </w:r>
      <w:r w:rsidRPr="00E54FEA">
        <w:t xml:space="preserve"> </w:t>
      </w:r>
      <w:r w:rsidR="00807D52">
        <w:t>Hence, p</w:t>
      </w:r>
      <w:r w:rsidR="000E5A41">
        <w:t>erforming t</w:t>
      </w:r>
      <w:r w:rsidRPr="00E54FEA">
        <w:t>he</w:t>
      </w:r>
      <w:r w:rsidR="000E5A41">
        <w:t xml:space="preserve"> </w:t>
      </w:r>
      <w:r w:rsidRPr="00E54FEA">
        <w:t>OEC</w:t>
      </w:r>
      <w:r w:rsidR="000E5A41">
        <w:t xml:space="preserve"> method </w:t>
      </w:r>
      <w:r w:rsidR="000E5A41">
        <w:fldChar w:fldCharType="begin" w:fldLock="1"/>
      </w:r>
      <w:r w:rsidR="006B62A5">
        <w:instrText>ADDIN CSL_CITATION {"citationItems":[{"id":"ITEM-1","itemData":{"DOI":"10.3303/CET1230004","ISBN":"9788895608211","ISSN":"22839216","author":[{"dropping-particle":"","family":"Frechen","given":"F.B.","non-dropping-particle":"","parse-names":false,"suffix":""}],"id":"ITEM-1","issue":"July","issued":{"date-parts":[["2012"]]},"page":"19-24","title":"Evaluation of OEC Data for Preparation of the New VDI Guideline 3885 / 1","type":"article-journal","volume":"30"},"uris":["http://www.mendeley.com/documents/?uuid=1e9a37db-0d41-4321-b811-d834f64bece1"]}],"mendeley":{"formattedCitation":"(Frechen, 2012)","plainTextFormattedCitation":"(Frechen, 2012)","previouslyFormattedCitation":"(Frechen, 2012)"},"properties":{"noteIndex":0},"schema":"https://github.com/citation-style-language/schema/raw/master/csl-citation.json"}</w:instrText>
      </w:r>
      <w:r w:rsidR="000E5A41">
        <w:fldChar w:fldCharType="separate"/>
      </w:r>
      <w:r w:rsidR="000E5A41" w:rsidRPr="000E5A41">
        <w:rPr>
          <w:noProof/>
        </w:rPr>
        <w:t>(Frechen, 2012)</w:t>
      </w:r>
      <w:r w:rsidR="000E5A41">
        <w:fldChar w:fldCharType="end"/>
      </w:r>
      <w:r w:rsidR="000E5A41">
        <w:t>,</w:t>
      </w:r>
      <w:r w:rsidRPr="00E54FEA">
        <w:t xml:space="preserve"> </w:t>
      </w:r>
      <w:r w:rsidR="000E5A41">
        <w:t>t</w:t>
      </w:r>
      <w:r w:rsidRPr="00E54FEA">
        <w:t xml:space="preserve">he resulting OEC value is equal to </w:t>
      </w:r>
      <w:bookmarkStart w:id="3" w:name="_Hlk107354785"/>
      <w:r w:rsidR="000D61A4">
        <w:t>9.5</w:t>
      </w:r>
      <w:r w:rsidRPr="00E54FEA">
        <w:t>·10</w:t>
      </w:r>
      <w:r w:rsidR="000E5A41">
        <w:rPr>
          <w:vertAlign w:val="superscript"/>
        </w:rPr>
        <w:t>5</w:t>
      </w:r>
      <w:r w:rsidRPr="00E54FEA">
        <w:t xml:space="preserve"> ou</w:t>
      </w:r>
      <w:r w:rsidRPr="00E54FEA">
        <w:rPr>
          <w:vertAlign w:val="subscript"/>
        </w:rPr>
        <w:t>E</w:t>
      </w:r>
      <w:r w:rsidRPr="00E54FEA">
        <w:t>/m</w:t>
      </w:r>
      <w:r w:rsidRPr="00E54FEA">
        <w:rPr>
          <w:vertAlign w:val="superscript"/>
        </w:rPr>
        <w:t>3</w:t>
      </w:r>
      <w:r w:rsidRPr="00E54FEA">
        <w:rPr>
          <w:vertAlign w:val="subscript"/>
        </w:rPr>
        <w:t>liquid</w:t>
      </w:r>
      <w:bookmarkEnd w:id="3"/>
      <w:r w:rsidRPr="00E54FEA">
        <w:t>.</w:t>
      </w:r>
    </w:p>
    <w:p w14:paraId="5B699F73" w14:textId="77777777" w:rsidR="00A81CBB" w:rsidRDefault="00A81CBB" w:rsidP="00A81CBB">
      <w:pPr>
        <w:pStyle w:val="CETBodytext"/>
        <w:keepNext/>
      </w:pPr>
      <w:r>
        <w:rPr>
          <w:noProof/>
        </w:rPr>
        <w:drawing>
          <wp:inline distT="0" distB="0" distL="0" distR="0" wp14:anchorId="234E8308" wp14:editId="1F269815">
            <wp:extent cx="4320000" cy="2520000"/>
            <wp:effectExtent l="0" t="0" r="4445" b="0"/>
            <wp:docPr id="4"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rotWithShape="1">
                    <a:blip r:embed="rId11"/>
                    <a:srcRect l="4067" r="9114"/>
                    <a:stretch/>
                  </pic:blipFill>
                  <pic:spPr bwMode="auto">
                    <a:xfrm>
                      <a:off x="0" y="0"/>
                      <a:ext cx="4320000" cy="2520000"/>
                    </a:xfrm>
                    <a:prstGeom prst="rect">
                      <a:avLst/>
                    </a:prstGeom>
                    <a:ln>
                      <a:noFill/>
                    </a:ln>
                    <a:extLst>
                      <a:ext uri="{53640926-AAD7-44D8-BBD7-CCE9431645EC}">
                        <a14:shadowObscured xmlns:a14="http://schemas.microsoft.com/office/drawing/2010/main"/>
                      </a:ext>
                    </a:extLst>
                  </pic:spPr>
                </pic:pic>
              </a:graphicData>
            </a:graphic>
          </wp:inline>
        </w:drawing>
      </w:r>
    </w:p>
    <w:p w14:paraId="30F2B93D" w14:textId="24C9FAA4" w:rsidR="00B35A63" w:rsidRPr="00807D52" w:rsidRDefault="00A81CBB" w:rsidP="00807D52">
      <w:pPr>
        <w:pStyle w:val="CETCaption"/>
        <w:rPr>
          <w:lang w:val="en-US"/>
        </w:rPr>
      </w:pPr>
      <w:r>
        <w:t xml:space="preserve">Figure </w:t>
      </w:r>
      <w:r>
        <w:fldChar w:fldCharType="begin"/>
      </w:r>
      <w:r>
        <w:instrText xml:space="preserve"> SEQ Figure \* ARABIC </w:instrText>
      </w:r>
      <w:r>
        <w:fldChar w:fldCharType="separate"/>
      </w:r>
      <w:r w:rsidR="008C19E9">
        <w:rPr>
          <w:noProof/>
        </w:rPr>
        <w:t>2</w:t>
      </w:r>
      <w:r>
        <w:fldChar w:fldCharType="end"/>
      </w:r>
      <w:r>
        <w:t xml:space="preserve">. </w:t>
      </w:r>
      <w:proofErr w:type="spellStart"/>
      <w:r w:rsidRPr="00A81CBB">
        <w:rPr>
          <w:rFonts w:eastAsiaTheme="minorHAnsi"/>
          <w:lang w:val="en-US"/>
        </w:rPr>
        <w:t>Odour</w:t>
      </w:r>
      <w:proofErr w:type="spellEnd"/>
      <w:r w:rsidRPr="00A81CBB">
        <w:rPr>
          <w:rFonts w:eastAsiaTheme="minorHAnsi"/>
          <w:lang w:val="en-US"/>
        </w:rPr>
        <w:t xml:space="preserve"> concentration trend during OEC experimental measurement</w:t>
      </w:r>
    </w:p>
    <w:p w14:paraId="57ED4530" w14:textId="031ECC58" w:rsidR="00233E7E" w:rsidRDefault="00233E7E" w:rsidP="00233E7E">
      <w:pPr>
        <w:pStyle w:val="CETheadingx"/>
      </w:pPr>
      <w:r>
        <w:lastRenderedPageBreak/>
        <w:t>OEC measurement by addition of gas samples</w:t>
      </w:r>
    </w:p>
    <w:p w14:paraId="4F920836" w14:textId="3755B2B6" w:rsidR="00DF616F" w:rsidRPr="00DF616F" w:rsidRDefault="00DF616F" w:rsidP="00DF616F">
      <w:pPr>
        <w:pStyle w:val="CETBodytext"/>
      </w:pPr>
      <w:r>
        <w:t>The measurement</w:t>
      </w:r>
      <w:r w:rsidR="00052017">
        <w:t>s</w:t>
      </w:r>
      <w:r>
        <w:t xml:space="preserve"> obtained through the </w:t>
      </w:r>
      <w:r w:rsidR="00FD4291">
        <w:t xml:space="preserve">successive </w:t>
      </w:r>
      <w:r w:rsidR="000304C2">
        <w:t xml:space="preserve">gas </w:t>
      </w:r>
      <w:r w:rsidR="00FD4291">
        <w:t>samples</w:t>
      </w:r>
      <w:r w:rsidR="003B6DFE">
        <w:t xml:space="preserve"> multiplied for the chosen dilution factor</w:t>
      </w:r>
      <w:r w:rsidR="00FD4291">
        <w:t xml:space="preserve"> are reported in </w:t>
      </w:r>
      <w:r w:rsidR="00FD4291">
        <w:fldChar w:fldCharType="begin"/>
      </w:r>
      <w:r w:rsidR="00FD4291">
        <w:instrText xml:space="preserve"> REF _Ref107354394 \h </w:instrText>
      </w:r>
      <w:r w:rsidR="00FD4291">
        <w:fldChar w:fldCharType="separate"/>
      </w:r>
      <w:r w:rsidR="009B465C">
        <w:t xml:space="preserve">Table </w:t>
      </w:r>
      <w:r w:rsidR="009B465C">
        <w:rPr>
          <w:noProof/>
        </w:rPr>
        <w:t>1</w:t>
      </w:r>
      <w:r w:rsidR="00FD4291">
        <w:fldChar w:fldCharType="end"/>
      </w:r>
      <w:r w:rsidR="00FD4291">
        <w:t xml:space="preserve">. </w:t>
      </w:r>
      <w:r w:rsidR="007033C8">
        <w:t>To recall</w:t>
      </w:r>
      <w:r w:rsidR="00773317">
        <w:t>,</w:t>
      </w:r>
      <w:r w:rsidR="00FD4291">
        <w:t xml:space="preserve"> they are collected after 60 min, 240 min, 480 min, 1440 min and 2880 min </w:t>
      </w:r>
      <w:r w:rsidR="00773317">
        <w:t>from the beginning of the test</w:t>
      </w:r>
      <w:r w:rsidR="00FD4291">
        <w:t>.</w:t>
      </w:r>
      <w:r w:rsidR="00773317">
        <w:t xml:space="preserve"> </w:t>
      </w:r>
      <w:r w:rsidR="00113E73">
        <w:t xml:space="preserve">The </w:t>
      </w:r>
      <w:r w:rsidR="007033C8">
        <w:t xml:space="preserve">overall integral </w:t>
      </w:r>
      <w:r w:rsidR="00113E73">
        <w:t>resulting value</w:t>
      </w:r>
      <w:r w:rsidR="007033C8">
        <w:t>, considering these additional samples,</w:t>
      </w:r>
      <w:r w:rsidR="00113E73">
        <w:t xml:space="preserve"> is equal to 3.</w:t>
      </w:r>
      <w:r w:rsidR="000D61A4">
        <w:t>5</w:t>
      </w:r>
      <w:r w:rsidR="00113E73" w:rsidRPr="00E54FEA">
        <w:t>·10</w:t>
      </w:r>
      <w:r w:rsidR="00113E73">
        <w:rPr>
          <w:vertAlign w:val="superscript"/>
        </w:rPr>
        <w:t>6</w:t>
      </w:r>
      <w:r w:rsidR="00113E73" w:rsidRPr="00E54FEA">
        <w:t xml:space="preserve"> ou</w:t>
      </w:r>
      <w:r w:rsidR="00113E73" w:rsidRPr="00E54FEA">
        <w:rPr>
          <w:vertAlign w:val="subscript"/>
        </w:rPr>
        <w:t>E</w:t>
      </w:r>
      <w:r w:rsidR="00113E73" w:rsidRPr="00E54FEA">
        <w:t>/m</w:t>
      </w:r>
      <w:r w:rsidR="00113E73" w:rsidRPr="00E54FEA">
        <w:rPr>
          <w:vertAlign w:val="superscript"/>
        </w:rPr>
        <w:t>3</w:t>
      </w:r>
      <w:r w:rsidR="00113E73" w:rsidRPr="00E54FEA">
        <w:rPr>
          <w:vertAlign w:val="subscript"/>
        </w:rPr>
        <w:t>liquid</w:t>
      </w:r>
      <w:r w:rsidR="007033C8">
        <w:t xml:space="preserve"> </w:t>
      </w:r>
      <w:r w:rsidR="00113E73">
        <w:t>by a</w:t>
      </w:r>
      <w:r w:rsidR="00773317">
        <w:t xml:space="preserve">dding their contribution in the evaluation of OEC, </w:t>
      </w:r>
      <w:proofErr w:type="gramStart"/>
      <w:r w:rsidR="00773317">
        <w:t>i.e.</w:t>
      </w:r>
      <w:proofErr w:type="gramEnd"/>
      <w:r w:rsidR="00773317">
        <w:t xml:space="preserve"> increasing the number of odour concentrations from 4 to 9</w:t>
      </w:r>
      <w:r w:rsidR="00113E73">
        <w:t xml:space="preserve"> and keeping the same</w:t>
      </w:r>
      <w:r w:rsidR="003B6DFE">
        <w:t xml:space="preserve"> calculation</w:t>
      </w:r>
      <w:r w:rsidR="00113E73">
        <w:t xml:space="preserve"> approach exposed in the previous paragraph</w:t>
      </w:r>
      <w:r w:rsidR="00113E73">
        <w:rPr>
          <w:vertAlign w:val="subscript"/>
        </w:rPr>
        <w:t>.</w:t>
      </w:r>
    </w:p>
    <w:p w14:paraId="1A20E2F3" w14:textId="5D358652" w:rsidR="00024B6C" w:rsidRDefault="00024B6C" w:rsidP="00024B6C">
      <w:pPr>
        <w:pStyle w:val="CETTabletitle"/>
      </w:pPr>
      <w:bookmarkStart w:id="4" w:name="_Ref107354394"/>
      <w:r>
        <w:t xml:space="preserve">Table </w:t>
      </w:r>
      <w:r>
        <w:fldChar w:fldCharType="begin"/>
      </w:r>
      <w:r>
        <w:instrText xml:space="preserve"> SEQ Table \* ARABIC </w:instrText>
      </w:r>
      <w:r>
        <w:fldChar w:fldCharType="separate"/>
      </w:r>
      <w:r w:rsidR="00D66A44">
        <w:rPr>
          <w:noProof/>
        </w:rPr>
        <w:t>1</w:t>
      </w:r>
      <w:r>
        <w:fldChar w:fldCharType="end"/>
      </w:r>
      <w:bookmarkEnd w:id="4"/>
      <w:r>
        <w:t xml:space="preserve">: Odour concentrations measured </w:t>
      </w:r>
      <w:r w:rsidR="00AE3A2C">
        <w:t xml:space="preserve">with standard procedure and </w:t>
      </w:r>
      <w:r>
        <w:t>at successive time intervals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418"/>
      </w:tblGrid>
      <w:tr w:rsidR="00F618C2" w:rsidRPr="00B57B36" w14:paraId="5BCC28DD" w14:textId="77777777" w:rsidTr="00436DBB">
        <w:tc>
          <w:tcPr>
            <w:tcW w:w="1134" w:type="dxa"/>
            <w:tcBorders>
              <w:top w:val="single" w:sz="12" w:space="0" w:color="008000"/>
              <w:bottom w:val="single" w:sz="6" w:space="0" w:color="008000"/>
            </w:tcBorders>
            <w:shd w:val="clear" w:color="auto" w:fill="FFFFFF"/>
          </w:tcPr>
          <w:p w14:paraId="58DD6891" w14:textId="77777777" w:rsidR="00F618C2" w:rsidRPr="00D8787F" w:rsidRDefault="00F618C2" w:rsidP="00436DBB">
            <w:pPr>
              <w:pStyle w:val="CETBodytext"/>
              <w:jc w:val="center"/>
            </w:pPr>
            <w:r w:rsidRPr="00D8787F">
              <w:t>N°</w:t>
            </w:r>
          </w:p>
        </w:tc>
        <w:tc>
          <w:tcPr>
            <w:tcW w:w="1134" w:type="dxa"/>
            <w:tcBorders>
              <w:top w:val="single" w:sz="12" w:space="0" w:color="008000"/>
              <w:bottom w:val="single" w:sz="6" w:space="0" w:color="008000"/>
            </w:tcBorders>
            <w:shd w:val="clear" w:color="auto" w:fill="FFFFFF"/>
          </w:tcPr>
          <w:p w14:paraId="41017936" w14:textId="77777777" w:rsidR="00F618C2" w:rsidRPr="00D8787F" w:rsidRDefault="00F618C2" w:rsidP="00436DBB">
            <w:pPr>
              <w:pStyle w:val="CETBodytext"/>
              <w:jc w:val="center"/>
              <w:rPr>
                <w:vertAlign w:val="subscript"/>
              </w:rPr>
            </w:pPr>
            <w:r w:rsidRPr="00D8787F">
              <w:t>C</w:t>
            </w:r>
            <w:r w:rsidRPr="00D8787F">
              <w:rPr>
                <w:vertAlign w:val="subscript"/>
              </w:rPr>
              <w:t>od</w:t>
            </w:r>
          </w:p>
          <w:p w14:paraId="7093F417" w14:textId="77777777" w:rsidR="00F618C2" w:rsidRPr="00D8787F" w:rsidRDefault="00F618C2" w:rsidP="00436DBB">
            <w:pPr>
              <w:pStyle w:val="CETBodytext"/>
              <w:jc w:val="center"/>
            </w:pPr>
            <w:r w:rsidRPr="00D8787F">
              <w:t>[ou</w:t>
            </w:r>
            <w:r w:rsidRPr="00D8787F">
              <w:rPr>
                <w:vertAlign w:val="subscript"/>
              </w:rPr>
              <w:t>E</w:t>
            </w:r>
            <w:r w:rsidRPr="00D8787F">
              <w:t>/m</w:t>
            </w:r>
            <w:r w:rsidRPr="00D8787F">
              <w:rPr>
                <w:vertAlign w:val="superscript"/>
              </w:rPr>
              <w:t>3</w:t>
            </w:r>
            <w:r w:rsidRPr="00D8787F">
              <w:t>]</w:t>
            </w:r>
          </w:p>
        </w:tc>
        <w:tc>
          <w:tcPr>
            <w:tcW w:w="1418" w:type="dxa"/>
            <w:tcBorders>
              <w:top w:val="single" w:sz="12" w:space="0" w:color="008000"/>
              <w:bottom w:val="single" w:sz="6" w:space="0" w:color="008000"/>
            </w:tcBorders>
            <w:shd w:val="clear" w:color="auto" w:fill="FFFFFF"/>
          </w:tcPr>
          <w:p w14:paraId="770810A3" w14:textId="77777777" w:rsidR="00F618C2" w:rsidRPr="00D8787F" w:rsidRDefault="00F618C2" w:rsidP="00436DBB">
            <w:pPr>
              <w:pStyle w:val="CETBodytext"/>
              <w:jc w:val="center"/>
            </w:pPr>
            <w:r w:rsidRPr="00D8787F">
              <w:t>Sampling time</w:t>
            </w:r>
          </w:p>
          <w:p w14:paraId="0B7327D7" w14:textId="77777777" w:rsidR="00F618C2" w:rsidRPr="00D8787F" w:rsidRDefault="00F618C2" w:rsidP="00436DBB">
            <w:pPr>
              <w:pStyle w:val="CETBodytext"/>
              <w:jc w:val="center"/>
            </w:pPr>
            <w:r w:rsidRPr="00D8787F">
              <w:rPr>
                <w:rFonts w:cs="Arial"/>
                <w:szCs w:val="18"/>
              </w:rPr>
              <w:t>[min]</w:t>
            </w:r>
          </w:p>
        </w:tc>
      </w:tr>
      <w:tr w:rsidR="00AE3A2C" w:rsidRPr="00B57B36" w14:paraId="1575F761" w14:textId="77777777" w:rsidTr="00BD4FA6">
        <w:tc>
          <w:tcPr>
            <w:tcW w:w="1134" w:type="dxa"/>
            <w:shd w:val="clear" w:color="auto" w:fill="FFFFFF"/>
          </w:tcPr>
          <w:p w14:paraId="4248843F" w14:textId="65E5330A" w:rsidR="00AE3A2C" w:rsidRPr="00B57B36" w:rsidRDefault="00AE3A2C" w:rsidP="00AE3A2C">
            <w:pPr>
              <w:pStyle w:val="CETBodytext"/>
              <w:jc w:val="center"/>
            </w:pPr>
            <w:r>
              <w:t>1</w:t>
            </w:r>
          </w:p>
        </w:tc>
        <w:tc>
          <w:tcPr>
            <w:tcW w:w="1134" w:type="dxa"/>
            <w:tcBorders>
              <w:top w:val="nil"/>
              <w:left w:val="nil"/>
              <w:bottom w:val="nil"/>
              <w:right w:val="nil"/>
            </w:tcBorders>
            <w:shd w:val="clear" w:color="auto" w:fill="auto"/>
            <w:vAlign w:val="bottom"/>
          </w:tcPr>
          <w:p w14:paraId="7306362E" w14:textId="65013928" w:rsidR="00AE3A2C" w:rsidRPr="00B57B36" w:rsidRDefault="00AE3A2C" w:rsidP="00AE3A2C">
            <w:pPr>
              <w:pStyle w:val="CETBodytext"/>
              <w:jc w:val="center"/>
            </w:pPr>
            <w:r w:rsidRPr="00AE3A2C">
              <w:t>49096</w:t>
            </w:r>
          </w:p>
        </w:tc>
        <w:tc>
          <w:tcPr>
            <w:tcW w:w="1418" w:type="dxa"/>
            <w:shd w:val="clear" w:color="auto" w:fill="FFFFFF"/>
          </w:tcPr>
          <w:p w14:paraId="505985FC" w14:textId="6BA6EBEF" w:rsidR="00AE3A2C" w:rsidRPr="00B57B36" w:rsidRDefault="00AE3A2C" w:rsidP="00AE3A2C">
            <w:pPr>
              <w:pStyle w:val="CETBodytext"/>
              <w:jc w:val="center"/>
            </w:pPr>
            <w:r>
              <w:t>2</w:t>
            </w:r>
          </w:p>
        </w:tc>
      </w:tr>
      <w:tr w:rsidR="00AE3A2C" w:rsidRPr="00B57B36" w14:paraId="15B8B9F9" w14:textId="77777777" w:rsidTr="00BD4FA6">
        <w:tc>
          <w:tcPr>
            <w:tcW w:w="1134" w:type="dxa"/>
            <w:shd w:val="clear" w:color="auto" w:fill="FFFFFF"/>
          </w:tcPr>
          <w:p w14:paraId="00E638D5" w14:textId="24E3FEAB" w:rsidR="00AE3A2C" w:rsidRDefault="00AE3A2C" w:rsidP="00AE3A2C">
            <w:pPr>
              <w:pStyle w:val="CETBodytext"/>
              <w:jc w:val="center"/>
            </w:pPr>
            <w:r>
              <w:t>2</w:t>
            </w:r>
          </w:p>
        </w:tc>
        <w:tc>
          <w:tcPr>
            <w:tcW w:w="1134" w:type="dxa"/>
            <w:tcBorders>
              <w:top w:val="nil"/>
              <w:left w:val="nil"/>
              <w:bottom w:val="nil"/>
              <w:right w:val="nil"/>
            </w:tcBorders>
            <w:shd w:val="clear" w:color="auto" w:fill="auto"/>
            <w:vAlign w:val="bottom"/>
          </w:tcPr>
          <w:p w14:paraId="1B1EE33A" w14:textId="7AFAAD96" w:rsidR="00AE3A2C" w:rsidRDefault="00AE3A2C" w:rsidP="00AE3A2C">
            <w:pPr>
              <w:pStyle w:val="CETBodytext"/>
              <w:jc w:val="center"/>
            </w:pPr>
            <w:r w:rsidRPr="00AE3A2C">
              <w:t>23168</w:t>
            </w:r>
          </w:p>
        </w:tc>
        <w:tc>
          <w:tcPr>
            <w:tcW w:w="1418" w:type="dxa"/>
            <w:shd w:val="clear" w:color="auto" w:fill="FFFFFF"/>
          </w:tcPr>
          <w:p w14:paraId="0AFFE31E" w14:textId="61B7034B" w:rsidR="00AE3A2C" w:rsidRDefault="00AE3A2C" w:rsidP="00AE3A2C">
            <w:pPr>
              <w:pStyle w:val="CETBodytext"/>
              <w:jc w:val="center"/>
            </w:pPr>
            <w:r>
              <w:t>6</w:t>
            </w:r>
          </w:p>
        </w:tc>
      </w:tr>
      <w:tr w:rsidR="00AE3A2C" w:rsidRPr="00B57B36" w14:paraId="0535CB43" w14:textId="77777777" w:rsidTr="00BD4FA6">
        <w:tc>
          <w:tcPr>
            <w:tcW w:w="1134" w:type="dxa"/>
            <w:shd w:val="clear" w:color="auto" w:fill="FFFFFF"/>
          </w:tcPr>
          <w:p w14:paraId="68FAD46A" w14:textId="7998D2D0" w:rsidR="00AE3A2C" w:rsidRDefault="00AE3A2C" w:rsidP="00AE3A2C">
            <w:pPr>
              <w:pStyle w:val="CETBodytext"/>
              <w:jc w:val="center"/>
            </w:pPr>
            <w:r>
              <w:t>3</w:t>
            </w:r>
          </w:p>
        </w:tc>
        <w:tc>
          <w:tcPr>
            <w:tcW w:w="1134" w:type="dxa"/>
            <w:tcBorders>
              <w:top w:val="nil"/>
              <w:left w:val="nil"/>
              <w:bottom w:val="nil"/>
              <w:right w:val="nil"/>
            </w:tcBorders>
            <w:shd w:val="clear" w:color="auto" w:fill="auto"/>
            <w:vAlign w:val="bottom"/>
          </w:tcPr>
          <w:p w14:paraId="79B3D28D" w14:textId="7DE24F92" w:rsidR="00AE3A2C" w:rsidRDefault="00AE3A2C" w:rsidP="00AE3A2C">
            <w:pPr>
              <w:pStyle w:val="CETBodytext"/>
              <w:jc w:val="center"/>
            </w:pPr>
            <w:r w:rsidRPr="00AE3A2C">
              <w:t>13000</w:t>
            </w:r>
          </w:p>
        </w:tc>
        <w:tc>
          <w:tcPr>
            <w:tcW w:w="1418" w:type="dxa"/>
            <w:shd w:val="clear" w:color="auto" w:fill="FFFFFF"/>
          </w:tcPr>
          <w:p w14:paraId="02A16895" w14:textId="1BEE9377" w:rsidR="00AE3A2C" w:rsidRDefault="00AE3A2C" w:rsidP="00AE3A2C">
            <w:pPr>
              <w:pStyle w:val="CETBodytext"/>
              <w:jc w:val="center"/>
            </w:pPr>
            <w:r>
              <w:t>16</w:t>
            </w:r>
          </w:p>
        </w:tc>
      </w:tr>
      <w:tr w:rsidR="00AE3A2C" w:rsidRPr="00B57B36" w14:paraId="472C44E6" w14:textId="77777777" w:rsidTr="00BD4FA6">
        <w:tc>
          <w:tcPr>
            <w:tcW w:w="1134" w:type="dxa"/>
            <w:shd w:val="clear" w:color="auto" w:fill="FFFFFF"/>
          </w:tcPr>
          <w:p w14:paraId="40BF1B1D" w14:textId="00824A44" w:rsidR="00AE3A2C" w:rsidRDefault="00AE3A2C" w:rsidP="00AE3A2C">
            <w:pPr>
              <w:pStyle w:val="CETBodytext"/>
              <w:jc w:val="center"/>
            </w:pPr>
            <w:r>
              <w:t>4</w:t>
            </w:r>
          </w:p>
        </w:tc>
        <w:tc>
          <w:tcPr>
            <w:tcW w:w="1134" w:type="dxa"/>
            <w:tcBorders>
              <w:top w:val="nil"/>
              <w:left w:val="nil"/>
              <w:bottom w:val="nil"/>
              <w:right w:val="nil"/>
            </w:tcBorders>
            <w:shd w:val="clear" w:color="auto" w:fill="auto"/>
            <w:vAlign w:val="bottom"/>
          </w:tcPr>
          <w:p w14:paraId="7E7FFEF9" w14:textId="6E138C72" w:rsidR="00AE3A2C" w:rsidRDefault="00AE3A2C" w:rsidP="00AE3A2C">
            <w:pPr>
              <w:pStyle w:val="CETBodytext"/>
              <w:jc w:val="center"/>
            </w:pPr>
            <w:r w:rsidRPr="00AE3A2C">
              <w:t>4096</w:t>
            </w:r>
          </w:p>
        </w:tc>
        <w:tc>
          <w:tcPr>
            <w:tcW w:w="1418" w:type="dxa"/>
            <w:shd w:val="clear" w:color="auto" w:fill="FFFFFF"/>
          </w:tcPr>
          <w:p w14:paraId="0F6595B0" w14:textId="3CA95485" w:rsidR="00AE3A2C" w:rsidRDefault="00AE3A2C" w:rsidP="00AE3A2C">
            <w:pPr>
              <w:pStyle w:val="CETBodytext"/>
              <w:jc w:val="center"/>
            </w:pPr>
            <w:r>
              <w:t>32</w:t>
            </w:r>
          </w:p>
        </w:tc>
      </w:tr>
      <w:tr w:rsidR="00AE3A2C" w:rsidRPr="00B57B36" w14:paraId="787982C1" w14:textId="77777777" w:rsidTr="00BD4FA6">
        <w:tc>
          <w:tcPr>
            <w:tcW w:w="1134" w:type="dxa"/>
            <w:shd w:val="clear" w:color="auto" w:fill="FFFFFF"/>
          </w:tcPr>
          <w:p w14:paraId="59F6C675" w14:textId="0E86CB18" w:rsidR="00AE3A2C" w:rsidRDefault="00AE3A2C" w:rsidP="00AE3A2C">
            <w:pPr>
              <w:pStyle w:val="CETBodytext"/>
              <w:jc w:val="center"/>
            </w:pPr>
            <w:r>
              <w:t>5</w:t>
            </w:r>
          </w:p>
        </w:tc>
        <w:tc>
          <w:tcPr>
            <w:tcW w:w="1134" w:type="dxa"/>
            <w:tcBorders>
              <w:top w:val="nil"/>
              <w:left w:val="nil"/>
              <w:bottom w:val="nil"/>
              <w:right w:val="nil"/>
            </w:tcBorders>
            <w:shd w:val="clear" w:color="auto" w:fill="auto"/>
            <w:vAlign w:val="bottom"/>
          </w:tcPr>
          <w:p w14:paraId="6B286B51" w14:textId="7EFFEDB7" w:rsidR="00AE3A2C" w:rsidRDefault="00AE3A2C" w:rsidP="00AE3A2C">
            <w:pPr>
              <w:pStyle w:val="CETBodytext"/>
              <w:jc w:val="center"/>
            </w:pPr>
            <w:r w:rsidRPr="00AE3A2C">
              <w:t>2168</w:t>
            </w:r>
          </w:p>
        </w:tc>
        <w:tc>
          <w:tcPr>
            <w:tcW w:w="1418" w:type="dxa"/>
            <w:shd w:val="clear" w:color="auto" w:fill="FFFFFF"/>
          </w:tcPr>
          <w:p w14:paraId="08A9E316" w14:textId="3BF0CF5B" w:rsidR="00AE3A2C" w:rsidRDefault="00AE3A2C" w:rsidP="00AE3A2C">
            <w:pPr>
              <w:pStyle w:val="CETBodytext"/>
              <w:jc w:val="center"/>
            </w:pPr>
            <w:r>
              <w:t>60</w:t>
            </w:r>
          </w:p>
        </w:tc>
      </w:tr>
      <w:tr w:rsidR="00AE3A2C" w:rsidRPr="00B57B36" w14:paraId="79CAB6CC" w14:textId="77777777" w:rsidTr="00BD4FA6">
        <w:tc>
          <w:tcPr>
            <w:tcW w:w="1134" w:type="dxa"/>
            <w:shd w:val="clear" w:color="auto" w:fill="FFFFFF"/>
          </w:tcPr>
          <w:p w14:paraId="69A00E1E" w14:textId="0078EDA3" w:rsidR="00AE3A2C" w:rsidRPr="00B57B36" w:rsidRDefault="00AE3A2C" w:rsidP="00AE3A2C">
            <w:pPr>
              <w:pStyle w:val="CETBodytext"/>
              <w:jc w:val="center"/>
            </w:pPr>
            <w:r>
              <w:t>6</w:t>
            </w:r>
          </w:p>
        </w:tc>
        <w:tc>
          <w:tcPr>
            <w:tcW w:w="1134" w:type="dxa"/>
            <w:tcBorders>
              <w:top w:val="nil"/>
              <w:left w:val="nil"/>
              <w:bottom w:val="nil"/>
              <w:right w:val="nil"/>
            </w:tcBorders>
            <w:shd w:val="clear" w:color="auto" w:fill="auto"/>
            <w:vAlign w:val="bottom"/>
          </w:tcPr>
          <w:p w14:paraId="3C4A727C" w14:textId="3B4F92DF" w:rsidR="00AE3A2C" w:rsidRPr="00B57B36" w:rsidRDefault="00AE3A2C" w:rsidP="00AE3A2C">
            <w:pPr>
              <w:pStyle w:val="CETBodytext"/>
              <w:jc w:val="center"/>
            </w:pPr>
            <w:r w:rsidRPr="00AE3A2C">
              <w:t>816</w:t>
            </w:r>
          </w:p>
        </w:tc>
        <w:tc>
          <w:tcPr>
            <w:tcW w:w="1418" w:type="dxa"/>
            <w:shd w:val="clear" w:color="auto" w:fill="FFFFFF"/>
          </w:tcPr>
          <w:p w14:paraId="0F16D3DE" w14:textId="64141D80" w:rsidR="00AE3A2C" w:rsidRPr="00B57B36" w:rsidRDefault="00AE3A2C" w:rsidP="00AE3A2C">
            <w:pPr>
              <w:pStyle w:val="CETBodytext"/>
              <w:jc w:val="center"/>
            </w:pPr>
            <w:r>
              <w:t>240</w:t>
            </w:r>
          </w:p>
        </w:tc>
      </w:tr>
      <w:tr w:rsidR="00AE3A2C" w:rsidRPr="00B57B36" w14:paraId="13DFA415" w14:textId="77777777" w:rsidTr="00BD4FA6">
        <w:tc>
          <w:tcPr>
            <w:tcW w:w="1134" w:type="dxa"/>
            <w:shd w:val="clear" w:color="auto" w:fill="FFFFFF"/>
          </w:tcPr>
          <w:p w14:paraId="70D3B76D" w14:textId="7160A337" w:rsidR="00AE3A2C" w:rsidRPr="00B57B36" w:rsidRDefault="00AE3A2C" w:rsidP="00AE3A2C">
            <w:pPr>
              <w:pStyle w:val="CETBodytext"/>
              <w:jc w:val="center"/>
            </w:pPr>
            <w:r>
              <w:t>7</w:t>
            </w:r>
          </w:p>
        </w:tc>
        <w:tc>
          <w:tcPr>
            <w:tcW w:w="1134" w:type="dxa"/>
            <w:tcBorders>
              <w:top w:val="nil"/>
              <w:left w:val="nil"/>
              <w:bottom w:val="nil"/>
              <w:right w:val="nil"/>
            </w:tcBorders>
            <w:shd w:val="clear" w:color="auto" w:fill="auto"/>
            <w:vAlign w:val="bottom"/>
          </w:tcPr>
          <w:p w14:paraId="0530D29A" w14:textId="76C2458E" w:rsidR="00AE3A2C" w:rsidRPr="00B57B36" w:rsidRDefault="00AE3A2C" w:rsidP="00AE3A2C">
            <w:pPr>
              <w:pStyle w:val="CETBodytext"/>
              <w:jc w:val="center"/>
            </w:pPr>
            <w:r w:rsidRPr="00AE3A2C">
              <w:t>728</w:t>
            </w:r>
          </w:p>
        </w:tc>
        <w:tc>
          <w:tcPr>
            <w:tcW w:w="1418" w:type="dxa"/>
            <w:shd w:val="clear" w:color="auto" w:fill="FFFFFF"/>
          </w:tcPr>
          <w:p w14:paraId="3D0C171E" w14:textId="64C5606B" w:rsidR="00AE3A2C" w:rsidRPr="00B57B36" w:rsidRDefault="00AE3A2C" w:rsidP="00AE3A2C">
            <w:pPr>
              <w:pStyle w:val="CETBodytext"/>
              <w:jc w:val="center"/>
            </w:pPr>
            <w:r>
              <w:t>480</w:t>
            </w:r>
          </w:p>
        </w:tc>
      </w:tr>
      <w:tr w:rsidR="00AE3A2C" w:rsidRPr="00B57B36" w14:paraId="4B9FA04E" w14:textId="77777777" w:rsidTr="00BD4FA6">
        <w:tc>
          <w:tcPr>
            <w:tcW w:w="1134" w:type="dxa"/>
            <w:shd w:val="clear" w:color="auto" w:fill="FFFFFF"/>
          </w:tcPr>
          <w:p w14:paraId="2B4B8AF4" w14:textId="23626C1E" w:rsidR="00AE3A2C" w:rsidRDefault="00AE3A2C" w:rsidP="00AE3A2C">
            <w:pPr>
              <w:pStyle w:val="CETBodytext"/>
              <w:jc w:val="center"/>
            </w:pPr>
            <w:r>
              <w:t>8</w:t>
            </w:r>
          </w:p>
        </w:tc>
        <w:tc>
          <w:tcPr>
            <w:tcW w:w="1134" w:type="dxa"/>
            <w:tcBorders>
              <w:top w:val="nil"/>
              <w:left w:val="nil"/>
              <w:bottom w:val="nil"/>
              <w:right w:val="nil"/>
            </w:tcBorders>
            <w:shd w:val="clear" w:color="auto" w:fill="auto"/>
            <w:vAlign w:val="bottom"/>
          </w:tcPr>
          <w:p w14:paraId="0C1E8B36" w14:textId="15F362E8" w:rsidR="00AE3A2C" w:rsidRDefault="00AE3A2C" w:rsidP="00AE3A2C">
            <w:pPr>
              <w:pStyle w:val="CETBodytext"/>
              <w:jc w:val="center"/>
            </w:pPr>
            <w:r w:rsidRPr="00AE3A2C">
              <w:t>480</w:t>
            </w:r>
          </w:p>
        </w:tc>
        <w:tc>
          <w:tcPr>
            <w:tcW w:w="1418" w:type="dxa"/>
            <w:shd w:val="clear" w:color="auto" w:fill="FFFFFF"/>
          </w:tcPr>
          <w:p w14:paraId="0ACF3E8F" w14:textId="71CBEA67" w:rsidR="00AE3A2C" w:rsidRDefault="00AE3A2C" w:rsidP="00AE3A2C">
            <w:pPr>
              <w:pStyle w:val="CETBodytext"/>
              <w:jc w:val="center"/>
            </w:pPr>
            <w:r>
              <w:t>1440</w:t>
            </w:r>
          </w:p>
        </w:tc>
      </w:tr>
      <w:tr w:rsidR="00AE3A2C" w:rsidRPr="00B57B36" w14:paraId="001742E2" w14:textId="77777777" w:rsidTr="00436DBB">
        <w:tc>
          <w:tcPr>
            <w:tcW w:w="1134" w:type="dxa"/>
            <w:shd w:val="clear" w:color="auto" w:fill="FFFFFF"/>
          </w:tcPr>
          <w:p w14:paraId="05A6665D" w14:textId="0874F4C0" w:rsidR="00AE3A2C" w:rsidRPr="00B57B36" w:rsidRDefault="00AE3A2C" w:rsidP="00AE3A2C">
            <w:pPr>
              <w:pStyle w:val="CETBodytext"/>
              <w:ind w:right="-1"/>
              <w:jc w:val="center"/>
              <w:rPr>
                <w:rFonts w:cs="Arial"/>
                <w:szCs w:val="18"/>
              </w:rPr>
            </w:pPr>
            <w:r>
              <w:rPr>
                <w:rFonts w:cs="Arial"/>
                <w:szCs w:val="18"/>
              </w:rPr>
              <w:t>9</w:t>
            </w:r>
          </w:p>
        </w:tc>
        <w:tc>
          <w:tcPr>
            <w:tcW w:w="1134" w:type="dxa"/>
            <w:shd w:val="clear" w:color="auto" w:fill="FFFFFF"/>
          </w:tcPr>
          <w:p w14:paraId="5BB1C21E" w14:textId="5542ACEE" w:rsidR="00AE3A2C" w:rsidRPr="00B57B36" w:rsidRDefault="00AE3A2C" w:rsidP="00AE3A2C">
            <w:pPr>
              <w:pStyle w:val="CETBodytext"/>
              <w:ind w:right="-1"/>
              <w:jc w:val="center"/>
              <w:rPr>
                <w:rFonts w:cs="Arial"/>
                <w:szCs w:val="18"/>
              </w:rPr>
            </w:pPr>
            <w:r>
              <w:rPr>
                <w:rFonts w:cs="Arial"/>
                <w:szCs w:val="18"/>
              </w:rPr>
              <w:t>287</w:t>
            </w:r>
          </w:p>
        </w:tc>
        <w:tc>
          <w:tcPr>
            <w:tcW w:w="1418" w:type="dxa"/>
            <w:shd w:val="clear" w:color="auto" w:fill="FFFFFF"/>
          </w:tcPr>
          <w:p w14:paraId="4D70EBEA" w14:textId="5D92E1B0" w:rsidR="00AE3A2C" w:rsidRPr="00B57B36" w:rsidRDefault="00AE3A2C" w:rsidP="00AE3A2C">
            <w:pPr>
              <w:pStyle w:val="CETBodytext"/>
              <w:ind w:right="-1"/>
              <w:jc w:val="center"/>
              <w:rPr>
                <w:rFonts w:cs="Arial"/>
                <w:szCs w:val="18"/>
              </w:rPr>
            </w:pPr>
            <w:r>
              <w:rPr>
                <w:rFonts w:cs="Arial"/>
                <w:szCs w:val="18"/>
              </w:rPr>
              <w:t>2880</w:t>
            </w:r>
          </w:p>
        </w:tc>
      </w:tr>
    </w:tbl>
    <w:p w14:paraId="308E3939" w14:textId="77777777" w:rsidR="00233E7E" w:rsidRPr="00233E7E" w:rsidRDefault="00233E7E" w:rsidP="00233E7E">
      <w:pPr>
        <w:pStyle w:val="CETBodytext"/>
      </w:pPr>
    </w:p>
    <w:p w14:paraId="63A8A55A" w14:textId="0F473E71" w:rsidR="00543F9E" w:rsidRDefault="007033C8" w:rsidP="0050492A">
      <w:pPr>
        <w:pStyle w:val="CETHeading1"/>
        <w:rPr>
          <w:lang w:val="en-GB"/>
        </w:rPr>
      </w:pPr>
      <w:r>
        <w:rPr>
          <w:lang w:val="en-GB"/>
        </w:rPr>
        <w:t>Evaluation of the r</w:t>
      </w:r>
      <w:r w:rsidR="00543F9E" w:rsidRPr="00E54FEA">
        <w:rPr>
          <w:lang w:val="en-GB"/>
        </w:rPr>
        <w:t>esults</w:t>
      </w:r>
    </w:p>
    <w:p w14:paraId="5E2EBD52" w14:textId="2A204690" w:rsidR="0063183C" w:rsidRDefault="00E75F0C" w:rsidP="00B83F58">
      <w:pPr>
        <w:pStyle w:val="CETBodytext"/>
      </w:pPr>
      <w:r w:rsidRPr="00E75F0C">
        <w:t>The two experimental tests conducted using the two approaches described in the previous paragraphs</w:t>
      </w:r>
      <w:r>
        <w:t>, the first one following the technical German standard and the second one</w:t>
      </w:r>
      <w:r w:rsidR="00402D5B">
        <w:t xml:space="preserve"> through the</w:t>
      </w:r>
      <w:r>
        <w:t xml:space="preserve"> </w:t>
      </w:r>
      <w:r w:rsidR="00402D5B">
        <w:t>implementation of a new procedure</w:t>
      </w:r>
      <w:r w:rsidR="0063183C">
        <w:t xml:space="preserve">, that </w:t>
      </w:r>
      <w:r w:rsidR="0063183C" w:rsidRPr="0063183C">
        <w:t xml:space="preserve">consists of adding a </w:t>
      </w:r>
      <w:r w:rsidR="0063183C">
        <w:t xml:space="preserve">specific </w:t>
      </w:r>
      <w:r w:rsidR="0063183C" w:rsidRPr="0063183C">
        <w:t>number of odour concentrations</w:t>
      </w:r>
      <w:r w:rsidR="0063183C">
        <w:t xml:space="preserve"> at successive time intervals.</w:t>
      </w:r>
      <w:r w:rsidR="000D6D24">
        <w:t xml:space="preserve"> </w:t>
      </w:r>
      <w:r w:rsidR="0063183C">
        <w:t xml:space="preserve">The two obtained OEC values </w:t>
      </w:r>
      <w:r w:rsidR="00777D87">
        <w:t xml:space="preserve">are respectively equal to </w:t>
      </w:r>
      <w:r w:rsidR="00C310C2">
        <w:t>9</w:t>
      </w:r>
      <w:r w:rsidR="00DA2A79" w:rsidRPr="00E54FEA">
        <w:t>.</w:t>
      </w:r>
      <w:r w:rsidR="00C310C2">
        <w:t>5</w:t>
      </w:r>
      <w:r w:rsidR="00DA2A79" w:rsidRPr="00E54FEA">
        <w:t>·10</w:t>
      </w:r>
      <w:r w:rsidR="00DA2A79">
        <w:rPr>
          <w:vertAlign w:val="superscript"/>
        </w:rPr>
        <w:t>5</w:t>
      </w:r>
      <w:r w:rsidR="00DA2A79" w:rsidRPr="00E54FEA">
        <w:t xml:space="preserve"> ou</w:t>
      </w:r>
      <w:r w:rsidR="00DA2A79" w:rsidRPr="00E54FEA">
        <w:rPr>
          <w:vertAlign w:val="subscript"/>
        </w:rPr>
        <w:t>E</w:t>
      </w:r>
      <w:r w:rsidR="00DA2A79" w:rsidRPr="00E54FEA">
        <w:t>/m</w:t>
      </w:r>
      <w:r w:rsidR="00DA2A79" w:rsidRPr="00E54FEA">
        <w:rPr>
          <w:vertAlign w:val="superscript"/>
        </w:rPr>
        <w:t>3</w:t>
      </w:r>
      <w:r w:rsidR="00DA2A79" w:rsidRPr="00E54FEA">
        <w:rPr>
          <w:vertAlign w:val="subscript"/>
        </w:rPr>
        <w:t>liquid</w:t>
      </w:r>
      <w:r w:rsidR="00DA2A79">
        <w:t xml:space="preserve"> and 3</w:t>
      </w:r>
      <w:r w:rsidR="002146D8">
        <w:t>.</w:t>
      </w:r>
      <w:r w:rsidR="000D61A4">
        <w:t>5</w:t>
      </w:r>
      <w:r w:rsidR="00DA2A79" w:rsidRPr="00E54FEA">
        <w:t>·10</w:t>
      </w:r>
      <w:r w:rsidR="002146D8">
        <w:rPr>
          <w:vertAlign w:val="superscript"/>
        </w:rPr>
        <w:t>6</w:t>
      </w:r>
      <w:r w:rsidR="00DA2A79" w:rsidRPr="00E54FEA">
        <w:t xml:space="preserve"> ou</w:t>
      </w:r>
      <w:r w:rsidR="00DA2A79" w:rsidRPr="00E54FEA">
        <w:rPr>
          <w:vertAlign w:val="subscript"/>
        </w:rPr>
        <w:t>E</w:t>
      </w:r>
      <w:r w:rsidR="00DA2A79" w:rsidRPr="00E54FEA">
        <w:t>/m</w:t>
      </w:r>
      <w:r w:rsidR="00DA2A79" w:rsidRPr="00E54FEA">
        <w:rPr>
          <w:vertAlign w:val="superscript"/>
        </w:rPr>
        <w:t>3</w:t>
      </w:r>
      <w:r w:rsidR="00DA2A79" w:rsidRPr="00E54FEA">
        <w:rPr>
          <w:vertAlign w:val="subscript"/>
        </w:rPr>
        <w:t>liqui</w:t>
      </w:r>
      <w:r w:rsidR="000A1C5A">
        <w:rPr>
          <w:vertAlign w:val="subscript"/>
        </w:rPr>
        <w:t>d</w:t>
      </w:r>
      <w:r w:rsidR="000A1C5A">
        <w:t xml:space="preserve">, whose difference is a factor </w:t>
      </w:r>
      <w:r w:rsidR="000D6D24">
        <w:t>equal to</w:t>
      </w:r>
      <w:r w:rsidR="000A1C5A">
        <w:t xml:space="preserve"> </w:t>
      </w:r>
      <w:r w:rsidR="006651E6">
        <w:t>3.7</w:t>
      </w:r>
      <w:r w:rsidR="000A1C5A">
        <w:t>.</w:t>
      </w:r>
    </w:p>
    <w:p w14:paraId="39360E48" w14:textId="5F1D54CB" w:rsidR="000D6D24" w:rsidRPr="000A1C5A" w:rsidRDefault="000D6D24" w:rsidP="00B83F58">
      <w:pPr>
        <w:pStyle w:val="CETBodytext"/>
      </w:pPr>
      <w:r>
        <w:t xml:space="preserve">A different </w:t>
      </w:r>
      <w:r w:rsidR="00E503D2">
        <w:t xml:space="preserve">methodology </w:t>
      </w:r>
      <w:r w:rsidR="000469C2">
        <w:t>to</w:t>
      </w:r>
      <w:r w:rsidR="00E503D2">
        <w:t xml:space="preserve"> evaluat</w:t>
      </w:r>
      <w:r w:rsidR="000469C2">
        <w:t>e</w:t>
      </w:r>
      <w:r w:rsidR="00E503D2">
        <w:t xml:space="preserve"> the quality of the </w:t>
      </w:r>
      <w:r w:rsidR="000469C2">
        <w:t>estimated</w:t>
      </w:r>
      <w:r w:rsidR="00E503D2">
        <w:t xml:space="preserve"> data</w:t>
      </w:r>
      <w:r w:rsidR="000469C2">
        <w:t xml:space="preserve"> is to </w:t>
      </w:r>
      <w:r w:rsidR="005E4C98">
        <w:t xml:space="preserve">assess </w:t>
      </w:r>
      <w:r w:rsidR="000469C2">
        <w:t xml:space="preserve">the trend of the </w:t>
      </w:r>
      <w:bookmarkStart w:id="5" w:name="_Hlk108617636"/>
      <w:r w:rsidR="007033C8">
        <w:t xml:space="preserve">time-varying </w:t>
      </w:r>
      <w:r w:rsidR="000469C2">
        <w:t>integral</w:t>
      </w:r>
      <w:bookmarkEnd w:id="5"/>
      <w:r w:rsidR="000469C2">
        <w:t xml:space="preserve"> of the OEC in function of </w:t>
      </w:r>
      <w:r w:rsidR="005E4C98">
        <w:t>the</w:t>
      </w:r>
      <w:r w:rsidR="007033C8">
        <w:t xml:space="preserve"> bubbling</w:t>
      </w:r>
      <w:r w:rsidR="005E4C98">
        <w:t xml:space="preserve"> </w:t>
      </w:r>
      <w:r w:rsidR="000469C2">
        <w:t>time</w:t>
      </w:r>
      <w:r w:rsidR="005E4C98">
        <w:t>, avoiding observ</w:t>
      </w:r>
      <w:r w:rsidR="00471F12">
        <w:t>ing</w:t>
      </w:r>
      <w:r w:rsidR="005E4C98">
        <w:t xml:space="preserve"> the </w:t>
      </w:r>
      <w:r w:rsidR="00471F12">
        <w:t>single</w:t>
      </w:r>
      <w:r w:rsidR="005E4C98">
        <w:t xml:space="preserve"> calculated value</w:t>
      </w:r>
      <w:r w:rsidR="00471F12">
        <w:t xml:space="preserve"> with the mathematical approach of trapezoid rule</w:t>
      </w:r>
      <w:r w:rsidR="00CD2926">
        <w:t xml:space="preserve"> with the risk to loss information</w:t>
      </w:r>
      <w:r w:rsidR="00471F12">
        <w:t>.</w:t>
      </w:r>
      <w:r w:rsidR="00471F12" w:rsidRPr="00471F12">
        <w:t xml:space="preserve"> </w:t>
      </w:r>
      <w:r w:rsidR="00471F12">
        <w:fldChar w:fldCharType="begin"/>
      </w:r>
      <w:r w:rsidR="00471F12">
        <w:instrText xml:space="preserve"> REF _Ref108173919 \h </w:instrText>
      </w:r>
      <w:r w:rsidR="00471F12">
        <w:fldChar w:fldCharType="separate"/>
      </w:r>
      <w:r w:rsidR="00471F12">
        <w:t xml:space="preserve">Figure </w:t>
      </w:r>
      <w:r w:rsidR="00471F12">
        <w:rPr>
          <w:noProof/>
        </w:rPr>
        <w:t>3</w:t>
      </w:r>
      <w:r w:rsidR="00471F12">
        <w:fldChar w:fldCharType="end"/>
      </w:r>
      <w:r w:rsidR="00471F12">
        <w:t xml:space="preserve"> </w:t>
      </w:r>
      <w:r w:rsidR="0083474F">
        <w:t>report</w:t>
      </w:r>
      <w:r w:rsidR="00471F12">
        <w:t xml:space="preserve">s </w:t>
      </w:r>
      <w:r w:rsidR="007033C8">
        <w:t xml:space="preserve">the time-varying integral for the presented OEC </w:t>
      </w:r>
      <w:r w:rsidR="00026DD3">
        <w:t>estimation</w:t>
      </w:r>
      <w:r w:rsidR="009E5602">
        <w:t>s</w:t>
      </w:r>
      <w:r w:rsidR="00026DD3">
        <w:t xml:space="preserve"> (whose values are reported in </w:t>
      </w:r>
      <w:r w:rsidR="00026DD3">
        <w:fldChar w:fldCharType="begin"/>
      </w:r>
      <w:r w:rsidR="00026DD3">
        <w:instrText xml:space="preserve"> REF _Ref108177561 \h </w:instrText>
      </w:r>
      <w:r w:rsidR="00026DD3">
        <w:fldChar w:fldCharType="separate"/>
      </w:r>
      <w:r w:rsidR="00026DD3">
        <w:t xml:space="preserve">Table </w:t>
      </w:r>
      <w:r w:rsidR="00026DD3">
        <w:rPr>
          <w:noProof/>
        </w:rPr>
        <w:t>2</w:t>
      </w:r>
      <w:r w:rsidR="00026DD3">
        <w:fldChar w:fldCharType="end"/>
      </w:r>
      <w:r w:rsidR="00026DD3">
        <w:t>)</w:t>
      </w:r>
      <w:r w:rsidR="00471F12">
        <w:t xml:space="preserve">, where the blue line is the trend of OEC </w:t>
      </w:r>
      <w:r w:rsidR="0083474F">
        <w:t xml:space="preserve">related to the standard method whose duration is 32 min, while the red line represents the OEC’s trend of the new approach whose duration is fixed at 2880 min, </w:t>
      </w:r>
      <w:proofErr w:type="gramStart"/>
      <w:r w:rsidR="0083474F">
        <w:t>i.e.</w:t>
      </w:r>
      <w:proofErr w:type="gramEnd"/>
      <w:r w:rsidR="0083474F">
        <w:t xml:space="preserve"> 4</w:t>
      </w:r>
      <w:r w:rsidR="003B4711">
        <w:t>8</w:t>
      </w:r>
      <w:r w:rsidR="0083474F">
        <w:t xml:space="preserve"> h. </w:t>
      </w:r>
      <w:r w:rsidR="0068401A">
        <w:t>From the</w:t>
      </w:r>
      <w:r w:rsidR="0083474F">
        <w:t xml:space="preserve"> graph</w:t>
      </w:r>
      <w:r w:rsidR="0068401A">
        <w:t>, it</w:t>
      </w:r>
      <w:r w:rsidR="0083474F">
        <w:t xml:space="preserve"> </w:t>
      </w:r>
      <w:r w:rsidR="0068401A">
        <w:t>appears</w:t>
      </w:r>
      <w:r w:rsidR="0083474F">
        <w:t xml:space="preserve"> that </w:t>
      </w:r>
      <w:r w:rsidR="00A90105">
        <w:t>after 4</w:t>
      </w:r>
      <w:r w:rsidR="003B4711">
        <w:t>8</w:t>
      </w:r>
      <w:r w:rsidR="00A90105">
        <w:t xml:space="preserve"> h </w:t>
      </w:r>
      <w:r w:rsidR="0068401A">
        <w:t xml:space="preserve">the </w:t>
      </w:r>
      <w:r w:rsidR="00A90105">
        <w:t xml:space="preserve">first derivative of the </w:t>
      </w:r>
      <w:r w:rsidR="0083474F">
        <w:t xml:space="preserve">red </w:t>
      </w:r>
      <w:r w:rsidR="00A90105">
        <w:t>curve</w:t>
      </w:r>
      <w:r w:rsidR="0068401A">
        <w:t xml:space="preserve"> </w:t>
      </w:r>
      <w:r w:rsidR="00A90105">
        <w:t xml:space="preserve">is </w:t>
      </w:r>
      <w:r w:rsidR="003B4711">
        <w:t>approximately zero</w:t>
      </w:r>
      <w:r w:rsidR="00A90105">
        <w:t>, which means</w:t>
      </w:r>
      <w:r w:rsidR="0068401A">
        <w:t xml:space="preserve"> a stationary trend</w:t>
      </w:r>
      <w:r w:rsidR="00A90105">
        <w:t>, instead the first derivative of blue curve is positive</w:t>
      </w:r>
      <w:r w:rsidR="00906BA3">
        <w:t xml:space="preserve"> that means an increasing trend</w:t>
      </w:r>
      <w:r w:rsidR="00A90105">
        <w:t>.</w:t>
      </w:r>
    </w:p>
    <w:p w14:paraId="43239129" w14:textId="77777777" w:rsidR="008C19E9" w:rsidRPr="008C19E9" w:rsidRDefault="008C19E9" w:rsidP="008C19E9">
      <w:pPr>
        <w:pStyle w:val="CETBodytext"/>
      </w:pPr>
    </w:p>
    <w:p w14:paraId="2F9ECB2C" w14:textId="03BAF679" w:rsidR="008C19E9" w:rsidRDefault="00A90105" w:rsidP="008C19E9">
      <w:pPr>
        <w:pStyle w:val="CETBodytext"/>
        <w:keepNext/>
      </w:pPr>
      <w:r>
        <w:rPr>
          <w:noProof/>
        </w:rPr>
        <w:drawing>
          <wp:inline distT="0" distB="0" distL="0" distR="0" wp14:anchorId="368E24BF" wp14:editId="304C7E8D">
            <wp:extent cx="4320000" cy="2520000"/>
            <wp:effectExtent l="0" t="0" r="4445"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2"/>
                    <a:srcRect l="6220" r="7320"/>
                    <a:stretch/>
                  </pic:blipFill>
                  <pic:spPr bwMode="auto">
                    <a:xfrm>
                      <a:off x="0" y="0"/>
                      <a:ext cx="4320000" cy="2520000"/>
                    </a:xfrm>
                    <a:prstGeom prst="rect">
                      <a:avLst/>
                    </a:prstGeom>
                    <a:ln>
                      <a:noFill/>
                    </a:ln>
                    <a:extLst>
                      <a:ext uri="{53640926-AAD7-44D8-BBD7-CCE9431645EC}">
                        <a14:shadowObscured xmlns:a14="http://schemas.microsoft.com/office/drawing/2010/main"/>
                      </a:ext>
                    </a:extLst>
                  </pic:spPr>
                </pic:pic>
              </a:graphicData>
            </a:graphic>
          </wp:inline>
        </w:drawing>
      </w:r>
    </w:p>
    <w:p w14:paraId="5DCC632F" w14:textId="39CA93FC" w:rsidR="004B230F" w:rsidRDefault="008C19E9" w:rsidP="008C19E9">
      <w:pPr>
        <w:pStyle w:val="CETCaption"/>
      </w:pPr>
      <w:bookmarkStart w:id="6" w:name="_Ref108173919"/>
      <w:r>
        <w:t xml:space="preserve">Figure </w:t>
      </w:r>
      <w:r>
        <w:fldChar w:fldCharType="begin"/>
      </w:r>
      <w:r>
        <w:instrText xml:space="preserve"> SEQ Figure \* ARABIC </w:instrText>
      </w:r>
      <w:r>
        <w:fldChar w:fldCharType="separate"/>
      </w:r>
      <w:r>
        <w:rPr>
          <w:noProof/>
        </w:rPr>
        <w:t>3</w:t>
      </w:r>
      <w:r>
        <w:fldChar w:fldCharType="end"/>
      </w:r>
      <w:bookmarkEnd w:id="6"/>
      <w:r w:rsidR="00B83F58">
        <w:t>. Odour Emission Capacity trends during analysis time</w:t>
      </w:r>
    </w:p>
    <w:p w14:paraId="32FBAA12" w14:textId="07ADFDC5" w:rsidR="007C1846" w:rsidRDefault="0051393B" w:rsidP="00D66A44">
      <w:pPr>
        <w:pStyle w:val="CETBodytext"/>
      </w:pPr>
      <w:r>
        <w:lastRenderedPageBreak/>
        <w:t xml:space="preserve">Another </w:t>
      </w:r>
      <w:r w:rsidR="00A61F4E">
        <w:t xml:space="preserve">consideration could be done </w:t>
      </w:r>
      <w:r w:rsidR="00B65502">
        <w:t>evaluati</w:t>
      </w:r>
      <w:r w:rsidR="007F35CC">
        <w:t>ng</w:t>
      </w:r>
      <w:r w:rsidR="00B65502">
        <w:t xml:space="preserve"> </w:t>
      </w:r>
      <w:r w:rsidR="00A61F4E">
        <w:t xml:space="preserve">the </w:t>
      </w:r>
      <w:r w:rsidR="00B65502">
        <w:t>contribution of each individual trapezium</w:t>
      </w:r>
      <w:r w:rsidR="008608A4">
        <w:t xml:space="preserve"> designed by the 9 odour concentration measurements executed </w:t>
      </w:r>
      <w:r w:rsidR="007F35CC">
        <w:t>during</w:t>
      </w:r>
      <w:r w:rsidR="008608A4">
        <w:t xml:space="preserve"> the analysis</w:t>
      </w:r>
      <w:r w:rsidR="00AC325B">
        <w:t>.</w:t>
      </w:r>
      <w:r w:rsidR="00801ED8">
        <w:t xml:space="preserve"> </w:t>
      </w:r>
      <w:r w:rsidR="00AC325B">
        <w:fldChar w:fldCharType="begin"/>
      </w:r>
      <w:r w:rsidR="00AC325B">
        <w:instrText xml:space="preserve"> REF _Ref108177561 \h </w:instrText>
      </w:r>
      <w:r w:rsidR="00AC325B">
        <w:fldChar w:fldCharType="separate"/>
      </w:r>
      <w:r w:rsidR="00AC325B">
        <w:t xml:space="preserve">Table </w:t>
      </w:r>
      <w:r w:rsidR="00AC325B">
        <w:rPr>
          <w:noProof/>
        </w:rPr>
        <w:t>2</w:t>
      </w:r>
      <w:r w:rsidR="00AC325B">
        <w:fldChar w:fldCharType="end"/>
      </w:r>
      <w:r w:rsidR="00AC325B">
        <w:t xml:space="preserve"> shows</w:t>
      </w:r>
      <w:r w:rsidR="00E00E99">
        <w:t xml:space="preserve"> the contribution of each trapez</w:t>
      </w:r>
      <w:r w:rsidR="00A45323">
        <w:t>ium</w:t>
      </w:r>
      <w:r w:rsidR="00E00E99">
        <w:t xml:space="preserve"> useful to calculate the OEC value.</w:t>
      </w:r>
      <w:r w:rsidR="00A45323">
        <w:t xml:space="preserve"> </w:t>
      </w:r>
      <w:r w:rsidR="007F35CC">
        <w:t xml:space="preserve">In this case, the </w:t>
      </w:r>
      <w:r w:rsidR="00A45323">
        <w:t xml:space="preserve">weight of the area, obtained by </w:t>
      </w:r>
      <w:r w:rsidR="00A45323" w:rsidRPr="00A45323">
        <w:t>linear extrapolation</w:t>
      </w:r>
      <w:r w:rsidR="00A45323">
        <w:t xml:space="preserve"> is 6%.</w:t>
      </w:r>
      <w:r w:rsidR="00AC325B">
        <w:t xml:space="preserve"> </w:t>
      </w:r>
      <w:r w:rsidR="00A45323">
        <w:t xml:space="preserve">It can </w:t>
      </w:r>
      <w:r w:rsidR="00F44643">
        <w:t>observe</w:t>
      </w:r>
      <w:r w:rsidR="00A45323">
        <w:t xml:space="preserve"> </w:t>
      </w:r>
      <w:r w:rsidR="007F35CC">
        <w:t xml:space="preserve">that the single contribution of the trapezoids for estimation of OEC value related to the </w:t>
      </w:r>
      <w:r w:rsidR="007F35CC" w:rsidRPr="00273A9F">
        <w:t>VDI Guideline 3885/1</w:t>
      </w:r>
      <w:r w:rsidR="007F35CC">
        <w:t xml:space="preserve"> are always lower than 10% and</w:t>
      </w:r>
      <w:r w:rsidR="00A45323">
        <w:t xml:space="preserve"> </w:t>
      </w:r>
      <w:r w:rsidR="00F44643">
        <w:t>t</w:t>
      </w:r>
      <w:r w:rsidR="00AC325B">
        <w:t>he</w:t>
      </w:r>
      <w:r w:rsidR="007F35CC">
        <w:t>ir</w:t>
      </w:r>
      <w:r w:rsidR="00557E6C">
        <w:t xml:space="preserve"> </w:t>
      </w:r>
      <w:r w:rsidR="00E00E99">
        <w:t>sum is</w:t>
      </w:r>
      <w:r w:rsidR="00801ED8">
        <w:t xml:space="preserve"> </w:t>
      </w:r>
      <w:r w:rsidR="00F44643">
        <w:t xml:space="preserve">the </w:t>
      </w:r>
      <w:r w:rsidR="00E00E99">
        <w:t>23</w:t>
      </w:r>
      <w:r w:rsidR="007C1846">
        <w:t>%</w:t>
      </w:r>
      <w:r w:rsidR="00273A9F">
        <w:t xml:space="preserve"> </w:t>
      </w:r>
      <w:r w:rsidR="00F44643">
        <w:t xml:space="preserve">of </w:t>
      </w:r>
      <w:r w:rsidR="00273A9F">
        <w:t xml:space="preserve">the </w:t>
      </w:r>
      <w:r w:rsidR="00E00E99">
        <w:t xml:space="preserve">total </w:t>
      </w:r>
      <w:r w:rsidR="00273A9F">
        <w:t>OEC value of the new approach exposed in the present work.</w:t>
      </w:r>
    </w:p>
    <w:p w14:paraId="55AF93FF" w14:textId="71B3B0E4" w:rsidR="007C1846" w:rsidRDefault="00DE09F0" w:rsidP="00D66A44">
      <w:pPr>
        <w:pStyle w:val="CETBodytext"/>
      </w:pPr>
      <w:r>
        <w:t xml:space="preserve">Furthermore, </w:t>
      </w:r>
      <w:r w:rsidR="000A3B5A">
        <w:t>as regards the number of odour sample</w:t>
      </w:r>
      <w:r w:rsidR="007C1846">
        <w:t>s</w:t>
      </w:r>
      <w:r w:rsidR="000A3B5A">
        <w:t xml:space="preserve"> to analyse through dynamic olfactometry, </w:t>
      </w:r>
      <w:r w:rsidR="00917480">
        <w:t>the</w:t>
      </w:r>
      <w:r w:rsidR="000A3B5A">
        <w:t xml:space="preserve"> results suggest that </w:t>
      </w:r>
      <w:r w:rsidR="00917480">
        <w:t xml:space="preserve">an OEC of a wastewater </w:t>
      </w:r>
      <w:r w:rsidR="0087738E">
        <w:t xml:space="preserve">from a refinery or a petrochemical plant </w:t>
      </w:r>
      <w:r w:rsidR="00917480">
        <w:t>could be</w:t>
      </w:r>
      <w:r w:rsidR="0087738E">
        <w:t xml:space="preserve"> estimated with at least 7 odour concentrations</w:t>
      </w:r>
      <w:r w:rsidR="00224B56">
        <w:t>, or for at least 8 hours</w:t>
      </w:r>
      <w:r w:rsidR="006651E6">
        <w:t xml:space="preserve"> of bubbling</w:t>
      </w:r>
      <w:r w:rsidR="0087738E">
        <w:t xml:space="preserve">. </w:t>
      </w:r>
      <w:r w:rsidR="007C1846">
        <w:t xml:space="preserve">In this case, the </w:t>
      </w:r>
      <w:r w:rsidR="003D188D">
        <w:t>OEC is equal to 2.6</w:t>
      </w:r>
      <w:r w:rsidR="003D188D" w:rsidRPr="00E54FEA">
        <w:t>·10</w:t>
      </w:r>
      <w:r w:rsidR="003D188D">
        <w:rPr>
          <w:vertAlign w:val="superscript"/>
        </w:rPr>
        <w:t>6</w:t>
      </w:r>
      <w:r w:rsidR="003D188D" w:rsidRPr="00E54FEA">
        <w:t xml:space="preserve"> ou</w:t>
      </w:r>
      <w:r w:rsidR="003D188D" w:rsidRPr="00E54FEA">
        <w:rPr>
          <w:vertAlign w:val="subscript"/>
        </w:rPr>
        <w:t>E</w:t>
      </w:r>
      <w:r w:rsidR="003D188D" w:rsidRPr="00E54FEA">
        <w:t>/m</w:t>
      </w:r>
      <w:r w:rsidR="003D188D" w:rsidRPr="00E54FEA">
        <w:rPr>
          <w:vertAlign w:val="superscript"/>
        </w:rPr>
        <w:t>3</w:t>
      </w:r>
      <w:r w:rsidR="003D188D" w:rsidRPr="00E54FEA">
        <w:rPr>
          <w:vertAlign w:val="subscript"/>
        </w:rPr>
        <w:t>liquid</w:t>
      </w:r>
      <w:r w:rsidR="003D188D">
        <w:t xml:space="preserve">, that </w:t>
      </w:r>
      <w:r w:rsidR="006651E6">
        <w:t xml:space="preserve">represents </w:t>
      </w:r>
      <w:r w:rsidR="003D188D">
        <w:t>the 77% of the value evaluated with 9 samples.</w:t>
      </w:r>
    </w:p>
    <w:p w14:paraId="2F15B488" w14:textId="4447E180" w:rsidR="00D66A44" w:rsidRDefault="00D66A44" w:rsidP="00D66A44">
      <w:pPr>
        <w:pStyle w:val="CETCaption"/>
        <w:spacing w:after="0"/>
      </w:pPr>
      <w:bookmarkStart w:id="7" w:name="_Ref108177561"/>
      <w:r>
        <w:t xml:space="preserve">Table </w:t>
      </w:r>
      <w:r>
        <w:fldChar w:fldCharType="begin"/>
      </w:r>
      <w:r>
        <w:instrText xml:space="preserve"> SEQ Table \* ARABIC </w:instrText>
      </w:r>
      <w:r>
        <w:fldChar w:fldCharType="separate"/>
      </w:r>
      <w:r>
        <w:rPr>
          <w:noProof/>
        </w:rPr>
        <w:t>2</w:t>
      </w:r>
      <w:r>
        <w:fldChar w:fldCharType="end"/>
      </w:r>
      <w:bookmarkEnd w:id="7"/>
      <w:r>
        <w:t>:</w:t>
      </w:r>
      <w:r w:rsidR="00D262F9">
        <w:t xml:space="preserve"> </w:t>
      </w:r>
      <w:r w:rsidR="00026DD3">
        <w:t>Single contribution of trapezoids to</w:t>
      </w:r>
      <w:r w:rsidR="00D262F9">
        <w:t xml:space="preserve"> </w:t>
      </w:r>
      <w:r>
        <w:t>O</w:t>
      </w:r>
      <w:r w:rsidR="008C2054">
        <w:t>EC estimated with 9 samples</w:t>
      </w:r>
      <w:r w:rsidR="00026DD3">
        <w:t xml:space="preserve"> and</w:t>
      </w:r>
      <w:r w:rsidR="008C2054">
        <w:t xml:space="preserve"> </w:t>
      </w:r>
      <w:r w:rsidR="00026DD3" w:rsidRPr="00026DD3">
        <w:t>time-varying integral</w:t>
      </w:r>
      <w:r w:rsidR="00026DD3">
        <w:t xml:space="preserve"> values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418"/>
        <w:gridCol w:w="1418"/>
      </w:tblGrid>
      <w:tr w:rsidR="00137F7C" w:rsidRPr="00B57B36" w14:paraId="76333DF9" w14:textId="79871485" w:rsidTr="00E7760C">
        <w:tc>
          <w:tcPr>
            <w:tcW w:w="1134" w:type="dxa"/>
            <w:tcBorders>
              <w:top w:val="single" w:sz="12" w:space="0" w:color="008000"/>
              <w:bottom w:val="single" w:sz="6" w:space="0" w:color="008000"/>
            </w:tcBorders>
            <w:shd w:val="clear" w:color="auto" w:fill="FFFFFF"/>
          </w:tcPr>
          <w:p w14:paraId="2F81F8A9" w14:textId="47F10259" w:rsidR="00137F7C" w:rsidRPr="00D8787F" w:rsidRDefault="00137F7C" w:rsidP="004345D5">
            <w:pPr>
              <w:pStyle w:val="CETBodytext"/>
              <w:jc w:val="center"/>
            </w:pPr>
            <w:r w:rsidRPr="00D8787F">
              <w:t>N°</w:t>
            </w:r>
            <w:r>
              <w:t xml:space="preserve"> sample</w:t>
            </w:r>
          </w:p>
        </w:tc>
        <w:tc>
          <w:tcPr>
            <w:tcW w:w="1418" w:type="dxa"/>
            <w:tcBorders>
              <w:top w:val="single" w:sz="12" w:space="0" w:color="008000"/>
              <w:bottom w:val="single" w:sz="6" w:space="0" w:color="008000"/>
            </w:tcBorders>
            <w:shd w:val="clear" w:color="auto" w:fill="FFFFFF"/>
          </w:tcPr>
          <w:p w14:paraId="12FFB0ED" w14:textId="15210509" w:rsidR="00137F7C" w:rsidRPr="00D8787F" w:rsidRDefault="00D31C1C" w:rsidP="00D66A44">
            <w:pPr>
              <w:pStyle w:val="CETBodytext"/>
              <w:jc w:val="center"/>
            </w:pPr>
            <w:r>
              <w:t>Single trapezoid c</w:t>
            </w:r>
            <w:r w:rsidR="00137F7C">
              <w:t xml:space="preserve">ontribution </w:t>
            </w:r>
          </w:p>
        </w:tc>
        <w:tc>
          <w:tcPr>
            <w:tcW w:w="1418" w:type="dxa"/>
            <w:tcBorders>
              <w:top w:val="single" w:sz="12" w:space="0" w:color="008000"/>
              <w:bottom w:val="single" w:sz="6" w:space="0" w:color="008000"/>
            </w:tcBorders>
            <w:shd w:val="clear" w:color="auto" w:fill="FFFFFF"/>
          </w:tcPr>
          <w:p w14:paraId="47D93042" w14:textId="77777777" w:rsidR="00137F7C" w:rsidRPr="00D8787F" w:rsidRDefault="00137F7C" w:rsidP="00137F7C">
            <w:pPr>
              <w:pStyle w:val="CETBodytext"/>
              <w:jc w:val="center"/>
              <w:rPr>
                <w:vertAlign w:val="subscript"/>
              </w:rPr>
            </w:pPr>
            <w:r>
              <w:t>OEC</w:t>
            </w:r>
          </w:p>
          <w:p w14:paraId="4E2B1EBD" w14:textId="721D27F8" w:rsidR="00137F7C" w:rsidRDefault="00137F7C" w:rsidP="00137F7C">
            <w:pPr>
              <w:pStyle w:val="CETBodytext"/>
              <w:jc w:val="center"/>
            </w:pPr>
            <w:r w:rsidRPr="00D8787F">
              <w:t>[ou</w:t>
            </w:r>
            <w:r w:rsidRPr="00D8787F">
              <w:rPr>
                <w:vertAlign w:val="subscript"/>
              </w:rPr>
              <w:t>E</w:t>
            </w:r>
            <w:r w:rsidRPr="00D8787F">
              <w:t>/m</w:t>
            </w:r>
            <w:r w:rsidRPr="00D8787F">
              <w:rPr>
                <w:vertAlign w:val="superscript"/>
              </w:rPr>
              <w:t>3</w:t>
            </w:r>
            <w:r w:rsidRPr="004B230F">
              <w:rPr>
                <w:vertAlign w:val="subscript"/>
              </w:rPr>
              <w:t>liquid</w:t>
            </w:r>
            <w:r w:rsidRPr="00D8787F">
              <w:t>]</w:t>
            </w:r>
          </w:p>
        </w:tc>
      </w:tr>
      <w:tr w:rsidR="00137F7C" w:rsidRPr="00B57B36" w14:paraId="6505B7EE" w14:textId="67470C34" w:rsidTr="00E7760C">
        <w:tc>
          <w:tcPr>
            <w:tcW w:w="1134" w:type="dxa"/>
            <w:shd w:val="clear" w:color="auto" w:fill="FFFFFF"/>
          </w:tcPr>
          <w:p w14:paraId="26DD7D68" w14:textId="0279E343" w:rsidR="00137F7C" w:rsidRPr="00B57B36" w:rsidRDefault="00137F7C" w:rsidP="00137F7C">
            <w:pPr>
              <w:pStyle w:val="CETBodytext"/>
              <w:jc w:val="center"/>
            </w:pPr>
            <w:r>
              <w:t>1</w:t>
            </w:r>
          </w:p>
        </w:tc>
        <w:tc>
          <w:tcPr>
            <w:tcW w:w="1418" w:type="dxa"/>
            <w:shd w:val="clear" w:color="auto" w:fill="FFFFFF"/>
          </w:tcPr>
          <w:p w14:paraId="786565F7" w14:textId="48A0414D" w:rsidR="00137F7C" w:rsidRPr="00B57B36" w:rsidRDefault="00137F7C" w:rsidP="00137F7C">
            <w:pPr>
              <w:pStyle w:val="CETBodytext"/>
              <w:jc w:val="center"/>
            </w:pPr>
            <w:r>
              <w:t>5%</w:t>
            </w:r>
          </w:p>
        </w:tc>
        <w:tc>
          <w:tcPr>
            <w:tcW w:w="1418" w:type="dxa"/>
            <w:shd w:val="clear" w:color="auto" w:fill="FFFFFF"/>
          </w:tcPr>
          <w:p w14:paraId="2BAC1509" w14:textId="43DDED1B" w:rsidR="00137F7C" w:rsidRDefault="00137F7C" w:rsidP="00137F7C">
            <w:pPr>
              <w:pStyle w:val="CETBodytext"/>
              <w:jc w:val="center"/>
            </w:pPr>
            <w:r>
              <w:t>1</w:t>
            </w:r>
            <w:r w:rsidRPr="00362F20">
              <w:t>.</w:t>
            </w:r>
            <w:r>
              <w:t>6</w:t>
            </w:r>
            <w:r w:rsidRPr="00362F20">
              <w:t>·10</w:t>
            </w:r>
            <w:r>
              <w:rPr>
                <w:vertAlign w:val="superscript"/>
              </w:rPr>
              <w:t>5</w:t>
            </w:r>
          </w:p>
        </w:tc>
      </w:tr>
      <w:tr w:rsidR="00137F7C" w:rsidRPr="00B57B36" w14:paraId="6F9725C7" w14:textId="03AFD490" w:rsidTr="00E7760C">
        <w:tc>
          <w:tcPr>
            <w:tcW w:w="1134" w:type="dxa"/>
            <w:shd w:val="clear" w:color="auto" w:fill="FFFFFF"/>
          </w:tcPr>
          <w:p w14:paraId="276E0166" w14:textId="1FA43222" w:rsidR="00137F7C" w:rsidRPr="00B57B36" w:rsidRDefault="00137F7C" w:rsidP="00137F7C">
            <w:pPr>
              <w:pStyle w:val="CETBodytext"/>
              <w:jc w:val="center"/>
            </w:pPr>
            <w:r>
              <w:t>2</w:t>
            </w:r>
          </w:p>
        </w:tc>
        <w:tc>
          <w:tcPr>
            <w:tcW w:w="1418" w:type="dxa"/>
            <w:shd w:val="clear" w:color="auto" w:fill="FFFFFF"/>
          </w:tcPr>
          <w:p w14:paraId="0BD46E46" w14:textId="46F5FB58" w:rsidR="00137F7C" w:rsidRPr="00B57B36" w:rsidRDefault="00137F7C" w:rsidP="00137F7C">
            <w:pPr>
              <w:pStyle w:val="CETBodytext"/>
              <w:jc w:val="center"/>
            </w:pPr>
            <w:r>
              <w:t>7%</w:t>
            </w:r>
          </w:p>
        </w:tc>
        <w:tc>
          <w:tcPr>
            <w:tcW w:w="1418" w:type="dxa"/>
            <w:shd w:val="clear" w:color="auto" w:fill="FFFFFF"/>
          </w:tcPr>
          <w:p w14:paraId="0B7A4712" w14:textId="33DDFE0D" w:rsidR="00137F7C" w:rsidRDefault="00137F7C" w:rsidP="00137F7C">
            <w:pPr>
              <w:pStyle w:val="CETBodytext"/>
              <w:jc w:val="center"/>
            </w:pPr>
            <w:r>
              <w:t>4</w:t>
            </w:r>
            <w:r w:rsidRPr="00290CE7">
              <w:t>.</w:t>
            </w:r>
            <w:r>
              <w:t>7</w:t>
            </w:r>
            <w:r w:rsidRPr="00290CE7">
              <w:t>·10</w:t>
            </w:r>
            <w:r>
              <w:rPr>
                <w:vertAlign w:val="superscript"/>
              </w:rPr>
              <w:t>5</w:t>
            </w:r>
          </w:p>
        </w:tc>
      </w:tr>
      <w:tr w:rsidR="00137F7C" w:rsidRPr="00B57B36" w14:paraId="273C3576" w14:textId="6D053E33" w:rsidTr="00E7760C">
        <w:tc>
          <w:tcPr>
            <w:tcW w:w="1134" w:type="dxa"/>
            <w:shd w:val="clear" w:color="auto" w:fill="FFFFFF"/>
          </w:tcPr>
          <w:p w14:paraId="149145E5" w14:textId="560AC728" w:rsidR="00137F7C" w:rsidRPr="00B57B36" w:rsidRDefault="00137F7C" w:rsidP="00137F7C">
            <w:pPr>
              <w:pStyle w:val="CETBodytext"/>
              <w:jc w:val="center"/>
            </w:pPr>
            <w:r>
              <w:t>3</w:t>
            </w:r>
          </w:p>
        </w:tc>
        <w:tc>
          <w:tcPr>
            <w:tcW w:w="1418" w:type="dxa"/>
            <w:shd w:val="clear" w:color="auto" w:fill="FFFFFF"/>
          </w:tcPr>
          <w:p w14:paraId="5A486AF6" w14:textId="660B18DA" w:rsidR="00137F7C" w:rsidRPr="00B57B36" w:rsidRDefault="00137F7C" w:rsidP="00137F7C">
            <w:pPr>
              <w:pStyle w:val="CETBodytext"/>
              <w:jc w:val="center"/>
            </w:pPr>
            <w:r>
              <w:t>9%</w:t>
            </w:r>
          </w:p>
        </w:tc>
        <w:tc>
          <w:tcPr>
            <w:tcW w:w="1418" w:type="dxa"/>
            <w:shd w:val="clear" w:color="auto" w:fill="FFFFFF"/>
          </w:tcPr>
          <w:p w14:paraId="7D30215C" w14:textId="6667F902" w:rsidR="00137F7C" w:rsidRDefault="00137F7C" w:rsidP="00137F7C">
            <w:pPr>
              <w:pStyle w:val="CETBodytext"/>
              <w:jc w:val="center"/>
            </w:pPr>
            <w:r>
              <w:t>8</w:t>
            </w:r>
            <w:r w:rsidRPr="00290CE7">
              <w:t>.</w:t>
            </w:r>
            <w:r>
              <w:t>4</w:t>
            </w:r>
            <w:r w:rsidRPr="00290CE7">
              <w:t>·10</w:t>
            </w:r>
            <w:r>
              <w:rPr>
                <w:vertAlign w:val="superscript"/>
              </w:rPr>
              <w:t>5</w:t>
            </w:r>
          </w:p>
        </w:tc>
      </w:tr>
      <w:tr w:rsidR="00137F7C" w:rsidRPr="00B57B36" w14:paraId="0E908D95" w14:textId="3A7CC9EC" w:rsidTr="00E7760C">
        <w:tc>
          <w:tcPr>
            <w:tcW w:w="1134" w:type="dxa"/>
            <w:shd w:val="clear" w:color="auto" w:fill="FFFFFF"/>
          </w:tcPr>
          <w:p w14:paraId="4E5AD280" w14:textId="76872A56" w:rsidR="00137F7C" w:rsidRDefault="00137F7C" w:rsidP="00137F7C">
            <w:pPr>
              <w:pStyle w:val="CETBodytext"/>
              <w:jc w:val="center"/>
            </w:pPr>
            <w:r>
              <w:t>4</w:t>
            </w:r>
          </w:p>
        </w:tc>
        <w:tc>
          <w:tcPr>
            <w:tcW w:w="1418" w:type="dxa"/>
            <w:shd w:val="clear" w:color="auto" w:fill="FFFFFF"/>
          </w:tcPr>
          <w:p w14:paraId="785C78BB" w14:textId="52C54DF8" w:rsidR="00137F7C" w:rsidRDefault="00137F7C" w:rsidP="00137F7C">
            <w:pPr>
              <w:pStyle w:val="CETBodytext"/>
              <w:jc w:val="center"/>
            </w:pPr>
            <w:r>
              <w:t>7%</w:t>
            </w:r>
          </w:p>
        </w:tc>
        <w:tc>
          <w:tcPr>
            <w:tcW w:w="1418" w:type="dxa"/>
            <w:shd w:val="clear" w:color="auto" w:fill="FFFFFF"/>
          </w:tcPr>
          <w:p w14:paraId="605B342E" w14:textId="3DC8BC16" w:rsidR="00137F7C" w:rsidRDefault="00137F7C" w:rsidP="00137F7C">
            <w:pPr>
              <w:pStyle w:val="CETBodytext"/>
              <w:jc w:val="center"/>
            </w:pPr>
            <w:r>
              <w:t>9</w:t>
            </w:r>
            <w:r w:rsidRPr="00290CE7">
              <w:t>.</w:t>
            </w:r>
            <w:r>
              <w:t>5</w:t>
            </w:r>
            <w:r w:rsidRPr="00290CE7">
              <w:t>·10</w:t>
            </w:r>
            <w:r>
              <w:rPr>
                <w:vertAlign w:val="superscript"/>
              </w:rPr>
              <w:t>5</w:t>
            </w:r>
          </w:p>
        </w:tc>
      </w:tr>
      <w:tr w:rsidR="00137F7C" w:rsidRPr="00B57B36" w14:paraId="76950916" w14:textId="25EDB390" w:rsidTr="00E7760C">
        <w:tc>
          <w:tcPr>
            <w:tcW w:w="1134" w:type="dxa"/>
            <w:shd w:val="clear" w:color="auto" w:fill="FFFFFF"/>
          </w:tcPr>
          <w:p w14:paraId="0FC75A31" w14:textId="3A701928" w:rsidR="00137F7C" w:rsidRDefault="00137F7C" w:rsidP="00137F7C">
            <w:pPr>
              <w:pStyle w:val="CETBodytext"/>
              <w:jc w:val="center"/>
            </w:pPr>
            <w:r>
              <w:t>5</w:t>
            </w:r>
          </w:p>
        </w:tc>
        <w:tc>
          <w:tcPr>
            <w:tcW w:w="1418" w:type="dxa"/>
            <w:shd w:val="clear" w:color="auto" w:fill="FFFFFF"/>
          </w:tcPr>
          <w:p w14:paraId="23FE8730" w14:textId="2F8042AD" w:rsidR="00137F7C" w:rsidRDefault="00137F7C" w:rsidP="00137F7C">
            <w:pPr>
              <w:pStyle w:val="CETBodytext"/>
              <w:jc w:val="center"/>
            </w:pPr>
            <w:r>
              <w:t>4%</w:t>
            </w:r>
          </w:p>
        </w:tc>
        <w:tc>
          <w:tcPr>
            <w:tcW w:w="1418" w:type="dxa"/>
            <w:shd w:val="clear" w:color="auto" w:fill="FFFFFF"/>
          </w:tcPr>
          <w:p w14:paraId="2B0E4F8A" w14:textId="58E46338" w:rsidR="00137F7C" w:rsidRDefault="00137F7C" w:rsidP="00137F7C">
            <w:pPr>
              <w:pStyle w:val="CETBodytext"/>
              <w:jc w:val="center"/>
            </w:pPr>
            <w:r>
              <w:t>1</w:t>
            </w:r>
            <w:r w:rsidRPr="00290CE7">
              <w:t>.</w:t>
            </w:r>
            <w:r>
              <w:t>1</w:t>
            </w:r>
            <w:r w:rsidRPr="00290CE7">
              <w:t>·10</w:t>
            </w:r>
            <w:r>
              <w:rPr>
                <w:vertAlign w:val="superscript"/>
              </w:rPr>
              <w:t>5</w:t>
            </w:r>
          </w:p>
        </w:tc>
      </w:tr>
      <w:tr w:rsidR="00137F7C" w:rsidRPr="00B57B36" w14:paraId="21D71BA6" w14:textId="5F0E2BC3" w:rsidTr="00E7760C">
        <w:tc>
          <w:tcPr>
            <w:tcW w:w="1134" w:type="dxa"/>
            <w:shd w:val="clear" w:color="auto" w:fill="FFFFFF"/>
          </w:tcPr>
          <w:p w14:paraId="63F6F52F" w14:textId="7981ED5E" w:rsidR="00137F7C" w:rsidRDefault="00137F7C" w:rsidP="00137F7C">
            <w:pPr>
              <w:pStyle w:val="CETBodytext"/>
              <w:jc w:val="center"/>
            </w:pPr>
            <w:r>
              <w:t>6</w:t>
            </w:r>
          </w:p>
        </w:tc>
        <w:tc>
          <w:tcPr>
            <w:tcW w:w="1418" w:type="dxa"/>
            <w:shd w:val="clear" w:color="auto" w:fill="FFFFFF"/>
          </w:tcPr>
          <w:p w14:paraId="048C9FB2" w14:textId="61256449" w:rsidR="00137F7C" w:rsidRDefault="00137F7C" w:rsidP="00137F7C">
            <w:pPr>
              <w:pStyle w:val="CETBodytext"/>
              <w:jc w:val="center"/>
            </w:pPr>
            <w:r>
              <w:t>12%</w:t>
            </w:r>
          </w:p>
        </w:tc>
        <w:tc>
          <w:tcPr>
            <w:tcW w:w="1418" w:type="dxa"/>
            <w:shd w:val="clear" w:color="auto" w:fill="FFFFFF"/>
          </w:tcPr>
          <w:p w14:paraId="3DB1AE62" w14:textId="4CBF4345" w:rsidR="00137F7C" w:rsidRDefault="00137F7C" w:rsidP="00137F7C">
            <w:pPr>
              <w:pStyle w:val="CETBodytext"/>
              <w:jc w:val="center"/>
            </w:pPr>
            <w:r>
              <w:t>1</w:t>
            </w:r>
            <w:r w:rsidRPr="00290CE7">
              <w:t>.</w:t>
            </w:r>
            <w:r>
              <w:t>5</w:t>
            </w:r>
            <w:r w:rsidRPr="00290CE7">
              <w:t>·10</w:t>
            </w:r>
            <w:r w:rsidRPr="00290CE7">
              <w:rPr>
                <w:vertAlign w:val="superscript"/>
              </w:rPr>
              <w:t>6</w:t>
            </w:r>
          </w:p>
        </w:tc>
      </w:tr>
      <w:tr w:rsidR="00137F7C" w:rsidRPr="00B57B36" w14:paraId="51394584" w14:textId="647BB792" w:rsidTr="00E7760C">
        <w:tc>
          <w:tcPr>
            <w:tcW w:w="1134" w:type="dxa"/>
            <w:shd w:val="clear" w:color="auto" w:fill="FFFFFF"/>
          </w:tcPr>
          <w:p w14:paraId="4BDBBE64" w14:textId="1DF80F9E" w:rsidR="00137F7C" w:rsidRDefault="00137F7C" w:rsidP="00137F7C">
            <w:pPr>
              <w:pStyle w:val="CETBodytext"/>
              <w:jc w:val="center"/>
            </w:pPr>
            <w:r>
              <w:t>7</w:t>
            </w:r>
          </w:p>
        </w:tc>
        <w:tc>
          <w:tcPr>
            <w:tcW w:w="1418" w:type="dxa"/>
            <w:shd w:val="clear" w:color="auto" w:fill="FFFFFF"/>
          </w:tcPr>
          <w:p w14:paraId="24D31780" w14:textId="0D7FB793" w:rsidR="00137F7C" w:rsidRDefault="00137F7C" w:rsidP="00137F7C">
            <w:pPr>
              <w:pStyle w:val="CETBodytext"/>
              <w:jc w:val="center"/>
            </w:pPr>
            <w:r>
              <w:t>8%</w:t>
            </w:r>
          </w:p>
        </w:tc>
        <w:tc>
          <w:tcPr>
            <w:tcW w:w="1418" w:type="dxa"/>
            <w:shd w:val="clear" w:color="auto" w:fill="FFFFFF"/>
          </w:tcPr>
          <w:p w14:paraId="793E514C" w14:textId="6084856E" w:rsidR="00137F7C" w:rsidRDefault="00137F7C" w:rsidP="00137F7C">
            <w:pPr>
              <w:pStyle w:val="CETBodytext"/>
              <w:jc w:val="center"/>
            </w:pPr>
            <w:r>
              <w:t>2</w:t>
            </w:r>
            <w:r w:rsidRPr="00290CE7">
              <w:t>.</w:t>
            </w:r>
            <w:r>
              <w:t>6</w:t>
            </w:r>
            <w:r w:rsidRPr="00290CE7">
              <w:t>·10</w:t>
            </w:r>
            <w:r w:rsidRPr="00290CE7">
              <w:rPr>
                <w:vertAlign w:val="superscript"/>
              </w:rPr>
              <w:t>6</w:t>
            </w:r>
          </w:p>
        </w:tc>
      </w:tr>
      <w:tr w:rsidR="00137F7C" w:rsidRPr="00B57B36" w14:paraId="78AF010B" w14:textId="66C1DB13" w:rsidTr="00E7760C">
        <w:tc>
          <w:tcPr>
            <w:tcW w:w="1134" w:type="dxa"/>
            <w:shd w:val="clear" w:color="auto" w:fill="FFFFFF"/>
          </w:tcPr>
          <w:p w14:paraId="191A4368" w14:textId="1F5EDF27" w:rsidR="00137F7C" w:rsidRDefault="00137F7C" w:rsidP="00137F7C">
            <w:pPr>
              <w:pStyle w:val="CETBodytext"/>
              <w:jc w:val="center"/>
            </w:pPr>
            <w:r>
              <w:rPr>
                <w:rFonts w:cs="Arial"/>
                <w:szCs w:val="18"/>
              </w:rPr>
              <w:t>8</w:t>
            </w:r>
          </w:p>
        </w:tc>
        <w:tc>
          <w:tcPr>
            <w:tcW w:w="1418" w:type="dxa"/>
            <w:shd w:val="clear" w:color="auto" w:fill="FFFFFF"/>
          </w:tcPr>
          <w:p w14:paraId="3F81FC0B" w14:textId="06B91B49" w:rsidR="00137F7C" w:rsidRDefault="00137F7C" w:rsidP="00137F7C">
            <w:pPr>
              <w:pStyle w:val="CETBodytext"/>
              <w:jc w:val="center"/>
            </w:pPr>
            <w:r>
              <w:rPr>
                <w:rFonts w:cs="Arial"/>
                <w:szCs w:val="18"/>
              </w:rPr>
              <w:t>23%</w:t>
            </w:r>
          </w:p>
        </w:tc>
        <w:tc>
          <w:tcPr>
            <w:tcW w:w="1418" w:type="dxa"/>
            <w:shd w:val="clear" w:color="auto" w:fill="FFFFFF"/>
          </w:tcPr>
          <w:p w14:paraId="35FE5B85" w14:textId="56FFC538" w:rsidR="00137F7C" w:rsidRDefault="00137F7C" w:rsidP="00137F7C">
            <w:pPr>
              <w:pStyle w:val="CETBodytext"/>
              <w:jc w:val="center"/>
              <w:rPr>
                <w:rFonts w:cs="Arial"/>
                <w:szCs w:val="18"/>
              </w:rPr>
            </w:pPr>
            <w:r>
              <w:t>3</w:t>
            </w:r>
            <w:r w:rsidRPr="00290CE7">
              <w:t>.</w:t>
            </w:r>
            <w:r>
              <w:t>0</w:t>
            </w:r>
            <w:r w:rsidRPr="00290CE7">
              <w:t>·10</w:t>
            </w:r>
            <w:r w:rsidRPr="00290CE7">
              <w:rPr>
                <w:vertAlign w:val="superscript"/>
              </w:rPr>
              <w:t>6</w:t>
            </w:r>
          </w:p>
        </w:tc>
      </w:tr>
      <w:tr w:rsidR="00137F7C" w:rsidRPr="00B57B36" w14:paraId="777794DD" w14:textId="7A09BB34" w:rsidTr="00E7760C">
        <w:tc>
          <w:tcPr>
            <w:tcW w:w="1134" w:type="dxa"/>
            <w:shd w:val="clear" w:color="auto" w:fill="FFFFFF"/>
          </w:tcPr>
          <w:p w14:paraId="1D2CC5C0" w14:textId="17DFDB0F" w:rsidR="00137F7C" w:rsidRPr="00B57B36" w:rsidRDefault="00137F7C" w:rsidP="00137F7C">
            <w:pPr>
              <w:pStyle w:val="CETBodytext"/>
              <w:ind w:right="-1"/>
              <w:jc w:val="center"/>
              <w:rPr>
                <w:rFonts w:cs="Arial"/>
                <w:szCs w:val="18"/>
              </w:rPr>
            </w:pPr>
            <w:r>
              <w:rPr>
                <w:rFonts w:cs="Arial"/>
                <w:szCs w:val="18"/>
              </w:rPr>
              <w:t>9</w:t>
            </w:r>
          </w:p>
        </w:tc>
        <w:tc>
          <w:tcPr>
            <w:tcW w:w="1418" w:type="dxa"/>
            <w:shd w:val="clear" w:color="auto" w:fill="FFFFFF"/>
          </w:tcPr>
          <w:p w14:paraId="15F8739A" w14:textId="7F5ED1FC" w:rsidR="00137F7C" w:rsidRPr="00B57B36" w:rsidRDefault="00137F7C" w:rsidP="00137F7C">
            <w:pPr>
              <w:pStyle w:val="CETBodytext"/>
              <w:ind w:right="-1"/>
              <w:jc w:val="center"/>
              <w:rPr>
                <w:rFonts w:cs="Arial"/>
                <w:szCs w:val="18"/>
              </w:rPr>
            </w:pPr>
            <w:r>
              <w:rPr>
                <w:rFonts w:cs="Arial"/>
                <w:szCs w:val="18"/>
              </w:rPr>
              <w:t>20%</w:t>
            </w:r>
          </w:p>
        </w:tc>
        <w:tc>
          <w:tcPr>
            <w:tcW w:w="1418" w:type="dxa"/>
            <w:shd w:val="clear" w:color="auto" w:fill="FFFFFF"/>
          </w:tcPr>
          <w:p w14:paraId="625FBB71" w14:textId="2D3DE3A4" w:rsidR="00137F7C" w:rsidRDefault="00137F7C" w:rsidP="00137F7C">
            <w:pPr>
              <w:pStyle w:val="CETBodytext"/>
              <w:ind w:right="-1"/>
              <w:jc w:val="center"/>
              <w:rPr>
                <w:rFonts w:cs="Arial"/>
                <w:szCs w:val="18"/>
              </w:rPr>
            </w:pPr>
            <w:r>
              <w:rPr>
                <w:rFonts w:cs="Arial"/>
                <w:szCs w:val="18"/>
              </w:rPr>
              <w:t>3.5</w:t>
            </w:r>
            <w:r w:rsidRPr="00290CE7">
              <w:t>·10</w:t>
            </w:r>
            <w:r w:rsidRPr="00290CE7">
              <w:rPr>
                <w:vertAlign w:val="superscript"/>
              </w:rPr>
              <w:t>6</w:t>
            </w:r>
          </w:p>
        </w:tc>
      </w:tr>
    </w:tbl>
    <w:p w14:paraId="298441E1" w14:textId="77777777" w:rsidR="00471F12" w:rsidRPr="00C44D7A" w:rsidRDefault="00471F12" w:rsidP="00471F12">
      <w:pPr>
        <w:pStyle w:val="CETBodytext"/>
      </w:pPr>
    </w:p>
    <w:p w14:paraId="73890961" w14:textId="38135C65" w:rsidR="001E16FB" w:rsidRPr="00E54FEA" w:rsidRDefault="001E16FB" w:rsidP="001E16FB">
      <w:pPr>
        <w:pStyle w:val="CETHeading1"/>
        <w:rPr>
          <w:lang w:val="en-GB"/>
        </w:rPr>
      </w:pPr>
      <w:r w:rsidRPr="00E54FEA">
        <w:rPr>
          <w:lang w:val="en-GB"/>
        </w:rPr>
        <w:t>Conclusions</w:t>
      </w:r>
    </w:p>
    <w:p w14:paraId="0FD1B3A6" w14:textId="13BA87CA" w:rsidR="003268CC" w:rsidRDefault="00AC1F5A" w:rsidP="001E16FB">
      <w:pPr>
        <w:pStyle w:val="CETBodytext"/>
      </w:pPr>
      <w:r w:rsidRPr="00E54FEA">
        <w:t xml:space="preserve">In </w:t>
      </w:r>
      <w:r w:rsidR="00C84CB4" w:rsidRPr="00E54FEA">
        <w:t xml:space="preserve">the </w:t>
      </w:r>
      <w:r w:rsidR="005440B9" w:rsidRPr="00E54FEA">
        <w:t xml:space="preserve">environmental </w:t>
      </w:r>
      <w:r w:rsidR="00C84CB4" w:rsidRPr="00E54FEA">
        <w:t xml:space="preserve">odour </w:t>
      </w:r>
      <w:r w:rsidR="005440B9" w:rsidRPr="00E54FEA">
        <w:t>research</w:t>
      </w:r>
      <w:r w:rsidR="00C84CB4" w:rsidRPr="00E54FEA">
        <w:t xml:space="preserve"> field</w:t>
      </w:r>
      <w:r w:rsidRPr="00E54FEA">
        <w:t>, it</w:t>
      </w:r>
      <w:r w:rsidR="00C84CB4" w:rsidRPr="00E54FEA">
        <w:t xml:space="preserve"> is well-known</w:t>
      </w:r>
      <w:r w:rsidRPr="00E54FEA">
        <w:t xml:space="preserve"> </w:t>
      </w:r>
      <w:r w:rsidR="00C84CB4" w:rsidRPr="00E54FEA">
        <w:t>that</w:t>
      </w:r>
      <w:r w:rsidRPr="00E54FEA">
        <w:t xml:space="preserve"> </w:t>
      </w:r>
      <w:r w:rsidR="007C1846">
        <w:t xml:space="preserve">the estimation of Odour Emission Capacity is an </w:t>
      </w:r>
      <w:r w:rsidR="003268CC">
        <w:t xml:space="preserve">important parameter for a first evaluation of the </w:t>
      </w:r>
      <w:r w:rsidR="00136860">
        <w:t>odorous</w:t>
      </w:r>
      <w:r w:rsidR="003268CC">
        <w:t xml:space="preserve"> potential of a </w:t>
      </w:r>
      <w:r w:rsidR="000B6F8A">
        <w:t>liquid</w:t>
      </w:r>
      <w:r w:rsidR="00C84CB4" w:rsidRPr="00E54FEA">
        <w:t>.</w:t>
      </w:r>
      <w:r w:rsidR="003268CC">
        <w:t xml:space="preserve"> The approac</w:t>
      </w:r>
      <w:r w:rsidR="000B6F8A">
        <w:t>h was born</w:t>
      </w:r>
      <w:r w:rsidR="00054FA5">
        <w:t xml:space="preserve"> to characterize </w:t>
      </w:r>
      <w:r w:rsidR="000B6F8A">
        <w:t>odour</w:t>
      </w:r>
      <w:r w:rsidR="00054FA5">
        <w:t xml:space="preserve"> impact </w:t>
      </w:r>
      <w:r w:rsidR="000B6F8A">
        <w:t xml:space="preserve">related to civil wastewater </w:t>
      </w:r>
      <w:r w:rsidR="00054FA5">
        <w:t xml:space="preserve">treatment plants and it is standardized in the </w:t>
      </w:r>
      <w:r w:rsidR="00A018BC" w:rsidRPr="00273A9F">
        <w:t>VDI Guideline 3885/1</w:t>
      </w:r>
      <w:r w:rsidR="00A018BC">
        <w:t>.</w:t>
      </w:r>
      <w:r w:rsidR="004047CB">
        <w:t xml:space="preserve"> The analysis of effluents produced by industrial realities </w:t>
      </w:r>
      <w:r w:rsidR="002044C7">
        <w:t xml:space="preserve">as refineries and petrochemical plants, </w:t>
      </w:r>
      <w:r w:rsidR="004047CB">
        <w:t xml:space="preserve">where hydrocarbons and sulphur compounds </w:t>
      </w:r>
      <w:r w:rsidR="002044C7">
        <w:t>are present</w:t>
      </w:r>
      <w:r w:rsidR="00224B56">
        <w:t xml:space="preserve"> at high concentrations</w:t>
      </w:r>
      <w:r w:rsidR="002044C7">
        <w:t>, shows some limits in the laboratory methodology, safety conditions and estimation of</w:t>
      </w:r>
      <w:r w:rsidR="00FD2782">
        <w:t xml:space="preserve"> </w:t>
      </w:r>
      <w:r w:rsidR="002044C7">
        <w:t>result.</w:t>
      </w:r>
    </w:p>
    <w:p w14:paraId="2AC55CD2" w14:textId="01519056" w:rsidR="008952D0" w:rsidRPr="00E54FEA" w:rsidRDefault="00582824" w:rsidP="001E16FB">
      <w:pPr>
        <w:pStyle w:val="CETBodytext"/>
      </w:pPr>
      <w:r w:rsidRPr="00E54FEA">
        <w:t xml:space="preserve">The purpose of this work </w:t>
      </w:r>
      <w:r w:rsidR="009148DB" w:rsidRPr="00E54FEA">
        <w:t>is to suggest a</w:t>
      </w:r>
      <w:r w:rsidR="002044C7">
        <w:t xml:space="preserve"> </w:t>
      </w:r>
      <w:r w:rsidR="00DC42F2">
        <w:t>revised</w:t>
      </w:r>
      <w:r w:rsidR="002044C7">
        <w:t xml:space="preserve"> </w:t>
      </w:r>
      <w:r w:rsidR="009148DB" w:rsidRPr="00E54FEA">
        <w:t>approach</w:t>
      </w:r>
      <w:r w:rsidR="009C7F65">
        <w:t xml:space="preserve"> more</w:t>
      </w:r>
      <w:r w:rsidR="00DC42F2" w:rsidRPr="00DC42F2">
        <w:t xml:space="preserve"> adapt </w:t>
      </w:r>
      <w:r w:rsidR="009C7F65">
        <w:t>for</w:t>
      </w:r>
      <w:r w:rsidR="00DC42F2" w:rsidRPr="00DC42F2">
        <w:t xml:space="preserve"> the evaluation of this type of liquid</w:t>
      </w:r>
      <w:r w:rsidR="00CF27F0" w:rsidRPr="00E54FEA">
        <w:t>.</w:t>
      </w:r>
      <w:r w:rsidR="009C7F65">
        <w:t xml:space="preserve"> </w:t>
      </w:r>
      <w:proofErr w:type="gramStart"/>
      <w:r w:rsidR="009C7F65">
        <w:t xml:space="preserve">First of </w:t>
      </w:r>
      <w:r w:rsidR="004B4F1D">
        <w:t>all</w:t>
      </w:r>
      <w:proofErr w:type="gramEnd"/>
      <w:r w:rsidR="004B4F1D">
        <w:t>,</w:t>
      </w:r>
      <w:r w:rsidR="009C7F65">
        <w:t xml:space="preserve"> the operating conditions are changed</w:t>
      </w:r>
      <w:r w:rsidR="00FD2782">
        <w:t xml:space="preserve">; the glass bubbler volume is 1.5 L, the </w:t>
      </w:r>
      <w:r w:rsidR="00FD2782" w:rsidRPr="00FD2782">
        <w:t>volume of bubbled liquid was reduced from 30 L to 1 L</w:t>
      </w:r>
      <w:r w:rsidR="00FD2782">
        <w:t xml:space="preserve"> and consequently the neutral gas flow is adapted at 100 L/h</w:t>
      </w:r>
      <w:r w:rsidR="004B4F1D">
        <w:t xml:space="preserve"> to keep the degree of turbulence</w:t>
      </w:r>
      <w:r w:rsidR="00CF27F0" w:rsidRPr="00E54FEA">
        <w:t xml:space="preserve"> </w:t>
      </w:r>
      <w:r w:rsidR="004B4F1D">
        <w:t>in the suggested range. In particular, the neutral gas</w:t>
      </w:r>
      <w:r w:rsidR="004B4F1D" w:rsidRPr="004B4F1D">
        <w:t xml:space="preserve"> </w:t>
      </w:r>
      <w:r w:rsidR="004B4F1D">
        <w:t xml:space="preserve">chosen to be fluxed in the system is not air but nitrogen to reduce the explosion risk. </w:t>
      </w:r>
      <w:r w:rsidR="00823E54">
        <w:t xml:space="preserve">Another important implementation </w:t>
      </w:r>
      <w:r w:rsidR="00776441">
        <w:t xml:space="preserve">of the system </w:t>
      </w:r>
      <w:r w:rsidR="00823E54">
        <w:t>is the introduction of an additional nitrogen flux</w:t>
      </w:r>
      <w:r w:rsidR="00776441">
        <w:t xml:space="preserve"> at the outlet gas</w:t>
      </w:r>
      <w:r w:rsidR="00823E54">
        <w:t xml:space="preserve"> </w:t>
      </w:r>
      <w:r w:rsidR="00776441">
        <w:t>to</w:t>
      </w:r>
      <w:r w:rsidR="00823E54">
        <w:t xml:space="preserve"> decrease the high odorous load and to respect the filling time</w:t>
      </w:r>
      <w:r w:rsidR="00776441">
        <w:t xml:space="preserve"> of gas sample in the </w:t>
      </w:r>
      <w:proofErr w:type="spellStart"/>
      <w:r w:rsidR="00776441">
        <w:t>Nalophan</w:t>
      </w:r>
      <w:proofErr w:type="spellEnd"/>
      <w:r w:rsidR="00776441" w:rsidRPr="00776441">
        <w:rPr>
          <w:rFonts w:cs="Arial"/>
          <w:vertAlign w:val="superscript"/>
        </w:rPr>
        <w:t>™</w:t>
      </w:r>
      <w:r w:rsidR="00776441">
        <w:t xml:space="preserve"> bag</w:t>
      </w:r>
      <w:r w:rsidR="00823E54">
        <w:t xml:space="preserve">. </w:t>
      </w:r>
      <w:r w:rsidR="00CF27F0" w:rsidRPr="00E54FEA">
        <w:t xml:space="preserve">Starting with </w:t>
      </w:r>
      <w:r w:rsidR="004B4F1D">
        <w:t>the standard</w:t>
      </w:r>
      <w:r w:rsidR="00CF27F0" w:rsidRPr="00E54FEA">
        <w:t xml:space="preserve"> OEC analysis</w:t>
      </w:r>
      <w:r w:rsidR="00DC28D5">
        <w:t xml:space="preserve"> of an effluent coming from API separators of</w:t>
      </w:r>
      <w:r w:rsidR="00DC28D5" w:rsidRPr="00E54FEA">
        <w:t xml:space="preserve"> a refinery wastewater</w:t>
      </w:r>
      <w:r w:rsidR="00DC28D5">
        <w:t xml:space="preserve"> treatment plant</w:t>
      </w:r>
      <w:r w:rsidR="000D7005" w:rsidRPr="00E54FEA">
        <w:t>, the odour concentration of the</w:t>
      </w:r>
      <w:r w:rsidR="00E8516C" w:rsidRPr="00E54FEA">
        <w:t xml:space="preserve"> 4 withdrawn</w:t>
      </w:r>
      <w:r w:rsidR="000D7005" w:rsidRPr="00E54FEA">
        <w:t xml:space="preserve"> gas sample</w:t>
      </w:r>
      <w:r w:rsidR="00E8516C" w:rsidRPr="00E54FEA">
        <w:t>s</w:t>
      </w:r>
      <w:r w:rsidR="000D7005" w:rsidRPr="00E54FEA">
        <w:t xml:space="preserve"> </w:t>
      </w:r>
      <w:r w:rsidR="00834A59" w:rsidRPr="00E54FEA">
        <w:t>is</w:t>
      </w:r>
      <w:r w:rsidR="005A4F1F" w:rsidRPr="00E54FEA">
        <w:t xml:space="preserve"> measured</w:t>
      </w:r>
      <w:r w:rsidR="00823E54">
        <w:t xml:space="preserve"> </w:t>
      </w:r>
      <w:r w:rsidR="00E8516C" w:rsidRPr="00E54FEA">
        <w:t xml:space="preserve">and the </w:t>
      </w:r>
      <w:r w:rsidR="004B4F1D">
        <w:t xml:space="preserve">related </w:t>
      </w:r>
      <w:r w:rsidR="00E8516C" w:rsidRPr="00E54FEA">
        <w:t>OEC value is evaluated</w:t>
      </w:r>
      <w:r w:rsidR="00823E54">
        <w:t xml:space="preserve"> (</w:t>
      </w:r>
      <w:r w:rsidR="000D61A4">
        <w:t>9</w:t>
      </w:r>
      <w:r w:rsidR="00823E54" w:rsidRPr="00E54FEA">
        <w:t>.</w:t>
      </w:r>
      <w:r w:rsidR="000D61A4">
        <w:t>5</w:t>
      </w:r>
      <w:r w:rsidR="00823E54" w:rsidRPr="00E54FEA">
        <w:t>·10</w:t>
      </w:r>
      <w:r w:rsidR="00823E54">
        <w:rPr>
          <w:vertAlign w:val="superscript"/>
        </w:rPr>
        <w:t>5</w:t>
      </w:r>
      <w:r w:rsidR="00823E54" w:rsidRPr="00E54FEA">
        <w:t xml:space="preserve"> ou</w:t>
      </w:r>
      <w:r w:rsidR="00823E54" w:rsidRPr="00E54FEA">
        <w:rPr>
          <w:vertAlign w:val="subscript"/>
        </w:rPr>
        <w:t>E</w:t>
      </w:r>
      <w:r w:rsidR="00823E54" w:rsidRPr="00E54FEA">
        <w:t>/m</w:t>
      </w:r>
      <w:r w:rsidR="00823E54" w:rsidRPr="00E54FEA">
        <w:rPr>
          <w:vertAlign w:val="superscript"/>
        </w:rPr>
        <w:t>3</w:t>
      </w:r>
      <w:r w:rsidR="00823E54" w:rsidRPr="00E54FEA">
        <w:rPr>
          <w:vertAlign w:val="subscript"/>
        </w:rPr>
        <w:t>liquid</w:t>
      </w:r>
      <w:r w:rsidR="00823E54">
        <w:t>)</w:t>
      </w:r>
      <w:r w:rsidR="00E8516C" w:rsidRPr="00E54FEA">
        <w:t xml:space="preserve">. </w:t>
      </w:r>
      <w:r w:rsidR="00776441">
        <w:t xml:space="preserve">The </w:t>
      </w:r>
      <w:r w:rsidR="0073239A" w:rsidRPr="0073239A">
        <w:t xml:space="preserve">analysis continued </w:t>
      </w:r>
      <w:r w:rsidR="000D61A4">
        <w:t>up to 2 days of bubbling,</w:t>
      </w:r>
      <w:r w:rsidR="0073239A">
        <w:t xml:space="preserve"> during which </w:t>
      </w:r>
      <w:r w:rsidR="0073239A" w:rsidRPr="0073239A">
        <w:t xml:space="preserve">5 gaseous samples were taken for </w:t>
      </w:r>
      <w:r w:rsidR="00C40BD6">
        <w:t xml:space="preserve">the </w:t>
      </w:r>
      <w:r w:rsidR="0073239A" w:rsidRPr="0073239A">
        <w:t xml:space="preserve">odour concentration </w:t>
      </w:r>
      <w:r w:rsidR="00C40BD6">
        <w:t>measurement</w:t>
      </w:r>
      <w:r w:rsidR="0073239A" w:rsidRPr="0073239A">
        <w:t xml:space="preserve"> at </w:t>
      </w:r>
      <w:r w:rsidR="00C40BD6">
        <w:t>60 min (1 h), 240 min (4 h), 480 min (8 h), 1440 min (24 h) and 2880 min (48 h)</w:t>
      </w:r>
      <w:r w:rsidR="0073239A" w:rsidRPr="0073239A">
        <w:t>.</w:t>
      </w:r>
      <w:r w:rsidR="00C40BD6">
        <w:t xml:space="preserve"> The resulting OEC value, estimated with the same mathematical approach of the standard, is</w:t>
      </w:r>
      <w:r w:rsidR="0045236A">
        <w:t xml:space="preserve"> </w:t>
      </w:r>
      <w:r w:rsidR="00E62B5B">
        <w:t xml:space="preserve">about </w:t>
      </w:r>
      <w:r w:rsidR="00C954EA">
        <w:t>4 times higher and</w:t>
      </w:r>
      <w:r w:rsidR="00C40BD6">
        <w:t xml:space="preserve"> equal to 3.</w:t>
      </w:r>
      <w:r w:rsidR="000D61A4">
        <w:t>5</w:t>
      </w:r>
      <w:r w:rsidR="00C40BD6" w:rsidRPr="00E54FEA">
        <w:t>·10</w:t>
      </w:r>
      <w:r w:rsidR="00C40BD6">
        <w:rPr>
          <w:vertAlign w:val="superscript"/>
        </w:rPr>
        <w:t>6</w:t>
      </w:r>
      <w:r w:rsidR="00C40BD6" w:rsidRPr="00E54FEA">
        <w:t xml:space="preserve"> ou</w:t>
      </w:r>
      <w:r w:rsidR="00C40BD6" w:rsidRPr="00E54FEA">
        <w:rPr>
          <w:vertAlign w:val="subscript"/>
        </w:rPr>
        <w:t>E</w:t>
      </w:r>
      <w:r w:rsidR="00C40BD6" w:rsidRPr="00E54FEA">
        <w:t>/m</w:t>
      </w:r>
      <w:r w:rsidR="00C40BD6" w:rsidRPr="00E54FEA">
        <w:rPr>
          <w:vertAlign w:val="superscript"/>
        </w:rPr>
        <w:t>3</w:t>
      </w:r>
      <w:r w:rsidR="00C40BD6" w:rsidRPr="00E54FEA">
        <w:rPr>
          <w:vertAlign w:val="subscript"/>
        </w:rPr>
        <w:t>liquid</w:t>
      </w:r>
      <w:r w:rsidR="00161A74">
        <w:t xml:space="preserve"> with </w:t>
      </w:r>
      <w:r w:rsidR="00224B56">
        <w:t>a potential underestimation, by following the “standard” approach,</w:t>
      </w:r>
      <w:r w:rsidR="00161A74">
        <w:t xml:space="preserve"> of </w:t>
      </w:r>
      <w:r w:rsidR="00E62B5B">
        <w:t>72</w:t>
      </w:r>
      <w:r w:rsidR="00161A74">
        <w:t xml:space="preserve">%. The analysis </w:t>
      </w:r>
      <w:r w:rsidR="008A2B60">
        <w:t xml:space="preserve">reported in </w:t>
      </w:r>
      <w:r w:rsidR="008A2B60">
        <w:fldChar w:fldCharType="begin"/>
      </w:r>
      <w:r w:rsidR="008A2B60">
        <w:instrText xml:space="preserve"> REF _Ref108177561 \h </w:instrText>
      </w:r>
      <w:r w:rsidR="008A2B60">
        <w:fldChar w:fldCharType="separate"/>
      </w:r>
      <w:r w:rsidR="008A2B60">
        <w:t xml:space="preserve">Table </w:t>
      </w:r>
      <w:r w:rsidR="008A2B60">
        <w:rPr>
          <w:noProof/>
        </w:rPr>
        <w:t>2</w:t>
      </w:r>
      <w:r w:rsidR="008A2B60">
        <w:fldChar w:fldCharType="end"/>
      </w:r>
      <w:r w:rsidR="008A2B60">
        <w:t xml:space="preserve"> </w:t>
      </w:r>
      <w:r w:rsidR="00161A74">
        <w:t>shows that</w:t>
      </w:r>
      <w:r w:rsidR="00530B12">
        <w:t>, for the sample under investigation, a</w:t>
      </w:r>
      <w:r w:rsidR="00161A74">
        <w:t xml:space="preserve"> good </w:t>
      </w:r>
      <w:r w:rsidR="008A2B60">
        <w:t xml:space="preserve">trade-off to reduce the error with a good number of odour concentration is to analyse 7 gaseous sample. </w:t>
      </w:r>
      <w:r w:rsidR="009418D7" w:rsidRPr="00E54FEA">
        <w:t>Furthermore,</w:t>
      </w:r>
      <w:r w:rsidR="00223F0B">
        <w:t xml:space="preserve"> the plot of the trend of the </w:t>
      </w:r>
      <w:r w:rsidR="00530B12">
        <w:t xml:space="preserve">time-varying </w:t>
      </w:r>
      <w:r w:rsidR="00223F0B">
        <w:t xml:space="preserve">integration </w:t>
      </w:r>
      <w:r w:rsidR="0086778E">
        <w:t xml:space="preserve">of the OEC values in function of analysis time shows that the trend related to the OEC evaluated with 9 gas samples reaches a </w:t>
      </w:r>
      <w:r w:rsidR="00530B12">
        <w:rPr>
          <w:i/>
          <w:iCs/>
        </w:rPr>
        <w:t>quasi-</w:t>
      </w:r>
      <w:r w:rsidR="0086778E">
        <w:t>stationarity</w:t>
      </w:r>
      <w:r w:rsidR="00DC28D5">
        <w:t xml:space="preserve">, while the standard one </w:t>
      </w:r>
      <w:r w:rsidR="00530B12">
        <w:t>shows</w:t>
      </w:r>
      <w:r w:rsidR="00DC28D5">
        <w:t xml:space="preserve"> an increasing trend</w:t>
      </w:r>
      <w:r w:rsidR="008D0F4A" w:rsidRPr="00E54FEA">
        <w:t>.</w:t>
      </w:r>
    </w:p>
    <w:p w14:paraId="59CC63F5" w14:textId="1C1DC01E" w:rsidR="001E16FB" w:rsidRPr="00E54FEA" w:rsidRDefault="003C30B2" w:rsidP="001E16FB">
      <w:pPr>
        <w:pStyle w:val="CETBodytext"/>
      </w:pPr>
      <w:r w:rsidRPr="00E54FEA">
        <w:t xml:space="preserve">It can </w:t>
      </w:r>
      <w:r w:rsidR="0096366B" w:rsidRPr="00E54FEA">
        <w:t>conclude</w:t>
      </w:r>
      <w:r w:rsidRPr="00E54FEA">
        <w:t xml:space="preserve"> that </w:t>
      </w:r>
      <w:r w:rsidR="00DC28D5">
        <w:t>to measure the OEC for high-load wastewater</w:t>
      </w:r>
      <w:r w:rsidR="00536B35">
        <w:t xml:space="preserve"> of</w:t>
      </w:r>
      <w:r w:rsidR="00DC28D5">
        <w:t xml:space="preserve"> refinery and petrochemical effluents</w:t>
      </w:r>
      <w:r w:rsidR="004635A3">
        <w:t xml:space="preserve">, the time of bubbling of the analysis system that contains the </w:t>
      </w:r>
      <w:r w:rsidR="0096366B">
        <w:t xml:space="preserve">known </w:t>
      </w:r>
      <w:r w:rsidR="004635A3">
        <w:t xml:space="preserve">volume of liquid </w:t>
      </w:r>
      <w:r w:rsidR="0096366B">
        <w:t xml:space="preserve">should be increased </w:t>
      </w:r>
      <w:r w:rsidR="004635A3">
        <w:t xml:space="preserve">until the </w:t>
      </w:r>
      <w:r w:rsidR="004635A3" w:rsidRPr="004635A3">
        <w:t>time-varying integral</w:t>
      </w:r>
      <w:r w:rsidR="00D31C1C">
        <w:t xml:space="preserve"> </w:t>
      </w:r>
      <w:r w:rsidR="004635A3">
        <w:t xml:space="preserve">reaches a </w:t>
      </w:r>
      <w:r w:rsidR="004635A3" w:rsidRPr="00C067FE">
        <w:rPr>
          <w:i/>
          <w:iCs/>
        </w:rPr>
        <w:t>quasi</w:t>
      </w:r>
      <w:r w:rsidR="004635A3" w:rsidRPr="00C067FE">
        <w:t>-stationary trend</w:t>
      </w:r>
      <w:r w:rsidR="008952D0" w:rsidRPr="00E54FEA">
        <w:t>.</w:t>
      </w:r>
    </w:p>
    <w:p w14:paraId="6EE8D7AD" w14:textId="506E5E82" w:rsidR="004245BF" w:rsidRPr="00E54FEA" w:rsidRDefault="003E170F" w:rsidP="003E170F">
      <w:pPr>
        <w:pStyle w:val="CETReference"/>
      </w:pPr>
      <w:r w:rsidRPr="00E54FEA">
        <w:t>References</w:t>
      </w:r>
    </w:p>
    <w:p w14:paraId="48EFD7D9" w14:textId="37214DD8" w:rsidR="0058569A" w:rsidRPr="0058569A" w:rsidRDefault="00536B35" w:rsidP="0058569A">
      <w:pPr>
        <w:widowControl w:val="0"/>
        <w:autoSpaceDE w:val="0"/>
        <w:autoSpaceDN w:val="0"/>
        <w:adjustRightInd w:val="0"/>
        <w:spacing w:line="240" w:lineRule="auto"/>
        <w:ind w:left="480" w:hanging="480"/>
        <w:rPr>
          <w:rFonts w:cs="Arial"/>
          <w:noProof/>
          <w:szCs w:val="24"/>
        </w:rPr>
      </w:pPr>
      <w:r>
        <w:fldChar w:fldCharType="begin" w:fldLock="1"/>
      </w:r>
      <w:r>
        <w:instrText xml:space="preserve">ADDIN Mendeley Bibliography CSL_BIBLIOGRAPHY </w:instrText>
      </w:r>
      <w:r>
        <w:fldChar w:fldCharType="separate"/>
      </w:r>
      <w:r w:rsidR="0058569A" w:rsidRPr="0058569A">
        <w:rPr>
          <w:rFonts w:cs="Arial"/>
          <w:noProof/>
          <w:szCs w:val="24"/>
        </w:rPr>
        <w:t>CEN</w:t>
      </w:r>
      <w:r w:rsidR="00585643">
        <w:rPr>
          <w:rFonts w:cs="Arial"/>
          <w:noProof/>
          <w:szCs w:val="24"/>
        </w:rPr>
        <w:t>,</w:t>
      </w:r>
      <w:r w:rsidR="0058569A" w:rsidRPr="0058569A">
        <w:rPr>
          <w:rFonts w:cs="Arial"/>
          <w:noProof/>
          <w:szCs w:val="24"/>
        </w:rPr>
        <w:t xml:space="preserve"> 2022</w:t>
      </w:r>
      <w:r w:rsidR="00585643">
        <w:rPr>
          <w:rFonts w:cs="Arial"/>
          <w:noProof/>
          <w:szCs w:val="24"/>
        </w:rPr>
        <w:t>,</w:t>
      </w:r>
      <w:r w:rsidR="0058569A" w:rsidRPr="0058569A">
        <w:rPr>
          <w:rFonts w:cs="Arial"/>
          <w:noProof/>
          <w:szCs w:val="24"/>
        </w:rPr>
        <w:t xml:space="preserve"> </w:t>
      </w:r>
      <w:r w:rsidR="0058569A" w:rsidRPr="0058569A">
        <w:rPr>
          <w:rFonts w:cs="Arial"/>
          <w:i/>
          <w:iCs/>
          <w:noProof/>
          <w:szCs w:val="24"/>
        </w:rPr>
        <w:t>EN</w:t>
      </w:r>
      <w:r w:rsidR="00585643">
        <w:rPr>
          <w:rFonts w:cs="Arial"/>
          <w:i/>
          <w:iCs/>
          <w:noProof/>
          <w:szCs w:val="24"/>
        </w:rPr>
        <w:t xml:space="preserve"> </w:t>
      </w:r>
      <w:r w:rsidR="0058569A" w:rsidRPr="0058569A">
        <w:rPr>
          <w:rFonts w:cs="Arial"/>
          <w:i/>
          <w:iCs/>
          <w:noProof/>
          <w:szCs w:val="24"/>
        </w:rPr>
        <w:t>13725:2022 - Stationary source emissions - Determination of odour concentration by dynamic olfactometry and odour emission rate</w:t>
      </w:r>
      <w:r w:rsidR="00585643">
        <w:rPr>
          <w:rFonts w:cs="Arial"/>
          <w:noProof/>
          <w:szCs w:val="24"/>
        </w:rPr>
        <w:t>, Brussels</w:t>
      </w:r>
    </w:p>
    <w:p w14:paraId="34387DA5" w14:textId="1F37D52A" w:rsidR="0058569A" w:rsidRPr="0058569A" w:rsidRDefault="0058569A" w:rsidP="0058569A">
      <w:pPr>
        <w:widowControl w:val="0"/>
        <w:autoSpaceDE w:val="0"/>
        <w:autoSpaceDN w:val="0"/>
        <w:adjustRightInd w:val="0"/>
        <w:spacing w:line="240" w:lineRule="auto"/>
        <w:ind w:left="480" w:hanging="480"/>
        <w:rPr>
          <w:rFonts w:cs="Arial"/>
          <w:noProof/>
          <w:szCs w:val="24"/>
        </w:rPr>
      </w:pPr>
      <w:r w:rsidRPr="0058569A">
        <w:rPr>
          <w:rFonts w:cs="Arial"/>
          <w:noProof/>
          <w:szCs w:val="24"/>
        </w:rPr>
        <w:t>Frechen, F.</w:t>
      </w:r>
      <w:r w:rsidR="00585643">
        <w:rPr>
          <w:rFonts w:cs="Arial"/>
          <w:noProof/>
          <w:szCs w:val="24"/>
        </w:rPr>
        <w:t>-</w:t>
      </w:r>
      <w:r w:rsidRPr="0058569A">
        <w:rPr>
          <w:rFonts w:cs="Arial"/>
          <w:noProof/>
          <w:szCs w:val="24"/>
        </w:rPr>
        <w:t>B.</w:t>
      </w:r>
      <w:r w:rsidR="00585643">
        <w:rPr>
          <w:rFonts w:cs="Arial"/>
          <w:noProof/>
          <w:szCs w:val="24"/>
        </w:rPr>
        <w:t>,</w:t>
      </w:r>
      <w:r w:rsidRPr="0058569A">
        <w:rPr>
          <w:rFonts w:cs="Arial"/>
          <w:noProof/>
          <w:szCs w:val="24"/>
        </w:rPr>
        <w:t xml:space="preserve"> 2009</w:t>
      </w:r>
      <w:r w:rsidR="00585643">
        <w:rPr>
          <w:rFonts w:cs="Arial"/>
          <w:noProof/>
          <w:szCs w:val="24"/>
        </w:rPr>
        <w:t>,</w:t>
      </w:r>
      <w:r w:rsidRPr="0058569A">
        <w:rPr>
          <w:rFonts w:cs="Arial"/>
          <w:noProof/>
          <w:szCs w:val="24"/>
        </w:rPr>
        <w:t xml:space="preserve"> 10 Years of OEC Measurement: Methodology, Application, Results and Future Development</w:t>
      </w:r>
      <w:r w:rsidR="00585643">
        <w:rPr>
          <w:rFonts w:cs="Arial"/>
          <w:noProof/>
          <w:szCs w:val="24"/>
        </w:rPr>
        <w:t xml:space="preserve">, </w:t>
      </w:r>
      <w:r w:rsidRPr="0058569A">
        <w:rPr>
          <w:rFonts w:cs="Arial"/>
          <w:i/>
          <w:iCs/>
          <w:noProof/>
          <w:szCs w:val="24"/>
        </w:rPr>
        <w:t>Odour and VOCs: Measurement, Regulation and Control</w:t>
      </w:r>
      <w:r w:rsidR="00585643">
        <w:rPr>
          <w:rFonts w:cs="Arial"/>
          <w:i/>
          <w:iCs/>
          <w:noProof/>
          <w:szCs w:val="24"/>
        </w:rPr>
        <w:t>,</w:t>
      </w:r>
      <w:r w:rsidR="00585643">
        <w:rPr>
          <w:rFonts w:cs="Arial"/>
          <w:noProof/>
          <w:szCs w:val="24"/>
        </w:rPr>
        <w:t xml:space="preserve"> Kassel University Press Kassel</w:t>
      </w:r>
      <w:r w:rsidR="002A31AB">
        <w:rPr>
          <w:rFonts w:cs="Arial"/>
          <w:noProof/>
          <w:szCs w:val="24"/>
        </w:rPr>
        <w:t xml:space="preserve">, </w:t>
      </w:r>
      <w:r w:rsidR="002A31AB">
        <w:rPr>
          <w:rFonts w:cs="Arial"/>
          <w:noProof/>
          <w:szCs w:val="24"/>
        </w:rPr>
        <w:lastRenderedPageBreak/>
        <w:t>9-17</w:t>
      </w:r>
      <w:r w:rsidRPr="0058569A">
        <w:rPr>
          <w:rFonts w:cs="Arial"/>
          <w:noProof/>
          <w:szCs w:val="24"/>
        </w:rPr>
        <w:t>.</w:t>
      </w:r>
    </w:p>
    <w:p w14:paraId="7638E64D" w14:textId="078289A2" w:rsidR="0058569A" w:rsidRPr="0058569A" w:rsidRDefault="0058569A" w:rsidP="0058569A">
      <w:pPr>
        <w:widowControl w:val="0"/>
        <w:autoSpaceDE w:val="0"/>
        <w:autoSpaceDN w:val="0"/>
        <w:adjustRightInd w:val="0"/>
        <w:spacing w:line="240" w:lineRule="auto"/>
        <w:ind w:left="480" w:hanging="480"/>
        <w:rPr>
          <w:rFonts w:cs="Arial"/>
          <w:noProof/>
          <w:szCs w:val="24"/>
        </w:rPr>
      </w:pPr>
      <w:r w:rsidRPr="0058569A">
        <w:rPr>
          <w:rFonts w:cs="Arial"/>
          <w:noProof/>
          <w:szCs w:val="24"/>
        </w:rPr>
        <w:t>Frechen, F.</w:t>
      </w:r>
      <w:r w:rsidR="002A31AB">
        <w:rPr>
          <w:rFonts w:cs="Arial"/>
          <w:noProof/>
          <w:szCs w:val="24"/>
        </w:rPr>
        <w:t>-</w:t>
      </w:r>
      <w:r w:rsidRPr="0058569A">
        <w:rPr>
          <w:rFonts w:cs="Arial"/>
          <w:noProof/>
          <w:szCs w:val="24"/>
        </w:rPr>
        <w:t>B.</w:t>
      </w:r>
      <w:r w:rsidR="002A31AB">
        <w:rPr>
          <w:rFonts w:cs="Arial"/>
          <w:noProof/>
          <w:szCs w:val="24"/>
        </w:rPr>
        <w:t>,</w:t>
      </w:r>
      <w:r w:rsidRPr="0058569A">
        <w:rPr>
          <w:rFonts w:cs="Arial"/>
          <w:noProof/>
          <w:szCs w:val="24"/>
        </w:rPr>
        <w:t xml:space="preserve"> 2012</w:t>
      </w:r>
      <w:r w:rsidR="002A31AB">
        <w:rPr>
          <w:rFonts w:cs="Arial"/>
          <w:noProof/>
          <w:szCs w:val="24"/>
        </w:rPr>
        <w:t>,</w:t>
      </w:r>
      <w:r w:rsidRPr="0058569A">
        <w:rPr>
          <w:rFonts w:cs="Arial"/>
          <w:noProof/>
          <w:szCs w:val="24"/>
        </w:rPr>
        <w:t xml:space="preserve"> </w:t>
      </w:r>
      <w:r w:rsidRPr="002A31AB">
        <w:rPr>
          <w:rFonts w:cs="Arial"/>
          <w:noProof/>
          <w:szCs w:val="24"/>
        </w:rPr>
        <w:t>Evaluation of OEC Data for Preparation of the New VDI Guideline 3885 / 1</w:t>
      </w:r>
      <w:r w:rsidR="002A31AB">
        <w:rPr>
          <w:rFonts w:cs="Arial"/>
          <w:i/>
          <w:iCs/>
          <w:noProof/>
          <w:szCs w:val="24"/>
        </w:rPr>
        <w:t>, Chemical Engineering Transactions,</w:t>
      </w:r>
      <w:r w:rsidRPr="002A31AB">
        <w:rPr>
          <w:rFonts w:cs="Arial"/>
          <w:noProof/>
          <w:szCs w:val="24"/>
        </w:rPr>
        <w:t xml:space="preserve"> </w:t>
      </w:r>
      <w:r w:rsidRPr="00145CE1">
        <w:rPr>
          <w:rFonts w:cs="Arial"/>
          <w:i/>
          <w:iCs/>
          <w:noProof/>
          <w:szCs w:val="24"/>
        </w:rPr>
        <w:t>30</w:t>
      </w:r>
      <w:r w:rsidRPr="0058569A">
        <w:rPr>
          <w:rFonts w:cs="Arial"/>
          <w:noProof/>
          <w:szCs w:val="24"/>
        </w:rPr>
        <w:t>, 19</w:t>
      </w:r>
      <w:r w:rsidR="002A31AB">
        <w:rPr>
          <w:rFonts w:cs="Arial"/>
          <w:noProof/>
          <w:szCs w:val="24"/>
        </w:rPr>
        <w:t>-</w:t>
      </w:r>
      <w:r w:rsidRPr="0058569A">
        <w:rPr>
          <w:rFonts w:cs="Arial"/>
          <w:noProof/>
          <w:szCs w:val="24"/>
        </w:rPr>
        <w:t>24</w:t>
      </w:r>
    </w:p>
    <w:p w14:paraId="7FE7FD1F" w14:textId="35E6D0A3" w:rsidR="0058569A" w:rsidRPr="0058569A" w:rsidRDefault="0058569A" w:rsidP="0058569A">
      <w:pPr>
        <w:widowControl w:val="0"/>
        <w:autoSpaceDE w:val="0"/>
        <w:autoSpaceDN w:val="0"/>
        <w:adjustRightInd w:val="0"/>
        <w:spacing w:line="240" w:lineRule="auto"/>
        <w:ind w:left="480" w:hanging="480"/>
        <w:rPr>
          <w:rFonts w:cs="Arial"/>
          <w:noProof/>
          <w:szCs w:val="24"/>
        </w:rPr>
      </w:pPr>
      <w:r w:rsidRPr="0058569A">
        <w:rPr>
          <w:rFonts w:cs="Arial"/>
          <w:noProof/>
          <w:szCs w:val="24"/>
        </w:rPr>
        <w:t>Frechen, F.</w:t>
      </w:r>
      <w:r w:rsidR="002A31AB">
        <w:rPr>
          <w:rFonts w:cs="Arial"/>
          <w:noProof/>
          <w:szCs w:val="24"/>
        </w:rPr>
        <w:t>-</w:t>
      </w:r>
      <w:r w:rsidRPr="0058569A">
        <w:rPr>
          <w:rFonts w:cs="Arial"/>
          <w:noProof/>
          <w:szCs w:val="24"/>
        </w:rPr>
        <w:t>B.</w:t>
      </w:r>
      <w:r w:rsidR="002A31AB">
        <w:rPr>
          <w:rFonts w:cs="Arial"/>
          <w:noProof/>
          <w:szCs w:val="24"/>
        </w:rPr>
        <w:t>,</w:t>
      </w:r>
      <w:r w:rsidRPr="0058569A">
        <w:rPr>
          <w:rFonts w:cs="Arial"/>
          <w:noProof/>
          <w:szCs w:val="24"/>
        </w:rPr>
        <w:t xml:space="preserve"> Köster, W.</w:t>
      </w:r>
      <w:r w:rsidR="002A31AB">
        <w:rPr>
          <w:rFonts w:cs="Arial"/>
          <w:noProof/>
          <w:szCs w:val="24"/>
        </w:rPr>
        <w:t>,</w:t>
      </w:r>
      <w:r w:rsidRPr="0058569A">
        <w:rPr>
          <w:rFonts w:cs="Arial"/>
          <w:noProof/>
          <w:szCs w:val="24"/>
        </w:rPr>
        <w:t xml:space="preserve"> 1998</w:t>
      </w:r>
      <w:r w:rsidR="002A31AB">
        <w:rPr>
          <w:rFonts w:cs="Arial"/>
          <w:noProof/>
          <w:szCs w:val="24"/>
        </w:rPr>
        <w:t>,</w:t>
      </w:r>
      <w:r w:rsidRPr="0058569A">
        <w:rPr>
          <w:rFonts w:cs="Arial"/>
          <w:noProof/>
          <w:szCs w:val="24"/>
        </w:rPr>
        <w:t xml:space="preserve"> Odour emission capacity of wastewaters - standardization of measurement method and application</w:t>
      </w:r>
      <w:r w:rsidR="002A31AB">
        <w:rPr>
          <w:rFonts w:cs="Arial"/>
          <w:noProof/>
          <w:szCs w:val="24"/>
        </w:rPr>
        <w:t>,</w:t>
      </w:r>
      <w:r w:rsidRPr="0058569A">
        <w:rPr>
          <w:rFonts w:cs="Arial"/>
          <w:noProof/>
          <w:szCs w:val="24"/>
        </w:rPr>
        <w:t xml:space="preserve"> </w:t>
      </w:r>
      <w:r w:rsidRPr="0058569A">
        <w:rPr>
          <w:rFonts w:cs="Arial"/>
          <w:i/>
          <w:iCs/>
          <w:noProof/>
          <w:szCs w:val="24"/>
        </w:rPr>
        <w:t>Water Science and Technology</w:t>
      </w:r>
      <w:r w:rsidRPr="0058569A">
        <w:rPr>
          <w:rFonts w:cs="Arial"/>
          <w:noProof/>
          <w:szCs w:val="24"/>
        </w:rPr>
        <w:t>,</w:t>
      </w:r>
      <w:r w:rsidRPr="002A31AB">
        <w:rPr>
          <w:rFonts w:cs="Arial"/>
          <w:noProof/>
          <w:szCs w:val="24"/>
        </w:rPr>
        <w:t xml:space="preserve"> </w:t>
      </w:r>
      <w:r w:rsidRPr="00145CE1">
        <w:rPr>
          <w:rFonts w:cs="Arial"/>
          <w:i/>
          <w:iCs/>
          <w:noProof/>
          <w:szCs w:val="24"/>
        </w:rPr>
        <w:t>38(3)</w:t>
      </w:r>
      <w:r w:rsidRPr="0058569A">
        <w:rPr>
          <w:rFonts w:cs="Arial"/>
          <w:noProof/>
          <w:szCs w:val="24"/>
        </w:rPr>
        <w:t>, 61</w:t>
      </w:r>
      <w:r w:rsidR="002A31AB">
        <w:rPr>
          <w:rFonts w:cs="Arial"/>
          <w:noProof/>
          <w:szCs w:val="24"/>
        </w:rPr>
        <w:t>-</w:t>
      </w:r>
      <w:r w:rsidRPr="0058569A">
        <w:rPr>
          <w:rFonts w:cs="Arial"/>
          <w:noProof/>
          <w:szCs w:val="24"/>
        </w:rPr>
        <w:t>69</w:t>
      </w:r>
    </w:p>
    <w:p w14:paraId="01E696DC" w14:textId="4540F714" w:rsidR="0058569A" w:rsidRPr="0058569A" w:rsidRDefault="0058569A" w:rsidP="0058569A">
      <w:pPr>
        <w:widowControl w:val="0"/>
        <w:autoSpaceDE w:val="0"/>
        <w:autoSpaceDN w:val="0"/>
        <w:adjustRightInd w:val="0"/>
        <w:spacing w:line="240" w:lineRule="auto"/>
        <w:ind w:left="480" w:hanging="480"/>
        <w:rPr>
          <w:rFonts w:cs="Arial"/>
          <w:noProof/>
          <w:szCs w:val="24"/>
        </w:rPr>
      </w:pPr>
      <w:r w:rsidRPr="002A31AB">
        <w:rPr>
          <w:rFonts w:cs="Arial"/>
          <w:noProof/>
          <w:szCs w:val="24"/>
          <w:lang w:val="en-US"/>
        </w:rPr>
        <w:t>Giuliani, S., Zarra, T., Naddeo, V., Belgiorno, V.</w:t>
      </w:r>
      <w:r w:rsidR="002A31AB" w:rsidRPr="002A31AB">
        <w:rPr>
          <w:rFonts w:cs="Arial"/>
          <w:noProof/>
          <w:szCs w:val="24"/>
          <w:lang w:val="en-US"/>
        </w:rPr>
        <w:t>,</w:t>
      </w:r>
      <w:r w:rsidRPr="002A31AB">
        <w:rPr>
          <w:rFonts w:cs="Arial"/>
          <w:noProof/>
          <w:szCs w:val="24"/>
          <w:lang w:val="en-US"/>
        </w:rPr>
        <w:t xml:space="preserve"> 2015</w:t>
      </w:r>
      <w:r w:rsidR="002A31AB" w:rsidRPr="002A31AB">
        <w:rPr>
          <w:rFonts w:cs="Arial"/>
          <w:noProof/>
          <w:szCs w:val="24"/>
          <w:lang w:val="en-US"/>
        </w:rPr>
        <w:t>,</w:t>
      </w:r>
      <w:r w:rsidRPr="002A31AB">
        <w:rPr>
          <w:rFonts w:cs="Arial"/>
          <w:noProof/>
          <w:szCs w:val="24"/>
          <w:lang w:val="en-US"/>
        </w:rPr>
        <w:t xml:space="preserve"> </w:t>
      </w:r>
      <w:r w:rsidRPr="0058569A">
        <w:rPr>
          <w:rFonts w:cs="Arial"/>
          <w:noProof/>
          <w:szCs w:val="24"/>
        </w:rPr>
        <w:t>A novel tool for odor emission assessment in wastewater treatment plant</w:t>
      </w:r>
      <w:r w:rsidR="002A31AB">
        <w:rPr>
          <w:rFonts w:cs="Arial"/>
          <w:noProof/>
          <w:szCs w:val="24"/>
        </w:rPr>
        <w:t>,</w:t>
      </w:r>
      <w:r w:rsidRPr="0058569A">
        <w:rPr>
          <w:rFonts w:cs="Arial"/>
          <w:noProof/>
          <w:szCs w:val="24"/>
        </w:rPr>
        <w:t xml:space="preserve"> </w:t>
      </w:r>
      <w:r w:rsidRPr="0058569A">
        <w:rPr>
          <w:rFonts w:cs="Arial"/>
          <w:i/>
          <w:iCs/>
          <w:noProof/>
          <w:szCs w:val="24"/>
        </w:rPr>
        <w:t>Desalination and Water Treatment</w:t>
      </w:r>
      <w:r w:rsidRPr="0058569A">
        <w:rPr>
          <w:rFonts w:cs="Arial"/>
          <w:noProof/>
          <w:szCs w:val="24"/>
        </w:rPr>
        <w:t xml:space="preserve">, </w:t>
      </w:r>
      <w:r w:rsidRPr="00145CE1">
        <w:rPr>
          <w:rFonts w:cs="Arial"/>
          <w:i/>
          <w:iCs/>
          <w:noProof/>
          <w:szCs w:val="24"/>
        </w:rPr>
        <w:t>55(3)</w:t>
      </w:r>
      <w:r w:rsidRPr="0058569A">
        <w:rPr>
          <w:rFonts w:cs="Arial"/>
          <w:noProof/>
          <w:szCs w:val="24"/>
        </w:rPr>
        <w:t>, 712</w:t>
      </w:r>
      <w:r w:rsidR="005C3284">
        <w:rPr>
          <w:rFonts w:cs="Arial"/>
          <w:noProof/>
          <w:szCs w:val="24"/>
        </w:rPr>
        <w:t>-</w:t>
      </w:r>
      <w:r w:rsidRPr="0058569A">
        <w:rPr>
          <w:rFonts w:cs="Arial"/>
          <w:noProof/>
          <w:szCs w:val="24"/>
        </w:rPr>
        <w:t>717</w:t>
      </w:r>
    </w:p>
    <w:p w14:paraId="06362E7F" w14:textId="6853A483" w:rsidR="0058569A" w:rsidRPr="0058569A" w:rsidRDefault="0058569A" w:rsidP="0058569A">
      <w:pPr>
        <w:widowControl w:val="0"/>
        <w:autoSpaceDE w:val="0"/>
        <w:autoSpaceDN w:val="0"/>
        <w:adjustRightInd w:val="0"/>
        <w:spacing w:line="240" w:lineRule="auto"/>
        <w:ind w:left="480" w:hanging="480"/>
        <w:rPr>
          <w:rFonts w:cs="Arial"/>
          <w:noProof/>
          <w:szCs w:val="24"/>
        </w:rPr>
      </w:pPr>
      <w:r w:rsidRPr="005C3284">
        <w:rPr>
          <w:rFonts w:cs="Arial"/>
          <w:noProof/>
          <w:szCs w:val="24"/>
          <w:lang w:val="en-US"/>
        </w:rPr>
        <w:t>Invernizzi, M., Ilare, J., Capelli, L., Sironi, S.</w:t>
      </w:r>
      <w:r w:rsidR="005C3284" w:rsidRPr="005C3284">
        <w:rPr>
          <w:rFonts w:cs="Arial"/>
          <w:noProof/>
          <w:szCs w:val="24"/>
          <w:lang w:val="en-US"/>
        </w:rPr>
        <w:t>,</w:t>
      </w:r>
      <w:r w:rsidRPr="005C3284">
        <w:rPr>
          <w:rFonts w:cs="Arial"/>
          <w:noProof/>
          <w:szCs w:val="24"/>
          <w:lang w:val="en-US"/>
        </w:rPr>
        <w:t xml:space="preserve"> 2018</w:t>
      </w:r>
      <w:r w:rsidR="005C3284" w:rsidRPr="005C3284">
        <w:rPr>
          <w:rFonts w:cs="Arial"/>
          <w:noProof/>
          <w:szCs w:val="24"/>
          <w:lang w:val="en-US"/>
        </w:rPr>
        <w:t>,</w:t>
      </w:r>
      <w:r w:rsidRPr="005C3284">
        <w:rPr>
          <w:rFonts w:cs="Arial"/>
          <w:noProof/>
          <w:szCs w:val="24"/>
          <w:lang w:val="en-US"/>
        </w:rPr>
        <w:t xml:space="preserve"> </w:t>
      </w:r>
      <w:r w:rsidRPr="0058569A">
        <w:rPr>
          <w:rFonts w:cs="Arial"/>
          <w:noProof/>
          <w:szCs w:val="24"/>
        </w:rPr>
        <w:t>Proposal of a method for evaluating odour emissions from refinery storage tanks</w:t>
      </w:r>
      <w:r w:rsidR="005C3284">
        <w:rPr>
          <w:rFonts w:cs="Arial"/>
          <w:noProof/>
          <w:szCs w:val="24"/>
        </w:rPr>
        <w:t>,</w:t>
      </w:r>
      <w:r w:rsidRPr="0058569A">
        <w:rPr>
          <w:rFonts w:cs="Arial"/>
          <w:noProof/>
          <w:szCs w:val="24"/>
        </w:rPr>
        <w:t xml:space="preserve"> </w:t>
      </w:r>
      <w:r w:rsidRPr="0058569A">
        <w:rPr>
          <w:rFonts w:cs="Arial"/>
          <w:i/>
          <w:iCs/>
          <w:noProof/>
          <w:szCs w:val="24"/>
        </w:rPr>
        <w:t>Chemical Engineering Transactions</w:t>
      </w:r>
      <w:r w:rsidRPr="0058569A">
        <w:rPr>
          <w:rFonts w:cs="Arial"/>
          <w:noProof/>
          <w:szCs w:val="24"/>
        </w:rPr>
        <w:t xml:space="preserve">, </w:t>
      </w:r>
      <w:r w:rsidRPr="00145CE1">
        <w:rPr>
          <w:rFonts w:cs="Arial"/>
          <w:i/>
          <w:iCs/>
          <w:noProof/>
          <w:szCs w:val="24"/>
        </w:rPr>
        <w:t>68</w:t>
      </w:r>
      <w:r w:rsidRPr="0058569A">
        <w:rPr>
          <w:rFonts w:cs="Arial"/>
          <w:noProof/>
          <w:szCs w:val="24"/>
        </w:rPr>
        <w:t>, 49</w:t>
      </w:r>
      <w:r w:rsidR="005C3284">
        <w:rPr>
          <w:rFonts w:cs="Arial"/>
          <w:noProof/>
          <w:szCs w:val="24"/>
        </w:rPr>
        <w:t>-</w:t>
      </w:r>
      <w:r w:rsidRPr="0058569A">
        <w:rPr>
          <w:rFonts w:cs="Arial"/>
          <w:noProof/>
          <w:szCs w:val="24"/>
        </w:rPr>
        <w:t>54</w:t>
      </w:r>
    </w:p>
    <w:p w14:paraId="67A276EF" w14:textId="6BDB2528" w:rsidR="0058569A" w:rsidRPr="0058569A" w:rsidRDefault="0058569A" w:rsidP="0058569A">
      <w:pPr>
        <w:widowControl w:val="0"/>
        <w:autoSpaceDE w:val="0"/>
        <w:autoSpaceDN w:val="0"/>
        <w:adjustRightInd w:val="0"/>
        <w:spacing w:line="240" w:lineRule="auto"/>
        <w:ind w:left="480" w:hanging="480"/>
        <w:rPr>
          <w:rFonts w:cs="Arial"/>
          <w:noProof/>
          <w:szCs w:val="24"/>
        </w:rPr>
      </w:pPr>
      <w:r w:rsidRPr="0058569A">
        <w:rPr>
          <w:rFonts w:cs="Arial"/>
          <w:noProof/>
          <w:szCs w:val="24"/>
        </w:rPr>
        <w:t>Invernizzi, M., Sironi, S.</w:t>
      </w:r>
      <w:r w:rsidR="005C3284">
        <w:rPr>
          <w:rFonts w:cs="Arial"/>
          <w:noProof/>
          <w:szCs w:val="24"/>
        </w:rPr>
        <w:t>,</w:t>
      </w:r>
      <w:r w:rsidRPr="0058569A">
        <w:rPr>
          <w:rFonts w:cs="Arial"/>
          <w:noProof/>
          <w:szCs w:val="24"/>
        </w:rPr>
        <w:t xml:space="preserve"> 2021</w:t>
      </w:r>
      <w:r w:rsidR="005C3284">
        <w:rPr>
          <w:rFonts w:cs="Arial"/>
          <w:noProof/>
          <w:szCs w:val="24"/>
        </w:rPr>
        <w:t>,</w:t>
      </w:r>
      <w:r w:rsidRPr="0058569A">
        <w:rPr>
          <w:rFonts w:cs="Arial"/>
          <w:noProof/>
          <w:szCs w:val="24"/>
        </w:rPr>
        <w:t xml:space="preserve"> Odour Emission Rate Estimation Methods for Hydrocarbon Storage Tanks</w:t>
      </w:r>
      <w:r w:rsidR="005C3284">
        <w:rPr>
          <w:rFonts w:cs="Arial"/>
          <w:noProof/>
          <w:szCs w:val="24"/>
        </w:rPr>
        <w:t>,</w:t>
      </w:r>
      <w:r w:rsidRPr="0058569A">
        <w:rPr>
          <w:rFonts w:cs="Arial"/>
          <w:noProof/>
          <w:szCs w:val="24"/>
        </w:rPr>
        <w:t xml:space="preserve"> </w:t>
      </w:r>
      <w:r w:rsidRPr="0058569A">
        <w:rPr>
          <w:rFonts w:cs="Arial"/>
          <w:i/>
          <w:iCs/>
          <w:noProof/>
          <w:szCs w:val="24"/>
        </w:rPr>
        <w:t>Chemical Engineering Transactions</w:t>
      </w:r>
      <w:r w:rsidRPr="0058569A">
        <w:rPr>
          <w:rFonts w:cs="Arial"/>
          <w:noProof/>
          <w:szCs w:val="24"/>
        </w:rPr>
        <w:t xml:space="preserve">, </w:t>
      </w:r>
      <w:r w:rsidRPr="0058569A">
        <w:rPr>
          <w:rFonts w:cs="Arial"/>
          <w:i/>
          <w:iCs/>
          <w:noProof/>
          <w:szCs w:val="24"/>
        </w:rPr>
        <w:t>85</w:t>
      </w:r>
      <w:r w:rsidRPr="0058569A">
        <w:rPr>
          <w:rFonts w:cs="Arial"/>
          <w:noProof/>
          <w:szCs w:val="24"/>
        </w:rPr>
        <w:t>, 67</w:t>
      </w:r>
      <w:r w:rsidR="005C3284">
        <w:rPr>
          <w:rFonts w:cs="Arial"/>
          <w:noProof/>
          <w:szCs w:val="24"/>
        </w:rPr>
        <w:t>-</w:t>
      </w:r>
      <w:r w:rsidRPr="0058569A">
        <w:rPr>
          <w:rFonts w:cs="Arial"/>
          <w:noProof/>
          <w:szCs w:val="24"/>
        </w:rPr>
        <w:t>72</w:t>
      </w:r>
    </w:p>
    <w:p w14:paraId="5EB99384" w14:textId="512D5B21" w:rsidR="0058569A" w:rsidRPr="0058569A" w:rsidRDefault="0058569A" w:rsidP="0058569A">
      <w:pPr>
        <w:widowControl w:val="0"/>
        <w:autoSpaceDE w:val="0"/>
        <w:autoSpaceDN w:val="0"/>
        <w:adjustRightInd w:val="0"/>
        <w:spacing w:line="240" w:lineRule="auto"/>
        <w:ind w:left="480" w:hanging="480"/>
        <w:rPr>
          <w:rFonts w:cs="Arial"/>
          <w:noProof/>
          <w:szCs w:val="24"/>
        </w:rPr>
      </w:pPr>
      <w:r w:rsidRPr="005C3284">
        <w:rPr>
          <w:rFonts w:cs="Arial"/>
          <w:noProof/>
          <w:szCs w:val="24"/>
          <w:lang w:val="en-US"/>
        </w:rPr>
        <w:t>Pandan, M. A., Naddeo, V., Zarra, T., Belgiorno, V., Ballesteros, F.</w:t>
      </w:r>
      <w:r w:rsidR="005C3284" w:rsidRPr="005C3284">
        <w:rPr>
          <w:rFonts w:cs="Arial"/>
          <w:noProof/>
          <w:szCs w:val="24"/>
          <w:lang w:val="en-US"/>
        </w:rPr>
        <w:t>,</w:t>
      </w:r>
      <w:r w:rsidRPr="005C3284">
        <w:rPr>
          <w:rFonts w:cs="Arial"/>
          <w:noProof/>
          <w:szCs w:val="24"/>
          <w:lang w:val="en-US"/>
        </w:rPr>
        <w:t xml:space="preserve"> 2017</w:t>
      </w:r>
      <w:r w:rsidR="005C3284" w:rsidRPr="005C3284">
        <w:rPr>
          <w:rFonts w:cs="Arial"/>
          <w:noProof/>
          <w:szCs w:val="24"/>
          <w:lang w:val="en-US"/>
        </w:rPr>
        <w:t>,</w:t>
      </w:r>
      <w:r w:rsidRPr="005C3284">
        <w:rPr>
          <w:rFonts w:cs="Arial"/>
          <w:noProof/>
          <w:szCs w:val="24"/>
          <w:lang w:val="en-US"/>
        </w:rPr>
        <w:t xml:space="preserve"> </w:t>
      </w:r>
      <w:r w:rsidRPr="0058569A">
        <w:rPr>
          <w:rFonts w:cs="Arial"/>
          <w:noProof/>
          <w:szCs w:val="24"/>
        </w:rPr>
        <w:t>Odour emission capacity as a surrogate parameter for the assessment of river water quality</w:t>
      </w:r>
      <w:r w:rsidR="005C3284">
        <w:rPr>
          <w:rFonts w:cs="Arial"/>
          <w:noProof/>
          <w:szCs w:val="24"/>
        </w:rPr>
        <w:t>,</w:t>
      </w:r>
      <w:r w:rsidRPr="0058569A">
        <w:rPr>
          <w:rFonts w:cs="Arial"/>
          <w:noProof/>
          <w:szCs w:val="24"/>
        </w:rPr>
        <w:t xml:space="preserve"> </w:t>
      </w:r>
      <w:r w:rsidRPr="0058569A">
        <w:rPr>
          <w:rFonts w:cs="Arial"/>
          <w:i/>
          <w:iCs/>
          <w:noProof/>
          <w:szCs w:val="24"/>
        </w:rPr>
        <w:t>WIT Transactions on Ecology and the Environment</w:t>
      </w:r>
      <w:r w:rsidRPr="0058569A">
        <w:rPr>
          <w:rFonts w:cs="Arial"/>
          <w:noProof/>
          <w:szCs w:val="24"/>
        </w:rPr>
        <w:t xml:space="preserve">, </w:t>
      </w:r>
      <w:r w:rsidRPr="00145CE1">
        <w:rPr>
          <w:rFonts w:cs="Arial"/>
          <w:i/>
          <w:iCs/>
          <w:noProof/>
          <w:szCs w:val="24"/>
        </w:rPr>
        <w:t>221</w:t>
      </w:r>
      <w:r w:rsidRPr="0058569A">
        <w:rPr>
          <w:rFonts w:cs="Arial"/>
          <w:noProof/>
          <w:szCs w:val="24"/>
        </w:rPr>
        <w:t>, 43</w:t>
      </w:r>
      <w:r w:rsidR="005C3284">
        <w:rPr>
          <w:rFonts w:cs="Arial"/>
          <w:noProof/>
          <w:szCs w:val="24"/>
        </w:rPr>
        <w:t>-</w:t>
      </w:r>
      <w:r w:rsidRPr="0058569A">
        <w:rPr>
          <w:rFonts w:cs="Arial"/>
          <w:noProof/>
          <w:szCs w:val="24"/>
        </w:rPr>
        <w:t>50</w:t>
      </w:r>
    </w:p>
    <w:p w14:paraId="105D24AB" w14:textId="540DD488" w:rsidR="0058569A" w:rsidRPr="0058569A" w:rsidRDefault="0058569A" w:rsidP="0058569A">
      <w:pPr>
        <w:widowControl w:val="0"/>
        <w:autoSpaceDE w:val="0"/>
        <w:autoSpaceDN w:val="0"/>
        <w:adjustRightInd w:val="0"/>
        <w:spacing w:line="240" w:lineRule="auto"/>
        <w:ind w:left="480" w:hanging="480"/>
        <w:rPr>
          <w:rFonts w:cs="Arial"/>
          <w:noProof/>
          <w:szCs w:val="24"/>
        </w:rPr>
      </w:pPr>
      <w:r w:rsidRPr="005C3284">
        <w:rPr>
          <w:rFonts w:cs="Arial"/>
          <w:noProof/>
          <w:szCs w:val="24"/>
          <w:lang w:val="en-US"/>
        </w:rPr>
        <w:t>Scolieri, G., Invernizzi, M., Sironi, S.</w:t>
      </w:r>
      <w:r w:rsidR="005C3284" w:rsidRPr="005C3284">
        <w:rPr>
          <w:rFonts w:cs="Arial"/>
          <w:noProof/>
          <w:szCs w:val="24"/>
          <w:lang w:val="en-US"/>
        </w:rPr>
        <w:t>,</w:t>
      </w:r>
      <w:r w:rsidRPr="005C3284">
        <w:rPr>
          <w:rFonts w:cs="Arial"/>
          <w:noProof/>
          <w:szCs w:val="24"/>
          <w:lang w:val="en-US"/>
        </w:rPr>
        <w:t xml:space="preserve"> 2021</w:t>
      </w:r>
      <w:r w:rsidR="005C3284" w:rsidRPr="005C3284">
        <w:rPr>
          <w:rFonts w:cs="Arial"/>
          <w:noProof/>
          <w:szCs w:val="24"/>
          <w:lang w:val="en-US"/>
        </w:rPr>
        <w:t>,</w:t>
      </w:r>
      <w:r w:rsidRPr="005C3284">
        <w:rPr>
          <w:rFonts w:cs="Arial"/>
          <w:noProof/>
          <w:szCs w:val="24"/>
          <w:lang w:val="en-US"/>
        </w:rPr>
        <w:t xml:space="preserve"> </w:t>
      </w:r>
      <w:r w:rsidRPr="0058569A">
        <w:rPr>
          <w:rFonts w:cs="Arial"/>
          <w:noProof/>
          <w:szCs w:val="24"/>
        </w:rPr>
        <w:t>A crude monte carlo analysis for treating the influence of olfactometric uncertainty</w:t>
      </w:r>
      <w:r w:rsidR="005C3284">
        <w:rPr>
          <w:rFonts w:cs="Arial"/>
          <w:noProof/>
          <w:szCs w:val="24"/>
        </w:rPr>
        <w:t>,</w:t>
      </w:r>
      <w:r w:rsidRPr="0058569A">
        <w:rPr>
          <w:rFonts w:cs="Arial"/>
          <w:noProof/>
          <w:szCs w:val="24"/>
        </w:rPr>
        <w:t xml:space="preserve"> </w:t>
      </w:r>
      <w:r w:rsidRPr="0058569A">
        <w:rPr>
          <w:rFonts w:cs="Arial"/>
          <w:i/>
          <w:iCs/>
          <w:noProof/>
          <w:szCs w:val="24"/>
        </w:rPr>
        <w:t>Chemical Engineering Transactions</w:t>
      </w:r>
      <w:r w:rsidRPr="0058569A">
        <w:rPr>
          <w:rFonts w:cs="Arial"/>
          <w:noProof/>
          <w:szCs w:val="24"/>
        </w:rPr>
        <w:t xml:space="preserve">, </w:t>
      </w:r>
      <w:r w:rsidRPr="00D26A58">
        <w:rPr>
          <w:rFonts w:cs="Arial"/>
          <w:i/>
          <w:iCs/>
          <w:noProof/>
          <w:szCs w:val="24"/>
        </w:rPr>
        <w:t>85</w:t>
      </w:r>
      <w:r w:rsidRPr="0058569A">
        <w:rPr>
          <w:rFonts w:cs="Arial"/>
          <w:noProof/>
          <w:szCs w:val="24"/>
        </w:rPr>
        <w:t>, 85</w:t>
      </w:r>
      <w:r w:rsidR="00D26A58">
        <w:rPr>
          <w:rFonts w:cs="Arial"/>
          <w:noProof/>
          <w:szCs w:val="24"/>
        </w:rPr>
        <w:t>-</w:t>
      </w:r>
      <w:r w:rsidRPr="0058569A">
        <w:rPr>
          <w:rFonts w:cs="Arial"/>
          <w:noProof/>
          <w:szCs w:val="24"/>
        </w:rPr>
        <w:t>90</w:t>
      </w:r>
    </w:p>
    <w:p w14:paraId="6054754F" w14:textId="15A61CE8" w:rsidR="0058569A" w:rsidRPr="0058569A" w:rsidRDefault="0058569A" w:rsidP="0058569A">
      <w:pPr>
        <w:widowControl w:val="0"/>
        <w:autoSpaceDE w:val="0"/>
        <w:autoSpaceDN w:val="0"/>
        <w:adjustRightInd w:val="0"/>
        <w:spacing w:line="240" w:lineRule="auto"/>
        <w:ind w:left="480" w:hanging="480"/>
        <w:rPr>
          <w:rFonts w:cs="Arial"/>
          <w:noProof/>
          <w:szCs w:val="24"/>
        </w:rPr>
      </w:pPr>
      <w:r w:rsidRPr="0058569A">
        <w:rPr>
          <w:rFonts w:cs="Arial"/>
          <w:noProof/>
          <w:szCs w:val="24"/>
        </w:rPr>
        <w:t>VDI</w:t>
      </w:r>
      <w:r w:rsidR="00D26A58">
        <w:rPr>
          <w:rFonts w:cs="Arial"/>
          <w:noProof/>
          <w:szCs w:val="24"/>
        </w:rPr>
        <w:t xml:space="preserve">, </w:t>
      </w:r>
      <w:r w:rsidRPr="0058569A">
        <w:rPr>
          <w:rFonts w:cs="Arial"/>
          <w:noProof/>
          <w:szCs w:val="24"/>
        </w:rPr>
        <w:t>2017</w:t>
      </w:r>
      <w:r w:rsidR="00D26A58">
        <w:rPr>
          <w:rFonts w:cs="Arial"/>
          <w:noProof/>
          <w:szCs w:val="24"/>
        </w:rPr>
        <w:t>,</w:t>
      </w:r>
      <w:r w:rsidRPr="0058569A">
        <w:rPr>
          <w:rFonts w:cs="Arial"/>
          <w:noProof/>
          <w:szCs w:val="24"/>
        </w:rPr>
        <w:t xml:space="preserve"> </w:t>
      </w:r>
      <w:r w:rsidRPr="0058569A">
        <w:rPr>
          <w:rFonts w:cs="Arial"/>
          <w:i/>
          <w:iCs/>
          <w:noProof/>
          <w:szCs w:val="24"/>
        </w:rPr>
        <w:t>VDI 3885. Olfaktometrie. Messung des Geruchsstofiemissionspotenzials von Flüssigkeiten</w:t>
      </w:r>
      <w:r w:rsidR="00D26A58">
        <w:rPr>
          <w:rFonts w:cs="Arial"/>
          <w:i/>
          <w:iCs/>
          <w:noProof/>
          <w:szCs w:val="24"/>
        </w:rPr>
        <w:t>,</w:t>
      </w:r>
      <w:r w:rsidRPr="0058569A">
        <w:rPr>
          <w:rFonts w:cs="Arial"/>
          <w:noProof/>
          <w:szCs w:val="24"/>
        </w:rPr>
        <w:t xml:space="preserve"> 1</w:t>
      </w:r>
      <w:r w:rsidR="00D26A58">
        <w:rPr>
          <w:rFonts w:cs="Arial"/>
          <w:noProof/>
          <w:szCs w:val="24"/>
        </w:rPr>
        <w:t>-</w:t>
      </w:r>
      <w:r w:rsidRPr="0058569A">
        <w:rPr>
          <w:rFonts w:cs="Arial"/>
          <w:noProof/>
          <w:szCs w:val="24"/>
        </w:rPr>
        <w:t>21</w:t>
      </w:r>
      <w:r w:rsidR="00D26A58">
        <w:rPr>
          <w:rFonts w:cs="Arial"/>
          <w:noProof/>
          <w:szCs w:val="24"/>
        </w:rPr>
        <w:t>, Düsseldorf</w:t>
      </w:r>
    </w:p>
    <w:p w14:paraId="23253297" w14:textId="319F538D" w:rsidR="0058569A" w:rsidRPr="0058569A" w:rsidRDefault="0058569A" w:rsidP="0058569A">
      <w:pPr>
        <w:widowControl w:val="0"/>
        <w:autoSpaceDE w:val="0"/>
        <w:autoSpaceDN w:val="0"/>
        <w:adjustRightInd w:val="0"/>
        <w:spacing w:line="240" w:lineRule="auto"/>
        <w:ind w:left="480" w:hanging="480"/>
        <w:rPr>
          <w:rFonts w:cs="Arial"/>
          <w:noProof/>
          <w:szCs w:val="24"/>
        </w:rPr>
      </w:pPr>
      <w:r w:rsidRPr="0058569A">
        <w:rPr>
          <w:rFonts w:cs="Arial"/>
          <w:noProof/>
          <w:szCs w:val="24"/>
        </w:rPr>
        <w:t>Wei, W., Cheng, S., Li, G., Wang, G., Wang, H.</w:t>
      </w:r>
      <w:r w:rsidR="00D26A58">
        <w:rPr>
          <w:rFonts w:cs="Arial"/>
          <w:noProof/>
          <w:szCs w:val="24"/>
        </w:rPr>
        <w:t>,</w:t>
      </w:r>
      <w:r w:rsidRPr="0058569A">
        <w:rPr>
          <w:rFonts w:cs="Arial"/>
          <w:noProof/>
          <w:szCs w:val="24"/>
        </w:rPr>
        <w:t xml:space="preserve"> 2014</w:t>
      </w:r>
      <w:r w:rsidR="00D26A58">
        <w:rPr>
          <w:rFonts w:cs="Arial"/>
          <w:noProof/>
          <w:szCs w:val="24"/>
        </w:rPr>
        <w:t>,</w:t>
      </w:r>
      <w:r w:rsidRPr="0058569A">
        <w:rPr>
          <w:rFonts w:cs="Arial"/>
          <w:noProof/>
          <w:szCs w:val="24"/>
        </w:rPr>
        <w:t xml:space="preserve"> Characteristics of volatile organic compounds (VOCs) emitted from a petroleum refinery in Beijing, China</w:t>
      </w:r>
      <w:r w:rsidR="00D26A58">
        <w:rPr>
          <w:rFonts w:cs="Arial"/>
          <w:noProof/>
          <w:szCs w:val="24"/>
        </w:rPr>
        <w:t>,</w:t>
      </w:r>
      <w:r w:rsidRPr="0058569A">
        <w:rPr>
          <w:rFonts w:cs="Arial"/>
          <w:noProof/>
          <w:szCs w:val="24"/>
        </w:rPr>
        <w:t xml:space="preserve"> </w:t>
      </w:r>
      <w:r w:rsidRPr="0058569A">
        <w:rPr>
          <w:rFonts w:cs="Arial"/>
          <w:i/>
          <w:iCs/>
          <w:noProof/>
          <w:szCs w:val="24"/>
        </w:rPr>
        <w:t>Atmospheric Environment</w:t>
      </w:r>
      <w:r w:rsidRPr="0058569A">
        <w:rPr>
          <w:rFonts w:cs="Arial"/>
          <w:noProof/>
          <w:szCs w:val="24"/>
        </w:rPr>
        <w:t xml:space="preserve">, </w:t>
      </w:r>
      <w:r w:rsidRPr="0058569A">
        <w:rPr>
          <w:rFonts w:cs="Arial"/>
          <w:i/>
          <w:iCs/>
          <w:noProof/>
          <w:szCs w:val="24"/>
        </w:rPr>
        <w:t>89</w:t>
      </w:r>
      <w:r w:rsidRPr="0058569A">
        <w:rPr>
          <w:rFonts w:cs="Arial"/>
          <w:noProof/>
          <w:szCs w:val="24"/>
        </w:rPr>
        <w:t>, 358</w:t>
      </w:r>
      <w:r w:rsidR="00D26A58">
        <w:rPr>
          <w:rFonts w:cs="Arial"/>
          <w:noProof/>
          <w:szCs w:val="24"/>
        </w:rPr>
        <w:t>-</w:t>
      </w:r>
      <w:r w:rsidRPr="0058569A">
        <w:rPr>
          <w:rFonts w:cs="Arial"/>
          <w:noProof/>
          <w:szCs w:val="24"/>
        </w:rPr>
        <w:t>366</w:t>
      </w:r>
    </w:p>
    <w:p w14:paraId="65128AFE" w14:textId="48552283" w:rsidR="0058569A" w:rsidRPr="0058569A" w:rsidRDefault="0058569A" w:rsidP="0058569A">
      <w:pPr>
        <w:widowControl w:val="0"/>
        <w:autoSpaceDE w:val="0"/>
        <w:autoSpaceDN w:val="0"/>
        <w:adjustRightInd w:val="0"/>
        <w:spacing w:line="240" w:lineRule="auto"/>
        <w:ind w:left="480" w:hanging="480"/>
        <w:rPr>
          <w:rFonts w:cs="Arial"/>
          <w:noProof/>
        </w:rPr>
      </w:pPr>
      <w:r w:rsidRPr="0058569A">
        <w:rPr>
          <w:rFonts w:cs="Arial"/>
          <w:noProof/>
          <w:szCs w:val="24"/>
        </w:rPr>
        <w:t>Zhang, Z., Yan, X., Gao, F., Thai, P., Wang, H., Chen, D., Zhou, L., Gong, D., Li, Q., Morawska, L., Wang, B.</w:t>
      </w:r>
      <w:r w:rsidR="00D26A58">
        <w:rPr>
          <w:rFonts w:cs="Arial"/>
          <w:noProof/>
          <w:szCs w:val="24"/>
        </w:rPr>
        <w:t xml:space="preserve">, </w:t>
      </w:r>
      <w:r w:rsidRPr="0058569A">
        <w:rPr>
          <w:rFonts w:cs="Arial"/>
          <w:noProof/>
          <w:szCs w:val="24"/>
        </w:rPr>
        <w:t>2018</w:t>
      </w:r>
      <w:r w:rsidR="00D26A58">
        <w:rPr>
          <w:rFonts w:cs="Arial"/>
          <w:noProof/>
          <w:szCs w:val="24"/>
        </w:rPr>
        <w:t>,</w:t>
      </w:r>
      <w:r w:rsidRPr="0058569A">
        <w:rPr>
          <w:rFonts w:cs="Arial"/>
          <w:noProof/>
          <w:szCs w:val="24"/>
        </w:rPr>
        <w:t xml:space="preserve"> Emission and health risk assessment of volatile organic compounds in various processes of a petroleum refinery in the Pearl River Delta, China</w:t>
      </w:r>
      <w:r w:rsidR="00D26A58">
        <w:rPr>
          <w:rFonts w:cs="Arial"/>
          <w:noProof/>
          <w:szCs w:val="24"/>
        </w:rPr>
        <w:t>,</w:t>
      </w:r>
      <w:r w:rsidRPr="0058569A">
        <w:rPr>
          <w:rFonts w:cs="Arial"/>
          <w:noProof/>
          <w:szCs w:val="24"/>
        </w:rPr>
        <w:t xml:space="preserve"> </w:t>
      </w:r>
      <w:r w:rsidRPr="0058569A">
        <w:rPr>
          <w:rFonts w:cs="Arial"/>
          <w:i/>
          <w:iCs/>
          <w:noProof/>
          <w:szCs w:val="24"/>
        </w:rPr>
        <w:t>Environmental Pollution</w:t>
      </w:r>
      <w:r w:rsidRPr="0058569A">
        <w:rPr>
          <w:rFonts w:cs="Arial"/>
          <w:noProof/>
          <w:szCs w:val="24"/>
        </w:rPr>
        <w:t xml:space="preserve">, </w:t>
      </w:r>
      <w:r w:rsidRPr="0058569A">
        <w:rPr>
          <w:rFonts w:cs="Arial"/>
          <w:i/>
          <w:iCs/>
          <w:noProof/>
          <w:szCs w:val="24"/>
        </w:rPr>
        <w:t>238</w:t>
      </w:r>
      <w:r w:rsidRPr="0058569A">
        <w:rPr>
          <w:rFonts w:cs="Arial"/>
          <w:noProof/>
          <w:szCs w:val="24"/>
        </w:rPr>
        <w:t>, 452</w:t>
      </w:r>
      <w:r w:rsidR="00D26A58">
        <w:rPr>
          <w:rFonts w:cs="Arial"/>
          <w:noProof/>
          <w:szCs w:val="24"/>
        </w:rPr>
        <w:t>-</w:t>
      </w:r>
      <w:r w:rsidRPr="0058569A">
        <w:rPr>
          <w:rFonts w:cs="Arial"/>
          <w:noProof/>
          <w:szCs w:val="24"/>
        </w:rPr>
        <w:t>461</w:t>
      </w:r>
    </w:p>
    <w:p w14:paraId="4ACF27E8" w14:textId="275757A8" w:rsidR="00C13F8D" w:rsidRPr="00E54FEA" w:rsidRDefault="00536B35" w:rsidP="008263CB">
      <w:pPr>
        <w:pStyle w:val="CETReferencetext"/>
        <w:ind w:left="0" w:firstLine="0"/>
      </w:pPr>
      <w:r>
        <w:fldChar w:fldCharType="end"/>
      </w:r>
    </w:p>
    <w:sectPr w:rsidR="00C13F8D" w:rsidRPr="00E54FEA"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50E7E" w14:textId="77777777" w:rsidR="006D4484" w:rsidRDefault="006D4484" w:rsidP="004F5E36">
      <w:r>
        <w:separator/>
      </w:r>
    </w:p>
  </w:endnote>
  <w:endnote w:type="continuationSeparator" w:id="0">
    <w:p w14:paraId="65FF8415" w14:textId="77777777" w:rsidR="006D4484" w:rsidRDefault="006D448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3EE3F" w14:textId="77777777" w:rsidR="006D4484" w:rsidRDefault="006D4484" w:rsidP="004F5E36">
      <w:r>
        <w:separator/>
      </w:r>
    </w:p>
  </w:footnote>
  <w:footnote w:type="continuationSeparator" w:id="0">
    <w:p w14:paraId="0CDA48E5" w14:textId="77777777" w:rsidR="006D4484" w:rsidRDefault="006D448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6691A29"/>
    <w:multiLevelType w:val="hybridMultilevel"/>
    <w:tmpl w:val="9BEC5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C907C1E"/>
    <w:multiLevelType w:val="hybridMultilevel"/>
    <w:tmpl w:val="D1984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209A19C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20E7799"/>
    <w:multiLevelType w:val="hybridMultilevel"/>
    <w:tmpl w:val="0D8E43A2"/>
    <w:lvl w:ilvl="0" w:tplc="86222724">
      <w:start w:val="1"/>
      <w:numFmt w:val="decimal"/>
      <w:pStyle w:val="Stile1"/>
      <w:lvlText w:val="%1.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8B5476E"/>
    <w:multiLevelType w:val="hybridMultilevel"/>
    <w:tmpl w:val="9F6450EA"/>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04C7005"/>
    <w:multiLevelType w:val="hybridMultilevel"/>
    <w:tmpl w:val="9912C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816156"/>
    <w:multiLevelType w:val="hybridMultilevel"/>
    <w:tmpl w:val="BEFA12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5364361"/>
    <w:multiLevelType w:val="hybridMultilevel"/>
    <w:tmpl w:val="92AEB4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C472682"/>
    <w:multiLevelType w:val="hybridMultilevel"/>
    <w:tmpl w:val="F2ECD2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4671D4"/>
    <w:multiLevelType w:val="hybridMultilevel"/>
    <w:tmpl w:val="AFC0DC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4641905">
    <w:abstractNumId w:val="12"/>
  </w:num>
  <w:num w:numId="2" w16cid:durableId="1959990314">
    <w:abstractNumId w:val="8"/>
  </w:num>
  <w:num w:numId="3" w16cid:durableId="1318147827">
    <w:abstractNumId w:val="3"/>
  </w:num>
  <w:num w:numId="4" w16cid:durableId="658853133">
    <w:abstractNumId w:val="2"/>
  </w:num>
  <w:num w:numId="5" w16cid:durableId="57896703">
    <w:abstractNumId w:val="1"/>
  </w:num>
  <w:num w:numId="6" w16cid:durableId="479078745">
    <w:abstractNumId w:val="0"/>
  </w:num>
  <w:num w:numId="7" w16cid:durableId="1588883588">
    <w:abstractNumId w:val="9"/>
  </w:num>
  <w:num w:numId="8" w16cid:durableId="495463913">
    <w:abstractNumId w:val="7"/>
  </w:num>
  <w:num w:numId="9" w16cid:durableId="2114548841">
    <w:abstractNumId w:val="6"/>
  </w:num>
  <w:num w:numId="10" w16cid:durableId="615868964">
    <w:abstractNumId w:val="5"/>
  </w:num>
  <w:num w:numId="11" w16cid:durableId="1879664671">
    <w:abstractNumId w:val="4"/>
  </w:num>
  <w:num w:numId="12" w16cid:durableId="325477767">
    <w:abstractNumId w:val="23"/>
  </w:num>
  <w:num w:numId="13" w16cid:durableId="1540699562">
    <w:abstractNumId w:val="15"/>
  </w:num>
  <w:num w:numId="14" w16cid:durableId="887955373">
    <w:abstractNumId w:val="24"/>
  </w:num>
  <w:num w:numId="15" w16cid:durableId="1354769881">
    <w:abstractNumId w:val="26"/>
  </w:num>
  <w:num w:numId="16" w16cid:durableId="1839005951">
    <w:abstractNumId w:val="25"/>
  </w:num>
  <w:num w:numId="17" w16cid:durableId="527378424">
    <w:abstractNumId w:val="14"/>
  </w:num>
  <w:num w:numId="18" w16cid:durableId="1841307125">
    <w:abstractNumId w:val="15"/>
    <w:lvlOverride w:ilvl="0">
      <w:startOverride w:val="1"/>
    </w:lvlOverride>
  </w:num>
  <w:num w:numId="19" w16cid:durableId="1178078815">
    <w:abstractNumId w:val="20"/>
  </w:num>
  <w:num w:numId="20" w16cid:durableId="1418794574">
    <w:abstractNumId w:val="19"/>
  </w:num>
  <w:num w:numId="21" w16cid:durableId="291639708">
    <w:abstractNumId w:val="17"/>
  </w:num>
  <w:num w:numId="22" w16cid:durableId="784497067">
    <w:abstractNumId w:val="18"/>
  </w:num>
  <w:num w:numId="23" w16cid:durableId="822240938">
    <w:abstractNumId w:val="27"/>
  </w:num>
  <w:num w:numId="24" w16cid:durableId="1568955977">
    <w:abstractNumId w:val="28"/>
  </w:num>
  <w:num w:numId="25" w16cid:durableId="675696869">
    <w:abstractNumId w:val="10"/>
  </w:num>
  <w:num w:numId="26" w16cid:durableId="1083181550">
    <w:abstractNumId w:val="13"/>
  </w:num>
  <w:num w:numId="27" w16cid:durableId="2141923588">
    <w:abstractNumId w:val="11"/>
  </w:num>
  <w:num w:numId="28" w16cid:durableId="215704540">
    <w:abstractNumId w:val="21"/>
  </w:num>
  <w:num w:numId="29" w16cid:durableId="315770815">
    <w:abstractNumId w:val="22"/>
  </w:num>
  <w:num w:numId="30" w16cid:durableId="6911511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57F0"/>
    <w:rsid w:val="000200CF"/>
    <w:rsid w:val="00022AE3"/>
    <w:rsid w:val="00022F68"/>
    <w:rsid w:val="00023D39"/>
    <w:rsid w:val="00024B6C"/>
    <w:rsid w:val="00026DD3"/>
    <w:rsid w:val="00027536"/>
    <w:rsid w:val="000304C2"/>
    <w:rsid w:val="0003148D"/>
    <w:rsid w:val="000324DE"/>
    <w:rsid w:val="0003342F"/>
    <w:rsid w:val="00041FA8"/>
    <w:rsid w:val="00044115"/>
    <w:rsid w:val="000459BE"/>
    <w:rsid w:val="000469C2"/>
    <w:rsid w:val="00051566"/>
    <w:rsid w:val="00052017"/>
    <w:rsid w:val="00054986"/>
    <w:rsid w:val="00054FA5"/>
    <w:rsid w:val="00057DEA"/>
    <w:rsid w:val="00062385"/>
    <w:rsid w:val="00062A9A"/>
    <w:rsid w:val="00065058"/>
    <w:rsid w:val="00066198"/>
    <w:rsid w:val="0007273F"/>
    <w:rsid w:val="000736D7"/>
    <w:rsid w:val="00073A82"/>
    <w:rsid w:val="00077426"/>
    <w:rsid w:val="000817AA"/>
    <w:rsid w:val="000830AE"/>
    <w:rsid w:val="000860FF"/>
    <w:rsid w:val="00086C39"/>
    <w:rsid w:val="00087381"/>
    <w:rsid w:val="000A03B2"/>
    <w:rsid w:val="000A12AE"/>
    <w:rsid w:val="000A1C5A"/>
    <w:rsid w:val="000A25F2"/>
    <w:rsid w:val="000A31B3"/>
    <w:rsid w:val="000A3680"/>
    <w:rsid w:val="000A3B5A"/>
    <w:rsid w:val="000A3DF2"/>
    <w:rsid w:val="000A7186"/>
    <w:rsid w:val="000B10D3"/>
    <w:rsid w:val="000B43CF"/>
    <w:rsid w:val="000B5730"/>
    <w:rsid w:val="000B6F8A"/>
    <w:rsid w:val="000C2CD6"/>
    <w:rsid w:val="000C35AB"/>
    <w:rsid w:val="000D0457"/>
    <w:rsid w:val="000D34BE"/>
    <w:rsid w:val="000D5848"/>
    <w:rsid w:val="000D5AC9"/>
    <w:rsid w:val="000D61A4"/>
    <w:rsid w:val="000D6D24"/>
    <w:rsid w:val="000D7005"/>
    <w:rsid w:val="000E102F"/>
    <w:rsid w:val="000E36F1"/>
    <w:rsid w:val="000E384D"/>
    <w:rsid w:val="000E3A73"/>
    <w:rsid w:val="000E414A"/>
    <w:rsid w:val="000E5A41"/>
    <w:rsid w:val="000F093C"/>
    <w:rsid w:val="000F787B"/>
    <w:rsid w:val="0010528B"/>
    <w:rsid w:val="00111F4F"/>
    <w:rsid w:val="00113E73"/>
    <w:rsid w:val="00116206"/>
    <w:rsid w:val="00116BEB"/>
    <w:rsid w:val="001172BC"/>
    <w:rsid w:val="0012091F"/>
    <w:rsid w:val="00126BC2"/>
    <w:rsid w:val="001308B6"/>
    <w:rsid w:val="0013121F"/>
    <w:rsid w:val="00131FE6"/>
    <w:rsid w:val="0013263F"/>
    <w:rsid w:val="00134DE4"/>
    <w:rsid w:val="00136860"/>
    <w:rsid w:val="00137F7C"/>
    <w:rsid w:val="00140070"/>
    <w:rsid w:val="0014034D"/>
    <w:rsid w:val="0014464F"/>
    <w:rsid w:val="00145A61"/>
    <w:rsid w:val="00145CE1"/>
    <w:rsid w:val="00150A40"/>
    <w:rsid w:val="00150E59"/>
    <w:rsid w:val="00151A8B"/>
    <w:rsid w:val="00152DE3"/>
    <w:rsid w:val="0015587F"/>
    <w:rsid w:val="00161A74"/>
    <w:rsid w:val="001620C0"/>
    <w:rsid w:val="00163050"/>
    <w:rsid w:val="00164CF9"/>
    <w:rsid w:val="00177532"/>
    <w:rsid w:val="00177C89"/>
    <w:rsid w:val="00180860"/>
    <w:rsid w:val="00184AD6"/>
    <w:rsid w:val="0019370A"/>
    <w:rsid w:val="00195C1B"/>
    <w:rsid w:val="00195C43"/>
    <w:rsid w:val="0019749E"/>
    <w:rsid w:val="001A09D1"/>
    <w:rsid w:val="001A2C90"/>
    <w:rsid w:val="001A4AA5"/>
    <w:rsid w:val="001A5B78"/>
    <w:rsid w:val="001B0349"/>
    <w:rsid w:val="001B3397"/>
    <w:rsid w:val="001B65C1"/>
    <w:rsid w:val="001C684B"/>
    <w:rsid w:val="001C7B1A"/>
    <w:rsid w:val="001D1ABC"/>
    <w:rsid w:val="001D44B9"/>
    <w:rsid w:val="001D53FC"/>
    <w:rsid w:val="001E16FB"/>
    <w:rsid w:val="001E1C67"/>
    <w:rsid w:val="001E2503"/>
    <w:rsid w:val="001E3C97"/>
    <w:rsid w:val="001E6364"/>
    <w:rsid w:val="001E640C"/>
    <w:rsid w:val="001F084D"/>
    <w:rsid w:val="001F0943"/>
    <w:rsid w:val="001F42A5"/>
    <w:rsid w:val="001F7B9D"/>
    <w:rsid w:val="002044C7"/>
    <w:rsid w:val="002146D8"/>
    <w:rsid w:val="00214853"/>
    <w:rsid w:val="00215917"/>
    <w:rsid w:val="00216BC5"/>
    <w:rsid w:val="002224B4"/>
    <w:rsid w:val="00223F0B"/>
    <w:rsid w:val="00224B56"/>
    <w:rsid w:val="00230C67"/>
    <w:rsid w:val="00232A95"/>
    <w:rsid w:val="00233E7E"/>
    <w:rsid w:val="002362FC"/>
    <w:rsid w:val="002369D2"/>
    <w:rsid w:val="002440D5"/>
    <w:rsid w:val="002447EF"/>
    <w:rsid w:val="0024711F"/>
    <w:rsid w:val="00251550"/>
    <w:rsid w:val="0025319D"/>
    <w:rsid w:val="00256E6A"/>
    <w:rsid w:val="00263B05"/>
    <w:rsid w:val="0027221A"/>
    <w:rsid w:val="002733AB"/>
    <w:rsid w:val="00273A9F"/>
    <w:rsid w:val="00275867"/>
    <w:rsid w:val="00275B61"/>
    <w:rsid w:val="00276AD3"/>
    <w:rsid w:val="0028120B"/>
    <w:rsid w:val="002812BC"/>
    <w:rsid w:val="00282656"/>
    <w:rsid w:val="00282F23"/>
    <w:rsid w:val="0028784A"/>
    <w:rsid w:val="00290B80"/>
    <w:rsid w:val="00291785"/>
    <w:rsid w:val="00296B83"/>
    <w:rsid w:val="002A31AB"/>
    <w:rsid w:val="002A33DB"/>
    <w:rsid w:val="002A4ED2"/>
    <w:rsid w:val="002A5EB1"/>
    <w:rsid w:val="002A6285"/>
    <w:rsid w:val="002A72E5"/>
    <w:rsid w:val="002B1649"/>
    <w:rsid w:val="002B16CC"/>
    <w:rsid w:val="002B1908"/>
    <w:rsid w:val="002B31CE"/>
    <w:rsid w:val="002B3D4A"/>
    <w:rsid w:val="002B48FF"/>
    <w:rsid w:val="002B496B"/>
    <w:rsid w:val="002B6177"/>
    <w:rsid w:val="002B78CE"/>
    <w:rsid w:val="002C2FB6"/>
    <w:rsid w:val="002C5A78"/>
    <w:rsid w:val="002D2A44"/>
    <w:rsid w:val="002D3DB8"/>
    <w:rsid w:val="002E02AF"/>
    <w:rsid w:val="002E3053"/>
    <w:rsid w:val="002E40DC"/>
    <w:rsid w:val="002E5E26"/>
    <w:rsid w:val="002E6A19"/>
    <w:rsid w:val="002F48DD"/>
    <w:rsid w:val="003009B7"/>
    <w:rsid w:val="00300D34"/>
    <w:rsid w:val="00300E56"/>
    <w:rsid w:val="0030223B"/>
    <w:rsid w:val="0030469C"/>
    <w:rsid w:val="00312D44"/>
    <w:rsid w:val="003136FD"/>
    <w:rsid w:val="00314D12"/>
    <w:rsid w:val="00317E98"/>
    <w:rsid w:val="00321CA6"/>
    <w:rsid w:val="00321F81"/>
    <w:rsid w:val="003268CC"/>
    <w:rsid w:val="00330286"/>
    <w:rsid w:val="00330EE7"/>
    <w:rsid w:val="00333297"/>
    <w:rsid w:val="00334B63"/>
    <w:rsid w:val="00334C09"/>
    <w:rsid w:val="00335769"/>
    <w:rsid w:val="003360C8"/>
    <w:rsid w:val="003377D3"/>
    <w:rsid w:val="00354E47"/>
    <w:rsid w:val="00357C1E"/>
    <w:rsid w:val="00365B41"/>
    <w:rsid w:val="003723D4"/>
    <w:rsid w:val="00374D44"/>
    <w:rsid w:val="003771C1"/>
    <w:rsid w:val="00383F4B"/>
    <w:rsid w:val="00384CC8"/>
    <w:rsid w:val="00385903"/>
    <w:rsid w:val="003869A4"/>
    <w:rsid w:val="003871FD"/>
    <w:rsid w:val="00396CC4"/>
    <w:rsid w:val="003A1E30"/>
    <w:rsid w:val="003A690B"/>
    <w:rsid w:val="003A6C19"/>
    <w:rsid w:val="003A7D1C"/>
    <w:rsid w:val="003B0763"/>
    <w:rsid w:val="003B0D37"/>
    <w:rsid w:val="003B304B"/>
    <w:rsid w:val="003B3146"/>
    <w:rsid w:val="003B4326"/>
    <w:rsid w:val="003B4711"/>
    <w:rsid w:val="003B606C"/>
    <w:rsid w:val="003B6DFE"/>
    <w:rsid w:val="003C0987"/>
    <w:rsid w:val="003C30B2"/>
    <w:rsid w:val="003C61A6"/>
    <w:rsid w:val="003D188D"/>
    <w:rsid w:val="003D2BD4"/>
    <w:rsid w:val="003D586B"/>
    <w:rsid w:val="003D7D57"/>
    <w:rsid w:val="003E170F"/>
    <w:rsid w:val="003E3F1A"/>
    <w:rsid w:val="003E4A7C"/>
    <w:rsid w:val="003F015E"/>
    <w:rsid w:val="003F3BD2"/>
    <w:rsid w:val="003F3D15"/>
    <w:rsid w:val="003F54C2"/>
    <w:rsid w:val="00400414"/>
    <w:rsid w:val="00402D5B"/>
    <w:rsid w:val="004047CB"/>
    <w:rsid w:val="00411B16"/>
    <w:rsid w:val="0041446B"/>
    <w:rsid w:val="004245BF"/>
    <w:rsid w:val="00425872"/>
    <w:rsid w:val="0042771F"/>
    <w:rsid w:val="00427F96"/>
    <w:rsid w:val="0043040C"/>
    <w:rsid w:val="00434FAE"/>
    <w:rsid w:val="00436DB7"/>
    <w:rsid w:val="004401B5"/>
    <w:rsid w:val="0044329C"/>
    <w:rsid w:val="00447D35"/>
    <w:rsid w:val="0045236A"/>
    <w:rsid w:val="004549DA"/>
    <w:rsid w:val="00455F12"/>
    <w:rsid w:val="004577FE"/>
    <w:rsid w:val="00457B9C"/>
    <w:rsid w:val="00460D44"/>
    <w:rsid w:val="0046164A"/>
    <w:rsid w:val="004628D2"/>
    <w:rsid w:val="00462DCD"/>
    <w:rsid w:val="004635A3"/>
    <w:rsid w:val="004648AD"/>
    <w:rsid w:val="004703A9"/>
    <w:rsid w:val="00470F15"/>
    <w:rsid w:val="00471152"/>
    <w:rsid w:val="00471F12"/>
    <w:rsid w:val="004722FD"/>
    <w:rsid w:val="00475D1B"/>
    <w:rsid w:val="004760DE"/>
    <w:rsid w:val="00480951"/>
    <w:rsid w:val="00486A12"/>
    <w:rsid w:val="004903C0"/>
    <w:rsid w:val="00494C28"/>
    <w:rsid w:val="004950BF"/>
    <w:rsid w:val="004A004E"/>
    <w:rsid w:val="004A24CF"/>
    <w:rsid w:val="004A25C9"/>
    <w:rsid w:val="004A5D0C"/>
    <w:rsid w:val="004B0830"/>
    <w:rsid w:val="004B0987"/>
    <w:rsid w:val="004B16FF"/>
    <w:rsid w:val="004B230F"/>
    <w:rsid w:val="004B3F0E"/>
    <w:rsid w:val="004B4F1D"/>
    <w:rsid w:val="004B5FAC"/>
    <w:rsid w:val="004C20F2"/>
    <w:rsid w:val="004C24D1"/>
    <w:rsid w:val="004C3D1D"/>
    <w:rsid w:val="004C7913"/>
    <w:rsid w:val="004D0654"/>
    <w:rsid w:val="004D0A6A"/>
    <w:rsid w:val="004D3111"/>
    <w:rsid w:val="004E4DD6"/>
    <w:rsid w:val="004F0F13"/>
    <w:rsid w:val="004F4929"/>
    <w:rsid w:val="004F5E36"/>
    <w:rsid w:val="004F5EA1"/>
    <w:rsid w:val="005036B8"/>
    <w:rsid w:val="0050492A"/>
    <w:rsid w:val="00507268"/>
    <w:rsid w:val="00507B47"/>
    <w:rsid w:val="00507CC9"/>
    <w:rsid w:val="005119A5"/>
    <w:rsid w:val="00511AA7"/>
    <w:rsid w:val="0051201B"/>
    <w:rsid w:val="00512FDC"/>
    <w:rsid w:val="0051393B"/>
    <w:rsid w:val="00516D93"/>
    <w:rsid w:val="00517EAD"/>
    <w:rsid w:val="005203E1"/>
    <w:rsid w:val="00524393"/>
    <w:rsid w:val="00524A37"/>
    <w:rsid w:val="005278B7"/>
    <w:rsid w:val="00530B12"/>
    <w:rsid w:val="00532016"/>
    <w:rsid w:val="005332D3"/>
    <w:rsid w:val="005346C8"/>
    <w:rsid w:val="005356FB"/>
    <w:rsid w:val="00536B35"/>
    <w:rsid w:val="00543E7D"/>
    <w:rsid w:val="00543F9E"/>
    <w:rsid w:val="005440B9"/>
    <w:rsid w:val="005459B1"/>
    <w:rsid w:val="00547A68"/>
    <w:rsid w:val="005520DB"/>
    <w:rsid w:val="005531C9"/>
    <w:rsid w:val="005550CA"/>
    <w:rsid w:val="0055519C"/>
    <w:rsid w:val="00557E6C"/>
    <w:rsid w:val="00561A9C"/>
    <w:rsid w:val="00563A89"/>
    <w:rsid w:val="00565141"/>
    <w:rsid w:val="005674DB"/>
    <w:rsid w:val="00574C06"/>
    <w:rsid w:val="00576D74"/>
    <w:rsid w:val="00581925"/>
    <w:rsid w:val="00581F1C"/>
    <w:rsid w:val="00582824"/>
    <w:rsid w:val="00584CD8"/>
    <w:rsid w:val="00585643"/>
    <w:rsid w:val="0058569A"/>
    <w:rsid w:val="00593DE6"/>
    <w:rsid w:val="0059437A"/>
    <w:rsid w:val="005A3D65"/>
    <w:rsid w:val="005A3E9C"/>
    <w:rsid w:val="005A4F1F"/>
    <w:rsid w:val="005A5C3B"/>
    <w:rsid w:val="005B2110"/>
    <w:rsid w:val="005B3F75"/>
    <w:rsid w:val="005B4923"/>
    <w:rsid w:val="005B61E6"/>
    <w:rsid w:val="005B7344"/>
    <w:rsid w:val="005C1FE4"/>
    <w:rsid w:val="005C3284"/>
    <w:rsid w:val="005C58B4"/>
    <w:rsid w:val="005C6AC1"/>
    <w:rsid w:val="005C77E1"/>
    <w:rsid w:val="005D11B0"/>
    <w:rsid w:val="005D6047"/>
    <w:rsid w:val="005D6A2F"/>
    <w:rsid w:val="005E1A82"/>
    <w:rsid w:val="005E4C98"/>
    <w:rsid w:val="005E50D3"/>
    <w:rsid w:val="005E794C"/>
    <w:rsid w:val="005F0A28"/>
    <w:rsid w:val="005F0E5E"/>
    <w:rsid w:val="005F615E"/>
    <w:rsid w:val="00600535"/>
    <w:rsid w:val="0060399F"/>
    <w:rsid w:val="00610CD6"/>
    <w:rsid w:val="00611EC7"/>
    <w:rsid w:val="00620C11"/>
    <w:rsid w:val="00620DEE"/>
    <w:rsid w:val="00621E04"/>
    <w:rsid w:val="00621F92"/>
    <w:rsid w:val="006242B9"/>
    <w:rsid w:val="00625639"/>
    <w:rsid w:val="006263ED"/>
    <w:rsid w:val="0063183C"/>
    <w:rsid w:val="00631B33"/>
    <w:rsid w:val="0064184D"/>
    <w:rsid w:val="006422AD"/>
    <w:rsid w:val="006436CC"/>
    <w:rsid w:val="00647DF9"/>
    <w:rsid w:val="00651015"/>
    <w:rsid w:val="00652F68"/>
    <w:rsid w:val="006533F8"/>
    <w:rsid w:val="00655FE7"/>
    <w:rsid w:val="006562CE"/>
    <w:rsid w:val="00660DE0"/>
    <w:rsid w:val="00660E3E"/>
    <w:rsid w:val="00662E74"/>
    <w:rsid w:val="006651E6"/>
    <w:rsid w:val="006652A6"/>
    <w:rsid w:val="00666033"/>
    <w:rsid w:val="00670389"/>
    <w:rsid w:val="00670509"/>
    <w:rsid w:val="006736EA"/>
    <w:rsid w:val="00676D5D"/>
    <w:rsid w:val="00680C23"/>
    <w:rsid w:val="0068401A"/>
    <w:rsid w:val="00693766"/>
    <w:rsid w:val="00696C46"/>
    <w:rsid w:val="006A04D8"/>
    <w:rsid w:val="006A3281"/>
    <w:rsid w:val="006A3A72"/>
    <w:rsid w:val="006A6559"/>
    <w:rsid w:val="006B126A"/>
    <w:rsid w:val="006B4888"/>
    <w:rsid w:val="006B62A5"/>
    <w:rsid w:val="006B68E3"/>
    <w:rsid w:val="006C2E45"/>
    <w:rsid w:val="006C3260"/>
    <w:rsid w:val="006C359C"/>
    <w:rsid w:val="006C5579"/>
    <w:rsid w:val="006C652C"/>
    <w:rsid w:val="006D3DFE"/>
    <w:rsid w:val="006D4484"/>
    <w:rsid w:val="006D606D"/>
    <w:rsid w:val="006E2420"/>
    <w:rsid w:val="006E2A49"/>
    <w:rsid w:val="006E737D"/>
    <w:rsid w:val="006F0AE9"/>
    <w:rsid w:val="006F21C5"/>
    <w:rsid w:val="006F2B88"/>
    <w:rsid w:val="006F6952"/>
    <w:rsid w:val="007033C8"/>
    <w:rsid w:val="007037D9"/>
    <w:rsid w:val="00704203"/>
    <w:rsid w:val="00705A47"/>
    <w:rsid w:val="007108E7"/>
    <w:rsid w:val="007111E7"/>
    <w:rsid w:val="007162B0"/>
    <w:rsid w:val="00720A24"/>
    <w:rsid w:val="00724A82"/>
    <w:rsid w:val="007250AB"/>
    <w:rsid w:val="00726BCC"/>
    <w:rsid w:val="00732386"/>
    <w:rsid w:val="0073239A"/>
    <w:rsid w:val="00735D74"/>
    <w:rsid w:val="00735DA0"/>
    <w:rsid w:val="00740E39"/>
    <w:rsid w:val="00744239"/>
    <w:rsid w:val="007447F3"/>
    <w:rsid w:val="007458B4"/>
    <w:rsid w:val="00750985"/>
    <w:rsid w:val="0075499F"/>
    <w:rsid w:val="0075634D"/>
    <w:rsid w:val="00757388"/>
    <w:rsid w:val="00764788"/>
    <w:rsid w:val="00764A83"/>
    <w:rsid w:val="007661C8"/>
    <w:rsid w:val="0077098D"/>
    <w:rsid w:val="00773317"/>
    <w:rsid w:val="0077406B"/>
    <w:rsid w:val="00776441"/>
    <w:rsid w:val="00776537"/>
    <w:rsid w:val="00777D87"/>
    <w:rsid w:val="00785846"/>
    <w:rsid w:val="00786B21"/>
    <w:rsid w:val="007924C8"/>
    <w:rsid w:val="007A7BBA"/>
    <w:rsid w:val="007B0AEC"/>
    <w:rsid w:val="007B0C50"/>
    <w:rsid w:val="007B4C4E"/>
    <w:rsid w:val="007B7F40"/>
    <w:rsid w:val="007C1846"/>
    <w:rsid w:val="007C1A43"/>
    <w:rsid w:val="007D7002"/>
    <w:rsid w:val="007E4E04"/>
    <w:rsid w:val="007F257E"/>
    <w:rsid w:val="007F35CC"/>
    <w:rsid w:val="007F52B0"/>
    <w:rsid w:val="0080006C"/>
    <w:rsid w:val="00801ED8"/>
    <w:rsid w:val="008044F5"/>
    <w:rsid w:val="0080521D"/>
    <w:rsid w:val="00805EE7"/>
    <w:rsid w:val="00807D52"/>
    <w:rsid w:val="00812410"/>
    <w:rsid w:val="00813209"/>
    <w:rsid w:val="00813288"/>
    <w:rsid w:val="008168FC"/>
    <w:rsid w:val="00823B24"/>
    <w:rsid w:val="00823E54"/>
    <w:rsid w:val="00825EB2"/>
    <w:rsid w:val="008263CB"/>
    <w:rsid w:val="00827C84"/>
    <w:rsid w:val="00830996"/>
    <w:rsid w:val="00833F46"/>
    <w:rsid w:val="008345F1"/>
    <w:rsid w:val="0083474F"/>
    <w:rsid w:val="00834A59"/>
    <w:rsid w:val="00836BD2"/>
    <w:rsid w:val="008371EB"/>
    <w:rsid w:val="008417C2"/>
    <w:rsid w:val="0084537E"/>
    <w:rsid w:val="00846154"/>
    <w:rsid w:val="00854425"/>
    <w:rsid w:val="00856B86"/>
    <w:rsid w:val="00856C1E"/>
    <w:rsid w:val="008608A4"/>
    <w:rsid w:val="00865B07"/>
    <w:rsid w:val="00865DC8"/>
    <w:rsid w:val="008667EA"/>
    <w:rsid w:val="0086778E"/>
    <w:rsid w:val="00871833"/>
    <w:rsid w:val="00871B04"/>
    <w:rsid w:val="008723C2"/>
    <w:rsid w:val="00873D28"/>
    <w:rsid w:val="00873D70"/>
    <w:rsid w:val="0087637F"/>
    <w:rsid w:val="0087738E"/>
    <w:rsid w:val="00890231"/>
    <w:rsid w:val="0089135A"/>
    <w:rsid w:val="00892649"/>
    <w:rsid w:val="00892AD5"/>
    <w:rsid w:val="008952D0"/>
    <w:rsid w:val="008A1512"/>
    <w:rsid w:val="008A29B3"/>
    <w:rsid w:val="008A2B60"/>
    <w:rsid w:val="008A3E30"/>
    <w:rsid w:val="008B0267"/>
    <w:rsid w:val="008B03DD"/>
    <w:rsid w:val="008B086D"/>
    <w:rsid w:val="008B0E49"/>
    <w:rsid w:val="008B50F9"/>
    <w:rsid w:val="008C0635"/>
    <w:rsid w:val="008C0927"/>
    <w:rsid w:val="008C11CB"/>
    <w:rsid w:val="008C19E9"/>
    <w:rsid w:val="008C2054"/>
    <w:rsid w:val="008C5A07"/>
    <w:rsid w:val="008C78B6"/>
    <w:rsid w:val="008D0F4A"/>
    <w:rsid w:val="008D1466"/>
    <w:rsid w:val="008D433B"/>
    <w:rsid w:val="008D51D6"/>
    <w:rsid w:val="008D5B54"/>
    <w:rsid w:val="008E2A14"/>
    <w:rsid w:val="008E566E"/>
    <w:rsid w:val="008F2B88"/>
    <w:rsid w:val="0090161A"/>
    <w:rsid w:val="00901EB6"/>
    <w:rsid w:val="009020B6"/>
    <w:rsid w:val="00904C62"/>
    <w:rsid w:val="00905EDA"/>
    <w:rsid w:val="00906BA3"/>
    <w:rsid w:val="009100FE"/>
    <w:rsid w:val="009148DB"/>
    <w:rsid w:val="00917480"/>
    <w:rsid w:val="00920631"/>
    <w:rsid w:val="0092184B"/>
    <w:rsid w:val="009249BE"/>
    <w:rsid w:val="00924DAC"/>
    <w:rsid w:val="00924FC0"/>
    <w:rsid w:val="00927058"/>
    <w:rsid w:val="0092770A"/>
    <w:rsid w:val="00934CC1"/>
    <w:rsid w:val="00937439"/>
    <w:rsid w:val="009418D7"/>
    <w:rsid w:val="00944F9A"/>
    <w:rsid w:val="009450CE"/>
    <w:rsid w:val="00947179"/>
    <w:rsid w:val="0095164B"/>
    <w:rsid w:val="00954090"/>
    <w:rsid w:val="00954CE8"/>
    <w:rsid w:val="00955A6C"/>
    <w:rsid w:val="009573E7"/>
    <w:rsid w:val="0096044D"/>
    <w:rsid w:val="00960766"/>
    <w:rsid w:val="0096366B"/>
    <w:rsid w:val="00963E05"/>
    <w:rsid w:val="0096488F"/>
    <w:rsid w:val="00967D54"/>
    <w:rsid w:val="00971529"/>
    <w:rsid w:val="009720B0"/>
    <w:rsid w:val="009721A5"/>
    <w:rsid w:val="0097406E"/>
    <w:rsid w:val="00976811"/>
    <w:rsid w:val="00977704"/>
    <w:rsid w:val="009829B8"/>
    <w:rsid w:val="00991CFF"/>
    <w:rsid w:val="0099260E"/>
    <w:rsid w:val="0099348F"/>
    <w:rsid w:val="00996483"/>
    <w:rsid w:val="00996F5A"/>
    <w:rsid w:val="00997736"/>
    <w:rsid w:val="00997878"/>
    <w:rsid w:val="009A1412"/>
    <w:rsid w:val="009A3A18"/>
    <w:rsid w:val="009A5B62"/>
    <w:rsid w:val="009B041A"/>
    <w:rsid w:val="009B2136"/>
    <w:rsid w:val="009B465C"/>
    <w:rsid w:val="009C039F"/>
    <w:rsid w:val="009C0C34"/>
    <w:rsid w:val="009C21C3"/>
    <w:rsid w:val="009C68F3"/>
    <w:rsid w:val="009C7469"/>
    <w:rsid w:val="009C7C86"/>
    <w:rsid w:val="009C7F65"/>
    <w:rsid w:val="009D2FF7"/>
    <w:rsid w:val="009D34F3"/>
    <w:rsid w:val="009D6D95"/>
    <w:rsid w:val="009E195D"/>
    <w:rsid w:val="009E3494"/>
    <w:rsid w:val="009E5602"/>
    <w:rsid w:val="009E76CE"/>
    <w:rsid w:val="009E7884"/>
    <w:rsid w:val="009E788A"/>
    <w:rsid w:val="009F0E08"/>
    <w:rsid w:val="009F3110"/>
    <w:rsid w:val="009F3258"/>
    <w:rsid w:val="009F3975"/>
    <w:rsid w:val="009F3D87"/>
    <w:rsid w:val="009F7F64"/>
    <w:rsid w:val="00A018BC"/>
    <w:rsid w:val="00A071A5"/>
    <w:rsid w:val="00A1187D"/>
    <w:rsid w:val="00A12BE5"/>
    <w:rsid w:val="00A15CCD"/>
    <w:rsid w:val="00A1763D"/>
    <w:rsid w:val="00A17BDC"/>
    <w:rsid w:val="00A17CEC"/>
    <w:rsid w:val="00A22CAA"/>
    <w:rsid w:val="00A27EF0"/>
    <w:rsid w:val="00A34F0E"/>
    <w:rsid w:val="00A3533C"/>
    <w:rsid w:val="00A35D3C"/>
    <w:rsid w:val="00A416AB"/>
    <w:rsid w:val="00A423BF"/>
    <w:rsid w:val="00A425BD"/>
    <w:rsid w:val="00A435D1"/>
    <w:rsid w:val="00A45323"/>
    <w:rsid w:val="00A50B20"/>
    <w:rsid w:val="00A51390"/>
    <w:rsid w:val="00A60D13"/>
    <w:rsid w:val="00A61F4E"/>
    <w:rsid w:val="00A63D91"/>
    <w:rsid w:val="00A65FAA"/>
    <w:rsid w:val="00A663D5"/>
    <w:rsid w:val="00A7153C"/>
    <w:rsid w:val="00A72745"/>
    <w:rsid w:val="00A72792"/>
    <w:rsid w:val="00A73A34"/>
    <w:rsid w:val="00A76EFC"/>
    <w:rsid w:val="00A81CBB"/>
    <w:rsid w:val="00A82AEE"/>
    <w:rsid w:val="00A82C68"/>
    <w:rsid w:val="00A8353A"/>
    <w:rsid w:val="00A85E7E"/>
    <w:rsid w:val="00A86642"/>
    <w:rsid w:val="00A90105"/>
    <w:rsid w:val="00A91010"/>
    <w:rsid w:val="00A92C92"/>
    <w:rsid w:val="00A92EAC"/>
    <w:rsid w:val="00A97190"/>
    <w:rsid w:val="00A97F29"/>
    <w:rsid w:val="00AA1851"/>
    <w:rsid w:val="00AA1DC8"/>
    <w:rsid w:val="00AA702E"/>
    <w:rsid w:val="00AB0964"/>
    <w:rsid w:val="00AB5011"/>
    <w:rsid w:val="00AC0D02"/>
    <w:rsid w:val="00AC1F5A"/>
    <w:rsid w:val="00AC325B"/>
    <w:rsid w:val="00AC4710"/>
    <w:rsid w:val="00AC627C"/>
    <w:rsid w:val="00AC7368"/>
    <w:rsid w:val="00AC7B3E"/>
    <w:rsid w:val="00AC7FE6"/>
    <w:rsid w:val="00AD0C46"/>
    <w:rsid w:val="00AD16B9"/>
    <w:rsid w:val="00AD1B49"/>
    <w:rsid w:val="00AD32F4"/>
    <w:rsid w:val="00AD3C3C"/>
    <w:rsid w:val="00AD4571"/>
    <w:rsid w:val="00AD523A"/>
    <w:rsid w:val="00AD7E51"/>
    <w:rsid w:val="00AD7EA2"/>
    <w:rsid w:val="00AE0144"/>
    <w:rsid w:val="00AE0E41"/>
    <w:rsid w:val="00AE377D"/>
    <w:rsid w:val="00AE3A2C"/>
    <w:rsid w:val="00AE584F"/>
    <w:rsid w:val="00AE6F02"/>
    <w:rsid w:val="00AF192D"/>
    <w:rsid w:val="00AF538A"/>
    <w:rsid w:val="00B000A7"/>
    <w:rsid w:val="00B0291F"/>
    <w:rsid w:val="00B02E3F"/>
    <w:rsid w:val="00B137DC"/>
    <w:rsid w:val="00B13BB0"/>
    <w:rsid w:val="00B16029"/>
    <w:rsid w:val="00B17645"/>
    <w:rsid w:val="00B17FBD"/>
    <w:rsid w:val="00B22F6D"/>
    <w:rsid w:val="00B237C0"/>
    <w:rsid w:val="00B24A91"/>
    <w:rsid w:val="00B30083"/>
    <w:rsid w:val="00B315A6"/>
    <w:rsid w:val="00B31813"/>
    <w:rsid w:val="00B33365"/>
    <w:rsid w:val="00B33436"/>
    <w:rsid w:val="00B34D5F"/>
    <w:rsid w:val="00B351AB"/>
    <w:rsid w:val="00B35A63"/>
    <w:rsid w:val="00B36630"/>
    <w:rsid w:val="00B36F21"/>
    <w:rsid w:val="00B40D28"/>
    <w:rsid w:val="00B512E5"/>
    <w:rsid w:val="00B53F4E"/>
    <w:rsid w:val="00B55B1C"/>
    <w:rsid w:val="00B57B36"/>
    <w:rsid w:val="00B57C00"/>
    <w:rsid w:val="00B602A1"/>
    <w:rsid w:val="00B607EE"/>
    <w:rsid w:val="00B650DC"/>
    <w:rsid w:val="00B65502"/>
    <w:rsid w:val="00B72D44"/>
    <w:rsid w:val="00B74789"/>
    <w:rsid w:val="00B8058D"/>
    <w:rsid w:val="00B83F58"/>
    <w:rsid w:val="00B84E04"/>
    <w:rsid w:val="00B858FF"/>
    <w:rsid w:val="00B8686D"/>
    <w:rsid w:val="00B86DCD"/>
    <w:rsid w:val="00B90535"/>
    <w:rsid w:val="00B91E66"/>
    <w:rsid w:val="00BA0D9B"/>
    <w:rsid w:val="00BA16C9"/>
    <w:rsid w:val="00BA2E78"/>
    <w:rsid w:val="00BB2468"/>
    <w:rsid w:val="00BB3EEF"/>
    <w:rsid w:val="00BB6798"/>
    <w:rsid w:val="00BC2250"/>
    <w:rsid w:val="00BC2A82"/>
    <w:rsid w:val="00BC30C9"/>
    <w:rsid w:val="00BD04DA"/>
    <w:rsid w:val="00BD72AD"/>
    <w:rsid w:val="00BE15E9"/>
    <w:rsid w:val="00BE2B15"/>
    <w:rsid w:val="00BE3E58"/>
    <w:rsid w:val="00BE767B"/>
    <w:rsid w:val="00BF2E07"/>
    <w:rsid w:val="00C00E97"/>
    <w:rsid w:val="00C01616"/>
    <w:rsid w:val="00C0162B"/>
    <w:rsid w:val="00C067FE"/>
    <w:rsid w:val="00C11727"/>
    <w:rsid w:val="00C13F8D"/>
    <w:rsid w:val="00C20DC0"/>
    <w:rsid w:val="00C214ED"/>
    <w:rsid w:val="00C2454D"/>
    <w:rsid w:val="00C262E8"/>
    <w:rsid w:val="00C265DE"/>
    <w:rsid w:val="00C26FF9"/>
    <w:rsid w:val="00C30383"/>
    <w:rsid w:val="00C30FD4"/>
    <w:rsid w:val="00C310C2"/>
    <w:rsid w:val="00C31BF8"/>
    <w:rsid w:val="00C32945"/>
    <w:rsid w:val="00C345B1"/>
    <w:rsid w:val="00C34E1F"/>
    <w:rsid w:val="00C40142"/>
    <w:rsid w:val="00C40BD6"/>
    <w:rsid w:val="00C410D5"/>
    <w:rsid w:val="00C412B9"/>
    <w:rsid w:val="00C4332E"/>
    <w:rsid w:val="00C44D7A"/>
    <w:rsid w:val="00C466E0"/>
    <w:rsid w:val="00C4753F"/>
    <w:rsid w:val="00C50055"/>
    <w:rsid w:val="00C50C74"/>
    <w:rsid w:val="00C56509"/>
    <w:rsid w:val="00C57182"/>
    <w:rsid w:val="00C57556"/>
    <w:rsid w:val="00C57863"/>
    <w:rsid w:val="00C617F1"/>
    <w:rsid w:val="00C655FD"/>
    <w:rsid w:val="00C65807"/>
    <w:rsid w:val="00C66732"/>
    <w:rsid w:val="00C66F65"/>
    <w:rsid w:val="00C71FB5"/>
    <w:rsid w:val="00C8420B"/>
    <w:rsid w:val="00C84CB4"/>
    <w:rsid w:val="00C870A8"/>
    <w:rsid w:val="00C94434"/>
    <w:rsid w:val="00C954EA"/>
    <w:rsid w:val="00C96019"/>
    <w:rsid w:val="00C96178"/>
    <w:rsid w:val="00CA0D75"/>
    <w:rsid w:val="00CA12CD"/>
    <w:rsid w:val="00CA1C95"/>
    <w:rsid w:val="00CA5A9C"/>
    <w:rsid w:val="00CA5ADF"/>
    <w:rsid w:val="00CB02BC"/>
    <w:rsid w:val="00CC504A"/>
    <w:rsid w:val="00CD2926"/>
    <w:rsid w:val="00CD3998"/>
    <w:rsid w:val="00CD5BD3"/>
    <w:rsid w:val="00CD5FE2"/>
    <w:rsid w:val="00CD7AC3"/>
    <w:rsid w:val="00CE7C68"/>
    <w:rsid w:val="00CF27F0"/>
    <w:rsid w:val="00CF7D62"/>
    <w:rsid w:val="00D02B4C"/>
    <w:rsid w:val="00D040C4"/>
    <w:rsid w:val="00D1295C"/>
    <w:rsid w:val="00D13D1A"/>
    <w:rsid w:val="00D14294"/>
    <w:rsid w:val="00D1530E"/>
    <w:rsid w:val="00D16CF4"/>
    <w:rsid w:val="00D17BE7"/>
    <w:rsid w:val="00D262F9"/>
    <w:rsid w:val="00D26A58"/>
    <w:rsid w:val="00D31C1C"/>
    <w:rsid w:val="00D328DB"/>
    <w:rsid w:val="00D3444E"/>
    <w:rsid w:val="00D34F09"/>
    <w:rsid w:val="00D366F0"/>
    <w:rsid w:val="00D4495C"/>
    <w:rsid w:val="00D50CF0"/>
    <w:rsid w:val="00D524C3"/>
    <w:rsid w:val="00D5787A"/>
    <w:rsid w:val="00D57C84"/>
    <w:rsid w:val="00D6057D"/>
    <w:rsid w:val="00D63249"/>
    <w:rsid w:val="00D645E7"/>
    <w:rsid w:val="00D64B19"/>
    <w:rsid w:val="00D66A44"/>
    <w:rsid w:val="00D67FD8"/>
    <w:rsid w:val="00D7191E"/>
    <w:rsid w:val="00D74997"/>
    <w:rsid w:val="00D8087D"/>
    <w:rsid w:val="00D82521"/>
    <w:rsid w:val="00D84576"/>
    <w:rsid w:val="00D8787F"/>
    <w:rsid w:val="00D91FA9"/>
    <w:rsid w:val="00D93A4C"/>
    <w:rsid w:val="00D93F6F"/>
    <w:rsid w:val="00D97348"/>
    <w:rsid w:val="00DA1399"/>
    <w:rsid w:val="00DA24C6"/>
    <w:rsid w:val="00DA2A79"/>
    <w:rsid w:val="00DA42A6"/>
    <w:rsid w:val="00DA47EB"/>
    <w:rsid w:val="00DA4C7C"/>
    <w:rsid w:val="00DA4D7B"/>
    <w:rsid w:val="00DA51F9"/>
    <w:rsid w:val="00DA65A9"/>
    <w:rsid w:val="00DA76A9"/>
    <w:rsid w:val="00DB13BE"/>
    <w:rsid w:val="00DC21AC"/>
    <w:rsid w:val="00DC28D5"/>
    <w:rsid w:val="00DC42F2"/>
    <w:rsid w:val="00DC4971"/>
    <w:rsid w:val="00DC5766"/>
    <w:rsid w:val="00DD59A4"/>
    <w:rsid w:val="00DD6680"/>
    <w:rsid w:val="00DE09F0"/>
    <w:rsid w:val="00DE264A"/>
    <w:rsid w:val="00DE3152"/>
    <w:rsid w:val="00DE4C48"/>
    <w:rsid w:val="00DF0950"/>
    <w:rsid w:val="00DF5328"/>
    <w:rsid w:val="00DF616F"/>
    <w:rsid w:val="00E00E99"/>
    <w:rsid w:val="00E02365"/>
    <w:rsid w:val="00E02D18"/>
    <w:rsid w:val="00E041E7"/>
    <w:rsid w:val="00E04340"/>
    <w:rsid w:val="00E044A2"/>
    <w:rsid w:val="00E0494D"/>
    <w:rsid w:val="00E0735D"/>
    <w:rsid w:val="00E1060B"/>
    <w:rsid w:val="00E11F66"/>
    <w:rsid w:val="00E14CA7"/>
    <w:rsid w:val="00E1541B"/>
    <w:rsid w:val="00E20A93"/>
    <w:rsid w:val="00E21FC4"/>
    <w:rsid w:val="00E22E5A"/>
    <w:rsid w:val="00E23CA1"/>
    <w:rsid w:val="00E25519"/>
    <w:rsid w:val="00E25630"/>
    <w:rsid w:val="00E27113"/>
    <w:rsid w:val="00E3213B"/>
    <w:rsid w:val="00E32496"/>
    <w:rsid w:val="00E36D65"/>
    <w:rsid w:val="00E40613"/>
    <w:rsid w:val="00E409A8"/>
    <w:rsid w:val="00E417BB"/>
    <w:rsid w:val="00E503D2"/>
    <w:rsid w:val="00E50C12"/>
    <w:rsid w:val="00E51039"/>
    <w:rsid w:val="00E520F7"/>
    <w:rsid w:val="00E52EAB"/>
    <w:rsid w:val="00E54207"/>
    <w:rsid w:val="00E54FEA"/>
    <w:rsid w:val="00E56B7F"/>
    <w:rsid w:val="00E62B5B"/>
    <w:rsid w:val="00E64A17"/>
    <w:rsid w:val="00E6505A"/>
    <w:rsid w:val="00E65B91"/>
    <w:rsid w:val="00E65E9B"/>
    <w:rsid w:val="00E66CE1"/>
    <w:rsid w:val="00E7209D"/>
    <w:rsid w:val="00E736CF"/>
    <w:rsid w:val="00E75F0C"/>
    <w:rsid w:val="00E77223"/>
    <w:rsid w:val="00E81B54"/>
    <w:rsid w:val="00E82E2F"/>
    <w:rsid w:val="00E83CC9"/>
    <w:rsid w:val="00E8516C"/>
    <w:rsid w:val="00E8528B"/>
    <w:rsid w:val="00E85911"/>
    <w:rsid w:val="00E85B94"/>
    <w:rsid w:val="00E906AA"/>
    <w:rsid w:val="00E924CA"/>
    <w:rsid w:val="00E94C06"/>
    <w:rsid w:val="00E97357"/>
    <w:rsid w:val="00E978D0"/>
    <w:rsid w:val="00EA2096"/>
    <w:rsid w:val="00EA24FE"/>
    <w:rsid w:val="00EA4613"/>
    <w:rsid w:val="00EA7881"/>
    <w:rsid w:val="00EA7F91"/>
    <w:rsid w:val="00EB1523"/>
    <w:rsid w:val="00EB1898"/>
    <w:rsid w:val="00EB4730"/>
    <w:rsid w:val="00EB516E"/>
    <w:rsid w:val="00EB74A7"/>
    <w:rsid w:val="00EC0E49"/>
    <w:rsid w:val="00EC16EB"/>
    <w:rsid w:val="00EC1EAC"/>
    <w:rsid w:val="00EC3BF7"/>
    <w:rsid w:val="00EC4E39"/>
    <w:rsid w:val="00EC6199"/>
    <w:rsid w:val="00EC664E"/>
    <w:rsid w:val="00EC7B89"/>
    <w:rsid w:val="00ED5663"/>
    <w:rsid w:val="00ED5A2F"/>
    <w:rsid w:val="00EE0131"/>
    <w:rsid w:val="00EE1727"/>
    <w:rsid w:val="00EF10A9"/>
    <w:rsid w:val="00EF2394"/>
    <w:rsid w:val="00EF277E"/>
    <w:rsid w:val="00EF3247"/>
    <w:rsid w:val="00F12579"/>
    <w:rsid w:val="00F2432C"/>
    <w:rsid w:val="00F25954"/>
    <w:rsid w:val="00F30C64"/>
    <w:rsid w:val="00F32CDB"/>
    <w:rsid w:val="00F348B8"/>
    <w:rsid w:val="00F3517C"/>
    <w:rsid w:val="00F36B4D"/>
    <w:rsid w:val="00F4100C"/>
    <w:rsid w:val="00F44643"/>
    <w:rsid w:val="00F47811"/>
    <w:rsid w:val="00F522C3"/>
    <w:rsid w:val="00F618C2"/>
    <w:rsid w:val="00F63A70"/>
    <w:rsid w:val="00F708D3"/>
    <w:rsid w:val="00F71218"/>
    <w:rsid w:val="00F747DC"/>
    <w:rsid w:val="00F806B9"/>
    <w:rsid w:val="00F8264E"/>
    <w:rsid w:val="00F84588"/>
    <w:rsid w:val="00F85710"/>
    <w:rsid w:val="00F94057"/>
    <w:rsid w:val="00FA0D86"/>
    <w:rsid w:val="00FA21D0"/>
    <w:rsid w:val="00FA5F5F"/>
    <w:rsid w:val="00FA71E9"/>
    <w:rsid w:val="00FB25A6"/>
    <w:rsid w:val="00FB2868"/>
    <w:rsid w:val="00FB43FC"/>
    <w:rsid w:val="00FB730C"/>
    <w:rsid w:val="00FB78C2"/>
    <w:rsid w:val="00FB7BA1"/>
    <w:rsid w:val="00FC2695"/>
    <w:rsid w:val="00FC3558"/>
    <w:rsid w:val="00FC3E03"/>
    <w:rsid w:val="00FC3FC1"/>
    <w:rsid w:val="00FD01FC"/>
    <w:rsid w:val="00FD2782"/>
    <w:rsid w:val="00FD4291"/>
    <w:rsid w:val="00FE0F93"/>
    <w:rsid w:val="00FE1046"/>
    <w:rsid w:val="00FE2111"/>
    <w:rsid w:val="00FE480D"/>
    <w:rsid w:val="00FE58B5"/>
    <w:rsid w:val="00FE7AC3"/>
    <w:rsid w:val="00FF350D"/>
    <w:rsid w:val="00FF458A"/>
    <w:rsid w:val="00FF680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4E82E8B0-245C-4303-BBCC-FABD8B7B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455F12"/>
    <w:pPr>
      <w:tabs>
        <w:tab w:val="right" w:pos="7100"/>
      </w:tabs>
      <w:spacing w:after="0" w:line="264" w:lineRule="auto"/>
      <w:jc w:val="both"/>
    </w:pPr>
    <w:rPr>
      <w:rFonts w:ascii="Arial" w:eastAsia="Times New Roman" w:hAnsi="Arial" w:cs="Times New Roman"/>
      <w:sz w:val="18"/>
      <w:szCs w:val="20"/>
      <w:lang w:val="en-GB"/>
    </w:rPr>
  </w:style>
  <w:style w:type="paragraph" w:customStyle="1" w:styleId="CETheadingx">
    <w:name w:val="CET headingx"/>
    <w:next w:val="CETBodytext"/>
    <w:link w:val="CETheadingxCarattere"/>
    <w:autoRedefine/>
    <w:qFormat/>
    <w:rsid w:val="00AA1DC8"/>
    <w:pPr>
      <w:keepNext/>
      <w:numPr>
        <w:ilvl w:val="2"/>
        <w:numId w:val="1"/>
      </w:numPr>
      <w:suppressAutoHyphens/>
      <w:spacing w:before="120" w:after="120" w:line="240" w:lineRule="auto"/>
    </w:pPr>
    <w:rPr>
      <w:rFonts w:ascii="Arial" w:eastAsia="Times New Roman" w:hAnsi="Arial" w:cs="Times New Roman"/>
      <w:b/>
      <w:sz w:val="18"/>
      <w:szCs w:val="20"/>
      <w:lang w:val="en-GB"/>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455F12"/>
    <w:rPr>
      <w:rFonts w:ascii="Arial" w:eastAsia="Times New Roman" w:hAnsi="Arial" w:cs="Times New Roman"/>
      <w:sz w:val="18"/>
      <w:szCs w:val="20"/>
      <w:lang w:val="en-GB"/>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AA1DC8"/>
    <w:rPr>
      <w:rFonts w:ascii="Arial" w:eastAsia="Times New Roman" w:hAnsi="Arial" w:cs="Times New Roman"/>
      <w:b/>
      <w:sz w:val="18"/>
      <w:szCs w:val="20"/>
      <w:lang w:val="en-GB"/>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C56509"/>
    <w:pPr>
      <w:tabs>
        <w:tab w:val="clear" w:pos="7100"/>
      </w:tabs>
      <w:spacing w:after="160" w:line="360" w:lineRule="auto"/>
      <w:contextualSpacing/>
    </w:pPr>
    <w:rPr>
      <w:rFonts w:ascii="Times New Roman" w:eastAsia="Calibri" w:hAnsi="Times New Roman"/>
      <w:sz w:val="24"/>
      <w:szCs w:val="24"/>
      <w:lang w:val="en-US"/>
    </w:rPr>
  </w:style>
  <w:style w:type="paragraph" w:styleId="Nessunaspaziatura">
    <w:name w:val="No Spacing"/>
    <w:uiPriority w:val="1"/>
    <w:qFormat/>
    <w:rsid w:val="00FE2111"/>
    <w:pPr>
      <w:tabs>
        <w:tab w:val="right" w:pos="7100"/>
      </w:tabs>
      <w:spacing w:after="0" w:line="240" w:lineRule="auto"/>
      <w:jc w:val="both"/>
    </w:pPr>
    <w:rPr>
      <w:rFonts w:ascii="Arial" w:eastAsia="Times New Roman" w:hAnsi="Arial" w:cs="Times New Roman"/>
      <w:sz w:val="18"/>
      <w:szCs w:val="20"/>
      <w:lang w:val="en-GB"/>
    </w:rPr>
  </w:style>
  <w:style w:type="paragraph" w:customStyle="1" w:styleId="Stile1">
    <w:name w:val="Stile1"/>
    <w:basedOn w:val="CETheadingx"/>
    <w:link w:val="Stile1Carattere"/>
    <w:rsid w:val="00C57556"/>
    <w:pPr>
      <w:numPr>
        <w:ilvl w:val="0"/>
        <w:numId w:val="26"/>
      </w:numPr>
    </w:pPr>
  </w:style>
  <w:style w:type="character" w:customStyle="1" w:styleId="Stile1Carattere">
    <w:name w:val="Stile1 Carattere"/>
    <w:basedOn w:val="CETheadingxCarattere"/>
    <w:link w:val="Stile1"/>
    <w:rsid w:val="00C57556"/>
    <w:rPr>
      <w:rFonts w:ascii="Arial" w:eastAsia="Times New Roman" w:hAnsi="Arial" w:cs="Times New Roman"/>
      <w:b/>
      <w:sz w:val="18"/>
      <w:szCs w:val="20"/>
      <w:lang w:val="en-GB"/>
    </w:rPr>
  </w:style>
  <w:style w:type="paragraph" w:customStyle="1" w:styleId="Stile2">
    <w:name w:val="Stile2"/>
    <w:basedOn w:val="CETheadingx"/>
    <w:link w:val="Stile2Carattere"/>
    <w:rsid w:val="00AA1DC8"/>
  </w:style>
  <w:style w:type="character" w:customStyle="1" w:styleId="Stile2Carattere">
    <w:name w:val="Stile2 Carattere"/>
    <w:basedOn w:val="CETheadingxCarattere"/>
    <w:link w:val="Stile2"/>
    <w:rsid w:val="00AA1DC8"/>
    <w:rPr>
      <w:rFonts w:ascii="Arial" w:eastAsia="Times New Roman" w:hAnsi="Arial" w:cs="Times New Roman"/>
      <w:b/>
      <w:sz w:val="18"/>
      <w:szCs w:val="20"/>
      <w:lang w:val="en-GB"/>
    </w:rPr>
  </w:style>
  <w:style w:type="paragraph" w:styleId="Revisione">
    <w:name w:val="Revision"/>
    <w:hidden/>
    <w:uiPriority w:val="99"/>
    <w:semiHidden/>
    <w:rsid w:val="00CA5ADF"/>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90576-EE85-410A-A3B6-1FA22416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6</Pages>
  <Words>7151</Words>
  <Characters>40765</Characters>
  <Application>Microsoft Office Word</Application>
  <DocSecurity>0</DocSecurity>
  <Lines>339</Lines>
  <Paragraphs>95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47821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Giacomo Domenico Scolieri</cp:lastModifiedBy>
  <cp:revision>16</cp:revision>
  <cp:lastPrinted>2015-05-12T18:31:00Z</cp:lastPrinted>
  <dcterms:created xsi:type="dcterms:W3CDTF">2022-07-13T07:48:00Z</dcterms:created>
  <dcterms:modified xsi:type="dcterms:W3CDTF">2022-07-22T09:15:00Z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Citation Style_1">
    <vt:lpwstr>http://www.zotero.org/styles/apa</vt:lpwstr>
  </property>
  <property fmtid="{D5CDD505-2E9C-101B-9397-08002B2CF9AE}" pid="26" name="Mendeley Unique User Id_1">
    <vt:lpwstr>b5eb034c-da89-33c7-a78c-da056ff3b402</vt:lpwstr>
  </property>
</Properties>
</file>