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jc w:val="center"/>
        <w:tblBorders>
          <w:bottom w:val="single" w:color="auto" w:sz="4" w:space="0"/>
        </w:tblBorders>
        <w:tblLook w:val="01E0" w:firstRow="1" w:lastRow="1" w:firstColumn="1" w:lastColumn="1" w:noHBand="0" w:noVBand="0"/>
      </w:tblPr>
      <w:tblGrid>
        <w:gridCol w:w="6940"/>
        <w:gridCol w:w="1842"/>
      </w:tblGrid>
      <w:tr w:rsidR="009D7D24" w14:paraId="4968150B" w14:textId="77777777">
        <w:trPr>
          <w:trHeight w:val="852"/>
          <w:jc w:val="center"/>
        </w:trPr>
        <w:tc>
          <w:tcPr>
            <w:tcW w:w="6940" w:type="dxa"/>
            <w:vMerge w:val="restart"/>
            <w:tcBorders>
              <w:right w:val="single" w:color="auto" w:sz="4" w:space="0"/>
            </w:tcBorders>
          </w:tcPr>
          <w:p w:rsidR="009D7D24" w:rsidRDefault="00C14E6F" w14:paraId="16410965" w14:textId="77777777">
            <w:pPr>
              <w:tabs>
                <w:tab w:val="left" w:pos="-108"/>
              </w:tabs>
              <w:ind w:left="-108"/>
              <w:jc w:val="left"/>
              <w:rPr>
                <w:rFonts w:cs="Arial"/>
                <w:b/>
                <w:bCs/>
                <w:i/>
                <w:iCs/>
                <w:color w:val="000066"/>
                <w:sz w:val="12"/>
                <w:szCs w:val="12"/>
                <w:lang w:eastAsia="it-IT"/>
              </w:rPr>
            </w:pPr>
            <w:r>
              <w:rPr>
                <w:rFonts w:ascii="AdvP6960" w:hAnsi="AdvP6960" w:cs="AdvP6960"/>
                <w:noProof/>
                <w:color w:val="241F20"/>
                <w:szCs w:val="18"/>
                <w:lang w:val="cs-CZ" w:eastAsia="cs-CZ"/>
              </w:rPr>
              <mc:AlternateContent>
                <mc:Choice Requires="wpg">
                  <w:drawing>
                    <wp:inline distT="0" distB="0" distL="0" distR="0" wp14:anchorId="6D49A7C6" wp14:editId="3DB64201">
                      <wp:extent cx="640080" cy="373380"/>
                      <wp:effectExtent l="0" t="0" r="7620" b="7620"/>
                      <wp:docPr id="1"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pic:cNvPicPr>
                            </pic:nvPicPr>
                            <pic:blipFill>
                              <a:blip r:embed="rId8"/>
                              <a:stretch/>
                            </pic:blipFill>
                            <pic:spPr bwMode="auto">
                              <a:xfrm>
                                <a:off x="0" y="0"/>
                                <a:ext cx="640080" cy="373380"/>
                              </a:xfrm>
                              <a:prstGeom prst="rect">
                                <a:avLst/>
                              </a:prstGeom>
                              <a:noFill/>
                              <a:ln>
                                <a:noFill/>
                              </a:ln>
                            </pic:spPr>
                          </pic:pic>
                        </a:graphicData>
                      </a:graphic>
                    </wp:inline>
                  </w:drawing>
                </mc:Choice>
                <mc:Fallback xmlns:a14="http://schemas.microsoft.com/office/drawing/2010/main" xmlns:pic="http://schemas.openxmlformats.org/drawingml/2006/picture" xmlns:a="http://schemas.openxmlformats.org/drawingml/2006/main">
                  <w:pict>
                    <v:shapetype coordsize="21600,21600" o:spt="75" o:preferrelative="t" path="m@4@5l@4@11@9@11@9@5xe" type="#_x0000_t75">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style="mso-wrap-distance-left:0.0pt;mso-wrap-distance-top:0.0pt;mso-wrap-distance-right:0.0pt;mso-wrap-distance-bottom:0.0pt;width:50.4pt;height:29.4pt;" o:spid="_x0000_s0" stroked="f" type="#_x0000_t75">
                      <v:path textboxrect="0,0,0,0"/>
                      <v:imagedata o:title="" r:id="rId10"/>
                    </v:shape>
                  </w:pict>
                </mc:Fallback>
              </mc:AlternateContent>
            </w:r>
            <w:r>
              <w:rPr>
                <w:rFonts w:ascii="AdvP6960" w:hAnsi="AdvP6960" w:cs="AdvP6960"/>
                <w:color w:val="241F20"/>
                <w:szCs w:val="18"/>
                <w:lang w:eastAsia="it-IT"/>
              </w:rPr>
              <w:t xml:space="preserve"> </w:t>
            </w:r>
            <w:r>
              <w:rPr>
                <w:rFonts w:cs="Arial"/>
                <w:b/>
                <w:bCs/>
                <w:i/>
                <w:iCs/>
                <w:color w:val="000066"/>
                <w:sz w:val="24"/>
                <w:szCs w:val="24"/>
                <w:lang w:eastAsia="it-IT"/>
              </w:rPr>
              <w:t>CHEMICAL ENGINEERING</w:t>
            </w:r>
            <w:r>
              <w:rPr>
                <w:rFonts w:cs="Arial"/>
                <w:b/>
                <w:bCs/>
                <w:i/>
                <w:iCs/>
                <w:color w:val="0033FF"/>
                <w:sz w:val="24"/>
                <w:szCs w:val="24"/>
                <w:lang w:eastAsia="it-IT"/>
              </w:rPr>
              <w:t xml:space="preserve"> </w:t>
            </w:r>
            <w:r>
              <w:rPr>
                <w:rFonts w:cs="Arial"/>
                <w:b/>
                <w:bCs/>
                <w:i/>
                <w:iCs/>
                <w:color w:val="666666"/>
                <w:sz w:val="24"/>
                <w:szCs w:val="24"/>
                <w:lang w:eastAsia="it-IT"/>
              </w:rPr>
              <w:t>TRANSACTIONS</w:t>
            </w:r>
            <w:r>
              <w:rPr>
                <w:color w:val="333333"/>
                <w:sz w:val="24"/>
                <w:szCs w:val="24"/>
                <w:lang w:eastAsia="it-IT"/>
              </w:rPr>
              <w:t xml:space="preserve"> </w:t>
            </w:r>
            <w:r>
              <w:rPr>
                <w:rFonts w:cs="Arial"/>
                <w:b/>
                <w:bCs/>
                <w:i/>
                <w:iCs/>
                <w:color w:val="000066"/>
                <w:sz w:val="27"/>
                <w:szCs w:val="27"/>
                <w:lang w:eastAsia="it-IT"/>
              </w:rPr>
              <w:br/>
            </w:r>
          </w:p>
          <w:p w:rsidR="009D7D24" w:rsidRDefault="00C14E6F" w14:paraId="5812365D" w14:textId="77777777">
            <w:pPr>
              <w:tabs>
                <w:tab w:val="left" w:pos="-108"/>
              </w:tabs>
              <w:ind w:left="-108"/>
              <w:rPr>
                <w:rFonts w:cs="Arial"/>
                <w:b/>
                <w:bCs/>
                <w:i/>
                <w:iCs/>
                <w:color w:val="000066"/>
                <w:sz w:val="22"/>
                <w:szCs w:val="22"/>
                <w:lang w:eastAsia="it-IT"/>
              </w:rPr>
            </w:pPr>
            <w:r>
              <w:rPr>
                <w:rFonts w:cs="Arial"/>
                <w:b/>
                <w:bCs/>
                <w:i/>
                <w:iCs/>
                <w:color w:val="000066"/>
                <w:sz w:val="22"/>
                <w:szCs w:val="22"/>
                <w:lang w:eastAsia="it-IT"/>
              </w:rPr>
              <w:t>VOL. 95, 2022</w:t>
            </w:r>
          </w:p>
        </w:tc>
        <w:tc>
          <w:tcPr>
            <w:tcW w:w="1842" w:type="dxa"/>
            <w:tcBorders>
              <w:left w:val="single" w:color="auto" w:sz="4" w:space="0"/>
              <w:bottom w:val="none" w:color="000000" w:sz="4" w:space="0"/>
              <w:right w:val="single" w:color="auto" w:sz="4" w:space="0"/>
            </w:tcBorders>
          </w:tcPr>
          <w:p w:rsidR="009D7D24" w:rsidRDefault="00C14E6F" w14:paraId="4DBC8359" w14:textId="77777777">
            <w:pPr>
              <w:spacing w:line="140" w:lineRule="atLeast"/>
              <w:jc w:val="right"/>
              <w:rPr>
                <w:rFonts w:cs="Arial"/>
                <w:sz w:val="14"/>
                <w:szCs w:val="14"/>
              </w:rPr>
            </w:pPr>
            <w:r>
              <w:rPr>
                <w:rFonts w:cs="Arial"/>
                <w:sz w:val="14"/>
                <w:szCs w:val="14"/>
              </w:rPr>
              <w:t>A publication of</w:t>
            </w:r>
          </w:p>
          <w:p w:rsidR="009D7D24" w:rsidRDefault="00C14E6F" w14:paraId="5407C6F2" w14:textId="77777777">
            <w:pPr>
              <w:jc w:val="right"/>
            </w:pPr>
            <w:r>
              <w:rPr>
                <w:noProof/>
                <w:lang w:val="cs-CZ" w:eastAsia="cs-CZ"/>
              </w:rPr>
              <mc:AlternateContent>
                <mc:Choice Requires="wpg">
                  <w:drawing>
                    <wp:inline distT="0" distB="0" distL="0" distR="0" wp14:anchorId="140EE992" wp14:editId="1B234B46">
                      <wp:extent cx="670560" cy="358140"/>
                      <wp:effectExtent l="0" t="0" r="0" b="3810"/>
                      <wp:docPr id="2"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pic:cNvPicPr>
                            </pic:nvPicPr>
                            <pic:blipFill>
                              <a:blip r:embed="rId11"/>
                              <a:stretch/>
                            </pic:blipFill>
                            <pic:spPr bwMode="auto">
                              <a:xfrm>
                                <a:off x="0" y="0"/>
                                <a:ext cx="670560" cy="358140"/>
                              </a:xfrm>
                              <a:prstGeom prst="rect">
                                <a:avLst/>
                              </a:prstGeom>
                              <a:noFill/>
                              <a:ln>
                                <a:noFill/>
                              </a:ln>
                            </pic:spPr>
                          </pic:pic>
                        </a:graphicData>
                      </a:graphic>
                    </wp:inline>
                  </w:drawing>
                </mc:Choice>
                <mc:Fallback xmlns:a14="http://schemas.microsoft.com/office/drawing/2010/main" xmlns:pic="http://schemas.openxmlformats.org/drawingml/2006/picture" xmlns:a="http://schemas.openxmlformats.org/drawingml/2006/main">
                  <w:pict>
                    <v:shapetype coordsize="21600,21600" o:spt="75" o:preferrelative="t" path="m@4@5l@4@11@9@11@9@5xe" type="#_x0000_t75">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style="mso-wrap-distance-left:0.0pt;mso-wrap-distance-top:0.0pt;mso-wrap-distance-right:0.0pt;mso-wrap-distance-bottom:0.0pt;width:52.8pt;height:28.2pt;" o:spid="_x0000_s1" stroked="f" type="#_x0000_t75">
                      <v:path textboxrect="0,0,0,0"/>
                      <v:imagedata o:title="" r:id="rId12"/>
                    </v:shape>
                  </w:pict>
                </mc:Fallback>
              </mc:AlternateContent>
            </w:r>
          </w:p>
        </w:tc>
      </w:tr>
      <w:tr w:rsidR="009D7D24" w14:paraId="4B06FB14" w14:textId="77777777">
        <w:trPr>
          <w:trHeight w:val="567"/>
          <w:jc w:val="center"/>
        </w:trPr>
        <w:tc>
          <w:tcPr>
            <w:tcW w:w="6940" w:type="dxa"/>
            <w:vMerge/>
            <w:tcBorders>
              <w:right w:val="single" w:color="auto" w:sz="4" w:space="0"/>
            </w:tcBorders>
          </w:tcPr>
          <w:p w:rsidR="009D7D24" w:rsidRDefault="009D7D24" w14:paraId="38FC2CC0" w14:textId="77777777">
            <w:pPr>
              <w:tabs>
                <w:tab w:val="left" w:pos="-108"/>
              </w:tabs>
            </w:pPr>
          </w:p>
        </w:tc>
        <w:tc>
          <w:tcPr>
            <w:tcW w:w="1842" w:type="dxa"/>
            <w:tcBorders>
              <w:left w:val="single" w:color="auto" w:sz="4" w:space="0"/>
              <w:bottom w:val="none" w:color="000000" w:sz="4" w:space="0"/>
              <w:right w:val="single" w:color="auto" w:sz="4" w:space="0"/>
            </w:tcBorders>
          </w:tcPr>
          <w:p w:rsidR="009D7D24" w:rsidRDefault="00C14E6F" w14:paraId="3D4D8EDA" w14:textId="77777777">
            <w:pPr>
              <w:spacing w:line="140" w:lineRule="atLeast"/>
              <w:jc w:val="right"/>
              <w:rPr>
                <w:rFonts w:cs="Arial"/>
                <w:sz w:val="14"/>
                <w:szCs w:val="14"/>
              </w:rPr>
            </w:pPr>
            <w:r>
              <w:rPr>
                <w:rFonts w:cs="Arial"/>
                <w:sz w:val="14"/>
                <w:szCs w:val="14"/>
              </w:rPr>
              <w:t>The Italian Association</w:t>
            </w:r>
          </w:p>
          <w:p w:rsidR="009D7D24" w:rsidRDefault="00C14E6F" w14:paraId="636E1783" w14:textId="77777777">
            <w:pPr>
              <w:spacing w:line="140" w:lineRule="atLeast"/>
              <w:jc w:val="right"/>
              <w:rPr>
                <w:rFonts w:cs="Arial"/>
                <w:sz w:val="14"/>
                <w:szCs w:val="14"/>
              </w:rPr>
            </w:pPr>
            <w:r>
              <w:rPr>
                <w:rFonts w:cs="Arial"/>
                <w:sz w:val="14"/>
                <w:szCs w:val="14"/>
              </w:rPr>
              <w:t>of Chemical Engineering</w:t>
            </w:r>
          </w:p>
          <w:p w:rsidR="009D7D24" w:rsidRDefault="00C14E6F" w14:paraId="1188E006" w14:textId="77777777">
            <w:pPr>
              <w:spacing w:line="140" w:lineRule="atLeast"/>
              <w:jc w:val="right"/>
              <w:rPr>
                <w:rFonts w:cs="Arial"/>
                <w:sz w:val="13"/>
                <w:szCs w:val="13"/>
              </w:rPr>
            </w:pPr>
            <w:r>
              <w:rPr>
                <w:rFonts w:cs="Arial"/>
                <w:sz w:val="13"/>
                <w:szCs w:val="13"/>
              </w:rPr>
              <w:t>Online at www.cetjournal.it</w:t>
            </w:r>
          </w:p>
        </w:tc>
      </w:tr>
      <w:tr w:rsidR="009D7D24" w14:paraId="247D4FBC" w14:textId="77777777">
        <w:trPr>
          <w:trHeight w:val="68"/>
          <w:jc w:val="center"/>
        </w:trPr>
        <w:tc>
          <w:tcPr>
            <w:tcW w:w="8782" w:type="dxa"/>
            <w:gridSpan w:val="2"/>
          </w:tcPr>
          <w:p w:rsidR="009D7D24" w:rsidRDefault="00C14E6F" w14:paraId="65DB113E" w14:textId="77777777">
            <w:pPr>
              <w:ind w:left="-107"/>
              <w:outlineLvl w:val="2"/>
              <w:rPr>
                <w:rFonts w:ascii="Tahoma" w:hAnsi="Tahoma" w:cs="Tahoma"/>
                <w:bCs/>
                <w:color w:val="000000"/>
                <w:sz w:val="14"/>
                <w:szCs w:val="14"/>
                <w:lang w:val="it-IT" w:eastAsia="it-IT"/>
              </w:rPr>
            </w:pPr>
            <w:r>
              <w:rPr>
                <w:rFonts w:ascii="Tahoma" w:hAnsi="Tahoma" w:cs="Tahoma"/>
                <w:iCs/>
                <w:color w:val="333333"/>
                <w:sz w:val="14"/>
                <w:szCs w:val="14"/>
                <w:lang w:val="it-IT" w:eastAsia="it-IT"/>
              </w:rPr>
              <w:t>Guest Editors:</w:t>
            </w:r>
            <w:r>
              <w:rPr>
                <w:rFonts w:ascii="Tahoma" w:hAnsi="Tahoma" w:cs="Tahoma"/>
                <w:color w:val="000000"/>
                <w:sz w:val="14"/>
                <w:szCs w:val="14"/>
                <w:shd w:val="clear" w:color="auto" w:fill="FFFFFF"/>
                <w:lang w:val="it-IT"/>
              </w:rPr>
              <w:t xml:space="preserve"> </w:t>
            </w:r>
            <w:r>
              <w:rPr>
                <w:sz w:val="14"/>
                <w:szCs w:val="14"/>
                <w:lang w:val="it-IT"/>
              </w:rPr>
              <w:t>Selena Sironi, Laura Capelli</w:t>
            </w:r>
          </w:p>
          <w:p w:rsidR="009D7D24" w:rsidRDefault="00C14E6F" w14:paraId="203175B4" w14:textId="77777777">
            <w:pPr>
              <w:tabs>
                <w:tab w:val="left" w:pos="-108"/>
              </w:tabs>
              <w:spacing w:line="140" w:lineRule="atLeast"/>
              <w:ind w:left="-107"/>
              <w:jc w:val="left"/>
            </w:pPr>
            <w:r>
              <w:rPr>
                <w:rFonts w:ascii="Tahoma" w:hAnsi="Tahoma" w:cs="Tahoma"/>
                <w:iCs/>
                <w:color w:val="333333"/>
                <w:sz w:val="14"/>
                <w:szCs w:val="14"/>
                <w:lang w:eastAsia="it-IT"/>
              </w:rPr>
              <w:t>Copyright © 2022, AIDIC Servizi S.r.l.</w:t>
            </w:r>
            <w:r>
              <w:rPr>
                <w:rFonts w:ascii="Tahoma" w:hAnsi="Tahoma" w:cs="Tahoma"/>
                <w:iCs/>
                <w:color w:val="333333"/>
                <w:sz w:val="14"/>
                <w:szCs w:val="14"/>
                <w:lang w:eastAsia="it-IT"/>
              </w:rPr>
              <w:br/>
            </w:r>
            <w:r>
              <w:rPr>
                <w:rFonts w:ascii="Tahoma" w:hAnsi="Tahoma" w:cs="Tahoma"/>
                <w:b/>
                <w:iCs/>
                <w:color w:val="000000"/>
                <w:sz w:val="14"/>
                <w:szCs w:val="14"/>
                <w:lang w:eastAsia="it-IT"/>
              </w:rPr>
              <w:t>ISBN</w:t>
            </w:r>
            <w:r>
              <w:rPr>
                <w:rFonts w:ascii="Tahoma" w:hAnsi="Tahoma" w:cs="Tahoma"/>
                <w:iCs/>
                <w:color w:val="000000"/>
                <w:sz w:val="14"/>
                <w:szCs w:val="14"/>
                <w:lang w:eastAsia="it-IT"/>
              </w:rPr>
              <w:t xml:space="preserve"> </w:t>
            </w:r>
            <w:r>
              <w:rPr>
                <w:rFonts w:ascii="Tahoma" w:hAnsi="Tahoma" w:cs="Tahoma"/>
                <w:sz w:val="14"/>
                <w:szCs w:val="14"/>
              </w:rPr>
              <w:t>978-88-95608-94-5</w:t>
            </w:r>
            <w:r>
              <w:rPr>
                <w:rFonts w:ascii="Tahoma" w:hAnsi="Tahoma" w:cs="Tahoma"/>
                <w:iCs/>
                <w:color w:val="333333"/>
                <w:sz w:val="14"/>
                <w:szCs w:val="14"/>
                <w:lang w:eastAsia="it-IT"/>
              </w:rPr>
              <w:t xml:space="preserve">; </w:t>
            </w:r>
            <w:r>
              <w:rPr>
                <w:rFonts w:ascii="Tahoma" w:hAnsi="Tahoma" w:cs="Tahoma"/>
                <w:b/>
                <w:iCs/>
                <w:color w:val="333333"/>
                <w:sz w:val="14"/>
                <w:szCs w:val="14"/>
                <w:lang w:eastAsia="it-IT"/>
              </w:rPr>
              <w:t>ISSN</w:t>
            </w:r>
            <w:r>
              <w:rPr>
                <w:rFonts w:ascii="Tahoma" w:hAnsi="Tahoma" w:cs="Tahoma"/>
                <w:iCs/>
                <w:color w:val="333333"/>
                <w:sz w:val="14"/>
                <w:szCs w:val="14"/>
                <w:lang w:eastAsia="it-IT"/>
              </w:rPr>
              <w:t xml:space="preserve"> 2283-9216</w:t>
            </w:r>
          </w:p>
        </w:tc>
      </w:tr>
    </w:tbl>
    <w:p w:rsidR="009D7D24" w:rsidRDefault="00C14E6F" w14:paraId="7668B4DD" w14:textId="77777777">
      <w:pPr>
        <w:pStyle w:val="CETTitle"/>
      </w:pPr>
      <w:r>
        <w:t>Assessment of Odour Dispersion Modelling Tools through the Comparison with Field Inspections and Complaints Records</w:t>
      </w:r>
    </w:p>
    <w:p w:rsidR="009D7D24" w:rsidRDefault="00C14E6F" w14:paraId="29EF6CC3" w14:textId="77777777">
      <w:pPr>
        <w:pStyle w:val="CETAuthors"/>
      </w:pPr>
      <w:r>
        <w:t>William R. Patiño</w:t>
      </w:r>
      <w:r>
        <w:rPr>
          <w:vertAlign w:val="superscript"/>
        </w:rPr>
        <w:t>a,</w:t>
      </w:r>
      <w:r>
        <w:t>*, Ondřej Vlček</w:t>
      </w:r>
      <w:r>
        <w:rPr>
          <w:vertAlign w:val="superscript"/>
        </w:rPr>
        <w:t>a</w:t>
      </w:r>
      <w:r>
        <w:t>, Petra Auterská</w:t>
      </w:r>
      <w:r>
        <w:rPr>
          <w:vertAlign w:val="superscript"/>
        </w:rPr>
        <w:t>b</w:t>
      </w:r>
    </w:p>
    <w:p w:rsidR="009D7D24" w:rsidRDefault="00C14E6F" w14:paraId="612C2CA9" w14:textId="77777777">
      <w:pPr>
        <w:pStyle w:val="CETAddress"/>
      </w:pPr>
      <w:r>
        <w:rPr>
          <w:vertAlign w:val="superscript"/>
        </w:rPr>
        <w:t>a</w:t>
      </w:r>
      <w:r>
        <w:t>Czech Hydrometeorological Institute, Na</w:t>
      </w:r>
      <w:r>
        <w:rPr>
          <w:lang w:val="cs-CZ"/>
        </w:rPr>
        <w:t xml:space="preserve"> Šabatce</w:t>
      </w:r>
      <w:r>
        <w:rPr>
          <w:lang w:val="en-US"/>
        </w:rPr>
        <w:t xml:space="preserve"> 2050</w:t>
      </w:r>
      <w:r>
        <w:t>/17, 143 06 Prague, Czech Republic.</w:t>
      </w:r>
    </w:p>
    <w:p w:rsidR="009D7D24" w:rsidRDefault="00C14E6F" w14:paraId="76BA3598" w14:textId="77777777">
      <w:pPr>
        <w:pStyle w:val="CETAddress"/>
      </w:pPr>
      <w:r>
        <w:rPr>
          <w:vertAlign w:val="superscript"/>
        </w:rPr>
        <w:t>b</w:t>
      </w:r>
      <w:r>
        <w:t>Odour, s.r.o., Karlická 1155, 252 28 Černošice, Czech Republic.</w:t>
      </w:r>
    </w:p>
    <w:p w:rsidR="009D7D24" w:rsidRDefault="00C14E6F" w14:paraId="60A6FF21" w14:textId="77777777">
      <w:pPr>
        <w:pStyle w:val="CETAddress"/>
      </w:pPr>
      <w:r>
        <w:t xml:space="preserve"> william.patino@chmi.cz</w:t>
      </w:r>
    </w:p>
    <w:p w:rsidR="009D7D24" w:rsidRDefault="009D7D24" w14:paraId="01967906" w14:textId="77777777">
      <w:pPr>
        <w:pStyle w:val="CETAddress"/>
      </w:pPr>
    </w:p>
    <w:p w:rsidR="009D7D24" w:rsidRDefault="00C14E6F" w14:paraId="04AD7B1A" w14:textId="6143FFFC">
      <w:pPr>
        <w:pStyle w:val="CETBodytext"/>
        <w:rPr>
          <w:lang w:val="en-GB"/>
        </w:rPr>
      </w:pPr>
      <w:r>
        <w:rPr>
          <w:lang w:val="en-GB"/>
        </w:rPr>
        <w:t>Due to the complex and subjective nature of odour perception, estimating the impact of pollutant sources on the community requires the use of multiple tools. Currently, the European standard EN 16841:2016 - Part 1 describes a technique to evaluate odour in ambient air through sniff testing called the grid method, useful to build datasets comparable with dispersion modelling results.</w:t>
      </w:r>
      <w:r>
        <w:t xml:space="preserve"> </w:t>
      </w:r>
      <w:r>
        <w:rPr>
          <w:lang w:val="en-GB"/>
        </w:rPr>
        <w:t xml:space="preserve">Another methodology to assess the exposure to offensive odours is based on the active participation of the affected community. In the Czech Republic, the AirQ system </w:t>
      </w:r>
      <w:r w:rsidR="00FF6D92">
        <w:rPr>
          <w:lang w:val="en-GB"/>
        </w:rPr>
        <w:t>is being used to collect</w:t>
      </w:r>
      <w:r>
        <w:rPr>
          <w:lang w:val="en-GB"/>
        </w:rPr>
        <w:t xml:space="preserve"> the complaints of voluntary subjects residing nearby problematic sources. Nevertheless, for this application to give meaningful information, the data has to be cross-checked against wind direction and validated using</w:t>
      </w:r>
      <w:r w:rsidR="00562913">
        <w:rPr>
          <w:lang w:val="en-GB"/>
        </w:rPr>
        <w:t xml:space="preserve"> near-real time output of</w:t>
      </w:r>
      <w:r>
        <w:rPr>
          <w:lang w:val="en-GB"/>
        </w:rPr>
        <w:t xml:space="preserve"> a dispersion model.</w:t>
      </w:r>
    </w:p>
    <w:p w:rsidR="009D7D24" w:rsidRDefault="00C14E6F" w14:paraId="0E585676" w14:textId="1F1E1F5D">
      <w:pPr>
        <w:pStyle w:val="CETBodytext"/>
      </w:pPr>
      <w:r>
        <w:rPr>
          <w:lang w:val="en-GB"/>
        </w:rPr>
        <w:t>The present</w:t>
      </w:r>
      <w:r w:rsidR="00792890">
        <w:rPr>
          <w:lang w:val="en-GB"/>
        </w:rPr>
        <w:t>ed</w:t>
      </w:r>
      <w:r>
        <w:rPr>
          <w:lang w:val="en-GB"/>
        </w:rPr>
        <w:t xml:space="preserve"> study aimed to evaluate the performance of Lagrangian models AUSTAL and GRAL, and Czech Gaussian model SYMOS by using the field inspection data</w:t>
      </w:r>
      <w:r w:rsidR="007B695A">
        <w:rPr>
          <w:lang w:val="en-GB"/>
        </w:rPr>
        <w:t>set</w:t>
      </w:r>
      <w:r>
        <w:rPr>
          <w:lang w:val="en-GB"/>
        </w:rPr>
        <w:t xml:space="preserve"> gathered in a pig-fattening farm located in Styria (Austria), and the output of the AirQ system in the vicinity of a feed production industry in the city of Prague. Results show the importance of an appropriate selection of the peak-to-mean factor and provide relevant knowledge for the future consideration of the most suitable dispersion model for odour assessment in the Czech Republic. </w:t>
      </w:r>
    </w:p>
    <w:p w:rsidR="009D7D24" w:rsidRDefault="00C14E6F" w14:paraId="6DF9ACD0" w14:textId="77777777">
      <w:pPr>
        <w:pStyle w:val="CETHeading1"/>
        <w:rPr>
          <w:lang w:val="en-GB"/>
        </w:rPr>
      </w:pPr>
      <w:r>
        <w:rPr>
          <w:lang w:val="en-GB"/>
        </w:rPr>
        <w:t>Introduction</w:t>
      </w:r>
    </w:p>
    <w:p w:rsidR="009D7D24" w:rsidRDefault="00C14E6F" w14:paraId="1E678E1F" w14:textId="735392F3">
      <w:pPr>
        <w:pStyle w:val="CETBodytext"/>
        <w:rPr>
          <w:lang w:val="en-GB"/>
        </w:rPr>
      </w:pPr>
      <w:r>
        <w:rPr>
          <w:lang w:val="en-GB"/>
        </w:rPr>
        <w:t xml:space="preserve">Odour management can be accomplished through a series of methods that enable to evaluate the impact of odours and regulate industrial emissions correspondingly. A multi-tool approach has proven to be the best strategy to tackle nuisance in the population (Brancher et al., 2017), that means </w:t>
      </w:r>
      <w:r w:rsidR="00A421C6">
        <w:rPr>
          <w:lang w:val="en-GB"/>
        </w:rPr>
        <w:t>conducting</w:t>
      </w:r>
      <w:r>
        <w:rPr>
          <w:lang w:val="en-GB"/>
        </w:rPr>
        <w:t xml:space="preserve"> monitoring campaigns, </w:t>
      </w:r>
      <w:r w:rsidR="00A421C6">
        <w:rPr>
          <w:lang w:val="en-GB"/>
        </w:rPr>
        <w:t xml:space="preserve">involving </w:t>
      </w:r>
      <w:r>
        <w:rPr>
          <w:lang w:val="en-GB"/>
        </w:rPr>
        <w:t xml:space="preserve">the participation of the community affected, and </w:t>
      </w:r>
      <w:r w:rsidR="00A421C6">
        <w:rPr>
          <w:lang w:val="en-GB"/>
        </w:rPr>
        <w:t xml:space="preserve">using </w:t>
      </w:r>
      <w:r>
        <w:rPr>
          <w:lang w:val="en-GB"/>
        </w:rPr>
        <w:t xml:space="preserve">the assistance of predictive models. </w:t>
      </w:r>
    </w:p>
    <w:p w:rsidR="009D7D24" w:rsidRDefault="00C14E6F" w14:paraId="05C41029" w14:textId="60BD6280">
      <w:pPr>
        <w:pStyle w:val="CETBodytext"/>
        <w:rPr>
          <w:lang w:val="en-GB"/>
        </w:rPr>
      </w:pPr>
      <w:r>
        <w:rPr>
          <w:lang w:val="en-GB"/>
        </w:rPr>
        <w:t>The grid method explained in EN 16841:2016 - Part 1 characterizes odour exposure in a certain area by identifying the presence or absence of a recognizable odour in a measurement consisting of 60 observations (</w:t>
      </w:r>
      <w:r w:rsidR="00792890">
        <w:rPr>
          <w:lang w:val="en-GB"/>
        </w:rPr>
        <w:t>1 </w:t>
      </w:r>
      <w:r>
        <w:rPr>
          <w:lang w:val="en-GB"/>
        </w:rPr>
        <w:t>sniff every 10 seconds during 10 minutes). If the odour reaches or exceeds a percentage odour time of 10</w:t>
      </w:r>
      <w:r w:rsidR="00B326A6">
        <w:rPr>
          <w:lang w:val="en-GB"/>
        </w:rPr>
        <w:t> </w:t>
      </w:r>
      <w:r>
        <w:rPr>
          <w:lang w:val="en-GB"/>
        </w:rPr>
        <w:t xml:space="preserve">% (i.e. 6 or more positive observations), the result is classified as “odour hour”. The survey </w:t>
      </w:r>
      <w:r w:rsidR="00A421C6">
        <w:rPr>
          <w:lang w:val="en-GB"/>
        </w:rPr>
        <w:t>needs to be carried out</w:t>
      </w:r>
      <w:r>
        <w:rPr>
          <w:lang w:val="en-GB"/>
        </w:rPr>
        <w:t xml:space="preserve"> considering representative meteorological conditions in a period of 6 to 12 months, during which qualified panel members take 52 or 104 measurements, respectively. At the end, the frequency of odour hours is determined. According to Oettl et al. (2018), this indicator provides results </w:t>
      </w:r>
      <w:r w:rsidR="0072760B">
        <w:rPr>
          <w:lang w:val="en-GB"/>
        </w:rPr>
        <w:t>comparable</w:t>
      </w:r>
      <w:r>
        <w:rPr>
          <w:lang w:val="en-GB"/>
        </w:rPr>
        <w:t xml:space="preserve"> to dispersion modelling, thus allowing to test model performance.  </w:t>
      </w:r>
    </w:p>
    <w:p w:rsidR="009D7D24" w:rsidRDefault="00C14E6F" w14:paraId="729C0380" w14:textId="2D9825C5">
      <w:pPr>
        <w:pStyle w:val="CETBodytext"/>
      </w:pPr>
      <w:r>
        <w:rPr>
          <w:lang w:val="en-GB"/>
        </w:rPr>
        <w:t xml:space="preserve">On the other hand, tracking complaints records can help to obtain different information on the annoyance caused by the emission of odorous substances. For example, duration of odour episodes, time of the day, intensity, character, and unpleasantness are some of the variables that would give a better description of the impact of the source. Besides, it makes possible the identification of specific troubling operations and </w:t>
      </w:r>
      <w:r w:rsidR="00CF080F">
        <w:rPr>
          <w:lang w:val="en-GB"/>
        </w:rPr>
        <w:t>complements</w:t>
      </w:r>
      <w:r>
        <w:rPr>
          <w:lang w:val="en-GB"/>
        </w:rPr>
        <w:t xml:space="preserve"> model predictions.</w:t>
      </w:r>
      <w:r>
        <w:t xml:space="preserve"> The AirQ system operates as a mobile phone application that registers complaints from people living in the proximity of sources of odorous substances. Subsequently, complaints are evaluated on the basis of a scoring system with the following criteria: the time of the complaint submission matches with the</w:t>
      </w:r>
      <w:r w:rsidR="00994B5F">
        <w:t xml:space="preserve"> reported</w:t>
      </w:r>
      <w:r>
        <w:t xml:space="preserve"> odour episode duration (1 point), the type of odour is rel</w:t>
      </w:r>
      <w:r w:rsidR="00B326A6">
        <w:t>evant</w:t>
      </w:r>
      <w:r>
        <w:t xml:space="preserve"> (2 points), the </w:t>
      </w:r>
      <w:r w:rsidR="00B326A6">
        <w:t xml:space="preserve">episode </w:t>
      </w:r>
      <w:r>
        <w:t xml:space="preserve">duration is longer than 3 minutes (1 point), there is a temperature inversion (1 point) and the plume from the source impacts the location of the complaint (5 points). The latter is determined using SYMOS model running on 30-min averages of wind </w:t>
      </w:r>
      <w:r>
        <w:lastRenderedPageBreak/>
        <w:t xml:space="preserve">measured at the location of or near the source when a concentration greater than zero is obtained for at least </w:t>
      </w:r>
      <w:r w:rsidR="005604ED">
        <w:t>a part of the episode duration.</w:t>
      </w:r>
    </w:p>
    <w:p w:rsidRPr="00B45D80" w:rsidR="009D7D24" w:rsidRDefault="004F5A12" w14:paraId="663F47B9" w14:textId="0558C6D6">
      <w:pPr>
        <w:pStyle w:val="CETBodytext"/>
      </w:pPr>
      <w:r>
        <w:t>Various jurisdictions have established odour impact criteria (OIC) which are meant to be used in combination with dispersion modelling tools to calculate separation distances. OIC are composed by a concentration threshold and an exceedance probability</w:t>
      </w:r>
      <w:r w:rsidR="00CA52F3">
        <w:t xml:space="preserve">, defined based </w:t>
      </w:r>
      <w:r w:rsidRPr="00CA52F3" w:rsidR="00CA52F3">
        <w:t>on technical and economic factors, e.g. land use type, industry and offensiveness (Brancher et al., 2017).</w:t>
      </w:r>
      <w:r w:rsidR="00CA52F3">
        <w:t xml:space="preserve"> </w:t>
      </w:r>
      <w:r w:rsidR="00C14E6F">
        <w:rPr>
          <w:lang w:val="en-GB"/>
        </w:rPr>
        <w:t>The latest developments in Lagrangian models, such as AUSTAL and GRAL, allow to calculate odour hour frequencies</w:t>
      </w:r>
      <w:r w:rsidR="00CA52F3">
        <w:rPr>
          <w:lang w:val="en-GB"/>
        </w:rPr>
        <w:t xml:space="preserve"> </w:t>
      </w:r>
      <w:r w:rsidR="00CA52F3">
        <w:t>(analogous to exceedance probabilities)</w:t>
      </w:r>
      <w:r w:rsidR="00C14E6F">
        <w:rPr>
          <w:lang w:val="en-GB"/>
        </w:rPr>
        <w:t>, defined as one-hour time intervals in which the modelled peak concentration (</w:t>
      </w:r>
      <w:r w:rsidR="00966755">
        <w:rPr>
          <w:lang w:val="en-GB"/>
        </w:rPr>
        <w:t xml:space="preserve">assumed to be represented by the </w:t>
      </w:r>
      <w:r w:rsidR="00C14E6F">
        <w:rPr>
          <w:lang w:val="en-GB"/>
        </w:rPr>
        <w:t>90</w:t>
      </w:r>
      <w:r w:rsidR="00C14E6F">
        <w:rPr>
          <w:vertAlign w:val="superscript"/>
          <w:lang w:val="en-GB"/>
        </w:rPr>
        <w:t>th</w:t>
      </w:r>
      <w:r w:rsidR="00C14E6F">
        <w:rPr>
          <w:lang w:val="en-GB"/>
        </w:rPr>
        <w:t xml:space="preserve"> percentile) exceeds the odour concentration threshold, usually set at 1 OU</w:t>
      </w:r>
      <w:r w:rsidR="00C14E6F">
        <w:rPr>
          <w:vertAlign w:val="subscript"/>
          <w:lang w:val="en-GB"/>
        </w:rPr>
        <w:t>E</w:t>
      </w:r>
      <w:r w:rsidR="00B86F51">
        <w:rPr>
          <w:rFonts w:cs="Arial"/>
          <w:vertAlign w:val="subscript"/>
          <w:lang w:val="en-GB"/>
        </w:rPr>
        <w:t>∙</w:t>
      </w:r>
      <w:r w:rsidR="00C14E6F">
        <w:rPr>
          <w:lang w:val="en-GB"/>
        </w:rPr>
        <w:t>m</w:t>
      </w:r>
      <w:r w:rsidRPr="000F0832" w:rsidR="00B86F51">
        <w:rPr>
          <w:rFonts w:ascii="Times New Roman" w:hAnsi="Times New Roman"/>
          <w:vertAlign w:val="superscript"/>
          <w:lang w:val="en-GB"/>
        </w:rPr>
        <w:t>−</w:t>
      </w:r>
      <w:r w:rsidR="00C14E6F">
        <w:rPr>
          <w:vertAlign w:val="superscript"/>
          <w:lang w:val="en-GB"/>
        </w:rPr>
        <w:t>3</w:t>
      </w:r>
      <w:r w:rsidR="00C14E6F">
        <w:rPr>
          <w:lang w:val="en-GB"/>
        </w:rPr>
        <w:t>. In these models, different approaches are used to obtain a peak-to-mean factor (</w:t>
      </w:r>
      <w:r w:rsidRPr="005604ED" w:rsidR="00C14E6F">
        <w:rPr>
          <w:i/>
          <w:lang w:val="en-GB"/>
        </w:rPr>
        <w:t>R</w:t>
      </w:r>
      <w:r w:rsidRPr="005604ED" w:rsidR="00C14E6F">
        <w:rPr>
          <w:i/>
          <w:vertAlign w:val="subscript"/>
          <w:lang w:val="en-GB"/>
        </w:rPr>
        <w:t>90</w:t>
      </w:r>
      <w:r w:rsidR="00C14E6F">
        <w:rPr>
          <w:lang w:val="en-GB"/>
        </w:rPr>
        <w:t xml:space="preserve">): AUSTAL implements a </w:t>
      </w:r>
      <w:r w:rsidR="00436B92">
        <w:t>semi-empirical coefficient</w:t>
      </w:r>
      <w:r w:rsidR="00436B92">
        <w:rPr>
          <w:lang w:val="en-GB"/>
        </w:rPr>
        <w:t xml:space="preserve"> </w:t>
      </w:r>
      <w:r w:rsidR="00C14E6F">
        <w:rPr>
          <w:lang w:val="en-GB"/>
        </w:rPr>
        <w:t>of 4 rec</w:t>
      </w:r>
      <w:r w:rsidR="002557D6">
        <w:rPr>
          <w:lang w:val="en-GB"/>
        </w:rPr>
        <w:t xml:space="preserve">ommended by the German TA Luft. </w:t>
      </w:r>
      <w:r w:rsidR="00C14E6F">
        <w:rPr>
          <w:lang w:val="en-GB"/>
        </w:rPr>
        <w:t>GRAL p</w:t>
      </w:r>
      <w:r w:rsidR="00A2643D">
        <w:rPr>
          <w:lang w:val="en-GB"/>
        </w:rPr>
        <w:t>rovides the possibility to apply a user-defined</w:t>
      </w:r>
      <w:r w:rsidR="00C14E6F">
        <w:rPr>
          <w:lang w:val="en-GB"/>
        </w:rPr>
        <w:t xml:space="preserve"> </w:t>
      </w:r>
      <w:r w:rsidR="00A2643D">
        <w:rPr>
          <w:lang w:val="en-GB"/>
        </w:rPr>
        <w:t>ratio or</w:t>
      </w:r>
      <w:r w:rsidR="007660C6">
        <w:rPr>
          <w:lang w:val="en-GB"/>
        </w:rPr>
        <w:t xml:space="preserve"> use the</w:t>
      </w:r>
      <w:r w:rsidR="00A2643D">
        <w:rPr>
          <w:lang w:val="en-GB"/>
        </w:rPr>
        <w:t xml:space="preserve"> </w:t>
      </w:r>
      <w:r w:rsidR="00C14E6F">
        <w:rPr>
          <w:lang w:val="en-GB"/>
        </w:rPr>
        <w:t xml:space="preserve">Concentration Variance Model (CVM), which estimates a spatially variable ratio from the </w:t>
      </w:r>
      <w:r w:rsidR="00436B92">
        <w:t xml:space="preserve">time evolution of the mean concentration fields and the variance field, </w:t>
      </w:r>
      <w:r w:rsidR="002557D6">
        <w:t>assuming</w:t>
      </w:r>
      <w:r w:rsidR="00436B92">
        <w:t xml:space="preserve"> a </w:t>
      </w:r>
      <w:r w:rsidR="00F51B16">
        <w:t xml:space="preserve">two-parameter </w:t>
      </w:r>
      <w:r w:rsidR="00436B92">
        <w:t xml:space="preserve">Weibull </w:t>
      </w:r>
      <w:r w:rsidR="00F51B16">
        <w:t>probability density function</w:t>
      </w:r>
      <w:r w:rsidR="002557D6">
        <w:t xml:space="preserve"> to</w:t>
      </w:r>
      <w:r w:rsidR="00436B92">
        <w:t xml:space="preserve"> describe the instan</w:t>
      </w:r>
      <w:r w:rsidR="002557D6">
        <w:t>taneous concentration</w:t>
      </w:r>
      <w:r w:rsidR="00436B92">
        <w:t xml:space="preserve">. </w:t>
      </w:r>
      <w:r w:rsidR="00C14E6F">
        <w:rPr>
          <w:lang w:val="en-GB"/>
        </w:rPr>
        <w:t>Hence, the goal of this study is to combine the results of different odour management approaches to assess the performance of the chosen models.</w:t>
      </w:r>
    </w:p>
    <w:p w:rsidR="009D7D24" w:rsidRDefault="00C14E6F" w14:paraId="24AF78B9" w14:textId="77777777">
      <w:pPr>
        <w:pStyle w:val="CETHeading1"/>
      </w:pPr>
      <w:r>
        <w:t>Pig-fattening farm in Styria, Austria</w:t>
      </w:r>
    </w:p>
    <w:p w:rsidR="009D7D24" w:rsidRDefault="00C14E6F" w14:paraId="7AB715FD" w14:textId="77777777">
      <w:pPr>
        <w:pStyle w:val="CETBodytext"/>
      </w:pPr>
      <w:r>
        <w:t>Field inspections were carried out with a panel of 15 members in the period between 1</w:t>
      </w:r>
      <w:r>
        <w:rPr>
          <w:vertAlign w:val="superscript"/>
        </w:rPr>
        <w:t>st</w:t>
      </w:r>
      <w:r>
        <w:t xml:space="preserve"> of February and 31</w:t>
      </w:r>
      <w:r>
        <w:rPr>
          <w:vertAlign w:val="superscript"/>
        </w:rPr>
        <w:t xml:space="preserve">st </w:t>
      </w:r>
      <w:r>
        <w:t xml:space="preserve">of July, 2017, to obtain 52 observations </w:t>
      </w:r>
      <w:r>
        <w:rPr>
          <w:rFonts w:eastAsiaTheme="minorEastAsia"/>
          <w:lang w:val="en-GB"/>
        </w:rPr>
        <w:t>uniformly distributed between week days and day hours</w:t>
      </w:r>
      <w:r>
        <w:t xml:space="preserve"> in twelve measurement points. The 95 % confidence interval for the observations was computed to account for sampling error. The results of this experimental set up and input parameters for the models are openly available as supplementary resource of the work published by Oettl et al. (2018). Figure 1 shows a representation of the source and the location of the measurement points, along with the wind rose.</w:t>
      </w:r>
    </w:p>
    <w:p w:rsidR="009D7D24" w:rsidRDefault="009D7D24" w14:paraId="5CD3815F" w14:textId="77777777">
      <w:pPr>
        <w:pStyle w:val="CETBodytext"/>
      </w:pPr>
    </w:p>
    <w:p w:rsidR="009D7D24" w:rsidRDefault="00C14E6F" w14:paraId="3916FA18" w14:textId="77777777">
      <w:pPr>
        <w:pStyle w:val="CETBodytext"/>
      </w:pPr>
      <w:r>
        <w:rPr>
          <w:noProof/>
          <w:lang w:val="cs-CZ" w:eastAsia="cs-CZ"/>
        </w:rPr>
        <w:drawing>
          <wp:inline distT="0" distB="0" distL="0" distR="0" wp14:anchorId="340B8FFA" wp14:editId="44DE9CD7">
            <wp:extent cx="3125504" cy="207645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291019" name=""/>
                    <pic:cNvPicPr>
                      <a:picLocks noChangeAspect="1"/>
                    </pic:cNvPicPr>
                  </pic:nvPicPr>
                  <pic:blipFill>
                    <a:blip r:embed="rId13"/>
                    <a:stretch/>
                  </pic:blipFill>
                  <pic:spPr bwMode="auto">
                    <a:xfrm>
                      <a:off x="0" y="0"/>
                      <a:ext cx="3125504" cy="2076450"/>
                    </a:xfrm>
                    <a:prstGeom prst="rect">
                      <a:avLst/>
                    </a:prstGeom>
                  </pic:spPr>
                </pic:pic>
              </a:graphicData>
            </a:graphic>
          </wp:inline>
        </w:drawing>
      </w:r>
    </w:p>
    <w:p w:rsidR="009D7D24" w:rsidRDefault="00C14E6F" w14:paraId="418549BA" w14:textId="77777777">
      <w:pPr>
        <w:pStyle w:val="CETBodytext"/>
        <w:rPr>
          <w:rStyle w:val="CETCaptionCarattere"/>
        </w:rPr>
      </w:pPr>
      <w:r>
        <w:rPr>
          <w:rStyle w:val="CETCaptionCarattere"/>
        </w:rPr>
        <w:t>Figure 1: Schematic representation of the pig-fattening farm with reference points and wind rose. Adapted from Oettl et al. (2018)</w:t>
      </w:r>
      <w:r>
        <w:t>.</w:t>
      </w:r>
    </w:p>
    <w:p w:rsidR="009D7D24" w:rsidRDefault="009D7D24" w14:paraId="316A4AB3" w14:textId="77777777">
      <w:pPr>
        <w:pStyle w:val="CETBodytext"/>
      </w:pPr>
    </w:p>
    <w:p w:rsidR="009D7D24" w:rsidRDefault="00C14E6F" w14:paraId="55C07E9B" w14:textId="2D5519A9">
      <w:pPr>
        <w:pStyle w:val="CETBodytext"/>
      </w:pPr>
      <w:r>
        <w:t xml:space="preserve">Modelling was performed using a factor </w:t>
      </w:r>
      <w:r w:rsidRPr="005604ED">
        <w:rPr>
          <w:i/>
        </w:rPr>
        <w:t>R</w:t>
      </w:r>
      <w:r w:rsidRPr="005604ED">
        <w:rPr>
          <w:i/>
          <w:vertAlign w:val="subscript"/>
        </w:rPr>
        <w:t>90</w:t>
      </w:r>
      <w:r>
        <w:t xml:space="preserve"> equal to 1 (meaning no modification to hourly means) and 4, setting a threshold of </w:t>
      </w:r>
      <w:r w:rsidRPr="005604ED">
        <w:rPr>
          <w:i/>
        </w:rPr>
        <w:t>C</w:t>
      </w:r>
      <w:r w:rsidRPr="005604ED">
        <w:rPr>
          <w:i/>
          <w:vertAlign w:val="subscript"/>
        </w:rPr>
        <w:t>t</w:t>
      </w:r>
      <w:r w:rsidR="00B86F51">
        <w:rPr>
          <w:vertAlign w:val="subscript"/>
        </w:rPr>
        <w:t> </w:t>
      </w:r>
      <w:r>
        <w:t>=</w:t>
      </w:r>
      <w:r w:rsidR="00B86F51">
        <w:t> 1 </w:t>
      </w:r>
      <w:r>
        <w:t>OU</w:t>
      </w:r>
      <w:r w:rsidR="005604ED">
        <w:rPr>
          <w:vertAlign w:val="subscript"/>
        </w:rPr>
        <w:t>E</w:t>
      </w:r>
      <w:r w:rsidR="00B86F51">
        <w:rPr>
          <w:rFonts w:cs="Arial"/>
          <w:vertAlign w:val="subscript"/>
          <w:lang w:val="en-GB"/>
        </w:rPr>
        <w:t>∙</w:t>
      </w:r>
      <w:r w:rsidR="00B86F51">
        <w:rPr>
          <w:lang w:val="en-GB"/>
        </w:rPr>
        <w:t>m</w:t>
      </w:r>
      <w:r w:rsidRPr="00776084" w:rsidR="00B86F51">
        <w:rPr>
          <w:rFonts w:ascii="Times New Roman" w:hAnsi="Times New Roman"/>
          <w:vertAlign w:val="superscript"/>
          <w:lang w:val="en-GB"/>
        </w:rPr>
        <w:t>−</w:t>
      </w:r>
      <w:r w:rsidR="00B86F51">
        <w:rPr>
          <w:vertAlign w:val="superscript"/>
          <w:lang w:val="en-GB"/>
        </w:rPr>
        <w:t>3</w:t>
      </w:r>
      <w:r>
        <w:t>. Additionally, in the case of GRAL, the Concentration Variance Model was tested. Lagrangian models were run including and excluding buildings, while SYMOS was only run without buildings due to a lack of a specialized module. The scheme proposed by Janicke Consulting (2013) to transform the Obukhov stability parameter [m</w:t>
      </w:r>
      <w:r w:rsidRPr="000F0832" w:rsidR="00B86F51">
        <w:rPr>
          <w:rFonts w:ascii="Times New Roman" w:hAnsi="Times New Roman"/>
          <w:vertAlign w:val="superscript"/>
        </w:rPr>
        <w:t>−</w:t>
      </w:r>
      <w:r>
        <w:rPr>
          <w:vertAlign w:val="superscript"/>
        </w:rPr>
        <w:t>1</w:t>
      </w:r>
      <w:r>
        <w:t>] to atmospheric stability classes was employed to derive the meteorological input for SYMOS.</w:t>
      </w:r>
    </w:p>
    <w:p w:rsidR="009D7D24" w:rsidRDefault="00C14E6F" w14:paraId="54C5E862" w14:textId="77777777">
      <w:pPr>
        <w:pStyle w:val="CETheadingx"/>
      </w:pPr>
      <w:r>
        <w:t>Results and discussion</w:t>
      </w:r>
    </w:p>
    <w:p w:rsidR="009D7D24" w:rsidRDefault="00C14E6F" w14:paraId="4770DCE8" w14:textId="26157DD4">
      <w:pPr>
        <w:pStyle w:val="CETBodytext"/>
      </w:pPr>
      <w:r>
        <w:t xml:space="preserve">The greatest compliance with the observations was perceived using GRAL model, especially with </w:t>
      </w:r>
      <w:r w:rsidRPr="005604ED">
        <w:rPr>
          <w:i/>
        </w:rPr>
        <w:t>R</w:t>
      </w:r>
      <w:r w:rsidRPr="005604ED">
        <w:rPr>
          <w:i/>
          <w:vertAlign w:val="subscript"/>
        </w:rPr>
        <w:t>90</w:t>
      </w:r>
      <w:r w:rsidR="00B86F51">
        <w:rPr>
          <w:vertAlign w:val="subscript"/>
        </w:rPr>
        <w:t> </w:t>
      </w:r>
      <w:r>
        <w:t>=</w:t>
      </w:r>
      <w:r w:rsidR="00B86F51">
        <w:t> </w:t>
      </w:r>
      <w:r>
        <w:t xml:space="preserve">1 and CVM, which calculated </w:t>
      </w:r>
      <w:r w:rsidRPr="00B73B7B" w:rsidR="00B86F51">
        <w:rPr>
          <w:i/>
        </w:rPr>
        <w:t>R</w:t>
      </w:r>
      <w:r w:rsidRPr="00B73B7B" w:rsidR="00B86F51">
        <w:rPr>
          <w:i/>
          <w:vertAlign w:val="subscript"/>
        </w:rPr>
        <w:t>90</w:t>
      </w:r>
      <w:r w:rsidR="00B86F51">
        <w:t xml:space="preserve"> </w:t>
      </w:r>
      <w:r>
        <w:t xml:space="preserve">factors in the range of 1.5-2.8. On the other hand, Figure 2b shows that applying </w:t>
      </w:r>
      <w:r w:rsidRPr="00B73B7B">
        <w:rPr>
          <w:i/>
        </w:rPr>
        <w:t>R</w:t>
      </w:r>
      <w:r w:rsidRPr="00B73B7B">
        <w:rPr>
          <w:i/>
          <w:vertAlign w:val="subscript"/>
        </w:rPr>
        <w:t>90</w:t>
      </w:r>
      <w:r w:rsidR="008F1ED6">
        <w:rPr>
          <w:vertAlign w:val="subscript"/>
        </w:rPr>
        <w:t> </w:t>
      </w:r>
      <w:r w:rsidR="008F1ED6">
        <w:t>= </w:t>
      </w:r>
      <w:r>
        <w:t>4 lead to a general overestimation</w:t>
      </w:r>
      <w:r w:rsidR="008F1ED6">
        <w:t xml:space="preserve"> of GRAL results</w:t>
      </w:r>
      <w:r>
        <w:t>. However, this same factor improved the agreement of AUSTAL and SYMOS with the field inspections, compared to the notable underestimation in Figure 2a. Even so, SYMOS results were still out of the uncertainty range of the observed values for more than half of the reference points.</w:t>
      </w:r>
    </w:p>
    <w:p w:rsidR="009D7D24" w:rsidRDefault="00C14E6F" w14:paraId="4FD779EF" w14:textId="06CF82F1">
      <w:pPr>
        <w:pStyle w:val="CETBodytext"/>
      </w:pPr>
      <w:r>
        <w:t xml:space="preserve">According to Figure 2c, the consideration of buildings tended to increase the frequency of odour hours calculated with GRAL, particularly at reference points 1 and 5, located in the leeward side of the pig farm. This enhanced significantly the accuracy of the model. Conversely, although AUSTAL also predicted a slightly higher value at </w:t>
      </w:r>
      <w:r>
        <w:lastRenderedPageBreak/>
        <w:t xml:space="preserve">point 1, results generally worsened </w:t>
      </w:r>
      <w:r w:rsidR="008F1ED6">
        <w:t>when buildings were included</w:t>
      </w:r>
      <w:r w:rsidR="00473890">
        <w:t>, as</w:t>
      </w:r>
      <w:r w:rsidR="008F1ED6">
        <w:t xml:space="preserve"> </w:t>
      </w:r>
      <w:r w:rsidR="00473890">
        <w:t>a m</w:t>
      </w:r>
      <w:r>
        <w:t>odest decrease</w:t>
      </w:r>
      <w:r w:rsidR="008F1ED6">
        <w:t xml:space="preserve"> </w:t>
      </w:r>
      <w:r w:rsidR="007518DA">
        <w:t>was</w:t>
      </w:r>
      <w:r w:rsidR="00473890">
        <w:t xml:space="preserve"> observed</w:t>
      </w:r>
      <w:r>
        <w:t xml:space="preserve">. Another remark is that neither model showed any impact in the windward side of the building (reference </w:t>
      </w:r>
      <w:r w:rsidR="008F1ED6">
        <w:t>point </w:t>
      </w:r>
      <w:r>
        <w:t xml:space="preserve">4) and measurement points further from the source (7-12) did not present an appreciable change.  </w:t>
      </w:r>
    </w:p>
    <w:p w:rsidR="009D7D24" w:rsidRDefault="00C14E6F" w14:paraId="186DB4DF" w14:textId="416C8796">
      <w:pPr>
        <w:pStyle w:val="CETBodytext"/>
      </w:pPr>
      <w:r>
        <w:rPr>
          <w:lang w:val="en-GB"/>
        </w:rPr>
        <w:t xml:space="preserve">Several studies have argued about which value of </w:t>
      </w:r>
      <w:r w:rsidRPr="00B73B7B">
        <w:rPr>
          <w:i/>
          <w:lang w:val="en-GB"/>
        </w:rPr>
        <w:t>R</w:t>
      </w:r>
      <w:r w:rsidRPr="00B73B7B">
        <w:rPr>
          <w:i/>
          <w:vertAlign w:val="subscript"/>
          <w:lang w:val="en-GB"/>
        </w:rPr>
        <w:t>90</w:t>
      </w:r>
      <w:r>
        <w:rPr>
          <w:vertAlign w:val="subscript"/>
          <w:lang w:val="en-GB"/>
        </w:rPr>
        <w:t xml:space="preserve"> </w:t>
      </w:r>
      <w:r>
        <w:rPr>
          <w:lang w:val="en-GB"/>
        </w:rPr>
        <w:t xml:space="preserve">would be better to simulate short-term peak concentrations. For instance, Brancher et al. (2020) evaluated the suitability of different methodologies based on the validation against the Uttenweiler </w:t>
      </w:r>
      <w:r w:rsidR="00473890">
        <w:rPr>
          <w:lang w:val="en-GB"/>
        </w:rPr>
        <w:t xml:space="preserve">pig farm </w:t>
      </w:r>
      <w:r>
        <w:rPr>
          <w:lang w:val="en-GB"/>
        </w:rPr>
        <w:t>dataset (</w:t>
      </w:r>
      <w:r>
        <w:t>Bächlin et al., 2002</w:t>
      </w:r>
      <w:r>
        <w:rPr>
          <w:lang w:val="en-GB"/>
        </w:rPr>
        <w:t>), and concluded that the CVM approach was the most successful replicating the observations, while a constant factor of 4 was well above</w:t>
      </w:r>
      <w:r w:rsidR="005B7306">
        <w:rPr>
          <w:lang w:val="en-GB"/>
        </w:rPr>
        <w:t>, particularly under stable conditions in the far-field</w:t>
      </w:r>
      <w:r>
        <w:rPr>
          <w:lang w:val="en-GB"/>
        </w:rPr>
        <w:t>. Souza et al. (2014) suggested a value of 2.2 for SYMOS validated with the same dataset. Nevertheless</w:t>
      </w:r>
      <w:r w:rsidR="00106F20">
        <w:rPr>
          <w:lang w:val="en-GB"/>
        </w:rPr>
        <w:t xml:space="preserve"> the current results show that</w:t>
      </w:r>
      <w:r>
        <w:rPr>
          <w:lang w:val="en-GB"/>
        </w:rPr>
        <w:t xml:space="preserve"> the capabilities of the dispersion model itself and input characteristics played a bigger role</w:t>
      </w:r>
      <w:r w:rsidR="004D30EC">
        <w:rPr>
          <w:lang w:val="en-GB"/>
        </w:rPr>
        <w:t xml:space="preserve"> than the selection of </w:t>
      </w:r>
      <w:r w:rsidRPr="00B73B7B" w:rsidR="004D30EC">
        <w:rPr>
          <w:i/>
          <w:lang w:val="en-GB"/>
        </w:rPr>
        <w:t>R</w:t>
      </w:r>
      <w:r w:rsidRPr="00B73B7B" w:rsidR="004D30EC">
        <w:rPr>
          <w:i/>
          <w:vertAlign w:val="subscript"/>
          <w:lang w:val="en-GB"/>
        </w:rPr>
        <w:t>90</w:t>
      </w:r>
      <w:r>
        <w:rPr>
          <w:lang w:val="en-GB"/>
        </w:rPr>
        <w:t xml:space="preserve">, since both AUSTAL and SYMOS tended to underestimate the </w:t>
      </w:r>
      <w:r w:rsidR="004776CD">
        <w:rPr>
          <w:lang w:val="en-GB"/>
        </w:rPr>
        <w:t>measur</w:t>
      </w:r>
      <w:r w:rsidR="000579FA">
        <w:rPr>
          <w:lang w:val="en-GB"/>
        </w:rPr>
        <w:t>ed values</w:t>
      </w:r>
      <w:r w:rsidR="00EC377E">
        <w:rPr>
          <w:lang w:val="en-GB"/>
        </w:rPr>
        <w:t xml:space="preserve"> in every scenario</w:t>
      </w:r>
      <w:r>
        <w:rPr>
          <w:lang w:val="en-GB"/>
        </w:rPr>
        <w:t xml:space="preserve">. Wensauer et al. (2006) had </w:t>
      </w:r>
      <w:r>
        <w:t>observed that parameters like the type of the source, influence of buildings, and roughness length had a crucial effect in the results of AUSTAL.</w:t>
      </w:r>
      <w:r>
        <w:rPr>
          <w:lang w:val="en-GB"/>
        </w:rPr>
        <w:t xml:space="preserve">    </w:t>
      </w:r>
    </w:p>
    <w:p w:rsidR="009D7D24" w:rsidRDefault="00C14E6F" w14:paraId="43C089D5" w14:textId="77777777">
      <w:pPr>
        <w:pStyle w:val="CETBodytext"/>
      </w:pPr>
      <w:r>
        <w:rPr>
          <w:noProof/>
          <w:lang w:val="cs-CZ" w:eastAsia="cs-CZ"/>
        </w:rPr>
        <mc:AlternateContent>
          <mc:Choice Requires="wpg">
            <w:drawing>
              <wp:inline distT="0" distB="0" distL="0" distR="0" wp14:anchorId="083EBB3D" wp14:editId="69A1C1EA">
                <wp:extent cx="5579745" cy="3187284"/>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153461" name=""/>
                        <pic:cNvPicPr>
                          <a:picLocks noChangeAspect="1"/>
                        </pic:cNvPicPr>
                      </pic:nvPicPr>
                      <pic:blipFill>
                        <a:blip r:embed="rId14"/>
                        <a:stretch/>
                      </pic:blipFill>
                      <pic:spPr bwMode="auto">
                        <a:xfrm>
                          <a:off x="0" y="0"/>
                          <a:ext cx="5579744" cy="3187284"/>
                        </a:xfrm>
                        <a:prstGeom prst="rect">
                          <a:avLst/>
                        </a:prstGeom>
                      </pic:spPr>
                    </pic:pic>
                  </a:graphicData>
                </a:graphic>
              </wp:inline>
            </w:drawing>
          </mc:Choice>
          <mc:Fallback xmlns:a14="http://schemas.microsoft.com/office/drawing/2010/main" xmlns:pic="http://schemas.openxmlformats.org/drawingml/2006/picture" xmlns:a="http://schemas.openxmlformats.org/drawingml/2006/main">
            <w:pict>
              <v:shapetype coordsize="21600,21600" o:spt="75" o:preferrelative="t" path="m@4@5l@4@11@9@11@9@5xe" type="#_x0000_t75">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style="mso-wrap-distance-left:0.0pt;mso-wrap-distance-top:0.0pt;mso-wrap-distance-right:0.0pt;mso-wrap-distance-bottom:0.0pt;width:439.3pt;height:251.0pt;" o:spid="_x0000_s3" stroked="false" type="#_x0000_t75">
                <v:path textboxrect="0,0,0,0"/>
                <v:imagedata o:title="" r:id="rId18"/>
              </v:shape>
            </w:pict>
          </mc:Fallback>
        </mc:AlternateContent>
      </w:r>
    </w:p>
    <w:p w:rsidR="009D7D24" w:rsidRDefault="00C14E6F" w14:paraId="4C747A68" w14:textId="77777777">
      <w:pPr>
        <w:pStyle w:val="CETBodytext"/>
      </w:pPr>
      <w:r>
        <w:rPr>
          <w:rStyle w:val="CETCaptionCarattere"/>
        </w:rPr>
        <w:t>Figure 2: Modelled frequency of odour hours using (a.) R</w:t>
      </w:r>
      <w:r>
        <w:rPr>
          <w:rStyle w:val="CETCaptionCarattere"/>
          <w:vertAlign w:val="subscript"/>
        </w:rPr>
        <w:t>90</w:t>
      </w:r>
      <w:r w:rsidR="008F1ED6">
        <w:rPr>
          <w:rStyle w:val="CETCaptionCarattere"/>
          <w:vertAlign w:val="subscript"/>
        </w:rPr>
        <w:t> </w:t>
      </w:r>
      <w:r>
        <w:rPr>
          <w:rStyle w:val="CETCaptionCarattere"/>
        </w:rPr>
        <w:t>=</w:t>
      </w:r>
      <w:r w:rsidR="008F1ED6">
        <w:rPr>
          <w:rStyle w:val="CETCaptionCarattere"/>
        </w:rPr>
        <w:t> </w:t>
      </w:r>
      <w:r>
        <w:rPr>
          <w:rStyle w:val="CETCaptionCarattere"/>
        </w:rPr>
        <w:t>1 and (b.) R</w:t>
      </w:r>
      <w:r>
        <w:rPr>
          <w:rStyle w:val="CETCaptionCarattere"/>
          <w:vertAlign w:val="subscript"/>
        </w:rPr>
        <w:t>90</w:t>
      </w:r>
      <w:r w:rsidR="008F1ED6">
        <w:rPr>
          <w:rStyle w:val="CETCaptionCarattere"/>
          <w:vertAlign w:val="subscript"/>
        </w:rPr>
        <w:t> </w:t>
      </w:r>
      <w:r>
        <w:rPr>
          <w:rStyle w:val="CETCaptionCarattere"/>
        </w:rPr>
        <w:t>=</w:t>
      </w:r>
      <w:r w:rsidR="008F1ED6">
        <w:rPr>
          <w:rStyle w:val="CETCaptionCarattere"/>
        </w:rPr>
        <w:t> </w:t>
      </w:r>
      <w:r>
        <w:rPr>
          <w:rStyle w:val="CETCaptionCarattere"/>
        </w:rPr>
        <w:t>4. (c.) Comparison of Lagrangian models implementing CVM and R</w:t>
      </w:r>
      <w:r>
        <w:rPr>
          <w:rStyle w:val="CETCaptionCarattere"/>
          <w:vertAlign w:val="subscript"/>
        </w:rPr>
        <w:t>90</w:t>
      </w:r>
      <w:r w:rsidR="008F1ED6">
        <w:rPr>
          <w:rStyle w:val="CETCaptionCarattere"/>
          <w:vertAlign w:val="subscript"/>
        </w:rPr>
        <w:t> </w:t>
      </w:r>
      <w:r>
        <w:rPr>
          <w:rStyle w:val="CETCaptionCarattere"/>
        </w:rPr>
        <w:t>=</w:t>
      </w:r>
      <w:r w:rsidR="008F1ED6">
        <w:rPr>
          <w:rStyle w:val="CETCaptionCarattere"/>
        </w:rPr>
        <w:t> </w:t>
      </w:r>
      <w:r>
        <w:rPr>
          <w:rStyle w:val="CETCaptionCarattere"/>
        </w:rPr>
        <w:t>4 with the inclusion of buildings (squares).</w:t>
      </w:r>
    </w:p>
    <w:p w:rsidR="009D7D24" w:rsidRDefault="00C14E6F" w14:paraId="2B88D34E" w14:textId="77777777">
      <w:pPr>
        <w:pStyle w:val="CETHeading1"/>
        <w:tabs>
          <w:tab w:val="clear" w:pos="360"/>
          <w:tab w:val="right" w:pos="7100"/>
        </w:tabs>
        <w:jc w:val="both"/>
        <w:rPr>
          <w:lang w:val="en-GB"/>
        </w:rPr>
      </w:pPr>
      <w:r>
        <w:rPr>
          <w:lang w:val="en-GB"/>
        </w:rPr>
        <w:t xml:space="preserve">Feed production industry in </w:t>
      </w:r>
      <w:r>
        <w:rPr>
          <w:highlight w:val="white"/>
        </w:rPr>
        <w:t>Prague</w:t>
      </w:r>
      <w:r>
        <w:t>, Czech Republic</w:t>
      </w:r>
    </w:p>
    <w:p w:rsidR="009D7D24" w:rsidRDefault="00C14E6F" w14:paraId="3B1F23EA" w14:textId="17098544">
      <w:pPr>
        <w:pStyle w:val="CETBodytext"/>
      </w:pPr>
      <w:r>
        <w:t xml:space="preserve">The source consists of 6 chimneys </w:t>
      </w:r>
      <w:r w:rsidR="00D64FC4">
        <w:t xml:space="preserve">with </w:t>
      </w:r>
      <w:r>
        <w:t>a height of 17 m, emitting 270,000 OU</w:t>
      </w:r>
      <w:r>
        <w:rPr>
          <w:vertAlign w:val="subscript"/>
        </w:rPr>
        <w:t>E</w:t>
      </w:r>
      <w:r w:rsidRPr="000F0832" w:rsidR="008F1ED6">
        <w:rPr>
          <w:rFonts w:cs="Arial"/>
        </w:rPr>
        <w:t>∙</w:t>
      </w:r>
      <w:r w:rsidRPr="000F0832" w:rsidR="008F1ED6">
        <w:t>s</w:t>
      </w:r>
      <w:r w:rsidRPr="000F0832" w:rsidR="008F1ED6">
        <w:rPr>
          <w:rFonts w:ascii="Times New Roman" w:hAnsi="Times New Roman"/>
          <w:vertAlign w:val="superscript"/>
        </w:rPr>
        <w:t>−</w:t>
      </w:r>
      <w:r w:rsidRPr="000F0832" w:rsidR="008F1ED6">
        <w:rPr>
          <w:vertAlign w:val="superscript"/>
        </w:rPr>
        <w:t>1</w:t>
      </w:r>
      <w:r>
        <w:t xml:space="preserve"> altogether with exit velocities ranging from 2.7 to 6.6 m</w:t>
      </w:r>
      <w:r w:rsidRPr="00776084" w:rsidR="008F1ED6">
        <w:rPr>
          <w:rFonts w:cs="Arial"/>
        </w:rPr>
        <w:t>∙</w:t>
      </w:r>
      <w:r w:rsidRPr="00776084" w:rsidR="008F1ED6">
        <w:t>s</w:t>
      </w:r>
      <w:r w:rsidRPr="00776084" w:rsidR="008F1ED6">
        <w:rPr>
          <w:rFonts w:ascii="Times New Roman" w:hAnsi="Times New Roman"/>
          <w:vertAlign w:val="superscript"/>
        </w:rPr>
        <w:t>−</w:t>
      </w:r>
      <w:r w:rsidRPr="00776084" w:rsidR="008F1ED6">
        <w:rPr>
          <w:vertAlign w:val="superscript"/>
        </w:rPr>
        <w:t>1</w:t>
      </w:r>
      <w:r>
        <w:t xml:space="preserve">. During the period between September 2018 and December 2019, the AirQ system collected 670 complaints. For optimization purposes, a grid of 200 m was chosen to group the receptors and the modelling domain was restricted to 12 x 10 km, omitting </w:t>
      </w:r>
      <w:r w:rsidR="008F1ED6">
        <w:t xml:space="preserve">rare </w:t>
      </w:r>
      <w:r>
        <w:t>complaints</w:t>
      </w:r>
      <w:r w:rsidR="008F1ED6">
        <w:t>,</w:t>
      </w:r>
      <w:r>
        <w:t xml:space="preserve"> which were further than 8 km away from the source. Consequently, the total number of modelled receptors was reduced to 191, in representation of 648 complaints. </w:t>
      </w:r>
    </w:p>
    <w:p w:rsidR="009D7D24" w:rsidRDefault="00C14E6F" w14:paraId="34B193E9" w14:textId="5688659D">
      <w:pPr>
        <w:pStyle w:val="CETBodytext"/>
      </w:pPr>
      <w:r>
        <w:t>The wind rose and stability parameters were obtained by CALMET pre-processor using available standard meteorological observations. There were predominant winds from the south-west with speeds mainly between 2 and 6 m</w:t>
      </w:r>
      <w:r w:rsidRPr="00776084" w:rsidR="008F1ED6">
        <w:rPr>
          <w:rFonts w:cs="Arial"/>
        </w:rPr>
        <w:t>∙</w:t>
      </w:r>
      <w:r w:rsidRPr="00776084" w:rsidR="008F1ED6">
        <w:t>s</w:t>
      </w:r>
      <w:r w:rsidRPr="00776084" w:rsidR="008F1ED6">
        <w:rPr>
          <w:rFonts w:ascii="Times New Roman" w:hAnsi="Times New Roman"/>
          <w:vertAlign w:val="superscript"/>
        </w:rPr>
        <w:t>−</w:t>
      </w:r>
      <w:r w:rsidRPr="00776084" w:rsidR="008F1ED6">
        <w:rPr>
          <w:vertAlign w:val="superscript"/>
        </w:rPr>
        <w:t>1</w:t>
      </w:r>
      <w:r>
        <w:t xml:space="preserve">, and a high share of neutral conditions. The methodology described by Patiño and Duong (2022) was implemented to calculate the temperature gradient for SYMOS input as an alternative to stability classes, based on the mixing height estimated by CALMET. Complex terrain was included into the simulations using </w:t>
      </w:r>
      <w:r w:rsidR="00862FB3">
        <w:t>a </w:t>
      </w:r>
      <w:r>
        <w:t xml:space="preserve">roughness length of 0.2 m, characteristic for the outskirts of the city. The models were run to estimate frequency of odour hours, as well as time series of concentrations, using </w:t>
      </w:r>
      <w:r w:rsidRPr="00B73B7B">
        <w:rPr>
          <w:i/>
        </w:rPr>
        <w:t>R</w:t>
      </w:r>
      <w:r w:rsidRPr="00B73B7B">
        <w:rPr>
          <w:i/>
          <w:vertAlign w:val="subscript"/>
        </w:rPr>
        <w:t>90</w:t>
      </w:r>
      <w:r>
        <w:t xml:space="preserve"> = 4 in the case of SYMOS and AUSTAL, and the CVM for GRAL.</w:t>
      </w:r>
    </w:p>
    <w:p w:rsidR="009D7D24" w:rsidRDefault="00C14E6F" w14:paraId="1B842B90" w14:textId="77777777">
      <w:pPr>
        <w:pStyle w:val="CETheadingx"/>
      </w:pPr>
      <w:r>
        <w:t>Complaints records</w:t>
      </w:r>
    </w:p>
    <w:p w:rsidR="009D7D24" w:rsidRDefault="00C14E6F" w14:paraId="507FA720" w14:textId="0D1F54B1">
      <w:pPr>
        <w:pStyle w:val="CETBodytext"/>
      </w:pPr>
      <w:r>
        <w:t>Figure 3 illustrates the duration and intensity of the odour episodes</w:t>
      </w:r>
      <w:r w:rsidR="00FF7DEE">
        <w:t xml:space="preserve"> as it was</w:t>
      </w:r>
      <w:r>
        <w:t xml:space="preserve"> registered by the complainants</w:t>
      </w:r>
      <w:r w:rsidR="00535EDD">
        <w:t>, categorized</w:t>
      </w:r>
      <w:r w:rsidR="00FF7DEE">
        <w:t xml:space="preserve"> in four levels (1-weak to 4-strong)</w:t>
      </w:r>
      <w:r w:rsidR="00535EDD">
        <w:t>. T</w:t>
      </w:r>
      <w:r>
        <w:t xml:space="preserve">he smallest bubble size represents one “odour hour”, i.e. the perception of odour was longer than 6 minutes. </w:t>
      </w:r>
      <w:r w:rsidR="00EE7CA6">
        <w:t xml:space="preserve">Thus, an odour episode is represented by multiple bubbles </w:t>
      </w:r>
      <w:r w:rsidR="00EE7CA6">
        <w:lastRenderedPageBreak/>
        <w:t>growing in s</w:t>
      </w:r>
      <w:r w:rsidR="009E2641">
        <w:t xml:space="preserve">ize. A </w:t>
      </w:r>
      <w:r w:rsidR="00EE7CA6">
        <w:t xml:space="preserve">change of color </w:t>
      </w:r>
      <w:r w:rsidR="004C247D">
        <w:t xml:space="preserve">within the same episode </w:t>
      </w:r>
      <w:r w:rsidR="00EE7CA6">
        <w:t xml:space="preserve">means there are two </w:t>
      </w:r>
      <w:r w:rsidR="004C247D">
        <w:t>complaint</w:t>
      </w:r>
      <w:r w:rsidR="00EE7CA6">
        <w:t>s overlapped</w:t>
      </w:r>
      <w:r w:rsidR="009E2641">
        <w:t xml:space="preserve"> with different </w:t>
      </w:r>
      <w:r w:rsidR="007B695A">
        <w:t>duration and intensity</w:t>
      </w:r>
      <w:r w:rsidR="00EE7CA6">
        <w:t xml:space="preserve">. </w:t>
      </w:r>
      <w:r>
        <w:t xml:space="preserve">It can be concluded that a great portion of the events were recorded in the early morning and in the evening. The intensity tended to be between 3 and 4 in most of the long-lasting episodes, which indicates a strong and likely annoying odour for the population. </w:t>
      </w:r>
      <w:r w:rsidRPr="00EC377E">
        <w:t xml:space="preserve">After May 2019 complaints </w:t>
      </w:r>
      <w:r w:rsidR="001F1B89">
        <w:t>were recorded with less frequency</w:t>
      </w:r>
      <w:r w:rsidR="00EC377E">
        <w:t xml:space="preserve"> due to a change in the operation facilities of the industry.</w:t>
      </w:r>
    </w:p>
    <w:p w:rsidR="003F3601" w:rsidRDefault="003F3601" w14:paraId="2801892C" w14:textId="77777777">
      <w:pPr>
        <w:pStyle w:val="CETBodytext"/>
      </w:pPr>
    </w:p>
    <w:p w:rsidR="009D7D24" w:rsidRDefault="00C14E6F" w14:paraId="4C3B4539" w14:textId="77777777">
      <w:pPr>
        <w:pStyle w:val="CETBodytext"/>
      </w:pPr>
      <w:r>
        <w:rPr>
          <w:noProof/>
          <w:lang w:val="cs-CZ" w:eastAsia="cs-CZ"/>
        </w:rPr>
        <w:drawing>
          <wp:inline distT="0" distB="0" distL="0" distR="0" wp14:anchorId="7D991508" wp14:editId="350FB298">
            <wp:extent cx="3445459" cy="2198379"/>
            <wp:effectExtent l="0" t="0" r="3175"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36919" name=""/>
                    <pic:cNvPicPr>
                      <a:picLocks noChangeAspect="1"/>
                    </pic:cNvPicPr>
                  </pic:nvPicPr>
                  <pic:blipFill>
                    <a:blip r:embed="rId19"/>
                    <a:stretch/>
                  </pic:blipFill>
                  <pic:spPr bwMode="auto">
                    <a:xfrm>
                      <a:off x="0" y="0"/>
                      <a:ext cx="3465012" cy="2210855"/>
                    </a:xfrm>
                    <a:prstGeom prst="rect">
                      <a:avLst/>
                    </a:prstGeom>
                  </pic:spPr>
                </pic:pic>
              </a:graphicData>
            </a:graphic>
          </wp:inline>
        </w:drawing>
      </w:r>
    </w:p>
    <w:p w:rsidR="009D7D24" w:rsidRDefault="00C14E6F" w14:paraId="18DB8A4E" w14:textId="77777777">
      <w:pPr>
        <w:pStyle w:val="CETBodytext"/>
      </w:pPr>
      <w:r>
        <w:rPr>
          <w:rStyle w:val="CETCaptionCarattere"/>
        </w:rPr>
        <w:t>Figure 3: Odour episodes according to the complaints collected in the surroundings of the industry.</w:t>
      </w:r>
    </w:p>
    <w:p w:rsidR="009D7D24" w:rsidRDefault="00C14E6F" w14:paraId="395589B5" w14:textId="77777777">
      <w:pPr>
        <w:pStyle w:val="CETheadingx"/>
      </w:pPr>
      <w:r>
        <w:t>Re-evaluation of complaints with “odour hour” methodology</w:t>
      </w:r>
    </w:p>
    <w:p w:rsidR="009D7D24" w:rsidRDefault="00C14E6F" w14:paraId="2190C783" w14:textId="5337BA0F">
      <w:pPr>
        <w:pStyle w:val="CETBodytext"/>
      </w:pPr>
      <w:r>
        <w:t xml:space="preserve">In order to perform an assessment of the complaints records only the criterion of plume impaction (5 points) was considered. The comparison shown in Figure 4a illustrates the number of complaints which were deemed to be valid because the model predicted a concentration higher than 0 </w:t>
      </w:r>
      <w:r>
        <w:rPr>
          <w:rStyle w:val="CETCaptionCarattere"/>
          <w:i w:val="0"/>
        </w:rPr>
        <w:t>OU</w:t>
      </w:r>
      <w:r w:rsidRPr="00FE43E3" w:rsidR="00862FB3">
        <w:rPr>
          <w:rStyle w:val="CETCaptionCarattere"/>
          <w:i w:val="0"/>
          <w:vertAlign w:val="subscript"/>
        </w:rPr>
        <w:t>E</w:t>
      </w:r>
      <w:r w:rsidRPr="00FE43E3" w:rsidR="00862FB3">
        <w:rPr>
          <w:rFonts w:cs="Arial"/>
          <w:vertAlign w:val="subscript"/>
          <w:lang w:val="en-GB"/>
        </w:rPr>
        <w:t>∙</w:t>
      </w:r>
      <w:r w:rsidRPr="00FE43E3" w:rsidR="00862FB3">
        <w:rPr>
          <w:lang w:val="en-GB"/>
        </w:rPr>
        <w:t>m</w:t>
      </w:r>
      <w:r w:rsidRPr="00FE43E3" w:rsidR="00862FB3">
        <w:rPr>
          <w:rFonts w:ascii="Times New Roman" w:hAnsi="Times New Roman"/>
          <w:vertAlign w:val="superscript"/>
          <w:lang w:val="en-GB"/>
        </w:rPr>
        <w:t>−</w:t>
      </w:r>
      <w:r w:rsidRPr="00FE43E3" w:rsidR="00862FB3">
        <w:rPr>
          <w:vertAlign w:val="superscript"/>
          <w:lang w:val="en-GB"/>
        </w:rPr>
        <w:t>3</w:t>
      </w:r>
      <w:r>
        <w:rPr>
          <w:rStyle w:val="CETCaptionCarattere"/>
          <w:i w:val="0"/>
        </w:rPr>
        <w:t xml:space="preserve"> during the span of the record</w:t>
      </w:r>
      <w:r>
        <w:t xml:space="preserve">, as it is established currently in the AirQ system. Nevertheless, it was decided to increase this limit to </w:t>
      </w:r>
      <w:r w:rsidR="00862FB3">
        <w:t>1 </w:t>
      </w:r>
      <w:r>
        <w:rPr>
          <w:rStyle w:val="CETCaptionCarattere"/>
          <w:i w:val="0"/>
        </w:rPr>
        <w:t>OU</w:t>
      </w:r>
      <w:r w:rsidRPr="00776084" w:rsidR="00862FB3">
        <w:rPr>
          <w:rStyle w:val="CETCaptionCarattere"/>
          <w:i w:val="0"/>
          <w:vertAlign w:val="subscript"/>
        </w:rPr>
        <w:t>E</w:t>
      </w:r>
      <w:r w:rsidRPr="00776084" w:rsidR="00862FB3">
        <w:rPr>
          <w:rFonts w:cs="Arial"/>
          <w:vertAlign w:val="subscript"/>
          <w:lang w:val="en-GB"/>
        </w:rPr>
        <w:t>∙</w:t>
      </w:r>
      <w:r w:rsidRPr="00776084" w:rsidR="00862FB3">
        <w:rPr>
          <w:lang w:val="en-GB"/>
        </w:rPr>
        <w:t>m</w:t>
      </w:r>
      <w:r w:rsidRPr="00776084" w:rsidR="00862FB3">
        <w:rPr>
          <w:rFonts w:ascii="Times New Roman" w:hAnsi="Times New Roman"/>
          <w:vertAlign w:val="superscript"/>
          <w:lang w:val="en-GB"/>
        </w:rPr>
        <w:t>−</w:t>
      </w:r>
      <w:r w:rsidRPr="00776084" w:rsidR="00862FB3">
        <w:rPr>
          <w:vertAlign w:val="superscript"/>
          <w:lang w:val="en-GB"/>
        </w:rPr>
        <w:t>3</w:t>
      </w:r>
      <w:r>
        <w:t xml:space="preserve"> in Figure 4b to avoid the influence of extremely low concentrations, which are usually noisy data that should not be taken into account for the validation of complaints.</w:t>
      </w:r>
      <w:r w:rsidR="007660C6">
        <w:t xml:space="preserve"> </w:t>
      </w:r>
      <w:r w:rsidR="00416360">
        <w:t>The category</w:t>
      </w:r>
      <w:r w:rsidR="007660C6">
        <w:t xml:space="preserve"> “</w:t>
      </w:r>
      <w:r w:rsidR="008E70E4">
        <w:t>o</w:t>
      </w:r>
      <w:r w:rsidR="007660C6">
        <w:t xml:space="preserve">ther” means </w:t>
      </w:r>
      <w:r w:rsidR="008E70E4">
        <w:t>that other sources or factors could have caused the complaint, or simply the model was not able to predict the nuisance</w:t>
      </w:r>
      <w:r w:rsidR="005B3EBE">
        <w:t xml:space="preserve"> perceived</w:t>
      </w:r>
      <w:r w:rsidR="008E70E4">
        <w:t>.</w:t>
      </w:r>
      <w:r w:rsidR="007660C6">
        <w:t xml:space="preserve"> </w:t>
      </w:r>
    </w:p>
    <w:p w:rsidR="009D7D24" w:rsidRDefault="00C14E6F" w14:paraId="4A42AF80" w14:textId="01F7C0AD">
      <w:pPr>
        <w:pStyle w:val="CETBodytext"/>
      </w:pPr>
      <w:r>
        <w:t xml:space="preserve">The bar plots show that a small percentage of complaints was not evaluated because records submitted before the </w:t>
      </w:r>
      <w:r w:rsidR="00FE43E3">
        <w:t xml:space="preserve">beginning of </w:t>
      </w:r>
      <w:r w:rsidR="00EE7CA6">
        <w:t xml:space="preserve">the </w:t>
      </w:r>
      <w:r>
        <w:t>presumed odour episode were dismissed. Additionally, the AirQ system was not able to cross-check some complaints due to insufficient on-site meteorology. In Figure 4a, SYMOS and AUSTAL simulated a lower amount of valid complaints, while GRAL estimated</w:t>
      </w:r>
      <w:r w:rsidR="0021703D">
        <w:t xml:space="preserve"> non-zero concentrations in</w:t>
      </w:r>
      <w:r>
        <w:t xml:space="preserve"> almost 92 % of the </w:t>
      </w:r>
      <w:r w:rsidR="0021703D">
        <w:t>cases</w:t>
      </w:r>
      <w:r>
        <w:t xml:space="preserve">. On the other hand, Figure 4b shows a very good agreement between the models, although at most 35 % of the complaints </w:t>
      </w:r>
      <w:r w:rsidR="005B3EBE">
        <w:t>were considered valid</w:t>
      </w:r>
      <w:r>
        <w:t xml:space="preserve">. It </w:t>
      </w:r>
      <w:r w:rsidR="005B3EBE">
        <w:t>wa</w:t>
      </w:r>
      <w:r w:rsidR="00945A89">
        <w:t>s</w:t>
      </w:r>
      <w:r>
        <w:t xml:space="preserve"> observed that changing the threshold c</w:t>
      </w:r>
      <w:r w:rsidR="005B3EBE">
        <w:t>ould</w:t>
      </w:r>
      <w:r>
        <w:t xml:space="preserve"> drastically modify the assessment by shifting around half of the complaints from one category to the other. It also indicates that GRAL predictions were greatly influenced by low concentrations.           </w:t>
      </w:r>
    </w:p>
    <w:p w:rsidR="009D7D24" w:rsidRDefault="00543AEC" w14:paraId="7B53A334" w14:textId="21D121E1">
      <w:pPr>
        <w:pStyle w:val="CETBodytext"/>
      </w:pPr>
      <w:r>
        <w:rPr>
          <w:noProof/>
          <w:lang w:val="cs-CZ" w:eastAsia="cs-CZ"/>
        </w:rPr>
        <w:drawing>
          <wp:inline distT="0" distB="0" distL="0" distR="0" wp14:anchorId="52F3E5D9" wp14:editId="1096CC51">
            <wp:extent cx="5568950" cy="1988653"/>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05851" cy="2001830"/>
                    </a:xfrm>
                    <a:prstGeom prst="rect">
                      <a:avLst/>
                    </a:prstGeom>
                    <a:noFill/>
                  </pic:spPr>
                </pic:pic>
              </a:graphicData>
            </a:graphic>
          </wp:inline>
        </w:drawing>
      </w:r>
    </w:p>
    <w:p w:rsidR="009D7D24" w:rsidRDefault="00C14E6F" w14:paraId="52A8FCB3" w14:textId="51E12F7F">
      <w:pPr>
        <w:pStyle w:val="CETBodytext"/>
      </w:pPr>
      <w:r>
        <w:rPr>
          <w:rStyle w:val="CETCaptionCarattere"/>
        </w:rPr>
        <w:t>Figure 4: Comparison of model predictions for (a.) C</w:t>
      </w:r>
      <w:r>
        <w:rPr>
          <w:rStyle w:val="CETCaptionCarattere"/>
          <w:vertAlign w:val="subscript"/>
        </w:rPr>
        <w:t>t</w:t>
      </w:r>
      <w:r>
        <w:rPr>
          <w:rStyle w:val="CETCaptionCarattere"/>
        </w:rPr>
        <w:t xml:space="preserve"> = 0 OU</w:t>
      </w:r>
      <w:r w:rsidRPr="000F0832" w:rsidR="00862FB3">
        <w:rPr>
          <w:rStyle w:val="CETCaptionCarattere"/>
          <w:vertAlign w:val="subscript"/>
        </w:rPr>
        <w:t>E</w:t>
      </w:r>
      <w:r w:rsidRPr="000F0832" w:rsidR="00862FB3">
        <w:rPr>
          <w:rFonts w:cs="Arial"/>
          <w:i/>
          <w:vertAlign w:val="subscript"/>
          <w:lang w:val="en-GB"/>
        </w:rPr>
        <w:t>∙</w:t>
      </w:r>
      <w:r w:rsidRPr="000F0832" w:rsidR="00862FB3">
        <w:rPr>
          <w:i/>
          <w:lang w:val="en-GB"/>
        </w:rPr>
        <w:t>m</w:t>
      </w:r>
      <w:r w:rsidRPr="000F0832" w:rsidR="00862FB3">
        <w:rPr>
          <w:rFonts w:ascii="Times New Roman" w:hAnsi="Times New Roman"/>
          <w:i/>
          <w:vertAlign w:val="superscript"/>
          <w:lang w:val="en-GB"/>
        </w:rPr>
        <w:t>−</w:t>
      </w:r>
      <w:r w:rsidRPr="000F0832" w:rsidR="00862FB3">
        <w:rPr>
          <w:i/>
          <w:vertAlign w:val="superscript"/>
          <w:lang w:val="en-GB"/>
        </w:rPr>
        <w:t>3</w:t>
      </w:r>
      <w:r>
        <w:rPr>
          <w:rStyle w:val="CETCaptionCarattere"/>
        </w:rPr>
        <w:t xml:space="preserve"> and (b.) C</w:t>
      </w:r>
      <w:r>
        <w:rPr>
          <w:rStyle w:val="CETCaptionCarattere"/>
          <w:vertAlign w:val="subscript"/>
        </w:rPr>
        <w:t>t</w:t>
      </w:r>
      <w:r>
        <w:rPr>
          <w:rStyle w:val="CETCaptionCarattere"/>
        </w:rPr>
        <w:t xml:space="preserve"> = 1 OU</w:t>
      </w:r>
      <w:r w:rsidRPr="000F0832" w:rsidR="00862FB3">
        <w:rPr>
          <w:rStyle w:val="CETCaptionCarattere"/>
          <w:vertAlign w:val="subscript"/>
        </w:rPr>
        <w:t>E</w:t>
      </w:r>
      <w:r w:rsidRPr="00776084" w:rsidR="00862FB3">
        <w:rPr>
          <w:rFonts w:cs="Arial"/>
          <w:i/>
          <w:vertAlign w:val="subscript"/>
          <w:lang w:val="en-GB"/>
        </w:rPr>
        <w:t>∙</w:t>
      </w:r>
      <w:r w:rsidRPr="00776084" w:rsidR="00862FB3">
        <w:rPr>
          <w:i/>
          <w:lang w:val="en-GB"/>
        </w:rPr>
        <w:t>m</w:t>
      </w:r>
      <w:r w:rsidRPr="00776084" w:rsidR="00862FB3">
        <w:rPr>
          <w:rFonts w:ascii="Times New Roman" w:hAnsi="Times New Roman"/>
          <w:i/>
          <w:vertAlign w:val="superscript"/>
          <w:lang w:val="en-GB"/>
        </w:rPr>
        <w:t>−</w:t>
      </w:r>
      <w:r w:rsidRPr="00776084" w:rsidR="00862FB3">
        <w:rPr>
          <w:i/>
          <w:vertAlign w:val="superscript"/>
          <w:lang w:val="en-GB"/>
        </w:rPr>
        <w:t>3</w:t>
      </w:r>
      <w:r>
        <w:rPr>
          <w:rStyle w:val="CETCaptionCarattere"/>
        </w:rPr>
        <w:t>.</w:t>
      </w:r>
    </w:p>
    <w:p w:rsidR="003F3601" w:rsidRDefault="003F3601" w14:paraId="1578F88B" w14:textId="77777777">
      <w:pPr>
        <w:pStyle w:val="CETBodytext"/>
      </w:pPr>
    </w:p>
    <w:p w:rsidR="001E5BB5" w:rsidRDefault="00C14E6F" w14:paraId="3766FA30" w14:textId="4938A93F">
      <w:pPr>
        <w:pStyle w:val="CETBodytext"/>
      </w:pPr>
      <w:r>
        <w:t xml:space="preserve">The maps in Figure 5 associate the evaluation of the complaints in time and space with the frequency of odour hours. Circles represent valid (red) or “other” (blue) complaints, and star shaped symbols highlight the location of complaints with an intensity of 3 or 4. Contours were arranged to match the most common </w:t>
      </w:r>
      <w:r w:rsidR="00332ACA">
        <w:t xml:space="preserve">odour impact </w:t>
      </w:r>
      <w:r w:rsidR="00332ACA">
        <w:lastRenderedPageBreak/>
        <w:t>criteria summarized in Brancher et al. (2017)</w:t>
      </w:r>
      <w:r w:rsidR="003A385F">
        <w:t>.</w:t>
      </w:r>
      <w:r w:rsidR="00332ACA">
        <w:t xml:space="preserve"> </w:t>
      </w:r>
      <w:r w:rsidR="00CA52F3">
        <w:t xml:space="preserve">For </w:t>
      </w:r>
      <w:r w:rsidR="003A385F">
        <w:t xml:space="preserve">a </w:t>
      </w:r>
      <w:r w:rsidR="008E70E4">
        <w:rPr>
          <w:rStyle w:val="CETCaptionCarattere"/>
        </w:rPr>
        <w:t>C</w:t>
      </w:r>
      <w:r w:rsidR="008E70E4">
        <w:rPr>
          <w:rStyle w:val="CETCaptionCarattere"/>
          <w:vertAlign w:val="subscript"/>
        </w:rPr>
        <w:t>t</w:t>
      </w:r>
      <w:r w:rsidR="003A385F">
        <w:t xml:space="preserve"> of 1 OU</w:t>
      </w:r>
      <w:r w:rsidRPr="00776084" w:rsidR="003A385F">
        <w:rPr>
          <w:rStyle w:val="CETCaptionCarattere"/>
          <w:i w:val="0"/>
          <w:vertAlign w:val="subscript"/>
        </w:rPr>
        <w:t>E</w:t>
      </w:r>
      <w:r w:rsidRPr="00776084" w:rsidR="003A385F">
        <w:rPr>
          <w:rFonts w:cs="Arial"/>
          <w:vertAlign w:val="subscript"/>
          <w:lang w:val="en-GB"/>
        </w:rPr>
        <w:t>∙</w:t>
      </w:r>
      <w:r w:rsidRPr="00776084" w:rsidR="003A385F">
        <w:rPr>
          <w:lang w:val="en-GB"/>
        </w:rPr>
        <w:t>m</w:t>
      </w:r>
      <w:r w:rsidRPr="00776084" w:rsidR="003A385F">
        <w:rPr>
          <w:rFonts w:ascii="Times New Roman" w:hAnsi="Times New Roman"/>
          <w:vertAlign w:val="superscript"/>
          <w:lang w:val="en-GB"/>
        </w:rPr>
        <w:t>−</w:t>
      </w:r>
      <w:r w:rsidRPr="00776084" w:rsidR="003A385F">
        <w:rPr>
          <w:vertAlign w:val="superscript"/>
          <w:lang w:val="en-GB"/>
        </w:rPr>
        <w:t>3</w:t>
      </w:r>
      <w:r w:rsidR="00CA52F3">
        <w:t xml:space="preserve">, Canada, Australia and New Zealand </w:t>
      </w:r>
      <w:r w:rsidR="003A385F">
        <w:t>set</w:t>
      </w:r>
      <w:r w:rsidR="00CA52F3">
        <w:t xml:space="preserve"> </w:t>
      </w:r>
      <w:r w:rsidR="003A385F">
        <w:t>the most</w:t>
      </w:r>
      <w:r w:rsidR="00CA52F3">
        <w:t xml:space="preserve"> stringent value </w:t>
      </w:r>
      <w:r w:rsidR="00AB08F9">
        <w:t xml:space="preserve">of 0.5 % </w:t>
      </w:r>
      <w:r w:rsidR="00CA52F3">
        <w:t xml:space="preserve">exceedance probability. </w:t>
      </w:r>
      <w:r w:rsidR="00291718">
        <w:t>Germany and Austria</w:t>
      </w:r>
      <w:r w:rsidR="00CA52F3">
        <w:t xml:space="preserve"> prefer a more conservative approach</w:t>
      </w:r>
      <w:r w:rsidR="00AB08F9">
        <w:t xml:space="preserve"> with </w:t>
      </w:r>
      <w:r w:rsidR="00CA52F3">
        <w:t xml:space="preserve">allowed </w:t>
      </w:r>
      <w:r w:rsidR="00FE1D6F">
        <w:t xml:space="preserve">exceedances </w:t>
      </w:r>
      <w:r w:rsidR="00CA52F3">
        <w:t>of 15</w:t>
      </w:r>
      <w:r w:rsidR="00AB08F9">
        <w:t xml:space="preserve"> </w:t>
      </w:r>
      <w:r w:rsidR="00CA52F3">
        <w:t>% to 10</w:t>
      </w:r>
      <w:r w:rsidR="00AB08F9">
        <w:t xml:space="preserve"> </w:t>
      </w:r>
      <w:r w:rsidR="00CA52F3">
        <w:t xml:space="preserve">% for </w:t>
      </w:r>
      <w:r w:rsidR="00291718">
        <w:t>the first</w:t>
      </w:r>
      <w:r w:rsidR="00CA52F3">
        <w:t xml:space="preserve"> and 8</w:t>
      </w:r>
      <w:r w:rsidR="00AB08F9">
        <w:t xml:space="preserve"> </w:t>
      </w:r>
      <w:r w:rsidR="00CA52F3">
        <w:t xml:space="preserve">% for </w:t>
      </w:r>
      <w:r w:rsidR="00291718">
        <w:t>the latter</w:t>
      </w:r>
      <w:r w:rsidR="00CA52F3">
        <w:t>.</w:t>
      </w:r>
      <w:r w:rsidR="00291718">
        <w:t xml:space="preserve"> Several other </w:t>
      </w:r>
      <w:r w:rsidR="00FE1D6F">
        <w:t>countries</w:t>
      </w:r>
      <w:r w:rsidR="00291718">
        <w:t xml:space="preserve"> (e.g. UK, Ireland, Netherlands, Belgium,</w:t>
      </w:r>
      <w:r w:rsidR="00233AAA">
        <w:t xml:space="preserve"> Italy,</w:t>
      </w:r>
      <w:r w:rsidR="00291718">
        <w:t xml:space="preserve"> France, Spain, Colombia) agree on evaluating </w:t>
      </w:r>
      <w:r w:rsidR="00233AAA">
        <w:t>odours</w:t>
      </w:r>
      <w:r w:rsidR="00291718">
        <w:t xml:space="preserve"> with an exceedance probability of 2</w:t>
      </w:r>
      <w:r w:rsidR="00B4402D">
        <w:t xml:space="preserve"> </w:t>
      </w:r>
      <w:r w:rsidR="00291718">
        <w:t>%</w:t>
      </w:r>
      <w:r w:rsidR="00B4402D">
        <w:t>, also recognized as the irrelevance criterion for German regulations.</w:t>
      </w:r>
    </w:p>
    <w:p w:rsidR="009D7D24" w:rsidRDefault="00C14E6F" w14:paraId="57B4E15C" w14:textId="6294AD30">
      <w:pPr>
        <w:pStyle w:val="CETBodytext"/>
      </w:pPr>
      <w:r>
        <w:t>While SYMOS and AUSTAL present a similar pattern of contours, GRAL displays wider separation distances in the near-range and a milder impact of wind direction due to classification of input meteorology. It is also noteworthy that AUSTAL estimate</w:t>
      </w:r>
      <w:r w:rsidR="00B23A3A">
        <w:t>d</w:t>
      </w:r>
      <w:r>
        <w:t xml:space="preserve"> higher frequencies of odour hours as distance increase</w:t>
      </w:r>
      <w:r w:rsidR="00B23A3A">
        <w:t>d</w:t>
      </w:r>
      <w:r>
        <w:t>, as opposed to the other models which reach a frequency of 0.5 % within the domain</w:t>
      </w:r>
      <w:r w:rsidR="00C95F3D">
        <w:t>, following the impact of terrain</w:t>
      </w:r>
      <w:r>
        <w:t>. This goes in accordance with the findings of Piringer et al. (2015), who demonstrated a factor of 4 c</w:t>
      </w:r>
      <w:r w:rsidR="00B23A3A">
        <w:t>ould cause</w:t>
      </w:r>
      <w:r>
        <w:t xml:space="preserve"> significant overestimations at larger distances, especially under stable conditions.</w:t>
      </w:r>
    </w:p>
    <w:p w:rsidR="009D7D24" w:rsidRDefault="00C14E6F" w14:paraId="513669ED" w14:textId="6F7D25B3">
      <w:pPr>
        <w:pStyle w:val="CETBodytext"/>
      </w:pPr>
      <w:r>
        <w:t xml:space="preserve">GRAL </w:t>
      </w:r>
      <w:r w:rsidR="007F3325">
        <w:t xml:space="preserve">predictions </w:t>
      </w:r>
      <w:r>
        <w:t xml:space="preserve">seem to </w:t>
      </w:r>
      <w:r w:rsidR="007F3325">
        <w:t xml:space="preserve">be more consistent with </w:t>
      </w:r>
      <w:r>
        <w:t xml:space="preserve">the </w:t>
      </w:r>
      <w:r w:rsidR="007F3325">
        <w:t>distribution</w:t>
      </w:r>
      <w:r>
        <w:t xml:space="preserve"> of complaints reported </w:t>
      </w:r>
      <w:r w:rsidR="007F3325">
        <w:t>within the</w:t>
      </w:r>
      <w:r>
        <w:t xml:space="preserve"> distance equivalent to a frequency of odour hours of 8 %. Moreover, </w:t>
      </w:r>
      <w:r w:rsidR="007F3325">
        <w:t>SYMOS and GRAL</w:t>
      </w:r>
      <w:r>
        <w:t xml:space="preserve"> models coincide in the validation of 96 complaints with intensities equal or higher than 3 (about 38 % of the complaints with intensities</w:t>
      </w:r>
      <w:r w:rsidR="007F3325">
        <w:t xml:space="preserve"> 3-4</w:t>
      </w:r>
      <w:r>
        <w:t xml:space="preserve">). Conversely, AUSTAL determined the largest amount of valid complaints </w:t>
      </w:r>
      <w:r w:rsidR="007F3325">
        <w:t>with such characteristics</w:t>
      </w:r>
      <w:r>
        <w:t xml:space="preserve">, totaling 120 (around 47 %). </w:t>
      </w:r>
    </w:p>
    <w:p w:rsidR="009D7D24" w:rsidRDefault="00C14E6F" w14:paraId="2F8A8B54" w14:textId="7330F759">
      <w:pPr>
        <w:pStyle w:val="CETBodytext"/>
      </w:pPr>
      <w:r>
        <w:t xml:space="preserve">At the same time, it is apparent for all models that complaints </w:t>
      </w:r>
      <w:r w:rsidR="00DA688B">
        <w:t xml:space="preserve">at </w:t>
      </w:r>
      <w:r w:rsidR="003B2B1A">
        <w:t xml:space="preserve">a </w:t>
      </w:r>
      <w:r w:rsidR="00DA688B">
        <w:t xml:space="preserve">distance </w:t>
      </w:r>
      <w:r w:rsidR="003B2B1A">
        <w:t>greater</w:t>
      </w:r>
      <w:r w:rsidR="00DA688B">
        <w:t xml:space="preserve"> th</w:t>
      </w:r>
      <w:r w:rsidR="003B2B1A">
        <w:t>a</w:t>
      </w:r>
      <w:r w:rsidR="00DA688B">
        <w:t xml:space="preserve">n the isoline of odour frequency </w:t>
      </w:r>
      <w:r>
        <w:t xml:space="preserve">of 2 % were mostly categorized as </w:t>
      </w:r>
      <w:r w:rsidR="00966755">
        <w:t>“other”</w:t>
      </w:r>
      <w:bookmarkStart w:name="_GoBack" w:id="0"/>
      <w:bookmarkEnd w:id="0"/>
      <w:r>
        <w:t xml:space="preserve">, with generally low intensities. </w:t>
      </w:r>
      <w:r w:rsidR="00C8648A">
        <w:t xml:space="preserve">In this regard, </w:t>
      </w:r>
      <w:r>
        <w:t xml:space="preserve">Piringer et al. (2015) stated that OIC composed by low concentration thresholds and </w:t>
      </w:r>
      <w:r w:rsidR="003B6CFD">
        <w:t>high</w:t>
      </w:r>
      <w:r>
        <w:t xml:space="preserve"> exceedance probabilites should be favoured to target chronic odour exposure and avoid the influence of outliers in the calculation of separation distances, caused by failures in model formulation or meteorological pre-processing. Sommer-Quabach et al. (2014) also agreed that for an exceedance probability of 2 % or less, only few distinct meteorological situations contributed to the determination of the separation distances.     </w:t>
      </w:r>
    </w:p>
    <w:p w:rsidR="009D7D24" w:rsidRDefault="00C14E6F" w14:paraId="710FF45F" w14:textId="77777777">
      <w:pPr>
        <w:pStyle w:val="CETBodytext"/>
      </w:pPr>
      <w:r>
        <w:t xml:space="preserve">  </w:t>
      </w:r>
    </w:p>
    <w:p w:rsidR="009D7D24" w:rsidRDefault="00C14E6F" w14:paraId="0C1EDF12" w14:textId="77777777">
      <w:pPr>
        <w:pStyle w:val="CETBodytext"/>
      </w:pPr>
      <w:r>
        <w:rPr>
          <w:noProof/>
          <w:lang w:val="cs-CZ" w:eastAsia="cs-CZ"/>
        </w:rPr>
        <mc:AlternateContent>
          <mc:Choice Requires="wpg">
            <w:drawing>
              <wp:inline distT="0" distB="0" distL="0" distR="0" wp14:anchorId="672FCA73" wp14:editId="2F769EBB">
                <wp:extent cx="2768400" cy="230400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35678" name=""/>
                        <pic:cNvPicPr>
                          <a:picLocks noChangeAspect="1"/>
                        </pic:cNvPicPr>
                      </pic:nvPicPr>
                      <pic:blipFill>
                        <a:blip r:embed="rId21"/>
                        <a:srcRect r="18384"/>
                        <a:stretch/>
                      </pic:blipFill>
                      <pic:spPr bwMode="auto">
                        <a:xfrm>
                          <a:off x="0" y="0"/>
                          <a:ext cx="2768400" cy="2304000"/>
                        </a:xfrm>
                        <a:prstGeom prst="rect">
                          <a:avLst/>
                        </a:prstGeom>
                      </pic:spPr>
                    </pic:pic>
                  </a:graphicData>
                </a:graphic>
              </wp:inline>
            </w:drawing>
          </mc:Choice>
          <mc:Fallback xmlns:a14="http://schemas.microsoft.com/office/drawing/2010/main" xmlns:pic="http://schemas.openxmlformats.org/drawingml/2006/picture" xmlns:a="http://schemas.openxmlformats.org/drawingml/2006/main">
            <w:pict>
              <v:shapetype coordsize="21600,21600" o:spt="75" o:preferrelative="t" path="m@4@5l@4@11@9@11@9@5xe" type="#_x0000_t75">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style="mso-wrap-distance-left:0.0pt;mso-wrap-distance-top:0.0pt;mso-wrap-distance-right:0.0pt;mso-wrap-distance-bottom:0.0pt;width:218.0pt;height:181.4pt;rotation:0;" o:spid="_x0000_s6" stroked="false" type="#_x0000_t75">
                <v:path textboxrect="0,0,0,0"/>
                <v:imagedata o:title="" r:id="rId24"/>
              </v:shape>
            </w:pict>
          </mc:Fallback>
        </mc:AlternateContent>
      </w:r>
      <w:r>
        <w:t xml:space="preserve"> </w:t>
      </w:r>
      <w:r>
        <w:rPr>
          <w:noProof/>
          <w:lang w:val="cs-CZ" w:eastAsia="cs-CZ"/>
        </w:rPr>
        <mc:AlternateContent>
          <mc:Choice Requires="wpg">
            <w:drawing>
              <wp:inline distT="0" distB="0" distL="0" distR="0" wp14:anchorId="74B4368F" wp14:editId="409E08DB">
                <wp:extent cx="2768400" cy="23004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38057" name=""/>
                        <pic:cNvPicPr>
                          <a:picLocks noChangeAspect="1"/>
                        </pic:cNvPicPr>
                      </pic:nvPicPr>
                      <pic:blipFill>
                        <a:blip r:embed="rId25"/>
                        <a:srcRect r="18262"/>
                        <a:stretch/>
                      </pic:blipFill>
                      <pic:spPr bwMode="auto">
                        <a:xfrm>
                          <a:off x="0" y="0"/>
                          <a:ext cx="2768400" cy="2300400"/>
                        </a:xfrm>
                        <a:prstGeom prst="rect">
                          <a:avLst/>
                        </a:prstGeom>
                      </pic:spPr>
                    </pic:pic>
                  </a:graphicData>
                </a:graphic>
              </wp:inline>
            </w:drawing>
          </mc:Choice>
          <mc:Fallback xmlns:a14="http://schemas.microsoft.com/office/drawing/2010/main" xmlns:pic="http://schemas.openxmlformats.org/drawingml/2006/picture" xmlns:a="http://schemas.openxmlformats.org/drawingml/2006/main">
            <w:pict>
              <v:shapetype coordsize="21600,21600" o:spt="75" o:preferrelative="t" path="m@4@5l@4@11@9@11@9@5xe" type="#_x0000_t75">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style="mso-wrap-distance-left:0.0pt;mso-wrap-distance-top:0.0pt;mso-wrap-distance-right:0.0pt;mso-wrap-distance-bottom:0.0pt;width:218.0pt;height:181.1pt;rotation:0;" o:spid="_x0000_s7" stroked="false" type="#_x0000_t75">
                <v:path textboxrect="0,0,0,0"/>
                <v:imagedata o:title="" r:id="rId26"/>
              </v:shape>
            </w:pict>
          </mc:Fallback>
        </mc:AlternateContent>
      </w:r>
    </w:p>
    <w:p w:rsidR="009D7D24" w:rsidRDefault="00C14E6F" w14:paraId="17606113" w14:textId="77777777">
      <w:pPr>
        <w:pStyle w:val="CETBodytext"/>
      </w:pPr>
      <w:r>
        <w:rPr>
          <w:noProof/>
          <w:lang w:val="cs-CZ" w:eastAsia="cs-CZ"/>
        </w:rPr>
        <mc:AlternateContent>
          <mc:Choice Requires="wpg">
            <w:drawing>
              <wp:inline distT="0" distB="0" distL="0" distR="0" wp14:anchorId="09C68B9C" wp14:editId="20E68F2E">
                <wp:extent cx="3391200" cy="230400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761004" name=""/>
                        <pic:cNvPicPr>
                          <a:picLocks noChangeAspect="1"/>
                        </pic:cNvPicPr>
                      </pic:nvPicPr>
                      <pic:blipFill>
                        <a:blip r:embed="rId27"/>
                        <a:stretch/>
                      </pic:blipFill>
                      <pic:spPr bwMode="auto">
                        <a:xfrm>
                          <a:off x="0" y="0"/>
                          <a:ext cx="3391200" cy="2304000"/>
                        </a:xfrm>
                        <a:prstGeom prst="rect">
                          <a:avLst/>
                        </a:prstGeom>
                      </pic:spPr>
                    </pic:pic>
                  </a:graphicData>
                </a:graphic>
              </wp:inline>
            </w:drawing>
          </mc:Choice>
          <mc:Fallback xmlns:a14="http://schemas.microsoft.com/office/drawing/2010/main" xmlns:pic="http://schemas.openxmlformats.org/drawingml/2006/picture" xmlns:a="http://schemas.openxmlformats.org/drawingml/2006/main">
            <w:pict>
              <v:shapetype coordsize="21600,21600" o:spt="75" o:preferrelative="t" path="m@4@5l@4@11@9@11@9@5xe" type="#_x0000_t75">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style="mso-wrap-distance-left:0.0pt;mso-wrap-distance-top:0.0pt;mso-wrap-distance-right:0.0pt;mso-wrap-distance-bottom:0.0pt;width:267.0pt;height:181.4pt;rotation:0;" o:spid="_x0000_s8" stroked="false" type="#_x0000_t75">
                <v:path textboxrect="0,0,0,0"/>
                <v:imagedata o:title="" r:id="rId28"/>
              </v:shape>
            </w:pict>
          </mc:Fallback>
        </mc:AlternateContent>
      </w:r>
    </w:p>
    <w:p w:rsidR="009D7D24" w:rsidRDefault="009D7D24" w14:paraId="6778DDD5" w14:textId="77777777">
      <w:pPr>
        <w:pStyle w:val="CETBodytext"/>
      </w:pPr>
    </w:p>
    <w:p w:rsidR="009D7D24" w:rsidRDefault="00C14E6F" w14:paraId="22E31C9B" w14:textId="06A064CE">
      <w:pPr>
        <w:pStyle w:val="CETBodytext"/>
      </w:pPr>
      <w:r>
        <w:rPr>
          <w:rStyle w:val="CETCaptionCarattere"/>
        </w:rPr>
        <w:t>Figure 5: Spatial distribution of complaints categorized according to validity and intensity for (a.) SYMOS, (b.) AUSTAL and (c.) GRAL using C</w:t>
      </w:r>
      <w:r>
        <w:rPr>
          <w:rStyle w:val="CETCaptionCarattere"/>
          <w:vertAlign w:val="subscript"/>
        </w:rPr>
        <w:t>t</w:t>
      </w:r>
      <w:r>
        <w:rPr>
          <w:rStyle w:val="CETCaptionCarattere"/>
        </w:rPr>
        <w:t xml:space="preserve"> = 1 OU</w:t>
      </w:r>
      <w:r w:rsidRPr="00776084" w:rsidR="00FE43E3">
        <w:rPr>
          <w:rStyle w:val="CETCaptionCarattere"/>
          <w:vertAlign w:val="subscript"/>
        </w:rPr>
        <w:t>E</w:t>
      </w:r>
      <w:r w:rsidRPr="00776084" w:rsidR="00FE43E3">
        <w:rPr>
          <w:rFonts w:cs="Arial"/>
          <w:i/>
          <w:vertAlign w:val="subscript"/>
          <w:lang w:val="en-GB"/>
        </w:rPr>
        <w:t>∙</w:t>
      </w:r>
      <w:r w:rsidRPr="00776084" w:rsidR="00FE43E3">
        <w:rPr>
          <w:i/>
          <w:lang w:val="en-GB"/>
        </w:rPr>
        <w:t>m</w:t>
      </w:r>
      <w:r w:rsidRPr="00776084" w:rsidR="00FE43E3">
        <w:rPr>
          <w:rFonts w:ascii="Times New Roman" w:hAnsi="Times New Roman"/>
          <w:i/>
          <w:vertAlign w:val="superscript"/>
          <w:lang w:val="en-GB"/>
        </w:rPr>
        <w:t>−</w:t>
      </w:r>
      <w:r w:rsidRPr="00776084" w:rsidR="00FE43E3">
        <w:rPr>
          <w:i/>
          <w:vertAlign w:val="superscript"/>
          <w:lang w:val="en-GB"/>
        </w:rPr>
        <w:t>3</w:t>
      </w:r>
      <w:r>
        <w:t xml:space="preserve">. </w:t>
      </w:r>
      <w:r w:rsidRPr="001163C2">
        <w:rPr>
          <w:i/>
        </w:rPr>
        <w:t>Separation distances correspond to the frequency of odour hours</w:t>
      </w:r>
      <w:r>
        <w:t>.</w:t>
      </w:r>
    </w:p>
    <w:p w:rsidR="009D7D24" w:rsidRDefault="00C14E6F" w14:paraId="7DCD332E" w14:textId="77777777">
      <w:pPr>
        <w:pStyle w:val="CETHeading1"/>
        <w:rPr>
          <w:lang w:val="en-GB"/>
        </w:rPr>
      </w:pPr>
      <w:r>
        <w:rPr>
          <w:lang w:val="en-GB"/>
        </w:rPr>
        <w:lastRenderedPageBreak/>
        <w:t>Conclusions</w:t>
      </w:r>
    </w:p>
    <w:p w:rsidR="009D7D24" w:rsidRDefault="00C14E6F" w14:paraId="443179DA" w14:textId="55584A40">
      <w:pPr>
        <w:pStyle w:val="CETBodytext"/>
        <w:tabs>
          <w:tab w:val="clear" w:pos="7100"/>
          <w:tab w:val="left" w:pos="7421"/>
        </w:tabs>
      </w:pPr>
      <w:r>
        <w:t>The comparison of Gaussian and Lagrangian models with field measurements and complaints records indicated important findings regarding model capabilities and the implementation of different peak-to-mean factors. AUSTAL and SYMOS generally underpredicted the frequency of odour hours at the reference points sampled around the pig-fattening farm. Model formulation was considered to be the reason of inconsistencies, given the need of a high peak-to-mean ratio to compensate the estimation of low concentrations.</w:t>
      </w:r>
      <w:r w:rsidR="0030276B">
        <w:t xml:space="preserve"> Furthermore, there is an inevitable disagreement between </w:t>
      </w:r>
      <w:r w:rsidR="00F03BC4">
        <w:t>the calculation of mean concentration</w:t>
      </w:r>
      <w:r w:rsidR="005226ED">
        <w:t>s</w:t>
      </w:r>
      <w:r w:rsidR="0030276B">
        <w:t>, a linear process by definition, and the measurements via field inspections, which represent a nonlinear reality.</w:t>
      </w:r>
      <w:r>
        <w:t xml:space="preserve"> The best performance was achieved by GRAL using CVM with buildings and AUSTAL using </w:t>
      </w:r>
      <w:r w:rsidRPr="003B2B1A">
        <w:rPr>
          <w:i/>
        </w:rPr>
        <w:t>R</w:t>
      </w:r>
      <w:r w:rsidRPr="003B2B1A">
        <w:rPr>
          <w:i/>
          <w:vertAlign w:val="subscript"/>
        </w:rPr>
        <w:t>90</w:t>
      </w:r>
      <w:r>
        <w:t xml:space="preserve"> = 4 without buildings. </w:t>
      </w:r>
    </w:p>
    <w:p w:rsidR="009D7D24" w:rsidRDefault="00C14E6F" w14:paraId="391C69B3" w14:textId="7A0DB37F">
      <w:pPr>
        <w:pStyle w:val="CETBodytext"/>
        <w:tabs>
          <w:tab w:val="clear" w:pos="7100"/>
          <w:tab w:val="left" w:pos="7421"/>
        </w:tabs>
      </w:pPr>
      <w:r>
        <w:t>On the other hand, the analysis of the feed production industry evidenced a greater agreement between the models using the respective peak-to-mean factors and a concentration threshold of 1 OU</w:t>
      </w:r>
      <w:r w:rsidRPr="000F0832" w:rsidR="00DA688B">
        <w:rPr>
          <w:rStyle w:val="CETCaptionCarattere"/>
          <w:i w:val="0"/>
          <w:vertAlign w:val="subscript"/>
        </w:rPr>
        <w:t>E</w:t>
      </w:r>
      <w:r w:rsidRPr="000F0832" w:rsidR="00DA688B">
        <w:rPr>
          <w:rFonts w:cs="Arial"/>
          <w:vertAlign w:val="subscript"/>
          <w:lang w:val="en-GB"/>
        </w:rPr>
        <w:t>∙</w:t>
      </w:r>
      <w:r w:rsidRPr="000F0832" w:rsidR="00DA688B">
        <w:rPr>
          <w:lang w:val="en-GB"/>
        </w:rPr>
        <w:t>m</w:t>
      </w:r>
      <w:r w:rsidRPr="000F0832" w:rsidR="00DA688B">
        <w:rPr>
          <w:rFonts w:ascii="Times New Roman" w:hAnsi="Times New Roman"/>
          <w:vertAlign w:val="superscript"/>
          <w:lang w:val="en-GB"/>
        </w:rPr>
        <w:t>−</w:t>
      </w:r>
      <w:r w:rsidRPr="000F0832" w:rsidR="00DA688B">
        <w:rPr>
          <w:vertAlign w:val="superscript"/>
          <w:lang w:val="en-GB"/>
        </w:rPr>
        <w:t>3</w:t>
      </w:r>
      <w:r>
        <w:t>, although it also revealed the AirQ system may need to be adjusted for a more accurate assessment. AUSTAL confirmed the validity of almost half of the complaints with high reported intensities, while GRAL and SYMOS asserted to validate 38</w:t>
      </w:r>
      <w:r w:rsidR="00DA688B">
        <w:t> </w:t>
      </w:r>
      <w:r>
        <w:t>% of such complaints. The shortcomings of GRAL could be explained by the use of binned meteorological data to decrease computation time, which restricts the prediction of a detailed time series and smooths off the impact of wind direction. As a future experiment</w:t>
      </w:r>
      <w:r w:rsidR="00DD03DE">
        <w:t>,</w:t>
      </w:r>
      <w:r>
        <w:t xml:space="preserve"> it would be useful to run the model </w:t>
      </w:r>
      <w:r w:rsidR="00206923">
        <w:t>on transient mode</w:t>
      </w:r>
      <w:r>
        <w:t xml:space="preserve"> and observe how the evaluation might change. The calculation of separation distances supported the convenience of OIC combining an exceedance probability of 2 % to 8 % and a threshold of 1 OU</w:t>
      </w:r>
      <w:r w:rsidRPr="00776084" w:rsidR="000F0832">
        <w:rPr>
          <w:rStyle w:val="CETCaptionCarattere"/>
          <w:i w:val="0"/>
          <w:vertAlign w:val="subscript"/>
        </w:rPr>
        <w:t>E</w:t>
      </w:r>
      <w:r w:rsidRPr="00776084" w:rsidR="000F0832">
        <w:rPr>
          <w:rFonts w:cs="Arial"/>
          <w:vertAlign w:val="subscript"/>
          <w:lang w:val="en-GB"/>
        </w:rPr>
        <w:t>∙</w:t>
      </w:r>
      <w:r w:rsidRPr="00776084" w:rsidR="000F0832">
        <w:rPr>
          <w:lang w:val="en-GB"/>
        </w:rPr>
        <w:t>m</w:t>
      </w:r>
      <w:r w:rsidRPr="00776084" w:rsidR="000F0832">
        <w:rPr>
          <w:rFonts w:ascii="Times New Roman" w:hAnsi="Times New Roman"/>
          <w:vertAlign w:val="superscript"/>
          <w:lang w:val="en-GB"/>
        </w:rPr>
        <w:t>−</w:t>
      </w:r>
      <w:r w:rsidRPr="00776084" w:rsidR="000F0832">
        <w:rPr>
          <w:vertAlign w:val="superscript"/>
          <w:lang w:val="en-GB"/>
        </w:rPr>
        <w:t>3</w:t>
      </w:r>
      <w:r>
        <w:t xml:space="preserve"> to reduce discrepancies between models and avoid nuisance in the population. </w:t>
      </w:r>
    </w:p>
    <w:p w:rsidR="00206923" w:rsidRDefault="00C14E6F" w14:paraId="3D33CF38" w14:textId="78832CC1">
      <w:pPr>
        <w:pStyle w:val="CETBodytext"/>
        <w:tabs>
          <w:tab w:val="clear" w:pos="7100"/>
          <w:tab w:val="left" w:pos="7421"/>
        </w:tabs>
      </w:pPr>
      <w:r>
        <w:t>Results lead to the conclusion that a methodology like CVM to obtain sub-hourly peak concentrations proved to be more accurate than the use of a constant factor, which can cause overestimations, especially at large distances from the source.</w:t>
      </w:r>
    </w:p>
    <w:p w:rsidR="009D7D24" w:rsidRDefault="00C14E6F" w14:paraId="0509D6C8" w14:textId="77777777">
      <w:pPr>
        <w:pStyle w:val="CETHeadingxx"/>
        <w:sectPr w:rsidR="009D7D24">
          <w:type w:val="continuous"/>
          <w:pgSz w:w="11906" w:h="16838"/>
          <w:pgMar w:top="1701" w:right="1418" w:bottom="1701" w:left="1701" w:header="1701" w:footer="0" w:gutter="0"/>
          <w:cols w:space="708"/>
          <w:titlePg/>
          <w:docGrid w:linePitch="360"/>
        </w:sectPr>
      </w:pPr>
      <w:r>
        <w:t>Nomenclature</w:t>
      </w:r>
    </w:p>
    <w:p w:rsidR="009D7D24" w:rsidRDefault="00C14E6F" w14:paraId="65815992" w14:textId="2D07A977">
      <w:pPr>
        <w:pStyle w:val="CETBodytext"/>
        <w:jc w:val="left"/>
        <w:rPr>
          <w:rFonts w:eastAsia="SimSun"/>
          <w:vertAlign w:val="superscript"/>
        </w:rPr>
      </w:pPr>
      <w:r>
        <w:rPr>
          <w:rFonts w:eastAsia="SimSun"/>
        </w:rPr>
        <w:t>C</w:t>
      </w:r>
      <w:r>
        <w:rPr>
          <w:rFonts w:eastAsia="SimSun"/>
          <w:vertAlign w:val="subscript"/>
        </w:rPr>
        <w:t>t</w:t>
      </w:r>
      <w:r>
        <w:rPr>
          <w:rFonts w:eastAsia="SimSun"/>
        </w:rPr>
        <w:t xml:space="preserve"> – threshold concentration, OU</w:t>
      </w:r>
      <w:r w:rsidRPr="000F0832" w:rsidR="00DA688B">
        <w:rPr>
          <w:rFonts w:eastAsia="SimSun"/>
          <w:vertAlign w:val="subscript"/>
        </w:rPr>
        <w:t>E</w:t>
      </w:r>
      <w:r w:rsidR="00B86F51">
        <w:rPr>
          <w:rFonts w:cs="Arial"/>
          <w:vertAlign w:val="subscript"/>
          <w:lang w:val="en-GB"/>
        </w:rPr>
        <w:t>∙</w:t>
      </w:r>
      <w:r w:rsidR="00B86F51">
        <w:rPr>
          <w:lang w:val="en-GB"/>
        </w:rPr>
        <w:t>m</w:t>
      </w:r>
      <w:r w:rsidRPr="00776084" w:rsidR="00B86F51">
        <w:rPr>
          <w:rFonts w:ascii="Times New Roman" w:hAnsi="Times New Roman"/>
          <w:vertAlign w:val="superscript"/>
          <w:lang w:val="en-GB"/>
        </w:rPr>
        <w:t>−</w:t>
      </w:r>
      <w:r w:rsidR="00B86F51">
        <w:rPr>
          <w:vertAlign w:val="superscript"/>
          <w:lang w:val="en-GB"/>
        </w:rPr>
        <w:t>3</w:t>
      </w:r>
    </w:p>
    <w:p w:rsidR="009D7D24" w:rsidRDefault="00C14E6F" w14:paraId="2E56289B" w14:textId="19FD1366">
      <w:pPr>
        <w:pStyle w:val="CETBodytext"/>
        <w:jc w:val="left"/>
        <w:rPr>
          <w:rFonts w:eastAsia="SimSun"/>
        </w:rPr>
      </w:pPr>
      <w:r>
        <w:rPr>
          <w:rFonts w:eastAsia="SimSun"/>
        </w:rPr>
        <w:t>R</w:t>
      </w:r>
      <w:r>
        <w:rPr>
          <w:rFonts w:eastAsia="SimSun"/>
          <w:vertAlign w:val="subscript"/>
        </w:rPr>
        <w:t>90</w:t>
      </w:r>
      <w:r>
        <w:rPr>
          <w:rFonts w:eastAsia="SimSun"/>
        </w:rPr>
        <w:t xml:space="preserve"> – ratio of 1-h mean to 90</w:t>
      </w:r>
      <w:r>
        <w:rPr>
          <w:rFonts w:eastAsia="SimSun"/>
          <w:vertAlign w:val="superscript"/>
        </w:rPr>
        <w:t>th</w:t>
      </w:r>
      <w:r>
        <w:rPr>
          <w:rFonts w:eastAsia="SimSun"/>
        </w:rPr>
        <w:t xml:space="preserve"> percentile concentration</w:t>
      </w:r>
    </w:p>
    <w:p w:rsidR="009D7D24" w:rsidRDefault="00C14E6F" w14:paraId="3A6091BC" w14:textId="77777777">
      <w:pPr>
        <w:pStyle w:val="CETAcknowledgementstitle"/>
      </w:pPr>
      <w:r>
        <w:t>Acknowledgements</w:t>
      </w:r>
    </w:p>
    <w:p w:rsidR="009D7D24" w:rsidRDefault="00C14E6F" w14:paraId="25C3A174" w14:textId="77777777">
      <w:pPr>
        <w:pStyle w:val="CETBodytext"/>
        <w:rPr>
          <w:lang w:val="en-GB"/>
        </w:rPr>
      </w:pPr>
      <w:r>
        <w:rPr>
          <w:lang w:val="en-GB"/>
        </w:rPr>
        <w:t>The work was funded by the project of the Technology Agency of the Czech Republic No. TITOMZP903.</w:t>
      </w:r>
    </w:p>
    <w:p w:rsidR="009D7D24" w:rsidRDefault="00C14E6F" w14:paraId="5D15B5E8" w14:textId="77777777">
      <w:pPr>
        <w:pStyle w:val="CETReference"/>
      </w:pPr>
      <w:r>
        <w:t>References</w:t>
      </w:r>
    </w:p>
    <w:p w:rsidR="009D7D24" w:rsidRDefault="00C14E6F" w14:paraId="24F06C29" w14:textId="77777777">
      <w:pPr>
        <w:pStyle w:val="CETReferencetext"/>
      </w:pPr>
      <w:r>
        <w:t xml:space="preserve">Bächlin W., Rühling A., Lohmeyer A., 2002, (in German) Preparation of validation data for odour dispersion models - field measurements. Project BWE 20003. </w:t>
      </w:r>
    </w:p>
    <w:p w:rsidR="009D7D24" w:rsidRDefault="00C14E6F" w14:paraId="3672236F" w14:textId="77777777">
      <w:pPr>
        <w:pStyle w:val="CETReferencetext"/>
      </w:pPr>
      <w:r>
        <w:t>Brancher M., Griffiths K., Franco D., De Melo Lisboa H., 2017, A review of odour impact criteria in selected countries around the world, Chemosphere, 168, 1531</w:t>
      </w:r>
      <w:r>
        <w:rPr>
          <w:highlight w:val="white"/>
        </w:rPr>
        <w:t>–</w:t>
      </w:r>
      <w:r>
        <w:t>1570.</w:t>
      </w:r>
    </w:p>
    <w:p w:rsidR="009D7D24" w:rsidRDefault="00C14E6F" w14:paraId="53C61830" w14:textId="77777777">
      <w:pPr>
        <w:pStyle w:val="CETReferencetext"/>
      </w:pPr>
      <w:r>
        <w:t>Brancher M., Hieden A., Baumann-Stanzer K., Schauberger G., Piringer M., 2020, Performance evaluation of approaches to predict sub-hourly peak odour concentrations, Atmospheric Environment: X, 7, 1</w:t>
      </w:r>
      <w:r>
        <w:rPr>
          <w:highlight w:val="white"/>
        </w:rPr>
        <w:t>–</w:t>
      </w:r>
      <w:r>
        <w:t>20.</w:t>
      </w:r>
    </w:p>
    <w:p w:rsidR="009D7D24" w:rsidRDefault="00C14E6F" w14:paraId="719AD27C" w14:textId="77777777">
      <w:pPr>
        <w:pStyle w:val="CETReferencetext"/>
      </w:pPr>
      <w:r>
        <w:rPr>
          <w:highlight w:val="white"/>
        </w:rPr>
        <w:t>EN 16841-1, 2017, Ambient air - Determination of odour in ambient air by using field inspection - Part 1: Grid method</w:t>
      </w:r>
      <w:r>
        <w:t>.</w:t>
      </w:r>
    </w:p>
    <w:p w:rsidR="009D7D24" w:rsidRDefault="00C14E6F" w14:paraId="5B89D236" w14:textId="77777777">
      <w:pPr>
        <w:pStyle w:val="CETReferencetext"/>
      </w:pPr>
      <w:r>
        <w:t>GOAA, 2008, Guideline on Odour in Ambient Air (GOAA), Detection and Assessment of Odour in Ambient Air.</w:t>
      </w:r>
    </w:p>
    <w:p w:rsidR="009D7D24" w:rsidRDefault="00C14E6F" w14:paraId="51524280" w14:textId="77777777">
      <w:pPr>
        <w:pStyle w:val="CETReferencetext"/>
      </w:pPr>
      <w:r>
        <w:t>Janicke Consulting, 2013, Dispersion Model LASAT. Reference/Working Book for Version 3.3.</w:t>
      </w:r>
    </w:p>
    <w:p w:rsidR="009D7D24" w:rsidRDefault="00C14E6F" w14:paraId="5BCDFD05" w14:textId="77777777">
      <w:pPr>
        <w:pStyle w:val="CETReferencetext"/>
      </w:pPr>
      <w:r>
        <w:rPr>
          <w:highlight w:val="white"/>
        </w:rPr>
        <w:t xml:space="preserve">Oettl D., Kropsch M., Mandl M., 2018, Odour assessment in the vicinity of a pig-fatting farm using field inspections (EN 16841-1) and dispersion modelling, Atmospheric Environment, 181, 54–60. </w:t>
      </w:r>
    </w:p>
    <w:p w:rsidR="00943FD0" w:rsidRDefault="00C14E6F" w14:paraId="2E8BFEBF" w14:textId="77777777">
      <w:pPr>
        <w:pStyle w:val="CETReferencetext"/>
      </w:pPr>
      <w:r>
        <w:t>Patiño W.R., Duong V.M., 2022, Intercomparison of Gaussian Plume Dispersion Models Applied to Sulfur Dioxide Emissions from a Stationary Source in the Suburban Area of Prague, Czech Republic, Environ</w:t>
      </w:r>
      <w:r w:rsidR="003B2B1A">
        <w:t>men</w:t>
      </w:r>
      <w:r>
        <w:t>tal Modelling &amp; Assessment, 27, 119–137</w:t>
      </w:r>
      <w:r w:rsidR="00943FD0">
        <w:t>.</w:t>
      </w:r>
    </w:p>
    <w:p w:rsidR="009D7D24" w:rsidP="00943FD0" w:rsidRDefault="00943FD0" w14:paraId="08707E77" w14:textId="6DA2EE79">
      <w:pPr>
        <w:pStyle w:val="CETReferencetext"/>
      </w:pPr>
      <w:r>
        <w:t>Piringer M., Knaude W., Petz E., Schauberger G., 2015, A comparison of separation distances against odour annoyance calculated with two models, Atmospheric Environment, 116, 22</w:t>
      </w:r>
      <w:r>
        <w:rPr>
          <w:highlight w:val="white"/>
        </w:rPr>
        <w:t>–</w:t>
      </w:r>
      <w:r>
        <w:t>35.</w:t>
      </w:r>
      <w:r>
        <w:rPr>
          <w:rFonts w:ascii="Calibri" w:hAnsi="Calibri" w:eastAsia="Calibri" w:cs="Calibri"/>
          <w:color w:val="000000"/>
          <w:sz w:val="22"/>
        </w:rPr>
        <w:t xml:space="preserve"> </w:t>
      </w:r>
      <w:r w:rsidR="00C14E6F">
        <w:t xml:space="preserve"> </w:t>
      </w:r>
    </w:p>
    <w:p w:rsidR="009D7D24" w:rsidRDefault="00C14E6F" w14:paraId="5EB03FF2" w14:textId="77777777">
      <w:pPr>
        <w:pStyle w:val="CETReferencetext"/>
      </w:pPr>
      <w:r>
        <w:t>Sommer-Quabach E., Piringer P., Petz, E. Schauberger G., 2014, Comparability of separation distances between odour sources and residential areas determined by various national odour impact criteria, Atmospheric Environment, 95, 20</w:t>
      </w:r>
      <w:r>
        <w:rPr>
          <w:highlight w:val="white"/>
        </w:rPr>
        <w:t>–</w:t>
      </w:r>
      <w:r>
        <w:t>28.</w:t>
      </w:r>
    </w:p>
    <w:p w:rsidR="009D7D24" w:rsidRDefault="00C14E6F" w14:paraId="2A9200E8" w14:textId="77777777">
      <w:pPr>
        <w:pStyle w:val="CETReferencetext"/>
      </w:pPr>
      <w:r>
        <w:t>Souza F., Hoinaski L., De Melo Lisboa H., 2014, Comparison of AERMOD and SYMOS'97 models for calculating odor dispersion: A study case in Uttenweiler, 1st International Seminar of Odours in the Environment, Santiago, Chile, p. 7.</w:t>
      </w:r>
    </w:p>
    <w:p w:rsidR="0030276B" w:rsidP="0030276B" w:rsidRDefault="00C14E6F" w14:paraId="2A711BC6" w14:textId="50433346">
      <w:pPr>
        <w:pStyle w:val="CETReferencetext"/>
      </w:pPr>
      <w:r>
        <w:rPr>
          <w:highlight w:val="white"/>
        </w:rPr>
        <w:t xml:space="preserve">Wensauer E., Neser S., Rattinger K., Schneider F., 2006, (in German) Application of the TA Luft model austal2000-g to assess </w:t>
      </w:r>
      <w:r w:rsidR="003B2B1A">
        <w:rPr>
          <w:highlight w:val="white"/>
        </w:rPr>
        <w:t>emissions</w:t>
      </w:r>
      <w:r>
        <w:rPr>
          <w:highlight w:val="white"/>
        </w:rPr>
        <w:t xml:space="preserve"> from agricultural sources. Publication series of the Bavarian State Institute for Agriculture, 15, 127–143.</w:t>
      </w:r>
    </w:p>
    <w:sectPr w:rsidR="0030276B">
      <w:type w:val="continuous"/>
      <w:pgSz w:w="11906" w:h="16838"/>
      <w:pgMar w:top="1701" w:right="1418" w:bottom="1701" w:left="1701" w:header="1701"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A6012B" w14:textId="77777777" w:rsidR="00163E18" w:rsidRDefault="00163E18">
      <w:r>
        <w:separator/>
      </w:r>
    </w:p>
  </w:endnote>
  <w:endnote w:type="continuationSeparator" w:id="0">
    <w:p w14:paraId="28D3538D" w14:textId="77777777" w:rsidR="00163E18" w:rsidRDefault="00163E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AD936F" w14:textId="77777777" w:rsidR="00163E18" w:rsidRDefault="00163E18">
      <w:r>
        <w:separator/>
      </w:r>
    </w:p>
  </w:footnote>
  <w:footnote w:type="continuationSeparator" w:id="0">
    <w:p w14:paraId="348D4229" w14:textId="77777777" w:rsidR="00163E18" w:rsidRDefault="00163E1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B601F"/>
    <w:multiLevelType w:val="hybridMultilevel"/>
    <w:tmpl w:val="9106F6AA"/>
    <w:lvl w:ilvl="0" w:tplc="97788652">
      <w:start w:val="1"/>
      <w:numFmt w:val="decimal"/>
      <w:pStyle w:val="slovanseznam3"/>
      <w:lvlText w:val="%1."/>
      <w:lvlJc w:val="left"/>
      <w:pPr>
        <w:tabs>
          <w:tab w:val="num" w:pos="926"/>
        </w:tabs>
        <w:ind w:left="926" w:hanging="360"/>
      </w:pPr>
    </w:lvl>
    <w:lvl w:ilvl="1" w:tplc="63401A12">
      <w:start w:val="1"/>
      <w:numFmt w:val="bullet"/>
      <w:lvlText w:val="o"/>
      <w:lvlJc w:val="left"/>
      <w:pPr>
        <w:ind w:left="1440" w:hanging="360"/>
      </w:pPr>
      <w:rPr>
        <w:rFonts w:ascii="Courier New" w:eastAsia="Courier New" w:hAnsi="Courier New" w:cs="Courier New" w:hint="default"/>
      </w:rPr>
    </w:lvl>
    <w:lvl w:ilvl="2" w:tplc="950EDDBE">
      <w:start w:val="1"/>
      <w:numFmt w:val="bullet"/>
      <w:lvlText w:val="§"/>
      <w:lvlJc w:val="left"/>
      <w:pPr>
        <w:ind w:left="2160" w:hanging="360"/>
      </w:pPr>
      <w:rPr>
        <w:rFonts w:ascii="Wingdings" w:eastAsia="Wingdings" w:hAnsi="Wingdings" w:cs="Wingdings" w:hint="default"/>
      </w:rPr>
    </w:lvl>
    <w:lvl w:ilvl="3" w:tplc="5880C148">
      <w:start w:val="1"/>
      <w:numFmt w:val="bullet"/>
      <w:lvlText w:val="·"/>
      <w:lvlJc w:val="left"/>
      <w:pPr>
        <w:ind w:left="2880" w:hanging="360"/>
      </w:pPr>
      <w:rPr>
        <w:rFonts w:ascii="Symbol" w:eastAsia="Symbol" w:hAnsi="Symbol" w:cs="Symbol" w:hint="default"/>
      </w:rPr>
    </w:lvl>
    <w:lvl w:ilvl="4" w:tplc="97A4EE2C">
      <w:start w:val="1"/>
      <w:numFmt w:val="bullet"/>
      <w:lvlText w:val="o"/>
      <w:lvlJc w:val="left"/>
      <w:pPr>
        <w:ind w:left="3600" w:hanging="360"/>
      </w:pPr>
      <w:rPr>
        <w:rFonts w:ascii="Courier New" w:eastAsia="Courier New" w:hAnsi="Courier New" w:cs="Courier New" w:hint="default"/>
      </w:rPr>
    </w:lvl>
    <w:lvl w:ilvl="5" w:tplc="D360C280">
      <w:start w:val="1"/>
      <w:numFmt w:val="bullet"/>
      <w:lvlText w:val="§"/>
      <w:lvlJc w:val="left"/>
      <w:pPr>
        <w:ind w:left="4320" w:hanging="360"/>
      </w:pPr>
      <w:rPr>
        <w:rFonts w:ascii="Wingdings" w:eastAsia="Wingdings" w:hAnsi="Wingdings" w:cs="Wingdings" w:hint="default"/>
      </w:rPr>
    </w:lvl>
    <w:lvl w:ilvl="6" w:tplc="57282B78">
      <w:start w:val="1"/>
      <w:numFmt w:val="bullet"/>
      <w:lvlText w:val="·"/>
      <w:lvlJc w:val="left"/>
      <w:pPr>
        <w:ind w:left="5040" w:hanging="360"/>
      </w:pPr>
      <w:rPr>
        <w:rFonts w:ascii="Symbol" w:eastAsia="Symbol" w:hAnsi="Symbol" w:cs="Symbol" w:hint="default"/>
      </w:rPr>
    </w:lvl>
    <w:lvl w:ilvl="7" w:tplc="11007D48">
      <w:start w:val="1"/>
      <w:numFmt w:val="bullet"/>
      <w:lvlText w:val="o"/>
      <w:lvlJc w:val="left"/>
      <w:pPr>
        <w:ind w:left="5760" w:hanging="360"/>
      </w:pPr>
      <w:rPr>
        <w:rFonts w:ascii="Courier New" w:eastAsia="Courier New" w:hAnsi="Courier New" w:cs="Courier New" w:hint="default"/>
      </w:rPr>
    </w:lvl>
    <w:lvl w:ilvl="8" w:tplc="C7B894A2">
      <w:start w:val="1"/>
      <w:numFmt w:val="bullet"/>
      <w:lvlText w:val="§"/>
      <w:lvlJc w:val="left"/>
      <w:pPr>
        <w:ind w:left="6480" w:hanging="360"/>
      </w:pPr>
      <w:rPr>
        <w:rFonts w:ascii="Wingdings" w:eastAsia="Wingdings" w:hAnsi="Wingdings" w:cs="Wingdings" w:hint="default"/>
      </w:rPr>
    </w:lvl>
  </w:abstractNum>
  <w:abstractNum w:abstractNumId="1" w15:restartNumberingAfterBreak="0">
    <w:nsid w:val="04E44876"/>
    <w:multiLevelType w:val="multilevel"/>
    <w:tmpl w:val="C7C20ACE"/>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Jednoduchtabulka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 w15:restartNumberingAfterBreak="0">
    <w:nsid w:val="05B22D63"/>
    <w:multiLevelType w:val="multilevel"/>
    <w:tmpl w:val="E66A36DA"/>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3" w15:restartNumberingAfterBreak="0">
    <w:nsid w:val="0F945B3F"/>
    <w:multiLevelType w:val="hybridMultilevel"/>
    <w:tmpl w:val="82AEABB8"/>
    <w:lvl w:ilvl="0" w:tplc="39F26272">
      <w:start w:val="1"/>
      <w:numFmt w:val="decimal"/>
      <w:pStyle w:val="slovanseznam4"/>
      <w:lvlText w:val="%1."/>
      <w:lvlJc w:val="left"/>
      <w:pPr>
        <w:tabs>
          <w:tab w:val="num" w:pos="1209"/>
        </w:tabs>
        <w:ind w:left="1209" w:hanging="360"/>
      </w:pPr>
    </w:lvl>
    <w:lvl w:ilvl="1" w:tplc="21AAD5B6">
      <w:start w:val="1"/>
      <w:numFmt w:val="bullet"/>
      <w:lvlText w:val="o"/>
      <w:lvlJc w:val="left"/>
      <w:pPr>
        <w:ind w:left="1440" w:hanging="360"/>
      </w:pPr>
      <w:rPr>
        <w:rFonts w:ascii="Courier New" w:eastAsia="Courier New" w:hAnsi="Courier New" w:cs="Courier New" w:hint="default"/>
      </w:rPr>
    </w:lvl>
    <w:lvl w:ilvl="2" w:tplc="472612D4">
      <w:start w:val="1"/>
      <w:numFmt w:val="bullet"/>
      <w:lvlText w:val="§"/>
      <w:lvlJc w:val="left"/>
      <w:pPr>
        <w:ind w:left="2160" w:hanging="360"/>
      </w:pPr>
      <w:rPr>
        <w:rFonts w:ascii="Wingdings" w:eastAsia="Wingdings" w:hAnsi="Wingdings" w:cs="Wingdings" w:hint="default"/>
      </w:rPr>
    </w:lvl>
    <w:lvl w:ilvl="3" w:tplc="B00AE8FE">
      <w:start w:val="1"/>
      <w:numFmt w:val="bullet"/>
      <w:lvlText w:val="·"/>
      <w:lvlJc w:val="left"/>
      <w:pPr>
        <w:ind w:left="2880" w:hanging="360"/>
      </w:pPr>
      <w:rPr>
        <w:rFonts w:ascii="Symbol" w:eastAsia="Symbol" w:hAnsi="Symbol" w:cs="Symbol" w:hint="default"/>
      </w:rPr>
    </w:lvl>
    <w:lvl w:ilvl="4" w:tplc="E342F960">
      <w:start w:val="1"/>
      <w:numFmt w:val="bullet"/>
      <w:lvlText w:val="o"/>
      <w:lvlJc w:val="left"/>
      <w:pPr>
        <w:ind w:left="3600" w:hanging="360"/>
      </w:pPr>
      <w:rPr>
        <w:rFonts w:ascii="Courier New" w:eastAsia="Courier New" w:hAnsi="Courier New" w:cs="Courier New" w:hint="default"/>
      </w:rPr>
    </w:lvl>
    <w:lvl w:ilvl="5" w:tplc="90940B26">
      <w:start w:val="1"/>
      <w:numFmt w:val="bullet"/>
      <w:lvlText w:val="§"/>
      <w:lvlJc w:val="left"/>
      <w:pPr>
        <w:ind w:left="4320" w:hanging="360"/>
      </w:pPr>
      <w:rPr>
        <w:rFonts w:ascii="Wingdings" w:eastAsia="Wingdings" w:hAnsi="Wingdings" w:cs="Wingdings" w:hint="default"/>
      </w:rPr>
    </w:lvl>
    <w:lvl w:ilvl="6" w:tplc="F52C19AC">
      <w:start w:val="1"/>
      <w:numFmt w:val="bullet"/>
      <w:lvlText w:val="·"/>
      <w:lvlJc w:val="left"/>
      <w:pPr>
        <w:ind w:left="5040" w:hanging="360"/>
      </w:pPr>
      <w:rPr>
        <w:rFonts w:ascii="Symbol" w:eastAsia="Symbol" w:hAnsi="Symbol" w:cs="Symbol" w:hint="default"/>
      </w:rPr>
    </w:lvl>
    <w:lvl w:ilvl="7" w:tplc="2FB24ACE">
      <w:start w:val="1"/>
      <w:numFmt w:val="bullet"/>
      <w:lvlText w:val="o"/>
      <w:lvlJc w:val="left"/>
      <w:pPr>
        <w:ind w:left="5760" w:hanging="360"/>
      </w:pPr>
      <w:rPr>
        <w:rFonts w:ascii="Courier New" w:eastAsia="Courier New" w:hAnsi="Courier New" w:cs="Courier New" w:hint="default"/>
      </w:rPr>
    </w:lvl>
    <w:lvl w:ilvl="8" w:tplc="1A86F4A4">
      <w:start w:val="1"/>
      <w:numFmt w:val="bullet"/>
      <w:lvlText w:val="§"/>
      <w:lvlJc w:val="left"/>
      <w:pPr>
        <w:ind w:left="6480" w:hanging="360"/>
      </w:pPr>
      <w:rPr>
        <w:rFonts w:ascii="Wingdings" w:eastAsia="Wingdings" w:hAnsi="Wingdings" w:cs="Wingdings" w:hint="default"/>
      </w:rPr>
    </w:lvl>
  </w:abstractNum>
  <w:abstractNum w:abstractNumId="4" w15:restartNumberingAfterBreak="0">
    <w:nsid w:val="1C38395B"/>
    <w:multiLevelType w:val="hybridMultilevel"/>
    <w:tmpl w:val="3D762FF4"/>
    <w:lvl w:ilvl="0" w:tplc="15DCF012">
      <w:start w:val="1"/>
      <w:numFmt w:val="bullet"/>
      <w:pStyle w:val="Seznamsodrkami3"/>
      <w:lvlText w:val=""/>
      <w:lvlJc w:val="left"/>
      <w:pPr>
        <w:tabs>
          <w:tab w:val="num" w:pos="926"/>
        </w:tabs>
        <w:ind w:left="926" w:hanging="360"/>
      </w:pPr>
      <w:rPr>
        <w:rFonts w:ascii="Symbol" w:hAnsi="Symbol" w:hint="default"/>
      </w:rPr>
    </w:lvl>
    <w:lvl w:ilvl="1" w:tplc="758010DA">
      <w:start w:val="1"/>
      <w:numFmt w:val="bullet"/>
      <w:lvlText w:val="o"/>
      <w:lvlJc w:val="left"/>
      <w:pPr>
        <w:ind w:left="1440" w:hanging="360"/>
      </w:pPr>
      <w:rPr>
        <w:rFonts w:ascii="Courier New" w:eastAsia="Courier New" w:hAnsi="Courier New" w:cs="Courier New" w:hint="default"/>
      </w:rPr>
    </w:lvl>
    <w:lvl w:ilvl="2" w:tplc="B7D4B7C4">
      <w:start w:val="1"/>
      <w:numFmt w:val="bullet"/>
      <w:lvlText w:val="§"/>
      <w:lvlJc w:val="left"/>
      <w:pPr>
        <w:ind w:left="2160" w:hanging="360"/>
      </w:pPr>
      <w:rPr>
        <w:rFonts w:ascii="Wingdings" w:eastAsia="Wingdings" w:hAnsi="Wingdings" w:cs="Wingdings" w:hint="default"/>
      </w:rPr>
    </w:lvl>
    <w:lvl w:ilvl="3" w:tplc="7640FA6E">
      <w:start w:val="1"/>
      <w:numFmt w:val="bullet"/>
      <w:lvlText w:val="·"/>
      <w:lvlJc w:val="left"/>
      <w:pPr>
        <w:ind w:left="2880" w:hanging="360"/>
      </w:pPr>
      <w:rPr>
        <w:rFonts w:ascii="Symbol" w:eastAsia="Symbol" w:hAnsi="Symbol" w:cs="Symbol" w:hint="default"/>
      </w:rPr>
    </w:lvl>
    <w:lvl w:ilvl="4" w:tplc="DFD0B33C">
      <w:start w:val="1"/>
      <w:numFmt w:val="bullet"/>
      <w:lvlText w:val="o"/>
      <w:lvlJc w:val="left"/>
      <w:pPr>
        <w:ind w:left="3600" w:hanging="360"/>
      </w:pPr>
      <w:rPr>
        <w:rFonts w:ascii="Courier New" w:eastAsia="Courier New" w:hAnsi="Courier New" w:cs="Courier New" w:hint="default"/>
      </w:rPr>
    </w:lvl>
    <w:lvl w:ilvl="5" w:tplc="A4E8F948">
      <w:start w:val="1"/>
      <w:numFmt w:val="bullet"/>
      <w:lvlText w:val="§"/>
      <w:lvlJc w:val="left"/>
      <w:pPr>
        <w:ind w:left="4320" w:hanging="360"/>
      </w:pPr>
      <w:rPr>
        <w:rFonts w:ascii="Wingdings" w:eastAsia="Wingdings" w:hAnsi="Wingdings" w:cs="Wingdings" w:hint="default"/>
      </w:rPr>
    </w:lvl>
    <w:lvl w:ilvl="6" w:tplc="CF989C9E">
      <w:start w:val="1"/>
      <w:numFmt w:val="bullet"/>
      <w:lvlText w:val="·"/>
      <w:lvlJc w:val="left"/>
      <w:pPr>
        <w:ind w:left="5040" w:hanging="360"/>
      </w:pPr>
      <w:rPr>
        <w:rFonts w:ascii="Symbol" w:eastAsia="Symbol" w:hAnsi="Symbol" w:cs="Symbol" w:hint="default"/>
      </w:rPr>
    </w:lvl>
    <w:lvl w:ilvl="7" w:tplc="EEDCEE7A">
      <w:start w:val="1"/>
      <w:numFmt w:val="bullet"/>
      <w:lvlText w:val="o"/>
      <w:lvlJc w:val="left"/>
      <w:pPr>
        <w:ind w:left="5760" w:hanging="360"/>
      </w:pPr>
      <w:rPr>
        <w:rFonts w:ascii="Courier New" w:eastAsia="Courier New" w:hAnsi="Courier New" w:cs="Courier New" w:hint="default"/>
      </w:rPr>
    </w:lvl>
    <w:lvl w:ilvl="8" w:tplc="593CB7B0">
      <w:start w:val="1"/>
      <w:numFmt w:val="bullet"/>
      <w:lvlText w:val="§"/>
      <w:lvlJc w:val="left"/>
      <w:pPr>
        <w:ind w:left="6480" w:hanging="360"/>
      </w:pPr>
      <w:rPr>
        <w:rFonts w:ascii="Wingdings" w:eastAsia="Wingdings" w:hAnsi="Wingdings" w:cs="Wingdings" w:hint="default"/>
      </w:rPr>
    </w:lvl>
  </w:abstractNum>
  <w:abstractNum w:abstractNumId="5" w15:restartNumberingAfterBreak="0">
    <w:nsid w:val="23E7094B"/>
    <w:multiLevelType w:val="hybridMultilevel"/>
    <w:tmpl w:val="6BA625DE"/>
    <w:lvl w:ilvl="0" w:tplc="08608A2C">
      <w:start w:val="1"/>
      <w:numFmt w:val="bullet"/>
      <w:lvlText w:val=""/>
      <w:lvlJc w:val="left"/>
      <w:pPr>
        <w:ind w:left="340" w:hanging="227"/>
      </w:pPr>
      <w:rPr>
        <w:rFonts w:ascii="Symbol" w:hAnsi="Symbol" w:hint="default"/>
      </w:rPr>
    </w:lvl>
    <w:lvl w:ilvl="1" w:tplc="61F0A80E">
      <w:start w:val="1"/>
      <w:numFmt w:val="bullet"/>
      <w:lvlText w:val="o"/>
      <w:lvlJc w:val="left"/>
      <w:pPr>
        <w:ind w:left="1440" w:hanging="360"/>
      </w:pPr>
      <w:rPr>
        <w:rFonts w:ascii="Courier New" w:hAnsi="Courier New" w:cs="Courier New" w:hint="default"/>
      </w:rPr>
    </w:lvl>
    <w:lvl w:ilvl="2" w:tplc="B0D67B22">
      <w:start w:val="1"/>
      <w:numFmt w:val="bullet"/>
      <w:lvlText w:val=""/>
      <w:lvlJc w:val="left"/>
      <w:pPr>
        <w:ind w:left="2160" w:hanging="360"/>
      </w:pPr>
      <w:rPr>
        <w:rFonts w:ascii="Wingdings" w:hAnsi="Wingdings" w:hint="default"/>
      </w:rPr>
    </w:lvl>
    <w:lvl w:ilvl="3" w:tplc="44A26B8E">
      <w:start w:val="1"/>
      <w:numFmt w:val="bullet"/>
      <w:lvlText w:val=""/>
      <w:lvlJc w:val="left"/>
      <w:pPr>
        <w:ind w:left="2880" w:hanging="360"/>
      </w:pPr>
      <w:rPr>
        <w:rFonts w:ascii="Symbol" w:hAnsi="Symbol" w:hint="default"/>
      </w:rPr>
    </w:lvl>
    <w:lvl w:ilvl="4" w:tplc="B314ADCA">
      <w:start w:val="1"/>
      <w:numFmt w:val="bullet"/>
      <w:lvlText w:val="o"/>
      <w:lvlJc w:val="left"/>
      <w:pPr>
        <w:ind w:left="3600" w:hanging="360"/>
      </w:pPr>
      <w:rPr>
        <w:rFonts w:ascii="Courier New" w:hAnsi="Courier New" w:cs="Courier New" w:hint="default"/>
      </w:rPr>
    </w:lvl>
    <w:lvl w:ilvl="5" w:tplc="AB2E7FD2">
      <w:start w:val="1"/>
      <w:numFmt w:val="bullet"/>
      <w:lvlText w:val=""/>
      <w:lvlJc w:val="left"/>
      <w:pPr>
        <w:ind w:left="4320" w:hanging="360"/>
      </w:pPr>
      <w:rPr>
        <w:rFonts w:ascii="Wingdings" w:hAnsi="Wingdings" w:hint="default"/>
      </w:rPr>
    </w:lvl>
    <w:lvl w:ilvl="6" w:tplc="FB0A33E4">
      <w:start w:val="1"/>
      <w:numFmt w:val="bullet"/>
      <w:lvlText w:val=""/>
      <w:lvlJc w:val="left"/>
      <w:pPr>
        <w:ind w:left="5040" w:hanging="360"/>
      </w:pPr>
      <w:rPr>
        <w:rFonts w:ascii="Symbol" w:hAnsi="Symbol" w:hint="default"/>
      </w:rPr>
    </w:lvl>
    <w:lvl w:ilvl="7" w:tplc="422858BE">
      <w:start w:val="1"/>
      <w:numFmt w:val="bullet"/>
      <w:lvlText w:val="o"/>
      <w:lvlJc w:val="left"/>
      <w:pPr>
        <w:ind w:left="5760" w:hanging="360"/>
      </w:pPr>
      <w:rPr>
        <w:rFonts w:ascii="Courier New" w:hAnsi="Courier New" w:cs="Courier New" w:hint="default"/>
      </w:rPr>
    </w:lvl>
    <w:lvl w:ilvl="8" w:tplc="C5784460">
      <w:start w:val="1"/>
      <w:numFmt w:val="bullet"/>
      <w:lvlText w:val=""/>
      <w:lvlJc w:val="left"/>
      <w:pPr>
        <w:ind w:left="6480" w:hanging="360"/>
      </w:pPr>
      <w:rPr>
        <w:rFonts w:ascii="Wingdings" w:hAnsi="Wingdings" w:hint="default"/>
      </w:rPr>
    </w:lvl>
  </w:abstractNum>
  <w:abstractNum w:abstractNumId="6" w15:restartNumberingAfterBreak="0">
    <w:nsid w:val="27DB464A"/>
    <w:multiLevelType w:val="hybridMultilevel"/>
    <w:tmpl w:val="9C2CAB5C"/>
    <w:lvl w:ilvl="0" w:tplc="7E029E2A">
      <w:start w:val="1"/>
      <w:numFmt w:val="bullet"/>
      <w:pStyle w:val="Seznamsodrkami2"/>
      <w:lvlText w:val=""/>
      <w:lvlJc w:val="left"/>
      <w:pPr>
        <w:tabs>
          <w:tab w:val="num" w:pos="643"/>
        </w:tabs>
        <w:ind w:left="643" w:hanging="360"/>
      </w:pPr>
      <w:rPr>
        <w:rFonts w:ascii="Symbol" w:hAnsi="Symbol" w:hint="default"/>
      </w:rPr>
    </w:lvl>
    <w:lvl w:ilvl="1" w:tplc="1D523714">
      <w:start w:val="1"/>
      <w:numFmt w:val="bullet"/>
      <w:lvlText w:val="o"/>
      <w:lvlJc w:val="left"/>
      <w:pPr>
        <w:ind w:left="1440" w:hanging="360"/>
      </w:pPr>
      <w:rPr>
        <w:rFonts w:ascii="Courier New" w:eastAsia="Courier New" w:hAnsi="Courier New" w:cs="Courier New" w:hint="default"/>
      </w:rPr>
    </w:lvl>
    <w:lvl w:ilvl="2" w:tplc="7D047640">
      <w:start w:val="1"/>
      <w:numFmt w:val="bullet"/>
      <w:lvlText w:val="§"/>
      <w:lvlJc w:val="left"/>
      <w:pPr>
        <w:ind w:left="2160" w:hanging="360"/>
      </w:pPr>
      <w:rPr>
        <w:rFonts w:ascii="Wingdings" w:eastAsia="Wingdings" w:hAnsi="Wingdings" w:cs="Wingdings" w:hint="default"/>
      </w:rPr>
    </w:lvl>
    <w:lvl w:ilvl="3" w:tplc="008078BA">
      <w:start w:val="1"/>
      <w:numFmt w:val="bullet"/>
      <w:lvlText w:val="·"/>
      <w:lvlJc w:val="left"/>
      <w:pPr>
        <w:ind w:left="2880" w:hanging="360"/>
      </w:pPr>
      <w:rPr>
        <w:rFonts w:ascii="Symbol" w:eastAsia="Symbol" w:hAnsi="Symbol" w:cs="Symbol" w:hint="default"/>
      </w:rPr>
    </w:lvl>
    <w:lvl w:ilvl="4" w:tplc="F3A47A26">
      <w:start w:val="1"/>
      <w:numFmt w:val="bullet"/>
      <w:lvlText w:val="o"/>
      <w:lvlJc w:val="left"/>
      <w:pPr>
        <w:ind w:left="3600" w:hanging="360"/>
      </w:pPr>
      <w:rPr>
        <w:rFonts w:ascii="Courier New" w:eastAsia="Courier New" w:hAnsi="Courier New" w:cs="Courier New" w:hint="default"/>
      </w:rPr>
    </w:lvl>
    <w:lvl w:ilvl="5" w:tplc="A5DEDEA4">
      <w:start w:val="1"/>
      <w:numFmt w:val="bullet"/>
      <w:lvlText w:val="§"/>
      <w:lvlJc w:val="left"/>
      <w:pPr>
        <w:ind w:left="4320" w:hanging="360"/>
      </w:pPr>
      <w:rPr>
        <w:rFonts w:ascii="Wingdings" w:eastAsia="Wingdings" w:hAnsi="Wingdings" w:cs="Wingdings" w:hint="default"/>
      </w:rPr>
    </w:lvl>
    <w:lvl w:ilvl="6" w:tplc="CF7EB214">
      <w:start w:val="1"/>
      <w:numFmt w:val="bullet"/>
      <w:lvlText w:val="·"/>
      <w:lvlJc w:val="left"/>
      <w:pPr>
        <w:ind w:left="5040" w:hanging="360"/>
      </w:pPr>
      <w:rPr>
        <w:rFonts w:ascii="Symbol" w:eastAsia="Symbol" w:hAnsi="Symbol" w:cs="Symbol" w:hint="default"/>
      </w:rPr>
    </w:lvl>
    <w:lvl w:ilvl="7" w:tplc="3A44D28C">
      <w:start w:val="1"/>
      <w:numFmt w:val="bullet"/>
      <w:lvlText w:val="o"/>
      <w:lvlJc w:val="left"/>
      <w:pPr>
        <w:ind w:left="5760" w:hanging="360"/>
      </w:pPr>
      <w:rPr>
        <w:rFonts w:ascii="Courier New" w:eastAsia="Courier New" w:hAnsi="Courier New" w:cs="Courier New" w:hint="default"/>
      </w:rPr>
    </w:lvl>
    <w:lvl w:ilvl="8" w:tplc="DBE223A6">
      <w:start w:val="1"/>
      <w:numFmt w:val="bullet"/>
      <w:lvlText w:val="§"/>
      <w:lvlJc w:val="left"/>
      <w:pPr>
        <w:ind w:left="6480" w:hanging="360"/>
      </w:pPr>
      <w:rPr>
        <w:rFonts w:ascii="Wingdings" w:eastAsia="Wingdings" w:hAnsi="Wingdings" w:cs="Wingdings" w:hint="default"/>
      </w:rPr>
    </w:lvl>
  </w:abstractNum>
  <w:abstractNum w:abstractNumId="7" w15:restartNumberingAfterBreak="0">
    <w:nsid w:val="3888747E"/>
    <w:multiLevelType w:val="hybridMultilevel"/>
    <w:tmpl w:val="8C6EC14E"/>
    <w:lvl w:ilvl="0" w:tplc="4EDEEC92">
      <w:start w:val="1"/>
      <w:numFmt w:val="bullet"/>
      <w:pStyle w:val="Seznamsodrkami"/>
      <w:lvlText w:val=""/>
      <w:lvlJc w:val="left"/>
      <w:pPr>
        <w:tabs>
          <w:tab w:val="num" w:pos="360"/>
        </w:tabs>
        <w:ind w:left="360" w:hanging="360"/>
      </w:pPr>
      <w:rPr>
        <w:rFonts w:ascii="Symbol" w:hAnsi="Symbol" w:hint="default"/>
      </w:rPr>
    </w:lvl>
    <w:lvl w:ilvl="1" w:tplc="3CCA91A8">
      <w:start w:val="1"/>
      <w:numFmt w:val="bullet"/>
      <w:lvlText w:val="o"/>
      <w:lvlJc w:val="left"/>
      <w:pPr>
        <w:ind w:left="1440" w:hanging="360"/>
      </w:pPr>
      <w:rPr>
        <w:rFonts w:ascii="Courier New" w:eastAsia="Courier New" w:hAnsi="Courier New" w:cs="Courier New" w:hint="default"/>
      </w:rPr>
    </w:lvl>
    <w:lvl w:ilvl="2" w:tplc="57E0A778">
      <w:start w:val="1"/>
      <w:numFmt w:val="bullet"/>
      <w:lvlText w:val="§"/>
      <w:lvlJc w:val="left"/>
      <w:pPr>
        <w:ind w:left="2160" w:hanging="360"/>
      </w:pPr>
      <w:rPr>
        <w:rFonts w:ascii="Wingdings" w:eastAsia="Wingdings" w:hAnsi="Wingdings" w:cs="Wingdings" w:hint="default"/>
      </w:rPr>
    </w:lvl>
    <w:lvl w:ilvl="3" w:tplc="45DA50DC">
      <w:start w:val="1"/>
      <w:numFmt w:val="bullet"/>
      <w:lvlText w:val="·"/>
      <w:lvlJc w:val="left"/>
      <w:pPr>
        <w:ind w:left="2880" w:hanging="360"/>
      </w:pPr>
      <w:rPr>
        <w:rFonts w:ascii="Symbol" w:eastAsia="Symbol" w:hAnsi="Symbol" w:cs="Symbol" w:hint="default"/>
      </w:rPr>
    </w:lvl>
    <w:lvl w:ilvl="4" w:tplc="61965658">
      <w:start w:val="1"/>
      <w:numFmt w:val="bullet"/>
      <w:lvlText w:val="o"/>
      <w:lvlJc w:val="left"/>
      <w:pPr>
        <w:ind w:left="3600" w:hanging="360"/>
      </w:pPr>
      <w:rPr>
        <w:rFonts w:ascii="Courier New" w:eastAsia="Courier New" w:hAnsi="Courier New" w:cs="Courier New" w:hint="default"/>
      </w:rPr>
    </w:lvl>
    <w:lvl w:ilvl="5" w:tplc="FC585092">
      <w:start w:val="1"/>
      <w:numFmt w:val="bullet"/>
      <w:lvlText w:val="§"/>
      <w:lvlJc w:val="left"/>
      <w:pPr>
        <w:ind w:left="4320" w:hanging="360"/>
      </w:pPr>
      <w:rPr>
        <w:rFonts w:ascii="Wingdings" w:eastAsia="Wingdings" w:hAnsi="Wingdings" w:cs="Wingdings" w:hint="default"/>
      </w:rPr>
    </w:lvl>
    <w:lvl w:ilvl="6" w:tplc="67A6CFDA">
      <w:start w:val="1"/>
      <w:numFmt w:val="bullet"/>
      <w:lvlText w:val="·"/>
      <w:lvlJc w:val="left"/>
      <w:pPr>
        <w:ind w:left="5040" w:hanging="360"/>
      </w:pPr>
      <w:rPr>
        <w:rFonts w:ascii="Symbol" w:eastAsia="Symbol" w:hAnsi="Symbol" w:cs="Symbol" w:hint="default"/>
      </w:rPr>
    </w:lvl>
    <w:lvl w:ilvl="7" w:tplc="78642BA4">
      <w:start w:val="1"/>
      <w:numFmt w:val="bullet"/>
      <w:lvlText w:val="o"/>
      <w:lvlJc w:val="left"/>
      <w:pPr>
        <w:ind w:left="5760" w:hanging="360"/>
      </w:pPr>
      <w:rPr>
        <w:rFonts w:ascii="Courier New" w:eastAsia="Courier New" w:hAnsi="Courier New" w:cs="Courier New" w:hint="default"/>
      </w:rPr>
    </w:lvl>
    <w:lvl w:ilvl="8" w:tplc="A03814DE">
      <w:start w:val="1"/>
      <w:numFmt w:val="bullet"/>
      <w:lvlText w:val="§"/>
      <w:lvlJc w:val="left"/>
      <w:pPr>
        <w:ind w:left="6480" w:hanging="360"/>
      </w:pPr>
      <w:rPr>
        <w:rFonts w:ascii="Wingdings" w:eastAsia="Wingdings" w:hAnsi="Wingdings" w:cs="Wingdings" w:hint="default"/>
      </w:rPr>
    </w:lvl>
  </w:abstractNum>
  <w:abstractNum w:abstractNumId="8" w15:restartNumberingAfterBreak="0">
    <w:nsid w:val="39110BE9"/>
    <w:multiLevelType w:val="hybridMultilevel"/>
    <w:tmpl w:val="478C5B10"/>
    <w:lvl w:ilvl="0" w:tplc="10EC9F72">
      <w:start w:val="1"/>
      <w:numFmt w:val="bullet"/>
      <w:pStyle w:val="Seznamsodrkami4"/>
      <w:lvlText w:val=""/>
      <w:lvlJc w:val="left"/>
      <w:pPr>
        <w:tabs>
          <w:tab w:val="num" w:pos="1209"/>
        </w:tabs>
        <w:ind w:left="1209" w:hanging="360"/>
      </w:pPr>
      <w:rPr>
        <w:rFonts w:ascii="Symbol" w:hAnsi="Symbol" w:hint="default"/>
      </w:rPr>
    </w:lvl>
    <w:lvl w:ilvl="1" w:tplc="876A8740">
      <w:start w:val="1"/>
      <w:numFmt w:val="bullet"/>
      <w:lvlText w:val="o"/>
      <w:lvlJc w:val="left"/>
      <w:pPr>
        <w:ind w:left="1440" w:hanging="360"/>
      </w:pPr>
      <w:rPr>
        <w:rFonts w:ascii="Courier New" w:eastAsia="Courier New" w:hAnsi="Courier New" w:cs="Courier New" w:hint="default"/>
      </w:rPr>
    </w:lvl>
    <w:lvl w:ilvl="2" w:tplc="22ACAAB6">
      <w:start w:val="1"/>
      <w:numFmt w:val="bullet"/>
      <w:lvlText w:val="§"/>
      <w:lvlJc w:val="left"/>
      <w:pPr>
        <w:ind w:left="2160" w:hanging="360"/>
      </w:pPr>
      <w:rPr>
        <w:rFonts w:ascii="Wingdings" w:eastAsia="Wingdings" w:hAnsi="Wingdings" w:cs="Wingdings" w:hint="default"/>
      </w:rPr>
    </w:lvl>
    <w:lvl w:ilvl="3" w:tplc="AD9A6376">
      <w:start w:val="1"/>
      <w:numFmt w:val="bullet"/>
      <w:lvlText w:val="·"/>
      <w:lvlJc w:val="left"/>
      <w:pPr>
        <w:ind w:left="2880" w:hanging="360"/>
      </w:pPr>
      <w:rPr>
        <w:rFonts w:ascii="Symbol" w:eastAsia="Symbol" w:hAnsi="Symbol" w:cs="Symbol" w:hint="default"/>
      </w:rPr>
    </w:lvl>
    <w:lvl w:ilvl="4" w:tplc="042205CE">
      <w:start w:val="1"/>
      <w:numFmt w:val="bullet"/>
      <w:lvlText w:val="o"/>
      <w:lvlJc w:val="left"/>
      <w:pPr>
        <w:ind w:left="3600" w:hanging="360"/>
      </w:pPr>
      <w:rPr>
        <w:rFonts w:ascii="Courier New" w:eastAsia="Courier New" w:hAnsi="Courier New" w:cs="Courier New" w:hint="default"/>
      </w:rPr>
    </w:lvl>
    <w:lvl w:ilvl="5" w:tplc="032643F4">
      <w:start w:val="1"/>
      <w:numFmt w:val="bullet"/>
      <w:lvlText w:val="§"/>
      <w:lvlJc w:val="left"/>
      <w:pPr>
        <w:ind w:left="4320" w:hanging="360"/>
      </w:pPr>
      <w:rPr>
        <w:rFonts w:ascii="Wingdings" w:eastAsia="Wingdings" w:hAnsi="Wingdings" w:cs="Wingdings" w:hint="default"/>
      </w:rPr>
    </w:lvl>
    <w:lvl w:ilvl="6" w:tplc="6C9AA79C">
      <w:start w:val="1"/>
      <w:numFmt w:val="bullet"/>
      <w:lvlText w:val="·"/>
      <w:lvlJc w:val="left"/>
      <w:pPr>
        <w:ind w:left="5040" w:hanging="360"/>
      </w:pPr>
      <w:rPr>
        <w:rFonts w:ascii="Symbol" w:eastAsia="Symbol" w:hAnsi="Symbol" w:cs="Symbol" w:hint="default"/>
      </w:rPr>
    </w:lvl>
    <w:lvl w:ilvl="7" w:tplc="A14A0A4A">
      <w:start w:val="1"/>
      <w:numFmt w:val="bullet"/>
      <w:lvlText w:val="o"/>
      <w:lvlJc w:val="left"/>
      <w:pPr>
        <w:ind w:left="5760" w:hanging="360"/>
      </w:pPr>
      <w:rPr>
        <w:rFonts w:ascii="Courier New" w:eastAsia="Courier New" w:hAnsi="Courier New" w:cs="Courier New" w:hint="default"/>
      </w:rPr>
    </w:lvl>
    <w:lvl w:ilvl="8" w:tplc="3D6CE8EC">
      <w:start w:val="1"/>
      <w:numFmt w:val="bullet"/>
      <w:lvlText w:val="§"/>
      <w:lvlJc w:val="left"/>
      <w:pPr>
        <w:ind w:left="6480" w:hanging="360"/>
      </w:pPr>
      <w:rPr>
        <w:rFonts w:ascii="Wingdings" w:eastAsia="Wingdings" w:hAnsi="Wingdings" w:cs="Wingdings" w:hint="default"/>
      </w:rPr>
    </w:lvl>
  </w:abstractNum>
  <w:abstractNum w:abstractNumId="9" w15:restartNumberingAfterBreak="0">
    <w:nsid w:val="4343167D"/>
    <w:multiLevelType w:val="hybridMultilevel"/>
    <w:tmpl w:val="D9CCEAF8"/>
    <w:lvl w:ilvl="0" w:tplc="B1BC2B80">
      <w:start w:val="1"/>
      <w:numFmt w:val="bullet"/>
      <w:lvlText w:val=""/>
      <w:lvlJc w:val="left"/>
      <w:pPr>
        <w:ind w:left="720" w:hanging="360"/>
      </w:pPr>
      <w:rPr>
        <w:rFonts w:ascii="Symbol" w:hAnsi="Symbol" w:hint="default"/>
      </w:rPr>
    </w:lvl>
    <w:lvl w:ilvl="1" w:tplc="4D7CEBAA">
      <w:start w:val="1"/>
      <w:numFmt w:val="bullet"/>
      <w:lvlText w:val="o"/>
      <w:lvlJc w:val="left"/>
      <w:pPr>
        <w:ind w:left="1440" w:hanging="360"/>
      </w:pPr>
      <w:rPr>
        <w:rFonts w:ascii="Courier New" w:hAnsi="Courier New" w:cs="Courier New" w:hint="default"/>
      </w:rPr>
    </w:lvl>
    <w:lvl w:ilvl="2" w:tplc="8A742D2C">
      <w:start w:val="1"/>
      <w:numFmt w:val="bullet"/>
      <w:lvlText w:val=""/>
      <w:lvlJc w:val="left"/>
      <w:pPr>
        <w:ind w:left="2160" w:hanging="360"/>
      </w:pPr>
      <w:rPr>
        <w:rFonts w:ascii="Wingdings" w:hAnsi="Wingdings" w:hint="default"/>
      </w:rPr>
    </w:lvl>
    <w:lvl w:ilvl="3" w:tplc="7FCE84A6">
      <w:start w:val="1"/>
      <w:numFmt w:val="bullet"/>
      <w:lvlText w:val=""/>
      <w:lvlJc w:val="left"/>
      <w:pPr>
        <w:ind w:left="2880" w:hanging="360"/>
      </w:pPr>
      <w:rPr>
        <w:rFonts w:ascii="Symbol" w:hAnsi="Symbol" w:hint="default"/>
      </w:rPr>
    </w:lvl>
    <w:lvl w:ilvl="4" w:tplc="3928FDD0">
      <w:start w:val="1"/>
      <w:numFmt w:val="bullet"/>
      <w:lvlText w:val="o"/>
      <w:lvlJc w:val="left"/>
      <w:pPr>
        <w:ind w:left="3600" w:hanging="360"/>
      </w:pPr>
      <w:rPr>
        <w:rFonts w:ascii="Courier New" w:hAnsi="Courier New" w:cs="Courier New" w:hint="default"/>
      </w:rPr>
    </w:lvl>
    <w:lvl w:ilvl="5" w:tplc="CB60C8DC">
      <w:start w:val="1"/>
      <w:numFmt w:val="bullet"/>
      <w:lvlText w:val=""/>
      <w:lvlJc w:val="left"/>
      <w:pPr>
        <w:ind w:left="4320" w:hanging="360"/>
      </w:pPr>
      <w:rPr>
        <w:rFonts w:ascii="Wingdings" w:hAnsi="Wingdings" w:hint="default"/>
      </w:rPr>
    </w:lvl>
    <w:lvl w:ilvl="6" w:tplc="1D14ED02">
      <w:start w:val="1"/>
      <w:numFmt w:val="bullet"/>
      <w:lvlText w:val=""/>
      <w:lvlJc w:val="left"/>
      <w:pPr>
        <w:ind w:left="5040" w:hanging="360"/>
      </w:pPr>
      <w:rPr>
        <w:rFonts w:ascii="Symbol" w:hAnsi="Symbol" w:hint="default"/>
      </w:rPr>
    </w:lvl>
    <w:lvl w:ilvl="7" w:tplc="22F0B7BA">
      <w:start w:val="1"/>
      <w:numFmt w:val="bullet"/>
      <w:lvlText w:val="o"/>
      <w:lvlJc w:val="left"/>
      <w:pPr>
        <w:ind w:left="5760" w:hanging="360"/>
      </w:pPr>
      <w:rPr>
        <w:rFonts w:ascii="Courier New" w:hAnsi="Courier New" w:cs="Courier New" w:hint="default"/>
      </w:rPr>
    </w:lvl>
    <w:lvl w:ilvl="8" w:tplc="E0141460">
      <w:start w:val="1"/>
      <w:numFmt w:val="bullet"/>
      <w:lvlText w:val=""/>
      <w:lvlJc w:val="left"/>
      <w:pPr>
        <w:ind w:left="6480" w:hanging="360"/>
      </w:pPr>
      <w:rPr>
        <w:rFonts w:ascii="Wingdings" w:hAnsi="Wingdings" w:hint="default"/>
      </w:rPr>
    </w:lvl>
  </w:abstractNum>
  <w:abstractNum w:abstractNumId="10" w15:restartNumberingAfterBreak="0">
    <w:nsid w:val="4A277552"/>
    <w:multiLevelType w:val="hybridMultilevel"/>
    <w:tmpl w:val="44FCFC9E"/>
    <w:lvl w:ilvl="0" w:tplc="FA2610D6">
      <w:start w:val="1"/>
      <w:numFmt w:val="decimal"/>
      <w:lvlText w:val="%1)"/>
      <w:lvlJc w:val="left"/>
      <w:pPr>
        <w:ind w:left="340" w:hanging="227"/>
      </w:pPr>
      <w:rPr>
        <w:rFonts w:hint="default"/>
      </w:rPr>
    </w:lvl>
    <w:lvl w:ilvl="1" w:tplc="67EEA4AC">
      <w:start w:val="1"/>
      <w:numFmt w:val="bullet"/>
      <w:lvlText w:val="o"/>
      <w:lvlJc w:val="left"/>
      <w:pPr>
        <w:ind w:left="1440" w:hanging="360"/>
      </w:pPr>
      <w:rPr>
        <w:rFonts w:ascii="Courier New" w:hAnsi="Courier New" w:cs="Courier New" w:hint="default"/>
      </w:rPr>
    </w:lvl>
    <w:lvl w:ilvl="2" w:tplc="FE4E7E4C">
      <w:start w:val="1"/>
      <w:numFmt w:val="bullet"/>
      <w:lvlText w:val=""/>
      <w:lvlJc w:val="left"/>
      <w:pPr>
        <w:ind w:left="2160" w:hanging="360"/>
      </w:pPr>
      <w:rPr>
        <w:rFonts w:ascii="Wingdings" w:hAnsi="Wingdings" w:hint="default"/>
      </w:rPr>
    </w:lvl>
    <w:lvl w:ilvl="3" w:tplc="910CF46C">
      <w:start w:val="1"/>
      <w:numFmt w:val="bullet"/>
      <w:lvlText w:val=""/>
      <w:lvlJc w:val="left"/>
      <w:pPr>
        <w:ind w:left="2880" w:hanging="360"/>
      </w:pPr>
      <w:rPr>
        <w:rFonts w:ascii="Symbol" w:hAnsi="Symbol" w:hint="default"/>
      </w:rPr>
    </w:lvl>
    <w:lvl w:ilvl="4" w:tplc="9B2C7134">
      <w:start w:val="1"/>
      <w:numFmt w:val="bullet"/>
      <w:lvlText w:val="o"/>
      <w:lvlJc w:val="left"/>
      <w:pPr>
        <w:ind w:left="3600" w:hanging="360"/>
      </w:pPr>
      <w:rPr>
        <w:rFonts w:ascii="Courier New" w:hAnsi="Courier New" w:cs="Courier New" w:hint="default"/>
      </w:rPr>
    </w:lvl>
    <w:lvl w:ilvl="5" w:tplc="4C9C8BF6">
      <w:start w:val="1"/>
      <w:numFmt w:val="bullet"/>
      <w:lvlText w:val=""/>
      <w:lvlJc w:val="left"/>
      <w:pPr>
        <w:ind w:left="4320" w:hanging="360"/>
      </w:pPr>
      <w:rPr>
        <w:rFonts w:ascii="Wingdings" w:hAnsi="Wingdings" w:hint="default"/>
      </w:rPr>
    </w:lvl>
    <w:lvl w:ilvl="6" w:tplc="E9143694">
      <w:start w:val="1"/>
      <w:numFmt w:val="bullet"/>
      <w:lvlText w:val=""/>
      <w:lvlJc w:val="left"/>
      <w:pPr>
        <w:ind w:left="5040" w:hanging="360"/>
      </w:pPr>
      <w:rPr>
        <w:rFonts w:ascii="Symbol" w:hAnsi="Symbol" w:hint="default"/>
      </w:rPr>
    </w:lvl>
    <w:lvl w:ilvl="7" w:tplc="174E6496">
      <w:start w:val="1"/>
      <w:numFmt w:val="bullet"/>
      <w:lvlText w:val="o"/>
      <w:lvlJc w:val="left"/>
      <w:pPr>
        <w:ind w:left="5760" w:hanging="360"/>
      </w:pPr>
      <w:rPr>
        <w:rFonts w:ascii="Courier New" w:hAnsi="Courier New" w:cs="Courier New" w:hint="default"/>
      </w:rPr>
    </w:lvl>
    <w:lvl w:ilvl="8" w:tplc="266C7E0C">
      <w:start w:val="1"/>
      <w:numFmt w:val="bullet"/>
      <w:lvlText w:val=""/>
      <w:lvlJc w:val="left"/>
      <w:pPr>
        <w:ind w:left="6480" w:hanging="360"/>
      </w:pPr>
      <w:rPr>
        <w:rFonts w:ascii="Wingdings" w:hAnsi="Wingdings" w:hint="default"/>
      </w:rPr>
    </w:lvl>
  </w:abstractNum>
  <w:abstractNum w:abstractNumId="11" w15:restartNumberingAfterBreak="0">
    <w:nsid w:val="53A0746F"/>
    <w:multiLevelType w:val="hybridMultilevel"/>
    <w:tmpl w:val="247C35D0"/>
    <w:lvl w:ilvl="0" w:tplc="CFBA9F98">
      <w:start w:val="1"/>
      <w:numFmt w:val="decimal"/>
      <w:pStyle w:val="slovanseznam2"/>
      <w:lvlText w:val="%1."/>
      <w:lvlJc w:val="left"/>
      <w:pPr>
        <w:tabs>
          <w:tab w:val="num" w:pos="643"/>
        </w:tabs>
        <w:ind w:left="643" w:hanging="360"/>
      </w:pPr>
    </w:lvl>
    <w:lvl w:ilvl="1" w:tplc="F932A892">
      <w:start w:val="1"/>
      <w:numFmt w:val="bullet"/>
      <w:lvlText w:val="o"/>
      <w:lvlJc w:val="left"/>
      <w:pPr>
        <w:ind w:left="1440" w:hanging="360"/>
      </w:pPr>
      <w:rPr>
        <w:rFonts w:ascii="Courier New" w:eastAsia="Courier New" w:hAnsi="Courier New" w:cs="Courier New" w:hint="default"/>
      </w:rPr>
    </w:lvl>
    <w:lvl w:ilvl="2" w:tplc="628271FE">
      <w:start w:val="1"/>
      <w:numFmt w:val="bullet"/>
      <w:lvlText w:val="§"/>
      <w:lvlJc w:val="left"/>
      <w:pPr>
        <w:ind w:left="2160" w:hanging="360"/>
      </w:pPr>
      <w:rPr>
        <w:rFonts w:ascii="Wingdings" w:eastAsia="Wingdings" w:hAnsi="Wingdings" w:cs="Wingdings" w:hint="default"/>
      </w:rPr>
    </w:lvl>
    <w:lvl w:ilvl="3" w:tplc="789C9DF6">
      <w:start w:val="1"/>
      <w:numFmt w:val="bullet"/>
      <w:lvlText w:val="·"/>
      <w:lvlJc w:val="left"/>
      <w:pPr>
        <w:ind w:left="2880" w:hanging="360"/>
      </w:pPr>
      <w:rPr>
        <w:rFonts w:ascii="Symbol" w:eastAsia="Symbol" w:hAnsi="Symbol" w:cs="Symbol" w:hint="default"/>
      </w:rPr>
    </w:lvl>
    <w:lvl w:ilvl="4" w:tplc="57609780">
      <w:start w:val="1"/>
      <w:numFmt w:val="bullet"/>
      <w:lvlText w:val="o"/>
      <w:lvlJc w:val="left"/>
      <w:pPr>
        <w:ind w:left="3600" w:hanging="360"/>
      </w:pPr>
      <w:rPr>
        <w:rFonts w:ascii="Courier New" w:eastAsia="Courier New" w:hAnsi="Courier New" w:cs="Courier New" w:hint="default"/>
      </w:rPr>
    </w:lvl>
    <w:lvl w:ilvl="5" w:tplc="824AC312">
      <w:start w:val="1"/>
      <w:numFmt w:val="bullet"/>
      <w:lvlText w:val="§"/>
      <w:lvlJc w:val="left"/>
      <w:pPr>
        <w:ind w:left="4320" w:hanging="360"/>
      </w:pPr>
      <w:rPr>
        <w:rFonts w:ascii="Wingdings" w:eastAsia="Wingdings" w:hAnsi="Wingdings" w:cs="Wingdings" w:hint="default"/>
      </w:rPr>
    </w:lvl>
    <w:lvl w:ilvl="6" w:tplc="2C341CE2">
      <w:start w:val="1"/>
      <w:numFmt w:val="bullet"/>
      <w:lvlText w:val="·"/>
      <w:lvlJc w:val="left"/>
      <w:pPr>
        <w:ind w:left="5040" w:hanging="360"/>
      </w:pPr>
      <w:rPr>
        <w:rFonts w:ascii="Symbol" w:eastAsia="Symbol" w:hAnsi="Symbol" w:cs="Symbol" w:hint="default"/>
      </w:rPr>
    </w:lvl>
    <w:lvl w:ilvl="7" w:tplc="63D685AC">
      <w:start w:val="1"/>
      <w:numFmt w:val="bullet"/>
      <w:lvlText w:val="o"/>
      <w:lvlJc w:val="left"/>
      <w:pPr>
        <w:ind w:left="5760" w:hanging="360"/>
      </w:pPr>
      <w:rPr>
        <w:rFonts w:ascii="Courier New" w:eastAsia="Courier New" w:hAnsi="Courier New" w:cs="Courier New" w:hint="default"/>
      </w:rPr>
    </w:lvl>
    <w:lvl w:ilvl="8" w:tplc="C106ADB0">
      <w:start w:val="1"/>
      <w:numFmt w:val="bullet"/>
      <w:lvlText w:val="§"/>
      <w:lvlJc w:val="left"/>
      <w:pPr>
        <w:ind w:left="6480" w:hanging="360"/>
      </w:pPr>
      <w:rPr>
        <w:rFonts w:ascii="Wingdings" w:eastAsia="Wingdings" w:hAnsi="Wingdings" w:cs="Wingdings" w:hint="default"/>
      </w:rPr>
    </w:lvl>
  </w:abstractNum>
  <w:abstractNum w:abstractNumId="12" w15:restartNumberingAfterBreak="0">
    <w:nsid w:val="596C50FB"/>
    <w:multiLevelType w:val="hybridMultilevel"/>
    <w:tmpl w:val="0B8E8E72"/>
    <w:lvl w:ilvl="0" w:tplc="43E041FC">
      <w:start w:val="1"/>
      <w:numFmt w:val="decimal"/>
      <w:lvlText w:val="%1)"/>
      <w:lvlJc w:val="left"/>
      <w:pPr>
        <w:ind w:left="720" w:hanging="360"/>
      </w:pPr>
      <w:rPr>
        <w:rFonts w:hint="default"/>
      </w:rPr>
    </w:lvl>
    <w:lvl w:ilvl="1" w:tplc="B5F29BAE">
      <w:start w:val="1"/>
      <w:numFmt w:val="lowerLetter"/>
      <w:lvlText w:val="%2."/>
      <w:lvlJc w:val="left"/>
      <w:pPr>
        <w:ind w:left="1440" w:hanging="360"/>
      </w:pPr>
    </w:lvl>
    <w:lvl w:ilvl="2" w:tplc="D0027BEA">
      <w:start w:val="1"/>
      <w:numFmt w:val="lowerRoman"/>
      <w:lvlText w:val="%3."/>
      <w:lvlJc w:val="right"/>
      <w:pPr>
        <w:ind w:left="2160" w:hanging="180"/>
      </w:pPr>
    </w:lvl>
    <w:lvl w:ilvl="3" w:tplc="43128DC6">
      <w:start w:val="1"/>
      <w:numFmt w:val="decimal"/>
      <w:lvlText w:val="%4."/>
      <w:lvlJc w:val="left"/>
      <w:pPr>
        <w:ind w:left="2880" w:hanging="360"/>
      </w:pPr>
    </w:lvl>
    <w:lvl w:ilvl="4" w:tplc="771CF89A">
      <w:start w:val="1"/>
      <w:numFmt w:val="lowerLetter"/>
      <w:lvlText w:val="%5."/>
      <w:lvlJc w:val="left"/>
      <w:pPr>
        <w:ind w:left="3600" w:hanging="360"/>
      </w:pPr>
    </w:lvl>
    <w:lvl w:ilvl="5" w:tplc="ADCC1B08">
      <w:start w:val="1"/>
      <w:numFmt w:val="lowerRoman"/>
      <w:lvlText w:val="%6."/>
      <w:lvlJc w:val="right"/>
      <w:pPr>
        <w:ind w:left="4320" w:hanging="180"/>
      </w:pPr>
    </w:lvl>
    <w:lvl w:ilvl="6" w:tplc="4AFC3AD8">
      <w:start w:val="1"/>
      <w:numFmt w:val="decimal"/>
      <w:lvlText w:val="%7."/>
      <w:lvlJc w:val="left"/>
      <w:pPr>
        <w:ind w:left="5040" w:hanging="360"/>
      </w:pPr>
    </w:lvl>
    <w:lvl w:ilvl="7" w:tplc="FF1207D8">
      <w:start w:val="1"/>
      <w:numFmt w:val="lowerLetter"/>
      <w:lvlText w:val="%8."/>
      <w:lvlJc w:val="left"/>
      <w:pPr>
        <w:ind w:left="5760" w:hanging="360"/>
      </w:pPr>
    </w:lvl>
    <w:lvl w:ilvl="8" w:tplc="4F0CE8FA">
      <w:start w:val="1"/>
      <w:numFmt w:val="lowerRoman"/>
      <w:lvlText w:val="%9."/>
      <w:lvlJc w:val="right"/>
      <w:pPr>
        <w:ind w:left="6480" w:hanging="180"/>
      </w:pPr>
    </w:lvl>
  </w:abstractNum>
  <w:abstractNum w:abstractNumId="13" w15:restartNumberingAfterBreak="0">
    <w:nsid w:val="59851743"/>
    <w:multiLevelType w:val="hybridMultilevel"/>
    <w:tmpl w:val="15F24284"/>
    <w:lvl w:ilvl="0" w:tplc="4E941C60">
      <w:start w:val="1"/>
      <w:numFmt w:val="bullet"/>
      <w:lvlText w:val=""/>
      <w:lvlJc w:val="left"/>
      <w:pPr>
        <w:ind w:left="720" w:hanging="360"/>
      </w:pPr>
      <w:rPr>
        <w:rFonts w:ascii="Symbol" w:hAnsi="Symbol" w:hint="default"/>
      </w:rPr>
    </w:lvl>
    <w:lvl w:ilvl="1" w:tplc="08006D20">
      <w:start w:val="1"/>
      <w:numFmt w:val="bullet"/>
      <w:lvlText w:val="o"/>
      <w:lvlJc w:val="left"/>
      <w:pPr>
        <w:ind w:left="1440" w:hanging="360"/>
      </w:pPr>
      <w:rPr>
        <w:rFonts w:ascii="Courier New" w:hAnsi="Courier New" w:cs="Courier New" w:hint="default"/>
      </w:rPr>
    </w:lvl>
    <w:lvl w:ilvl="2" w:tplc="F2A8E21E">
      <w:start w:val="1"/>
      <w:numFmt w:val="bullet"/>
      <w:lvlText w:val=""/>
      <w:lvlJc w:val="left"/>
      <w:pPr>
        <w:ind w:left="2160" w:hanging="360"/>
      </w:pPr>
      <w:rPr>
        <w:rFonts w:ascii="Wingdings" w:hAnsi="Wingdings" w:hint="default"/>
      </w:rPr>
    </w:lvl>
    <w:lvl w:ilvl="3" w:tplc="469AED20">
      <w:start w:val="1"/>
      <w:numFmt w:val="bullet"/>
      <w:lvlText w:val=""/>
      <w:lvlJc w:val="left"/>
      <w:pPr>
        <w:ind w:left="2880" w:hanging="360"/>
      </w:pPr>
      <w:rPr>
        <w:rFonts w:ascii="Symbol" w:hAnsi="Symbol" w:hint="default"/>
      </w:rPr>
    </w:lvl>
    <w:lvl w:ilvl="4" w:tplc="73782EBA">
      <w:start w:val="1"/>
      <w:numFmt w:val="bullet"/>
      <w:lvlText w:val="o"/>
      <w:lvlJc w:val="left"/>
      <w:pPr>
        <w:ind w:left="3600" w:hanging="360"/>
      </w:pPr>
      <w:rPr>
        <w:rFonts w:ascii="Courier New" w:hAnsi="Courier New" w:cs="Courier New" w:hint="default"/>
      </w:rPr>
    </w:lvl>
    <w:lvl w:ilvl="5" w:tplc="13F2ADFC">
      <w:start w:val="1"/>
      <w:numFmt w:val="bullet"/>
      <w:lvlText w:val=""/>
      <w:lvlJc w:val="left"/>
      <w:pPr>
        <w:ind w:left="4320" w:hanging="360"/>
      </w:pPr>
      <w:rPr>
        <w:rFonts w:ascii="Wingdings" w:hAnsi="Wingdings" w:hint="default"/>
      </w:rPr>
    </w:lvl>
    <w:lvl w:ilvl="6" w:tplc="38323832">
      <w:start w:val="1"/>
      <w:numFmt w:val="bullet"/>
      <w:lvlText w:val=""/>
      <w:lvlJc w:val="left"/>
      <w:pPr>
        <w:ind w:left="5040" w:hanging="360"/>
      </w:pPr>
      <w:rPr>
        <w:rFonts w:ascii="Symbol" w:hAnsi="Symbol" w:hint="default"/>
      </w:rPr>
    </w:lvl>
    <w:lvl w:ilvl="7" w:tplc="33943444">
      <w:start w:val="1"/>
      <w:numFmt w:val="bullet"/>
      <w:lvlText w:val="o"/>
      <w:lvlJc w:val="left"/>
      <w:pPr>
        <w:ind w:left="5760" w:hanging="360"/>
      </w:pPr>
      <w:rPr>
        <w:rFonts w:ascii="Courier New" w:hAnsi="Courier New" w:cs="Courier New" w:hint="default"/>
      </w:rPr>
    </w:lvl>
    <w:lvl w:ilvl="8" w:tplc="8E2EE076">
      <w:start w:val="1"/>
      <w:numFmt w:val="bullet"/>
      <w:lvlText w:val=""/>
      <w:lvlJc w:val="left"/>
      <w:pPr>
        <w:ind w:left="6480" w:hanging="360"/>
      </w:pPr>
      <w:rPr>
        <w:rFonts w:ascii="Wingdings" w:hAnsi="Wingdings" w:hint="default"/>
      </w:rPr>
    </w:lvl>
  </w:abstractNum>
  <w:abstractNum w:abstractNumId="14" w15:restartNumberingAfterBreak="0">
    <w:nsid w:val="629408CD"/>
    <w:multiLevelType w:val="hybridMultilevel"/>
    <w:tmpl w:val="C14C3288"/>
    <w:lvl w:ilvl="0" w:tplc="022CC9EE">
      <w:start w:val="1"/>
      <w:numFmt w:val="decimal"/>
      <w:pStyle w:val="slovanseznam5"/>
      <w:lvlText w:val="%1."/>
      <w:lvlJc w:val="left"/>
      <w:pPr>
        <w:tabs>
          <w:tab w:val="num" w:pos="1492"/>
        </w:tabs>
        <w:ind w:left="1492" w:hanging="360"/>
      </w:pPr>
    </w:lvl>
    <w:lvl w:ilvl="1" w:tplc="6778D662">
      <w:start w:val="1"/>
      <w:numFmt w:val="bullet"/>
      <w:lvlText w:val="o"/>
      <w:lvlJc w:val="left"/>
      <w:pPr>
        <w:ind w:left="1440" w:hanging="360"/>
      </w:pPr>
      <w:rPr>
        <w:rFonts w:ascii="Courier New" w:eastAsia="Courier New" w:hAnsi="Courier New" w:cs="Courier New" w:hint="default"/>
      </w:rPr>
    </w:lvl>
    <w:lvl w:ilvl="2" w:tplc="E7928572">
      <w:start w:val="1"/>
      <w:numFmt w:val="bullet"/>
      <w:lvlText w:val="§"/>
      <w:lvlJc w:val="left"/>
      <w:pPr>
        <w:ind w:left="2160" w:hanging="360"/>
      </w:pPr>
      <w:rPr>
        <w:rFonts w:ascii="Wingdings" w:eastAsia="Wingdings" w:hAnsi="Wingdings" w:cs="Wingdings" w:hint="default"/>
      </w:rPr>
    </w:lvl>
    <w:lvl w:ilvl="3" w:tplc="0AD60304">
      <w:start w:val="1"/>
      <w:numFmt w:val="bullet"/>
      <w:lvlText w:val="·"/>
      <w:lvlJc w:val="left"/>
      <w:pPr>
        <w:ind w:left="2880" w:hanging="360"/>
      </w:pPr>
      <w:rPr>
        <w:rFonts w:ascii="Symbol" w:eastAsia="Symbol" w:hAnsi="Symbol" w:cs="Symbol" w:hint="default"/>
      </w:rPr>
    </w:lvl>
    <w:lvl w:ilvl="4" w:tplc="2160A9BE">
      <w:start w:val="1"/>
      <w:numFmt w:val="bullet"/>
      <w:lvlText w:val="o"/>
      <w:lvlJc w:val="left"/>
      <w:pPr>
        <w:ind w:left="3600" w:hanging="360"/>
      </w:pPr>
      <w:rPr>
        <w:rFonts w:ascii="Courier New" w:eastAsia="Courier New" w:hAnsi="Courier New" w:cs="Courier New" w:hint="default"/>
      </w:rPr>
    </w:lvl>
    <w:lvl w:ilvl="5" w:tplc="7F7A08F6">
      <w:start w:val="1"/>
      <w:numFmt w:val="bullet"/>
      <w:lvlText w:val="§"/>
      <w:lvlJc w:val="left"/>
      <w:pPr>
        <w:ind w:left="4320" w:hanging="360"/>
      </w:pPr>
      <w:rPr>
        <w:rFonts w:ascii="Wingdings" w:eastAsia="Wingdings" w:hAnsi="Wingdings" w:cs="Wingdings" w:hint="default"/>
      </w:rPr>
    </w:lvl>
    <w:lvl w:ilvl="6" w:tplc="30C2FF64">
      <w:start w:val="1"/>
      <w:numFmt w:val="bullet"/>
      <w:lvlText w:val="·"/>
      <w:lvlJc w:val="left"/>
      <w:pPr>
        <w:ind w:left="5040" w:hanging="360"/>
      </w:pPr>
      <w:rPr>
        <w:rFonts w:ascii="Symbol" w:eastAsia="Symbol" w:hAnsi="Symbol" w:cs="Symbol" w:hint="default"/>
      </w:rPr>
    </w:lvl>
    <w:lvl w:ilvl="7" w:tplc="35C41B48">
      <w:start w:val="1"/>
      <w:numFmt w:val="bullet"/>
      <w:lvlText w:val="o"/>
      <w:lvlJc w:val="left"/>
      <w:pPr>
        <w:ind w:left="5760" w:hanging="360"/>
      </w:pPr>
      <w:rPr>
        <w:rFonts w:ascii="Courier New" w:eastAsia="Courier New" w:hAnsi="Courier New" w:cs="Courier New" w:hint="default"/>
      </w:rPr>
    </w:lvl>
    <w:lvl w:ilvl="8" w:tplc="0DA4C77A">
      <w:start w:val="1"/>
      <w:numFmt w:val="bullet"/>
      <w:lvlText w:val="§"/>
      <w:lvlJc w:val="left"/>
      <w:pPr>
        <w:ind w:left="6480" w:hanging="360"/>
      </w:pPr>
      <w:rPr>
        <w:rFonts w:ascii="Wingdings" w:eastAsia="Wingdings" w:hAnsi="Wingdings" w:cs="Wingdings" w:hint="default"/>
      </w:rPr>
    </w:lvl>
  </w:abstractNum>
  <w:abstractNum w:abstractNumId="15" w15:restartNumberingAfterBreak="0">
    <w:nsid w:val="642B0970"/>
    <w:multiLevelType w:val="hybridMultilevel"/>
    <w:tmpl w:val="71AEB838"/>
    <w:lvl w:ilvl="0" w:tplc="B43C1174">
      <w:start w:val="1"/>
      <w:numFmt w:val="decimal"/>
      <w:pStyle w:val="CETnumbering1"/>
      <w:lvlText w:val="%1."/>
      <w:lvlJc w:val="left"/>
      <w:pPr>
        <w:ind w:left="720" w:hanging="360"/>
      </w:pPr>
    </w:lvl>
    <w:lvl w:ilvl="1" w:tplc="13A2877E">
      <w:start w:val="1"/>
      <w:numFmt w:val="lowerLetter"/>
      <w:lvlText w:val="%2."/>
      <w:lvlJc w:val="left"/>
      <w:pPr>
        <w:ind w:left="1440" w:hanging="360"/>
      </w:pPr>
    </w:lvl>
    <w:lvl w:ilvl="2" w:tplc="56C2D4AA">
      <w:start w:val="1"/>
      <w:numFmt w:val="lowerRoman"/>
      <w:lvlText w:val="%3."/>
      <w:lvlJc w:val="right"/>
      <w:pPr>
        <w:ind w:left="2160" w:hanging="180"/>
      </w:pPr>
    </w:lvl>
    <w:lvl w:ilvl="3" w:tplc="3BBE731E">
      <w:start w:val="1"/>
      <w:numFmt w:val="decimal"/>
      <w:lvlText w:val="%4."/>
      <w:lvlJc w:val="left"/>
      <w:pPr>
        <w:ind w:left="2880" w:hanging="360"/>
      </w:pPr>
    </w:lvl>
    <w:lvl w:ilvl="4" w:tplc="9F9E0CCE">
      <w:start w:val="1"/>
      <w:numFmt w:val="lowerLetter"/>
      <w:lvlText w:val="%5."/>
      <w:lvlJc w:val="left"/>
      <w:pPr>
        <w:ind w:left="3600" w:hanging="360"/>
      </w:pPr>
    </w:lvl>
    <w:lvl w:ilvl="5" w:tplc="84064222">
      <w:start w:val="1"/>
      <w:numFmt w:val="lowerRoman"/>
      <w:lvlText w:val="%6."/>
      <w:lvlJc w:val="right"/>
      <w:pPr>
        <w:ind w:left="4320" w:hanging="180"/>
      </w:pPr>
    </w:lvl>
    <w:lvl w:ilvl="6" w:tplc="65FA8416">
      <w:start w:val="1"/>
      <w:numFmt w:val="decimal"/>
      <w:lvlText w:val="%7."/>
      <w:lvlJc w:val="left"/>
      <w:pPr>
        <w:ind w:left="5040" w:hanging="360"/>
      </w:pPr>
    </w:lvl>
    <w:lvl w:ilvl="7" w:tplc="E6B42E12">
      <w:start w:val="1"/>
      <w:numFmt w:val="lowerLetter"/>
      <w:lvlText w:val="%8."/>
      <w:lvlJc w:val="left"/>
      <w:pPr>
        <w:ind w:left="5760" w:hanging="360"/>
      </w:pPr>
    </w:lvl>
    <w:lvl w:ilvl="8" w:tplc="CB6CA208">
      <w:start w:val="1"/>
      <w:numFmt w:val="lowerRoman"/>
      <w:lvlText w:val="%9."/>
      <w:lvlJc w:val="right"/>
      <w:pPr>
        <w:ind w:left="6480" w:hanging="180"/>
      </w:pPr>
    </w:lvl>
  </w:abstractNum>
  <w:abstractNum w:abstractNumId="16" w15:restartNumberingAfterBreak="0">
    <w:nsid w:val="651065F9"/>
    <w:multiLevelType w:val="hybridMultilevel"/>
    <w:tmpl w:val="9064BB90"/>
    <w:lvl w:ilvl="0" w:tplc="F6780F16">
      <w:start w:val="1"/>
      <w:numFmt w:val="bullet"/>
      <w:pStyle w:val="Seznamsodrkami5"/>
      <w:lvlText w:val=""/>
      <w:lvlJc w:val="left"/>
      <w:pPr>
        <w:tabs>
          <w:tab w:val="num" w:pos="1492"/>
        </w:tabs>
        <w:ind w:left="1492" w:hanging="360"/>
      </w:pPr>
      <w:rPr>
        <w:rFonts w:ascii="Symbol" w:hAnsi="Symbol" w:hint="default"/>
      </w:rPr>
    </w:lvl>
    <w:lvl w:ilvl="1" w:tplc="35D21214">
      <w:start w:val="1"/>
      <w:numFmt w:val="bullet"/>
      <w:lvlText w:val="o"/>
      <w:lvlJc w:val="left"/>
      <w:pPr>
        <w:ind w:left="1440" w:hanging="360"/>
      </w:pPr>
      <w:rPr>
        <w:rFonts w:ascii="Courier New" w:eastAsia="Courier New" w:hAnsi="Courier New" w:cs="Courier New" w:hint="default"/>
      </w:rPr>
    </w:lvl>
    <w:lvl w:ilvl="2" w:tplc="E2C08AA8">
      <w:start w:val="1"/>
      <w:numFmt w:val="bullet"/>
      <w:lvlText w:val="§"/>
      <w:lvlJc w:val="left"/>
      <w:pPr>
        <w:ind w:left="2160" w:hanging="360"/>
      </w:pPr>
      <w:rPr>
        <w:rFonts w:ascii="Wingdings" w:eastAsia="Wingdings" w:hAnsi="Wingdings" w:cs="Wingdings" w:hint="default"/>
      </w:rPr>
    </w:lvl>
    <w:lvl w:ilvl="3" w:tplc="E160A70C">
      <w:start w:val="1"/>
      <w:numFmt w:val="bullet"/>
      <w:lvlText w:val="·"/>
      <w:lvlJc w:val="left"/>
      <w:pPr>
        <w:ind w:left="2880" w:hanging="360"/>
      </w:pPr>
      <w:rPr>
        <w:rFonts w:ascii="Symbol" w:eastAsia="Symbol" w:hAnsi="Symbol" w:cs="Symbol" w:hint="default"/>
      </w:rPr>
    </w:lvl>
    <w:lvl w:ilvl="4" w:tplc="F7484EE2">
      <w:start w:val="1"/>
      <w:numFmt w:val="bullet"/>
      <w:lvlText w:val="o"/>
      <w:lvlJc w:val="left"/>
      <w:pPr>
        <w:ind w:left="3600" w:hanging="360"/>
      </w:pPr>
      <w:rPr>
        <w:rFonts w:ascii="Courier New" w:eastAsia="Courier New" w:hAnsi="Courier New" w:cs="Courier New" w:hint="default"/>
      </w:rPr>
    </w:lvl>
    <w:lvl w:ilvl="5" w:tplc="AC5822BE">
      <w:start w:val="1"/>
      <w:numFmt w:val="bullet"/>
      <w:lvlText w:val="§"/>
      <w:lvlJc w:val="left"/>
      <w:pPr>
        <w:ind w:left="4320" w:hanging="360"/>
      </w:pPr>
      <w:rPr>
        <w:rFonts w:ascii="Wingdings" w:eastAsia="Wingdings" w:hAnsi="Wingdings" w:cs="Wingdings" w:hint="default"/>
      </w:rPr>
    </w:lvl>
    <w:lvl w:ilvl="6" w:tplc="4CC22BB4">
      <w:start w:val="1"/>
      <w:numFmt w:val="bullet"/>
      <w:lvlText w:val="·"/>
      <w:lvlJc w:val="left"/>
      <w:pPr>
        <w:ind w:left="5040" w:hanging="360"/>
      </w:pPr>
      <w:rPr>
        <w:rFonts w:ascii="Symbol" w:eastAsia="Symbol" w:hAnsi="Symbol" w:cs="Symbol" w:hint="default"/>
      </w:rPr>
    </w:lvl>
    <w:lvl w:ilvl="7" w:tplc="0D8272AE">
      <w:start w:val="1"/>
      <w:numFmt w:val="bullet"/>
      <w:lvlText w:val="o"/>
      <w:lvlJc w:val="left"/>
      <w:pPr>
        <w:ind w:left="5760" w:hanging="360"/>
      </w:pPr>
      <w:rPr>
        <w:rFonts w:ascii="Courier New" w:eastAsia="Courier New" w:hAnsi="Courier New" w:cs="Courier New" w:hint="default"/>
      </w:rPr>
    </w:lvl>
    <w:lvl w:ilvl="8" w:tplc="039CEE66">
      <w:start w:val="1"/>
      <w:numFmt w:val="bullet"/>
      <w:lvlText w:val="§"/>
      <w:lvlJc w:val="left"/>
      <w:pPr>
        <w:ind w:left="6480" w:hanging="360"/>
      </w:pPr>
      <w:rPr>
        <w:rFonts w:ascii="Wingdings" w:eastAsia="Wingdings" w:hAnsi="Wingdings" w:cs="Wingdings" w:hint="default"/>
      </w:rPr>
    </w:lvl>
  </w:abstractNum>
  <w:abstractNum w:abstractNumId="17" w15:restartNumberingAfterBreak="0">
    <w:nsid w:val="6ADA7ED3"/>
    <w:multiLevelType w:val="hybridMultilevel"/>
    <w:tmpl w:val="861684A4"/>
    <w:lvl w:ilvl="0" w:tplc="1FB81A38">
      <w:start w:val="1"/>
      <w:numFmt w:val="bullet"/>
      <w:lvlText w:val=""/>
      <w:lvlJc w:val="left"/>
      <w:pPr>
        <w:ind w:left="720" w:hanging="360"/>
      </w:pPr>
      <w:rPr>
        <w:rFonts w:ascii="Symbol" w:hAnsi="Symbol" w:hint="default"/>
      </w:rPr>
    </w:lvl>
    <w:lvl w:ilvl="1" w:tplc="519AFD22">
      <w:start w:val="1"/>
      <w:numFmt w:val="bullet"/>
      <w:lvlText w:val="o"/>
      <w:lvlJc w:val="left"/>
      <w:pPr>
        <w:ind w:left="1440" w:hanging="360"/>
      </w:pPr>
      <w:rPr>
        <w:rFonts w:ascii="Courier New" w:hAnsi="Courier New" w:cs="Courier New" w:hint="default"/>
      </w:rPr>
    </w:lvl>
    <w:lvl w:ilvl="2" w:tplc="A2E6EAC0">
      <w:start w:val="1"/>
      <w:numFmt w:val="bullet"/>
      <w:lvlText w:val=""/>
      <w:lvlJc w:val="left"/>
      <w:pPr>
        <w:ind w:left="2160" w:hanging="360"/>
      </w:pPr>
      <w:rPr>
        <w:rFonts w:ascii="Wingdings" w:hAnsi="Wingdings" w:hint="default"/>
      </w:rPr>
    </w:lvl>
    <w:lvl w:ilvl="3" w:tplc="68EA699E">
      <w:start w:val="1"/>
      <w:numFmt w:val="bullet"/>
      <w:lvlText w:val=""/>
      <w:lvlJc w:val="left"/>
      <w:pPr>
        <w:ind w:left="2880" w:hanging="360"/>
      </w:pPr>
      <w:rPr>
        <w:rFonts w:ascii="Symbol" w:hAnsi="Symbol" w:hint="default"/>
      </w:rPr>
    </w:lvl>
    <w:lvl w:ilvl="4" w:tplc="3B547A0A">
      <w:start w:val="1"/>
      <w:numFmt w:val="bullet"/>
      <w:lvlText w:val="o"/>
      <w:lvlJc w:val="left"/>
      <w:pPr>
        <w:ind w:left="3600" w:hanging="360"/>
      </w:pPr>
      <w:rPr>
        <w:rFonts w:ascii="Courier New" w:hAnsi="Courier New" w:cs="Courier New" w:hint="default"/>
      </w:rPr>
    </w:lvl>
    <w:lvl w:ilvl="5" w:tplc="2EB66E52">
      <w:start w:val="1"/>
      <w:numFmt w:val="bullet"/>
      <w:lvlText w:val=""/>
      <w:lvlJc w:val="left"/>
      <w:pPr>
        <w:ind w:left="4320" w:hanging="360"/>
      </w:pPr>
      <w:rPr>
        <w:rFonts w:ascii="Wingdings" w:hAnsi="Wingdings" w:hint="default"/>
      </w:rPr>
    </w:lvl>
    <w:lvl w:ilvl="6" w:tplc="A762D716">
      <w:start w:val="1"/>
      <w:numFmt w:val="bullet"/>
      <w:lvlText w:val=""/>
      <w:lvlJc w:val="left"/>
      <w:pPr>
        <w:ind w:left="5040" w:hanging="360"/>
      </w:pPr>
      <w:rPr>
        <w:rFonts w:ascii="Symbol" w:hAnsi="Symbol" w:hint="default"/>
      </w:rPr>
    </w:lvl>
    <w:lvl w:ilvl="7" w:tplc="E7D21B0A">
      <w:start w:val="1"/>
      <w:numFmt w:val="bullet"/>
      <w:lvlText w:val="o"/>
      <w:lvlJc w:val="left"/>
      <w:pPr>
        <w:ind w:left="5760" w:hanging="360"/>
      </w:pPr>
      <w:rPr>
        <w:rFonts w:ascii="Courier New" w:hAnsi="Courier New" w:cs="Courier New" w:hint="default"/>
      </w:rPr>
    </w:lvl>
    <w:lvl w:ilvl="8" w:tplc="A56CA1F0">
      <w:start w:val="1"/>
      <w:numFmt w:val="bullet"/>
      <w:lvlText w:val=""/>
      <w:lvlJc w:val="left"/>
      <w:pPr>
        <w:ind w:left="6480" w:hanging="360"/>
      </w:pPr>
      <w:rPr>
        <w:rFonts w:ascii="Wingdings" w:hAnsi="Wingdings" w:hint="default"/>
      </w:rPr>
    </w:lvl>
  </w:abstractNum>
  <w:abstractNum w:abstractNumId="18" w15:restartNumberingAfterBreak="0">
    <w:nsid w:val="75A80ED5"/>
    <w:multiLevelType w:val="hybridMultilevel"/>
    <w:tmpl w:val="4D3EAC04"/>
    <w:lvl w:ilvl="0" w:tplc="B3B0FB0C">
      <w:start w:val="1"/>
      <w:numFmt w:val="bullet"/>
      <w:pStyle w:val="CETnumberingbullets"/>
      <w:lvlText w:val=""/>
      <w:lvlJc w:val="left"/>
      <w:pPr>
        <w:ind w:left="340" w:hanging="227"/>
      </w:pPr>
      <w:rPr>
        <w:rFonts w:ascii="Symbol" w:hAnsi="Symbol" w:hint="default"/>
      </w:rPr>
    </w:lvl>
    <w:lvl w:ilvl="1" w:tplc="A1305D32">
      <w:start w:val="1"/>
      <w:numFmt w:val="bullet"/>
      <w:lvlText w:val="o"/>
      <w:lvlJc w:val="left"/>
      <w:pPr>
        <w:ind w:left="1440" w:hanging="360"/>
      </w:pPr>
      <w:rPr>
        <w:rFonts w:ascii="Courier New" w:hAnsi="Courier New" w:cs="Courier New" w:hint="default"/>
      </w:rPr>
    </w:lvl>
    <w:lvl w:ilvl="2" w:tplc="C55C146C">
      <w:start w:val="1"/>
      <w:numFmt w:val="bullet"/>
      <w:lvlText w:val=""/>
      <w:lvlJc w:val="left"/>
      <w:pPr>
        <w:ind w:left="2160" w:hanging="360"/>
      </w:pPr>
      <w:rPr>
        <w:rFonts w:ascii="Wingdings" w:hAnsi="Wingdings" w:hint="default"/>
      </w:rPr>
    </w:lvl>
    <w:lvl w:ilvl="3" w:tplc="E5A0B010">
      <w:start w:val="1"/>
      <w:numFmt w:val="bullet"/>
      <w:lvlText w:val=""/>
      <w:lvlJc w:val="left"/>
      <w:pPr>
        <w:ind w:left="2880" w:hanging="360"/>
      </w:pPr>
      <w:rPr>
        <w:rFonts w:ascii="Symbol" w:hAnsi="Symbol" w:hint="default"/>
      </w:rPr>
    </w:lvl>
    <w:lvl w:ilvl="4" w:tplc="C24423AE">
      <w:start w:val="1"/>
      <w:numFmt w:val="bullet"/>
      <w:lvlText w:val="o"/>
      <w:lvlJc w:val="left"/>
      <w:pPr>
        <w:ind w:left="3600" w:hanging="360"/>
      </w:pPr>
      <w:rPr>
        <w:rFonts w:ascii="Courier New" w:hAnsi="Courier New" w:cs="Courier New" w:hint="default"/>
      </w:rPr>
    </w:lvl>
    <w:lvl w:ilvl="5" w:tplc="1BDA0490">
      <w:start w:val="1"/>
      <w:numFmt w:val="bullet"/>
      <w:lvlText w:val=""/>
      <w:lvlJc w:val="left"/>
      <w:pPr>
        <w:ind w:left="4320" w:hanging="360"/>
      </w:pPr>
      <w:rPr>
        <w:rFonts w:ascii="Wingdings" w:hAnsi="Wingdings" w:hint="default"/>
      </w:rPr>
    </w:lvl>
    <w:lvl w:ilvl="6" w:tplc="580406F4">
      <w:start w:val="1"/>
      <w:numFmt w:val="bullet"/>
      <w:lvlText w:val=""/>
      <w:lvlJc w:val="left"/>
      <w:pPr>
        <w:ind w:left="5040" w:hanging="360"/>
      </w:pPr>
      <w:rPr>
        <w:rFonts w:ascii="Symbol" w:hAnsi="Symbol" w:hint="default"/>
      </w:rPr>
    </w:lvl>
    <w:lvl w:ilvl="7" w:tplc="22C65620">
      <w:start w:val="1"/>
      <w:numFmt w:val="bullet"/>
      <w:lvlText w:val="o"/>
      <w:lvlJc w:val="left"/>
      <w:pPr>
        <w:ind w:left="5760" w:hanging="360"/>
      </w:pPr>
      <w:rPr>
        <w:rFonts w:ascii="Courier New" w:hAnsi="Courier New" w:cs="Courier New" w:hint="default"/>
      </w:rPr>
    </w:lvl>
    <w:lvl w:ilvl="8" w:tplc="A63E4056">
      <w:start w:val="1"/>
      <w:numFmt w:val="bullet"/>
      <w:lvlText w:val=""/>
      <w:lvlJc w:val="left"/>
      <w:pPr>
        <w:ind w:left="6480" w:hanging="360"/>
      </w:pPr>
      <w:rPr>
        <w:rFonts w:ascii="Wingdings" w:hAnsi="Wingdings" w:hint="default"/>
      </w:rPr>
    </w:lvl>
  </w:abstractNum>
  <w:abstractNum w:abstractNumId="19" w15:restartNumberingAfterBreak="0">
    <w:nsid w:val="761011FF"/>
    <w:multiLevelType w:val="hybridMultilevel"/>
    <w:tmpl w:val="32FA10C2"/>
    <w:lvl w:ilvl="0" w:tplc="52B8D6F4">
      <w:start w:val="1"/>
      <w:numFmt w:val="decimal"/>
      <w:pStyle w:val="slovanseznam"/>
      <w:lvlText w:val="%1."/>
      <w:lvlJc w:val="left"/>
      <w:pPr>
        <w:tabs>
          <w:tab w:val="num" w:pos="360"/>
        </w:tabs>
        <w:ind w:left="360" w:hanging="360"/>
      </w:pPr>
    </w:lvl>
    <w:lvl w:ilvl="1" w:tplc="F5F4201C">
      <w:start w:val="1"/>
      <w:numFmt w:val="bullet"/>
      <w:lvlText w:val="o"/>
      <w:lvlJc w:val="left"/>
      <w:pPr>
        <w:ind w:left="1440" w:hanging="360"/>
      </w:pPr>
      <w:rPr>
        <w:rFonts w:ascii="Courier New" w:eastAsia="Courier New" w:hAnsi="Courier New" w:cs="Courier New" w:hint="default"/>
      </w:rPr>
    </w:lvl>
    <w:lvl w:ilvl="2" w:tplc="19B24392">
      <w:start w:val="1"/>
      <w:numFmt w:val="bullet"/>
      <w:lvlText w:val="§"/>
      <w:lvlJc w:val="left"/>
      <w:pPr>
        <w:ind w:left="2160" w:hanging="360"/>
      </w:pPr>
      <w:rPr>
        <w:rFonts w:ascii="Wingdings" w:eastAsia="Wingdings" w:hAnsi="Wingdings" w:cs="Wingdings" w:hint="default"/>
      </w:rPr>
    </w:lvl>
    <w:lvl w:ilvl="3" w:tplc="B6184F86">
      <w:start w:val="1"/>
      <w:numFmt w:val="bullet"/>
      <w:lvlText w:val="·"/>
      <w:lvlJc w:val="left"/>
      <w:pPr>
        <w:ind w:left="2880" w:hanging="360"/>
      </w:pPr>
      <w:rPr>
        <w:rFonts w:ascii="Symbol" w:eastAsia="Symbol" w:hAnsi="Symbol" w:cs="Symbol" w:hint="default"/>
      </w:rPr>
    </w:lvl>
    <w:lvl w:ilvl="4" w:tplc="3572B3B2">
      <w:start w:val="1"/>
      <w:numFmt w:val="bullet"/>
      <w:lvlText w:val="o"/>
      <w:lvlJc w:val="left"/>
      <w:pPr>
        <w:ind w:left="3600" w:hanging="360"/>
      </w:pPr>
      <w:rPr>
        <w:rFonts w:ascii="Courier New" w:eastAsia="Courier New" w:hAnsi="Courier New" w:cs="Courier New" w:hint="default"/>
      </w:rPr>
    </w:lvl>
    <w:lvl w:ilvl="5" w:tplc="5DF889A4">
      <w:start w:val="1"/>
      <w:numFmt w:val="bullet"/>
      <w:lvlText w:val="§"/>
      <w:lvlJc w:val="left"/>
      <w:pPr>
        <w:ind w:left="4320" w:hanging="360"/>
      </w:pPr>
      <w:rPr>
        <w:rFonts w:ascii="Wingdings" w:eastAsia="Wingdings" w:hAnsi="Wingdings" w:cs="Wingdings" w:hint="default"/>
      </w:rPr>
    </w:lvl>
    <w:lvl w:ilvl="6" w:tplc="EDB829E2">
      <w:start w:val="1"/>
      <w:numFmt w:val="bullet"/>
      <w:lvlText w:val="·"/>
      <w:lvlJc w:val="left"/>
      <w:pPr>
        <w:ind w:left="5040" w:hanging="360"/>
      </w:pPr>
      <w:rPr>
        <w:rFonts w:ascii="Symbol" w:eastAsia="Symbol" w:hAnsi="Symbol" w:cs="Symbol" w:hint="default"/>
      </w:rPr>
    </w:lvl>
    <w:lvl w:ilvl="7" w:tplc="0D445EE0">
      <w:start w:val="1"/>
      <w:numFmt w:val="bullet"/>
      <w:lvlText w:val="o"/>
      <w:lvlJc w:val="left"/>
      <w:pPr>
        <w:ind w:left="5760" w:hanging="360"/>
      </w:pPr>
      <w:rPr>
        <w:rFonts w:ascii="Courier New" w:eastAsia="Courier New" w:hAnsi="Courier New" w:cs="Courier New" w:hint="default"/>
      </w:rPr>
    </w:lvl>
    <w:lvl w:ilvl="8" w:tplc="5420A9AA">
      <w:start w:val="1"/>
      <w:numFmt w:val="bullet"/>
      <w:lvlText w:val="§"/>
      <w:lvlJc w:val="left"/>
      <w:pPr>
        <w:ind w:left="6480" w:hanging="360"/>
      </w:pPr>
      <w:rPr>
        <w:rFonts w:ascii="Wingdings" w:eastAsia="Wingdings" w:hAnsi="Wingdings" w:cs="Wingdings" w:hint="default"/>
      </w:rPr>
    </w:lvl>
  </w:abstractNum>
  <w:abstractNum w:abstractNumId="20" w15:restartNumberingAfterBreak="0">
    <w:nsid w:val="7C76050B"/>
    <w:multiLevelType w:val="hybridMultilevel"/>
    <w:tmpl w:val="65DE59D6"/>
    <w:lvl w:ilvl="0" w:tplc="BD2E0618">
      <w:start w:val="1"/>
      <w:numFmt w:val="lowerLetter"/>
      <w:pStyle w:val="CETnumberinga"/>
      <w:lvlText w:val="%1."/>
      <w:lvlJc w:val="left"/>
      <w:pPr>
        <w:ind w:left="340" w:hanging="227"/>
      </w:pPr>
      <w:rPr>
        <w:rFonts w:hint="default"/>
      </w:rPr>
    </w:lvl>
    <w:lvl w:ilvl="1" w:tplc="47C84332">
      <w:start w:val="1"/>
      <w:numFmt w:val="bullet"/>
      <w:lvlText w:val="o"/>
      <w:lvlJc w:val="left"/>
      <w:pPr>
        <w:ind w:left="1440" w:hanging="360"/>
      </w:pPr>
      <w:rPr>
        <w:rFonts w:ascii="Courier New" w:hAnsi="Courier New" w:cs="Courier New" w:hint="default"/>
      </w:rPr>
    </w:lvl>
    <w:lvl w:ilvl="2" w:tplc="345E5A38">
      <w:start w:val="1"/>
      <w:numFmt w:val="bullet"/>
      <w:lvlText w:val=""/>
      <w:lvlJc w:val="left"/>
      <w:pPr>
        <w:ind w:left="2160" w:hanging="360"/>
      </w:pPr>
      <w:rPr>
        <w:rFonts w:ascii="Wingdings" w:hAnsi="Wingdings" w:hint="default"/>
      </w:rPr>
    </w:lvl>
    <w:lvl w:ilvl="3" w:tplc="9F7A76FA">
      <w:start w:val="1"/>
      <w:numFmt w:val="bullet"/>
      <w:lvlText w:val=""/>
      <w:lvlJc w:val="left"/>
      <w:pPr>
        <w:ind w:left="2880" w:hanging="360"/>
      </w:pPr>
      <w:rPr>
        <w:rFonts w:ascii="Symbol" w:hAnsi="Symbol" w:hint="default"/>
      </w:rPr>
    </w:lvl>
    <w:lvl w:ilvl="4" w:tplc="E382A89A">
      <w:start w:val="1"/>
      <w:numFmt w:val="bullet"/>
      <w:lvlText w:val="o"/>
      <w:lvlJc w:val="left"/>
      <w:pPr>
        <w:ind w:left="3600" w:hanging="360"/>
      </w:pPr>
      <w:rPr>
        <w:rFonts w:ascii="Courier New" w:hAnsi="Courier New" w:cs="Courier New" w:hint="default"/>
      </w:rPr>
    </w:lvl>
    <w:lvl w:ilvl="5" w:tplc="A1EEB98A">
      <w:start w:val="1"/>
      <w:numFmt w:val="bullet"/>
      <w:lvlText w:val=""/>
      <w:lvlJc w:val="left"/>
      <w:pPr>
        <w:ind w:left="4320" w:hanging="360"/>
      </w:pPr>
      <w:rPr>
        <w:rFonts w:ascii="Wingdings" w:hAnsi="Wingdings" w:hint="default"/>
      </w:rPr>
    </w:lvl>
    <w:lvl w:ilvl="6" w:tplc="787CAC32">
      <w:start w:val="1"/>
      <w:numFmt w:val="bullet"/>
      <w:lvlText w:val=""/>
      <w:lvlJc w:val="left"/>
      <w:pPr>
        <w:ind w:left="5040" w:hanging="360"/>
      </w:pPr>
      <w:rPr>
        <w:rFonts w:ascii="Symbol" w:hAnsi="Symbol" w:hint="default"/>
      </w:rPr>
    </w:lvl>
    <w:lvl w:ilvl="7" w:tplc="9A7C3374">
      <w:start w:val="1"/>
      <w:numFmt w:val="bullet"/>
      <w:lvlText w:val="o"/>
      <w:lvlJc w:val="left"/>
      <w:pPr>
        <w:ind w:left="5760" w:hanging="360"/>
      </w:pPr>
      <w:rPr>
        <w:rFonts w:ascii="Courier New" w:hAnsi="Courier New" w:cs="Courier New" w:hint="default"/>
      </w:rPr>
    </w:lvl>
    <w:lvl w:ilvl="8" w:tplc="5E16D45C">
      <w:start w:val="1"/>
      <w:numFmt w:val="bullet"/>
      <w:lvlText w:val=""/>
      <w:lvlJc w:val="left"/>
      <w:pPr>
        <w:ind w:left="6480" w:hanging="360"/>
      </w:pPr>
      <w:rPr>
        <w:rFonts w:ascii="Wingdings" w:hAnsi="Wingdings" w:hint="default"/>
      </w:rPr>
    </w:lvl>
  </w:abstractNum>
  <w:num w:numId="1">
    <w:abstractNumId w:val="1"/>
  </w:num>
  <w:num w:numId="2">
    <w:abstractNumId w:val="19"/>
  </w:num>
  <w:num w:numId="3">
    <w:abstractNumId w:val="11"/>
  </w:num>
  <w:num w:numId="4">
    <w:abstractNumId w:val="0"/>
  </w:num>
  <w:num w:numId="5">
    <w:abstractNumId w:val="3"/>
  </w:num>
  <w:num w:numId="6">
    <w:abstractNumId w:val="14"/>
  </w:num>
  <w:num w:numId="7">
    <w:abstractNumId w:val="7"/>
  </w:num>
  <w:num w:numId="8">
    <w:abstractNumId w:val="6"/>
  </w:num>
  <w:num w:numId="9">
    <w:abstractNumId w:val="4"/>
  </w:num>
  <w:num w:numId="10">
    <w:abstractNumId w:val="8"/>
  </w:num>
  <w:num w:numId="11">
    <w:abstractNumId w:val="16"/>
  </w:num>
  <w:num w:numId="12">
    <w:abstractNumId w:val="2"/>
  </w:num>
  <w:num w:numId="13">
    <w:abstractNumId w:val="18"/>
  </w:num>
  <w:num w:numId="14">
    <w:abstractNumId w:val="15"/>
  </w:num>
  <w:num w:numId="15">
    <w:abstractNumId w:val="20"/>
  </w:num>
  <w:num w:numId="16">
    <w:abstractNumId w:val="9"/>
  </w:num>
  <w:num w:numId="17">
    <w:abstractNumId w:val="17"/>
  </w:num>
  <w:num w:numId="18">
    <w:abstractNumId w:val="18"/>
    <w:lvlOverride w:ilvl="0">
      <w:startOverride w:val="1"/>
    </w:lvlOverride>
  </w:num>
  <w:num w:numId="19">
    <w:abstractNumId w:val="10"/>
  </w:num>
  <w:num w:numId="20">
    <w:abstractNumId w:val="5"/>
  </w:num>
  <w:num w:numId="21">
    <w:abstractNumId w:val="12"/>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oNotDisplayPageBoundaries/>
  <w:documentProtection w:edit="forms" w:enforcement="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FLIR_DOCUMENT_ID" w:val="a4886048-5c16-4022-b3c5-25130727047b"/>
  </w:docVars>
  <w:rsids>
    <w:rsidRoot w:val="009D7D24"/>
    <w:rsid w:val="00002493"/>
    <w:rsid w:val="000579FA"/>
    <w:rsid w:val="000A18A0"/>
    <w:rsid w:val="000C1434"/>
    <w:rsid w:val="000D4A50"/>
    <w:rsid w:val="000F0832"/>
    <w:rsid w:val="000F37A2"/>
    <w:rsid w:val="00106F20"/>
    <w:rsid w:val="001163C2"/>
    <w:rsid w:val="00133528"/>
    <w:rsid w:val="00163E18"/>
    <w:rsid w:val="001E5BB5"/>
    <w:rsid w:val="001F1B89"/>
    <w:rsid w:val="00206923"/>
    <w:rsid w:val="002121CC"/>
    <w:rsid w:val="0021703D"/>
    <w:rsid w:val="00233AAA"/>
    <w:rsid w:val="002547E0"/>
    <w:rsid w:val="002557D6"/>
    <w:rsid w:val="00291718"/>
    <w:rsid w:val="0030276B"/>
    <w:rsid w:val="00325690"/>
    <w:rsid w:val="00332ACA"/>
    <w:rsid w:val="003A385F"/>
    <w:rsid w:val="003A64B1"/>
    <w:rsid w:val="003B2B1A"/>
    <w:rsid w:val="003B6CFD"/>
    <w:rsid w:val="003E7AB3"/>
    <w:rsid w:val="003F3601"/>
    <w:rsid w:val="00416360"/>
    <w:rsid w:val="00436B92"/>
    <w:rsid w:val="00473890"/>
    <w:rsid w:val="004776CD"/>
    <w:rsid w:val="00481685"/>
    <w:rsid w:val="004822DC"/>
    <w:rsid w:val="004C247D"/>
    <w:rsid w:val="004D30EC"/>
    <w:rsid w:val="004F5A12"/>
    <w:rsid w:val="005226ED"/>
    <w:rsid w:val="00527EA4"/>
    <w:rsid w:val="00535EDD"/>
    <w:rsid w:val="00543AEC"/>
    <w:rsid w:val="005553A7"/>
    <w:rsid w:val="005604ED"/>
    <w:rsid w:val="00562913"/>
    <w:rsid w:val="005B3EBE"/>
    <w:rsid w:val="005B7306"/>
    <w:rsid w:val="006E7ECD"/>
    <w:rsid w:val="0070196A"/>
    <w:rsid w:val="0072760B"/>
    <w:rsid w:val="007518DA"/>
    <w:rsid w:val="00756059"/>
    <w:rsid w:val="007660C6"/>
    <w:rsid w:val="00791E64"/>
    <w:rsid w:val="00792890"/>
    <w:rsid w:val="007B695A"/>
    <w:rsid w:val="007F3325"/>
    <w:rsid w:val="008206D0"/>
    <w:rsid w:val="00824370"/>
    <w:rsid w:val="0083286C"/>
    <w:rsid w:val="00862FB3"/>
    <w:rsid w:val="00885189"/>
    <w:rsid w:val="008A4703"/>
    <w:rsid w:val="008E2E38"/>
    <w:rsid w:val="008E70E4"/>
    <w:rsid w:val="008F1ED6"/>
    <w:rsid w:val="00943FD0"/>
    <w:rsid w:val="00945A89"/>
    <w:rsid w:val="00957858"/>
    <w:rsid w:val="009636D2"/>
    <w:rsid w:val="00966755"/>
    <w:rsid w:val="009707BB"/>
    <w:rsid w:val="00994B5F"/>
    <w:rsid w:val="009D7D24"/>
    <w:rsid w:val="009E2641"/>
    <w:rsid w:val="00A20885"/>
    <w:rsid w:val="00A2643D"/>
    <w:rsid w:val="00A421C6"/>
    <w:rsid w:val="00AB08F9"/>
    <w:rsid w:val="00AD3165"/>
    <w:rsid w:val="00B23A3A"/>
    <w:rsid w:val="00B326A6"/>
    <w:rsid w:val="00B4402D"/>
    <w:rsid w:val="00B45D80"/>
    <w:rsid w:val="00B73B7B"/>
    <w:rsid w:val="00B86F51"/>
    <w:rsid w:val="00BB1E6A"/>
    <w:rsid w:val="00C14E6F"/>
    <w:rsid w:val="00C40CBA"/>
    <w:rsid w:val="00C8648A"/>
    <w:rsid w:val="00C95F3D"/>
    <w:rsid w:val="00CA52F3"/>
    <w:rsid w:val="00CB4F0A"/>
    <w:rsid w:val="00CF080F"/>
    <w:rsid w:val="00D64FC4"/>
    <w:rsid w:val="00DA688B"/>
    <w:rsid w:val="00DD03DE"/>
    <w:rsid w:val="00E42AFA"/>
    <w:rsid w:val="00E84D3E"/>
    <w:rsid w:val="00E9171F"/>
    <w:rsid w:val="00EA38B3"/>
    <w:rsid w:val="00EC377E"/>
    <w:rsid w:val="00ED59C8"/>
    <w:rsid w:val="00EE7CA6"/>
    <w:rsid w:val="00F03BC4"/>
    <w:rsid w:val="00F51B16"/>
    <w:rsid w:val="00FE1D6F"/>
    <w:rsid w:val="00FE43E3"/>
    <w:rsid w:val="00FF3B1A"/>
    <w:rsid w:val="00FF6D92"/>
    <w:rsid w:val="00FF7D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E21FDE"/>
  <w15:docId w15:val="{1F7F9A14-2AA0-443D-B930-8FA66CB4E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pPr>
      <w:tabs>
        <w:tab w:val="right" w:pos="7100"/>
      </w:tabs>
      <w:spacing w:after="0" w:line="264" w:lineRule="auto"/>
      <w:jc w:val="both"/>
    </w:pPr>
    <w:rPr>
      <w:rFonts w:ascii="Arial" w:eastAsia="Times New Roman" w:hAnsi="Arial" w:cs="Times New Roman"/>
      <w:sz w:val="18"/>
      <w:szCs w:val="20"/>
      <w:lang w:val="en-GB"/>
    </w:rPr>
  </w:style>
  <w:style w:type="paragraph" w:styleId="Nadpis1">
    <w:name w:val="heading 1"/>
    <w:basedOn w:val="CETHeading1"/>
    <w:next w:val="Normln"/>
    <w:link w:val="Nadpis1Char"/>
    <w:uiPriority w:val="9"/>
    <w:pPr>
      <w:tabs>
        <w:tab w:val="clear" w:pos="360"/>
        <w:tab w:val="right" w:pos="7100"/>
      </w:tabs>
      <w:jc w:val="both"/>
      <w:outlineLvl w:val="0"/>
    </w:pPr>
    <w:rPr>
      <w:lang w:val="en-GB"/>
    </w:rPr>
  </w:style>
  <w:style w:type="paragraph" w:styleId="Nadpis2">
    <w:name w:val="heading 2"/>
    <w:basedOn w:val="Normln"/>
    <w:next w:val="Normln"/>
    <w:link w:val="Nadpis2Char"/>
    <w:uiPriority w:val="9"/>
    <w:semiHidden/>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semiHidden/>
    <w:unhideWhenUsed/>
    <w:qFormat/>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pPr>
      <w:keepNext/>
      <w:keepLines/>
      <w:spacing w:before="20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pPr>
      <w:keepNext/>
      <w:keepLines/>
      <w:spacing w:before="20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9"/>
    <w:semiHidden/>
    <w:unhideWhenUsed/>
    <w:qFormat/>
    <w:pPr>
      <w:keepNext/>
      <w:keepLines/>
      <w:spacing w:before="20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iPriority w:val="9"/>
    <w:semiHidden/>
    <w:unhideWhenUsed/>
    <w:qFormat/>
    <w:pPr>
      <w:keepNext/>
      <w:keepLines/>
      <w:spacing w:before="20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pPr>
      <w:keepNext/>
      <w:keepLines/>
      <w:spacing w:before="200"/>
      <w:outlineLvl w:val="7"/>
    </w:pPr>
    <w:rPr>
      <w:rFonts w:asciiTheme="majorHAnsi" w:eastAsiaTheme="majorEastAsia" w:hAnsiTheme="majorHAnsi" w:cstheme="majorBidi"/>
      <w:color w:val="404040" w:themeColor="text1" w:themeTint="BF"/>
    </w:rPr>
  </w:style>
  <w:style w:type="paragraph" w:styleId="Nadpis9">
    <w:name w:val="heading 9"/>
    <w:basedOn w:val="Normln"/>
    <w:next w:val="Normln"/>
    <w:link w:val="Nadpis9Char"/>
    <w:uiPriority w:val="9"/>
    <w:semiHidden/>
    <w:unhideWhenUsed/>
    <w:qFormat/>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Heading1Char">
    <w:name w:val="Heading 1 Char"/>
    <w:basedOn w:val="Standardnpsmoodstavce"/>
    <w:uiPriority w:val="9"/>
    <w:rPr>
      <w:rFonts w:ascii="Arial" w:eastAsia="Arial" w:hAnsi="Arial" w:cs="Arial"/>
      <w:sz w:val="40"/>
      <w:szCs w:val="40"/>
    </w:rPr>
  </w:style>
  <w:style w:type="character" w:customStyle="1" w:styleId="Heading2Char">
    <w:name w:val="Heading 2 Char"/>
    <w:basedOn w:val="Standardnpsmoodstavce"/>
    <w:uiPriority w:val="9"/>
    <w:rPr>
      <w:rFonts w:ascii="Arial" w:eastAsia="Arial" w:hAnsi="Arial" w:cs="Arial"/>
      <w:sz w:val="34"/>
    </w:rPr>
  </w:style>
  <w:style w:type="character" w:customStyle="1" w:styleId="Heading3Char">
    <w:name w:val="Heading 3 Char"/>
    <w:basedOn w:val="Standardnpsmoodstavce"/>
    <w:uiPriority w:val="9"/>
    <w:rPr>
      <w:rFonts w:ascii="Arial" w:eastAsia="Arial" w:hAnsi="Arial" w:cs="Arial"/>
      <w:sz w:val="30"/>
      <w:szCs w:val="30"/>
    </w:rPr>
  </w:style>
  <w:style w:type="character" w:customStyle="1" w:styleId="Heading4Char">
    <w:name w:val="Heading 4 Char"/>
    <w:basedOn w:val="Standardnpsmoodstavce"/>
    <w:uiPriority w:val="9"/>
    <w:rPr>
      <w:rFonts w:ascii="Arial" w:eastAsia="Arial" w:hAnsi="Arial" w:cs="Arial"/>
      <w:b/>
      <w:bCs/>
      <w:sz w:val="26"/>
      <w:szCs w:val="26"/>
    </w:rPr>
  </w:style>
  <w:style w:type="character" w:customStyle="1" w:styleId="Heading5Char">
    <w:name w:val="Heading 5 Char"/>
    <w:basedOn w:val="Standardnpsmoodstavce"/>
    <w:uiPriority w:val="9"/>
    <w:rPr>
      <w:rFonts w:ascii="Arial" w:eastAsia="Arial" w:hAnsi="Arial" w:cs="Arial"/>
      <w:b/>
      <w:bCs/>
      <w:sz w:val="24"/>
      <w:szCs w:val="24"/>
    </w:rPr>
  </w:style>
  <w:style w:type="character" w:customStyle="1" w:styleId="Heading6Char">
    <w:name w:val="Heading 6 Char"/>
    <w:basedOn w:val="Standardnpsmoodstavce"/>
    <w:uiPriority w:val="9"/>
    <w:rPr>
      <w:rFonts w:ascii="Arial" w:eastAsia="Arial" w:hAnsi="Arial" w:cs="Arial"/>
      <w:b/>
      <w:bCs/>
      <w:sz w:val="22"/>
      <w:szCs w:val="22"/>
    </w:rPr>
  </w:style>
  <w:style w:type="character" w:customStyle="1" w:styleId="Heading7Char">
    <w:name w:val="Heading 7 Char"/>
    <w:basedOn w:val="Standardnpsmoodstavce"/>
    <w:uiPriority w:val="9"/>
    <w:rPr>
      <w:rFonts w:ascii="Arial" w:eastAsia="Arial" w:hAnsi="Arial" w:cs="Arial"/>
      <w:b/>
      <w:bCs/>
      <w:i/>
      <w:iCs/>
      <w:sz w:val="22"/>
      <w:szCs w:val="22"/>
    </w:rPr>
  </w:style>
  <w:style w:type="character" w:customStyle="1" w:styleId="Heading8Char">
    <w:name w:val="Heading 8 Char"/>
    <w:basedOn w:val="Standardnpsmoodstavce"/>
    <w:uiPriority w:val="9"/>
    <w:rPr>
      <w:rFonts w:ascii="Arial" w:eastAsia="Arial" w:hAnsi="Arial" w:cs="Arial"/>
      <w:i/>
      <w:iCs/>
      <w:sz w:val="22"/>
      <w:szCs w:val="22"/>
    </w:rPr>
  </w:style>
  <w:style w:type="character" w:customStyle="1" w:styleId="Heading9Char">
    <w:name w:val="Heading 9 Char"/>
    <w:basedOn w:val="Standardnpsmoodstavce"/>
    <w:uiPriority w:val="9"/>
    <w:rPr>
      <w:rFonts w:ascii="Arial" w:eastAsia="Arial" w:hAnsi="Arial" w:cs="Arial"/>
      <w:i/>
      <w:iCs/>
      <w:sz w:val="21"/>
      <w:szCs w:val="21"/>
    </w:rPr>
  </w:style>
  <w:style w:type="paragraph" w:styleId="Bezmezer">
    <w:name w:val="No Spacing"/>
    <w:uiPriority w:val="1"/>
    <w:qFormat/>
    <w:pPr>
      <w:spacing w:after="0" w:line="240" w:lineRule="auto"/>
    </w:pPr>
  </w:style>
  <w:style w:type="paragraph" w:styleId="Nzev">
    <w:name w:val="Title"/>
    <w:basedOn w:val="Normln"/>
    <w:next w:val="Normln"/>
    <w:link w:val="NzevChar"/>
    <w:uiPriority w:val="10"/>
    <w:qFormat/>
    <w:pPr>
      <w:spacing w:before="300" w:after="200"/>
      <w:contextualSpacing/>
    </w:pPr>
    <w:rPr>
      <w:sz w:val="48"/>
      <w:szCs w:val="48"/>
    </w:rPr>
  </w:style>
  <w:style w:type="character" w:customStyle="1" w:styleId="NzevChar">
    <w:name w:val="Název Char"/>
    <w:basedOn w:val="Standardnpsmoodstavce"/>
    <w:link w:val="Nzev"/>
    <w:uiPriority w:val="10"/>
    <w:rPr>
      <w:sz w:val="48"/>
      <w:szCs w:val="48"/>
    </w:rPr>
  </w:style>
  <w:style w:type="paragraph" w:styleId="Podtitul">
    <w:name w:val="Subtitle"/>
    <w:basedOn w:val="Normln"/>
    <w:next w:val="Normln"/>
    <w:link w:val="PodtitulChar"/>
    <w:uiPriority w:val="11"/>
    <w:qFormat/>
    <w:pPr>
      <w:spacing w:before="200" w:after="200"/>
    </w:pPr>
    <w:rPr>
      <w:sz w:val="24"/>
      <w:szCs w:val="24"/>
    </w:rPr>
  </w:style>
  <w:style w:type="character" w:customStyle="1" w:styleId="PodtitulChar">
    <w:name w:val="Podtitul Char"/>
    <w:basedOn w:val="Standardnpsmoodstavce"/>
    <w:link w:val="Podtitul"/>
    <w:uiPriority w:val="11"/>
    <w:rPr>
      <w:sz w:val="24"/>
      <w:szCs w:val="24"/>
    </w:rPr>
  </w:style>
  <w:style w:type="paragraph" w:styleId="Citt">
    <w:name w:val="Quote"/>
    <w:basedOn w:val="Normln"/>
    <w:next w:val="Normln"/>
    <w:link w:val="CittChar"/>
    <w:uiPriority w:val="29"/>
    <w:qFormat/>
    <w:pPr>
      <w:ind w:left="720" w:right="720"/>
    </w:pPr>
    <w:rPr>
      <w:i/>
    </w:rPr>
  </w:style>
  <w:style w:type="character" w:customStyle="1" w:styleId="CittChar">
    <w:name w:val="Citát Char"/>
    <w:link w:val="Citt"/>
    <w:uiPriority w:val="29"/>
    <w:rPr>
      <w:i/>
    </w:rPr>
  </w:style>
  <w:style w:type="paragraph" w:styleId="Vrazncitt">
    <w:name w:val="Intense Quote"/>
    <w:basedOn w:val="Normln"/>
    <w:next w:val="Normln"/>
    <w:link w:val="Vrazncitt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VrazncittChar">
    <w:name w:val="Výrazný citát Char"/>
    <w:link w:val="Vrazncitt"/>
    <w:uiPriority w:val="30"/>
    <w:rPr>
      <w:i/>
    </w:rPr>
  </w:style>
  <w:style w:type="character" w:customStyle="1" w:styleId="HeaderChar">
    <w:name w:val="Header Char"/>
    <w:basedOn w:val="Standardnpsmoodstavce"/>
    <w:uiPriority w:val="99"/>
  </w:style>
  <w:style w:type="character" w:customStyle="1" w:styleId="FooterChar">
    <w:name w:val="Footer Char"/>
    <w:basedOn w:val="Standardnpsmoodstavce"/>
    <w:uiPriority w:val="99"/>
  </w:style>
  <w:style w:type="character" w:customStyle="1" w:styleId="CaptionChar">
    <w:name w:val="Caption Char"/>
    <w:uiPriority w:val="99"/>
  </w:style>
  <w:style w:type="table" w:customStyle="1" w:styleId="TableGridLight">
    <w:name w:val="Table Grid Light"/>
    <w:basedOn w:val="Normlntabulka"/>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Prosttabulka1">
    <w:name w:val="Plain Table 1"/>
    <w:basedOn w:val="Normlntabulka"/>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Prosttabulka2">
    <w:name w:val="Plain Table 2"/>
    <w:basedOn w:val="Normlntabulka"/>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Prosttabulka3">
    <w:name w:val="Plain Table 3"/>
    <w:basedOn w:val="Normlntabulka"/>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rosttabulka4">
    <w:name w:val="Plain Table 4"/>
    <w:basedOn w:val="Normlntabulka"/>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rosttabulka5">
    <w:name w:val="Plain Table 5"/>
    <w:basedOn w:val="Normlntabulka"/>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Svtltabulkasmkou1">
    <w:name w:val="Grid Table 1 Light"/>
    <w:basedOn w:val="Normlntabulka"/>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lntabulka"/>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Normlntabulka"/>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Normlntabulka"/>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Normlntabulka"/>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Normlntabulka"/>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Normlntabulka"/>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Tabulkasmkou2">
    <w:name w:val="Grid Table 2"/>
    <w:basedOn w:val="Normlntabulka"/>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Normlntabulka"/>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Normlntabulka"/>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Normlntabulka"/>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Normlntabulka"/>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Normlntabulka"/>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Normlntabulka"/>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Tabulkasmkou3">
    <w:name w:val="Grid Table 3"/>
    <w:basedOn w:val="Normlntabulka"/>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Normlntabulka"/>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Normlntabulka"/>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Normlntabulka"/>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Normlntabulka"/>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Normlntabulka"/>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Normlntabulka"/>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Tabulkasmkou4">
    <w:name w:val="Grid Table 4"/>
    <w:basedOn w:val="Normlntabulka"/>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Normlntabulka"/>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Normlntabulka"/>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Normlntabulka"/>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Normlntabulka"/>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Normlntabulka"/>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Normlntabulka"/>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Tmavtabulkasmkou5">
    <w:name w:val="Grid Table 5 Dark"/>
    <w:basedOn w:val="Normlntabulka"/>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Normlntabulka"/>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Normlntabulka"/>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Normlntabulka"/>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Normlntabulka"/>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Normlntabulka"/>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Normlntabulka"/>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Barevntabulkasmkou6">
    <w:name w:val="Grid Table 6 Colorful"/>
    <w:basedOn w:val="Normlntabulka"/>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lntabulka"/>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Normlntabulka"/>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Normlntabulka"/>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Normlntabulka"/>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Normlntabulka"/>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Normlntabulka"/>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Barevntabulkasmkou7">
    <w:name w:val="Grid Table 7 Colorful"/>
    <w:basedOn w:val="Normlntabulka"/>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lntabulka"/>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Normlntabulka"/>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Normlntabulka"/>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Normlntabulka"/>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Normlntabulka"/>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Normlntabulka"/>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Svtltabulkaseznamu1">
    <w:name w:val="List Table 1 Light"/>
    <w:basedOn w:val="Normlntabulka"/>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Normlntabulka"/>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Normlntabulka"/>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Normlntabulka"/>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Normlntabulka"/>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Normlntabulka"/>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Normlntabulka"/>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Tabulkaseznamu2">
    <w:name w:val="List Table 2"/>
    <w:basedOn w:val="Normlntabulka"/>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Normlntabulka"/>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Normlntabulka"/>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Normlntabulka"/>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Normlntabulka"/>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Normlntabulka"/>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Normlntabulka"/>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Tabulkaseznamu3">
    <w:name w:val="List Table 3"/>
    <w:basedOn w:val="Normlntabulka"/>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lntabulka"/>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Normlntabulka"/>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Normlntabulka"/>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Normlntabulka"/>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Normlntabulka"/>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Normlntabulka"/>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Tabulkaseznamu4">
    <w:name w:val="List Table 4"/>
    <w:basedOn w:val="Normlntabulka"/>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Normlntabulka"/>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Normlntabulka"/>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Normlntabulka"/>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Normlntabulka"/>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Normlntabulka"/>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Normlntabulka"/>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Tmavtabulkaseznamu5">
    <w:name w:val="List Table 5 Dark"/>
    <w:basedOn w:val="Normlntabulka"/>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Normlntabulka"/>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Normlntabulka"/>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Normlntabulka"/>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Normlntabulka"/>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Normlntabulka"/>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Normlntabulka"/>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Barevntabulkaseznamu6">
    <w:name w:val="List Table 6 Colorful"/>
    <w:basedOn w:val="Normlntabulka"/>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lntabulka"/>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Normlntabulka"/>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Normlntabulka"/>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Normlntabulka"/>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Normlntabulka"/>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Normlntabulka"/>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Barevntabulkaseznamu7">
    <w:name w:val="List Table 7 Colorful"/>
    <w:basedOn w:val="Normlntabulka"/>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lntabulka"/>
    <w:uiPriority w:val="99"/>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Normlntabulka"/>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Normlntabulka"/>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Normlntabulka"/>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Normlntabulka"/>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Normlntabulka"/>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Normlntabulka"/>
    <w:uiPriority w:val="99"/>
    <w:pPr>
      <w:spacing w:after="0" w:line="240" w:lineRule="auto"/>
    </w:pPr>
    <w:rPr>
      <w:color w:val="404040"/>
      <w:sz w:val="20"/>
      <w:szCs w:val="20"/>
      <w:lang w:val="cs-CZ" w:eastAsia="cs-CZ"/>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Normlntabulka"/>
    <w:uiPriority w:val="99"/>
    <w:pPr>
      <w:spacing w:after="0" w:line="240" w:lineRule="auto"/>
    </w:pPr>
    <w:rPr>
      <w:color w:val="404040"/>
      <w:sz w:val="20"/>
      <w:szCs w:val="20"/>
      <w:lang w:val="cs-CZ" w:eastAsia="cs-CZ"/>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Normlntabulka"/>
    <w:uiPriority w:val="99"/>
    <w:pPr>
      <w:spacing w:after="0" w:line="240" w:lineRule="auto"/>
    </w:pPr>
    <w:rPr>
      <w:color w:val="404040"/>
      <w:sz w:val="20"/>
      <w:szCs w:val="20"/>
      <w:lang w:val="cs-CZ" w:eastAsia="cs-CZ"/>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Normlntabulka"/>
    <w:uiPriority w:val="99"/>
    <w:pPr>
      <w:spacing w:after="0" w:line="240" w:lineRule="auto"/>
    </w:pPr>
    <w:rPr>
      <w:color w:val="404040"/>
      <w:sz w:val="20"/>
      <w:szCs w:val="20"/>
      <w:lang w:val="cs-CZ" w:eastAsia="cs-CZ"/>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Normlntabulka"/>
    <w:uiPriority w:val="99"/>
    <w:pPr>
      <w:spacing w:after="0" w:line="240" w:lineRule="auto"/>
    </w:pPr>
    <w:rPr>
      <w:color w:val="404040"/>
      <w:sz w:val="20"/>
      <w:szCs w:val="20"/>
      <w:lang w:val="cs-CZ" w:eastAsia="cs-CZ"/>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Normlntabulka"/>
    <w:uiPriority w:val="99"/>
    <w:pPr>
      <w:spacing w:after="0" w:line="240" w:lineRule="auto"/>
    </w:pPr>
    <w:rPr>
      <w:color w:val="404040"/>
      <w:sz w:val="20"/>
      <w:szCs w:val="20"/>
      <w:lang w:val="cs-CZ" w:eastAsia="cs-CZ"/>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Normlntabulka"/>
    <w:uiPriority w:val="99"/>
    <w:pPr>
      <w:spacing w:after="0" w:line="240" w:lineRule="auto"/>
    </w:pPr>
    <w:rPr>
      <w:color w:val="404040"/>
      <w:sz w:val="20"/>
      <w:szCs w:val="20"/>
      <w:lang w:val="cs-CZ" w:eastAsia="cs-CZ"/>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Normlntabulka"/>
    <w:uiPriority w:val="99"/>
    <w:pPr>
      <w:spacing w:after="0" w:line="240" w:lineRule="auto"/>
    </w:pPr>
    <w:rPr>
      <w:color w:val="404040"/>
      <w:sz w:val="20"/>
      <w:szCs w:val="20"/>
      <w:lang w:val="cs-CZ" w:eastAsia="cs-CZ"/>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Normlntabulka"/>
    <w:uiPriority w:val="99"/>
    <w:pPr>
      <w:spacing w:after="0" w:line="240" w:lineRule="auto"/>
    </w:pPr>
    <w:rPr>
      <w:color w:val="404040"/>
      <w:sz w:val="20"/>
      <w:szCs w:val="20"/>
      <w:lang w:val="cs-CZ" w:eastAsia="cs-CZ"/>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Normlntabulka"/>
    <w:uiPriority w:val="99"/>
    <w:pPr>
      <w:spacing w:after="0" w:line="240" w:lineRule="auto"/>
    </w:pPr>
    <w:rPr>
      <w:color w:val="404040"/>
      <w:sz w:val="20"/>
      <w:szCs w:val="20"/>
      <w:lang w:val="cs-CZ" w:eastAsia="cs-CZ"/>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Normlntabulka"/>
    <w:uiPriority w:val="99"/>
    <w:pPr>
      <w:spacing w:after="0" w:line="240" w:lineRule="auto"/>
    </w:pPr>
    <w:rPr>
      <w:color w:val="404040"/>
      <w:sz w:val="20"/>
      <w:szCs w:val="20"/>
      <w:lang w:val="cs-CZ" w:eastAsia="cs-CZ"/>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Normlntabulka"/>
    <w:uiPriority w:val="99"/>
    <w:pPr>
      <w:spacing w:after="0" w:line="240" w:lineRule="auto"/>
    </w:pPr>
    <w:rPr>
      <w:color w:val="404040"/>
      <w:sz w:val="20"/>
      <w:szCs w:val="20"/>
      <w:lang w:val="cs-CZ" w:eastAsia="cs-CZ"/>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Normlntabulka"/>
    <w:uiPriority w:val="99"/>
    <w:pPr>
      <w:spacing w:after="0" w:line="240" w:lineRule="auto"/>
    </w:pPr>
    <w:rPr>
      <w:color w:val="404040"/>
      <w:sz w:val="20"/>
      <w:szCs w:val="20"/>
      <w:lang w:val="cs-CZ" w:eastAsia="cs-CZ"/>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Normlntabulka"/>
    <w:uiPriority w:val="99"/>
    <w:pPr>
      <w:spacing w:after="0" w:line="240" w:lineRule="auto"/>
    </w:pPr>
    <w:rPr>
      <w:color w:val="404040"/>
      <w:sz w:val="20"/>
      <w:szCs w:val="20"/>
      <w:lang w:val="cs-CZ" w:eastAsia="cs-CZ"/>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Normlntabulka"/>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lntabulka"/>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Normlntabulka"/>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Normlntabulka"/>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Normlntabulka"/>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Normlntabulka"/>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Normlntabulka"/>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styleId="Znakapoznpodarou">
    <w:name w:val="footnote reference"/>
    <w:basedOn w:val="Standardnpsmoodstavce"/>
    <w:uiPriority w:val="99"/>
    <w:unhideWhenUsed/>
    <w:rPr>
      <w:vertAlign w:val="superscript"/>
    </w:rPr>
  </w:style>
  <w:style w:type="character" w:customStyle="1" w:styleId="EndnoteTextChar">
    <w:name w:val="Endnote Text Char"/>
    <w:uiPriority w:val="99"/>
    <w:rPr>
      <w:sz w:val="20"/>
    </w:rPr>
  </w:style>
  <w:style w:type="character" w:styleId="Odkaznavysvtlivky">
    <w:name w:val="endnote reference"/>
    <w:basedOn w:val="Standardnpsmoodstavce"/>
    <w:uiPriority w:val="99"/>
    <w:semiHidden/>
    <w:unhideWhenUsed/>
    <w:rPr>
      <w:vertAlign w:val="superscript"/>
    </w:rPr>
  </w:style>
  <w:style w:type="paragraph" w:customStyle="1" w:styleId="CETAuthors">
    <w:name w:val="CET Authors"/>
    <w:basedOn w:val="CETBodytext"/>
    <w:link w:val="CETAuthorsCarattere"/>
    <w:qFormat/>
    <w:pPr>
      <w:keepNext/>
      <w:spacing w:after="120"/>
    </w:pPr>
    <w:rPr>
      <w:sz w:val="24"/>
      <w:lang w:val="en-GB"/>
    </w:rPr>
  </w:style>
  <w:style w:type="paragraph" w:customStyle="1" w:styleId="CETTitle">
    <w:name w:val="CET Title"/>
    <w:next w:val="CETAuthors"/>
    <w:link w:val="CETTitleCarattere"/>
    <w:pPr>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Pr>
      <w:rFonts w:ascii="Arial" w:eastAsia="Times New Roman" w:hAnsi="Arial" w:cs="Times New Roman"/>
      <w:sz w:val="24"/>
      <w:szCs w:val="20"/>
      <w:lang w:val="en-GB"/>
    </w:rPr>
  </w:style>
  <w:style w:type="character" w:customStyle="1" w:styleId="CETTitleCarattere">
    <w:name w:val="CET Title Carattere"/>
    <w:link w:val="CETTitle"/>
    <w:rPr>
      <w:rFonts w:ascii="Arial" w:eastAsia="Times New Roman" w:hAnsi="Arial" w:cs="Times New Roman"/>
      <w:sz w:val="32"/>
      <w:szCs w:val="20"/>
      <w:lang w:val="en-GB"/>
    </w:rPr>
  </w:style>
  <w:style w:type="paragraph" w:customStyle="1" w:styleId="CETHeading1">
    <w:name w:val="CET Heading1"/>
    <w:next w:val="CETBodytext"/>
    <w:qFormat/>
    <w:pPr>
      <w:keepNext/>
      <w:numPr>
        <w:ilvl w:val="1"/>
        <w:numId w:val="1"/>
      </w:numPr>
      <w:tabs>
        <w:tab w:val="num" w:pos="360"/>
      </w:tab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qFormat/>
    <w:pPr>
      <w:keepNext/>
      <w:numPr>
        <w:ilvl w:val="2"/>
        <w:numId w:val="1"/>
      </w:numPr>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pPr>
      <w:keepNext/>
      <w:spacing w:after="0"/>
      <w:contextualSpacing/>
    </w:pPr>
    <w:rPr>
      <w:rFonts w:ascii="Arial" w:eastAsia="Times New Roman" w:hAnsi="Arial" w:cs="Times New Roman"/>
      <w:sz w:val="16"/>
      <w:szCs w:val="20"/>
      <w:lang w:val="en-GB"/>
    </w:rPr>
  </w:style>
  <w:style w:type="table" w:styleId="Jednoduchtabulka1">
    <w:name w:val="Table Simple 1"/>
    <w:basedOn w:val="Normlntabulka"/>
    <w:semiHidden/>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cBorders>
      </w:tcPr>
    </w:tblStylePr>
    <w:tblStylePr w:type="lastRow">
      <w:tblPr/>
      <w:tcPr>
        <w:tcBorders>
          <w:top w:val="single" w:sz="6" w:space="0" w:color="008000"/>
        </w:tcBorders>
      </w:tcPr>
    </w:tblStylePr>
  </w:style>
  <w:style w:type="character" w:customStyle="1" w:styleId="CETBodytextCarattere">
    <w:name w:val="CET Body text Carattere"/>
    <w:link w:val="CETBodytext"/>
    <w:rPr>
      <w:rFonts w:ascii="Arial" w:eastAsia="Times New Roman" w:hAnsi="Arial" w:cs="Times New Roman"/>
      <w:sz w:val="18"/>
      <w:szCs w:val="20"/>
      <w:lang w:val="en-US"/>
    </w:rPr>
  </w:style>
  <w:style w:type="paragraph" w:customStyle="1" w:styleId="CETReference">
    <w:name w:val="CET Reference"/>
    <w:qFormat/>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Pr>
      <w:rFonts w:ascii="Arial" w:eastAsia="Times New Roman" w:hAnsi="Arial" w:cs="Times New Roman"/>
      <w:b/>
      <w:sz w:val="18"/>
      <w:szCs w:val="20"/>
      <w:lang w:val="en-US"/>
    </w:rPr>
  </w:style>
  <w:style w:type="character" w:customStyle="1" w:styleId="CETCaptionCarattere">
    <w:name w:val="CET Caption Carattere"/>
    <w:link w:val="CETCaption"/>
    <w:rPr>
      <w:rFonts w:ascii="Arial" w:eastAsia="Times New Roman" w:hAnsi="Arial" w:cs="Times New Roman"/>
      <w:i/>
      <w:sz w:val="18"/>
      <w:szCs w:val="20"/>
      <w:lang w:val="en-GB"/>
    </w:rPr>
  </w:style>
  <w:style w:type="paragraph" w:customStyle="1" w:styleId="CETBodytextItalic">
    <w:name w:val="CET Body text (Italic)"/>
    <w:basedOn w:val="CETBodytext"/>
    <w:qFormat/>
    <w:rPr>
      <w:i/>
      <w:lang w:val="en-GB"/>
    </w:rPr>
  </w:style>
  <w:style w:type="character" w:styleId="Odkaznakoment">
    <w:name w:val="annotation reference"/>
    <w:basedOn w:val="Standardnpsmoodstavce"/>
    <w:uiPriority w:val="99"/>
    <w:semiHidden/>
    <w:unhideWhenUsed/>
    <w:rPr>
      <w:sz w:val="16"/>
      <w:szCs w:val="16"/>
    </w:rPr>
  </w:style>
  <w:style w:type="paragraph" w:styleId="Textbubliny">
    <w:name w:val="Balloon Text"/>
    <w:basedOn w:val="Normln"/>
    <w:link w:val="TextbublinyChar"/>
    <w:uiPriority w:val="99"/>
    <w:semiHidden/>
    <w:unhideWhenUsed/>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Pr>
      <w:rFonts w:ascii="Tahoma" w:hAnsi="Tahoma" w:cs="Tahoma"/>
      <w:sz w:val="16"/>
      <w:szCs w:val="16"/>
    </w:rPr>
  </w:style>
  <w:style w:type="paragraph" w:styleId="Bibliografie">
    <w:name w:val="Bibliography"/>
    <w:basedOn w:val="CETReferencetext"/>
    <w:uiPriority w:val="37"/>
    <w:unhideWhenUsed/>
    <w:pPr>
      <w:spacing w:line="240" w:lineRule="auto"/>
      <w:ind w:left="720" w:hanging="720"/>
    </w:pPr>
  </w:style>
  <w:style w:type="paragraph" w:styleId="Zkladntext2">
    <w:name w:val="Body Text 2"/>
    <w:basedOn w:val="Normln"/>
    <w:link w:val="Zkladntext2Char"/>
    <w:uiPriority w:val="99"/>
    <w:semiHidden/>
    <w:unhideWhenUsed/>
    <w:pPr>
      <w:spacing w:after="120" w:line="480" w:lineRule="auto"/>
    </w:pPr>
  </w:style>
  <w:style w:type="character" w:customStyle="1" w:styleId="Zkladntext2Char">
    <w:name w:val="Základní text 2 Char"/>
    <w:basedOn w:val="Standardnpsmoodstavce"/>
    <w:link w:val="Zkladntext2"/>
    <w:uiPriority w:val="99"/>
    <w:semiHidden/>
  </w:style>
  <w:style w:type="paragraph" w:styleId="Zkladntext3">
    <w:name w:val="Body Text 3"/>
    <w:basedOn w:val="Normln"/>
    <w:link w:val="Zkladntext3Char"/>
    <w:uiPriority w:val="99"/>
    <w:semiHidden/>
    <w:unhideWhenUsed/>
    <w:pPr>
      <w:spacing w:after="120"/>
    </w:pPr>
    <w:rPr>
      <w:sz w:val="16"/>
      <w:szCs w:val="16"/>
    </w:rPr>
  </w:style>
  <w:style w:type="character" w:customStyle="1" w:styleId="Zkladntext3Char">
    <w:name w:val="Základní text 3 Char"/>
    <w:basedOn w:val="Standardnpsmoodstavce"/>
    <w:link w:val="Zkladntext3"/>
    <w:uiPriority w:val="99"/>
    <w:semiHidden/>
    <w:rPr>
      <w:sz w:val="16"/>
      <w:szCs w:val="16"/>
    </w:rPr>
  </w:style>
  <w:style w:type="paragraph" w:styleId="Zkladntext">
    <w:name w:val="Body Text"/>
    <w:basedOn w:val="Normln"/>
    <w:link w:val="ZkladntextChar"/>
    <w:uiPriority w:val="99"/>
    <w:semiHidden/>
    <w:unhideWhenUsed/>
    <w:pPr>
      <w:spacing w:after="120"/>
    </w:pPr>
  </w:style>
  <w:style w:type="character" w:customStyle="1" w:styleId="ZkladntextChar">
    <w:name w:val="Základní text Char"/>
    <w:basedOn w:val="Standardnpsmoodstavce"/>
    <w:link w:val="Zkladntext"/>
    <w:uiPriority w:val="99"/>
    <w:semiHidden/>
  </w:style>
  <w:style w:type="paragraph" w:styleId="Datum">
    <w:name w:val="Date"/>
    <w:basedOn w:val="Normln"/>
    <w:next w:val="Normln"/>
    <w:link w:val="DatumChar"/>
    <w:uiPriority w:val="99"/>
    <w:semiHidden/>
    <w:unhideWhenUsed/>
  </w:style>
  <w:style w:type="character" w:customStyle="1" w:styleId="DatumChar">
    <w:name w:val="Datum Char"/>
    <w:basedOn w:val="Standardnpsmoodstavce"/>
    <w:link w:val="Datum"/>
    <w:uiPriority w:val="99"/>
    <w:semiHidden/>
  </w:style>
  <w:style w:type="paragraph" w:styleId="Titulek">
    <w:name w:val="caption"/>
    <w:basedOn w:val="Normln"/>
    <w:next w:val="Normln"/>
    <w:uiPriority w:val="35"/>
    <w:semiHidden/>
    <w:unhideWhenUsed/>
    <w:qFormat/>
    <w:pPr>
      <w:spacing w:line="240" w:lineRule="auto"/>
    </w:pPr>
    <w:rPr>
      <w:b/>
      <w:bCs/>
      <w:color w:val="4F81BD" w:themeColor="accent1"/>
      <w:szCs w:val="18"/>
    </w:rPr>
  </w:style>
  <w:style w:type="paragraph" w:styleId="Seznam">
    <w:name w:val="List"/>
    <w:basedOn w:val="Normln"/>
    <w:uiPriority w:val="99"/>
    <w:semiHidden/>
    <w:unhideWhenUsed/>
    <w:pPr>
      <w:ind w:left="283" w:hanging="283"/>
      <w:contextualSpacing/>
    </w:pPr>
  </w:style>
  <w:style w:type="paragraph" w:styleId="Seznam2">
    <w:name w:val="List 2"/>
    <w:basedOn w:val="Normln"/>
    <w:uiPriority w:val="99"/>
    <w:semiHidden/>
    <w:unhideWhenUsed/>
    <w:pPr>
      <w:ind w:left="566" w:hanging="283"/>
      <w:contextualSpacing/>
    </w:pPr>
  </w:style>
  <w:style w:type="paragraph" w:styleId="Seznam3">
    <w:name w:val="List 3"/>
    <w:basedOn w:val="Normln"/>
    <w:uiPriority w:val="99"/>
    <w:semiHidden/>
    <w:unhideWhenUsed/>
    <w:pPr>
      <w:ind w:left="849" w:hanging="283"/>
      <w:contextualSpacing/>
    </w:pPr>
  </w:style>
  <w:style w:type="paragraph" w:styleId="Seznam4">
    <w:name w:val="List 4"/>
    <w:basedOn w:val="Normln"/>
    <w:uiPriority w:val="99"/>
    <w:semiHidden/>
    <w:unhideWhenUsed/>
    <w:pPr>
      <w:ind w:left="1132" w:hanging="283"/>
      <w:contextualSpacing/>
    </w:pPr>
  </w:style>
  <w:style w:type="paragraph" w:styleId="Seznam5">
    <w:name w:val="List 5"/>
    <w:basedOn w:val="Normln"/>
    <w:uiPriority w:val="99"/>
    <w:semiHidden/>
    <w:unhideWhenUsed/>
    <w:pPr>
      <w:ind w:left="1415" w:hanging="283"/>
      <w:contextualSpacing/>
    </w:pPr>
  </w:style>
  <w:style w:type="paragraph" w:styleId="Pokraovnseznamu">
    <w:name w:val="List Continue"/>
    <w:basedOn w:val="Normln"/>
    <w:uiPriority w:val="99"/>
    <w:semiHidden/>
    <w:unhideWhenUsed/>
    <w:pPr>
      <w:spacing w:after="120"/>
      <w:ind w:left="283"/>
      <w:contextualSpacing/>
    </w:pPr>
  </w:style>
  <w:style w:type="paragraph" w:styleId="Pokraovnseznamu2">
    <w:name w:val="List Continue 2"/>
    <w:basedOn w:val="Normln"/>
    <w:uiPriority w:val="99"/>
    <w:semiHidden/>
    <w:unhideWhenUsed/>
    <w:pPr>
      <w:spacing w:after="120"/>
      <w:ind w:left="566"/>
      <w:contextualSpacing/>
    </w:pPr>
  </w:style>
  <w:style w:type="paragraph" w:styleId="Pokraovnseznamu3">
    <w:name w:val="List Continue 3"/>
    <w:basedOn w:val="Normln"/>
    <w:uiPriority w:val="99"/>
    <w:semiHidden/>
    <w:unhideWhenUsed/>
    <w:pPr>
      <w:spacing w:after="120"/>
      <w:ind w:left="849"/>
      <w:contextualSpacing/>
    </w:pPr>
  </w:style>
  <w:style w:type="paragraph" w:styleId="Pokraovnseznamu4">
    <w:name w:val="List Continue 4"/>
    <w:basedOn w:val="Normln"/>
    <w:uiPriority w:val="99"/>
    <w:semiHidden/>
    <w:unhideWhenUsed/>
    <w:pPr>
      <w:spacing w:after="120"/>
      <w:ind w:left="1132"/>
      <w:contextualSpacing/>
    </w:pPr>
  </w:style>
  <w:style w:type="paragraph" w:styleId="Pokraovnseznamu5">
    <w:name w:val="List Continue 5"/>
    <w:basedOn w:val="Normln"/>
    <w:uiPriority w:val="99"/>
    <w:semiHidden/>
    <w:unhideWhenUsed/>
    <w:pPr>
      <w:spacing w:after="120"/>
      <w:ind w:left="1415"/>
      <w:contextualSpacing/>
    </w:pPr>
  </w:style>
  <w:style w:type="paragraph" w:styleId="Podpis">
    <w:name w:val="Signature"/>
    <w:basedOn w:val="Normln"/>
    <w:link w:val="PodpisChar"/>
    <w:uiPriority w:val="99"/>
    <w:semiHidden/>
    <w:unhideWhenUsed/>
    <w:pPr>
      <w:spacing w:line="240" w:lineRule="auto"/>
      <w:ind w:left="4252"/>
    </w:pPr>
  </w:style>
  <w:style w:type="character" w:customStyle="1" w:styleId="PodpisChar">
    <w:name w:val="Podpis Char"/>
    <w:basedOn w:val="Standardnpsmoodstavce"/>
    <w:link w:val="Podpis"/>
    <w:uiPriority w:val="99"/>
    <w:semiHidden/>
  </w:style>
  <w:style w:type="paragraph" w:styleId="Podpise-mailu">
    <w:name w:val="E-mail Signature"/>
    <w:basedOn w:val="Normln"/>
    <w:link w:val="Podpise-mailuChar"/>
    <w:uiPriority w:val="99"/>
    <w:semiHidden/>
    <w:unhideWhenUsed/>
    <w:pPr>
      <w:spacing w:line="240" w:lineRule="auto"/>
    </w:pPr>
  </w:style>
  <w:style w:type="character" w:customStyle="1" w:styleId="Podpise-mailuChar">
    <w:name w:val="Podpis e-mailu Char"/>
    <w:basedOn w:val="Standardnpsmoodstavce"/>
    <w:link w:val="Podpise-mailu"/>
    <w:uiPriority w:val="99"/>
    <w:semiHidden/>
  </w:style>
  <w:style w:type="paragraph" w:styleId="Osloven">
    <w:name w:val="Salutation"/>
    <w:basedOn w:val="Normln"/>
    <w:next w:val="Normln"/>
    <w:link w:val="OslovenChar"/>
    <w:uiPriority w:val="99"/>
    <w:semiHidden/>
    <w:unhideWhenUsed/>
  </w:style>
  <w:style w:type="character" w:customStyle="1" w:styleId="OslovenChar">
    <w:name w:val="Oslovení Char"/>
    <w:basedOn w:val="Standardnpsmoodstavce"/>
    <w:link w:val="Osloven"/>
    <w:uiPriority w:val="99"/>
    <w:semiHidden/>
  </w:style>
  <w:style w:type="paragraph" w:styleId="Zvr">
    <w:name w:val="Closing"/>
    <w:basedOn w:val="Normln"/>
    <w:link w:val="ZvrChar"/>
    <w:uiPriority w:val="99"/>
    <w:semiHidden/>
    <w:unhideWhenUsed/>
    <w:pPr>
      <w:spacing w:line="240" w:lineRule="auto"/>
      <w:ind w:left="4252"/>
    </w:pPr>
  </w:style>
  <w:style w:type="character" w:customStyle="1" w:styleId="ZvrChar">
    <w:name w:val="Závěr Char"/>
    <w:basedOn w:val="Standardnpsmoodstavce"/>
    <w:link w:val="Zvr"/>
    <w:uiPriority w:val="99"/>
    <w:semiHidden/>
  </w:style>
  <w:style w:type="paragraph" w:styleId="Rejstk1">
    <w:name w:val="index 1"/>
    <w:basedOn w:val="Normln"/>
    <w:next w:val="Normln"/>
    <w:uiPriority w:val="99"/>
    <w:semiHidden/>
    <w:unhideWhenUsed/>
    <w:pPr>
      <w:spacing w:line="240" w:lineRule="auto"/>
      <w:ind w:left="220" w:hanging="220"/>
    </w:pPr>
  </w:style>
  <w:style w:type="paragraph" w:styleId="Rejstk2">
    <w:name w:val="index 2"/>
    <w:basedOn w:val="Normln"/>
    <w:next w:val="Normln"/>
    <w:uiPriority w:val="99"/>
    <w:semiHidden/>
    <w:unhideWhenUsed/>
    <w:pPr>
      <w:spacing w:line="240" w:lineRule="auto"/>
      <w:ind w:left="440" w:hanging="220"/>
    </w:pPr>
  </w:style>
  <w:style w:type="paragraph" w:styleId="Rejstk3">
    <w:name w:val="index 3"/>
    <w:basedOn w:val="Normln"/>
    <w:next w:val="Normln"/>
    <w:uiPriority w:val="99"/>
    <w:semiHidden/>
    <w:unhideWhenUsed/>
    <w:pPr>
      <w:spacing w:line="240" w:lineRule="auto"/>
      <w:ind w:left="660" w:hanging="220"/>
    </w:pPr>
  </w:style>
  <w:style w:type="paragraph" w:styleId="Rejstk4">
    <w:name w:val="index 4"/>
    <w:basedOn w:val="Normln"/>
    <w:next w:val="Normln"/>
    <w:uiPriority w:val="99"/>
    <w:semiHidden/>
    <w:unhideWhenUsed/>
    <w:pPr>
      <w:spacing w:line="240" w:lineRule="auto"/>
      <w:ind w:left="880" w:hanging="220"/>
    </w:pPr>
  </w:style>
  <w:style w:type="paragraph" w:styleId="Rejstk5">
    <w:name w:val="index 5"/>
    <w:basedOn w:val="Normln"/>
    <w:next w:val="Normln"/>
    <w:uiPriority w:val="99"/>
    <w:semiHidden/>
    <w:unhideWhenUsed/>
    <w:pPr>
      <w:spacing w:line="240" w:lineRule="auto"/>
      <w:ind w:left="1100" w:hanging="220"/>
    </w:pPr>
  </w:style>
  <w:style w:type="paragraph" w:styleId="Rejstk6">
    <w:name w:val="index 6"/>
    <w:basedOn w:val="Normln"/>
    <w:next w:val="Normln"/>
    <w:uiPriority w:val="99"/>
    <w:semiHidden/>
    <w:unhideWhenUsed/>
    <w:pPr>
      <w:spacing w:line="240" w:lineRule="auto"/>
      <w:ind w:left="1320" w:hanging="220"/>
    </w:pPr>
  </w:style>
  <w:style w:type="paragraph" w:styleId="Rejstk7">
    <w:name w:val="index 7"/>
    <w:basedOn w:val="Normln"/>
    <w:next w:val="Normln"/>
    <w:uiPriority w:val="99"/>
    <w:semiHidden/>
    <w:unhideWhenUsed/>
    <w:pPr>
      <w:spacing w:line="240" w:lineRule="auto"/>
      <w:ind w:left="1540" w:hanging="220"/>
    </w:pPr>
  </w:style>
  <w:style w:type="paragraph" w:styleId="Rejstk8">
    <w:name w:val="index 8"/>
    <w:basedOn w:val="Normln"/>
    <w:next w:val="Normln"/>
    <w:uiPriority w:val="99"/>
    <w:semiHidden/>
    <w:unhideWhenUsed/>
    <w:pPr>
      <w:spacing w:line="240" w:lineRule="auto"/>
      <w:ind w:left="1760" w:hanging="220"/>
    </w:pPr>
  </w:style>
  <w:style w:type="paragraph" w:styleId="Rejstk9">
    <w:name w:val="index 9"/>
    <w:basedOn w:val="Normln"/>
    <w:next w:val="Normln"/>
    <w:uiPriority w:val="99"/>
    <w:semiHidden/>
    <w:unhideWhenUsed/>
    <w:pPr>
      <w:spacing w:line="240" w:lineRule="auto"/>
      <w:ind w:left="1980" w:hanging="220"/>
    </w:pPr>
  </w:style>
  <w:style w:type="paragraph" w:styleId="Seznamobrzk">
    <w:name w:val="table of figures"/>
    <w:basedOn w:val="Normln"/>
    <w:next w:val="Normln"/>
    <w:uiPriority w:val="99"/>
    <w:semiHidden/>
    <w:unhideWhenUsed/>
  </w:style>
  <w:style w:type="paragraph" w:styleId="Seznamcitac">
    <w:name w:val="table of authorities"/>
    <w:basedOn w:val="Normln"/>
    <w:next w:val="Normln"/>
    <w:uiPriority w:val="99"/>
    <w:semiHidden/>
    <w:unhideWhenUsed/>
    <w:pPr>
      <w:ind w:left="220" w:hanging="220"/>
    </w:pPr>
  </w:style>
  <w:style w:type="paragraph" w:styleId="Adresanaoblku">
    <w:name w:val="envelope address"/>
    <w:basedOn w:val="Normln"/>
    <w:uiPriority w:val="99"/>
    <w:semiHidden/>
    <w:unhideWhenUse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AdresaHTML">
    <w:name w:val="HTML Address"/>
    <w:basedOn w:val="Normln"/>
    <w:link w:val="AdresaHTMLChar"/>
    <w:uiPriority w:val="99"/>
    <w:semiHidden/>
    <w:unhideWhenUsed/>
    <w:pPr>
      <w:spacing w:line="240" w:lineRule="auto"/>
    </w:pPr>
    <w:rPr>
      <w:i/>
      <w:iCs/>
    </w:rPr>
  </w:style>
  <w:style w:type="character" w:customStyle="1" w:styleId="AdresaHTMLChar">
    <w:name w:val="Adresa HTML Char"/>
    <w:basedOn w:val="Standardnpsmoodstavce"/>
    <w:link w:val="AdresaHTML"/>
    <w:uiPriority w:val="99"/>
    <w:semiHidden/>
    <w:rPr>
      <w:i/>
      <w:iCs/>
    </w:rPr>
  </w:style>
  <w:style w:type="paragraph" w:styleId="Zptenadresanaoblku">
    <w:name w:val="envelope return"/>
    <w:basedOn w:val="Normln"/>
    <w:uiPriority w:val="99"/>
    <w:semiHidden/>
    <w:unhideWhenUsed/>
    <w:pPr>
      <w:spacing w:line="240" w:lineRule="auto"/>
    </w:pPr>
    <w:rPr>
      <w:rFonts w:asciiTheme="majorHAnsi" w:eastAsiaTheme="majorEastAsia" w:hAnsiTheme="majorHAnsi" w:cstheme="majorBidi"/>
    </w:rPr>
  </w:style>
  <w:style w:type="paragraph" w:styleId="Zhlavzprvy">
    <w:name w:val="Message Header"/>
    <w:basedOn w:val="Normln"/>
    <w:link w:val="Zhlavzprvy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ZhlavzprvyChar">
    <w:name w:val="Záhlaví zprávy Char"/>
    <w:basedOn w:val="Standardnpsmoodstavce"/>
    <w:link w:val="Zhlavzprvy"/>
    <w:uiPriority w:val="99"/>
    <w:semiHidden/>
    <w:rPr>
      <w:rFonts w:asciiTheme="majorHAnsi" w:eastAsiaTheme="majorEastAsia" w:hAnsiTheme="majorHAnsi" w:cstheme="majorBidi"/>
      <w:sz w:val="24"/>
      <w:szCs w:val="24"/>
      <w:shd w:val="pct20" w:color="auto" w:fill="auto"/>
    </w:rPr>
  </w:style>
  <w:style w:type="paragraph" w:styleId="Nadpispoznmky">
    <w:name w:val="Note Heading"/>
    <w:basedOn w:val="Normln"/>
    <w:next w:val="Normln"/>
    <w:link w:val="NadpispoznmkyChar"/>
    <w:uiPriority w:val="99"/>
    <w:semiHidden/>
    <w:unhideWhenUsed/>
    <w:pPr>
      <w:spacing w:line="240" w:lineRule="auto"/>
    </w:pPr>
  </w:style>
  <w:style w:type="character" w:customStyle="1" w:styleId="NadpispoznmkyChar">
    <w:name w:val="Nadpis poznámky Char"/>
    <w:basedOn w:val="Standardnpsmoodstavce"/>
    <w:link w:val="Nadpispoznmky"/>
    <w:uiPriority w:val="99"/>
    <w:semiHidden/>
  </w:style>
  <w:style w:type="paragraph" w:styleId="Rozloendokumentu">
    <w:name w:val="Document Map"/>
    <w:basedOn w:val="Normln"/>
    <w:link w:val="RozloendokumentuChar"/>
    <w:uiPriority w:val="99"/>
    <w:semiHidden/>
    <w:unhideWhenUsed/>
    <w:pPr>
      <w:spacing w:line="240" w:lineRule="auto"/>
    </w:pPr>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Pr>
      <w:rFonts w:ascii="Tahoma" w:hAnsi="Tahoma" w:cs="Tahoma"/>
      <w:sz w:val="16"/>
      <w:szCs w:val="16"/>
    </w:rPr>
  </w:style>
  <w:style w:type="paragraph" w:styleId="Normlnweb">
    <w:name w:val="Normal (Web)"/>
    <w:basedOn w:val="Normln"/>
    <w:uiPriority w:val="99"/>
    <w:semiHidden/>
    <w:unhideWhenUsed/>
    <w:rPr>
      <w:sz w:val="24"/>
      <w:szCs w:val="24"/>
    </w:rPr>
  </w:style>
  <w:style w:type="paragraph" w:styleId="slovanseznam">
    <w:name w:val="List Number"/>
    <w:basedOn w:val="Normln"/>
    <w:uiPriority w:val="99"/>
    <w:semiHidden/>
    <w:unhideWhenUsed/>
    <w:pPr>
      <w:numPr>
        <w:numId w:val="2"/>
      </w:numPr>
      <w:contextualSpacing/>
    </w:pPr>
  </w:style>
  <w:style w:type="paragraph" w:styleId="slovanseznam2">
    <w:name w:val="List Number 2"/>
    <w:basedOn w:val="Normln"/>
    <w:uiPriority w:val="99"/>
    <w:semiHidden/>
    <w:unhideWhenUsed/>
    <w:pPr>
      <w:numPr>
        <w:numId w:val="3"/>
      </w:numPr>
      <w:contextualSpacing/>
    </w:pPr>
  </w:style>
  <w:style w:type="paragraph" w:styleId="slovanseznam3">
    <w:name w:val="List Number 3"/>
    <w:basedOn w:val="Normln"/>
    <w:uiPriority w:val="99"/>
    <w:semiHidden/>
    <w:unhideWhenUsed/>
    <w:pPr>
      <w:numPr>
        <w:numId w:val="4"/>
      </w:numPr>
      <w:contextualSpacing/>
    </w:pPr>
  </w:style>
  <w:style w:type="paragraph" w:styleId="slovanseznam4">
    <w:name w:val="List Number 4"/>
    <w:basedOn w:val="Normln"/>
    <w:uiPriority w:val="99"/>
    <w:semiHidden/>
    <w:unhideWhenUsed/>
    <w:pPr>
      <w:numPr>
        <w:numId w:val="5"/>
      </w:numPr>
      <w:contextualSpacing/>
    </w:pPr>
  </w:style>
  <w:style w:type="paragraph" w:styleId="slovanseznam5">
    <w:name w:val="List Number 5"/>
    <w:basedOn w:val="Normln"/>
    <w:uiPriority w:val="99"/>
    <w:semiHidden/>
    <w:unhideWhenUsed/>
    <w:pPr>
      <w:numPr>
        <w:numId w:val="6"/>
      </w:numPr>
      <w:contextualSpacing/>
    </w:pPr>
  </w:style>
  <w:style w:type="paragraph" w:styleId="FormtovanvHTML">
    <w:name w:val="HTML Preformatted"/>
    <w:basedOn w:val="Normln"/>
    <w:link w:val="FormtovanvHTMLChar"/>
    <w:uiPriority w:val="99"/>
    <w:semiHidden/>
    <w:unhideWhenUsed/>
    <w:pPr>
      <w:spacing w:line="240" w:lineRule="auto"/>
    </w:pPr>
    <w:rPr>
      <w:rFonts w:ascii="Consolas" w:hAnsi="Consolas" w:cs="Consolas"/>
    </w:rPr>
  </w:style>
  <w:style w:type="character" w:customStyle="1" w:styleId="FormtovanvHTMLChar">
    <w:name w:val="Formátovaný v HTML Char"/>
    <w:basedOn w:val="Standardnpsmoodstavce"/>
    <w:link w:val="FormtovanvHTML"/>
    <w:uiPriority w:val="99"/>
    <w:semiHidden/>
    <w:rPr>
      <w:rFonts w:ascii="Consolas" w:hAnsi="Consolas" w:cs="Consolas"/>
      <w:sz w:val="20"/>
      <w:szCs w:val="20"/>
    </w:rPr>
  </w:style>
  <w:style w:type="paragraph" w:styleId="Zkladntext-prvnodsazen">
    <w:name w:val="Body Text First Indent"/>
    <w:basedOn w:val="Zkladntext"/>
    <w:link w:val="Zkladntext-prvnodsazenChar"/>
    <w:uiPriority w:val="99"/>
    <w:semiHidden/>
    <w:unhideWhenUsed/>
    <w:pPr>
      <w:spacing w:after="200"/>
      <w:ind w:firstLine="360"/>
    </w:pPr>
  </w:style>
  <w:style w:type="character" w:customStyle="1" w:styleId="Zkladntext-prvnodsazenChar">
    <w:name w:val="Základní text - první odsazený Char"/>
    <w:basedOn w:val="ZkladntextChar"/>
    <w:link w:val="Zkladntext-prvnodsazen"/>
    <w:uiPriority w:val="99"/>
    <w:semiHidden/>
  </w:style>
  <w:style w:type="paragraph" w:styleId="Zkladntextodsazen">
    <w:name w:val="Body Text Indent"/>
    <w:basedOn w:val="Normln"/>
    <w:link w:val="ZkladntextodsazenChar"/>
    <w:uiPriority w:val="99"/>
    <w:semiHidden/>
    <w:unhideWhenUsed/>
    <w:pPr>
      <w:spacing w:after="120"/>
      <w:ind w:left="283"/>
    </w:pPr>
  </w:style>
  <w:style w:type="character" w:customStyle="1" w:styleId="ZkladntextodsazenChar">
    <w:name w:val="Základní text odsazený Char"/>
    <w:basedOn w:val="Standardnpsmoodstavce"/>
    <w:link w:val="Zkladntextodsazen"/>
    <w:uiPriority w:val="99"/>
    <w:semiHidden/>
  </w:style>
  <w:style w:type="paragraph" w:styleId="Zkladntext-prvnodsazen2">
    <w:name w:val="Body Text First Indent 2"/>
    <w:basedOn w:val="Zkladntextodsazen"/>
    <w:link w:val="Zkladntext-prvnodsazen2Char"/>
    <w:uiPriority w:val="99"/>
    <w:semiHidden/>
    <w:unhideWhenUsed/>
    <w:pPr>
      <w:spacing w:after="200"/>
      <w:ind w:left="360" w:firstLine="360"/>
    </w:pPr>
  </w:style>
  <w:style w:type="character" w:customStyle="1" w:styleId="Zkladntext-prvnodsazen2Char">
    <w:name w:val="Základní text - první odsazený 2 Char"/>
    <w:basedOn w:val="ZkladntextodsazenChar"/>
    <w:link w:val="Zkladntext-prvnodsazen2"/>
    <w:uiPriority w:val="99"/>
    <w:semiHidden/>
  </w:style>
  <w:style w:type="paragraph" w:styleId="Seznamsodrkami">
    <w:name w:val="List Bullet"/>
    <w:basedOn w:val="Normln"/>
    <w:uiPriority w:val="99"/>
    <w:semiHidden/>
    <w:unhideWhenUsed/>
    <w:pPr>
      <w:numPr>
        <w:numId w:val="7"/>
      </w:numPr>
      <w:contextualSpacing/>
    </w:pPr>
  </w:style>
  <w:style w:type="paragraph" w:styleId="Seznamsodrkami2">
    <w:name w:val="List Bullet 2"/>
    <w:basedOn w:val="Normln"/>
    <w:uiPriority w:val="99"/>
    <w:semiHidden/>
    <w:unhideWhenUsed/>
    <w:pPr>
      <w:numPr>
        <w:numId w:val="8"/>
      </w:numPr>
      <w:contextualSpacing/>
    </w:pPr>
  </w:style>
  <w:style w:type="paragraph" w:styleId="Seznamsodrkami3">
    <w:name w:val="List Bullet 3"/>
    <w:basedOn w:val="Normln"/>
    <w:uiPriority w:val="99"/>
    <w:semiHidden/>
    <w:unhideWhenUsed/>
    <w:pPr>
      <w:numPr>
        <w:numId w:val="9"/>
      </w:numPr>
      <w:contextualSpacing/>
    </w:pPr>
  </w:style>
  <w:style w:type="paragraph" w:styleId="Seznamsodrkami4">
    <w:name w:val="List Bullet 4"/>
    <w:basedOn w:val="Normln"/>
    <w:uiPriority w:val="99"/>
    <w:semiHidden/>
    <w:unhideWhenUsed/>
    <w:pPr>
      <w:numPr>
        <w:numId w:val="10"/>
      </w:numPr>
      <w:contextualSpacing/>
    </w:pPr>
  </w:style>
  <w:style w:type="paragraph" w:styleId="Seznamsodrkami5">
    <w:name w:val="List Bullet 5"/>
    <w:basedOn w:val="Normln"/>
    <w:uiPriority w:val="99"/>
    <w:semiHidden/>
    <w:unhideWhenUsed/>
    <w:pPr>
      <w:numPr>
        <w:numId w:val="11"/>
      </w:numPr>
      <w:contextualSpacing/>
    </w:pPr>
  </w:style>
  <w:style w:type="paragraph" w:styleId="Zkladntextodsazen2">
    <w:name w:val="Body Text Indent 2"/>
    <w:basedOn w:val="Normln"/>
    <w:link w:val="Zkladntextodsazen2Char"/>
    <w:uiPriority w:val="99"/>
    <w:semiHidden/>
    <w:unhideWhenUsed/>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style>
  <w:style w:type="paragraph" w:styleId="Zkladntextodsazen3">
    <w:name w:val="Body Text Indent 3"/>
    <w:basedOn w:val="Normln"/>
    <w:link w:val="Zkladntextodsazen3Char"/>
    <w:uiPriority w:val="99"/>
    <w:semiHidden/>
    <w:unhideWhenUsed/>
    <w:pPr>
      <w:spacing w:after="120"/>
      <w:ind w:left="283"/>
    </w:pPr>
    <w:rPr>
      <w:sz w:val="16"/>
      <w:szCs w:val="16"/>
    </w:rPr>
  </w:style>
  <w:style w:type="character" w:customStyle="1" w:styleId="Zkladntextodsazen3Char">
    <w:name w:val="Základní text odsazený 3 Char"/>
    <w:basedOn w:val="Standardnpsmoodstavce"/>
    <w:link w:val="Zkladntextodsazen3"/>
    <w:uiPriority w:val="99"/>
    <w:semiHidden/>
    <w:rPr>
      <w:sz w:val="16"/>
      <w:szCs w:val="16"/>
    </w:rPr>
  </w:style>
  <w:style w:type="paragraph" w:styleId="Normlnodsazen">
    <w:name w:val="Normal Indent"/>
    <w:basedOn w:val="Normln"/>
    <w:uiPriority w:val="99"/>
    <w:semiHidden/>
    <w:unhideWhenUsed/>
    <w:pPr>
      <w:ind w:left="720"/>
    </w:pPr>
  </w:style>
  <w:style w:type="paragraph" w:styleId="Textkomente">
    <w:name w:val="annotation text"/>
    <w:basedOn w:val="Normln"/>
    <w:link w:val="TextkomenteChar"/>
    <w:uiPriority w:val="99"/>
    <w:unhideWhenUsed/>
    <w:pPr>
      <w:spacing w:line="240" w:lineRule="auto"/>
    </w:pPr>
  </w:style>
  <w:style w:type="character" w:customStyle="1" w:styleId="TextkomenteChar">
    <w:name w:val="Text komentáře Char"/>
    <w:basedOn w:val="Standardnpsmoodstavce"/>
    <w:link w:val="Textkomente"/>
    <w:uiPriority w:val="99"/>
    <w:rPr>
      <w:sz w:val="20"/>
      <w:szCs w:val="20"/>
    </w:rPr>
  </w:style>
  <w:style w:type="paragraph" w:styleId="Pedmtkomente">
    <w:name w:val="annotation subject"/>
    <w:basedOn w:val="Textkomente"/>
    <w:next w:val="Textkomente"/>
    <w:link w:val="PedmtkomenteChar"/>
    <w:uiPriority w:val="99"/>
    <w:semiHidden/>
    <w:unhideWhenUsed/>
    <w:rPr>
      <w:b/>
      <w:bCs/>
    </w:rPr>
  </w:style>
  <w:style w:type="character" w:customStyle="1" w:styleId="PedmtkomenteChar">
    <w:name w:val="Předmět komentáře Char"/>
    <w:basedOn w:val="TextkomenteChar"/>
    <w:link w:val="Pedmtkomente"/>
    <w:uiPriority w:val="99"/>
    <w:semiHidden/>
    <w:rPr>
      <w:b/>
      <w:bCs/>
      <w:sz w:val="20"/>
      <w:szCs w:val="20"/>
    </w:rPr>
  </w:style>
  <w:style w:type="paragraph" w:styleId="Obsah1">
    <w:name w:val="toc 1"/>
    <w:basedOn w:val="Normln"/>
    <w:next w:val="Normln"/>
    <w:uiPriority w:val="39"/>
    <w:semiHidden/>
    <w:unhideWhenUsed/>
    <w:pPr>
      <w:spacing w:after="100"/>
    </w:pPr>
  </w:style>
  <w:style w:type="paragraph" w:styleId="Obsah2">
    <w:name w:val="toc 2"/>
    <w:basedOn w:val="Normln"/>
    <w:next w:val="Normln"/>
    <w:uiPriority w:val="39"/>
    <w:semiHidden/>
    <w:unhideWhenUsed/>
    <w:pPr>
      <w:spacing w:after="100"/>
      <w:ind w:left="220"/>
    </w:pPr>
  </w:style>
  <w:style w:type="paragraph" w:styleId="Obsah3">
    <w:name w:val="toc 3"/>
    <w:basedOn w:val="Normln"/>
    <w:next w:val="Normln"/>
    <w:uiPriority w:val="39"/>
    <w:semiHidden/>
    <w:unhideWhenUsed/>
    <w:pPr>
      <w:spacing w:after="100"/>
      <w:ind w:left="440"/>
    </w:pPr>
  </w:style>
  <w:style w:type="paragraph" w:styleId="Obsah4">
    <w:name w:val="toc 4"/>
    <w:basedOn w:val="Normln"/>
    <w:next w:val="Normln"/>
    <w:uiPriority w:val="39"/>
    <w:semiHidden/>
    <w:unhideWhenUsed/>
    <w:pPr>
      <w:spacing w:after="100"/>
      <w:ind w:left="660"/>
    </w:pPr>
  </w:style>
  <w:style w:type="paragraph" w:styleId="Obsah5">
    <w:name w:val="toc 5"/>
    <w:basedOn w:val="Normln"/>
    <w:next w:val="Normln"/>
    <w:uiPriority w:val="39"/>
    <w:semiHidden/>
    <w:unhideWhenUsed/>
    <w:pPr>
      <w:spacing w:after="100"/>
      <w:ind w:left="880"/>
    </w:pPr>
  </w:style>
  <w:style w:type="paragraph" w:styleId="Obsah6">
    <w:name w:val="toc 6"/>
    <w:basedOn w:val="Normln"/>
    <w:next w:val="Normln"/>
    <w:uiPriority w:val="39"/>
    <w:semiHidden/>
    <w:unhideWhenUsed/>
    <w:pPr>
      <w:spacing w:after="100"/>
      <w:ind w:left="1100"/>
    </w:pPr>
  </w:style>
  <w:style w:type="paragraph" w:styleId="Obsah7">
    <w:name w:val="toc 7"/>
    <w:basedOn w:val="Normln"/>
    <w:next w:val="Normln"/>
    <w:uiPriority w:val="39"/>
    <w:semiHidden/>
    <w:unhideWhenUsed/>
    <w:pPr>
      <w:spacing w:after="100"/>
      <w:ind w:left="1320"/>
    </w:pPr>
  </w:style>
  <w:style w:type="paragraph" w:styleId="Obsah8">
    <w:name w:val="toc 8"/>
    <w:basedOn w:val="Normln"/>
    <w:next w:val="Normln"/>
    <w:uiPriority w:val="39"/>
    <w:semiHidden/>
    <w:unhideWhenUsed/>
    <w:pPr>
      <w:spacing w:after="100"/>
      <w:ind w:left="1540"/>
    </w:pPr>
  </w:style>
  <w:style w:type="paragraph" w:styleId="Obsah9">
    <w:name w:val="toc 9"/>
    <w:basedOn w:val="Normln"/>
    <w:next w:val="Normln"/>
    <w:uiPriority w:val="39"/>
    <w:semiHidden/>
    <w:unhideWhenUsed/>
    <w:pPr>
      <w:spacing w:after="100"/>
      <w:ind w:left="1760"/>
    </w:pPr>
  </w:style>
  <w:style w:type="paragraph" w:styleId="Textvbloku">
    <w:name w:val="Block Text"/>
    <w:basedOn w:val="Normln"/>
    <w:uiPriority w:val="99"/>
    <w:semiHidden/>
    <w:unhideWhenUse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xtmakra">
    <w:name w:val="macro"/>
    <w:link w:val="Textmakra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xtmakraChar">
    <w:name w:val="Text makra Char"/>
    <w:basedOn w:val="Standardnpsmoodstavce"/>
    <w:link w:val="Textmakra"/>
    <w:uiPriority w:val="99"/>
    <w:semiHidden/>
    <w:rPr>
      <w:rFonts w:ascii="Consolas" w:hAnsi="Consolas" w:cs="Consolas"/>
      <w:sz w:val="20"/>
      <w:szCs w:val="20"/>
    </w:rPr>
  </w:style>
  <w:style w:type="paragraph" w:styleId="Prosttext">
    <w:name w:val="Plain Text"/>
    <w:basedOn w:val="Normln"/>
    <w:link w:val="ProsttextChar"/>
    <w:uiPriority w:val="99"/>
    <w:semiHidden/>
    <w:unhideWhenUsed/>
    <w:pPr>
      <w:spacing w:line="240" w:lineRule="auto"/>
    </w:pPr>
    <w:rPr>
      <w:rFonts w:ascii="Consolas" w:hAnsi="Consolas" w:cs="Consolas"/>
      <w:sz w:val="21"/>
      <w:szCs w:val="21"/>
    </w:rPr>
  </w:style>
  <w:style w:type="character" w:customStyle="1" w:styleId="ProsttextChar">
    <w:name w:val="Prostý text Char"/>
    <w:basedOn w:val="Standardnpsmoodstavce"/>
    <w:link w:val="Prosttext"/>
    <w:uiPriority w:val="99"/>
    <w:semiHidden/>
    <w:rPr>
      <w:rFonts w:ascii="Consolas" w:hAnsi="Consolas" w:cs="Consolas"/>
      <w:sz w:val="21"/>
      <w:szCs w:val="21"/>
    </w:rPr>
  </w:style>
  <w:style w:type="paragraph" w:styleId="Textpoznpodarou">
    <w:name w:val="footnote text"/>
    <w:basedOn w:val="Normln"/>
    <w:link w:val="TextpoznpodarouChar"/>
    <w:uiPriority w:val="99"/>
    <w:semiHidden/>
    <w:unhideWhenUsed/>
    <w:pPr>
      <w:spacing w:line="240" w:lineRule="auto"/>
    </w:pPr>
  </w:style>
  <w:style w:type="character" w:customStyle="1" w:styleId="TextpoznpodarouChar">
    <w:name w:val="Text pozn. pod čarou Char"/>
    <w:basedOn w:val="Standardnpsmoodstavce"/>
    <w:link w:val="Textpoznpodarou"/>
    <w:uiPriority w:val="99"/>
    <w:semiHidden/>
    <w:rPr>
      <w:sz w:val="20"/>
      <w:szCs w:val="20"/>
    </w:rPr>
  </w:style>
  <w:style w:type="paragraph" w:styleId="Textvysvtlivek">
    <w:name w:val="endnote text"/>
    <w:basedOn w:val="Normln"/>
    <w:link w:val="TextvysvtlivekChar"/>
    <w:uiPriority w:val="99"/>
    <w:semiHidden/>
    <w:unhideWhenUsed/>
    <w:pPr>
      <w:spacing w:line="240" w:lineRule="auto"/>
    </w:pPr>
  </w:style>
  <w:style w:type="character" w:customStyle="1" w:styleId="TextvysvtlivekChar">
    <w:name w:val="Text vysvětlivek Char"/>
    <w:basedOn w:val="Standardnpsmoodstavce"/>
    <w:link w:val="Textvysvtlivek"/>
    <w:uiPriority w:val="99"/>
    <w:semiHidden/>
    <w:rPr>
      <w:sz w:val="20"/>
      <w:szCs w:val="20"/>
    </w:rPr>
  </w:style>
  <w:style w:type="character" w:customStyle="1" w:styleId="Nadpis1Char">
    <w:name w:val="Nadpis 1 Char"/>
    <w:basedOn w:val="Standardnpsmoodstavce"/>
    <w:link w:val="Nadpis1"/>
    <w:uiPriority w:val="9"/>
    <w:rPr>
      <w:rFonts w:ascii="Arial" w:eastAsia="Times New Roman" w:hAnsi="Arial" w:cs="Times New Roman"/>
      <w:b/>
      <w:sz w:val="20"/>
      <w:szCs w:val="20"/>
      <w:lang w:val="en-GB"/>
    </w:rPr>
  </w:style>
  <w:style w:type="character" w:customStyle="1" w:styleId="Nadpis2Char">
    <w:name w:val="Nadpis 2 Char"/>
    <w:basedOn w:val="Standardnpsmoodstavce"/>
    <w:link w:val="Nadpis2"/>
    <w:uiPriority w:val="9"/>
    <w:semiHidden/>
    <w:rPr>
      <w:rFonts w:asciiTheme="majorHAnsi" w:eastAsiaTheme="majorEastAsia" w:hAnsiTheme="majorHAnsi" w:cstheme="majorBidi"/>
      <w:b/>
      <w:bCs/>
      <w:color w:val="4F81BD" w:themeColor="accent1"/>
      <w:sz w:val="26"/>
      <w:szCs w:val="26"/>
    </w:rPr>
  </w:style>
  <w:style w:type="character" w:customStyle="1" w:styleId="Nadpis3Char">
    <w:name w:val="Nadpis 3 Char"/>
    <w:basedOn w:val="Standardnpsmoodstavce"/>
    <w:link w:val="Nadpis3"/>
    <w:uiPriority w:val="9"/>
    <w:semiHidden/>
    <w:rPr>
      <w:rFonts w:asciiTheme="majorHAnsi" w:eastAsiaTheme="majorEastAsia" w:hAnsiTheme="majorHAnsi" w:cstheme="majorBidi"/>
      <w:b/>
      <w:bCs/>
      <w:color w:val="4F81BD" w:themeColor="accent1"/>
    </w:rPr>
  </w:style>
  <w:style w:type="character" w:customStyle="1" w:styleId="Nadpis4Char">
    <w:name w:val="Nadpis 4 Char"/>
    <w:basedOn w:val="Standardnpsmoodstavce"/>
    <w:link w:val="Nadpis4"/>
    <w:uiPriority w:val="9"/>
    <w:semiHidden/>
    <w:rPr>
      <w:rFonts w:asciiTheme="majorHAnsi" w:eastAsiaTheme="majorEastAsia" w:hAnsiTheme="majorHAnsi" w:cstheme="majorBidi"/>
      <w:b/>
      <w:bCs/>
      <w:i/>
      <w:iCs/>
      <w:color w:val="4F81BD" w:themeColor="accent1"/>
    </w:rPr>
  </w:style>
  <w:style w:type="character" w:customStyle="1" w:styleId="Nadpis5Char">
    <w:name w:val="Nadpis 5 Char"/>
    <w:basedOn w:val="Standardnpsmoodstavce"/>
    <w:link w:val="Nadpis5"/>
    <w:uiPriority w:val="9"/>
    <w:semiHidden/>
    <w:rPr>
      <w:rFonts w:asciiTheme="majorHAnsi" w:eastAsiaTheme="majorEastAsia" w:hAnsiTheme="majorHAnsi" w:cstheme="majorBidi"/>
      <w:color w:val="243F60" w:themeColor="accent1" w:themeShade="7F"/>
    </w:rPr>
  </w:style>
  <w:style w:type="character" w:customStyle="1" w:styleId="Nadpis6Char">
    <w:name w:val="Nadpis 6 Char"/>
    <w:basedOn w:val="Standardnpsmoodstavce"/>
    <w:link w:val="Nadpis6"/>
    <w:uiPriority w:val="9"/>
    <w:semiHidden/>
    <w:rPr>
      <w:rFonts w:asciiTheme="majorHAnsi" w:eastAsiaTheme="majorEastAsia" w:hAnsiTheme="majorHAnsi" w:cstheme="majorBidi"/>
      <w:i/>
      <w:iCs/>
      <w:color w:val="243F60" w:themeColor="accent1" w:themeShade="7F"/>
    </w:rPr>
  </w:style>
  <w:style w:type="character" w:customStyle="1" w:styleId="Nadpis7Char">
    <w:name w:val="Nadpis 7 Char"/>
    <w:basedOn w:val="Standardnpsmoodstavce"/>
    <w:link w:val="Nadpis7"/>
    <w:uiPriority w:val="9"/>
    <w:semiHidden/>
    <w:rPr>
      <w:rFonts w:asciiTheme="majorHAnsi" w:eastAsiaTheme="majorEastAsia" w:hAnsiTheme="majorHAnsi" w:cstheme="majorBidi"/>
      <w:i/>
      <w:iCs/>
      <w:color w:val="404040" w:themeColor="text1" w:themeTint="BF"/>
    </w:rPr>
  </w:style>
  <w:style w:type="character" w:customStyle="1" w:styleId="Nadpis8Char">
    <w:name w:val="Nadpis 8 Char"/>
    <w:basedOn w:val="Standardnpsmoodstavce"/>
    <w:link w:val="Nadpis8"/>
    <w:uiPriority w:val="9"/>
    <w:semiHidden/>
    <w:rPr>
      <w:rFonts w:asciiTheme="majorHAnsi" w:eastAsiaTheme="majorEastAsia" w:hAnsiTheme="majorHAnsi" w:cstheme="majorBidi"/>
      <w:color w:val="404040" w:themeColor="text1" w:themeTint="BF"/>
      <w:sz w:val="20"/>
      <w:szCs w:val="20"/>
    </w:rPr>
  </w:style>
  <w:style w:type="character" w:customStyle="1" w:styleId="Nadpis9Char">
    <w:name w:val="Nadpis 9 Char"/>
    <w:basedOn w:val="Standardnpsmoodstavce"/>
    <w:link w:val="Nadpis9"/>
    <w:uiPriority w:val="9"/>
    <w:semiHidden/>
    <w:rPr>
      <w:rFonts w:asciiTheme="majorHAnsi" w:eastAsiaTheme="majorEastAsia" w:hAnsiTheme="majorHAnsi" w:cstheme="majorBidi"/>
      <w:i/>
      <w:iCs/>
      <w:color w:val="404040" w:themeColor="text1" w:themeTint="BF"/>
      <w:sz w:val="20"/>
      <w:szCs w:val="20"/>
    </w:rPr>
  </w:style>
  <w:style w:type="paragraph" w:styleId="Hlavikarejstku">
    <w:name w:val="index heading"/>
    <w:basedOn w:val="Normln"/>
    <w:next w:val="Rejstk1"/>
    <w:uiPriority w:val="99"/>
    <w:semiHidden/>
    <w:unhideWhenUsed/>
    <w:rPr>
      <w:rFonts w:asciiTheme="majorHAnsi" w:eastAsiaTheme="majorEastAsia" w:hAnsiTheme="majorHAnsi" w:cstheme="majorBidi"/>
      <w:b/>
      <w:bCs/>
    </w:rPr>
  </w:style>
  <w:style w:type="paragraph" w:styleId="Hlavikaobsahu">
    <w:name w:val="toa heading"/>
    <w:basedOn w:val="Normln"/>
    <w:next w:val="Normln"/>
    <w:uiPriority w:val="99"/>
    <w:semiHidden/>
    <w:unhideWhenUsed/>
    <w:pPr>
      <w:spacing w:before="120"/>
    </w:pPr>
    <w:rPr>
      <w:rFonts w:asciiTheme="majorHAnsi" w:eastAsiaTheme="majorEastAsia" w:hAnsiTheme="majorHAnsi" w:cstheme="majorBidi"/>
      <w:b/>
      <w:bCs/>
      <w:sz w:val="24"/>
      <w:szCs w:val="24"/>
    </w:rPr>
  </w:style>
  <w:style w:type="paragraph" w:styleId="Nadpisobsahu">
    <w:name w:val="TOC Heading"/>
    <w:basedOn w:val="Nadpis1"/>
    <w:next w:val="Normln"/>
    <w:uiPriority w:val="39"/>
    <w:semiHidden/>
    <w:unhideWhenUsed/>
    <w:qFormat/>
    <w:pPr>
      <w:outlineLvl w:val="9"/>
    </w:pPr>
  </w:style>
  <w:style w:type="paragraph" w:customStyle="1" w:styleId="CETemail">
    <w:name w:val="CET email"/>
    <w:next w:val="CETBodytext"/>
    <w:pPr>
      <w:spacing w:after="240"/>
    </w:pPr>
    <w:rPr>
      <w:rFonts w:ascii="Arial" w:eastAsia="Times New Roman" w:hAnsi="Arial" w:cs="Times New Roman"/>
      <w:sz w:val="16"/>
      <w:szCs w:val="20"/>
      <w:lang w:val="en-GB"/>
    </w:rPr>
  </w:style>
  <w:style w:type="character" w:customStyle="1" w:styleId="CETAddressCarattere">
    <w:name w:val="CET Address Carattere"/>
    <w:basedOn w:val="Standardnpsmoodstavce"/>
    <w:link w:val="CETAddress"/>
    <w:rPr>
      <w:rFonts w:ascii="Arial" w:eastAsia="Times New Roman" w:hAnsi="Arial" w:cs="Times New Roman"/>
      <w:sz w:val="16"/>
      <w:szCs w:val="20"/>
      <w:lang w:val="en-GB"/>
    </w:rPr>
  </w:style>
  <w:style w:type="paragraph" w:customStyle="1" w:styleId="CETBodytextBold">
    <w:name w:val="CET Body text (Bold)"/>
    <w:basedOn w:val="CETBodytext"/>
    <w:rPr>
      <w:b/>
    </w:rPr>
  </w:style>
  <w:style w:type="paragraph" w:customStyle="1" w:styleId="CETnumberingbullets">
    <w:name w:val="CET numbering (bullets)"/>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pPr>
      <w:numPr>
        <w:numId w:val="15"/>
      </w:numPr>
      <w:spacing w:after="0" w:line="264" w:lineRule="auto"/>
    </w:pPr>
    <w:rPr>
      <w:rFonts w:ascii="Arial" w:eastAsia="Times New Roman" w:hAnsi="Arial" w:cs="Times New Roman"/>
      <w:sz w:val="18"/>
      <w:szCs w:val="20"/>
      <w:lang w:val="en-GB"/>
    </w:rPr>
  </w:style>
  <w:style w:type="paragraph" w:styleId="Zhlav">
    <w:name w:val="header"/>
    <w:basedOn w:val="Normln"/>
    <w:link w:val="ZhlavChar"/>
    <w:uiPriority w:val="99"/>
    <w:unhideWhenUsed/>
    <w:pPr>
      <w:tabs>
        <w:tab w:val="clear" w:pos="7100"/>
        <w:tab w:val="center" w:pos="4819"/>
        <w:tab w:val="right" w:pos="9638"/>
      </w:tabs>
      <w:spacing w:line="240" w:lineRule="auto"/>
    </w:pPr>
  </w:style>
  <w:style w:type="character" w:customStyle="1" w:styleId="ZhlavChar">
    <w:name w:val="Záhlaví Char"/>
    <w:basedOn w:val="Standardnpsmoodstavce"/>
    <w:link w:val="Zhlav"/>
    <w:uiPriority w:val="99"/>
    <w:rPr>
      <w:rFonts w:ascii="Arial" w:eastAsia="Times New Roman" w:hAnsi="Arial" w:cs="Times New Roman"/>
      <w:sz w:val="18"/>
      <w:szCs w:val="20"/>
      <w:lang w:val="en-GB"/>
    </w:rPr>
  </w:style>
  <w:style w:type="paragraph" w:styleId="Zpat">
    <w:name w:val="footer"/>
    <w:basedOn w:val="Normln"/>
    <w:link w:val="ZpatChar"/>
    <w:uiPriority w:val="99"/>
    <w:unhideWhenUsed/>
    <w:pPr>
      <w:tabs>
        <w:tab w:val="clear" w:pos="7100"/>
        <w:tab w:val="center" w:pos="4819"/>
        <w:tab w:val="right" w:pos="9638"/>
      </w:tabs>
      <w:spacing w:line="240" w:lineRule="auto"/>
    </w:pPr>
  </w:style>
  <w:style w:type="character" w:customStyle="1" w:styleId="ZpatChar">
    <w:name w:val="Zápatí Char"/>
    <w:basedOn w:val="Standardnpsmoodstavce"/>
    <w:link w:val="Zpat"/>
    <w:uiPriority w:val="99"/>
    <w:rPr>
      <w:rFonts w:ascii="Arial" w:eastAsia="Times New Roman" w:hAnsi="Arial" w:cs="Times New Roman"/>
      <w:sz w:val="18"/>
      <w:szCs w:val="20"/>
      <w:lang w:val="en-GB"/>
    </w:rPr>
  </w:style>
  <w:style w:type="table" w:styleId="Mkatabulky">
    <w:name w:val="Table Grid"/>
    <w:basedOn w:val="Normlntabulka"/>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textovodkaz">
    <w:name w:val="Hyperlink"/>
    <w:basedOn w:val="Standardnpsmoodstavce"/>
    <w:uiPriority w:val="99"/>
    <w:unhideWhenUsed/>
    <w:rPr>
      <w:color w:val="0000FF" w:themeColor="hyperlink"/>
      <w:u w:val="single"/>
    </w:rPr>
  </w:style>
  <w:style w:type="character" w:customStyle="1" w:styleId="eudoraheader">
    <w:name w:val="eudoraheader"/>
    <w:basedOn w:val="Standardnpsmoodstavce"/>
  </w:style>
  <w:style w:type="paragraph" w:customStyle="1" w:styleId="CETListbullets">
    <w:name w:val="CET List bullets"/>
    <w:qFormat/>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pPr>
      <w:spacing w:before="120" w:after="120"/>
      <w:jc w:val="left"/>
    </w:pPr>
    <w:rPr>
      <w:lang w:val="en-GB"/>
    </w:rPr>
  </w:style>
  <w:style w:type="paragraph" w:customStyle="1" w:styleId="CETHeadingxx">
    <w:name w:val="CET Headingxx"/>
    <w:basedOn w:val="CETheadingx"/>
    <w:link w:val="CETHeadingxxChar"/>
    <w:qFormat/>
    <w:pPr>
      <w:numPr>
        <w:ilvl w:val="0"/>
        <w:numId w:val="0"/>
      </w:numPr>
    </w:pPr>
  </w:style>
  <w:style w:type="character" w:customStyle="1" w:styleId="CETHeadingxxChar">
    <w:name w:val="CET Headingxx Char"/>
    <w:basedOn w:val="CETheadingxCarattere"/>
    <w:link w:val="CETHeadingxx"/>
    <w:rPr>
      <w:rFonts w:ascii="Arial" w:eastAsia="Times New Roman" w:hAnsi="Arial" w:cs="Times New Roman"/>
      <w:b/>
      <w:sz w:val="18"/>
      <w:szCs w:val="20"/>
      <w:lang w:val="en-US"/>
    </w:rPr>
  </w:style>
  <w:style w:type="paragraph" w:styleId="Odstavecseseznamem">
    <w:name w:val="List Paragraph"/>
    <w:basedOn w:val="Normln"/>
    <w:uiPriority w:val="3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6513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png"/><Relationship Id="rId18" Type="http://schemas.openxmlformats.org/officeDocument/2006/relationships/image" Target="media/image40.png"/><Relationship Id="rId26" Type="http://schemas.openxmlformats.org/officeDocument/2006/relationships/image" Target="media/image80.pn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image" Target="media/image20.jpg"/><Relationship Id="rId25" Type="http://schemas.openxmlformats.org/officeDocument/2006/relationships/image" Target="media/image8.png"/><Relationship Id="rId2" Type="http://schemas.openxmlformats.org/officeDocument/2006/relationships/numbering" Target="numbering.xml"/><Relationship Id="rId20" Type="http://schemas.openxmlformats.org/officeDocument/2006/relationships/image" Target="media/image6.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70.png"/><Relationship Id="rId5" Type="http://schemas.openxmlformats.org/officeDocument/2006/relationships/webSettings" Target="webSettings.xml"/><Relationship Id="rId28" Type="http://schemas.openxmlformats.org/officeDocument/2006/relationships/image" Target="media/image90.png"/><Relationship Id="rId10" Type="http://schemas.openxmlformats.org/officeDocument/2006/relationships/image" Target="media/image10.jpg"/><Relationship Id="rId19" Type="http://schemas.openxmlformats.org/officeDocument/2006/relationships/image" Target="media/image5.png"/><Relationship Id="rId4" Type="http://schemas.openxmlformats.org/officeDocument/2006/relationships/settings" Target="settings.xml"/><Relationship Id="rId14"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381B97-8333-4057-A4B2-57D9DB15FF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2243</TotalTime>
  <Pages>6</Pages>
  <Words>3068</Words>
  <Characters>18103</Characters>
  <Application>Microsoft Office Word</Application>
  <DocSecurity>0</DocSecurity>
  <Lines>150</Lines>
  <Paragraphs>42</Paragraphs>
  <ScaleCrop>false</ScaleCrop>
  <HeadingPairs>
    <vt:vector size="2" baseType="variant">
      <vt:variant>
        <vt:lpstr>Název</vt:lpstr>
      </vt:variant>
      <vt:variant>
        <vt:i4>1</vt:i4>
      </vt:variant>
    </vt:vector>
  </HeadingPairs>
  <TitlesOfParts>
    <vt:vector size="1" baseType="lpstr">
      <vt:lpstr/>
    </vt:vector>
  </TitlesOfParts>
  <Company>Dipartimento CMIC - Politecnico di Milano</Company>
  <LinksUpToDate>false</LinksUpToDate>
  <CharactersWithSpaces>21129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WILLIAM RAÚL PATIŃO GONZÁLES</cp:lastModifiedBy>
  <cp:revision>85</cp:revision>
  <dcterms:created xsi:type="dcterms:W3CDTF">2021-09-21T10:42:00Z</dcterms:created>
  <dcterms:modified xsi:type="dcterms:W3CDTF">2022-07-14T08:59:00Z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