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8634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8634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86341">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E44AC15" w14:textId="77777777" w:rsidR="00F86341" w:rsidRPr="000A641D" w:rsidRDefault="00F86341" w:rsidP="00F86341">
      <w:pPr>
        <w:pStyle w:val="CETTitle"/>
      </w:pPr>
      <w:r w:rsidRPr="000A641D">
        <w:t xml:space="preserve">Reliability of the results of an odour field inspection </w:t>
      </w:r>
      <w:r>
        <w:br/>
      </w:r>
      <w:r w:rsidRPr="000A641D">
        <w:t>-</w:t>
      </w:r>
      <w:r>
        <w:t xml:space="preserve"> </w:t>
      </w:r>
      <w:r w:rsidRPr="000A641D">
        <w:t>grid method - based on the sample of 104 single measurements within one year</w:t>
      </w:r>
    </w:p>
    <w:p w14:paraId="6B8A6643" w14:textId="77777777" w:rsidR="00F86341" w:rsidRPr="00F747A1" w:rsidRDefault="00F86341" w:rsidP="00F86341"/>
    <w:p w14:paraId="378200DE" w14:textId="77777777" w:rsidR="00F86341" w:rsidRPr="00CE1FD8" w:rsidRDefault="00F86341" w:rsidP="00F86341">
      <w:pPr>
        <w:pStyle w:val="CETAuthors"/>
        <w:rPr>
          <w:lang w:val="de-DE"/>
        </w:rPr>
      </w:pPr>
      <w:r w:rsidRPr="00CE1FD8">
        <w:rPr>
          <w:lang w:val="de-DE"/>
        </w:rPr>
        <w:t>Janina Güntzel</w:t>
      </w:r>
      <w:r w:rsidRPr="00CE1FD8">
        <w:rPr>
          <w:vertAlign w:val="superscript"/>
          <w:lang w:val="de-DE"/>
        </w:rPr>
        <w:t>a</w:t>
      </w:r>
      <w:r w:rsidRPr="00CE1FD8">
        <w:rPr>
          <w:lang w:val="de-DE"/>
        </w:rPr>
        <w:t>, Bettina Mannebeck</w:t>
      </w:r>
      <w:r w:rsidRPr="00CE1FD8">
        <w:rPr>
          <w:vertAlign w:val="superscript"/>
          <w:lang w:val="de-DE"/>
        </w:rPr>
        <w:t>a</w:t>
      </w:r>
      <w:r w:rsidRPr="00CE1FD8">
        <w:rPr>
          <w:lang w:val="de-DE"/>
        </w:rPr>
        <w:t>, Dr. Heike Hauschildt</w:t>
      </w:r>
      <w:r w:rsidRPr="00CE1FD8">
        <w:rPr>
          <w:vertAlign w:val="superscript"/>
          <w:lang w:val="de-DE"/>
        </w:rPr>
        <w:t>a</w:t>
      </w:r>
    </w:p>
    <w:p w14:paraId="1168071D" w14:textId="77777777" w:rsidR="00F86341" w:rsidRPr="00CE1FD8" w:rsidRDefault="00F86341" w:rsidP="00F86341">
      <w:pPr>
        <w:pStyle w:val="CETBodytext"/>
        <w:spacing w:after="240"/>
        <w:rPr>
          <w:noProof/>
          <w:sz w:val="16"/>
          <w:lang w:val="it-IT"/>
        </w:rPr>
      </w:pPr>
      <w:r w:rsidRPr="00CE1FD8">
        <w:rPr>
          <w:noProof/>
          <w:sz w:val="16"/>
          <w:vertAlign w:val="superscript"/>
          <w:lang w:val="it-IT"/>
        </w:rPr>
        <w:t>a</w:t>
      </w:r>
      <w:r w:rsidRPr="00CE1FD8">
        <w:rPr>
          <w:noProof/>
          <w:sz w:val="16"/>
          <w:lang w:val="it-IT"/>
        </w:rPr>
        <w:t xml:space="preserve">Olfasense GmbH, Schauenburgerstr. 116, 24118 Kiel, Germany </w:t>
      </w:r>
    </w:p>
    <w:p w14:paraId="5EE59B6E" w14:textId="77777777" w:rsidR="00F86341" w:rsidRPr="00F747A1" w:rsidRDefault="00F86341" w:rsidP="00F86341">
      <w:pPr>
        <w:pStyle w:val="CETBodytext"/>
        <w:rPr>
          <w:lang w:val="en-GB"/>
        </w:rPr>
      </w:pPr>
      <w:r w:rsidRPr="00F747A1">
        <w:rPr>
          <w:lang w:val="en-GB"/>
        </w:rPr>
        <w:t xml:space="preserve">The determination of odour in ambient air by using field inspection with the grid method is the method that has been used in Germany for decades to determine the </w:t>
      </w:r>
      <w:r>
        <w:rPr>
          <w:lang w:val="en-GB"/>
        </w:rPr>
        <w:t xml:space="preserve">frequency of </w:t>
      </w:r>
      <w:r w:rsidRPr="00F747A1">
        <w:rPr>
          <w:lang w:val="en-GB"/>
        </w:rPr>
        <w:t xml:space="preserve">exposure </w:t>
      </w:r>
      <w:r>
        <w:rPr>
          <w:lang w:val="en-GB"/>
        </w:rPr>
        <w:t xml:space="preserve">to odours </w:t>
      </w:r>
      <w:r w:rsidRPr="00F747A1">
        <w:rPr>
          <w:lang w:val="en-GB"/>
        </w:rPr>
        <w:t xml:space="preserve">in an impact area. The method which is currently described in EN 16841-1:2016 is a statistical survey which is applied over a sufficiently long period of time. It delivers a representative map of the exposure to recognizable odour(s) with its distribution over the assessed area. </w:t>
      </w:r>
    </w:p>
    <w:p w14:paraId="2988B822" w14:textId="77777777" w:rsidR="00F86341" w:rsidRPr="00F747A1" w:rsidRDefault="00F86341" w:rsidP="00F86341">
      <w:pPr>
        <w:pStyle w:val="CETBodytext"/>
        <w:rPr>
          <w:lang w:val="en-GB"/>
        </w:rPr>
      </w:pPr>
      <w:r w:rsidRPr="00F747A1">
        <w:rPr>
          <w:lang w:val="en-GB"/>
        </w:rPr>
        <w:t xml:space="preserve">Within this paper the principle of measurement will be briefly described, as well as the challenges that might occur during a project and the possibilities that arise from the detailed measurement of odour frequencies in the impact area. </w:t>
      </w:r>
    </w:p>
    <w:p w14:paraId="7D0CBCC6" w14:textId="77777777" w:rsidR="00F86341" w:rsidRPr="00F747A1" w:rsidRDefault="00F86341" w:rsidP="00F86341">
      <w:pPr>
        <w:pStyle w:val="CETBodytext"/>
        <w:rPr>
          <w:lang w:val="en-GB"/>
        </w:rPr>
      </w:pPr>
      <w:r w:rsidRPr="00F747A1">
        <w:rPr>
          <w:lang w:val="en-GB"/>
        </w:rPr>
        <w:t xml:space="preserve">Often the question arises whether the sample of 104 </w:t>
      </w:r>
      <w:r>
        <w:rPr>
          <w:lang w:val="en-GB"/>
        </w:rPr>
        <w:t>single measurements</w:t>
      </w:r>
      <w:r w:rsidRPr="00F747A1">
        <w:rPr>
          <w:lang w:val="en-GB"/>
        </w:rPr>
        <w:t xml:space="preserve"> per assessment square and year is sufficient. In the vicinity of an industrial plant, we have been carrying out </w:t>
      </w:r>
      <w:r>
        <w:rPr>
          <w:lang w:val="en-GB"/>
        </w:rPr>
        <w:t xml:space="preserve">yearly field surveys </w:t>
      </w:r>
      <w:r w:rsidRPr="00F747A1">
        <w:rPr>
          <w:lang w:val="en-GB"/>
        </w:rPr>
        <w:t xml:space="preserve">since 2009. In contrast to the procedure according to EN 16841-1:2016-11, in this project the field </w:t>
      </w:r>
      <w:r>
        <w:rPr>
          <w:lang w:val="en-GB"/>
        </w:rPr>
        <w:t xml:space="preserve">surveys </w:t>
      </w:r>
      <w:r w:rsidRPr="00F747A1">
        <w:rPr>
          <w:lang w:val="en-GB"/>
        </w:rPr>
        <w:t xml:space="preserve">take place on a daily basis. The time of day is varied according to the standard. </w:t>
      </w:r>
    </w:p>
    <w:p w14:paraId="6CB3029F" w14:textId="77777777" w:rsidR="00F86341" w:rsidRPr="00F747A1" w:rsidRDefault="00F86341" w:rsidP="00F86341">
      <w:pPr>
        <w:pStyle w:val="CETBodytext"/>
        <w:rPr>
          <w:lang w:val="en-GB"/>
        </w:rPr>
      </w:pPr>
      <w:r w:rsidRPr="00F747A1">
        <w:rPr>
          <w:lang w:val="en-GB"/>
        </w:rPr>
        <w:t xml:space="preserve">Using this extensive data set as an example, the evaluation is now carried out on the full inspection scope (referred to as reference) </w:t>
      </w:r>
      <w:r>
        <w:rPr>
          <w:lang w:val="en-GB"/>
        </w:rPr>
        <w:t>as well as</w:t>
      </w:r>
      <w:r w:rsidRPr="00F747A1">
        <w:rPr>
          <w:lang w:val="en-GB"/>
        </w:rPr>
        <w:t xml:space="preserve"> the data divided into 3 </w:t>
      </w:r>
      <w:r>
        <w:rPr>
          <w:lang w:val="en-GB"/>
        </w:rPr>
        <w:t>individual</w:t>
      </w:r>
      <w:r w:rsidRPr="00F747A1">
        <w:rPr>
          <w:lang w:val="en-GB"/>
        </w:rPr>
        <w:t xml:space="preserve"> </w:t>
      </w:r>
      <w:r>
        <w:rPr>
          <w:lang w:val="en-GB"/>
        </w:rPr>
        <w:t xml:space="preserve">field surveys </w:t>
      </w:r>
      <w:r w:rsidRPr="00F747A1">
        <w:rPr>
          <w:lang w:val="en-GB"/>
        </w:rPr>
        <w:t>(sample 1 to 3). For each of these data sets the results including the measurement uncertainty according to EN 16841-1:2016 are evaluated for the single assessment squares. With a comparison of the reference (365 days/year) with each of the samples (104 days/year) the reliability of the samples can be determined. As the samples represent the required scope of measurement according to the European Standard EN 16841-1:2016 a validation of the usual extent could be performed. The results of this evaluation show that the sample of 104 measurement days per assessment square within one year is sufficient, taking into account the measurement uncertainty contributions, to make a statement on the compliance with the permissible odour exposure in the impact area.</w:t>
      </w:r>
    </w:p>
    <w:p w14:paraId="696D4235" w14:textId="77777777" w:rsidR="00F86341" w:rsidRPr="00F747A1" w:rsidRDefault="00F86341" w:rsidP="00FA519F">
      <w:pPr>
        <w:pStyle w:val="CETHeading1"/>
        <w:rPr>
          <w:lang w:val="en-GB"/>
        </w:rPr>
      </w:pPr>
      <w:r w:rsidRPr="00F747A1">
        <w:rPr>
          <w:lang w:val="en-GB"/>
        </w:rPr>
        <w:t xml:space="preserve">1. Description of the </w:t>
      </w:r>
      <w:r>
        <w:rPr>
          <w:lang w:val="en-GB"/>
        </w:rPr>
        <w:t xml:space="preserve">field measurement - </w:t>
      </w:r>
      <w:r w:rsidRPr="00F747A1">
        <w:rPr>
          <w:lang w:val="en-GB"/>
        </w:rPr>
        <w:t xml:space="preserve">grid </w:t>
      </w:r>
      <w:r>
        <w:rPr>
          <w:lang w:val="en-GB"/>
        </w:rPr>
        <w:t xml:space="preserve">method - </w:t>
      </w:r>
      <w:r w:rsidRPr="00F747A1">
        <w:rPr>
          <w:lang w:val="en-GB"/>
        </w:rPr>
        <w:t>and the procedure according to EN 16841-1:201</w:t>
      </w:r>
      <w:r>
        <w:rPr>
          <w:lang w:val="en-GB"/>
        </w:rPr>
        <w:t>6</w:t>
      </w:r>
    </w:p>
    <w:p w14:paraId="1F91CA6A" w14:textId="77777777" w:rsidR="00F86341" w:rsidRDefault="00F86341" w:rsidP="00F86341">
      <w:pPr>
        <w:pStyle w:val="CETBodytext"/>
        <w:rPr>
          <w:lang w:val="en-GB"/>
        </w:rPr>
      </w:pPr>
      <w:r w:rsidRPr="00F747A1">
        <w:rPr>
          <w:lang w:val="en-GB"/>
        </w:rPr>
        <w:t xml:space="preserve">The method used in this manuscript is based on the </w:t>
      </w:r>
      <w:r>
        <w:rPr>
          <w:lang w:val="en-GB"/>
        </w:rPr>
        <w:t>European S</w:t>
      </w:r>
      <w:r w:rsidRPr="00F747A1">
        <w:rPr>
          <w:lang w:val="en-GB"/>
        </w:rPr>
        <w:t>tandard EN 16841 Part 1: Grid measurement [1]. This</w:t>
      </w:r>
      <w:r>
        <w:rPr>
          <w:lang w:val="en-GB"/>
        </w:rPr>
        <w:t xml:space="preserve"> method describes the determination of </w:t>
      </w:r>
      <w:r w:rsidRPr="00F747A1">
        <w:rPr>
          <w:lang w:val="en-GB"/>
        </w:rPr>
        <w:t xml:space="preserve">the spatial distribution of </w:t>
      </w:r>
      <w:r>
        <w:rPr>
          <w:lang w:val="en-GB"/>
        </w:rPr>
        <w:t xml:space="preserve">ambient </w:t>
      </w:r>
      <w:r w:rsidRPr="00F747A1">
        <w:rPr>
          <w:lang w:val="en-GB"/>
        </w:rPr>
        <w:t xml:space="preserve">odour </w:t>
      </w:r>
      <w:r>
        <w:rPr>
          <w:lang w:val="en-GB"/>
        </w:rPr>
        <w:t>exposure</w:t>
      </w:r>
      <w:r w:rsidRPr="00F747A1">
        <w:rPr>
          <w:lang w:val="en-GB"/>
        </w:rPr>
        <w:t xml:space="preserve">. The </w:t>
      </w:r>
      <w:r>
        <w:rPr>
          <w:lang w:val="en-GB"/>
        </w:rPr>
        <w:t xml:space="preserve">unit of the method is the frequency of </w:t>
      </w:r>
      <w:r w:rsidRPr="00F747A1">
        <w:rPr>
          <w:lang w:val="en-GB"/>
        </w:rPr>
        <w:t>odour hour</w:t>
      </w:r>
      <w:r>
        <w:rPr>
          <w:lang w:val="en-GB"/>
        </w:rPr>
        <w:t>s</w:t>
      </w:r>
      <w:r w:rsidRPr="00F747A1">
        <w:rPr>
          <w:lang w:val="en-GB"/>
        </w:rPr>
        <w:t xml:space="preserve"> </w:t>
      </w:r>
      <w:r>
        <w:rPr>
          <w:lang w:val="en-GB"/>
        </w:rPr>
        <w:t xml:space="preserve">which is used </w:t>
      </w:r>
      <w:r w:rsidRPr="00F747A1">
        <w:rPr>
          <w:lang w:val="en-GB"/>
        </w:rPr>
        <w:t xml:space="preserve">to assess the </w:t>
      </w:r>
      <w:r>
        <w:rPr>
          <w:lang w:val="en-GB"/>
        </w:rPr>
        <w:t xml:space="preserve">odour </w:t>
      </w:r>
      <w:r w:rsidRPr="00F747A1">
        <w:rPr>
          <w:lang w:val="en-GB"/>
        </w:rPr>
        <w:t xml:space="preserve">exposure on the defined grid </w:t>
      </w:r>
      <w:r>
        <w:rPr>
          <w:lang w:val="en-GB"/>
        </w:rPr>
        <w:t>square</w:t>
      </w:r>
      <w:r w:rsidRPr="00F747A1">
        <w:rPr>
          <w:lang w:val="en-GB"/>
        </w:rPr>
        <w:t xml:space="preserve">s. If the odour reaches or exceeds 10 % </w:t>
      </w:r>
      <w:r>
        <w:rPr>
          <w:lang w:val="en-GB"/>
        </w:rPr>
        <w:t>of</w:t>
      </w:r>
      <w:r w:rsidRPr="00F747A1">
        <w:rPr>
          <w:lang w:val="en-GB"/>
        </w:rPr>
        <w:t xml:space="preserve"> the measurement </w:t>
      </w:r>
      <w:r>
        <w:rPr>
          <w:lang w:val="en-GB"/>
        </w:rPr>
        <w:t>duration</w:t>
      </w:r>
      <w:r w:rsidRPr="00F747A1">
        <w:rPr>
          <w:lang w:val="en-GB"/>
        </w:rPr>
        <w:t>, then an "odour hour" occurs</w:t>
      </w:r>
      <w:r>
        <w:rPr>
          <w:lang w:val="en-GB"/>
        </w:rPr>
        <w:t xml:space="preserve">. Each single measurement is a 10-minute interval consisting of 60 10-second intervals. At each 10-second interval the panel member assesses one breath of air and evaluates if there is no odour or odour and the kind of odour. </w:t>
      </w:r>
      <w:r w:rsidRPr="00F747A1">
        <w:rPr>
          <w:lang w:val="en-GB"/>
        </w:rPr>
        <w:t xml:space="preserve">6 </w:t>
      </w:r>
      <w:r>
        <w:rPr>
          <w:lang w:val="en-GB"/>
        </w:rPr>
        <w:t>10-second intervals with odour or more than 6 intervals indicate one odour hour (10% or more of the assessments with odour)</w:t>
      </w:r>
      <w:r w:rsidRPr="00F747A1">
        <w:rPr>
          <w:lang w:val="en-GB"/>
        </w:rPr>
        <w:t>.</w:t>
      </w:r>
      <w:r>
        <w:rPr>
          <w:lang w:val="en-GB"/>
        </w:rPr>
        <w:t xml:space="preserve"> </w:t>
      </w:r>
      <w:r w:rsidRPr="00F747A1">
        <w:rPr>
          <w:lang w:val="en-GB"/>
        </w:rPr>
        <w:t xml:space="preserve">In General, as predetermined by the </w:t>
      </w:r>
      <w:r>
        <w:rPr>
          <w:lang w:val="en-GB"/>
        </w:rPr>
        <w:t xml:space="preserve">European Standard </w:t>
      </w:r>
      <w:r w:rsidRPr="00F747A1">
        <w:rPr>
          <w:lang w:val="en-GB"/>
        </w:rPr>
        <w:t xml:space="preserve">EN 16841- Part 1, the survey period is one year, consisting of 104 </w:t>
      </w:r>
      <w:r>
        <w:rPr>
          <w:lang w:val="en-GB"/>
        </w:rPr>
        <w:t>single measurements</w:t>
      </w:r>
      <w:r w:rsidRPr="00F747A1">
        <w:rPr>
          <w:lang w:val="en-GB"/>
        </w:rPr>
        <w:t xml:space="preserve"> per assessment square [1] [2].</w:t>
      </w:r>
      <w:r>
        <w:rPr>
          <w:lang w:val="en-GB"/>
        </w:rPr>
        <w:t xml:space="preserve"> </w:t>
      </w:r>
      <w:r w:rsidRPr="00F747A1">
        <w:rPr>
          <w:lang w:val="en-GB"/>
        </w:rPr>
        <w:t xml:space="preserve">Often the question arises whether the sample of 104 </w:t>
      </w:r>
      <w:r>
        <w:rPr>
          <w:lang w:val="en-GB"/>
        </w:rPr>
        <w:t>single measurements</w:t>
      </w:r>
      <w:r w:rsidRPr="00F747A1">
        <w:rPr>
          <w:lang w:val="en-GB"/>
        </w:rPr>
        <w:t xml:space="preserve"> per assessment square and year is sufficient</w:t>
      </w:r>
      <w:r>
        <w:rPr>
          <w:lang w:val="en-GB"/>
        </w:rPr>
        <w:t xml:space="preserve"> to gain a complete insight of the odour impact</w:t>
      </w:r>
      <w:r w:rsidRPr="00F747A1">
        <w:rPr>
          <w:lang w:val="en-GB"/>
        </w:rPr>
        <w:t>.</w:t>
      </w:r>
      <w:r>
        <w:rPr>
          <w:lang w:val="en-GB"/>
        </w:rPr>
        <w:t xml:space="preserve"> </w:t>
      </w:r>
    </w:p>
    <w:p w14:paraId="370F1236" w14:textId="41B3B1C7" w:rsidR="00F86341" w:rsidRPr="00F747A1" w:rsidRDefault="00F86341" w:rsidP="00F86341">
      <w:pPr>
        <w:pStyle w:val="CETBodytext"/>
        <w:rPr>
          <w:lang w:val="en-GB"/>
        </w:rPr>
      </w:pPr>
      <w:r w:rsidRPr="00F747A1">
        <w:rPr>
          <w:lang w:val="en-GB"/>
        </w:rPr>
        <w:t xml:space="preserve">In the vicinity of an industrial plant, we have been carrying out a field inspection since 2009. </w:t>
      </w:r>
      <w:r>
        <w:rPr>
          <w:lang w:val="en-GB"/>
        </w:rPr>
        <w:t xml:space="preserve">In this inspection project the single measurements take place on a daily basis. This represents a </w:t>
      </w:r>
      <w:r w:rsidRPr="00F747A1">
        <w:rPr>
          <w:lang w:val="en-GB"/>
        </w:rPr>
        <w:t xml:space="preserve">contrast to the procedure </w:t>
      </w:r>
      <w:r w:rsidRPr="00F747A1">
        <w:rPr>
          <w:lang w:val="en-GB"/>
        </w:rPr>
        <w:lastRenderedPageBreak/>
        <w:t>according to EN 16841-1:2016</w:t>
      </w:r>
      <w:r>
        <w:rPr>
          <w:lang w:val="en-GB"/>
        </w:rPr>
        <w:t xml:space="preserve">. </w:t>
      </w:r>
      <w:r w:rsidRPr="00F747A1">
        <w:rPr>
          <w:lang w:val="en-GB"/>
        </w:rPr>
        <w:t xml:space="preserve">The time of day is varied according to the standard. </w:t>
      </w:r>
      <w:r>
        <w:rPr>
          <w:lang w:val="en-GB"/>
        </w:rPr>
        <w:t>We use this daily field inspection by grid measurement for evaluation of the reliability according the number of carried out single measurements. In the following the survey containing all 365 days of inspection is stated as “reference field survey”.</w:t>
      </w:r>
    </w:p>
    <w:p w14:paraId="583A62F4" w14:textId="6636AB0F" w:rsidR="00F86341" w:rsidRPr="00F747A1" w:rsidRDefault="00F86341" w:rsidP="00F86341">
      <w:pPr>
        <w:pStyle w:val="CETBodytext"/>
        <w:rPr>
          <w:lang w:val="en-GB"/>
        </w:rPr>
      </w:pPr>
      <w:r w:rsidRPr="00F747A1">
        <w:rPr>
          <w:lang w:val="en-GB"/>
        </w:rPr>
        <w:t xml:space="preserve">The field </w:t>
      </w:r>
      <w:r>
        <w:rPr>
          <w:lang w:val="en-GB"/>
        </w:rPr>
        <w:t>survey</w:t>
      </w:r>
      <w:r w:rsidRPr="00F747A1">
        <w:rPr>
          <w:lang w:val="en-GB"/>
        </w:rPr>
        <w:t xml:space="preserve"> used for the evaluation of the reliability stated in this paper has been carried out for many years at an industrial facility. The </w:t>
      </w:r>
      <w:r>
        <w:rPr>
          <w:lang w:val="en-GB"/>
        </w:rPr>
        <w:t>project is</w:t>
      </w:r>
      <w:r w:rsidRPr="00F747A1">
        <w:rPr>
          <w:lang w:val="en-GB"/>
        </w:rPr>
        <w:t xml:space="preserve"> running since 2009 with </w:t>
      </w:r>
      <w:r>
        <w:rPr>
          <w:lang w:val="en-GB"/>
        </w:rPr>
        <w:t xml:space="preserve">yearly field surveys, each with </w:t>
      </w:r>
      <w:r w:rsidRPr="00F747A1">
        <w:rPr>
          <w:lang w:val="en-GB"/>
        </w:rPr>
        <w:t xml:space="preserve">a scope of 365 </w:t>
      </w:r>
      <w:r>
        <w:rPr>
          <w:lang w:val="en-GB"/>
        </w:rPr>
        <w:t xml:space="preserve">single measurements </w:t>
      </w:r>
      <w:r w:rsidRPr="00F747A1">
        <w:rPr>
          <w:lang w:val="en-GB"/>
        </w:rPr>
        <w:t xml:space="preserve">within one year. </w:t>
      </w:r>
      <w:r>
        <w:rPr>
          <w:lang w:val="en-GB"/>
        </w:rPr>
        <w:t>T</w:t>
      </w:r>
      <w:r w:rsidRPr="00F747A1">
        <w:rPr>
          <w:lang w:val="en-GB"/>
        </w:rPr>
        <w:t xml:space="preserve">hree years (2018-2020) of the inspection were used to compare the reliability and measurement uncertainty of the </w:t>
      </w:r>
      <w:r>
        <w:rPr>
          <w:lang w:val="en-GB"/>
        </w:rPr>
        <w:t>“</w:t>
      </w:r>
      <w:r w:rsidRPr="00F747A1">
        <w:rPr>
          <w:lang w:val="en-GB"/>
        </w:rPr>
        <w:t xml:space="preserve">reference </w:t>
      </w:r>
      <w:r>
        <w:rPr>
          <w:lang w:val="en-GB"/>
        </w:rPr>
        <w:t>field survey”</w:t>
      </w:r>
      <w:r w:rsidRPr="00F747A1">
        <w:rPr>
          <w:lang w:val="en-GB"/>
        </w:rPr>
        <w:t xml:space="preserve"> with </w:t>
      </w:r>
      <w:r>
        <w:rPr>
          <w:lang w:val="en-GB"/>
        </w:rPr>
        <w:t>a</w:t>
      </w:r>
      <w:r w:rsidRPr="00F747A1">
        <w:rPr>
          <w:lang w:val="en-GB"/>
        </w:rPr>
        <w:t xml:space="preserve"> 104-</w:t>
      </w:r>
      <w:r>
        <w:rPr>
          <w:lang w:val="en-GB"/>
        </w:rPr>
        <w:t xml:space="preserve">day </w:t>
      </w:r>
      <w:r w:rsidRPr="00F747A1">
        <w:rPr>
          <w:lang w:val="en-GB"/>
        </w:rPr>
        <w:t>field inspection required by DIN EN 16841-1</w:t>
      </w:r>
      <w:r w:rsidR="008A37C3">
        <w:rPr>
          <w:lang w:val="en-GB"/>
        </w:rPr>
        <w:t>:2016</w:t>
      </w:r>
      <w:r w:rsidRPr="00F747A1">
        <w:rPr>
          <w:lang w:val="en-GB"/>
        </w:rPr>
        <w:t xml:space="preserve">. The inspection comprises 8 assessment </w:t>
      </w:r>
      <w:r>
        <w:rPr>
          <w:lang w:val="en-GB"/>
        </w:rPr>
        <w:t>squares</w:t>
      </w:r>
      <w:r w:rsidRPr="00F747A1">
        <w:rPr>
          <w:lang w:val="en-GB"/>
        </w:rPr>
        <w:t xml:space="preserve"> (A-H) with a total of 15 </w:t>
      </w:r>
      <w:r>
        <w:rPr>
          <w:lang w:val="en-GB"/>
        </w:rPr>
        <w:t xml:space="preserve">measurement </w:t>
      </w:r>
      <w:r w:rsidRPr="00F747A1">
        <w:rPr>
          <w:lang w:val="en-GB"/>
        </w:rPr>
        <w:t xml:space="preserve">points. In the following, the daily field inspection is used as a reference in comparison to three samples with 104 </w:t>
      </w:r>
      <w:r>
        <w:rPr>
          <w:lang w:val="en-GB"/>
        </w:rPr>
        <w:t>single measurements</w:t>
      </w:r>
      <w:r w:rsidRPr="00F747A1">
        <w:rPr>
          <w:lang w:val="en-GB"/>
        </w:rPr>
        <w:t xml:space="preserve"> each. </w:t>
      </w:r>
      <w:r>
        <w:rPr>
          <w:lang w:val="en-GB"/>
        </w:rPr>
        <w:t>For each year t</w:t>
      </w:r>
      <w:r w:rsidRPr="00F747A1">
        <w:rPr>
          <w:lang w:val="en-GB"/>
        </w:rPr>
        <w:t xml:space="preserve">he three samples are compared with the reference as a basis [4]. </w:t>
      </w:r>
    </w:p>
    <w:p w14:paraId="523E9A7D" w14:textId="77777777" w:rsidR="00F86341" w:rsidRPr="00F747A1" w:rsidRDefault="00F86341" w:rsidP="00F86341">
      <w:pPr>
        <w:pStyle w:val="CETBodytext"/>
        <w:rPr>
          <w:lang w:val="en-GB"/>
        </w:rPr>
      </w:pPr>
      <w:r w:rsidRPr="00F747A1">
        <w:rPr>
          <w:lang w:val="en-GB"/>
        </w:rPr>
        <w:t xml:space="preserve">Figure 1 shows the location of the assessment </w:t>
      </w:r>
      <w:r>
        <w:rPr>
          <w:lang w:val="en-GB"/>
        </w:rPr>
        <w:t>squares</w:t>
      </w:r>
      <w:r w:rsidRPr="00F747A1">
        <w:rPr>
          <w:lang w:val="en-GB"/>
        </w:rPr>
        <w:t xml:space="preserve"> as well as the location of the measurement points in the </w:t>
      </w:r>
      <w:r>
        <w:rPr>
          <w:lang w:val="en-GB"/>
        </w:rPr>
        <w:t>assessment</w:t>
      </w:r>
      <w:r w:rsidRPr="00F747A1">
        <w:rPr>
          <w:lang w:val="en-GB"/>
        </w:rPr>
        <w:t xml:space="preserve"> area</w:t>
      </w:r>
      <w:r>
        <w:rPr>
          <w:lang w:val="en-GB"/>
        </w:rPr>
        <w:t xml:space="preserve"> </w:t>
      </w:r>
      <w:r w:rsidRPr="00F747A1">
        <w:rPr>
          <w:lang w:val="en-GB"/>
        </w:rPr>
        <w:t>(anonymised).</w:t>
      </w:r>
    </w:p>
    <w:p w14:paraId="46B99A95" w14:textId="77777777" w:rsidR="00F86341" w:rsidRDefault="00F86341" w:rsidP="009708E0">
      <w:pPr>
        <w:pStyle w:val="CETCaption"/>
        <w:spacing w:before="0" w:after="0"/>
      </w:pPr>
      <w:r w:rsidRPr="00F747A1">
        <w:rPr>
          <w:noProof/>
        </w:rPr>
        <mc:AlternateContent>
          <mc:Choice Requires="wps">
            <w:drawing>
              <wp:anchor distT="45720" distB="45720" distL="114300" distR="114300" simplePos="0" relativeHeight="251659264" behindDoc="0" locked="0" layoutInCell="1" allowOverlap="1" wp14:anchorId="4EA7AF53" wp14:editId="2956DC62">
                <wp:simplePos x="0" y="0"/>
                <wp:positionH relativeFrom="column">
                  <wp:posOffset>2470785</wp:posOffset>
                </wp:positionH>
                <wp:positionV relativeFrom="paragraph">
                  <wp:posOffset>794385</wp:posOffset>
                </wp:positionV>
                <wp:extent cx="1353787" cy="356259"/>
                <wp:effectExtent l="0" t="0" r="18415" b="2476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787" cy="356259"/>
                        </a:xfrm>
                        <a:prstGeom prst="rect">
                          <a:avLst/>
                        </a:prstGeom>
                        <a:solidFill>
                          <a:srgbClr val="FFFFFF"/>
                        </a:solidFill>
                        <a:ln w="9525">
                          <a:solidFill>
                            <a:schemeClr val="bg1"/>
                          </a:solidFill>
                          <a:miter lim="800000"/>
                          <a:headEnd/>
                          <a:tailEnd/>
                        </a:ln>
                      </wps:spPr>
                      <wps:txbx>
                        <w:txbxContent>
                          <w:p w14:paraId="665EE0EE" w14:textId="77777777" w:rsidR="00F86341" w:rsidRPr="00125CA9" w:rsidRDefault="00F86341" w:rsidP="00F86341">
                            <w:pPr>
                              <w:jc w:val="left"/>
                              <w:rPr>
                                <w:lang w:val="de-DE"/>
                              </w:rPr>
                            </w:pPr>
                            <w:r w:rsidRPr="00125CA9">
                              <w:t>Emission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7AF53" id="_x0000_t202" coordsize="21600,21600" o:spt="202" path="m,l,21600r21600,l21600,xe">
                <v:stroke joinstyle="miter"/>
                <v:path gradientshapeok="t" o:connecttype="rect"/>
              </v:shapetype>
              <v:shape id="Textfeld 2" o:spid="_x0000_s1026" type="#_x0000_t202" style="position:absolute;left:0;text-align:left;margin-left:194.55pt;margin-top:62.55pt;width:106.6pt;height:28.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" strokecolor="white [3212]">
                <v:textbox>
                  <w:txbxContent>
                    <w:p w14:paraId="665EE0EE" w14:textId="77777777" w:rsidR="00F86341" w:rsidRPr="00125CA9" w:rsidRDefault="00F86341" w:rsidP="00F86341">
                      <w:pPr>
                        <w:jc w:val="left"/>
                        <w:rPr>
                          <w:lang w:val="de-DE"/>
                        </w:rPr>
                      </w:pPr>
                      <w:r w:rsidRPr="00125CA9">
                        <w:t>Emission Source</w:t>
                      </w:r>
                    </w:p>
                  </w:txbxContent>
                </v:textbox>
              </v:shape>
            </w:pict>
          </mc:Fallback>
        </mc:AlternateContent>
      </w:r>
      <w:r w:rsidRPr="00F747A1">
        <w:rPr>
          <w:noProof/>
        </w:rPr>
        <w:drawing>
          <wp:inline distT="0" distB="0" distL="0" distR="0" wp14:anchorId="55331580" wp14:editId="6C575E85">
            <wp:extent cx="4063680" cy="288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3680" cy="2880000"/>
                    </a:xfrm>
                    <a:prstGeom prst="rect">
                      <a:avLst/>
                    </a:prstGeom>
                  </pic:spPr>
                </pic:pic>
              </a:graphicData>
            </a:graphic>
          </wp:inline>
        </w:drawing>
      </w:r>
      <w:r w:rsidRPr="00F747A1">
        <w:t xml:space="preserve"> </w:t>
      </w:r>
    </w:p>
    <w:p w14:paraId="596C128E" w14:textId="77777777" w:rsidR="00F86341" w:rsidRPr="00F747A1" w:rsidRDefault="00F86341" w:rsidP="00F86341">
      <w:pPr>
        <w:pStyle w:val="CETCaption"/>
      </w:pPr>
      <w:r w:rsidRPr="00F747A1">
        <w:t xml:space="preserve">Figure 1: Location of the assessment </w:t>
      </w:r>
      <w:r>
        <w:t>squares</w:t>
      </w:r>
      <w:r w:rsidRPr="00F747A1">
        <w:t xml:space="preserve"> and measurement points in the </w:t>
      </w:r>
      <w:r>
        <w:t>assessment</w:t>
      </w:r>
      <w:r w:rsidRPr="00F747A1">
        <w:t xml:space="preserve"> area [simplified representation through anonymisation].</w:t>
      </w:r>
    </w:p>
    <w:p w14:paraId="761FB429" w14:textId="77777777" w:rsidR="00F86341" w:rsidRPr="00F747A1" w:rsidRDefault="00F86341" w:rsidP="00F86341">
      <w:pPr>
        <w:pStyle w:val="CETBodytext"/>
        <w:rPr>
          <w:lang w:val="en-GB"/>
        </w:rPr>
      </w:pPr>
      <w:r w:rsidRPr="00F747A1">
        <w:rPr>
          <w:lang w:val="en-GB"/>
        </w:rPr>
        <w:t xml:space="preserve">The statistical distribution of the individual years is shown in the following table. In agreement with the client, cancelled </w:t>
      </w:r>
      <w:r>
        <w:rPr>
          <w:lang w:val="en-GB"/>
        </w:rPr>
        <w:t>single measurements</w:t>
      </w:r>
      <w:r w:rsidRPr="00F747A1">
        <w:rPr>
          <w:lang w:val="en-GB"/>
        </w:rPr>
        <w:t xml:space="preserve"> have not been caught up on a different day.</w:t>
      </w:r>
    </w:p>
    <w:p w14:paraId="3B009931" w14:textId="77777777" w:rsidR="00F86341" w:rsidRPr="00F747A1" w:rsidRDefault="00F86341" w:rsidP="00F86341">
      <w:pPr>
        <w:pStyle w:val="CETTabletitle"/>
      </w:pPr>
      <w:r w:rsidRPr="00F747A1">
        <w:t xml:space="preserve">Table 1: Statistical distribution of </w:t>
      </w:r>
      <w:r>
        <w:t xml:space="preserve">the </w:t>
      </w:r>
      <w:r w:rsidRPr="00F747A1">
        <w:t>assessment</w:t>
      </w:r>
      <w:r>
        <w:t>s</w:t>
      </w:r>
      <w:r w:rsidRPr="00F747A1">
        <w:t xml:space="preserve"> during the assessment period (2018-2020).</w:t>
      </w:r>
    </w:p>
    <w:tbl>
      <w:tblPr>
        <w:tblStyle w:val="Gitternetztabelle1hellAkzent6"/>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9"/>
        <w:gridCol w:w="2289"/>
        <w:gridCol w:w="2289"/>
        <w:gridCol w:w="2289"/>
      </w:tblGrid>
      <w:tr w:rsidR="00F86341" w:rsidRPr="00F86341" w14:paraId="52437A94" w14:textId="77777777" w:rsidTr="00580E75">
        <w:trPr>
          <w:cnfStyle w:val="100000000000" w:firstRow="1" w:lastRow="0" w:firstColumn="0" w:lastColumn="0" w:oddVBand="0" w:evenVBand="0" w:oddHBand="0"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2289" w:type="dxa"/>
            <w:tcBorders>
              <w:top w:val="single" w:sz="12" w:space="0" w:color="92D050"/>
              <w:bottom w:val="single" w:sz="4" w:space="0" w:color="92D050"/>
            </w:tcBorders>
          </w:tcPr>
          <w:p w14:paraId="2101C538" w14:textId="77777777" w:rsidR="00F86341" w:rsidRPr="00F86341" w:rsidRDefault="00F86341" w:rsidP="00F86341">
            <w:pPr>
              <w:pStyle w:val="CETBodytext"/>
              <w:rPr>
                <w:b w:val="0"/>
                <w:bCs w:val="0"/>
                <w:lang w:val="en-GB"/>
              </w:rPr>
            </w:pPr>
            <w:r w:rsidRPr="00F86341">
              <w:rPr>
                <w:b w:val="0"/>
                <w:bCs w:val="0"/>
                <w:lang w:val="en-GB"/>
              </w:rPr>
              <w:t>Year</w:t>
            </w:r>
          </w:p>
        </w:tc>
        <w:tc>
          <w:tcPr>
            <w:tcW w:w="2289" w:type="dxa"/>
            <w:tcBorders>
              <w:top w:val="single" w:sz="12" w:space="0" w:color="92D050"/>
              <w:bottom w:val="single" w:sz="4" w:space="0" w:color="92D050"/>
            </w:tcBorders>
          </w:tcPr>
          <w:p w14:paraId="5BF7B5B5" w14:textId="77777777" w:rsidR="00F86341" w:rsidRPr="00F86341" w:rsidRDefault="00F86341" w:rsidP="00882942">
            <w:pPr>
              <w:pStyle w:val="CET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F86341">
              <w:rPr>
                <w:b w:val="0"/>
                <w:bCs w:val="0"/>
                <w:lang w:val="en-GB"/>
              </w:rPr>
              <w:t>Number of panel members</w:t>
            </w:r>
          </w:p>
        </w:tc>
        <w:tc>
          <w:tcPr>
            <w:tcW w:w="2289" w:type="dxa"/>
            <w:tcBorders>
              <w:top w:val="single" w:sz="12" w:space="0" w:color="92D050"/>
              <w:bottom w:val="single" w:sz="4" w:space="0" w:color="92D050"/>
            </w:tcBorders>
          </w:tcPr>
          <w:p w14:paraId="4902BBB7" w14:textId="77777777" w:rsidR="00F86341" w:rsidRPr="00580E75" w:rsidRDefault="00F86341" w:rsidP="00F86341">
            <w:pPr>
              <w:pStyle w:val="CETBodytext"/>
              <w:cnfStyle w:val="100000000000" w:firstRow="1" w:lastRow="0" w:firstColumn="0" w:lastColumn="0" w:oddVBand="0" w:evenVBand="0" w:oddHBand="0" w:evenHBand="0" w:firstRowFirstColumn="0" w:firstRowLastColumn="0" w:lastRowFirstColumn="0" w:lastRowLastColumn="0"/>
              <w:rPr>
                <w:b w:val="0"/>
                <w:bCs w:val="0"/>
                <w:lang w:val="en-GB"/>
              </w:rPr>
            </w:pPr>
            <w:r w:rsidRPr="00580E75">
              <w:rPr>
                <w:b w:val="0"/>
                <w:bCs w:val="0"/>
                <w:lang w:val="en-GB"/>
              </w:rPr>
              <w:t>Number of assessments</w:t>
            </w:r>
          </w:p>
        </w:tc>
        <w:tc>
          <w:tcPr>
            <w:tcW w:w="2289" w:type="dxa"/>
            <w:tcBorders>
              <w:top w:val="single" w:sz="12" w:space="0" w:color="92D050"/>
              <w:bottom w:val="single" w:sz="4" w:space="0" w:color="92D050"/>
            </w:tcBorders>
          </w:tcPr>
          <w:p w14:paraId="08E848F4" w14:textId="77777777" w:rsidR="00F86341" w:rsidRPr="00580E75" w:rsidRDefault="00F86341" w:rsidP="00882942">
            <w:pPr>
              <w:pStyle w:val="CETBodytext"/>
              <w:jc w:val="left"/>
              <w:cnfStyle w:val="100000000000" w:firstRow="1" w:lastRow="0" w:firstColumn="0" w:lastColumn="0" w:oddVBand="0" w:evenVBand="0" w:oddHBand="0" w:evenHBand="0" w:firstRowFirstColumn="0" w:firstRowLastColumn="0" w:lastRowFirstColumn="0" w:lastRowLastColumn="0"/>
              <w:rPr>
                <w:b w:val="0"/>
                <w:bCs w:val="0"/>
                <w:lang w:val="en-GB"/>
              </w:rPr>
            </w:pPr>
            <w:r w:rsidRPr="00580E75">
              <w:rPr>
                <w:b w:val="0"/>
                <w:bCs w:val="0"/>
                <w:lang w:val="en-GB"/>
              </w:rPr>
              <w:t>Number of cancelled assessments</w:t>
            </w:r>
          </w:p>
        </w:tc>
      </w:tr>
      <w:tr w:rsidR="00F86341" w:rsidRPr="00F86341" w14:paraId="3C1BFE05" w14:textId="77777777" w:rsidTr="00580E75">
        <w:trPr>
          <w:trHeight w:val="365"/>
        </w:trPr>
        <w:tc>
          <w:tcPr>
            <w:cnfStyle w:val="001000000000" w:firstRow="0" w:lastRow="0" w:firstColumn="1" w:lastColumn="0" w:oddVBand="0" w:evenVBand="0" w:oddHBand="0" w:evenHBand="0" w:firstRowFirstColumn="0" w:firstRowLastColumn="0" w:lastRowFirstColumn="0" w:lastRowLastColumn="0"/>
            <w:tcW w:w="2289" w:type="dxa"/>
            <w:tcBorders>
              <w:top w:val="single" w:sz="4" w:space="0" w:color="92D050"/>
              <w:bottom w:val="single" w:sz="4" w:space="0" w:color="92D050"/>
            </w:tcBorders>
          </w:tcPr>
          <w:p w14:paraId="01C2539D" w14:textId="77777777" w:rsidR="00F86341" w:rsidRPr="00F86341" w:rsidRDefault="00F86341" w:rsidP="00F86341">
            <w:pPr>
              <w:pStyle w:val="CETBodytext"/>
              <w:rPr>
                <w:b w:val="0"/>
                <w:bCs w:val="0"/>
                <w:lang w:val="en-GB"/>
              </w:rPr>
            </w:pPr>
            <w:r w:rsidRPr="00F86341">
              <w:rPr>
                <w:b w:val="0"/>
                <w:bCs w:val="0"/>
                <w:lang w:val="en-GB"/>
              </w:rPr>
              <w:t>2018</w:t>
            </w:r>
          </w:p>
        </w:tc>
        <w:tc>
          <w:tcPr>
            <w:tcW w:w="2289" w:type="dxa"/>
            <w:tcBorders>
              <w:top w:val="single" w:sz="4" w:space="0" w:color="92D050"/>
              <w:bottom w:val="single" w:sz="4" w:space="0" w:color="92D050"/>
            </w:tcBorders>
          </w:tcPr>
          <w:p w14:paraId="170E6B54"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22</w:t>
            </w:r>
          </w:p>
        </w:tc>
        <w:tc>
          <w:tcPr>
            <w:tcW w:w="2289" w:type="dxa"/>
            <w:tcBorders>
              <w:top w:val="single" w:sz="4" w:space="0" w:color="92D050"/>
              <w:bottom w:val="single" w:sz="4" w:space="0" w:color="92D050"/>
            </w:tcBorders>
          </w:tcPr>
          <w:p w14:paraId="1F383F53"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365</w:t>
            </w:r>
          </w:p>
        </w:tc>
        <w:tc>
          <w:tcPr>
            <w:tcW w:w="2289" w:type="dxa"/>
            <w:tcBorders>
              <w:top w:val="single" w:sz="4" w:space="0" w:color="92D050"/>
              <w:bottom w:val="single" w:sz="4" w:space="0" w:color="92D050"/>
            </w:tcBorders>
          </w:tcPr>
          <w:p w14:paraId="4BE21A69"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w:t>
            </w:r>
          </w:p>
        </w:tc>
      </w:tr>
      <w:tr w:rsidR="00F86341" w:rsidRPr="00F86341" w14:paraId="6553A6BE" w14:textId="77777777" w:rsidTr="00580E75">
        <w:trPr>
          <w:trHeight w:val="354"/>
        </w:trPr>
        <w:tc>
          <w:tcPr>
            <w:cnfStyle w:val="001000000000" w:firstRow="0" w:lastRow="0" w:firstColumn="1" w:lastColumn="0" w:oddVBand="0" w:evenVBand="0" w:oddHBand="0" w:evenHBand="0" w:firstRowFirstColumn="0" w:firstRowLastColumn="0" w:lastRowFirstColumn="0" w:lastRowLastColumn="0"/>
            <w:tcW w:w="2289" w:type="dxa"/>
            <w:tcBorders>
              <w:top w:val="single" w:sz="4" w:space="0" w:color="92D050"/>
              <w:bottom w:val="single" w:sz="4" w:space="0" w:color="92D050"/>
            </w:tcBorders>
          </w:tcPr>
          <w:p w14:paraId="18ECD16C" w14:textId="77777777" w:rsidR="00F86341" w:rsidRPr="00F86341" w:rsidRDefault="00F86341" w:rsidP="00F86341">
            <w:pPr>
              <w:pStyle w:val="CETBodytext"/>
              <w:rPr>
                <w:b w:val="0"/>
                <w:bCs w:val="0"/>
                <w:lang w:val="en-GB"/>
              </w:rPr>
            </w:pPr>
            <w:r w:rsidRPr="00F86341">
              <w:rPr>
                <w:b w:val="0"/>
                <w:bCs w:val="0"/>
                <w:lang w:val="en-GB"/>
              </w:rPr>
              <w:t>2019</w:t>
            </w:r>
          </w:p>
        </w:tc>
        <w:tc>
          <w:tcPr>
            <w:tcW w:w="2289" w:type="dxa"/>
            <w:tcBorders>
              <w:top w:val="single" w:sz="4" w:space="0" w:color="92D050"/>
              <w:bottom w:val="single" w:sz="4" w:space="0" w:color="92D050"/>
            </w:tcBorders>
          </w:tcPr>
          <w:p w14:paraId="502ADA46"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19</w:t>
            </w:r>
          </w:p>
        </w:tc>
        <w:tc>
          <w:tcPr>
            <w:tcW w:w="2289" w:type="dxa"/>
            <w:tcBorders>
              <w:top w:val="single" w:sz="4" w:space="0" w:color="92D050"/>
              <w:bottom w:val="single" w:sz="4" w:space="0" w:color="92D050"/>
            </w:tcBorders>
          </w:tcPr>
          <w:p w14:paraId="1704988F"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362</w:t>
            </w:r>
          </w:p>
        </w:tc>
        <w:tc>
          <w:tcPr>
            <w:tcW w:w="2289" w:type="dxa"/>
            <w:tcBorders>
              <w:top w:val="single" w:sz="4" w:space="0" w:color="92D050"/>
              <w:bottom w:val="single" w:sz="4" w:space="0" w:color="92D050"/>
            </w:tcBorders>
          </w:tcPr>
          <w:p w14:paraId="265D535C"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3</w:t>
            </w:r>
          </w:p>
        </w:tc>
      </w:tr>
      <w:tr w:rsidR="00F86341" w:rsidRPr="00F86341" w14:paraId="23A98762" w14:textId="77777777" w:rsidTr="00580E75">
        <w:trPr>
          <w:trHeight w:val="365"/>
        </w:trPr>
        <w:tc>
          <w:tcPr>
            <w:cnfStyle w:val="001000000000" w:firstRow="0" w:lastRow="0" w:firstColumn="1" w:lastColumn="0" w:oddVBand="0" w:evenVBand="0" w:oddHBand="0" w:evenHBand="0" w:firstRowFirstColumn="0" w:firstRowLastColumn="0" w:lastRowFirstColumn="0" w:lastRowLastColumn="0"/>
            <w:tcW w:w="2289" w:type="dxa"/>
            <w:tcBorders>
              <w:top w:val="single" w:sz="4" w:space="0" w:color="92D050"/>
              <w:bottom w:val="single" w:sz="12" w:space="0" w:color="92D050"/>
            </w:tcBorders>
          </w:tcPr>
          <w:p w14:paraId="5530BB50" w14:textId="77777777" w:rsidR="00F86341" w:rsidRPr="00F86341" w:rsidRDefault="00F86341" w:rsidP="00F86341">
            <w:pPr>
              <w:pStyle w:val="CETBodytext"/>
              <w:rPr>
                <w:b w:val="0"/>
                <w:bCs w:val="0"/>
                <w:lang w:val="en-GB"/>
              </w:rPr>
            </w:pPr>
            <w:r w:rsidRPr="00F86341">
              <w:rPr>
                <w:b w:val="0"/>
                <w:bCs w:val="0"/>
                <w:lang w:val="en-GB"/>
              </w:rPr>
              <w:t>2020</w:t>
            </w:r>
          </w:p>
        </w:tc>
        <w:tc>
          <w:tcPr>
            <w:tcW w:w="2289" w:type="dxa"/>
            <w:tcBorders>
              <w:top w:val="single" w:sz="4" w:space="0" w:color="92D050"/>
              <w:bottom w:val="single" w:sz="12" w:space="0" w:color="92D050"/>
            </w:tcBorders>
          </w:tcPr>
          <w:p w14:paraId="498EC24E"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15</w:t>
            </w:r>
          </w:p>
        </w:tc>
        <w:tc>
          <w:tcPr>
            <w:tcW w:w="2289" w:type="dxa"/>
            <w:tcBorders>
              <w:top w:val="single" w:sz="4" w:space="0" w:color="92D050"/>
              <w:bottom w:val="single" w:sz="12" w:space="0" w:color="92D050"/>
            </w:tcBorders>
          </w:tcPr>
          <w:p w14:paraId="04C106CD"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362</w:t>
            </w:r>
          </w:p>
        </w:tc>
        <w:tc>
          <w:tcPr>
            <w:tcW w:w="2289" w:type="dxa"/>
            <w:tcBorders>
              <w:top w:val="single" w:sz="4" w:space="0" w:color="92D050"/>
              <w:bottom w:val="single" w:sz="12" w:space="0" w:color="92D050"/>
            </w:tcBorders>
          </w:tcPr>
          <w:p w14:paraId="7C2E9F7D" w14:textId="77777777" w:rsidR="00F86341" w:rsidRPr="003B1FE1" w:rsidRDefault="00F86341" w:rsidP="00F86341">
            <w:pPr>
              <w:pStyle w:val="CETBodytext"/>
              <w:cnfStyle w:val="000000000000" w:firstRow="0" w:lastRow="0" w:firstColumn="0" w:lastColumn="0" w:oddVBand="0" w:evenVBand="0" w:oddHBand="0" w:evenHBand="0" w:firstRowFirstColumn="0" w:firstRowLastColumn="0" w:lastRowFirstColumn="0" w:lastRowLastColumn="0"/>
              <w:rPr>
                <w:lang w:val="en-GB"/>
              </w:rPr>
            </w:pPr>
            <w:r w:rsidRPr="003B1FE1">
              <w:rPr>
                <w:lang w:val="en-GB"/>
              </w:rPr>
              <w:t>3</w:t>
            </w:r>
          </w:p>
        </w:tc>
      </w:tr>
    </w:tbl>
    <w:p w14:paraId="39BB6F94" w14:textId="77777777" w:rsidR="00F86341" w:rsidRPr="00F747A1" w:rsidRDefault="00F86341" w:rsidP="00F86341">
      <w:pPr>
        <w:pStyle w:val="CETBodytext"/>
        <w:rPr>
          <w:lang w:val="en-GB"/>
        </w:rPr>
      </w:pPr>
    </w:p>
    <w:p w14:paraId="66B44459" w14:textId="77777777" w:rsidR="00F86341" w:rsidRPr="00F747A1" w:rsidRDefault="00F86341" w:rsidP="00F86341">
      <w:pPr>
        <w:pStyle w:val="CETBodytext"/>
        <w:rPr>
          <w:lang w:val="en-GB"/>
        </w:rPr>
      </w:pPr>
      <w:r w:rsidRPr="00F747A1">
        <w:rPr>
          <w:lang w:val="en-GB"/>
        </w:rPr>
        <w:t xml:space="preserve">The results of the daily field </w:t>
      </w:r>
      <w:r>
        <w:rPr>
          <w:lang w:val="en-GB"/>
        </w:rPr>
        <w:t>surveys</w:t>
      </w:r>
      <w:r w:rsidRPr="00F747A1">
        <w:rPr>
          <w:lang w:val="en-GB"/>
        </w:rPr>
        <w:t xml:space="preserve"> were divided into three equally distributed samples for the observation of the reliability of information. The statistical </w:t>
      </w:r>
      <w:r>
        <w:rPr>
          <w:lang w:val="en-GB"/>
        </w:rPr>
        <w:t xml:space="preserve">requirements for the distribution of </w:t>
      </w:r>
      <w:r w:rsidRPr="00F747A1">
        <w:rPr>
          <w:lang w:val="en-GB"/>
        </w:rPr>
        <w:t xml:space="preserve">weekdays and times </w:t>
      </w:r>
      <w:r>
        <w:rPr>
          <w:lang w:val="en-GB"/>
        </w:rPr>
        <w:t xml:space="preserve">of the day are met for the reference as well as for each of </w:t>
      </w:r>
      <w:r w:rsidRPr="00F747A1">
        <w:rPr>
          <w:lang w:val="en-GB"/>
        </w:rPr>
        <w:t xml:space="preserve">the three </w:t>
      </w:r>
      <w:r>
        <w:rPr>
          <w:lang w:val="en-GB"/>
        </w:rPr>
        <w:t>extracted</w:t>
      </w:r>
      <w:r w:rsidRPr="00F747A1">
        <w:rPr>
          <w:lang w:val="en-GB"/>
        </w:rPr>
        <w:t xml:space="preserve"> </w:t>
      </w:r>
      <w:r>
        <w:rPr>
          <w:lang w:val="en-GB"/>
        </w:rPr>
        <w:t>samples</w:t>
      </w:r>
      <w:r w:rsidRPr="00F747A1">
        <w:rPr>
          <w:lang w:val="en-GB"/>
        </w:rPr>
        <w:t>.</w:t>
      </w:r>
    </w:p>
    <w:p w14:paraId="2CAF0464" w14:textId="77777777" w:rsidR="00F86341" w:rsidRPr="00F747A1" w:rsidRDefault="00F86341" w:rsidP="00F86341">
      <w:pPr>
        <w:pStyle w:val="CETBodytext"/>
        <w:rPr>
          <w:lang w:val="en-GB"/>
        </w:rPr>
      </w:pPr>
    </w:p>
    <w:p w14:paraId="5148460C" w14:textId="77777777" w:rsidR="00F86341" w:rsidRPr="00F747A1" w:rsidRDefault="00F86341" w:rsidP="00FA519F">
      <w:pPr>
        <w:pStyle w:val="CETHeading1"/>
        <w:rPr>
          <w:lang w:val="en-GB"/>
        </w:rPr>
      </w:pPr>
      <w:r w:rsidRPr="00D46EE0">
        <w:rPr>
          <w:lang w:val="en-GB"/>
        </w:rPr>
        <w:lastRenderedPageBreak/>
        <w:t xml:space="preserve">2. </w:t>
      </w:r>
      <w:r w:rsidRPr="00F943EC">
        <w:rPr>
          <w:lang w:val="en-GB"/>
        </w:rPr>
        <w:t>Investigation</w:t>
      </w:r>
      <w:r w:rsidRPr="002C0E2A">
        <w:rPr>
          <w:lang w:val="en-GB"/>
        </w:rPr>
        <w:t xml:space="preserve"> </w:t>
      </w:r>
      <w:r w:rsidRPr="00047228">
        <w:rPr>
          <w:lang w:val="en-GB"/>
        </w:rPr>
        <w:t xml:space="preserve">of the results with regard to the reliability of three samples within one </w:t>
      </w:r>
      <w:r w:rsidRPr="002C0E2A">
        <w:rPr>
          <w:lang w:val="en-GB"/>
        </w:rPr>
        <w:t>year in</w:t>
      </w:r>
      <w:r w:rsidRPr="00245DBD">
        <w:rPr>
          <w:lang w:val="en-GB"/>
        </w:rPr>
        <w:t xml:space="preserve"> comparison to the reference </w:t>
      </w:r>
    </w:p>
    <w:p w14:paraId="5CB40C68" w14:textId="77777777" w:rsidR="00F86341" w:rsidRPr="00F747A1" w:rsidRDefault="00F86341" w:rsidP="00F86341">
      <w:pPr>
        <w:pStyle w:val="CETBodytext"/>
        <w:rPr>
          <w:lang w:val="en-GB"/>
        </w:rPr>
      </w:pPr>
      <w:r w:rsidRPr="00F747A1">
        <w:rPr>
          <w:lang w:val="en-GB"/>
        </w:rPr>
        <w:t>The evaluation of the results was carried out over a period of three years (2018-2020)</w:t>
      </w:r>
      <w:r w:rsidRPr="00D71F75">
        <w:rPr>
          <w:lang w:val="en-GB"/>
        </w:rPr>
        <w:t xml:space="preserve">. The relative </w:t>
      </w:r>
      <w:r>
        <w:rPr>
          <w:lang w:val="en-GB"/>
        </w:rPr>
        <w:t xml:space="preserve">odour </w:t>
      </w:r>
      <w:r w:rsidRPr="002043EA">
        <w:rPr>
          <w:lang w:val="en-GB"/>
        </w:rPr>
        <w:t xml:space="preserve">frequencies on </w:t>
      </w:r>
      <w:r>
        <w:rPr>
          <w:lang w:val="en-GB"/>
        </w:rPr>
        <w:t xml:space="preserve">the assessment squares </w:t>
      </w:r>
      <w:r w:rsidRPr="002043EA">
        <w:rPr>
          <w:lang w:val="en-GB"/>
        </w:rPr>
        <w:t xml:space="preserve">were </w:t>
      </w:r>
      <w:r>
        <w:rPr>
          <w:lang w:val="en-GB"/>
        </w:rPr>
        <w:t>calculated out of the measurement results</w:t>
      </w:r>
      <w:r w:rsidRPr="002043EA">
        <w:rPr>
          <w:lang w:val="en-GB"/>
        </w:rPr>
        <w:t xml:space="preserve">. The </w:t>
      </w:r>
      <w:r>
        <w:rPr>
          <w:lang w:val="en-GB"/>
        </w:rPr>
        <w:t xml:space="preserve">odour </w:t>
      </w:r>
      <w:r w:rsidRPr="002043EA">
        <w:rPr>
          <w:lang w:val="en-GB"/>
        </w:rPr>
        <w:t xml:space="preserve">frequencies of each of the three samples per year were compared </w:t>
      </w:r>
      <w:r>
        <w:rPr>
          <w:lang w:val="en-GB"/>
        </w:rPr>
        <w:t xml:space="preserve">with </w:t>
      </w:r>
      <w:r w:rsidRPr="002043EA">
        <w:rPr>
          <w:lang w:val="en-GB"/>
        </w:rPr>
        <w:t xml:space="preserve">the </w:t>
      </w:r>
      <w:r>
        <w:rPr>
          <w:lang w:val="en-GB"/>
        </w:rPr>
        <w:t xml:space="preserve">odour </w:t>
      </w:r>
      <w:r w:rsidRPr="002043EA">
        <w:rPr>
          <w:lang w:val="en-GB"/>
        </w:rPr>
        <w:t>frequencies of the reference. Subsequently, the results including the measurement uncertainty of the survey</w:t>
      </w:r>
      <w:r>
        <w:rPr>
          <w:lang w:val="en-GB"/>
        </w:rPr>
        <w:t xml:space="preserve"> were considered. The measurement uncertainty is evaluated by determining the upper limit – odour hours arising from single measurements with more than 2 positive observations - and the lower limit - odour hours arising from single measurements with more than 8 positive observations.</w:t>
      </w:r>
    </w:p>
    <w:p w14:paraId="024CC7A7" w14:textId="77777777" w:rsidR="00F86341" w:rsidRPr="002C0E2A" w:rsidRDefault="00F86341" w:rsidP="00F86341">
      <w:pPr>
        <w:pStyle w:val="CETBodytext"/>
        <w:rPr>
          <w:lang w:val="en-GB"/>
        </w:rPr>
      </w:pPr>
      <w:r w:rsidRPr="002C0E2A">
        <w:rPr>
          <w:lang w:val="en-GB"/>
        </w:rPr>
        <w:t xml:space="preserve">The evaluation of the results was carried out according to the specifications of the Guideline on Odour in Ambient Air (GOAA) which was valid at the time of evaluation. </w:t>
      </w:r>
      <w:r w:rsidRPr="00DA541D">
        <w:rPr>
          <w:lang w:val="en-GB"/>
        </w:rPr>
        <w:t xml:space="preserve">The </w:t>
      </w:r>
      <w:r w:rsidRPr="002C0E2A">
        <w:rPr>
          <w:lang w:val="en-GB"/>
        </w:rPr>
        <w:t>frequenc</w:t>
      </w:r>
      <w:r w:rsidRPr="00CE1FD8">
        <w:rPr>
          <w:lang w:val="en-GB"/>
        </w:rPr>
        <w:t>y</w:t>
      </w:r>
      <w:r w:rsidRPr="002C0E2A">
        <w:rPr>
          <w:lang w:val="en-GB"/>
        </w:rPr>
        <w:t xml:space="preserve"> </w:t>
      </w:r>
      <w:r w:rsidRPr="00CE1FD8">
        <w:rPr>
          <w:lang w:val="en-GB"/>
        </w:rPr>
        <w:t xml:space="preserve">of odour hours </w:t>
      </w:r>
      <w:r w:rsidRPr="002C0E2A">
        <w:rPr>
          <w:lang w:val="en-GB"/>
        </w:rPr>
        <w:t xml:space="preserve">on </w:t>
      </w:r>
      <w:r w:rsidRPr="00CE1FD8">
        <w:rPr>
          <w:lang w:val="en-GB"/>
        </w:rPr>
        <w:t xml:space="preserve">each </w:t>
      </w:r>
      <w:r w:rsidRPr="002C0E2A">
        <w:rPr>
          <w:lang w:val="en-GB"/>
        </w:rPr>
        <w:t xml:space="preserve">assessment </w:t>
      </w:r>
      <w:r w:rsidRPr="00CE1FD8">
        <w:rPr>
          <w:lang w:val="en-GB"/>
        </w:rPr>
        <w:t xml:space="preserve">square is </w:t>
      </w:r>
      <w:r w:rsidRPr="002C0E2A">
        <w:rPr>
          <w:lang w:val="en-GB"/>
        </w:rPr>
        <w:t xml:space="preserve">compared with the odour impact values that has to be applied there. For the project considered in this manuscript, </w:t>
      </w:r>
      <w:r w:rsidRPr="00CD4252">
        <w:rPr>
          <w:lang w:val="en-GB"/>
        </w:rPr>
        <w:t xml:space="preserve">the </w:t>
      </w:r>
      <w:r w:rsidRPr="00CC6067">
        <w:rPr>
          <w:lang w:val="en-GB"/>
        </w:rPr>
        <w:t xml:space="preserve">impact </w:t>
      </w:r>
      <w:r w:rsidRPr="002C0E2A">
        <w:rPr>
          <w:lang w:val="en-GB"/>
        </w:rPr>
        <w:t xml:space="preserve">value refers to 10% of the annual hours, </w:t>
      </w:r>
      <w:r w:rsidRPr="00CE1FD8">
        <w:rPr>
          <w:lang w:val="en-GB"/>
        </w:rPr>
        <w:t xml:space="preserve">with </w:t>
      </w:r>
      <w:r w:rsidRPr="002D0DFA">
        <w:rPr>
          <w:lang w:val="en-GB"/>
        </w:rPr>
        <w:t>o</w:t>
      </w:r>
      <w:r w:rsidRPr="002C0E2A">
        <w:rPr>
          <w:lang w:val="en-GB"/>
        </w:rPr>
        <w:t>dour hour frequencies of more than 10% represent</w:t>
      </w:r>
      <w:r w:rsidRPr="00CE1FD8">
        <w:rPr>
          <w:lang w:val="en-GB"/>
        </w:rPr>
        <w:t>ing</w:t>
      </w:r>
      <w:r w:rsidRPr="002C0E2A">
        <w:rPr>
          <w:lang w:val="en-GB"/>
        </w:rPr>
        <w:t xml:space="preserve"> an exceedance of the odour impact value [3]. </w:t>
      </w:r>
    </w:p>
    <w:p w14:paraId="56940B49" w14:textId="4CC3D498" w:rsidR="00F86341" w:rsidRPr="002C0E2A" w:rsidRDefault="00F86341" w:rsidP="00F86341">
      <w:pPr>
        <w:pStyle w:val="CETBodytext"/>
        <w:rPr>
          <w:lang w:val="en-GB"/>
        </w:rPr>
      </w:pPr>
      <w:r w:rsidRPr="002C0E2A">
        <w:rPr>
          <w:lang w:val="en-GB"/>
        </w:rPr>
        <w:t xml:space="preserve">The calculation of the uncertainty is carried out according to DIN EN 16841-1 [1] on the basis of the variation of </w:t>
      </w:r>
      <w:r w:rsidRPr="00CE1FD8">
        <w:rPr>
          <w:lang w:val="en-GB"/>
        </w:rPr>
        <w:t xml:space="preserve">percentage odour time. </w:t>
      </w:r>
      <w:r w:rsidRPr="002C0E2A">
        <w:rPr>
          <w:lang w:val="en-GB"/>
        </w:rPr>
        <w:t>By definition, the odour hour criterion is fulfilled if the odour time reaches or exceeds 10</w:t>
      </w:r>
      <w:r w:rsidR="008A37C3">
        <w:rPr>
          <w:lang w:val="en-GB"/>
        </w:rPr>
        <w:t> </w:t>
      </w:r>
      <w:r w:rsidRPr="002C0E2A">
        <w:rPr>
          <w:lang w:val="en-GB"/>
        </w:rPr>
        <w:t>% (6</w:t>
      </w:r>
      <w:r w:rsidRPr="00CE1FD8">
        <w:rPr>
          <w:lang w:val="en-GB"/>
        </w:rPr>
        <w:t> </w:t>
      </w:r>
      <w:r w:rsidRPr="002C0E2A">
        <w:rPr>
          <w:lang w:val="en-GB"/>
        </w:rPr>
        <w:t xml:space="preserve">positive </w:t>
      </w:r>
      <w:r w:rsidRPr="00CE1FD8">
        <w:rPr>
          <w:lang w:val="en-GB"/>
        </w:rPr>
        <w:t>observations</w:t>
      </w:r>
      <w:r w:rsidRPr="002C0E2A">
        <w:rPr>
          <w:lang w:val="en-GB"/>
        </w:rPr>
        <w:t xml:space="preserve"> or more out of 60 with plant-related odour). The same calculation is made using different </w:t>
      </w:r>
      <w:r w:rsidRPr="00CE1FD8">
        <w:rPr>
          <w:lang w:val="en-GB"/>
        </w:rPr>
        <w:t xml:space="preserve">percentage odour times </w:t>
      </w:r>
      <w:r w:rsidRPr="002C0E2A">
        <w:rPr>
          <w:lang w:val="en-GB"/>
        </w:rPr>
        <w:t xml:space="preserve">to determine the upper and lower limits for the number of odour hours. For the determination of the upper limit, all </w:t>
      </w:r>
      <w:r w:rsidRPr="00CE1FD8">
        <w:rPr>
          <w:lang w:val="en-GB"/>
        </w:rPr>
        <w:t xml:space="preserve">single </w:t>
      </w:r>
      <w:r w:rsidRPr="002C0E2A">
        <w:rPr>
          <w:lang w:val="en-GB"/>
        </w:rPr>
        <w:t xml:space="preserve">measurements with more than two positive odour samples (counting threshold 3 corresponding to 5 % </w:t>
      </w:r>
      <w:r w:rsidRPr="00CE1FD8">
        <w:rPr>
          <w:lang w:val="en-GB"/>
        </w:rPr>
        <w:t>positive observations</w:t>
      </w:r>
      <w:r w:rsidRPr="002C0E2A">
        <w:rPr>
          <w:lang w:val="en-GB"/>
        </w:rPr>
        <w:t xml:space="preserve">) are used, for the determination of the lower limit, all </w:t>
      </w:r>
      <w:r w:rsidRPr="00CE1FD8">
        <w:rPr>
          <w:lang w:val="en-GB"/>
        </w:rPr>
        <w:t xml:space="preserve">single </w:t>
      </w:r>
      <w:r w:rsidRPr="002C0E2A">
        <w:rPr>
          <w:lang w:val="en-GB"/>
        </w:rPr>
        <w:t xml:space="preserve">measurements with more than eight positive </w:t>
      </w:r>
      <w:r w:rsidRPr="00CE1FD8">
        <w:rPr>
          <w:lang w:val="en-GB"/>
        </w:rPr>
        <w:t xml:space="preserve">observations </w:t>
      </w:r>
      <w:r w:rsidRPr="002C0E2A">
        <w:rPr>
          <w:lang w:val="en-GB"/>
        </w:rPr>
        <w:t>(counting threshold 9 corresponding to 15</w:t>
      </w:r>
      <w:r w:rsidR="008A37C3">
        <w:rPr>
          <w:lang w:val="en-GB"/>
        </w:rPr>
        <w:t> </w:t>
      </w:r>
      <w:r w:rsidRPr="002C0E2A">
        <w:rPr>
          <w:lang w:val="en-GB"/>
        </w:rPr>
        <w:t xml:space="preserve">% </w:t>
      </w:r>
      <w:r w:rsidRPr="00CE1FD8">
        <w:rPr>
          <w:lang w:val="en-GB"/>
        </w:rPr>
        <w:t>positive observations</w:t>
      </w:r>
      <w:r w:rsidRPr="002C0E2A">
        <w:rPr>
          <w:lang w:val="en-GB"/>
        </w:rPr>
        <w:t xml:space="preserve">) are used. The </w:t>
      </w:r>
      <w:r w:rsidRPr="00CE1FD8">
        <w:rPr>
          <w:lang w:val="en-GB"/>
        </w:rPr>
        <w:t xml:space="preserve">greater the difference between </w:t>
      </w:r>
      <w:r w:rsidRPr="002C0E2A">
        <w:rPr>
          <w:lang w:val="en-GB"/>
        </w:rPr>
        <w:t xml:space="preserve">the measurement result </w:t>
      </w:r>
      <w:r w:rsidRPr="00CE1FD8">
        <w:rPr>
          <w:lang w:val="en-GB"/>
        </w:rPr>
        <w:t xml:space="preserve">and </w:t>
      </w:r>
      <w:r w:rsidRPr="002C0E2A">
        <w:rPr>
          <w:lang w:val="en-GB"/>
        </w:rPr>
        <w:t xml:space="preserve">the odour hour criterion, the lower the probability of an error in the evaluation. Accordingly, the uncertainty range can be determined from the determination of these upper and lower limits. This means a larger survey scope results in a narrower uncertainty range [1]. </w:t>
      </w:r>
    </w:p>
    <w:p w14:paraId="7A01E9F5" w14:textId="2B7EA7E4" w:rsidR="00F86341" w:rsidRDefault="00F86341" w:rsidP="004E026A">
      <w:pPr>
        <w:pStyle w:val="CETBodytext"/>
      </w:pPr>
      <w:r w:rsidRPr="00287A51">
        <w:t xml:space="preserve">Figure 2 shows the distribution of </w:t>
      </w:r>
      <w:proofErr w:type="spellStart"/>
      <w:r w:rsidRPr="00287A51">
        <w:t>odour</w:t>
      </w:r>
      <w:proofErr w:type="spellEnd"/>
      <w:r w:rsidRPr="00287A51">
        <w:t xml:space="preserve"> hour frequencies including the uncertainty range </w:t>
      </w:r>
      <w:r>
        <w:t>of t</w:t>
      </w:r>
      <w:r w:rsidRPr="00287A51">
        <w:t xml:space="preserve">he total </w:t>
      </w:r>
      <w:proofErr w:type="spellStart"/>
      <w:r w:rsidRPr="00287A51">
        <w:t>odour</w:t>
      </w:r>
      <w:proofErr w:type="spellEnd"/>
      <w:r w:rsidRPr="00287A51">
        <w:t xml:space="preserve"> </w:t>
      </w:r>
      <w:r>
        <w:t>exposure</w:t>
      </w:r>
      <w:r w:rsidRPr="00287A51">
        <w:t xml:space="preserve"> </w:t>
      </w:r>
      <w:r>
        <w:t>for the</w:t>
      </w:r>
      <w:r w:rsidRPr="00287A51">
        <w:t xml:space="preserve"> year 2018. </w:t>
      </w:r>
    </w:p>
    <w:p w14:paraId="34FBA4E1" w14:textId="77777777" w:rsidR="003D396C" w:rsidRPr="00FB3351" w:rsidRDefault="003D396C" w:rsidP="004E026A">
      <w:pPr>
        <w:pStyle w:val="CETBodytext"/>
        <w:rPr>
          <w:lang w:val="en-GB"/>
        </w:rPr>
      </w:pPr>
    </w:p>
    <w:p w14:paraId="3679663F" w14:textId="77777777" w:rsidR="00F86341" w:rsidRPr="00F747A1" w:rsidRDefault="00F86341" w:rsidP="00F86341">
      <w:r w:rsidRPr="00F747A1">
        <w:rPr>
          <w:noProof/>
        </w:rPr>
        <w:drawing>
          <wp:inline distT="0" distB="0" distL="0" distR="0" wp14:anchorId="017A32E3" wp14:editId="06C40421">
            <wp:extent cx="5400000" cy="3483871"/>
            <wp:effectExtent l="0" t="0" r="10795" b="2540"/>
            <wp:docPr id="1" name="Diagramm 1">
              <a:extLst xmlns:a="http://schemas.openxmlformats.org/drawingml/2006/main">
                <a:ext uri="{FF2B5EF4-FFF2-40B4-BE49-F238E27FC236}">
                  <a16:creationId xmlns:a16="http://schemas.microsoft.com/office/drawing/2014/main" id="{294BC9C3-D90D-40D6-935B-C8E54646D85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545DAB" w14:textId="64066B0A" w:rsidR="00F86341" w:rsidRPr="00F93328" w:rsidRDefault="00F86341" w:rsidP="00F86341">
      <w:pPr>
        <w:pStyle w:val="CETCaption"/>
      </w:pPr>
      <w:r w:rsidRPr="00F93328">
        <w:t xml:space="preserve">Figure 2: Results of the total odour </w:t>
      </w:r>
      <w:r>
        <w:t>exposure</w:t>
      </w:r>
      <w:r w:rsidRPr="00F93328">
        <w:t xml:space="preserve"> including the uncert</w:t>
      </w:r>
      <w:r>
        <w:t>a</w:t>
      </w:r>
      <w:r w:rsidRPr="00F93328">
        <w:t xml:space="preserve">inty range for the measurement period of 2018; the hatched grey bar represents the “reference </w:t>
      </w:r>
      <w:r>
        <w:t>survey</w:t>
      </w:r>
      <w:r w:rsidRPr="00F93328">
        <w:t xml:space="preserve">”, </w:t>
      </w:r>
      <w:r>
        <w:t>the</w:t>
      </w:r>
      <w:r w:rsidRPr="00F93328">
        <w:t xml:space="preserve"> black bar sample 1, the light </w:t>
      </w:r>
      <w:r w:rsidR="004E026A">
        <w:t>green</w:t>
      </w:r>
      <w:r w:rsidRPr="00F93328">
        <w:t xml:space="preserve"> bar sample</w:t>
      </w:r>
      <w:r w:rsidR="004E026A">
        <w:t> </w:t>
      </w:r>
      <w:r w:rsidRPr="00F93328">
        <w:t xml:space="preserve">2 and the dark grey bar sample 3. </w:t>
      </w:r>
    </w:p>
    <w:p w14:paraId="5A7CD5B2" w14:textId="77777777" w:rsidR="00F86341" w:rsidRPr="002C0E2A" w:rsidRDefault="00F86341" w:rsidP="00F86341">
      <w:pPr>
        <w:pStyle w:val="CETBodytext"/>
        <w:rPr>
          <w:lang w:val="en-GB"/>
        </w:rPr>
      </w:pPr>
      <w:r w:rsidRPr="002C0E2A">
        <w:rPr>
          <w:lang w:val="en-GB"/>
        </w:rPr>
        <w:lastRenderedPageBreak/>
        <w:t>For the yea</w:t>
      </w:r>
      <w:r w:rsidRPr="008B55D7">
        <w:rPr>
          <w:lang w:val="en-GB"/>
        </w:rPr>
        <w:t xml:space="preserve">r 2018, it can be seen that the results of the three samples </w:t>
      </w:r>
      <w:r w:rsidRPr="002C0E2A">
        <w:rPr>
          <w:lang w:val="en-GB"/>
        </w:rPr>
        <w:t xml:space="preserve">are within the result of the reference </w:t>
      </w:r>
      <w:r w:rsidRPr="00CE1FD8">
        <w:rPr>
          <w:lang w:val="en-GB"/>
        </w:rPr>
        <w:t xml:space="preserve">survey </w:t>
      </w:r>
      <w:r w:rsidRPr="002C0E2A">
        <w:rPr>
          <w:lang w:val="en-GB"/>
        </w:rPr>
        <w:t>including the uncertainty range</w:t>
      </w:r>
      <w:r w:rsidRPr="00CE1FD8">
        <w:rPr>
          <w:lang w:val="en-GB"/>
        </w:rPr>
        <w:t xml:space="preserve"> on six of the eight assessment squares</w:t>
      </w:r>
      <w:r w:rsidRPr="002C0E2A">
        <w:rPr>
          <w:lang w:val="en-GB"/>
        </w:rPr>
        <w:t xml:space="preserve">. Only on </w:t>
      </w:r>
      <w:r w:rsidRPr="00CE1FD8">
        <w:rPr>
          <w:lang w:val="en-GB"/>
        </w:rPr>
        <w:t xml:space="preserve">the </w:t>
      </w:r>
      <w:r w:rsidRPr="00A26CD3">
        <w:rPr>
          <w:lang w:val="en-GB"/>
        </w:rPr>
        <w:t xml:space="preserve">assessment </w:t>
      </w:r>
      <w:r w:rsidRPr="00CE1FD8">
        <w:rPr>
          <w:lang w:val="en-GB"/>
        </w:rPr>
        <w:t xml:space="preserve">squares </w:t>
      </w:r>
      <w:r w:rsidRPr="002C0E2A">
        <w:rPr>
          <w:lang w:val="en-GB"/>
        </w:rPr>
        <w:t xml:space="preserve">B and H the results of sample 2 </w:t>
      </w:r>
      <w:r w:rsidRPr="00CE1FD8">
        <w:rPr>
          <w:lang w:val="en-GB"/>
        </w:rPr>
        <w:t xml:space="preserve">are higher </w:t>
      </w:r>
      <w:r w:rsidRPr="002C0E2A">
        <w:rPr>
          <w:lang w:val="en-GB"/>
        </w:rPr>
        <w:t>the uncertainty range of the reference</w:t>
      </w:r>
      <w:r w:rsidRPr="00CE1FD8">
        <w:rPr>
          <w:lang w:val="en-GB"/>
        </w:rPr>
        <w:t xml:space="preserve"> survey</w:t>
      </w:r>
      <w:r w:rsidRPr="002C0E2A">
        <w:rPr>
          <w:lang w:val="en-GB"/>
        </w:rPr>
        <w:t xml:space="preserve">. With regard to the compliance with the odour impact value, taking into account the uncertainty range of the reference, there is no different statement for any of the assessment </w:t>
      </w:r>
      <w:r>
        <w:rPr>
          <w:lang w:val="en-GB"/>
        </w:rPr>
        <w:t>squares</w:t>
      </w:r>
      <w:r w:rsidRPr="002C0E2A">
        <w:rPr>
          <w:lang w:val="en-GB"/>
        </w:rPr>
        <w:t xml:space="preserve">. If the uncertainty range of the reference and the samples were neglected, the statement regarding compliance with the odour impact value on assessment </w:t>
      </w:r>
      <w:r>
        <w:rPr>
          <w:lang w:val="en-GB"/>
        </w:rPr>
        <w:t xml:space="preserve">squares </w:t>
      </w:r>
      <w:r w:rsidRPr="002C0E2A">
        <w:rPr>
          <w:lang w:val="en-GB"/>
        </w:rPr>
        <w:t>A and F would change from non-compliance to compliance for sample 2.</w:t>
      </w:r>
    </w:p>
    <w:p w14:paraId="021EF49F" w14:textId="77777777" w:rsidR="00F86341" w:rsidRPr="002C0E2A" w:rsidRDefault="00F86341" w:rsidP="00F86341">
      <w:pPr>
        <w:pStyle w:val="CETBodytext"/>
        <w:rPr>
          <w:lang w:val="en-GB"/>
        </w:rPr>
      </w:pPr>
      <w:r w:rsidRPr="002C0E2A">
        <w:rPr>
          <w:lang w:val="en-GB"/>
        </w:rPr>
        <w:t xml:space="preserve">It is noticeable that </w:t>
      </w:r>
      <w:r w:rsidRPr="00CE1FD8">
        <w:rPr>
          <w:lang w:val="en-GB"/>
        </w:rPr>
        <w:t xml:space="preserve">the results of </w:t>
      </w:r>
      <w:r w:rsidRPr="002C0E2A">
        <w:rPr>
          <w:lang w:val="en-GB"/>
        </w:rPr>
        <w:t xml:space="preserve">sample 2 </w:t>
      </w:r>
      <w:r w:rsidRPr="00CE1FD8">
        <w:rPr>
          <w:lang w:val="en-GB"/>
        </w:rPr>
        <w:t>are</w:t>
      </w:r>
      <w:r w:rsidRPr="002C0E2A">
        <w:rPr>
          <w:lang w:val="en-GB"/>
        </w:rPr>
        <w:t xml:space="preserve"> equal to or greater than the </w:t>
      </w:r>
      <w:r w:rsidRPr="00CE1FD8">
        <w:rPr>
          <w:lang w:val="en-GB"/>
        </w:rPr>
        <w:t xml:space="preserve">results of the </w:t>
      </w:r>
      <w:r w:rsidRPr="002C0E2A">
        <w:rPr>
          <w:lang w:val="en-GB"/>
        </w:rPr>
        <w:t xml:space="preserve">reference </w:t>
      </w:r>
      <w:r w:rsidRPr="00CE1FD8">
        <w:rPr>
          <w:lang w:val="en-GB"/>
        </w:rPr>
        <w:t xml:space="preserve">survey </w:t>
      </w:r>
      <w:r w:rsidRPr="002C0E2A">
        <w:rPr>
          <w:lang w:val="en-GB"/>
        </w:rPr>
        <w:t xml:space="preserve">on all assessment </w:t>
      </w:r>
      <w:r w:rsidRPr="00CE1FD8">
        <w:rPr>
          <w:lang w:val="en-GB"/>
        </w:rPr>
        <w:t>squares</w:t>
      </w:r>
      <w:r w:rsidRPr="002C0E2A">
        <w:rPr>
          <w:lang w:val="en-GB"/>
        </w:rPr>
        <w:t xml:space="preserve">, while sample 3 shows lower odour hour frequencies than the reference </w:t>
      </w:r>
      <w:r w:rsidRPr="00CE1FD8">
        <w:rPr>
          <w:lang w:val="en-GB"/>
        </w:rPr>
        <w:t xml:space="preserve">survey </w:t>
      </w:r>
      <w:r w:rsidRPr="002C0E2A">
        <w:rPr>
          <w:lang w:val="en-GB"/>
        </w:rPr>
        <w:t xml:space="preserve">on all assessment </w:t>
      </w:r>
      <w:r>
        <w:rPr>
          <w:lang w:val="en-GB"/>
        </w:rPr>
        <w:t>squares</w:t>
      </w:r>
      <w:r w:rsidRPr="002C0E2A">
        <w:rPr>
          <w:lang w:val="en-GB"/>
        </w:rPr>
        <w:t xml:space="preserve">. </w:t>
      </w:r>
    </w:p>
    <w:p w14:paraId="789B1AE6" w14:textId="77777777" w:rsidR="00F86341" w:rsidRPr="002C0E2A" w:rsidRDefault="00F86341" w:rsidP="00F86341">
      <w:pPr>
        <w:pStyle w:val="CETBodytext"/>
        <w:rPr>
          <w:lang w:val="en-GB"/>
        </w:rPr>
      </w:pPr>
      <w:r w:rsidRPr="002C0E2A">
        <w:rPr>
          <w:lang w:val="en-GB"/>
        </w:rPr>
        <w:t xml:space="preserve">Likewise, the results for the year 2019 showed a similar distribution. </w:t>
      </w:r>
    </w:p>
    <w:p w14:paraId="7163F106" w14:textId="77777777" w:rsidR="00F86341" w:rsidRPr="002C0E2A" w:rsidRDefault="00F86341" w:rsidP="00F86341">
      <w:pPr>
        <w:pStyle w:val="CETBodytext"/>
        <w:rPr>
          <w:lang w:val="en-GB"/>
        </w:rPr>
      </w:pPr>
      <w:r w:rsidRPr="002C0E2A">
        <w:rPr>
          <w:lang w:val="en-GB"/>
        </w:rPr>
        <w:t>Figure 3 shows the distribution of odour frequencies including the measurement uncertainty for the total load for all variants for the year 2019.</w:t>
      </w:r>
    </w:p>
    <w:p w14:paraId="222273AF" w14:textId="77777777" w:rsidR="00F86341" w:rsidRPr="00CE1FD8" w:rsidRDefault="00F86341" w:rsidP="00F86341">
      <w:pPr>
        <w:pStyle w:val="CETBodytext"/>
        <w:rPr>
          <w:highlight w:val="yellow"/>
          <w:lang w:val="en-GB"/>
        </w:rPr>
      </w:pPr>
    </w:p>
    <w:p w14:paraId="1EBCC7D5" w14:textId="77777777" w:rsidR="00F86341" w:rsidRPr="00CE1FD8" w:rsidRDefault="00F86341" w:rsidP="00F86341">
      <w:pPr>
        <w:rPr>
          <w:highlight w:val="yellow"/>
        </w:rPr>
      </w:pPr>
      <w:r w:rsidRPr="00CE1FD8">
        <w:rPr>
          <w:noProof/>
          <w:highlight w:val="yellow"/>
        </w:rPr>
        <w:drawing>
          <wp:inline distT="0" distB="0" distL="0" distR="0" wp14:anchorId="19CF7979" wp14:editId="6E96AB67">
            <wp:extent cx="5400000" cy="3724138"/>
            <wp:effectExtent l="0" t="0" r="10795" b="10160"/>
            <wp:docPr id="3" name="Diagramm 3">
              <a:extLst xmlns:a="http://schemas.openxmlformats.org/drawingml/2006/main">
                <a:ext uri="{FF2B5EF4-FFF2-40B4-BE49-F238E27FC236}">
                  <a16:creationId xmlns:a16="http://schemas.microsoft.com/office/drawing/2014/main" id="{294BC9C3-D90D-40D6-935B-C8E54646D85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4B0641" w14:textId="6723CA56" w:rsidR="00F86341" w:rsidRPr="00CE1FD8" w:rsidRDefault="00F86341" w:rsidP="00F86341">
      <w:pPr>
        <w:pStyle w:val="CETCaption"/>
        <w:spacing w:before="0" w:after="0"/>
      </w:pPr>
      <w:r w:rsidRPr="00CE1FD8">
        <w:t xml:space="preserve">Figure 3: Results of the total odour exposure including the uncertainty range for the measurement period of 2019; the hatched grey bar represents the “reference survey”, the black bar sample 1, the light </w:t>
      </w:r>
      <w:r w:rsidR="004E026A">
        <w:t>green</w:t>
      </w:r>
      <w:r w:rsidRPr="00CE1FD8">
        <w:t xml:space="preserve"> bar sample</w:t>
      </w:r>
      <w:r w:rsidR="004E026A">
        <w:t> </w:t>
      </w:r>
      <w:r w:rsidRPr="00CE1FD8">
        <w:t>2 and the dark grey bar sample 3.</w:t>
      </w:r>
    </w:p>
    <w:p w14:paraId="183BB738" w14:textId="77777777" w:rsidR="00F86341" w:rsidRPr="002D0DFA" w:rsidRDefault="00F86341" w:rsidP="00F86341">
      <w:pPr>
        <w:pStyle w:val="CETCaption"/>
      </w:pPr>
    </w:p>
    <w:p w14:paraId="45F09D62" w14:textId="77777777" w:rsidR="00F86341" w:rsidRPr="00DA541D" w:rsidRDefault="00F86341" w:rsidP="00F86341">
      <w:pPr>
        <w:pStyle w:val="CETBodytext"/>
        <w:rPr>
          <w:lang w:val="en-GB"/>
        </w:rPr>
      </w:pPr>
      <w:r w:rsidRPr="002D0DFA">
        <w:rPr>
          <w:lang w:val="en-GB"/>
        </w:rPr>
        <w:t xml:space="preserve">For the year 2019, it can be seen that the results of the three samples </w:t>
      </w:r>
      <w:r w:rsidRPr="00DA541D">
        <w:rPr>
          <w:lang w:val="en-GB"/>
        </w:rPr>
        <w:t xml:space="preserve">are within the result of the reference </w:t>
      </w:r>
      <w:r w:rsidRPr="00CE1FD8">
        <w:rPr>
          <w:lang w:val="en-GB"/>
        </w:rPr>
        <w:t xml:space="preserve">survey </w:t>
      </w:r>
      <w:r w:rsidRPr="008B55D7">
        <w:rPr>
          <w:lang w:val="en-GB"/>
        </w:rPr>
        <w:t>including the uncertainty range</w:t>
      </w:r>
      <w:r w:rsidRPr="00CE1FD8">
        <w:rPr>
          <w:lang w:val="en-GB"/>
        </w:rPr>
        <w:t xml:space="preserve"> on seven of the eight assessment squares</w:t>
      </w:r>
      <w:r w:rsidRPr="002C0E2A">
        <w:rPr>
          <w:lang w:val="en-GB"/>
        </w:rPr>
        <w:t xml:space="preserve">. Only in assessment </w:t>
      </w:r>
      <w:r w:rsidRPr="00CE1FD8">
        <w:rPr>
          <w:lang w:val="en-GB"/>
        </w:rPr>
        <w:t>square</w:t>
      </w:r>
      <w:r w:rsidRPr="00DA541D">
        <w:rPr>
          <w:lang w:val="en-GB"/>
        </w:rPr>
        <w:t xml:space="preserve"> E the results of sample 2 </w:t>
      </w:r>
      <w:r w:rsidRPr="00CE1FD8">
        <w:rPr>
          <w:lang w:val="en-GB"/>
        </w:rPr>
        <w:t xml:space="preserve">are </w:t>
      </w:r>
      <w:r w:rsidRPr="002C0E2A">
        <w:rPr>
          <w:lang w:val="en-GB"/>
        </w:rPr>
        <w:t>below the uncertainty range of the reference</w:t>
      </w:r>
      <w:r w:rsidRPr="00CE1FD8">
        <w:rPr>
          <w:lang w:val="en-GB"/>
        </w:rPr>
        <w:t xml:space="preserve"> survey</w:t>
      </w:r>
      <w:r w:rsidRPr="002C0E2A">
        <w:rPr>
          <w:lang w:val="en-GB"/>
        </w:rPr>
        <w:t xml:space="preserve">. With regard to the compliance with the odour impact value, taking into account the reference’s uncertainty range, there is no changed statement for any of the assessment </w:t>
      </w:r>
      <w:r w:rsidRPr="00CE1FD8">
        <w:rPr>
          <w:lang w:val="en-GB"/>
        </w:rPr>
        <w:t>square</w:t>
      </w:r>
      <w:r w:rsidRPr="002C0E2A">
        <w:rPr>
          <w:lang w:val="en-GB"/>
        </w:rPr>
        <w:t xml:space="preserve">s. Neglecting the uncertainty range of the reference </w:t>
      </w:r>
      <w:r w:rsidRPr="00CE1FD8">
        <w:rPr>
          <w:lang w:val="en-GB"/>
        </w:rPr>
        <w:t xml:space="preserve">survey </w:t>
      </w:r>
      <w:r w:rsidRPr="002C0E2A">
        <w:rPr>
          <w:lang w:val="en-GB"/>
        </w:rPr>
        <w:t xml:space="preserve">and the samples, the statement regarding compliance with the odour impact value would change from compliance to non-compliance on assessment </w:t>
      </w:r>
      <w:r w:rsidRPr="00CE1FD8">
        <w:rPr>
          <w:lang w:val="en-GB"/>
        </w:rPr>
        <w:t>square</w:t>
      </w:r>
      <w:r w:rsidRPr="00DA541D">
        <w:rPr>
          <w:lang w:val="en-GB"/>
        </w:rPr>
        <w:t xml:space="preserve"> A for sample 2 and on assessment </w:t>
      </w:r>
      <w:r w:rsidRPr="00CE1FD8">
        <w:rPr>
          <w:lang w:val="en-GB"/>
        </w:rPr>
        <w:t>square</w:t>
      </w:r>
      <w:r w:rsidRPr="002C0E2A">
        <w:rPr>
          <w:lang w:val="en-GB"/>
        </w:rPr>
        <w:t xml:space="preserve"> E for sample 3. On assessment </w:t>
      </w:r>
      <w:r w:rsidRPr="00CE1FD8">
        <w:rPr>
          <w:lang w:val="en-GB"/>
        </w:rPr>
        <w:t>square</w:t>
      </w:r>
      <w:r w:rsidRPr="00DA541D">
        <w:rPr>
          <w:lang w:val="en-GB"/>
        </w:rPr>
        <w:t xml:space="preserve"> C for sample 3 and on assessment </w:t>
      </w:r>
      <w:r w:rsidRPr="00CE1FD8">
        <w:rPr>
          <w:lang w:val="en-GB"/>
        </w:rPr>
        <w:t>square</w:t>
      </w:r>
      <w:r w:rsidRPr="00DA541D">
        <w:rPr>
          <w:lang w:val="en-GB"/>
        </w:rPr>
        <w:t xml:space="preserve"> F for sample 2, the statement would change from non-compliance to compliance.</w:t>
      </w:r>
    </w:p>
    <w:p w14:paraId="3AD2A1BA" w14:textId="77777777" w:rsidR="00F86341" w:rsidRPr="008B55D7" w:rsidRDefault="00F86341" w:rsidP="00F86341">
      <w:pPr>
        <w:pStyle w:val="CETBodytext"/>
        <w:rPr>
          <w:lang w:val="en-GB"/>
        </w:rPr>
      </w:pPr>
    </w:p>
    <w:p w14:paraId="3D933057" w14:textId="77777777" w:rsidR="00F86341" w:rsidRPr="002D0DFA" w:rsidRDefault="00F86341" w:rsidP="00F86341">
      <w:pPr>
        <w:pStyle w:val="CETBodytext"/>
        <w:rPr>
          <w:lang w:val="en-GB"/>
        </w:rPr>
      </w:pPr>
      <w:r w:rsidRPr="008B55D7">
        <w:rPr>
          <w:lang w:val="en-GB"/>
        </w:rPr>
        <w:t xml:space="preserve">Figure 4 shows the distribution of odour frequencies including the measurement uncertainty for the total </w:t>
      </w:r>
      <w:r w:rsidRPr="00CE1FD8">
        <w:rPr>
          <w:lang w:val="en-GB"/>
        </w:rPr>
        <w:t>exposure</w:t>
      </w:r>
      <w:r w:rsidRPr="002C0E2A">
        <w:rPr>
          <w:lang w:val="en-GB"/>
        </w:rPr>
        <w:t xml:space="preserve"> </w:t>
      </w:r>
      <w:r w:rsidRPr="00DA541D">
        <w:rPr>
          <w:lang w:val="en-GB"/>
        </w:rPr>
        <w:t>for all variants graphically presented for the year 2020.</w:t>
      </w:r>
    </w:p>
    <w:p w14:paraId="52B2564A" w14:textId="77777777" w:rsidR="00F86341" w:rsidRPr="00CE1FD8" w:rsidRDefault="00F86341" w:rsidP="00F86341">
      <w:pPr>
        <w:rPr>
          <w:highlight w:val="yellow"/>
        </w:rPr>
      </w:pPr>
      <w:r w:rsidRPr="00CE1FD8">
        <w:rPr>
          <w:noProof/>
          <w:highlight w:val="yellow"/>
        </w:rPr>
        <w:lastRenderedPageBreak/>
        <w:drawing>
          <wp:inline distT="0" distB="0" distL="0" distR="0" wp14:anchorId="444026EC" wp14:editId="4FA069D3">
            <wp:extent cx="5400000" cy="3711894"/>
            <wp:effectExtent l="0" t="0" r="10795" b="3175"/>
            <wp:docPr id="4" name="Diagramm 4">
              <a:extLst xmlns:a="http://schemas.openxmlformats.org/drawingml/2006/main">
                <a:ext uri="{FF2B5EF4-FFF2-40B4-BE49-F238E27FC236}">
                  <a16:creationId xmlns:a16="http://schemas.microsoft.com/office/drawing/2014/main" id="{294BC9C3-D90D-40D6-935B-C8E54646D852}"/>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A5492D" w14:textId="3542AFDD" w:rsidR="00F86341" w:rsidRPr="00CE1FD8" w:rsidRDefault="00F86341" w:rsidP="00F86341">
      <w:pPr>
        <w:pStyle w:val="CETCaption"/>
        <w:spacing w:before="0" w:after="0"/>
      </w:pPr>
      <w:r w:rsidRPr="00CE1FD8">
        <w:t xml:space="preserve">Figure 4: Results of the total odour exposure including the uncertainty range for the measurement period of 2018; the hatched grey bar represents the “reference survey”, the black bar sample 1, the light </w:t>
      </w:r>
      <w:r w:rsidR="004E026A">
        <w:t>green</w:t>
      </w:r>
      <w:r w:rsidRPr="00CE1FD8">
        <w:t xml:space="preserve"> bar sample</w:t>
      </w:r>
      <w:r w:rsidR="004E026A">
        <w:t> </w:t>
      </w:r>
      <w:r w:rsidRPr="00CE1FD8">
        <w:t>2 and the dark grey bar sample 3.</w:t>
      </w:r>
    </w:p>
    <w:p w14:paraId="7DCF042E" w14:textId="77777777" w:rsidR="00824256" w:rsidRDefault="00824256" w:rsidP="00F86341">
      <w:pPr>
        <w:pStyle w:val="CETBodytext"/>
        <w:rPr>
          <w:lang w:val="en-GB"/>
        </w:rPr>
      </w:pPr>
    </w:p>
    <w:p w14:paraId="6123D488" w14:textId="27C64EF0" w:rsidR="00F86341" w:rsidRPr="002C0E2A" w:rsidRDefault="00F86341" w:rsidP="00F86341">
      <w:pPr>
        <w:pStyle w:val="CETBodytext"/>
        <w:rPr>
          <w:lang w:val="en-GB"/>
        </w:rPr>
      </w:pPr>
      <w:r w:rsidRPr="00DA541D">
        <w:rPr>
          <w:lang w:val="en-GB"/>
        </w:rPr>
        <w:t xml:space="preserve">For the year 2020, it can be seen that the results of the three samples are within the result of the reference </w:t>
      </w:r>
      <w:r w:rsidRPr="00CE1FD8">
        <w:rPr>
          <w:lang w:val="en-GB"/>
        </w:rPr>
        <w:t xml:space="preserve">survey </w:t>
      </w:r>
      <w:r w:rsidRPr="002C0E2A">
        <w:rPr>
          <w:lang w:val="en-GB"/>
        </w:rPr>
        <w:t>including the uncertainty range</w:t>
      </w:r>
      <w:r w:rsidRPr="00CE1FD8">
        <w:rPr>
          <w:lang w:val="en-GB"/>
        </w:rPr>
        <w:t xml:space="preserve"> on four of the eight assessment squares</w:t>
      </w:r>
      <w:r w:rsidRPr="002C0E2A">
        <w:rPr>
          <w:lang w:val="en-GB"/>
        </w:rPr>
        <w:t xml:space="preserve">. On the assessment </w:t>
      </w:r>
      <w:r w:rsidRPr="00CE1FD8">
        <w:rPr>
          <w:lang w:val="en-GB"/>
        </w:rPr>
        <w:t>square</w:t>
      </w:r>
      <w:r w:rsidRPr="00DA541D">
        <w:rPr>
          <w:lang w:val="en-GB"/>
        </w:rPr>
        <w:t xml:space="preserve">s B, E, F and G, the results of </w:t>
      </w:r>
      <w:r>
        <w:rPr>
          <w:lang w:val="en-GB"/>
        </w:rPr>
        <w:t xml:space="preserve">some of the </w:t>
      </w:r>
      <w:r w:rsidRPr="00DA541D">
        <w:rPr>
          <w:lang w:val="en-GB"/>
        </w:rPr>
        <w:t>samples are below the uncertainty range of the reference</w:t>
      </w:r>
      <w:r>
        <w:rPr>
          <w:lang w:val="en-GB"/>
        </w:rPr>
        <w:t xml:space="preserve"> survey</w:t>
      </w:r>
      <w:r w:rsidRPr="00DA541D">
        <w:rPr>
          <w:lang w:val="en-GB"/>
        </w:rPr>
        <w:t>. With regard to compliance with the odour impact</w:t>
      </w:r>
      <w:r w:rsidRPr="008B55D7">
        <w:rPr>
          <w:lang w:val="en-GB"/>
        </w:rPr>
        <w:t xml:space="preserve"> value, taking into account the uncertainty range of the reference</w:t>
      </w:r>
      <w:r>
        <w:rPr>
          <w:lang w:val="en-GB"/>
        </w:rPr>
        <w:t xml:space="preserve"> survey</w:t>
      </w:r>
      <w:r w:rsidRPr="00DA541D">
        <w:rPr>
          <w:lang w:val="en-GB"/>
        </w:rPr>
        <w:t xml:space="preserve">, a changed statement from non-compliance to compliance results only for two of the assessment </w:t>
      </w:r>
      <w:r w:rsidRPr="00CE1FD8">
        <w:rPr>
          <w:lang w:val="en-GB"/>
        </w:rPr>
        <w:t>square</w:t>
      </w:r>
      <w:r w:rsidRPr="00DA541D">
        <w:rPr>
          <w:lang w:val="en-GB"/>
        </w:rPr>
        <w:t xml:space="preserve">s, </w:t>
      </w:r>
      <w:proofErr w:type="gramStart"/>
      <w:r w:rsidRPr="00DA541D">
        <w:rPr>
          <w:lang w:val="en-GB"/>
        </w:rPr>
        <w:t>i.e.</w:t>
      </w:r>
      <w:proofErr w:type="gramEnd"/>
      <w:r w:rsidRPr="00DA541D">
        <w:rPr>
          <w:lang w:val="en-GB"/>
        </w:rPr>
        <w:t xml:space="preserve"> for B and G. If the uncertainty range of the respective deviating sa</w:t>
      </w:r>
      <w:r w:rsidRPr="008B55D7">
        <w:rPr>
          <w:lang w:val="en-GB"/>
        </w:rPr>
        <w:t xml:space="preserve">mple is taken into account for this consideration, the original statement of non-compliance would have to be made </w:t>
      </w:r>
      <w:r>
        <w:rPr>
          <w:lang w:val="en-GB"/>
        </w:rPr>
        <w:t xml:space="preserve">similar as </w:t>
      </w:r>
      <w:r w:rsidRPr="00DA541D">
        <w:rPr>
          <w:lang w:val="en-GB"/>
        </w:rPr>
        <w:t>for the reference</w:t>
      </w:r>
      <w:r>
        <w:rPr>
          <w:lang w:val="en-GB"/>
        </w:rPr>
        <w:t xml:space="preserve"> survey</w:t>
      </w:r>
      <w:r w:rsidRPr="00DA541D">
        <w:rPr>
          <w:lang w:val="en-GB"/>
        </w:rPr>
        <w:t xml:space="preserve">. Neglecting the uncertainty range of the reference </w:t>
      </w:r>
      <w:r>
        <w:rPr>
          <w:lang w:val="en-GB"/>
        </w:rPr>
        <w:t xml:space="preserve">survey </w:t>
      </w:r>
      <w:r w:rsidRPr="00DA541D">
        <w:rPr>
          <w:lang w:val="en-GB"/>
        </w:rPr>
        <w:t xml:space="preserve">and the samples, the statement regarding compliance with the </w:t>
      </w:r>
      <w:r w:rsidRPr="008B55D7">
        <w:rPr>
          <w:lang w:val="en-GB"/>
        </w:rPr>
        <w:t>odour impact</w:t>
      </w:r>
      <w:r w:rsidRPr="00F943EC">
        <w:rPr>
          <w:lang w:val="en-GB"/>
        </w:rPr>
        <w:t xml:space="preserve"> value would change from compliance to non-compliance on assessment </w:t>
      </w:r>
      <w:r w:rsidRPr="00CE1FD8">
        <w:rPr>
          <w:lang w:val="en-GB"/>
        </w:rPr>
        <w:t>square</w:t>
      </w:r>
      <w:r w:rsidRPr="00DA541D">
        <w:rPr>
          <w:lang w:val="en-GB"/>
        </w:rPr>
        <w:t xml:space="preserve"> A for sample 1 and on assessment </w:t>
      </w:r>
      <w:r w:rsidRPr="00CE1FD8">
        <w:rPr>
          <w:lang w:val="en-GB"/>
        </w:rPr>
        <w:t>square</w:t>
      </w:r>
      <w:r w:rsidRPr="00DA541D">
        <w:rPr>
          <w:lang w:val="en-GB"/>
        </w:rPr>
        <w:t xml:space="preserve"> C for sample 3. On assessment </w:t>
      </w:r>
      <w:r w:rsidRPr="00CE1FD8">
        <w:rPr>
          <w:lang w:val="en-GB"/>
        </w:rPr>
        <w:t>square</w:t>
      </w:r>
      <w:r w:rsidRPr="00DA541D">
        <w:rPr>
          <w:lang w:val="en-GB"/>
        </w:rPr>
        <w:t xml:space="preserve"> B for sample 1 and on assessment </w:t>
      </w:r>
      <w:r w:rsidRPr="00CE1FD8">
        <w:rPr>
          <w:lang w:val="en-GB"/>
        </w:rPr>
        <w:t>square</w:t>
      </w:r>
      <w:r w:rsidRPr="00DA541D">
        <w:rPr>
          <w:lang w:val="en-GB"/>
        </w:rPr>
        <w:t xml:space="preserve"> G for sample 3, the statement would change from non-compliance to com</w:t>
      </w:r>
      <w:r w:rsidRPr="002C0E2A">
        <w:rPr>
          <w:lang w:val="en-GB"/>
        </w:rPr>
        <w:t>pliance.</w:t>
      </w:r>
    </w:p>
    <w:p w14:paraId="369D44CA" w14:textId="77777777" w:rsidR="00F86341" w:rsidRPr="00CE1FD8" w:rsidRDefault="00F86341" w:rsidP="00F86341">
      <w:pPr>
        <w:pStyle w:val="CETBodytext"/>
        <w:rPr>
          <w:highlight w:val="yellow"/>
          <w:lang w:val="en-GB"/>
        </w:rPr>
      </w:pPr>
    </w:p>
    <w:p w14:paraId="4A64DBFD" w14:textId="77777777" w:rsidR="00F86341" w:rsidRPr="00DA541D" w:rsidRDefault="00F86341" w:rsidP="00F86341">
      <w:pPr>
        <w:pStyle w:val="CETHeading1"/>
        <w:rPr>
          <w:lang w:val="en-GB"/>
        </w:rPr>
      </w:pPr>
      <w:r w:rsidRPr="00FA519F">
        <w:rPr>
          <w:lang w:val="en-GB"/>
        </w:rPr>
        <w:t>3 Discussion</w:t>
      </w:r>
    </w:p>
    <w:p w14:paraId="1A585440" w14:textId="77777777" w:rsidR="00F86341" w:rsidRPr="002C0E2A" w:rsidRDefault="00F86341" w:rsidP="00F86341">
      <w:pPr>
        <w:pStyle w:val="CETBodytext"/>
        <w:rPr>
          <w:lang w:val="en-GB"/>
        </w:rPr>
      </w:pPr>
      <w:r w:rsidRPr="00F943EC">
        <w:rPr>
          <w:lang w:val="en-GB"/>
        </w:rPr>
        <w:t xml:space="preserve">The </w:t>
      </w:r>
      <w:r w:rsidRPr="00CE1FD8">
        <w:rPr>
          <w:lang w:val="en-GB"/>
        </w:rPr>
        <w:t xml:space="preserve">comparison </w:t>
      </w:r>
      <w:r w:rsidRPr="002C0E2A">
        <w:rPr>
          <w:lang w:val="en-GB"/>
        </w:rPr>
        <w:t xml:space="preserve">of </w:t>
      </w:r>
      <w:r w:rsidRPr="00CE1FD8">
        <w:rPr>
          <w:lang w:val="en-GB"/>
        </w:rPr>
        <w:t xml:space="preserve">the </w:t>
      </w:r>
      <w:r w:rsidRPr="002C0E2A">
        <w:rPr>
          <w:lang w:val="en-GB"/>
        </w:rPr>
        <w:t xml:space="preserve">results </w:t>
      </w:r>
      <w:r w:rsidRPr="00CE1FD8">
        <w:rPr>
          <w:lang w:val="en-GB"/>
        </w:rPr>
        <w:t xml:space="preserve">of the frequency of exposure to odours </w:t>
      </w:r>
      <w:r w:rsidRPr="002C0E2A">
        <w:rPr>
          <w:lang w:val="en-GB"/>
        </w:rPr>
        <w:t xml:space="preserve">in the three-year period under consideration shows a slight deviation of the mean values </w:t>
      </w:r>
      <w:r w:rsidRPr="00CE1FD8">
        <w:rPr>
          <w:lang w:val="en-GB"/>
        </w:rPr>
        <w:t xml:space="preserve">of the exposure of the samples </w:t>
      </w:r>
      <w:r w:rsidRPr="002C0E2A">
        <w:rPr>
          <w:lang w:val="en-GB"/>
        </w:rPr>
        <w:t>compared to th</w:t>
      </w:r>
      <w:r w:rsidRPr="00CE1FD8">
        <w:rPr>
          <w:lang w:val="en-GB"/>
        </w:rPr>
        <w:t>ose of the</w:t>
      </w:r>
      <w:r w:rsidRPr="002C0E2A">
        <w:rPr>
          <w:lang w:val="en-GB"/>
        </w:rPr>
        <w:t xml:space="preserve"> reference</w:t>
      </w:r>
      <w:r w:rsidRPr="00CE1FD8">
        <w:rPr>
          <w:lang w:val="en-GB"/>
        </w:rPr>
        <w:t xml:space="preserve"> survey</w:t>
      </w:r>
      <w:r w:rsidRPr="002C0E2A">
        <w:rPr>
          <w:lang w:val="en-GB"/>
        </w:rPr>
        <w:t xml:space="preserve">. In contrast, the upper and lower limits of the samples vary more strongly, as expected. </w:t>
      </w:r>
    </w:p>
    <w:p w14:paraId="49A4DED6" w14:textId="77777777" w:rsidR="00F86341" w:rsidRPr="00CE1FD8" w:rsidRDefault="00F86341" w:rsidP="00F86341">
      <w:pPr>
        <w:pStyle w:val="CETBodytext"/>
        <w:rPr>
          <w:highlight w:val="yellow"/>
          <w:lang w:val="en-GB"/>
        </w:rPr>
      </w:pPr>
      <w:r w:rsidRPr="002C0E2A">
        <w:rPr>
          <w:lang w:val="en-GB"/>
        </w:rPr>
        <w:t>With regard to the reliability of the statement</w:t>
      </w:r>
      <w:r w:rsidRPr="00CE1FD8">
        <w:rPr>
          <w:lang w:val="en-GB"/>
        </w:rPr>
        <w:t xml:space="preserve"> of a field measurement by grid method</w:t>
      </w:r>
      <w:r w:rsidRPr="002C0E2A">
        <w:rPr>
          <w:lang w:val="en-GB"/>
        </w:rPr>
        <w:t xml:space="preserve">, it can be stated that on the assessment </w:t>
      </w:r>
      <w:r w:rsidRPr="00CE1FD8">
        <w:rPr>
          <w:lang w:val="en-GB"/>
        </w:rPr>
        <w:t>square</w:t>
      </w:r>
      <w:r w:rsidRPr="002C0E2A">
        <w:rPr>
          <w:lang w:val="en-GB"/>
        </w:rPr>
        <w:t>s where the samples deviate from the reference, the statement regarding the odour impact value does not change when taking into account the uncertainty range. The results of the samples</w:t>
      </w:r>
      <w:r w:rsidRPr="00CE1FD8">
        <w:rPr>
          <w:lang w:val="en-GB"/>
        </w:rPr>
        <w:t xml:space="preserve"> (evaluated as positive single measurement with 10% of observations with odour)</w:t>
      </w:r>
      <w:r w:rsidRPr="002C0E2A">
        <w:rPr>
          <w:lang w:val="en-GB"/>
        </w:rPr>
        <w:t xml:space="preserve"> which </w:t>
      </w:r>
      <w:proofErr w:type="gramStart"/>
      <w:r w:rsidRPr="002C0E2A">
        <w:rPr>
          <w:lang w:val="en-GB"/>
        </w:rPr>
        <w:t>lead</w:t>
      </w:r>
      <w:proofErr w:type="gramEnd"/>
      <w:r w:rsidRPr="002C0E2A">
        <w:rPr>
          <w:lang w:val="en-GB"/>
        </w:rPr>
        <w:t xml:space="preserve"> to a change in the statement </w:t>
      </w:r>
      <w:r w:rsidRPr="00CE1FD8">
        <w:rPr>
          <w:lang w:val="en-GB"/>
        </w:rPr>
        <w:t xml:space="preserve">of exceedance of the exposure limit show results </w:t>
      </w:r>
      <w:r w:rsidRPr="002C0E2A">
        <w:rPr>
          <w:lang w:val="en-GB"/>
        </w:rPr>
        <w:t xml:space="preserve">within the fluctuation of the uncertainty range of the reference </w:t>
      </w:r>
      <w:r w:rsidRPr="00CE1FD8">
        <w:rPr>
          <w:lang w:val="en-GB"/>
        </w:rPr>
        <w:t xml:space="preserve">survey </w:t>
      </w:r>
      <w:r w:rsidRPr="002C0E2A">
        <w:rPr>
          <w:lang w:val="en-GB"/>
        </w:rPr>
        <w:t xml:space="preserve">when considering the uncertainty range (5% or 15% of the </w:t>
      </w:r>
      <w:r>
        <w:rPr>
          <w:lang w:val="en-GB"/>
        </w:rPr>
        <w:t>observations with odour</w:t>
      </w:r>
      <w:r w:rsidRPr="002C0E2A">
        <w:rPr>
          <w:lang w:val="en-GB"/>
        </w:rPr>
        <w:t xml:space="preserve">). </w:t>
      </w:r>
    </w:p>
    <w:p w14:paraId="55058B70" w14:textId="77777777" w:rsidR="00F86341" w:rsidRPr="002C0E2A" w:rsidRDefault="00F86341" w:rsidP="00F86341">
      <w:pPr>
        <w:pStyle w:val="CETBodytext"/>
        <w:rPr>
          <w:lang w:val="en-GB"/>
        </w:rPr>
      </w:pPr>
      <w:r w:rsidRPr="002C0E2A">
        <w:rPr>
          <w:lang w:val="en-GB"/>
        </w:rPr>
        <w:t xml:space="preserve">When considering the question of whether the </w:t>
      </w:r>
      <w:r w:rsidRPr="00CE1FD8">
        <w:rPr>
          <w:lang w:val="en-GB"/>
        </w:rPr>
        <w:t xml:space="preserve">exposure limit </w:t>
      </w:r>
      <w:r w:rsidRPr="002C0E2A">
        <w:rPr>
          <w:lang w:val="en-GB"/>
        </w:rPr>
        <w:t xml:space="preserve">value is complied with or exceeded, there is also no change when the uncertainty ranges are taken into account. For example, in 2018 the </w:t>
      </w:r>
      <w:r w:rsidRPr="00CE1FD8">
        <w:rPr>
          <w:lang w:val="en-GB"/>
        </w:rPr>
        <w:t>exposure limit</w:t>
      </w:r>
      <w:r w:rsidRPr="002C0E2A">
        <w:rPr>
          <w:lang w:val="en-GB"/>
        </w:rPr>
        <w:t xml:space="preserve"> value of the reference</w:t>
      </w:r>
      <w:r w:rsidRPr="00CE1FD8">
        <w:rPr>
          <w:lang w:val="en-GB"/>
        </w:rPr>
        <w:t xml:space="preserve"> survey</w:t>
      </w:r>
      <w:r w:rsidRPr="002C0E2A">
        <w:rPr>
          <w:lang w:val="en-GB"/>
        </w:rPr>
        <w:t xml:space="preserve"> is exceeded on all assessment </w:t>
      </w:r>
      <w:r w:rsidRPr="00CE1FD8">
        <w:rPr>
          <w:lang w:val="en-GB"/>
        </w:rPr>
        <w:t>square</w:t>
      </w:r>
      <w:r w:rsidRPr="002C0E2A">
        <w:rPr>
          <w:lang w:val="en-GB"/>
        </w:rPr>
        <w:t xml:space="preserve">s, but is complied with for individual assessment </w:t>
      </w:r>
      <w:r w:rsidRPr="00CE1FD8">
        <w:rPr>
          <w:lang w:val="en-GB"/>
        </w:rPr>
        <w:t>square</w:t>
      </w:r>
      <w:r w:rsidRPr="002C0E2A">
        <w:rPr>
          <w:lang w:val="en-GB"/>
        </w:rPr>
        <w:t xml:space="preserve">s (A and F) in the determined samples. Taking into account the uncertainty range on these </w:t>
      </w:r>
      <w:r w:rsidRPr="00CE1FD8">
        <w:rPr>
          <w:lang w:val="en-GB"/>
        </w:rPr>
        <w:t>square</w:t>
      </w:r>
      <w:r w:rsidRPr="002C0E2A">
        <w:rPr>
          <w:lang w:val="en-GB"/>
        </w:rPr>
        <w:t xml:space="preserve">s, the </w:t>
      </w:r>
      <w:r w:rsidRPr="00CE1FD8">
        <w:rPr>
          <w:lang w:val="en-GB"/>
        </w:rPr>
        <w:t>exposure limit</w:t>
      </w:r>
      <w:r w:rsidRPr="002C0E2A">
        <w:rPr>
          <w:lang w:val="en-GB"/>
        </w:rPr>
        <w:t xml:space="preserve"> value is </w:t>
      </w:r>
      <w:r w:rsidRPr="00CE1FD8">
        <w:rPr>
          <w:lang w:val="en-GB"/>
        </w:rPr>
        <w:t xml:space="preserve">to be evaluated as </w:t>
      </w:r>
      <w:r w:rsidRPr="002C0E2A">
        <w:rPr>
          <w:lang w:val="en-GB"/>
        </w:rPr>
        <w:t xml:space="preserve">exceeded. A marginal difference arises only in 2020 for assessment </w:t>
      </w:r>
      <w:r w:rsidRPr="00CE1FD8">
        <w:rPr>
          <w:lang w:val="en-GB"/>
        </w:rPr>
        <w:lastRenderedPageBreak/>
        <w:t>square</w:t>
      </w:r>
      <w:r w:rsidRPr="002C0E2A">
        <w:rPr>
          <w:lang w:val="en-GB"/>
        </w:rPr>
        <w:t xml:space="preserve"> E, where the statement of all results, reference </w:t>
      </w:r>
      <w:r w:rsidRPr="00CE1FD8">
        <w:rPr>
          <w:lang w:val="en-GB"/>
        </w:rPr>
        <w:t xml:space="preserve">survey </w:t>
      </w:r>
      <w:r w:rsidRPr="002C0E2A">
        <w:rPr>
          <w:lang w:val="en-GB"/>
        </w:rPr>
        <w:t xml:space="preserve">and samples, coincides with "compliance with the </w:t>
      </w:r>
      <w:r w:rsidRPr="00CE1FD8">
        <w:rPr>
          <w:lang w:val="en-GB"/>
        </w:rPr>
        <w:t>exposure limit</w:t>
      </w:r>
      <w:r w:rsidRPr="002C0E2A">
        <w:rPr>
          <w:lang w:val="en-GB"/>
        </w:rPr>
        <w:t xml:space="preserve"> value" and only when applying the uncertainty range of sample 2 a non-compliance with the </w:t>
      </w:r>
      <w:r w:rsidRPr="00CE1FD8">
        <w:rPr>
          <w:lang w:val="en-GB"/>
        </w:rPr>
        <w:t>exposure limit</w:t>
      </w:r>
      <w:r w:rsidRPr="002C0E2A">
        <w:rPr>
          <w:lang w:val="en-GB"/>
        </w:rPr>
        <w:t xml:space="preserve"> value would be achieved. In this case, the individual inspections must be checked in detail. </w:t>
      </w:r>
    </w:p>
    <w:p w14:paraId="684BF0D3" w14:textId="77777777" w:rsidR="00F86341" w:rsidRPr="002C0E2A" w:rsidRDefault="00F86341" w:rsidP="00F86341">
      <w:pPr>
        <w:pStyle w:val="CETBodytext"/>
        <w:rPr>
          <w:lang w:val="en-GB"/>
        </w:rPr>
      </w:pPr>
      <w:r w:rsidRPr="002C0E2A">
        <w:rPr>
          <w:lang w:val="en-GB"/>
        </w:rPr>
        <w:t>Considering the measurement uncertainties, the fluctuation in all three years can therefore be considered insignificant with regard to the reliability of the statement.</w:t>
      </w:r>
    </w:p>
    <w:p w14:paraId="4462CAE2" w14:textId="77777777" w:rsidR="00F86341" w:rsidRPr="00CE1FD8" w:rsidRDefault="00F86341" w:rsidP="00F86341">
      <w:pPr>
        <w:pStyle w:val="CETBodytext"/>
        <w:rPr>
          <w:highlight w:val="yellow"/>
          <w:lang w:val="en-GB"/>
        </w:rPr>
      </w:pPr>
    </w:p>
    <w:p w14:paraId="1D0E2016" w14:textId="77777777" w:rsidR="00F86341" w:rsidRPr="002C0E2A" w:rsidRDefault="00F86341" w:rsidP="00FA519F">
      <w:pPr>
        <w:pStyle w:val="CETHeading1"/>
        <w:rPr>
          <w:lang w:val="en-GB"/>
        </w:rPr>
      </w:pPr>
      <w:r w:rsidRPr="00FA519F">
        <w:rPr>
          <w:lang w:val="en-GB"/>
        </w:rPr>
        <w:t>4 Conclusion</w:t>
      </w:r>
    </w:p>
    <w:p w14:paraId="41F1B99E" w14:textId="77777777" w:rsidR="00F86341" w:rsidRPr="00CE1FD8" w:rsidRDefault="00F86341" w:rsidP="00F86341">
      <w:pPr>
        <w:pStyle w:val="CETBodytext"/>
        <w:rPr>
          <w:lang w:val="en-GB"/>
        </w:rPr>
      </w:pPr>
      <w:r w:rsidRPr="00CE1FD8">
        <w:rPr>
          <w:lang w:val="en-GB"/>
        </w:rPr>
        <w:t xml:space="preserve">The grid measurement method for assessing the frequency of odour exposure in the vicinity of an industrial plant is based on random measurements within a measurement period. According to DIN EN 16841-1:2016, the scope of this random sample is 104 individual measurements within one year. The question arises as to whether this sample is sufficient to make a reliable statement on the exposure limit in the assessment squares. </w:t>
      </w:r>
    </w:p>
    <w:p w14:paraId="716AC321" w14:textId="77777777" w:rsidR="00F86341" w:rsidRPr="002C0E2A" w:rsidRDefault="00F86341" w:rsidP="00F86341">
      <w:pPr>
        <w:pStyle w:val="CETBodytext"/>
        <w:rPr>
          <w:lang w:val="en-GB"/>
        </w:rPr>
      </w:pPr>
      <w:r w:rsidRPr="002C0E2A">
        <w:rPr>
          <w:lang w:val="en-GB"/>
        </w:rPr>
        <w:t xml:space="preserve">The results of the last three years of a daily field inspection survey as well as the results from the division of this daily survey into three equally distributed samples were evaluated. Afterwards it was examined to what extent the samples lie within the measurement uncertainty of the reference </w:t>
      </w:r>
      <w:r w:rsidRPr="00CE1FD8">
        <w:rPr>
          <w:lang w:val="en-GB"/>
        </w:rPr>
        <w:t xml:space="preserve">survey </w:t>
      </w:r>
      <w:r w:rsidRPr="002C0E2A">
        <w:rPr>
          <w:lang w:val="en-GB"/>
        </w:rPr>
        <w:t xml:space="preserve">and whether there are any changes regarding the statement of compliance or non-compliance of the </w:t>
      </w:r>
      <w:r w:rsidRPr="00CE1FD8">
        <w:rPr>
          <w:lang w:val="en-GB"/>
        </w:rPr>
        <w:t>exposure limit</w:t>
      </w:r>
      <w:r w:rsidRPr="002C0E2A">
        <w:rPr>
          <w:lang w:val="en-GB"/>
        </w:rPr>
        <w:t xml:space="preserve"> value. </w:t>
      </w:r>
    </w:p>
    <w:p w14:paraId="27CCB5F0" w14:textId="77777777" w:rsidR="00F86341" w:rsidRPr="002C0E2A" w:rsidRDefault="00F86341" w:rsidP="00F86341">
      <w:pPr>
        <w:pStyle w:val="CETBodytext"/>
        <w:rPr>
          <w:lang w:val="en-GB"/>
        </w:rPr>
      </w:pPr>
      <w:r w:rsidRPr="002C0E2A">
        <w:rPr>
          <w:lang w:val="en-GB"/>
        </w:rPr>
        <w:t>The evaluation of the results shows that the three samples are within the uncertainty range of the results of the reference</w:t>
      </w:r>
      <w:r w:rsidRPr="00CE1FD8">
        <w:rPr>
          <w:lang w:val="en-GB"/>
        </w:rPr>
        <w:t xml:space="preserve"> survey</w:t>
      </w:r>
      <w:r w:rsidRPr="002C0E2A">
        <w:rPr>
          <w:lang w:val="en-GB"/>
        </w:rPr>
        <w:t xml:space="preserve">, except for individual assessment </w:t>
      </w:r>
      <w:r w:rsidRPr="00CE1FD8">
        <w:rPr>
          <w:lang w:val="en-GB"/>
        </w:rPr>
        <w:t>square</w:t>
      </w:r>
      <w:r w:rsidRPr="002C0E2A">
        <w:rPr>
          <w:lang w:val="en-GB"/>
        </w:rPr>
        <w:t xml:space="preserve">s. At the same time, it emerges that, taking into account the uncertainty contributions of the reference </w:t>
      </w:r>
      <w:r w:rsidRPr="00CE1FD8">
        <w:rPr>
          <w:lang w:val="en-GB"/>
        </w:rPr>
        <w:t xml:space="preserve">survey </w:t>
      </w:r>
      <w:r w:rsidRPr="002C0E2A">
        <w:rPr>
          <w:lang w:val="en-GB"/>
        </w:rPr>
        <w:t xml:space="preserve">and the determined samples, there is no change in the statement of compliance or non-compliance with the </w:t>
      </w:r>
      <w:r w:rsidRPr="00CE1FD8">
        <w:rPr>
          <w:lang w:val="en-GB"/>
        </w:rPr>
        <w:t>exposure limit</w:t>
      </w:r>
      <w:r w:rsidRPr="002C0E2A">
        <w:rPr>
          <w:lang w:val="en-GB"/>
        </w:rPr>
        <w:t xml:space="preserve"> value according to </w:t>
      </w:r>
      <w:r w:rsidRPr="00CE1FD8">
        <w:rPr>
          <w:lang w:val="en-GB"/>
        </w:rPr>
        <w:t xml:space="preserve">GOAA (nowadays </w:t>
      </w:r>
      <w:r w:rsidRPr="002C0E2A">
        <w:rPr>
          <w:lang w:val="en-GB"/>
        </w:rPr>
        <w:t xml:space="preserve">Technical Instruction on Air Quality Control (TA </w:t>
      </w:r>
      <w:proofErr w:type="spellStart"/>
      <w:r w:rsidRPr="002C0E2A">
        <w:rPr>
          <w:lang w:val="en-GB"/>
        </w:rPr>
        <w:t>Luft</w:t>
      </w:r>
      <w:proofErr w:type="spellEnd"/>
      <w:r w:rsidRPr="002C0E2A">
        <w:rPr>
          <w:lang w:val="en-GB"/>
        </w:rPr>
        <w:t xml:space="preserve">)) for any of the assessment </w:t>
      </w:r>
      <w:r w:rsidRPr="00CE1FD8">
        <w:rPr>
          <w:lang w:val="en-GB"/>
        </w:rPr>
        <w:t>square</w:t>
      </w:r>
      <w:r w:rsidRPr="002C0E2A">
        <w:rPr>
          <w:lang w:val="en-GB"/>
        </w:rPr>
        <w:t xml:space="preserve">s, not even for the exceptions considered. </w:t>
      </w:r>
    </w:p>
    <w:p w14:paraId="736C6FDB" w14:textId="77777777" w:rsidR="00F86341" w:rsidRPr="002C0E2A" w:rsidRDefault="00F86341" w:rsidP="00F86341">
      <w:pPr>
        <w:pStyle w:val="CETBodytext"/>
        <w:rPr>
          <w:lang w:val="en-GB"/>
        </w:rPr>
      </w:pPr>
      <w:r w:rsidRPr="002C0E2A">
        <w:rPr>
          <w:lang w:val="en-GB"/>
        </w:rPr>
        <w:t xml:space="preserve">Accordingly, it is to be noted that the random sample of 104 measurement days in one year is sufficient to make a statement on compliance with the </w:t>
      </w:r>
      <w:r w:rsidRPr="00CE1FD8">
        <w:rPr>
          <w:lang w:val="en-GB"/>
        </w:rPr>
        <w:t>exposure limit</w:t>
      </w:r>
      <w:r w:rsidRPr="002C0E2A">
        <w:rPr>
          <w:lang w:val="en-GB"/>
        </w:rPr>
        <w:t xml:space="preserve"> value, taking into account the measurement uncertainty contributions.</w:t>
      </w:r>
    </w:p>
    <w:p w14:paraId="220C2331" w14:textId="77777777" w:rsidR="00F86341" w:rsidRPr="002C0E2A" w:rsidRDefault="00F86341" w:rsidP="00F86341">
      <w:pPr>
        <w:pStyle w:val="CETBodytext"/>
        <w:rPr>
          <w:lang w:val="en-GB"/>
        </w:rPr>
      </w:pPr>
    </w:p>
    <w:p w14:paraId="46AEC161" w14:textId="77777777" w:rsidR="00F86341" w:rsidRPr="002C0E2A" w:rsidRDefault="00F86341" w:rsidP="00F86341">
      <w:pPr>
        <w:pStyle w:val="CETBodytext"/>
        <w:rPr>
          <w:lang w:val="en-GB"/>
        </w:rPr>
      </w:pPr>
    </w:p>
    <w:p w14:paraId="393D7104" w14:textId="77777777" w:rsidR="00F86341" w:rsidRPr="002C0E2A" w:rsidRDefault="00F86341" w:rsidP="00F86341">
      <w:pPr>
        <w:pStyle w:val="CETBodytext"/>
        <w:rPr>
          <w:lang w:val="en-GB"/>
        </w:rPr>
      </w:pPr>
    </w:p>
    <w:p w14:paraId="05258AF0" w14:textId="77777777" w:rsidR="00F86341" w:rsidRPr="002C0E2A" w:rsidRDefault="00F86341" w:rsidP="00F86341">
      <w:pPr>
        <w:pStyle w:val="CETReferencetext"/>
      </w:pPr>
      <w:r w:rsidRPr="002C0E2A">
        <w:t>EN 16841 Part 1 (</w:t>
      </w:r>
      <w:r>
        <w:t>2016</w:t>
      </w:r>
      <w:r w:rsidRPr="002C0E2A">
        <w:t>) -</w:t>
      </w:r>
      <w:r>
        <w:t>11</w:t>
      </w:r>
      <w:r w:rsidRPr="002C0E2A">
        <w:t xml:space="preserve">: </w:t>
      </w:r>
      <w:r w:rsidRPr="00CE1FD8">
        <w:t xml:space="preserve">Ambient air – Determination of odour in ambient air by using field inspection – Part 1: Grid method; </w:t>
      </w:r>
      <w:r w:rsidRPr="002C0E2A">
        <w:t xml:space="preserve">European Committee for Standardisation, </w:t>
      </w:r>
      <w:r>
        <w:t>November 2016</w:t>
      </w:r>
      <w:r w:rsidRPr="002C0E2A">
        <w:t xml:space="preserve">. </w:t>
      </w:r>
    </w:p>
    <w:p w14:paraId="1B6FE080" w14:textId="77777777" w:rsidR="00F86341" w:rsidRPr="00CC6067" w:rsidRDefault="00F86341" w:rsidP="00F86341">
      <w:pPr>
        <w:pStyle w:val="CETReferencetext"/>
      </w:pPr>
      <w:r w:rsidRPr="00CE1FD8">
        <w:t>D</w:t>
      </w:r>
      <w:r w:rsidRPr="00047228">
        <w:t xml:space="preserve">ata from the grid </w:t>
      </w:r>
      <w:r w:rsidRPr="00CC6067">
        <w:t>measurement reports of an industrial plant (anonymised)</w:t>
      </w:r>
    </w:p>
    <w:p w14:paraId="0AC0AB3D" w14:textId="2F6B87EB" w:rsidR="00F86341" w:rsidRPr="00CE1FD8" w:rsidRDefault="00F86341" w:rsidP="00F86341">
      <w:pPr>
        <w:pStyle w:val="CETReferencetext"/>
      </w:pPr>
      <w:r>
        <w:t xml:space="preserve">GOAA </w:t>
      </w:r>
      <w:r w:rsidRPr="00CE1FD8">
        <w:t>Detection and Assessment of Odour in Ambient Air</w:t>
      </w:r>
      <w:r>
        <w:t xml:space="preserve"> </w:t>
      </w:r>
      <w:r w:rsidRPr="00CE1FD8">
        <w:t>(Guideline on Odour in Ambient Air – GOAA)</w:t>
      </w:r>
      <w:r>
        <w:t xml:space="preserve">, </w:t>
      </w:r>
      <w:r w:rsidRPr="00CE1FD8">
        <w:t>29 February 2008</w:t>
      </w:r>
      <w:r>
        <w:t xml:space="preserve"> w</w:t>
      </w:r>
      <w:r w:rsidRPr="00CE1FD8">
        <w:t>ith supplement of 10 September 2008</w:t>
      </w:r>
      <w:r>
        <w:t>. Withdrawn December 2021.</w:t>
      </w:r>
    </w:p>
    <w:p w14:paraId="0C4FBC8F" w14:textId="77777777" w:rsidR="00F86341" w:rsidRPr="002C0E2A" w:rsidRDefault="00F86341" w:rsidP="00F86341">
      <w:pPr>
        <w:pStyle w:val="CETReferencetext"/>
      </w:pPr>
      <w:r w:rsidRPr="00CE1FD8">
        <w:t>V</w:t>
      </w:r>
      <w:r w:rsidRPr="002C0E2A">
        <w:t>DI 3940 Part 1 (2006) -</w:t>
      </w:r>
      <w:r>
        <w:t xml:space="preserve"> </w:t>
      </w:r>
      <w:r w:rsidRPr="002C0E2A">
        <w:t xml:space="preserve">02: </w:t>
      </w:r>
      <w:r w:rsidRPr="00CE1FD8">
        <w:t>Measurement of odour impact by field inspection – Measurement of the impact frequency of recognizable odours Grid measurement</w:t>
      </w:r>
      <w:r w:rsidRPr="002C0E2A">
        <w:t xml:space="preserve">; Corrigendum to guideline VDI 3940 Part 1:2006-02 Verein </w:t>
      </w:r>
      <w:proofErr w:type="spellStart"/>
      <w:r w:rsidRPr="002C0E2A">
        <w:t>Deutscher</w:t>
      </w:r>
      <w:proofErr w:type="spellEnd"/>
      <w:r w:rsidRPr="002C0E2A">
        <w:t xml:space="preserve"> </w:t>
      </w:r>
      <w:proofErr w:type="spellStart"/>
      <w:r w:rsidRPr="002C0E2A">
        <w:t>Ingenieure</w:t>
      </w:r>
      <w:proofErr w:type="spellEnd"/>
      <w:r w:rsidRPr="002C0E2A">
        <w:t>, October 2006.</w:t>
      </w:r>
      <w:r>
        <w:t xml:space="preserve"> Withdrawn in 2017.</w:t>
      </w:r>
    </w:p>
    <w:sectPr w:rsidR="00F86341" w:rsidRPr="002C0E2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9145" w14:textId="77777777" w:rsidR="00F63D8C" w:rsidRDefault="00F63D8C" w:rsidP="004F5E36">
      <w:r>
        <w:separator/>
      </w:r>
    </w:p>
  </w:endnote>
  <w:endnote w:type="continuationSeparator" w:id="0">
    <w:p w14:paraId="467F8E32" w14:textId="77777777" w:rsidR="00F63D8C" w:rsidRDefault="00F63D8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0865" w14:textId="77777777" w:rsidR="00F63D8C" w:rsidRDefault="00F63D8C" w:rsidP="004F5E36">
      <w:r>
        <w:separator/>
      </w:r>
    </w:p>
  </w:footnote>
  <w:footnote w:type="continuationSeparator" w:id="0">
    <w:p w14:paraId="26437637" w14:textId="77777777" w:rsidR="00F63D8C" w:rsidRDefault="00F63D8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4071A4"/>
    <w:multiLevelType w:val="multilevel"/>
    <w:tmpl w:val="D1568D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65618960">
    <w:abstractNumId w:val="10"/>
  </w:num>
  <w:num w:numId="2" w16cid:durableId="194512829">
    <w:abstractNumId w:val="8"/>
  </w:num>
  <w:num w:numId="3" w16cid:durableId="68038876">
    <w:abstractNumId w:val="3"/>
  </w:num>
  <w:num w:numId="4" w16cid:durableId="950741521">
    <w:abstractNumId w:val="2"/>
  </w:num>
  <w:num w:numId="5" w16cid:durableId="1308167630">
    <w:abstractNumId w:val="1"/>
  </w:num>
  <w:num w:numId="6" w16cid:durableId="1652521571">
    <w:abstractNumId w:val="0"/>
  </w:num>
  <w:num w:numId="7" w16cid:durableId="2136677552">
    <w:abstractNumId w:val="9"/>
  </w:num>
  <w:num w:numId="8" w16cid:durableId="1426195484">
    <w:abstractNumId w:val="7"/>
  </w:num>
  <w:num w:numId="9" w16cid:durableId="1241326327">
    <w:abstractNumId w:val="6"/>
  </w:num>
  <w:num w:numId="10" w16cid:durableId="1203057296">
    <w:abstractNumId w:val="5"/>
  </w:num>
  <w:num w:numId="11" w16cid:durableId="1971007033">
    <w:abstractNumId w:val="4"/>
  </w:num>
  <w:num w:numId="12" w16cid:durableId="504056967">
    <w:abstractNumId w:val="17"/>
  </w:num>
  <w:num w:numId="13" w16cid:durableId="995644814">
    <w:abstractNumId w:val="12"/>
  </w:num>
  <w:num w:numId="14" w16cid:durableId="2013338156">
    <w:abstractNumId w:val="18"/>
  </w:num>
  <w:num w:numId="15" w16cid:durableId="1718552661">
    <w:abstractNumId w:val="20"/>
  </w:num>
  <w:num w:numId="16" w16cid:durableId="1150169982">
    <w:abstractNumId w:val="19"/>
  </w:num>
  <w:num w:numId="17" w16cid:durableId="1609435464">
    <w:abstractNumId w:val="11"/>
  </w:num>
  <w:num w:numId="18" w16cid:durableId="831600045">
    <w:abstractNumId w:val="12"/>
    <w:lvlOverride w:ilvl="0">
      <w:startOverride w:val="1"/>
    </w:lvlOverride>
  </w:num>
  <w:num w:numId="19" w16cid:durableId="1713073140">
    <w:abstractNumId w:val="16"/>
  </w:num>
  <w:num w:numId="20" w16cid:durableId="330527418">
    <w:abstractNumId w:val="15"/>
  </w:num>
  <w:num w:numId="21" w16cid:durableId="744648514">
    <w:abstractNumId w:val="14"/>
  </w:num>
  <w:num w:numId="22" w16cid:durableId="977611228">
    <w:abstractNumId w:val="13"/>
  </w:num>
  <w:num w:numId="23" w16cid:durableId="1788157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62A9A"/>
    <w:rsid w:val="00065058"/>
    <w:rsid w:val="00072B04"/>
    <w:rsid w:val="00086C39"/>
    <w:rsid w:val="000A03B2"/>
    <w:rsid w:val="000D0268"/>
    <w:rsid w:val="000D34BE"/>
    <w:rsid w:val="000E102F"/>
    <w:rsid w:val="000E36F1"/>
    <w:rsid w:val="000E3A73"/>
    <w:rsid w:val="000E414A"/>
    <w:rsid w:val="000F093C"/>
    <w:rsid w:val="000F664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469C"/>
    <w:rsid w:val="00321CA6"/>
    <w:rsid w:val="00323763"/>
    <w:rsid w:val="00323C5F"/>
    <w:rsid w:val="00334C09"/>
    <w:rsid w:val="003723D4"/>
    <w:rsid w:val="00381905"/>
    <w:rsid w:val="00384CC8"/>
    <w:rsid w:val="003871FD"/>
    <w:rsid w:val="003A1E30"/>
    <w:rsid w:val="003A2829"/>
    <w:rsid w:val="003A7D1C"/>
    <w:rsid w:val="003B304B"/>
    <w:rsid w:val="003B3146"/>
    <w:rsid w:val="003D396C"/>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026A"/>
    <w:rsid w:val="004E4DD6"/>
    <w:rsid w:val="004F5E36"/>
    <w:rsid w:val="00507B47"/>
    <w:rsid w:val="00507BEF"/>
    <w:rsid w:val="00507CC9"/>
    <w:rsid w:val="005119A5"/>
    <w:rsid w:val="005278B7"/>
    <w:rsid w:val="00532016"/>
    <w:rsid w:val="005346C8"/>
    <w:rsid w:val="00543E7D"/>
    <w:rsid w:val="00547A68"/>
    <w:rsid w:val="005531C9"/>
    <w:rsid w:val="00570C43"/>
    <w:rsid w:val="00580E75"/>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A635D"/>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80013E"/>
    <w:rsid w:val="00813288"/>
    <w:rsid w:val="008168FC"/>
    <w:rsid w:val="00824256"/>
    <w:rsid w:val="00830996"/>
    <w:rsid w:val="008345F1"/>
    <w:rsid w:val="00865B07"/>
    <w:rsid w:val="008667EA"/>
    <w:rsid w:val="0087637F"/>
    <w:rsid w:val="00882942"/>
    <w:rsid w:val="00892AD5"/>
    <w:rsid w:val="008A1512"/>
    <w:rsid w:val="008A37C3"/>
    <w:rsid w:val="008D32B9"/>
    <w:rsid w:val="008D433B"/>
    <w:rsid w:val="008D4A16"/>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4A45"/>
    <w:rsid w:val="00967843"/>
    <w:rsid w:val="00967D54"/>
    <w:rsid w:val="009708E0"/>
    <w:rsid w:val="00971028"/>
    <w:rsid w:val="00993B84"/>
    <w:rsid w:val="00996483"/>
    <w:rsid w:val="00996F5A"/>
    <w:rsid w:val="009B041A"/>
    <w:rsid w:val="009C37C3"/>
    <w:rsid w:val="009C7C86"/>
    <w:rsid w:val="009D2FF7"/>
    <w:rsid w:val="009E3549"/>
    <w:rsid w:val="009E7884"/>
    <w:rsid w:val="009E788A"/>
    <w:rsid w:val="009F0E08"/>
    <w:rsid w:val="00A1763D"/>
    <w:rsid w:val="00A17CEC"/>
    <w:rsid w:val="00A27EF0"/>
    <w:rsid w:val="00A42361"/>
    <w:rsid w:val="00A50B20"/>
    <w:rsid w:val="00A51390"/>
    <w:rsid w:val="00A60D13"/>
    <w:rsid w:val="00A7223D"/>
    <w:rsid w:val="00A72745"/>
    <w:rsid w:val="00A728CF"/>
    <w:rsid w:val="00A76EFC"/>
    <w:rsid w:val="00A91010"/>
    <w:rsid w:val="00A97F29"/>
    <w:rsid w:val="00AA702E"/>
    <w:rsid w:val="00AB0964"/>
    <w:rsid w:val="00AB5011"/>
    <w:rsid w:val="00AC7368"/>
    <w:rsid w:val="00AD16B9"/>
    <w:rsid w:val="00AE377D"/>
    <w:rsid w:val="00AF0EBA"/>
    <w:rsid w:val="00B02C8A"/>
    <w:rsid w:val="00B16D88"/>
    <w:rsid w:val="00B17FBD"/>
    <w:rsid w:val="00B315A6"/>
    <w:rsid w:val="00B31813"/>
    <w:rsid w:val="00B33365"/>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75"/>
    <w:rsid w:val="00CA1C95"/>
    <w:rsid w:val="00CA5A9C"/>
    <w:rsid w:val="00CC4C20"/>
    <w:rsid w:val="00CD3517"/>
    <w:rsid w:val="00CD5FE2"/>
    <w:rsid w:val="00CE7C68"/>
    <w:rsid w:val="00D02B4C"/>
    <w:rsid w:val="00D040C4"/>
    <w:rsid w:val="00D20AD1"/>
    <w:rsid w:val="00D46B7E"/>
    <w:rsid w:val="00D57C84"/>
    <w:rsid w:val="00D6057D"/>
    <w:rsid w:val="00D71640"/>
    <w:rsid w:val="00D836C5"/>
    <w:rsid w:val="00D84576"/>
    <w:rsid w:val="00DA1399"/>
    <w:rsid w:val="00DA24C6"/>
    <w:rsid w:val="00DA4D7B"/>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09EB"/>
    <w:rsid w:val="00E978D0"/>
    <w:rsid w:val="00EA4613"/>
    <w:rsid w:val="00EA7F91"/>
    <w:rsid w:val="00EB1523"/>
    <w:rsid w:val="00EC0E49"/>
    <w:rsid w:val="00EC101F"/>
    <w:rsid w:val="00EC1D9F"/>
    <w:rsid w:val="00ED7A70"/>
    <w:rsid w:val="00EE0131"/>
    <w:rsid w:val="00EE17B0"/>
    <w:rsid w:val="00EF06D9"/>
    <w:rsid w:val="00F30C64"/>
    <w:rsid w:val="00F32BA2"/>
    <w:rsid w:val="00F32CDB"/>
    <w:rsid w:val="00F565FE"/>
    <w:rsid w:val="00F63A70"/>
    <w:rsid w:val="00F63D8C"/>
    <w:rsid w:val="00F7534E"/>
    <w:rsid w:val="00F86341"/>
    <w:rsid w:val="00FA1802"/>
    <w:rsid w:val="00FA21D0"/>
    <w:rsid w:val="00FA519F"/>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rsid w:val="004F5E36"/>
    <w:pPr>
      <w:tabs>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Kommentarzeichen">
    <w:name w:val="annotation reference"/>
    <w:basedOn w:val="Absatz-Standardschriftart"/>
    <w:uiPriority w:val="99"/>
    <w:semiHidden/>
    <w:unhideWhenUsed/>
    <w:rsid w:val="004577FE"/>
    <w:rPr>
      <w:sz w:val="16"/>
      <w:szCs w:val="16"/>
    </w:rPr>
  </w:style>
  <w:style w:type="paragraph" w:styleId="Sprechblasentext">
    <w:name w:val="Balloon Text"/>
    <w:basedOn w:val="Standard"/>
    <w:link w:val="SprechblasentextZchn"/>
    <w:uiPriority w:val="99"/>
    <w:semiHidden/>
    <w:unhideWhenUs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CETReferencetext"/>
    <w:uiPriority w:val="37"/>
    <w:unhideWhenUsed/>
    <w:rsid w:val="00631B33"/>
    <w:pPr>
      <w:spacing w:line="240" w:lineRule="auto"/>
      <w:ind w:left="720" w:hanging="720"/>
    </w:pPr>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rsid w:val="0003148D"/>
    <w:pPr>
      <w:spacing w:line="240" w:lineRule="auto"/>
    </w:pPr>
    <w:rPr>
      <w:b/>
      <w:bCs/>
      <w:color w:val="4F81BD" w:themeColor="accent1"/>
      <w:szCs w:val="18"/>
    </w:rPr>
  </w:style>
  <w:style w:type="paragraph" w:styleId="Liste">
    <w:name w:val="List"/>
    <w:basedOn w:val="Standard"/>
    <w:uiPriority w:val="99"/>
    <w:semiHidden/>
    <w:unhideWhenUsed/>
    <w:rsid w:val="0003148D"/>
    <w:pPr>
      <w:ind w:left="283" w:hanging="283"/>
      <w:contextualSpacing/>
    </w:pPr>
  </w:style>
  <w:style w:type="paragraph" w:styleId="Liste2">
    <w:name w:val="List 2"/>
    <w:basedOn w:val="Standard"/>
    <w:uiPriority w:val="99"/>
    <w:semiHidden/>
    <w:unhideWhenUsed/>
    <w:rsid w:val="0003148D"/>
    <w:pPr>
      <w:ind w:left="566" w:hanging="283"/>
      <w:contextualSpacing/>
    </w:pPr>
  </w:style>
  <w:style w:type="paragraph" w:styleId="Liste3">
    <w:name w:val="List 3"/>
    <w:basedOn w:val="Standard"/>
    <w:uiPriority w:val="99"/>
    <w:semiHidden/>
    <w:unhideWhenUsed/>
    <w:rsid w:val="0003148D"/>
    <w:pPr>
      <w:ind w:left="849" w:hanging="283"/>
      <w:contextualSpacing/>
    </w:pPr>
  </w:style>
  <w:style w:type="paragraph" w:styleId="Liste4">
    <w:name w:val="List 4"/>
    <w:basedOn w:val="Standard"/>
    <w:uiPriority w:val="99"/>
    <w:semiHidden/>
    <w:unhideWhenUsed/>
    <w:rsid w:val="0003148D"/>
    <w:pPr>
      <w:ind w:left="1132" w:hanging="283"/>
      <w:contextualSpacing/>
    </w:pPr>
  </w:style>
  <w:style w:type="paragraph" w:styleId="Liste5">
    <w:name w:val="List 5"/>
    <w:basedOn w:val="Standard"/>
    <w:uiPriority w:val="99"/>
    <w:semiHidden/>
    <w:unhideWhenUsed/>
    <w:rsid w:val="0003148D"/>
    <w:pPr>
      <w:ind w:left="1415" w:hanging="283"/>
      <w:contextualSpacing/>
    </w:pPr>
  </w:style>
  <w:style w:type="paragraph" w:styleId="Listenfortsetzung">
    <w:name w:val="List Continue"/>
    <w:basedOn w:val="Standard"/>
    <w:uiPriority w:val="99"/>
    <w:semiHidden/>
    <w:unhideWhenUsed/>
    <w:rsid w:val="0003148D"/>
    <w:pPr>
      <w:spacing w:after="120"/>
      <w:ind w:left="283"/>
      <w:contextualSpacing/>
    </w:pPr>
  </w:style>
  <w:style w:type="paragraph" w:styleId="Listenfortsetzung2">
    <w:name w:val="List Continue 2"/>
    <w:basedOn w:val="Standard"/>
    <w:uiPriority w:val="99"/>
    <w:semiHidden/>
    <w:unhideWhenUsed/>
    <w:rsid w:val="0003148D"/>
    <w:pPr>
      <w:spacing w:after="120"/>
      <w:ind w:left="566"/>
      <w:contextualSpacing/>
    </w:pPr>
  </w:style>
  <w:style w:type="paragraph" w:styleId="Listenfortsetzung3">
    <w:name w:val="List Continue 3"/>
    <w:basedOn w:val="Standard"/>
    <w:uiPriority w:val="99"/>
    <w:semiHidden/>
    <w:unhideWhenUsed/>
    <w:rsid w:val="0003148D"/>
    <w:pPr>
      <w:spacing w:after="120"/>
      <w:ind w:left="849"/>
      <w:contextualSpacing/>
    </w:pPr>
  </w:style>
  <w:style w:type="paragraph" w:styleId="Listenfortsetzung4">
    <w:name w:val="List Continue 4"/>
    <w:basedOn w:val="Standard"/>
    <w:uiPriority w:val="99"/>
    <w:semiHidden/>
    <w:unhideWhenUsed/>
    <w:rsid w:val="0003148D"/>
    <w:pPr>
      <w:spacing w:after="120"/>
      <w:ind w:left="1132"/>
      <w:contextualSpacing/>
    </w:pPr>
  </w:style>
  <w:style w:type="paragraph" w:styleId="Listenfortsetzung5">
    <w:name w:val="List Continue 5"/>
    <w:basedOn w:val="Standard"/>
    <w:uiPriority w:val="99"/>
    <w:semiHidden/>
    <w:unhideWhenUsed/>
    <w:rsid w:val="0003148D"/>
    <w:pPr>
      <w:spacing w:after="120"/>
      <w:ind w:left="1415"/>
      <w:contextualSpacing/>
    </w:pPr>
  </w:style>
  <w:style w:type="paragraph" w:styleId="Unterschrift">
    <w:name w:val="Signature"/>
    <w:basedOn w:val="Standard"/>
    <w:link w:val="UnterschriftZchn"/>
    <w:uiPriority w:val="99"/>
    <w:semiHidden/>
    <w:unhideWhenUs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rsid w:val="0003148D"/>
    <w:pPr>
      <w:spacing w:line="240" w:lineRule="auto"/>
      <w:ind w:left="220" w:hanging="220"/>
    </w:pPr>
  </w:style>
  <w:style w:type="paragraph" w:styleId="Index2">
    <w:name w:val="index 2"/>
    <w:basedOn w:val="Standard"/>
    <w:next w:val="Standard"/>
    <w:autoRedefine/>
    <w:uiPriority w:val="99"/>
    <w:semiHidden/>
    <w:unhideWhenUsed/>
    <w:rsid w:val="0003148D"/>
    <w:pPr>
      <w:spacing w:line="240" w:lineRule="auto"/>
      <w:ind w:left="440" w:hanging="220"/>
    </w:pPr>
  </w:style>
  <w:style w:type="paragraph" w:styleId="Index3">
    <w:name w:val="index 3"/>
    <w:basedOn w:val="Standard"/>
    <w:next w:val="Standard"/>
    <w:autoRedefine/>
    <w:uiPriority w:val="99"/>
    <w:semiHidden/>
    <w:unhideWhenUsed/>
    <w:rsid w:val="0003148D"/>
    <w:pPr>
      <w:spacing w:line="240" w:lineRule="auto"/>
      <w:ind w:left="660" w:hanging="220"/>
    </w:pPr>
  </w:style>
  <w:style w:type="paragraph" w:styleId="Index4">
    <w:name w:val="index 4"/>
    <w:basedOn w:val="Standard"/>
    <w:next w:val="Standard"/>
    <w:autoRedefine/>
    <w:uiPriority w:val="99"/>
    <w:semiHidden/>
    <w:unhideWhenUsed/>
    <w:rsid w:val="0003148D"/>
    <w:pPr>
      <w:spacing w:line="240" w:lineRule="auto"/>
      <w:ind w:left="880" w:hanging="220"/>
    </w:pPr>
  </w:style>
  <w:style w:type="paragraph" w:styleId="Index5">
    <w:name w:val="index 5"/>
    <w:basedOn w:val="Standard"/>
    <w:next w:val="Standard"/>
    <w:autoRedefine/>
    <w:uiPriority w:val="99"/>
    <w:semiHidden/>
    <w:unhideWhenUsed/>
    <w:rsid w:val="0003148D"/>
    <w:pPr>
      <w:spacing w:line="240" w:lineRule="auto"/>
      <w:ind w:left="1100" w:hanging="220"/>
    </w:pPr>
  </w:style>
  <w:style w:type="paragraph" w:styleId="Index6">
    <w:name w:val="index 6"/>
    <w:basedOn w:val="Standard"/>
    <w:next w:val="Standard"/>
    <w:autoRedefine/>
    <w:uiPriority w:val="99"/>
    <w:semiHidden/>
    <w:unhideWhenUsed/>
    <w:rsid w:val="0003148D"/>
    <w:pPr>
      <w:spacing w:line="240" w:lineRule="auto"/>
      <w:ind w:left="1320" w:hanging="220"/>
    </w:pPr>
  </w:style>
  <w:style w:type="paragraph" w:styleId="Index7">
    <w:name w:val="index 7"/>
    <w:basedOn w:val="Standard"/>
    <w:next w:val="Standard"/>
    <w:autoRedefine/>
    <w:uiPriority w:val="99"/>
    <w:semiHidden/>
    <w:unhideWhenUsed/>
    <w:rsid w:val="0003148D"/>
    <w:pPr>
      <w:spacing w:line="240" w:lineRule="auto"/>
      <w:ind w:left="1540" w:hanging="220"/>
    </w:pPr>
  </w:style>
  <w:style w:type="paragraph" w:styleId="Index8">
    <w:name w:val="index 8"/>
    <w:basedOn w:val="Standard"/>
    <w:next w:val="Standard"/>
    <w:autoRedefine/>
    <w:uiPriority w:val="99"/>
    <w:semiHidden/>
    <w:unhideWhenUsed/>
    <w:rsid w:val="0003148D"/>
    <w:pPr>
      <w:spacing w:line="240" w:lineRule="auto"/>
      <w:ind w:left="1760" w:hanging="220"/>
    </w:pPr>
  </w:style>
  <w:style w:type="paragraph" w:styleId="Index9">
    <w:name w:val="index 9"/>
    <w:basedOn w:val="Standard"/>
    <w:next w:val="Standard"/>
    <w:autoRedefine/>
    <w:uiPriority w:val="99"/>
    <w:semiHidden/>
    <w:unhideWhenUsed/>
    <w:rsid w:val="0003148D"/>
    <w:pPr>
      <w:spacing w:line="240" w:lineRule="auto"/>
      <w:ind w:left="1980" w:hanging="220"/>
    </w:pPr>
  </w:style>
  <w:style w:type="paragraph" w:styleId="Abbildungsverzeichnis">
    <w:name w:val="table of figures"/>
    <w:basedOn w:val="Standard"/>
    <w:next w:val="Standard"/>
    <w:uiPriority w:val="99"/>
    <w:semiHidden/>
    <w:unhideWhenUsed/>
    <w:rsid w:val="0003148D"/>
  </w:style>
  <w:style w:type="paragraph" w:styleId="Rechtsgrundlagenverzeichnis">
    <w:name w:val="table of authorities"/>
    <w:basedOn w:val="Standard"/>
    <w:next w:val="Standard"/>
    <w:uiPriority w:val="99"/>
    <w:semiHidden/>
    <w:unhideWhenUsed/>
    <w:rsid w:val="0003148D"/>
    <w:pPr>
      <w:ind w:left="220" w:hanging="220"/>
    </w:pPr>
  </w:style>
  <w:style w:type="paragraph" w:styleId="Umschlagadresse">
    <w:name w:val="envelope address"/>
    <w:basedOn w:val="Stand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rsid w:val="0003148D"/>
    <w:rPr>
      <w:sz w:val="24"/>
      <w:szCs w:val="24"/>
    </w:rPr>
  </w:style>
  <w:style w:type="paragraph" w:styleId="Listennummer">
    <w:name w:val="List Number"/>
    <w:basedOn w:val="Standard"/>
    <w:uiPriority w:val="99"/>
    <w:semiHidden/>
    <w:unhideWhenUsed/>
    <w:rsid w:val="0003148D"/>
    <w:pPr>
      <w:numPr>
        <w:numId w:val="2"/>
      </w:numPr>
      <w:contextualSpacing/>
    </w:pPr>
  </w:style>
  <w:style w:type="paragraph" w:styleId="Listennummer2">
    <w:name w:val="List Number 2"/>
    <w:basedOn w:val="Standard"/>
    <w:uiPriority w:val="99"/>
    <w:semiHidden/>
    <w:unhideWhenUsed/>
    <w:rsid w:val="0003148D"/>
    <w:pPr>
      <w:numPr>
        <w:numId w:val="3"/>
      </w:numPr>
      <w:contextualSpacing/>
    </w:pPr>
  </w:style>
  <w:style w:type="paragraph" w:styleId="Listennummer3">
    <w:name w:val="List Number 3"/>
    <w:basedOn w:val="Standard"/>
    <w:uiPriority w:val="99"/>
    <w:semiHidden/>
    <w:unhideWhenUsed/>
    <w:rsid w:val="0003148D"/>
    <w:pPr>
      <w:numPr>
        <w:numId w:val="4"/>
      </w:numPr>
      <w:contextualSpacing/>
    </w:pPr>
  </w:style>
  <w:style w:type="paragraph" w:styleId="Listennummer4">
    <w:name w:val="List Number 4"/>
    <w:basedOn w:val="Standard"/>
    <w:uiPriority w:val="99"/>
    <w:semiHidden/>
    <w:unhideWhenUsed/>
    <w:rsid w:val="0003148D"/>
    <w:pPr>
      <w:numPr>
        <w:numId w:val="5"/>
      </w:numPr>
      <w:contextualSpacing/>
    </w:pPr>
  </w:style>
  <w:style w:type="paragraph" w:styleId="Listennummer5">
    <w:name w:val="List Number 5"/>
    <w:basedOn w:val="Standard"/>
    <w:uiPriority w:val="99"/>
    <w:semiHidden/>
    <w:unhideWhenUsed/>
    <w:rsid w:val="0003148D"/>
    <w:pPr>
      <w:numPr>
        <w:numId w:val="6"/>
      </w:numPr>
      <w:contextualSpacing/>
    </w:pPr>
  </w:style>
  <w:style w:type="paragraph" w:styleId="HTMLVorformatiert">
    <w:name w:val="HTML Preformatted"/>
    <w:basedOn w:val="Standard"/>
    <w:link w:val="HTMLVorformatiertZchn"/>
    <w:uiPriority w:val="99"/>
    <w:semiHidden/>
    <w:unhideWhenUs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rsid w:val="0003148D"/>
    <w:pPr>
      <w:numPr>
        <w:numId w:val="7"/>
      </w:numPr>
      <w:contextualSpacing/>
    </w:pPr>
  </w:style>
  <w:style w:type="paragraph" w:styleId="Aufzhlungszeichen2">
    <w:name w:val="List Bullet 2"/>
    <w:basedOn w:val="Standard"/>
    <w:uiPriority w:val="99"/>
    <w:semiHidden/>
    <w:unhideWhenUsed/>
    <w:rsid w:val="0003148D"/>
    <w:pPr>
      <w:numPr>
        <w:numId w:val="8"/>
      </w:numPr>
      <w:contextualSpacing/>
    </w:pPr>
  </w:style>
  <w:style w:type="paragraph" w:styleId="Aufzhlungszeichen3">
    <w:name w:val="List Bullet 3"/>
    <w:basedOn w:val="Standard"/>
    <w:uiPriority w:val="99"/>
    <w:semiHidden/>
    <w:unhideWhenUsed/>
    <w:rsid w:val="0003148D"/>
    <w:pPr>
      <w:numPr>
        <w:numId w:val="9"/>
      </w:numPr>
      <w:contextualSpacing/>
    </w:pPr>
  </w:style>
  <w:style w:type="paragraph" w:styleId="Aufzhlungszeichen4">
    <w:name w:val="List Bullet 4"/>
    <w:basedOn w:val="Standard"/>
    <w:uiPriority w:val="99"/>
    <w:semiHidden/>
    <w:unhideWhenUsed/>
    <w:rsid w:val="0003148D"/>
    <w:pPr>
      <w:numPr>
        <w:numId w:val="10"/>
      </w:numPr>
      <w:contextualSpacing/>
    </w:pPr>
  </w:style>
  <w:style w:type="paragraph" w:styleId="Aufzhlungszeichen5">
    <w:name w:val="List Bullet 5"/>
    <w:basedOn w:val="Standard"/>
    <w:uiPriority w:val="99"/>
    <w:semiHidden/>
    <w:unhideWhenUsed/>
    <w:rsid w:val="0003148D"/>
    <w:pPr>
      <w:numPr>
        <w:numId w:val="11"/>
      </w:numPr>
      <w:contextualSpacing/>
    </w:pPr>
  </w:style>
  <w:style w:type="paragraph" w:styleId="Textkrper-Einzug2">
    <w:name w:val="Body Text Indent 2"/>
    <w:basedOn w:val="Standard"/>
    <w:link w:val="Textkrper-Einzug2Zchn"/>
    <w:uiPriority w:val="99"/>
    <w:semiHidden/>
    <w:unhideWhenUs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rsid w:val="0003148D"/>
    <w:pPr>
      <w:ind w:left="720"/>
    </w:pPr>
  </w:style>
  <w:style w:type="paragraph" w:styleId="Kommentartext">
    <w:name w:val="annotation text"/>
    <w:basedOn w:val="Standard"/>
    <w:link w:val="KommentartextZchn"/>
    <w:uiPriority w:val="99"/>
    <w:unhideWhenUsed/>
    <w:rsid w:val="0003148D"/>
    <w:pPr>
      <w:spacing w:line="240" w:lineRule="auto"/>
    </w:pPr>
  </w:style>
  <w:style w:type="character" w:customStyle="1" w:styleId="KommentartextZchn">
    <w:name w:val="Kommentartext Zchn"/>
    <w:basedOn w:val="Absatz-Standardschriftart"/>
    <w:link w:val="Kommentartext"/>
    <w:uiPriority w:val="99"/>
    <w:rsid w:val="0003148D"/>
    <w:rPr>
      <w:sz w:val="20"/>
      <w:szCs w:val="20"/>
    </w:rPr>
  </w:style>
  <w:style w:type="paragraph" w:styleId="Kommentarthema">
    <w:name w:val="annotation subject"/>
    <w:basedOn w:val="Kommentartext"/>
    <w:next w:val="Kommentartext"/>
    <w:link w:val="KommentarthemaZchn"/>
    <w:uiPriority w:val="99"/>
    <w:semiHidden/>
    <w:unhideWhenUs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rsid w:val="0003148D"/>
    <w:pPr>
      <w:spacing w:after="100"/>
    </w:pPr>
  </w:style>
  <w:style w:type="paragraph" w:styleId="Verzeichnis2">
    <w:name w:val="toc 2"/>
    <w:basedOn w:val="Standard"/>
    <w:next w:val="Standard"/>
    <w:autoRedefine/>
    <w:uiPriority w:val="39"/>
    <w:semiHidden/>
    <w:unhideWhenUsed/>
    <w:rsid w:val="0003148D"/>
    <w:pPr>
      <w:spacing w:after="100"/>
      <w:ind w:left="220"/>
    </w:pPr>
  </w:style>
  <w:style w:type="paragraph" w:styleId="Verzeichnis3">
    <w:name w:val="toc 3"/>
    <w:basedOn w:val="Standard"/>
    <w:next w:val="Standard"/>
    <w:autoRedefine/>
    <w:uiPriority w:val="39"/>
    <w:semiHidden/>
    <w:unhideWhenUsed/>
    <w:rsid w:val="0003148D"/>
    <w:pPr>
      <w:spacing w:after="100"/>
      <w:ind w:left="440"/>
    </w:pPr>
  </w:style>
  <w:style w:type="paragraph" w:styleId="Verzeichnis4">
    <w:name w:val="toc 4"/>
    <w:basedOn w:val="Standard"/>
    <w:next w:val="Standard"/>
    <w:autoRedefine/>
    <w:uiPriority w:val="39"/>
    <w:semiHidden/>
    <w:unhideWhenUsed/>
    <w:rsid w:val="0003148D"/>
    <w:pPr>
      <w:spacing w:after="100"/>
      <w:ind w:left="660"/>
    </w:pPr>
  </w:style>
  <w:style w:type="paragraph" w:styleId="Verzeichnis5">
    <w:name w:val="toc 5"/>
    <w:basedOn w:val="Standard"/>
    <w:next w:val="Standard"/>
    <w:autoRedefine/>
    <w:uiPriority w:val="39"/>
    <w:semiHidden/>
    <w:unhideWhenUsed/>
    <w:rsid w:val="0003148D"/>
    <w:pPr>
      <w:spacing w:after="100"/>
      <w:ind w:left="880"/>
    </w:pPr>
  </w:style>
  <w:style w:type="paragraph" w:styleId="Verzeichnis6">
    <w:name w:val="toc 6"/>
    <w:basedOn w:val="Standard"/>
    <w:next w:val="Standard"/>
    <w:autoRedefine/>
    <w:uiPriority w:val="39"/>
    <w:semiHidden/>
    <w:unhideWhenUsed/>
    <w:rsid w:val="0003148D"/>
    <w:pPr>
      <w:spacing w:after="100"/>
      <w:ind w:left="1100"/>
    </w:pPr>
  </w:style>
  <w:style w:type="paragraph" w:styleId="Verzeichnis7">
    <w:name w:val="toc 7"/>
    <w:basedOn w:val="Standard"/>
    <w:next w:val="Standard"/>
    <w:autoRedefine/>
    <w:uiPriority w:val="39"/>
    <w:semiHidden/>
    <w:unhideWhenUsed/>
    <w:rsid w:val="0003148D"/>
    <w:pPr>
      <w:spacing w:after="100"/>
      <w:ind w:left="1320"/>
    </w:pPr>
  </w:style>
  <w:style w:type="paragraph" w:styleId="Verzeichnis8">
    <w:name w:val="toc 8"/>
    <w:basedOn w:val="Standard"/>
    <w:next w:val="Standard"/>
    <w:autoRedefine/>
    <w:uiPriority w:val="39"/>
    <w:semiHidden/>
    <w:unhideWhenUsed/>
    <w:rsid w:val="0003148D"/>
    <w:pPr>
      <w:spacing w:after="100"/>
      <w:ind w:left="1540"/>
    </w:pPr>
  </w:style>
  <w:style w:type="paragraph" w:styleId="Verzeichnis9">
    <w:name w:val="toc 9"/>
    <w:basedOn w:val="Standard"/>
    <w:next w:val="Standard"/>
    <w:autoRedefine/>
    <w:uiPriority w:val="39"/>
    <w:semiHidden/>
    <w:unhideWhenUsed/>
    <w:rsid w:val="0003148D"/>
    <w:pPr>
      <w:spacing w:after="100"/>
      <w:ind w:left="1760"/>
    </w:pPr>
  </w:style>
  <w:style w:type="paragraph" w:styleId="Blocktext">
    <w:name w:val="Block Text"/>
    <w:basedOn w:val="Stand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fzeile">
    <w:name w:val="header"/>
    <w:basedOn w:val="Standard"/>
    <w:link w:val="KopfzeileZchn"/>
    <w:uiPriority w:val="99"/>
    <w:unhideWhenUs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04C62"/>
    <w:rPr>
      <w:color w:val="0000FF" w:themeColor="hyperlink"/>
      <w:u w:val="single"/>
    </w:rPr>
  </w:style>
  <w:style w:type="character" w:customStyle="1" w:styleId="eudoraheader">
    <w:name w:val="eudoraheader"/>
    <w:basedOn w:val="Absatz-Standardschriftar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enabsatz">
    <w:name w:val="List Paragraph"/>
    <w:basedOn w:val="Standard"/>
    <w:uiPriority w:val="34"/>
    <w:rsid w:val="00280FAF"/>
    <w:pPr>
      <w:ind w:left="720"/>
      <w:contextualSpacing/>
    </w:pPr>
  </w:style>
  <w:style w:type="table" w:styleId="Gitternetztabelle1hellAkzent6">
    <w:name w:val="Grid Table 1 Light Accent 6"/>
    <w:basedOn w:val="NormaleTabelle"/>
    <w:uiPriority w:val="46"/>
    <w:rsid w:val="00F86341"/>
    <w:pPr>
      <w:spacing w:after="0" w:line="240" w:lineRule="auto"/>
    </w:pPr>
    <w:rPr>
      <w:lang w:val="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c1\Daten\080_Knowhow\Konferenzen\14_2021\11-VDI_Ger&#252;che_Umwelt_November_Leipzig\Vortrag_Rasterbegehung_Janina\VDI%20Vortrag%20Auswertung\2018\Auswertung%20Boxplot_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1\Daten\080_Knowhow\Konferenzen\14_2021\11-VDI_Ger&#252;che_Umwelt_November_Leipzig\Vortrag_Rasterbegehung_Janina\VDI%20Vortrag%20Auswertung\2019\Auswertung%20Boxplot_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1\Daten\080_Knowhow\Konferenzen\14_2021\11-VDI_Ger&#252;che_Umwelt_November_Leipzig\Vortrag_Rasterbegehung_Janina\VDI%20Vortrag%20Auswertung\2020\Auswertung%20Boxplot_202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a:latin typeface="Arial" panose="020B0604020202020204" pitchFamily="34" charset="0"/>
                <a:cs typeface="Arial" panose="020B0604020202020204" pitchFamily="34" charset="0"/>
              </a:rPr>
              <a:t>Results of the uncertainty of the total odour exposure in 2018</a:t>
            </a:r>
          </a:p>
        </c:rich>
      </c:tx>
      <c:layout>
        <c:manualLayout>
          <c:xMode val="edge"/>
          <c:yMode val="edge"/>
          <c:x val="0.18951537307836522"/>
          <c:y val="2.457164054630722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manualLayout>
          <c:layoutTarget val="inner"/>
          <c:xMode val="edge"/>
          <c:yMode val="edge"/>
          <c:x val="0.11999451791447391"/>
          <c:y val="9.2196110621307475E-2"/>
          <c:w val="0.83756043489977139"/>
          <c:h val="0.77849937676709335"/>
        </c:manualLayout>
      </c:layout>
      <c:barChart>
        <c:barDir val="col"/>
        <c:grouping val="clustered"/>
        <c:varyColors val="0"/>
        <c:ser>
          <c:idx val="0"/>
          <c:order val="0"/>
          <c:tx>
            <c:strRef>
              <c:f>Gesamtbelastung!$B$4</c:f>
              <c:strCache>
                <c:ptCount val="1"/>
                <c:pt idx="0">
                  <c:v>Gesamt </c:v>
                </c:pt>
              </c:strCache>
            </c:strRef>
          </c:tx>
          <c:spPr>
            <a:pattFill prst="wdDnDiag">
              <a:fgClr>
                <a:schemeClr val="bg1">
                  <a:lumMod val="50000"/>
                </a:schemeClr>
              </a:fgClr>
              <a:bgClr>
                <a:schemeClr val="bg1">
                  <a:lumMod val="85000"/>
                </a:schemeClr>
              </a:bgClr>
            </a:pattFill>
            <a:ln>
              <a:noFill/>
            </a:ln>
            <a:effectLst/>
          </c:spPr>
          <c:invertIfNegative val="0"/>
          <c:errBars>
            <c:errBarType val="both"/>
            <c:errValType val="cust"/>
            <c:noEndCap val="0"/>
            <c:plus>
              <c:numRef>
                <c:f>Gesamtbelastung!$C$5:$C$12</c:f>
                <c:numCache>
                  <c:formatCode>General</c:formatCode>
                  <c:ptCount val="8"/>
                  <c:pt idx="0">
                    <c:v>4</c:v>
                  </c:pt>
                  <c:pt idx="1">
                    <c:v>3</c:v>
                  </c:pt>
                  <c:pt idx="2">
                    <c:v>3</c:v>
                  </c:pt>
                  <c:pt idx="3">
                    <c:v>4</c:v>
                  </c:pt>
                  <c:pt idx="4">
                    <c:v>2</c:v>
                  </c:pt>
                  <c:pt idx="5">
                    <c:v>4</c:v>
                  </c:pt>
                  <c:pt idx="6">
                    <c:v>5</c:v>
                  </c:pt>
                  <c:pt idx="7">
                    <c:v>3</c:v>
                  </c:pt>
                </c:numCache>
              </c:numRef>
            </c:plus>
            <c:minus>
              <c:numRef>
                <c:f>Gesamtbelastung!$D$5:$D$12</c:f>
                <c:numCache>
                  <c:formatCode>General</c:formatCode>
                  <c:ptCount val="8"/>
                  <c:pt idx="0">
                    <c:v>7</c:v>
                  </c:pt>
                  <c:pt idx="1">
                    <c:v>5</c:v>
                  </c:pt>
                  <c:pt idx="2">
                    <c:v>6</c:v>
                  </c:pt>
                  <c:pt idx="3">
                    <c:v>5</c:v>
                  </c:pt>
                  <c:pt idx="4">
                    <c:v>5</c:v>
                  </c:pt>
                  <c:pt idx="5">
                    <c:v>6</c:v>
                  </c:pt>
                  <c:pt idx="6">
                    <c:v>7</c:v>
                  </c:pt>
                  <c:pt idx="7">
                    <c:v>5</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Gesamtbelastung!$B$5:$B$12</c:f>
              <c:numCache>
                <c:formatCode>General</c:formatCode>
                <c:ptCount val="8"/>
                <c:pt idx="0">
                  <c:v>12</c:v>
                </c:pt>
                <c:pt idx="1">
                  <c:v>16</c:v>
                </c:pt>
                <c:pt idx="2">
                  <c:v>14</c:v>
                </c:pt>
                <c:pt idx="3">
                  <c:v>15</c:v>
                </c:pt>
                <c:pt idx="4">
                  <c:v>13</c:v>
                </c:pt>
                <c:pt idx="5">
                  <c:v>13</c:v>
                </c:pt>
                <c:pt idx="6">
                  <c:v>17</c:v>
                </c:pt>
                <c:pt idx="7">
                  <c:v>17</c:v>
                </c:pt>
              </c:numCache>
            </c:numRef>
          </c:val>
          <c:extLst>
            <c:ext xmlns:c16="http://schemas.microsoft.com/office/drawing/2014/chart" uri="{C3380CC4-5D6E-409C-BE32-E72D297353CC}">
              <c16:uniqueId val="{00000000-0F2D-4737-BCEC-87BD4D971CDC}"/>
            </c:ext>
          </c:extLst>
        </c:ser>
        <c:ser>
          <c:idx val="1"/>
          <c:order val="1"/>
          <c:tx>
            <c:v>Ab 01.01</c:v>
          </c:tx>
          <c:spPr>
            <a:solidFill>
              <a:schemeClr val="tx1"/>
            </a:solidFill>
            <a:ln>
              <a:noFill/>
            </a:ln>
            <a:effectLst/>
          </c:spPr>
          <c:invertIfNegative val="0"/>
          <c:errBars>
            <c:errBarType val="both"/>
            <c:errValType val="cust"/>
            <c:noEndCap val="0"/>
            <c:plus>
              <c:numRef>
                <c:f>Gesamtbelastung!$F$5:$F$12</c:f>
                <c:numCache>
                  <c:formatCode>General</c:formatCode>
                  <c:ptCount val="8"/>
                  <c:pt idx="0">
                    <c:v>4</c:v>
                  </c:pt>
                  <c:pt idx="1">
                    <c:v>3</c:v>
                  </c:pt>
                  <c:pt idx="2">
                    <c:v>3</c:v>
                  </c:pt>
                  <c:pt idx="3">
                    <c:v>4</c:v>
                  </c:pt>
                  <c:pt idx="4">
                    <c:v>4</c:v>
                  </c:pt>
                  <c:pt idx="5">
                    <c:v>7</c:v>
                  </c:pt>
                  <c:pt idx="6">
                    <c:v>8</c:v>
                  </c:pt>
                  <c:pt idx="7">
                    <c:v>2</c:v>
                  </c:pt>
                </c:numCache>
              </c:numRef>
            </c:plus>
            <c:minus>
              <c:numRef>
                <c:f>Gesamtbelastung!$G$5:$G$12</c:f>
                <c:numCache>
                  <c:formatCode>General</c:formatCode>
                  <c:ptCount val="8"/>
                  <c:pt idx="0">
                    <c:v>3</c:v>
                  </c:pt>
                  <c:pt idx="1">
                    <c:v>2</c:v>
                  </c:pt>
                  <c:pt idx="2">
                    <c:v>2</c:v>
                  </c:pt>
                  <c:pt idx="3">
                    <c:v>2</c:v>
                  </c:pt>
                  <c:pt idx="4">
                    <c:v>3</c:v>
                  </c:pt>
                  <c:pt idx="5">
                    <c:v>2</c:v>
                  </c:pt>
                  <c:pt idx="6">
                    <c:v>0</c:v>
                  </c:pt>
                  <c:pt idx="7">
                    <c:v>1</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Gesamtbelastung!$E$5:$E$12</c:f>
              <c:numCache>
                <c:formatCode>0</c:formatCode>
                <c:ptCount val="8"/>
                <c:pt idx="0">
                  <c:v>12</c:v>
                </c:pt>
                <c:pt idx="1">
                  <c:v>15</c:v>
                </c:pt>
                <c:pt idx="2">
                  <c:v>13</c:v>
                </c:pt>
                <c:pt idx="3">
                  <c:v>17</c:v>
                </c:pt>
                <c:pt idx="4">
                  <c:v>14</c:v>
                </c:pt>
                <c:pt idx="5">
                  <c:v>15</c:v>
                </c:pt>
                <c:pt idx="6">
                  <c:v>18</c:v>
                </c:pt>
                <c:pt idx="7">
                  <c:v>17</c:v>
                </c:pt>
              </c:numCache>
            </c:numRef>
          </c:val>
          <c:extLst>
            <c:ext xmlns:c16="http://schemas.microsoft.com/office/drawing/2014/chart" uri="{C3380CC4-5D6E-409C-BE32-E72D297353CC}">
              <c16:uniqueId val="{00000001-0F2D-4737-BCEC-87BD4D971CDC}"/>
            </c:ext>
          </c:extLst>
        </c:ser>
        <c:ser>
          <c:idx val="2"/>
          <c:order val="2"/>
          <c:tx>
            <c:v>Ab 02.01</c:v>
          </c:tx>
          <c:spPr>
            <a:solidFill>
              <a:schemeClr val="accent3"/>
            </a:solidFill>
            <a:ln>
              <a:noFill/>
            </a:ln>
            <a:effectLst/>
          </c:spPr>
          <c:invertIfNegative val="0"/>
          <c:errBars>
            <c:errBarType val="both"/>
            <c:errValType val="cust"/>
            <c:noEndCap val="0"/>
            <c:plus>
              <c:numRef>
                <c:f>Gesamtbelastung!$I$5:$I$12</c:f>
                <c:numCache>
                  <c:formatCode>General</c:formatCode>
                  <c:ptCount val="8"/>
                  <c:pt idx="0">
                    <c:v>5</c:v>
                  </c:pt>
                  <c:pt idx="1">
                    <c:v>3</c:v>
                  </c:pt>
                  <c:pt idx="2">
                    <c:v>5</c:v>
                  </c:pt>
                  <c:pt idx="3">
                    <c:v>4</c:v>
                  </c:pt>
                  <c:pt idx="4">
                    <c:v>2</c:v>
                  </c:pt>
                  <c:pt idx="5">
                    <c:v>3</c:v>
                  </c:pt>
                  <c:pt idx="6">
                    <c:v>2</c:v>
                  </c:pt>
                  <c:pt idx="7">
                    <c:v>2</c:v>
                  </c:pt>
                </c:numCache>
              </c:numRef>
            </c:plus>
            <c:minus>
              <c:numRef>
                <c:f>Gesamtbelastung!$J$5:$J$12</c:f>
                <c:numCache>
                  <c:formatCode>General</c:formatCode>
                  <c:ptCount val="8"/>
                  <c:pt idx="0">
                    <c:v>4</c:v>
                  </c:pt>
                  <c:pt idx="1">
                    <c:v>3</c:v>
                  </c:pt>
                  <c:pt idx="2">
                    <c:v>4</c:v>
                  </c:pt>
                  <c:pt idx="3">
                    <c:v>2</c:v>
                  </c:pt>
                  <c:pt idx="4">
                    <c:v>4</c:v>
                  </c:pt>
                  <c:pt idx="5">
                    <c:v>3</c:v>
                  </c:pt>
                  <c:pt idx="6">
                    <c:v>4</c:v>
                  </c:pt>
                  <c:pt idx="7">
                    <c:v>4</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Gesamtbelastung!$H$5:$H$12</c:f>
              <c:numCache>
                <c:formatCode>0</c:formatCode>
                <c:ptCount val="8"/>
                <c:pt idx="0">
                  <c:v>15</c:v>
                </c:pt>
                <c:pt idx="1">
                  <c:v>20</c:v>
                </c:pt>
                <c:pt idx="2">
                  <c:v>17</c:v>
                </c:pt>
                <c:pt idx="3">
                  <c:v>17</c:v>
                </c:pt>
                <c:pt idx="4">
                  <c:v>13</c:v>
                </c:pt>
                <c:pt idx="5">
                  <c:v>14</c:v>
                </c:pt>
                <c:pt idx="6">
                  <c:v>20</c:v>
                </c:pt>
                <c:pt idx="7">
                  <c:v>22</c:v>
                </c:pt>
              </c:numCache>
            </c:numRef>
          </c:val>
          <c:extLst>
            <c:ext xmlns:c16="http://schemas.microsoft.com/office/drawing/2014/chart" uri="{C3380CC4-5D6E-409C-BE32-E72D297353CC}">
              <c16:uniqueId val="{00000002-0F2D-4737-BCEC-87BD4D971CDC}"/>
            </c:ext>
          </c:extLst>
        </c:ser>
        <c:ser>
          <c:idx val="3"/>
          <c:order val="3"/>
          <c:tx>
            <c:v>Ab 03.01</c:v>
          </c:tx>
          <c:spPr>
            <a:solidFill>
              <a:schemeClr val="tx1">
                <a:lumMod val="50000"/>
                <a:lumOff val="50000"/>
              </a:schemeClr>
            </a:solidFill>
            <a:ln w="19050">
              <a:noFill/>
            </a:ln>
            <a:effectLst/>
          </c:spPr>
          <c:invertIfNegative val="0"/>
          <c:errBars>
            <c:errBarType val="both"/>
            <c:errValType val="cust"/>
            <c:noEndCap val="0"/>
            <c:plus>
              <c:numRef>
                <c:f>Gesamtbelastung!$L$5:$L$12</c:f>
                <c:numCache>
                  <c:formatCode>General</c:formatCode>
                  <c:ptCount val="8"/>
                  <c:pt idx="0">
                    <c:v>2</c:v>
                  </c:pt>
                  <c:pt idx="1">
                    <c:v>4</c:v>
                  </c:pt>
                  <c:pt idx="2">
                    <c:v>0</c:v>
                  </c:pt>
                  <c:pt idx="3">
                    <c:v>5</c:v>
                  </c:pt>
                  <c:pt idx="4">
                    <c:v>2</c:v>
                  </c:pt>
                  <c:pt idx="5">
                    <c:v>2</c:v>
                  </c:pt>
                  <c:pt idx="6">
                    <c:v>8</c:v>
                  </c:pt>
                  <c:pt idx="7">
                    <c:v>5</c:v>
                  </c:pt>
                </c:numCache>
              </c:numRef>
            </c:plus>
            <c:minus>
              <c:numRef>
                <c:f>Gesamtbelastung!$M$5:$M$12</c:f>
                <c:numCache>
                  <c:formatCode>General</c:formatCode>
                  <c:ptCount val="8"/>
                  <c:pt idx="0">
                    <c:v>2</c:v>
                  </c:pt>
                  <c:pt idx="1">
                    <c:v>1</c:v>
                  </c:pt>
                  <c:pt idx="2">
                    <c:v>4</c:v>
                  </c:pt>
                  <c:pt idx="3">
                    <c:v>0</c:v>
                  </c:pt>
                  <c:pt idx="4">
                    <c:v>1</c:v>
                  </c:pt>
                  <c:pt idx="5">
                    <c:v>0</c:v>
                  </c:pt>
                  <c:pt idx="6">
                    <c:v>0</c:v>
                  </c:pt>
                  <c:pt idx="7">
                    <c:v>1</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Gesamtbelastung!$K$5:$K$12</c:f>
              <c:numCache>
                <c:formatCode>0</c:formatCode>
                <c:ptCount val="8"/>
                <c:pt idx="0">
                  <c:v>9</c:v>
                </c:pt>
                <c:pt idx="1">
                  <c:v>12</c:v>
                </c:pt>
                <c:pt idx="2">
                  <c:v>12</c:v>
                </c:pt>
                <c:pt idx="3">
                  <c:v>11</c:v>
                </c:pt>
                <c:pt idx="4">
                  <c:v>11</c:v>
                </c:pt>
                <c:pt idx="5">
                  <c:v>9</c:v>
                </c:pt>
                <c:pt idx="6">
                  <c:v>12</c:v>
                </c:pt>
                <c:pt idx="7">
                  <c:v>13</c:v>
                </c:pt>
              </c:numCache>
            </c:numRef>
          </c:val>
          <c:extLst>
            <c:ext xmlns:c16="http://schemas.microsoft.com/office/drawing/2014/chart" uri="{C3380CC4-5D6E-409C-BE32-E72D297353CC}">
              <c16:uniqueId val="{00000003-0F2D-4737-BCEC-87BD4D971CDC}"/>
            </c:ext>
          </c:extLst>
        </c:ser>
        <c:dLbls>
          <c:showLegendKey val="0"/>
          <c:showVal val="0"/>
          <c:showCatName val="0"/>
          <c:showSerName val="0"/>
          <c:showPercent val="0"/>
          <c:showBubbleSize val="0"/>
        </c:dLbls>
        <c:gapWidth val="100"/>
        <c:axId val="1939993743"/>
        <c:axId val="1940003311"/>
      </c:barChart>
      <c:catAx>
        <c:axId val="1939993743"/>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a:latin typeface="Arial" panose="020B0604020202020204" pitchFamily="34" charset="0"/>
                    <a:cs typeface="Arial" panose="020B0604020202020204" pitchFamily="34" charset="0"/>
                  </a:rPr>
                  <a:t>Assessment squares</a:t>
                </a:r>
              </a:p>
            </c:rich>
          </c:tx>
          <c:layout>
            <c:manualLayout>
              <c:xMode val="edge"/>
              <c:yMode val="edge"/>
              <c:x val="0.40173431836132178"/>
              <c:y val="0.93708698836270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xo 2 Medium Condensed" panose="00000606000000000000" pitchFamily="50" charset="0"/>
                <a:ea typeface="+mn-ea"/>
                <a:cs typeface="+mn-cs"/>
              </a:defRPr>
            </a:pPr>
            <a:endParaRPr lang="de-DE"/>
          </a:p>
        </c:txPr>
        <c:crossAx val="1940003311"/>
        <c:crosses val="autoZero"/>
        <c:auto val="1"/>
        <c:lblAlgn val="ctr"/>
        <c:lblOffset val="100"/>
        <c:noMultiLvlLbl val="0"/>
      </c:catAx>
      <c:valAx>
        <c:axId val="1940003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a:latin typeface="Arial" panose="020B0604020202020204" pitchFamily="34" charset="0"/>
                    <a:cs typeface="Arial" panose="020B0604020202020204" pitchFamily="34" charset="0"/>
                  </a:rPr>
                  <a:t>Odour hour frequencies in percent (%)</a:t>
                </a:r>
              </a:p>
            </c:rich>
          </c:tx>
          <c:layout>
            <c:manualLayout>
              <c:xMode val="edge"/>
              <c:yMode val="edge"/>
              <c:x val="1.8816888157121014E-2"/>
              <c:y val="0.1854418261516070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xo 2 Medium Condensed" panose="00000606000000000000" pitchFamily="50" charset="0"/>
                <a:ea typeface="+mn-ea"/>
                <a:cs typeface="+mn-cs"/>
              </a:defRPr>
            </a:pPr>
            <a:endParaRPr lang="de-DE"/>
          </a:p>
        </c:txPr>
        <c:crossAx val="1939993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Exo 2 Medium Condensed" panose="00000606000000000000" pitchFamily="50" charset="0"/>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b="0" i="0" u="none" strike="noStrike" baseline="0">
                <a:effectLst/>
                <a:latin typeface="Arial" panose="020B0604020202020204" pitchFamily="34" charset="0"/>
                <a:cs typeface="Arial" panose="020B0604020202020204" pitchFamily="34" charset="0"/>
              </a:rPr>
              <a:t>Results of the uncertainty of the total odour exposure </a:t>
            </a:r>
            <a:r>
              <a:rPr lang="de-DE" sz="900">
                <a:latin typeface="Arial" panose="020B0604020202020204" pitchFamily="34" charset="0"/>
                <a:cs typeface="Arial" panose="020B0604020202020204" pitchFamily="34" charset="0"/>
              </a:rPr>
              <a:t>2019</a:t>
            </a:r>
          </a:p>
        </c:rich>
      </c:tx>
      <c:layout>
        <c:manualLayout>
          <c:xMode val="edge"/>
          <c:yMode val="edge"/>
          <c:x val="0.19638743073782444"/>
          <c:y val="1.5703497200252107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manualLayout>
          <c:layoutTarget val="inner"/>
          <c:xMode val="edge"/>
          <c:yMode val="edge"/>
          <c:x val="0.12811782038946884"/>
          <c:y val="0.10118292051859415"/>
          <c:w val="0.83571560199688666"/>
          <c:h val="0.790104567302089"/>
        </c:manualLayout>
      </c:layout>
      <c:barChart>
        <c:barDir val="col"/>
        <c:grouping val="clustered"/>
        <c:varyColors val="0"/>
        <c:ser>
          <c:idx val="0"/>
          <c:order val="0"/>
          <c:tx>
            <c:strRef>
              <c:f>Gesamtbelastung!$B$4</c:f>
              <c:strCache>
                <c:ptCount val="1"/>
                <c:pt idx="0">
                  <c:v>Gesamt </c:v>
                </c:pt>
              </c:strCache>
            </c:strRef>
          </c:tx>
          <c:spPr>
            <a:pattFill prst="wdDnDiag">
              <a:fgClr>
                <a:schemeClr val="bg1">
                  <a:lumMod val="50000"/>
                </a:schemeClr>
              </a:fgClr>
              <a:bgClr>
                <a:schemeClr val="bg1">
                  <a:lumMod val="85000"/>
                </a:schemeClr>
              </a:bgClr>
            </a:pattFill>
            <a:ln>
              <a:noFill/>
            </a:ln>
            <a:effectLst/>
          </c:spPr>
          <c:invertIfNegative val="0"/>
          <c:errBars>
            <c:errBarType val="both"/>
            <c:errValType val="cust"/>
            <c:noEndCap val="0"/>
            <c:plus>
              <c:numRef>
                <c:f>Gesamtbelastung!$C$5:$C$12</c:f>
                <c:numCache>
                  <c:formatCode>General</c:formatCode>
                  <c:ptCount val="8"/>
                  <c:pt idx="0">
                    <c:v>4</c:v>
                  </c:pt>
                  <c:pt idx="1">
                    <c:v>4</c:v>
                  </c:pt>
                  <c:pt idx="2">
                    <c:v>4</c:v>
                  </c:pt>
                  <c:pt idx="3">
                    <c:v>4</c:v>
                  </c:pt>
                  <c:pt idx="4">
                    <c:v>3</c:v>
                  </c:pt>
                  <c:pt idx="5">
                    <c:v>2</c:v>
                  </c:pt>
                  <c:pt idx="6">
                    <c:v>2</c:v>
                  </c:pt>
                  <c:pt idx="7">
                    <c:v>4</c:v>
                  </c:pt>
                </c:numCache>
              </c:numRef>
            </c:plus>
            <c:minus>
              <c:numRef>
                <c:f>Gesamtbelastung!$D$5:$D$12</c:f>
                <c:numCache>
                  <c:formatCode>General</c:formatCode>
                  <c:ptCount val="8"/>
                  <c:pt idx="0">
                    <c:v>2</c:v>
                  </c:pt>
                  <c:pt idx="1">
                    <c:v>2</c:v>
                  </c:pt>
                  <c:pt idx="2">
                    <c:v>2</c:v>
                  </c:pt>
                  <c:pt idx="3">
                    <c:v>0</c:v>
                  </c:pt>
                  <c:pt idx="4">
                    <c:v>0</c:v>
                  </c:pt>
                  <c:pt idx="5">
                    <c:v>2</c:v>
                  </c:pt>
                  <c:pt idx="6">
                    <c:v>2</c:v>
                  </c:pt>
                  <c:pt idx="7">
                    <c:v>2</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Gesamtbelastung!$B$5:$B$12</c:f>
              <c:numCache>
                <c:formatCode>0</c:formatCode>
                <c:ptCount val="8"/>
                <c:pt idx="0">
                  <c:v>10</c:v>
                </c:pt>
                <c:pt idx="1">
                  <c:v>14</c:v>
                </c:pt>
                <c:pt idx="2">
                  <c:v>11</c:v>
                </c:pt>
                <c:pt idx="3">
                  <c:v>15</c:v>
                </c:pt>
                <c:pt idx="4">
                  <c:v>9</c:v>
                </c:pt>
                <c:pt idx="5">
                  <c:v>12</c:v>
                </c:pt>
                <c:pt idx="6">
                  <c:v>19</c:v>
                </c:pt>
                <c:pt idx="7">
                  <c:v>17</c:v>
                </c:pt>
              </c:numCache>
            </c:numRef>
          </c:val>
          <c:extLst>
            <c:ext xmlns:c16="http://schemas.microsoft.com/office/drawing/2014/chart" uri="{C3380CC4-5D6E-409C-BE32-E72D297353CC}">
              <c16:uniqueId val="{00000000-7549-44FF-B65F-7E1A162DBFF6}"/>
            </c:ext>
          </c:extLst>
        </c:ser>
        <c:ser>
          <c:idx val="1"/>
          <c:order val="1"/>
          <c:tx>
            <c:v>Ab 01.01</c:v>
          </c:tx>
          <c:spPr>
            <a:solidFill>
              <a:schemeClr val="tx1"/>
            </a:solidFill>
            <a:ln>
              <a:noFill/>
            </a:ln>
            <a:effectLst/>
          </c:spPr>
          <c:invertIfNegative val="0"/>
          <c:errBars>
            <c:errBarType val="both"/>
            <c:errValType val="cust"/>
            <c:noEndCap val="0"/>
            <c:plus>
              <c:numRef>
                <c:f>Gesamtbelastung!$F$5:$F$12</c:f>
                <c:numCache>
                  <c:formatCode>General</c:formatCode>
                  <c:ptCount val="8"/>
                  <c:pt idx="0">
                    <c:v>6</c:v>
                  </c:pt>
                  <c:pt idx="1">
                    <c:v>6</c:v>
                  </c:pt>
                  <c:pt idx="2">
                    <c:v>5</c:v>
                  </c:pt>
                  <c:pt idx="3">
                    <c:v>2</c:v>
                  </c:pt>
                  <c:pt idx="4">
                    <c:v>4</c:v>
                  </c:pt>
                  <c:pt idx="5">
                    <c:v>3</c:v>
                  </c:pt>
                  <c:pt idx="6">
                    <c:v>0</c:v>
                  </c:pt>
                  <c:pt idx="7">
                    <c:v>4</c:v>
                  </c:pt>
                </c:numCache>
              </c:numRef>
            </c:plus>
            <c:minus>
              <c:numRef>
                <c:f>Gesamtbelastung!$G$5:$G$12</c:f>
                <c:numCache>
                  <c:formatCode>General</c:formatCode>
                  <c:ptCount val="8"/>
                  <c:pt idx="0">
                    <c:v>2</c:v>
                  </c:pt>
                  <c:pt idx="1">
                    <c:v>2</c:v>
                  </c:pt>
                  <c:pt idx="2">
                    <c:v>3</c:v>
                  </c:pt>
                  <c:pt idx="3">
                    <c:v>1</c:v>
                  </c:pt>
                  <c:pt idx="4">
                    <c:v>1</c:v>
                  </c:pt>
                  <c:pt idx="5">
                    <c:v>2</c:v>
                  </c:pt>
                  <c:pt idx="6">
                    <c:v>2</c:v>
                  </c:pt>
                  <c:pt idx="7">
                    <c:v>2</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Gesamtbelastung!$E$5:$E$12</c:f>
              <c:numCache>
                <c:formatCode>0</c:formatCode>
                <c:ptCount val="8"/>
                <c:pt idx="0">
                  <c:v>9</c:v>
                </c:pt>
                <c:pt idx="1">
                  <c:v>14</c:v>
                </c:pt>
                <c:pt idx="2">
                  <c:v>12</c:v>
                </c:pt>
                <c:pt idx="3">
                  <c:v>15</c:v>
                </c:pt>
                <c:pt idx="4">
                  <c:v>9</c:v>
                </c:pt>
                <c:pt idx="5">
                  <c:v>14</c:v>
                </c:pt>
                <c:pt idx="6">
                  <c:v>21</c:v>
                </c:pt>
                <c:pt idx="7">
                  <c:v>17</c:v>
                </c:pt>
              </c:numCache>
            </c:numRef>
          </c:val>
          <c:extLst>
            <c:ext xmlns:c16="http://schemas.microsoft.com/office/drawing/2014/chart" uri="{C3380CC4-5D6E-409C-BE32-E72D297353CC}">
              <c16:uniqueId val="{00000001-7549-44FF-B65F-7E1A162DBFF6}"/>
            </c:ext>
          </c:extLst>
        </c:ser>
        <c:ser>
          <c:idx val="2"/>
          <c:order val="2"/>
          <c:tx>
            <c:v>Ab 02.01.</c:v>
          </c:tx>
          <c:spPr>
            <a:solidFill>
              <a:schemeClr val="accent3"/>
            </a:solidFill>
            <a:ln>
              <a:noFill/>
            </a:ln>
            <a:effectLst/>
          </c:spPr>
          <c:invertIfNegative val="0"/>
          <c:errBars>
            <c:errBarType val="both"/>
            <c:errValType val="cust"/>
            <c:noEndCap val="0"/>
            <c:plus>
              <c:numRef>
                <c:f>Gesamtbelastung!$I$5:$I$12</c:f>
                <c:numCache>
                  <c:formatCode>General</c:formatCode>
                  <c:ptCount val="8"/>
                  <c:pt idx="0">
                    <c:v>3</c:v>
                  </c:pt>
                  <c:pt idx="1">
                    <c:v>5</c:v>
                  </c:pt>
                  <c:pt idx="2">
                    <c:v>4</c:v>
                  </c:pt>
                  <c:pt idx="3">
                    <c:v>5</c:v>
                  </c:pt>
                  <c:pt idx="4">
                    <c:v>3</c:v>
                  </c:pt>
                  <c:pt idx="5">
                    <c:v>2</c:v>
                  </c:pt>
                  <c:pt idx="6">
                    <c:v>4</c:v>
                  </c:pt>
                  <c:pt idx="7">
                    <c:v>5</c:v>
                  </c:pt>
                </c:numCache>
              </c:numRef>
            </c:plus>
            <c:minus>
              <c:numRef>
                <c:f>Gesamtbelastung!$J$5:$J$12</c:f>
                <c:numCache>
                  <c:formatCode>General</c:formatCode>
                  <c:ptCount val="8"/>
                  <c:pt idx="0">
                    <c:v>2</c:v>
                  </c:pt>
                  <c:pt idx="1">
                    <c:v>2</c:v>
                  </c:pt>
                  <c:pt idx="2">
                    <c:v>1</c:v>
                  </c:pt>
                  <c:pt idx="3">
                    <c:v>2</c:v>
                  </c:pt>
                  <c:pt idx="4">
                    <c:v>1</c:v>
                  </c:pt>
                  <c:pt idx="5">
                    <c:v>1</c:v>
                  </c:pt>
                  <c:pt idx="6">
                    <c:v>2</c:v>
                  </c:pt>
                  <c:pt idx="7">
                    <c:v>2</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Gesamtbelastung!$H$5:$H$12</c:f>
              <c:numCache>
                <c:formatCode>0</c:formatCode>
                <c:ptCount val="8"/>
                <c:pt idx="0">
                  <c:v>12</c:v>
                </c:pt>
                <c:pt idx="1">
                  <c:v>15</c:v>
                </c:pt>
                <c:pt idx="2">
                  <c:v>12</c:v>
                </c:pt>
                <c:pt idx="3">
                  <c:v>16</c:v>
                </c:pt>
                <c:pt idx="4">
                  <c:v>8</c:v>
                </c:pt>
                <c:pt idx="5">
                  <c:v>10</c:v>
                </c:pt>
                <c:pt idx="6">
                  <c:v>17</c:v>
                </c:pt>
                <c:pt idx="7">
                  <c:v>17</c:v>
                </c:pt>
              </c:numCache>
            </c:numRef>
          </c:val>
          <c:extLst>
            <c:ext xmlns:c16="http://schemas.microsoft.com/office/drawing/2014/chart" uri="{C3380CC4-5D6E-409C-BE32-E72D297353CC}">
              <c16:uniqueId val="{00000002-7549-44FF-B65F-7E1A162DBFF6}"/>
            </c:ext>
          </c:extLst>
        </c:ser>
        <c:ser>
          <c:idx val="3"/>
          <c:order val="3"/>
          <c:tx>
            <c:v>Ab 03.01.</c:v>
          </c:tx>
          <c:spPr>
            <a:solidFill>
              <a:schemeClr val="tx1">
                <a:lumMod val="50000"/>
                <a:lumOff val="50000"/>
              </a:schemeClr>
            </a:solidFill>
            <a:ln w="19050">
              <a:noFill/>
            </a:ln>
            <a:effectLst/>
          </c:spPr>
          <c:invertIfNegative val="0"/>
          <c:errBars>
            <c:errBarType val="both"/>
            <c:errValType val="cust"/>
            <c:noEndCap val="0"/>
            <c:plus>
              <c:numRef>
                <c:f>Gesamtbelastung!$L$5:$L$12</c:f>
                <c:numCache>
                  <c:formatCode>General</c:formatCode>
                  <c:ptCount val="8"/>
                  <c:pt idx="0">
                    <c:v>4</c:v>
                  </c:pt>
                  <c:pt idx="1">
                    <c:v>3</c:v>
                  </c:pt>
                  <c:pt idx="2">
                    <c:v>4</c:v>
                  </c:pt>
                  <c:pt idx="3">
                    <c:v>2</c:v>
                  </c:pt>
                  <c:pt idx="4">
                    <c:v>2</c:v>
                  </c:pt>
                  <c:pt idx="5">
                    <c:v>2</c:v>
                  </c:pt>
                  <c:pt idx="6">
                    <c:v>2</c:v>
                  </c:pt>
                  <c:pt idx="7">
                    <c:v>1</c:v>
                  </c:pt>
                </c:numCache>
              </c:numRef>
            </c:plus>
            <c:minus>
              <c:numRef>
                <c:f>Gesamtbelastung!$M$5:$M$12</c:f>
                <c:numCache>
                  <c:formatCode>General</c:formatCode>
                  <c:ptCount val="8"/>
                  <c:pt idx="0">
                    <c:v>1</c:v>
                  </c:pt>
                  <c:pt idx="1">
                    <c:v>1</c:v>
                  </c:pt>
                  <c:pt idx="2">
                    <c:v>1</c:v>
                  </c:pt>
                  <c:pt idx="3">
                    <c:v>0</c:v>
                  </c:pt>
                  <c:pt idx="4">
                    <c:v>1</c:v>
                  </c:pt>
                  <c:pt idx="5">
                    <c:v>3</c:v>
                  </c:pt>
                  <c:pt idx="6">
                    <c:v>2</c:v>
                  </c:pt>
                  <c:pt idx="7">
                    <c:v>3</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Gesamtbelastung!$K$5:$K$12</c:f>
              <c:numCache>
                <c:formatCode>0</c:formatCode>
                <c:ptCount val="8"/>
                <c:pt idx="0">
                  <c:v>8</c:v>
                </c:pt>
                <c:pt idx="1">
                  <c:v>12</c:v>
                </c:pt>
                <c:pt idx="2">
                  <c:v>9</c:v>
                </c:pt>
                <c:pt idx="3">
                  <c:v>16</c:v>
                </c:pt>
                <c:pt idx="4">
                  <c:v>11</c:v>
                </c:pt>
                <c:pt idx="5">
                  <c:v>11</c:v>
                </c:pt>
                <c:pt idx="6">
                  <c:v>18</c:v>
                </c:pt>
                <c:pt idx="7">
                  <c:v>18</c:v>
                </c:pt>
              </c:numCache>
            </c:numRef>
          </c:val>
          <c:extLst>
            <c:ext xmlns:c16="http://schemas.microsoft.com/office/drawing/2014/chart" uri="{C3380CC4-5D6E-409C-BE32-E72D297353CC}">
              <c16:uniqueId val="{00000003-7549-44FF-B65F-7E1A162DBFF6}"/>
            </c:ext>
          </c:extLst>
        </c:ser>
        <c:dLbls>
          <c:showLegendKey val="0"/>
          <c:showVal val="0"/>
          <c:showCatName val="0"/>
          <c:showSerName val="0"/>
          <c:showPercent val="0"/>
          <c:showBubbleSize val="0"/>
        </c:dLbls>
        <c:gapWidth val="100"/>
        <c:axId val="1939993743"/>
        <c:axId val="1940003311"/>
      </c:barChart>
      <c:catAx>
        <c:axId val="1939993743"/>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b="0" i="0" baseline="0">
                    <a:effectLst/>
                    <a:latin typeface="Arial" panose="020B0604020202020204" pitchFamily="34" charset="0"/>
                    <a:cs typeface="Arial" panose="020B0604020202020204" pitchFamily="34" charset="0"/>
                  </a:rPr>
                  <a:t>Assessment squares</a:t>
                </a:r>
              </a:p>
            </c:rich>
          </c:tx>
          <c:layout>
            <c:manualLayout>
              <c:xMode val="edge"/>
              <c:yMode val="edge"/>
              <c:x val="0.42184848421725063"/>
              <c:y val="0.9309793896788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xo 2 Medium Condensed" panose="00000606000000000000" pitchFamily="50" charset="0"/>
                <a:ea typeface="+mn-ea"/>
                <a:cs typeface="+mn-cs"/>
              </a:defRPr>
            </a:pPr>
            <a:endParaRPr lang="de-DE"/>
          </a:p>
        </c:txPr>
        <c:crossAx val="1940003311"/>
        <c:crosses val="autoZero"/>
        <c:auto val="1"/>
        <c:lblAlgn val="ctr"/>
        <c:lblOffset val="100"/>
        <c:noMultiLvlLbl val="0"/>
      </c:catAx>
      <c:valAx>
        <c:axId val="19400033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b="0" i="0" baseline="0">
                    <a:effectLst/>
                    <a:latin typeface="Arial" panose="020B0604020202020204" pitchFamily="34" charset="0"/>
                    <a:cs typeface="Arial" panose="020B0604020202020204" pitchFamily="34" charset="0"/>
                  </a:rPr>
                  <a:t>Odour hour frequencies in percent </a:t>
                </a:r>
                <a:r>
                  <a:rPr lang="de-DE" sz="900">
                    <a:latin typeface="Arial" panose="020B0604020202020204" pitchFamily="34" charset="0"/>
                    <a:cs typeface="Arial" panose="020B0604020202020204" pitchFamily="34" charset="0"/>
                  </a:rPr>
                  <a:t>(%)</a:t>
                </a:r>
              </a:p>
            </c:rich>
          </c:tx>
          <c:layout>
            <c:manualLayout>
              <c:xMode val="edge"/>
              <c:yMode val="edge"/>
              <c:x val="3.2577108033199957E-2"/>
              <c:y val="0.1903433199772265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xo 2 Medium Condensed" panose="00000606000000000000" pitchFamily="50" charset="0"/>
                <a:ea typeface="+mn-ea"/>
                <a:cs typeface="+mn-cs"/>
              </a:defRPr>
            </a:pPr>
            <a:endParaRPr lang="de-DE"/>
          </a:p>
        </c:txPr>
        <c:crossAx val="1939993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Exo 2 Medium Condensed" panose="00000606000000000000" pitchFamily="50" charset="0"/>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b="0" i="0" u="none" strike="noStrike" baseline="0">
                <a:effectLst/>
                <a:latin typeface="Arial" panose="020B0604020202020204" pitchFamily="34" charset="0"/>
                <a:cs typeface="Arial" panose="020B0604020202020204" pitchFamily="34" charset="0"/>
              </a:rPr>
              <a:t>Results of the uncertainty of the total odour exposure </a:t>
            </a:r>
            <a:r>
              <a:rPr lang="de-DE" sz="900">
                <a:latin typeface="Arial" panose="020B0604020202020204" pitchFamily="34" charset="0"/>
                <a:cs typeface="Arial" panose="020B0604020202020204" pitchFamily="34" charset="0"/>
              </a:rPr>
              <a:t>2020</a:t>
            </a:r>
          </a:p>
        </c:rich>
      </c:tx>
      <c:layout>
        <c:manualLayout>
          <c:xMode val="edge"/>
          <c:yMode val="edge"/>
          <c:x val="0.20397328806121456"/>
          <c:y val="3.3234151019584088E-2"/>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autoTitleDeleted val="0"/>
    <c:plotArea>
      <c:layout>
        <c:manualLayout>
          <c:layoutTarget val="inner"/>
          <c:xMode val="edge"/>
          <c:yMode val="edge"/>
          <c:x val="0.14785514903135957"/>
          <c:y val="0.11993334858039011"/>
          <c:w val="0.81532818061801171"/>
          <c:h val="0.77135426536413243"/>
        </c:manualLayout>
      </c:layout>
      <c:barChart>
        <c:barDir val="col"/>
        <c:grouping val="clustered"/>
        <c:varyColors val="0"/>
        <c:ser>
          <c:idx val="0"/>
          <c:order val="0"/>
          <c:tx>
            <c:strRef>
              <c:f>Gesamtbelastung!$B$4</c:f>
              <c:strCache>
                <c:ptCount val="1"/>
                <c:pt idx="0">
                  <c:v>Gesamt </c:v>
                </c:pt>
              </c:strCache>
            </c:strRef>
          </c:tx>
          <c:spPr>
            <a:pattFill prst="wdDnDiag">
              <a:fgClr>
                <a:schemeClr val="bg1">
                  <a:lumMod val="50000"/>
                </a:schemeClr>
              </a:fgClr>
              <a:bgClr>
                <a:schemeClr val="bg1">
                  <a:lumMod val="85000"/>
                </a:schemeClr>
              </a:bgClr>
            </a:pattFill>
            <a:ln>
              <a:noFill/>
            </a:ln>
            <a:effectLst/>
          </c:spPr>
          <c:invertIfNegative val="0"/>
          <c:errBars>
            <c:errBarType val="both"/>
            <c:errValType val="cust"/>
            <c:noEndCap val="0"/>
            <c:plus>
              <c:numRef>
                <c:f>Gesamtbelastung!$C$5:$C$12</c:f>
                <c:numCache>
                  <c:formatCode>General</c:formatCode>
                  <c:ptCount val="8"/>
                  <c:pt idx="0">
                    <c:v>2</c:v>
                  </c:pt>
                  <c:pt idx="1">
                    <c:v>3</c:v>
                  </c:pt>
                  <c:pt idx="2">
                    <c:v>3</c:v>
                  </c:pt>
                  <c:pt idx="3">
                    <c:v>3</c:v>
                  </c:pt>
                  <c:pt idx="4">
                    <c:v>2</c:v>
                  </c:pt>
                  <c:pt idx="5">
                    <c:v>4</c:v>
                  </c:pt>
                  <c:pt idx="6">
                    <c:v>3</c:v>
                  </c:pt>
                  <c:pt idx="7">
                    <c:v>5</c:v>
                  </c:pt>
                </c:numCache>
              </c:numRef>
            </c:plus>
            <c:minus>
              <c:numRef>
                <c:f>Gesamtbelastung!$D$5:$D$12</c:f>
                <c:numCache>
                  <c:formatCode>General</c:formatCode>
                  <c:ptCount val="8"/>
                  <c:pt idx="0">
                    <c:v>2</c:v>
                  </c:pt>
                  <c:pt idx="1">
                    <c:v>1</c:v>
                  </c:pt>
                  <c:pt idx="2">
                    <c:v>2</c:v>
                  </c:pt>
                  <c:pt idx="3">
                    <c:v>2</c:v>
                  </c:pt>
                  <c:pt idx="4">
                    <c:v>1</c:v>
                  </c:pt>
                  <c:pt idx="5">
                    <c:v>1</c:v>
                  </c:pt>
                  <c:pt idx="6">
                    <c:v>2</c:v>
                  </c:pt>
                  <c:pt idx="7">
                    <c:v>1</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Gesamtbelastung!$B$5:$B$12</c:f>
              <c:numCache>
                <c:formatCode>0</c:formatCode>
                <c:ptCount val="8"/>
                <c:pt idx="0">
                  <c:v>10</c:v>
                </c:pt>
                <c:pt idx="1">
                  <c:v>11</c:v>
                </c:pt>
                <c:pt idx="2">
                  <c:v>10</c:v>
                </c:pt>
                <c:pt idx="3">
                  <c:v>12</c:v>
                </c:pt>
                <c:pt idx="4">
                  <c:v>7</c:v>
                </c:pt>
                <c:pt idx="5">
                  <c:v>8</c:v>
                </c:pt>
                <c:pt idx="6">
                  <c:v>12</c:v>
                </c:pt>
                <c:pt idx="7">
                  <c:v>13</c:v>
                </c:pt>
              </c:numCache>
            </c:numRef>
          </c:val>
          <c:extLst>
            <c:ext xmlns:c16="http://schemas.microsoft.com/office/drawing/2014/chart" uri="{C3380CC4-5D6E-409C-BE32-E72D297353CC}">
              <c16:uniqueId val="{00000000-63EB-49D9-93AA-868A01178681}"/>
            </c:ext>
          </c:extLst>
        </c:ser>
        <c:ser>
          <c:idx val="1"/>
          <c:order val="1"/>
          <c:tx>
            <c:v>Ab 01.01.</c:v>
          </c:tx>
          <c:spPr>
            <a:solidFill>
              <a:schemeClr val="tx1"/>
            </a:solidFill>
            <a:ln>
              <a:noFill/>
            </a:ln>
            <a:effectLst/>
          </c:spPr>
          <c:invertIfNegative val="0"/>
          <c:errBars>
            <c:errBarType val="both"/>
            <c:errValType val="cust"/>
            <c:noEndCap val="0"/>
            <c:plus>
              <c:numRef>
                <c:f>Gesamtbelastung!$F$5:$F$12</c:f>
                <c:numCache>
                  <c:formatCode>General</c:formatCode>
                  <c:ptCount val="8"/>
                  <c:pt idx="0">
                    <c:v>1</c:v>
                  </c:pt>
                  <c:pt idx="1">
                    <c:v>4</c:v>
                  </c:pt>
                  <c:pt idx="2">
                    <c:v>2</c:v>
                  </c:pt>
                  <c:pt idx="3">
                    <c:v>2</c:v>
                  </c:pt>
                  <c:pt idx="4">
                    <c:v>2</c:v>
                  </c:pt>
                  <c:pt idx="5">
                    <c:v>3</c:v>
                  </c:pt>
                  <c:pt idx="6">
                    <c:v>3</c:v>
                  </c:pt>
                  <c:pt idx="7">
                    <c:v>6</c:v>
                  </c:pt>
                </c:numCache>
              </c:numRef>
            </c:plus>
            <c:minus>
              <c:numRef>
                <c:f>Gesamtbelastung!$G$5:$G$12</c:f>
                <c:numCache>
                  <c:formatCode>General</c:formatCode>
                  <c:ptCount val="8"/>
                  <c:pt idx="0">
                    <c:v>4</c:v>
                  </c:pt>
                  <c:pt idx="1">
                    <c:v>1</c:v>
                  </c:pt>
                  <c:pt idx="2">
                    <c:v>3</c:v>
                  </c:pt>
                  <c:pt idx="3">
                    <c:v>0</c:v>
                  </c:pt>
                  <c:pt idx="4">
                    <c:v>1</c:v>
                  </c:pt>
                  <c:pt idx="5">
                    <c:v>2</c:v>
                  </c:pt>
                  <c:pt idx="6">
                    <c:v>2</c:v>
                  </c:pt>
                  <c:pt idx="7">
                    <c:v>0</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Gesamtbelastung!$E$5:$E$12</c:f>
              <c:numCache>
                <c:formatCode>0</c:formatCode>
                <c:ptCount val="8"/>
                <c:pt idx="0">
                  <c:v>11</c:v>
                </c:pt>
                <c:pt idx="1">
                  <c:v>9</c:v>
                </c:pt>
                <c:pt idx="2">
                  <c:v>10</c:v>
                </c:pt>
                <c:pt idx="3">
                  <c:v>12</c:v>
                </c:pt>
                <c:pt idx="4">
                  <c:v>5</c:v>
                </c:pt>
                <c:pt idx="5">
                  <c:v>9</c:v>
                </c:pt>
                <c:pt idx="6">
                  <c:v>14</c:v>
                </c:pt>
                <c:pt idx="7">
                  <c:v>12</c:v>
                </c:pt>
              </c:numCache>
            </c:numRef>
          </c:val>
          <c:extLst>
            <c:ext xmlns:c16="http://schemas.microsoft.com/office/drawing/2014/chart" uri="{C3380CC4-5D6E-409C-BE32-E72D297353CC}">
              <c16:uniqueId val="{00000001-63EB-49D9-93AA-868A01178681}"/>
            </c:ext>
          </c:extLst>
        </c:ser>
        <c:ser>
          <c:idx val="2"/>
          <c:order val="2"/>
          <c:tx>
            <c:v>Ab 02.01.</c:v>
          </c:tx>
          <c:spPr>
            <a:solidFill>
              <a:schemeClr val="accent3"/>
            </a:solidFill>
            <a:ln>
              <a:noFill/>
            </a:ln>
            <a:effectLst/>
          </c:spPr>
          <c:invertIfNegative val="0"/>
          <c:errBars>
            <c:errBarType val="both"/>
            <c:errValType val="cust"/>
            <c:noEndCap val="0"/>
            <c:plus>
              <c:numRef>
                <c:f>Gesamtbelastung!$I$5:$I$12</c:f>
                <c:numCache>
                  <c:formatCode>General</c:formatCode>
                  <c:ptCount val="8"/>
                  <c:pt idx="0">
                    <c:v>3</c:v>
                  </c:pt>
                  <c:pt idx="1">
                    <c:v>4</c:v>
                  </c:pt>
                  <c:pt idx="2">
                    <c:v>5</c:v>
                  </c:pt>
                  <c:pt idx="3">
                    <c:v>3</c:v>
                  </c:pt>
                  <c:pt idx="4">
                    <c:v>3</c:v>
                  </c:pt>
                  <c:pt idx="5">
                    <c:v>3</c:v>
                  </c:pt>
                  <c:pt idx="6">
                    <c:v>4</c:v>
                  </c:pt>
                  <c:pt idx="7">
                    <c:v>5</c:v>
                  </c:pt>
                </c:numCache>
              </c:numRef>
            </c:plus>
            <c:minus>
              <c:numRef>
                <c:f>Gesamtbelastung!$J$5:$J$12</c:f>
                <c:numCache>
                  <c:formatCode>General</c:formatCode>
                  <c:ptCount val="8"/>
                  <c:pt idx="0">
                    <c:v>3</c:v>
                  </c:pt>
                  <c:pt idx="1">
                    <c:v>1</c:v>
                  </c:pt>
                  <c:pt idx="2">
                    <c:v>2</c:v>
                  </c:pt>
                  <c:pt idx="3">
                    <c:v>2</c:v>
                  </c:pt>
                  <c:pt idx="4">
                    <c:v>1</c:v>
                  </c:pt>
                  <c:pt idx="5">
                    <c:v>0</c:v>
                  </c:pt>
                  <c:pt idx="6">
                    <c:v>0</c:v>
                  </c:pt>
                  <c:pt idx="7">
                    <c:v>2</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Gesamtbelastung!$H$5:$H$12</c:f>
              <c:numCache>
                <c:formatCode>0</c:formatCode>
                <c:ptCount val="8"/>
                <c:pt idx="0">
                  <c:v>10</c:v>
                </c:pt>
                <c:pt idx="1">
                  <c:v>13</c:v>
                </c:pt>
                <c:pt idx="2">
                  <c:v>9</c:v>
                </c:pt>
                <c:pt idx="3">
                  <c:v>12</c:v>
                </c:pt>
                <c:pt idx="4">
                  <c:v>8</c:v>
                </c:pt>
                <c:pt idx="5">
                  <c:v>6</c:v>
                </c:pt>
                <c:pt idx="6">
                  <c:v>12</c:v>
                </c:pt>
                <c:pt idx="7">
                  <c:v>16</c:v>
                </c:pt>
              </c:numCache>
            </c:numRef>
          </c:val>
          <c:extLst>
            <c:ext xmlns:c16="http://schemas.microsoft.com/office/drawing/2014/chart" uri="{C3380CC4-5D6E-409C-BE32-E72D297353CC}">
              <c16:uniqueId val="{00000002-63EB-49D9-93AA-868A01178681}"/>
            </c:ext>
          </c:extLst>
        </c:ser>
        <c:ser>
          <c:idx val="3"/>
          <c:order val="3"/>
          <c:tx>
            <c:v>Ab 03.01.</c:v>
          </c:tx>
          <c:spPr>
            <a:solidFill>
              <a:schemeClr val="tx1">
                <a:lumMod val="50000"/>
                <a:lumOff val="50000"/>
              </a:schemeClr>
            </a:solidFill>
            <a:ln w="19050">
              <a:noFill/>
            </a:ln>
            <a:effectLst/>
          </c:spPr>
          <c:invertIfNegative val="0"/>
          <c:errBars>
            <c:errBarType val="both"/>
            <c:errValType val="cust"/>
            <c:noEndCap val="0"/>
            <c:plus>
              <c:numRef>
                <c:f>Gesamtbelastung!$L$5:$L$12</c:f>
                <c:numCache>
                  <c:formatCode>General</c:formatCode>
                  <c:ptCount val="8"/>
                  <c:pt idx="0">
                    <c:v>1</c:v>
                  </c:pt>
                  <c:pt idx="1">
                    <c:v>2</c:v>
                  </c:pt>
                  <c:pt idx="2">
                    <c:v>2</c:v>
                  </c:pt>
                  <c:pt idx="3">
                    <c:v>3</c:v>
                  </c:pt>
                  <c:pt idx="4">
                    <c:v>3</c:v>
                  </c:pt>
                  <c:pt idx="5">
                    <c:v>3</c:v>
                  </c:pt>
                  <c:pt idx="6">
                    <c:v>5</c:v>
                  </c:pt>
                  <c:pt idx="7">
                    <c:v>4</c:v>
                  </c:pt>
                </c:numCache>
              </c:numRef>
            </c:plus>
            <c:minus>
              <c:numRef>
                <c:f>Gesamtbelastung!$M$5:$M$12</c:f>
                <c:numCache>
                  <c:formatCode>General</c:formatCode>
                  <c:ptCount val="8"/>
                  <c:pt idx="0">
                    <c:v>0</c:v>
                  </c:pt>
                  <c:pt idx="1">
                    <c:v>1</c:v>
                  </c:pt>
                  <c:pt idx="2">
                    <c:v>2</c:v>
                  </c:pt>
                  <c:pt idx="3">
                    <c:v>2</c:v>
                  </c:pt>
                  <c:pt idx="4">
                    <c:v>1</c:v>
                  </c:pt>
                  <c:pt idx="5">
                    <c:v>1</c:v>
                  </c:pt>
                  <c:pt idx="6">
                    <c:v>1</c:v>
                  </c:pt>
                  <c:pt idx="7">
                    <c:v>1</c:v>
                  </c:pt>
                </c:numCache>
              </c:numRef>
            </c:minus>
            <c:spPr>
              <a:noFill/>
              <a:ln w="9525" cap="flat" cmpd="sng" algn="ctr">
                <a:solidFill>
                  <a:schemeClr val="tx1">
                    <a:lumMod val="65000"/>
                    <a:lumOff val="35000"/>
                  </a:schemeClr>
                </a:solidFill>
                <a:round/>
              </a:ln>
              <a:effectLst/>
            </c:spPr>
          </c:errBars>
          <c:cat>
            <c:strRef>
              <c:f>Gesamtbelastung!$A$5:$A$12</c:f>
              <c:strCache>
                <c:ptCount val="8"/>
                <c:pt idx="0">
                  <c:v>A</c:v>
                </c:pt>
                <c:pt idx="1">
                  <c:v>B</c:v>
                </c:pt>
                <c:pt idx="2">
                  <c:v>C</c:v>
                </c:pt>
                <c:pt idx="3">
                  <c:v>D</c:v>
                </c:pt>
                <c:pt idx="4">
                  <c:v>E</c:v>
                </c:pt>
                <c:pt idx="5">
                  <c:v>F</c:v>
                </c:pt>
                <c:pt idx="6">
                  <c:v>G</c:v>
                </c:pt>
                <c:pt idx="7">
                  <c:v>H</c:v>
                </c:pt>
              </c:strCache>
            </c:strRef>
          </c:cat>
          <c:val>
            <c:numRef>
              <c:f>Gesamtbelastung!$K$5:$K$12</c:f>
              <c:numCache>
                <c:formatCode>0</c:formatCode>
                <c:ptCount val="8"/>
                <c:pt idx="0">
                  <c:v>10</c:v>
                </c:pt>
                <c:pt idx="1">
                  <c:v>10</c:v>
                </c:pt>
                <c:pt idx="2">
                  <c:v>12</c:v>
                </c:pt>
                <c:pt idx="3">
                  <c:v>12</c:v>
                </c:pt>
                <c:pt idx="4">
                  <c:v>7</c:v>
                </c:pt>
                <c:pt idx="5">
                  <c:v>10</c:v>
                </c:pt>
                <c:pt idx="6">
                  <c:v>8</c:v>
                </c:pt>
                <c:pt idx="7">
                  <c:v>12</c:v>
                </c:pt>
              </c:numCache>
            </c:numRef>
          </c:val>
          <c:extLst>
            <c:ext xmlns:c16="http://schemas.microsoft.com/office/drawing/2014/chart" uri="{C3380CC4-5D6E-409C-BE32-E72D297353CC}">
              <c16:uniqueId val="{00000003-63EB-49D9-93AA-868A01178681}"/>
            </c:ext>
          </c:extLst>
        </c:ser>
        <c:dLbls>
          <c:showLegendKey val="0"/>
          <c:showVal val="0"/>
          <c:showCatName val="0"/>
          <c:showSerName val="0"/>
          <c:showPercent val="0"/>
          <c:showBubbleSize val="0"/>
        </c:dLbls>
        <c:gapWidth val="100"/>
        <c:axId val="1939993743"/>
        <c:axId val="1940003311"/>
      </c:barChart>
      <c:catAx>
        <c:axId val="1939993743"/>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a:latin typeface="Arial" panose="020B0604020202020204" pitchFamily="34" charset="0"/>
                    <a:cs typeface="Arial" panose="020B0604020202020204" pitchFamily="34" charset="0"/>
                  </a:rPr>
                  <a:t>Assessment</a:t>
                </a:r>
                <a:r>
                  <a:rPr lang="de-DE" sz="900" baseline="0">
                    <a:latin typeface="Arial" panose="020B0604020202020204" pitchFamily="34" charset="0"/>
                    <a:cs typeface="Arial" panose="020B0604020202020204" pitchFamily="34" charset="0"/>
                  </a:rPr>
                  <a:t> squares</a:t>
                </a:r>
                <a:endParaRPr lang="de-DE" sz="9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xo 2 Medium Condensed" panose="00000606000000000000" pitchFamily="50" charset="0"/>
                <a:ea typeface="+mn-ea"/>
                <a:cs typeface="+mn-cs"/>
              </a:defRPr>
            </a:pPr>
            <a:endParaRPr lang="de-DE"/>
          </a:p>
        </c:txPr>
        <c:crossAx val="1940003311"/>
        <c:crosses val="autoZero"/>
        <c:auto val="0"/>
        <c:lblAlgn val="ctr"/>
        <c:lblOffset val="100"/>
        <c:noMultiLvlLbl val="0"/>
      </c:catAx>
      <c:valAx>
        <c:axId val="1940003311"/>
        <c:scaling>
          <c:orientation val="minMax"/>
          <c:max val="3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de-DE" sz="900" b="0" i="0" baseline="0">
                    <a:effectLst/>
                    <a:latin typeface="Arial" panose="020B0604020202020204" pitchFamily="34" charset="0"/>
                    <a:cs typeface="Arial" panose="020B0604020202020204" pitchFamily="34" charset="0"/>
                  </a:rPr>
                  <a:t>Odour hour frequencies in percent </a:t>
                </a:r>
                <a:r>
                  <a:rPr lang="de-DE" sz="900">
                    <a:latin typeface="Arial" panose="020B0604020202020204" pitchFamily="34" charset="0"/>
                    <a:cs typeface="Arial" panose="020B0604020202020204" pitchFamily="34" charset="0"/>
                  </a:rPr>
                  <a:t>(%)</a:t>
                </a:r>
              </a:p>
            </c:rich>
          </c:tx>
          <c:layout>
            <c:manualLayout>
              <c:xMode val="edge"/>
              <c:yMode val="edge"/>
              <c:x val="4.0553912884845653E-2"/>
              <c:y val="0.1681084175855263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de-DE"/>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Exo 2 Medium Condensed" panose="00000606000000000000" pitchFamily="50" charset="0"/>
                <a:ea typeface="+mn-ea"/>
                <a:cs typeface="+mn-cs"/>
              </a:defRPr>
            </a:pPr>
            <a:endParaRPr lang="de-DE"/>
          </a:p>
        </c:txPr>
        <c:crossAx val="1939993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Exo 2 Medium Condensed" panose="00000606000000000000" pitchFamily="50" charset="0"/>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2727</Words>
  <Characters>14595</Characters>
  <Application>Microsoft Office Word</Application>
  <DocSecurity>0</DocSecurity>
  <Lines>331</Lines>
  <Paragraphs>266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Bettina Mannebeck</cp:lastModifiedBy>
  <cp:revision>17</cp:revision>
  <cp:lastPrinted>2015-05-12T18:31:00Z</cp:lastPrinted>
  <dcterms:created xsi:type="dcterms:W3CDTF">2022-07-05T12:58:00Z</dcterms:created>
  <dcterms:modified xsi:type="dcterms:W3CDTF">2022-07-05T13:40:00Z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